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40729"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Name of Journal: </w:t>
      </w:r>
      <w:r w:rsidRPr="0080707E">
        <w:rPr>
          <w:rFonts w:ascii="Book Antiqua" w:eastAsia="Book Antiqua" w:hAnsi="Book Antiqua" w:cs="Book Antiqua"/>
          <w:i/>
          <w:color w:val="000000"/>
        </w:rPr>
        <w:t>World Journal of Nephrology</w:t>
      </w:r>
    </w:p>
    <w:p w14:paraId="4FF36F6F"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Manuscript NO: </w:t>
      </w:r>
      <w:r w:rsidRPr="0080707E">
        <w:rPr>
          <w:rFonts w:ascii="Book Antiqua" w:eastAsia="Book Antiqua" w:hAnsi="Book Antiqua" w:cs="Book Antiqua"/>
          <w:color w:val="000000"/>
        </w:rPr>
        <w:t>57178</w:t>
      </w:r>
    </w:p>
    <w:p w14:paraId="4906D05D"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Manuscript Type: </w:t>
      </w:r>
      <w:r w:rsidRPr="0080707E">
        <w:rPr>
          <w:rFonts w:ascii="Book Antiqua" w:eastAsia="Book Antiqua" w:hAnsi="Book Antiqua" w:cs="Book Antiqua"/>
          <w:color w:val="000000"/>
        </w:rPr>
        <w:t>ORIGINAL ARTICLE</w:t>
      </w:r>
    </w:p>
    <w:p w14:paraId="25744DDD" w14:textId="77777777" w:rsidR="00A77B3E" w:rsidRPr="0080707E" w:rsidRDefault="00A77B3E" w:rsidP="0080707E">
      <w:pPr>
        <w:snapToGrid w:val="0"/>
        <w:spacing w:line="360" w:lineRule="auto"/>
        <w:jc w:val="both"/>
        <w:rPr>
          <w:rFonts w:ascii="Book Antiqua" w:hAnsi="Book Antiqua"/>
        </w:rPr>
      </w:pPr>
    </w:p>
    <w:p w14:paraId="79DBD519"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i/>
          <w:color w:val="000000"/>
        </w:rPr>
        <w:t>Retrospective Study</w:t>
      </w:r>
    </w:p>
    <w:p w14:paraId="018B1AAB" w14:textId="7C8FF891" w:rsidR="00A77B3E" w:rsidRPr="0080707E" w:rsidRDefault="008F2971" w:rsidP="0080707E">
      <w:pPr>
        <w:snapToGrid w:val="0"/>
        <w:spacing w:line="360" w:lineRule="auto"/>
        <w:jc w:val="both"/>
        <w:rPr>
          <w:rFonts w:ascii="Book Antiqua" w:hAnsi="Book Antiqua"/>
        </w:rPr>
      </w:pPr>
      <w:bookmarkStart w:id="0" w:name="OLE_LINK3"/>
      <w:bookmarkStart w:id="1" w:name="OLE_LINK4"/>
      <w:r w:rsidRPr="0080707E">
        <w:rPr>
          <w:rFonts w:ascii="Book Antiqua" w:eastAsia="Book Antiqua" w:hAnsi="Book Antiqua" w:cs="Book Antiqua"/>
          <w:b/>
          <w:color w:val="000000"/>
        </w:rPr>
        <w:t xml:space="preserve">Findings on </w:t>
      </w:r>
      <w:r w:rsidR="00762536" w:rsidRPr="0080707E">
        <w:rPr>
          <w:rFonts w:ascii="Book Antiqua" w:eastAsia="Book Antiqua" w:hAnsi="Book Antiqua" w:cs="Book Antiqua"/>
          <w:b/>
          <w:color w:val="000000"/>
          <w:lang w:eastAsia="zh-CN"/>
        </w:rPr>
        <w:t>i</w:t>
      </w:r>
      <w:r w:rsidRPr="0080707E">
        <w:rPr>
          <w:rFonts w:ascii="Book Antiqua" w:eastAsia="Book Antiqua" w:hAnsi="Book Antiqua" w:cs="Book Antiqua"/>
          <w:b/>
          <w:color w:val="000000"/>
        </w:rPr>
        <w:t xml:space="preserve">ntraprocedural </w:t>
      </w:r>
      <w:r w:rsidR="00762536" w:rsidRPr="0080707E">
        <w:rPr>
          <w:rFonts w:ascii="Book Antiqua" w:eastAsia="Book Antiqua" w:hAnsi="Book Antiqua" w:cs="Book Antiqua"/>
          <w:b/>
          <w:color w:val="000000"/>
        </w:rPr>
        <w:t>n</w:t>
      </w:r>
      <w:r w:rsidRPr="0080707E">
        <w:rPr>
          <w:rFonts w:ascii="Book Antiqua" w:eastAsia="Book Antiqua" w:hAnsi="Book Antiqua" w:cs="Book Antiqua"/>
          <w:b/>
          <w:color w:val="000000"/>
        </w:rPr>
        <w:t>on-</w:t>
      </w:r>
      <w:r w:rsidR="00762536" w:rsidRPr="0080707E">
        <w:rPr>
          <w:rFonts w:ascii="Book Antiqua" w:eastAsia="Book Antiqua" w:hAnsi="Book Antiqua" w:cs="Book Antiqua"/>
          <w:b/>
          <w:color w:val="000000"/>
        </w:rPr>
        <w:t>c</w:t>
      </w:r>
      <w:r w:rsidRPr="0080707E">
        <w:rPr>
          <w:rFonts w:ascii="Book Antiqua" w:eastAsia="Book Antiqua" w:hAnsi="Book Antiqua" w:cs="Book Antiqua"/>
          <w:b/>
          <w:color w:val="000000"/>
        </w:rPr>
        <w:t xml:space="preserve">ontrast </w:t>
      </w:r>
      <w:r w:rsidR="00762536" w:rsidRPr="0080707E">
        <w:rPr>
          <w:rFonts w:ascii="Book Antiqua" w:eastAsia="Book Antiqua" w:hAnsi="Book Antiqua" w:cs="Book Antiqua"/>
          <w:b/>
          <w:color w:val="000000"/>
        </w:rPr>
        <w:t>c</w:t>
      </w:r>
      <w:r w:rsidRPr="0080707E">
        <w:rPr>
          <w:rFonts w:ascii="Book Antiqua" w:eastAsia="Book Antiqua" w:hAnsi="Book Antiqua" w:cs="Book Antiqua"/>
          <w:b/>
          <w:color w:val="000000"/>
        </w:rPr>
        <w:t xml:space="preserve">omputed </w:t>
      </w:r>
      <w:r w:rsidR="00762536" w:rsidRPr="0080707E">
        <w:rPr>
          <w:rFonts w:ascii="Book Antiqua" w:eastAsia="Book Antiqua" w:hAnsi="Book Antiqua" w:cs="Book Antiqua"/>
          <w:b/>
          <w:color w:val="000000"/>
        </w:rPr>
        <w:t>t</w:t>
      </w:r>
      <w:r w:rsidRPr="0080707E">
        <w:rPr>
          <w:rFonts w:ascii="Book Antiqua" w:eastAsia="Book Antiqua" w:hAnsi="Book Antiqua" w:cs="Book Antiqua"/>
          <w:b/>
          <w:color w:val="000000"/>
        </w:rPr>
        <w:t xml:space="preserve">omographic </w:t>
      </w:r>
      <w:r w:rsidR="00762536" w:rsidRPr="0080707E">
        <w:rPr>
          <w:rFonts w:ascii="Book Antiqua" w:eastAsia="Book Antiqua" w:hAnsi="Book Antiqua" w:cs="Book Antiqua"/>
          <w:b/>
          <w:color w:val="000000"/>
        </w:rPr>
        <w:t>i</w:t>
      </w:r>
      <w:r w:rsidRPr="0080707E">
        <w:rPr>
          <w:rFonts w:ascii="Book Antiqua" w:eastAsia="Book Antiqua" w:hAnsi="Book Antiqua" w:cs="Book Antiqua"/>
          <w:b/>
          <w:color w:val="000000"/>
        </w:rPr>
        <w:t xml:space="preserve">maging </w:t>
      </w:r>
      <w:r w:rsidR="00762536" w:rsidRPr="0080707E">
        <w:rPr>
          <w:rFonts w:ascii="Book Antiqua" w:eastAsia="Book Antiqua" w:hAnsi="Book Antiqua" w:cs="Book Antiqua"/>
          <w:b/>
          <w:color w:val="000000"/>
        </w:rPr>
        <w:t>f</w:t>
      </w:r>
      <w:r w:rsidRPr="0080707E">
        <w:rPr>
          <w:rFonts w:ascii="Book Antiqua" w:eastAsia="Book Antiqua" w:hAnsi="Book Antiqua" w:cs="Book Antiqua"/>
          <w:b/>
          <w:color w:val="000000"/>
        </w:rPr>
        <w:t xml:space="preserve">ollowing </w:t>
      </w:r>
      <w:r w:rsidR="00C813BE" w:rsidRPr="0080707E">
        <w:rPr>
          <w:rFonts w:ascii="Book Antiqua" w:eastAsia="Book Antiqua" w:hAnsi="Book Antiqua" w:cs="Book Antiqua"/>
          <w:b/>
          <w:color w:val="000000"/>
        </w:rPr>
        <w:t xml:space="preserve">hepatic artery embolization are associated with development of contrast-induced nephropathy </w:t>
      </w:r>
    </w:p>
    <w:bookmarkEnd w:id="0"/>
    <w:bookmarkEnd w:id="1"/>
    <w:p w14:paraId="508ACBE4" w14:textId="77777777" w:rsidR="00A77B3E" w:rsidRPr="0080707E" w:rsidRDefault="00A77B3E" w:rsidP="0080707E">
      <w:pPr>
        <w:snapToGrid w:val="0"/>
        <w:spacing w:line="360" w:lineRule="auto"/>
        <w:jc w:val="both"/>
        <w:rPr>
          <w:rFonts w:ascii="Book Antiqua" w:hAnsi="Book Antiqua"/>
        </w:rPr>
      </w:pPr>
    </w:p>
    <w:p w14:paraId="77BCC563" w14:textId="17E14301" w:rsidR="00A77B3E" w:rsidRPr="0080707E" w:rsidRDefault="003D277A"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Soliman </w:t>
      </w:r>
      <w:r w:rsidRPr="0080707E">
        <w:rPr>
          <w:rFonts w:ascii="Book Antiqua" w:eastAsia="Book Antiqua" w:hAnsi="Book Antiqua" w:cs="Book Antiqua"/>
          <w:color w:val="000000"/>
          <w:lang w:eastAsia="zh-CN"/>
        </w:rPr>
        <w:t xml:space="preserve">MM </w:t>
      </w:r>
      <w:r w:rsidRPr="0080707E">
        <w:rPr>
          <w:rFonts w:ascii="Book Antiqua" w:eastAsia="Book Antiqua" w:hAnsi="Book Antiqua" w:cs="Book Antiqua"/>
          <w:i/>
          <w:iCs/>
          <w:color w:val="000000"/>
          <w:lang w:eastAsia="zh-CN"/>
        </w:rPr>
        <w:t xml:space="preserve">et al. </w:t>
      </w:r>
      <w:bookmarkStart w:id="2" w:name="OLE_LINK5"/>
      <w:r w:rsidR="008F2971" w:rsidRPr="0080707E">
        <w:rPr>
          <w:rFonts w:ascii="Book Antiqua" w:eastAsia="Book Antiqua" w:hAnsi="Book Antiqua" w:cs="Book Antiqua"/>
          <w:color w:val="000000"/>
        </w:rPr>
        <w:t xml:space="preserve">Hepatic </w:t>
      </w:r>
      <w:r w:rsidR="00762536" w:rsidRPr="0080707E">
        <w:rPr>
          <w:rFonts w:ascii="Book Antiqua" w:eastAsia="Book Antiqua" w:hAnsi="Book Antiqua" w:cs="Book Antiqua"/>
          <w:color w:val="000000"/>
        </w:rPr>
        <w:t>a</w:t>
      </w:r>
      <w:r w:rsidR="008F2971" w:rsidRPr="0080707E">
        <w:rPr>
          <w:rFonts w:ascii="Book Antiqua" w:eastAsia="Book Antiqua" w:hAnsi="Book Antiqua" w:cs="Book Antiqua"/>
          <w:color w:val="000000"/>
        </w:rPr>
        <w:t xml:space="preserve">rtery </w:t>
      </w:r>
      <w:r w:rsidR="00762536" w:rsidRPr="0080707E">
        <w:rPr>
          <w:rFonts w:ascii="Book Antiqua" w:eastAsia="Book Antiqua" w:hAnsi="Book Antiqua" w:cs="Book Antiqua"/>
          <w:color w:val="000000"/>
        </w:rPr>
        <w:t>e</w:t>
      </w:r>
      <w:r w:rsidR="008F2971" w:rsidRPr="0080707E">
        <w:rPr>
          <w:rFonts w:ascii="Book Antiqua" w:eastAsia="Book Antiqua" w:hAnsi="Book Antiqua" w:cs="Book Antiqua"/>
          <w:color w:val="000000"/>
        </w:rPr>
        <w:t xml:space="preserve">mbolization </w:t>
      </w:r>
      <w:r w:rsidR="00C813BE" w:rsidRPr="0080707E">
        <w:rPr>
          <w:rFonts w:ascii="Book Antiqua" w:hAnsi="Book Antiqua" w:cs="Book Antiqua"/>
          <w:color w:val="000000"/>
          <w:lang w:eastAsia="zh-CN"/>
        </w:rPr>
        <w:t>and</w:t>
      </w:r>
      <w:r w:rsidR="008F2971" w:rsidRPr="0080707E">
        <w:rPr>
          <w:rFonts w:ascii="Book Antiqua" w:eastAsia="Book Antiqua" w:hAnsi="Book Antiqua" w:cs="Book Antiqua"/>
          <w:color w:val="000000"/>
        </w:rPr>
        <w:t xml:space="preserve"> </w:t>
      </w:r>
      <w:r w:rsidR="00762536" w:rsidRPr="0080707E">
        <w:rPr>
          <w:rFonts w:ascii="Book Antiqua" w:eastAsia="Book Antiqua" w:hAnsi="Book Antiqua" w:cs="Book Antiqua"/>
          <w:color w:val="000000"/>
        </w:rPr>
        <w:t>d</w:t>
      </w:r>
      <w:r w:rsidR="008F2971" w:rsidRPr="0080707E">
        <w:rPr>
          <w:rFonts w:ascii="Book Antiqua" w:eastAsia="Book Antiqua" w:hAnsi="Book Antiqua" w:cs="Book Antiqua"/>
          <w:color w:val="000000"/>
        </w:rPr>
        <w:t>evelopment of CIN</w:t>
      </w:r>
      <w:bookmarkEnd w:id="2"/>
    </w:p>
    <w:p w14:paraId="1FED7149" w14:textId="77777777" w:rsidR="00A77B3E" w:rsidRPr="0080707E" w:rsidRDefault="00A77B3E" w:rsidP="0080707E">
      <w:pPr>
        <w:snapToGrid w:val="0"/>
        <w:spacing w:line="360" w:lineRule="auto"/>
        <w:jc w:val="both"/>
        <w:rPr>
          <w:rFonts w:ascii="Book Antiqua" w:hAnsi="Book Antiqua"/>
        </w:rPr>
      </w:pPr>
    </w:p>
    <w:p w14:paraId="731FBCFB" w14:textId="77777777" w:rsidR="00A77B3E" w:rsidRPr="0080707E" w:rsidRDefault="008F2971" w:rsidP="0080707E">
      <w:pPr>
        <w:snapToGrid w:val="0"/>
        <w:spacing w:line="360" w:lineRule="auto"/>
        <w:jc w:val="both"/>
        <w:rPr>
          <w:rFonts w:ascii="Book Antiqua" w:hAnsi="Book Antiqua"/>
          <w:lang w:eastAsia="zh-CN"/>
        </w:rPr>
      </w:pPr>
      <w:r w:rsidRPr="0080707E">
        <w:rPr>
          <w:rFonts w:ascii="Book Antiqua" w:eastAsia="Book Antiqua" w:hAnsi="Book Antiqua" w:cs="Book Antiqua"/>
          <w:color w:val="000000"/>
        </w:rPr>
        <w:t>Mohamed M Soliman, Debkumar Sarkar, Ilya Glezerman, Majid Maybody</w:t>
      </w:r>
    </w:p>
    <w:p w14:paraId="23A1E39E" w14:textId="77777777" w:rsidR="00A77B3E" w:rsidRPr="0080707E" w:rsidRDefault="00A77B3E" w:rsidP="0080707E">
      <w:pPr>
        <w:snapToGrid w:val="0"/>
        <w:spacing w:line="360" w:lineRule="auto"/>
        <w:jc w:val="both"/>
        <w:rPr>
          <w:rFonts w:ascii="Book Antiqua" w:hAnsi="Book Antiqua"/>
        </w:rPr>
      </w:pPr>
    </w:p>
    <w:p w14:paraId="14A5F6BF" w14:textId="6C31141F"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Mohamed M Soliman, Debkumar Sarkar, Majid Maybody, </w:t>
      </w:r>
      <w:r w:rsidRPr="0080707E">
        <w:rPr>
          <w:rFonts w:ascii="Book Antiqua" w:eastAsia="Book Antiqua" w:hAnsi="Book Antiqua" w:cs="Book Antiqua"/>
          <w:color w:val="000000"/>
        </w:rPr>
        <w:t>Interventional Radiology Service, Memorial Sloan Kettering Cancer Center, New York</w:t>
      </w:r>
      <w:r w:rsidR="00C813BE" w:rsidRPr="0080707E">
        <w:rPr>
          <w:rFonts w:ascii="Book Antiqua" w:hAnsi="Book Antiqua" w:cs="Book Antiqua"/>
          <w:color w:val="000000"/>
          <w:lang w:eastAsia="zh-CN"/>
        </w:rPr>
        <w:t>,</w:t>
      </w:r>
      <w:r w:rsidRPr="0080707E">
        <w:rPr>
          <w:rFonts w:ascii="Book Antiqua" w:eastAsia="Book Antiqua" w:hAnsi="Book Antiqua" w:cs="Book Antiqua"/>
          <w:color w:val="000000"/>
        </w:rPr>
        <w:t xml:space="preserve"> </w:t>
      </w:r>
      <w:r w:rsidR="00C813BE" w:rsidRPr="0080707E">
        <w:rPr>
          <w:rFonts w:ascii="Book Antiqua" w:eastAsia="Book Antiqua" w:hAnsi="Book Antiqua" w:cs="Book Antiqua"/>
          <w:color w:val="000000"/>
        </w:rPr>
        <w:t xml:space="preserve">NY </w:t>
      </w:r>
      <w:r w:rsidRPr="0080707E">
        <w:rPr>
          <w:rFonts w:ascii="Book Antiqua" w:eastAsia="Book Antiqua" w:hAnsi="Book Antiqua" w:cs="Book Antiqua"/>
          <w:color w:val="000000"/>
        </w:rPr>
        <w:t>10065, United States</w:t>
      </w:r>
    </w:p>
    <w:p w14:paraId="3DF7C8C4" w14:textId="77777777" w:rsidR="00A77B3E" w:rsidRPr="0080707E" w:rsidRDefault="00A77B3E" w:rsidP="0080707E">
      <w:pPr>
        <w:snapToGrid w:val="0"/>
        <w:spacing w:line="360" w:lineRule="auto"/>
        <w:jc w:val="both"/>
        <w:rPr>
          <w:rFonts w:ascii="Book Antiqua" w:hAnsi="Book Antiqua"/>
        </w:rPr>
      </w:pPr>
    </w:p>
    <w:p w14:paraId="65DDD6B3" w14:textId="5646BEC6"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Ilya Glezerman, </w:t>
      </w:r>
      <w:r w:rsidRPr="0080707E">
        <w:rPr>
          <w:rFonts w:ascii="Book Antiqua" w:eastAsia="Book Antiqua" w:hAnsi="Book Antiqua" w:cs="Book Antiqua"/>
          <w:color w:val="000000"/>
        </w:rPr>
        <w:t>Department of Medicine, Memorial Sloan Kettering Cancer Center, New York</w:t>
      </w:r>
      <w:r w:rsidR="00C813BE" w:rsidRPr="0080707E">
        <w:rPr>
          <w:rFonts w:ascii="Book Antiqua" w:eastAsia="Book Antiqua" w:hAnsi="Book Antiqua" w:cs="Book Antiqua"/>
          <w:color w:val="000000"/>
        </w:rPr>
        <w:t>, NY</w:t>
      </w:r>
      <w:r w:rsidR="003D277A"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10065, United States</w:t>
      </w:r>
    </w:p>
    <w:p w14:paraId="0A828685" w14:textId="77777777" w:rsidR="00A77B3E" w:rsidRPr="0080707E" w:rsidRDefault="00A77B3E" w:rsidP="0080707E">
      <w:pPr>
        <w:snapToGrid w:val="0"/>
        <w:spacing w:line="360" w:lineRule="auto"/>
        <w:jc w:val="both"/>
        <w:rPr>
          <w:rFonts w:ascii="Book Antiqua" w:hAnsi="Book Antiqua"/>
        </w:rPr>
      </w:pPr>
    </w:p>
    <w:p w14:paraId="4C6F4899" w14:textId="3075661D"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Author contributions: </w:t>
      </w:r>
      <w:r w:rsidRPr="0080707E">
        <w:rPr>
          <w:rFonts w:ascii="Book Antiqua" w:eastAsia="Book Antiqua" w:hAnsi="Book Antiqua" w:cs="Book Antiqua"/>
          <w:color w:val="000000"/>
        </w:rPr>
        <w:t>Soliman</w:t>
      </w:r>
      <w:r w:rsidR="003D277A" w:rsidRPr="0080707E">
        <w:rPr>
          <w:rFonts w:ascii="Book Antiqua" w:eastAsia="Book Antiqua" w:hAnsi="Book Antiqua" w:cs="Book Antiqua"/>
          <w:color w:val="000000"/>
        </w:rPr>
        <w:t xml:space="preserve"> </w:t>
      </w:r>
      <w:r w:rsidR="003D277A" w:rsidRPr="0080707E">
        <w:rPr>
          <w:rFonts w:ascii="Book Antiqua" w:eastAsia="Book Antiqua" w:hAnsi="Book Antiqua" w:cs="Book Antiqua"/>
          <w:color w:val="000000"/>
          <w:lang w:eastAsia="zh-CN"/>
        </w:rPr>
        <w:t>MM</w:t>
      </w:r>
      <w:r w:rsidRPr="0080707E">
        <w:rPr>
          <w:rFonts w:ascii="Book Antiqua" w:eastAsia="Book Antiqua" w:hAnsi="Book Antiqua" w:cs="Book Antiqua"/>
          <w:color w:val="000000"/>
        </w:rPr>
        <w:t xml:space="preserve"> </w:t>
      </w:r>
      <w:r w:rsidR="00535F61" w:rsidRPr="00535F61">
        <w:rPr>
          <w:rFonts w:ascii="Book Antiqua" w:eastAsia="Book Antiqua" w:hAnsi="Book Antiqua" w:cs="Book Antiqua"/>
          <w:bCs/>
          <w:color w:val="000000"/>
        </w:rPr>
        <w:t>contributed to</w:t>
      </w:r>
      <w:r w:rsidR="00535F61">
        <w:rPr>
          <w:rFonts w:ascii="Book Antiqua" w:eastAsia="Book Antiqua" w:hAnsi="Book Antiqua" w:cs="Book Antiqua"/>
          <w:b/>
          <w:bCs/>
          <w:color w:val="000000"/>
        </w:rPr>
        <w:t xml:space="preserve"> </w:t>
      </w:r>
      <w:r w:rsidR="00C813BE" w:rsidRPr="0080707E">
        <w:rPr>
          <w:rFonts w:ascii="Book Antiqua" w:eastAsia="Book Antiqua" w:hAnsi="Book Antiqua" w:cs="Book Antiqua"/>
          <w:color w:val="000000"/>
        </w:rPr>
        <w:t xml:space="preserve">analysis </w:t>
      </w:r>
      <w:r w:rsidRPr="0080707E">
        <w:rPr>
          <w:rFonts w:ascii="Book Antiqua" w:eastAsia="Book Antiqua" w:hAnsi="Book Antiqua" w:cs="Book Antiqua"/>
          <w:color w:val="000000"/>
        </w:rPr>
        <w:t xml:space="preserve">and interpretation of data, </w:t>
      </w:r>
      <w:r w:rsidR="00C813BE" w:rsidRPr="0080707E">
        <w:rPr>
          <w:rFonts w:ascii="Book Antiqua" w:eastAsia="Book Antiqua" w:hAnsi="Book Antiqua" w:cs="Book Antiqua"/>
          <w:color w:val="000000"/>
        </w:rPr>
        <w:t xml:space="preserve">drafting </w:t>
      </w:r>
      <w:r w:rsidRPr="0080707E">
        <w:rPr>
          <w:rFonts w:ascii="Book Antiqua" w:eastAsia="Book Antiqua" w:hAnsi="Book Antiqua" w:cs="Book Antiqua"/>
          <w:color w:val="000000"/>
        </w:rPr>
        <w:t xml:space="preserve">of manuscript, </w:t>
      </w:r>
      <w:r w:rsidR="00C813BE" w:rsidRPr="0080707E">
        <w:rPr>
          <w:rFonts w:ascii="Book Antiqua" w:eastAsia="Book Antiqua" w:hAnsi="Book Antiqua" w:cs="Book Antiqua"/>
          <w:color w:val="000000"/>
        </w:rPr>
        <w:t xml:space="preserve">critical </w:t>
      </w:r>
      <w:r w:rsidRPr="0080707E">
        <w:rPr>
          <w:rFonts w:ascii="Book Antiqua" w:eastAsia="Book Antiqua" w:hAnsi="Book Antiqua" w:cs="Book Antiqua"/>
          <w:color w:val="000000"/>
        </w:rPr>
        <w:t>revision</w:t>
      </w:r>
      <w:r w:rsidR="003D277A" w:rsidRPr="0080707E">
        <w:rPr>
          <w:rFonts w:ascii="Book Antiqua" w:eastAsia="Book Antiqua" w:hAnsi="Book Antiqua" w:cs="Book Antiqua"/>
          <w:color w:val="000000"/>
        </w:rPr>
        <w:t>;</w:t>
      </w:r>
      <w:r w:rsidRPr="0080707E">
        <w:rPr>
          <w:rFonts w:ascii="Book Antiqua" w:eastAsia="Book Antiqua" w:hAnsi="Book Antiqua" w:cs="Book Antiqua"/>
          <w:color w:val="000000"/>
        </w:rPr>
        <w:t xml:space="preserve"> Sarkar</w:t>
      </w:r>
      <w:r w:rsidR="003D277A" w:rsidRPr="0080707E">
        <w:rPr>
          <w:rFonts w:ascii="Book Antiqua" w:eastAsia="Book Antiqua" w:hAnsi="Book Antiqua" w:cs="Book Antiqua"/>
          <w:color w:val="000000"/>
        </w:rPr>
        <w:t xml:space="preserve"> D</w:t>
      </w:r>
      <w:r w:rsidRPr="0080707E">
        <w:rPr>
          <w:rFonts w:ascii="Book Antiqua" w:eastAsia="Book Antiqua" w:hAnsi="Book Antiqua" w:cs="Book Antiqua"/>
          <w:color w:val="000000"/>
        </w:rPr>
        <w:t xml:space="preserve"> </w:t>
      </w:r>
      <w:r w:rsidR="00535F61" w:rsidRPr="00535F61">
        <w:rPr>
          <w:rFonts w:ascii="Book Antiqua" w:eastAsia="Book Antiqua" w:hAnsi="Book Antiqua" w:cs="Book Antiqua"/>
          <w:bCs/>
          <w:color w:val="000000"/>
        </w:rPr>
        <w:t>contributed to</w:t>
      </w:r>
      <w:r w:rsidR="00535F61" w:rsidRPr="0080707E">
        <w:rPr>
          <w:rFonts w:ascii="Book Antiqua" w:eastAsia="Book Antiqua" w:hAnsi="Book Antiqua" w:cs="Book Antiqua"/>
          <w:color w:val="000000"/>
        </w:rPr>
        <w:t xml:space="preserve"> </w:t>
      </w:r>
      <w:r w:rsidR="00C813BE" w:rsidRPr="0080707E">
        <w:rPr>
          <w:rFonts w:ascii="Book Antiqua" w:eastAsia="Book Antiqua" w:hAnsi="Book Antiqua" w:cs="Book Antiqua"/>
          <w:color w:val="000000"/>
        </w:rPr>
        <w:t xml:space="preserve">acquisition </w:t>
      </w:r>
      <w:r w:rsidRPr="0080707E">
        <w:rPr>
          <w:rFonts w:ascii="Book Antiqua" w:eastAsia="Book Antiqua" w:hAnsi="Book Antiqua" w:cs="Book Antiqua"/>
          <w:color w:val="000000"/>
        </w:rPr>
        <w:t xml:space="preserve">of data, </w:t>
      </w:r>
      <w:r w:rsidR="00C813BE" w:rsidRPr="0080707E">
        <w:rPr>
          <w:rFonts w:ascii="Book Antiqua" w:eastAsia="Book Antiqua" w:hAnsi="Book Antiqua" w:cs="Book Antiqua"/>
          <w:color w:val="000000"/>
        </w:rPr>
        <w:t xml:space="preserve">analysis </w:t>
      </w:r>
      <w:r w:rsidRPr="0080707E">
        <w:rPr>
          <w:rFonts w:ascii="Book Antiqua" w:eastAsia="Book Antiqua" w:hAnsi="Book Antiqua" w:cs="Book Antiqua"/>
          <w:color w:val="000000"/>
        </w:rPr>
        <w:t xml:space="preserve">and interpretation of data, </w:t>
      </w:r>
      <w:r w:rsidR="00C813BE" w:rsidRPr="0080707E">
        <w:rPr>
          <w:rFonts w:ascii="Book Antiqua" w:eastAsia="Book Antiqua" w:hAnsi="Book Antiqua" w:cs="Book Antiqua"/>
          <w:color w:val="000000"/>
        </w:rPr>
        <w:t xml:space="preserve">critical </w:t>
      </w:r>
      <w:r w:rsidRPr="0080707E">
        <w:rPr>
          <w:rFonts w:ascii="Book Antiqua" w:eastAsia="Book Antiqua" w:hAnsi="Book Antiqua" w:cs="Book Antiqua"/>
          <w:color w:val="000000"/>
        </w:rPr>
        <w:t>revision</w:t>
      </w:r>
      <w:r w:rsidR="003D277A" w:rsidRPr="0080707E">
        <w:rPr>
          <w:rFonts w:ascii="Book Antiqua" w:eastAsia="Book Antiqua" w:hAnsi="Book Antiqua" w:cs="Book Antiqua"/>
          <w:color w:val="000000"/>
        </w:rPr>
        <w:t>;</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Glezerman</w:t>
      </w:r>
      <w:proofErr w:type="spellEnd"/>
      <w:r w:rsidR="003D277A" w:rsidRPr="0080707E">
        <w:rPr>
          <w:rFonts w:ascii="Book Antiqua" w:eastAsia="Book Antiqua" w:hAnsi="Book Antiqua" w:cs="Book Antiqua"/>
          <w:color w:val="000000"/>
        </w:rPr>
        <w:t xml:space="preserve"> I</w:t>
      </w:r>
      <w:r w:rsidRPr="0080707E">
        <w:rPr>
          <w:rFonts w:ascii="Book Antiqua" w:eastAsia="Book Antiqua" w:hAnsi="Book Antiqua" w:cs="Book Antiqua"/>
          <w:color w:val="000000"/>
        </w:rPr>
        <w:t xml:space="preserve"> </w:t>
      </w:r>
      <w:r w:rsidR="00535F61" w:rsidRPr="00535F61">
        <w:rPr>
          <w:rFonts w:ascii="Book Antiqua" w:eastAsia="Book Antiqua" w:hAnsi="Book Antiqua" w:cs="Book Antiqua"/>
          <w:bCs/>
          <w:color w:val="000000"/>
        </w:rPr>
        <w:t>contributed to</w:t>
      </w:r>
      <w:r w:rsidR="00535F61" w:rsidRPr="0080707E">
        <w:rPr>
          <w:rFonts w:ascii="Book Antiqua" w:eastAsia="Book Antiqua" w:hAnsi="Book Antiqua" w:cs="Book Antiqua"/>
          <w:color w:val="000000"/>
        </w:rPr>
        <w:t xml:space="preserve"> </w:t>
      </w:r>
      <w:r w:rsidR="00C813BE" w:rsidRPr="0080707E">
        <w:rPr>
          <w:rFonts w:ascii="Book Antiqua" w:eastAsia="Book Antiqua" w:hAnsi="Book Antiqua" w:cs="Book Antiqua"/>
          <w:color w:val="000000"/>
        </w:rPr>
        <w:t xml:space="preserve">study </w:t>
      </w:r>
      <w:r w:rsidRPr="0080707E">
        <w:rPr>
          <w:rFonts w:ascii="Book Antiqua" w:eastAsia="Book Antiqua" w:hAnsi="Book Antiqua" w:cs="Book Antiqua"/>
          <w:color w:val="000000"/>
        </w:rPr>
        <w:t xml:space="preserve">conception and design, </w:t>
      </w:r>
      <w:r w:rsidR="00C813BE" w:rsidRPr="0080707E">
        <w:rPr>
          <w:rFonts w:ascii="Book Antiqua" w:eastAsia="Book Antiqua" w:hAnsi="Book Antiqua" w:cs="Book Antiqua"/>
          <w:color w:val="000000"/>
        </w:rPr>
        <w:t xml:space="preserve">analysis </w:t>
      </w:r>
      <w:r w:rsidRPr="0080707E">
        <w:rPr>
          <w:rFonts w:ascii="Book Antiqua" w:eastAsia="Book Antiqua" w:hAnsi="Book Antiqua" w:cs="Book Antiqua"/>
          <w:color w:val="000000"/>
        </w:rPr>
        <w:t xml:space="preserve">and interpretation of data, </w:t>
      </w:r>
      <w:r w:rsidR="00C813BE" w:rsidRPr="0080707E">
        <w:rPr>
          <w:rFonts w:ascii="Book Antiqua" w:eastAsia="Book Antiqua" w:hAnsi="Book Antiqua" w:cs="Book Antiqua"/>
          <w:color w:val="000000"/>
        </w:rPr>
        <w:t xml:space="preserve">critical </w:t>
      </w:r>
      <w:r w:rsidRPr="0080707E">
        <w:rPr>
          <w:rFonts w:ascii="Book Antiqua" w:eastAsia="Book Antiqua" w:hAnsi="Book Antiqua" w:cs="Book Antiqua"/>
          <w:color w:val="000000"/>
        </w:rPr>
        <w:t>revision</w:t>
      </w:r>
      <w:r w:rsidR="003D277A" w:rsidRPr="0080707E">
        <w:rPr>
          <w:rFonts w:ascii="Book Antiqua" w:eastAsia="Book Antiqua" w:hAnsi="Book Antiqua" w:cs="Book Antiqua"/>
          <w:color w:val="000000"/>
        </w:rPr>
        <w:t>;</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Maybody</w:t>
      </w:r>
      <w:proofErr w:type="spellEnd"/>
      <w:r w:rsidR="003D277A" w:rsidRPr="0080707E">
        <w:rPr>
          <w:rFonts w:ascii="Book Antiqua" w:eastAsia="Book Antiqua" w:hAnsi="Book Antiqua" w:cs="Book Antiqua"/>
          <w:color w:val="000000"/>
        </w:rPr>
        <w:t xml:space="preserve"> M</w:t>
      </w:r>
      <w:r w:rsidRPr="0080707E">
        <w:rPr>
          <w:rFonts w:ascii="Book Antiqua" w:eastAsia="Book Antiqua" w:hAnsi="Book Antiqua" w:cs="Book Antiqua"/>
          <w:color w:val="000000"/>
        </w:rPr>
        <w:t xml:space="preserve"> </w:t>
      </w:r>
      <w:r w:rsidR="00535F61" w:rsidRPr="00535F61">
        <w:rPr>
          <w:rFonts w:ascii="Book Antiqua" w:eastAsia="Book Antiqua" w:hAnsi="Book Antiqua" w:cs="Book Antiqua"/>
          <w:bCs/>
          <w:color w:val="000000"/>
        </w:rPr>
        <w:t>contributed to</w:t>
      </w:r>
      <w:r w:rsidR="00535F61" w:rsidRPr="0080707E">
        <w:rPr>
          <w:rFonts w:ascii="Book Antiqua" w:eastAsia="Book Antiqua" w:hAnsi="Book Antiqua" w:cs="Book Antiqua"/>
          <w:color w:val="000000"/>
        </w:rPr>
        <w:t xml:space="preserve"> </w:t>
      </w:r>
      <w:r w:rsidR="00C813BE" w:rsidRPr="0080707E">
        <w:rPr>
          <w:rFonts w:ascii="Book Antiqua" w:eastAsia="Book Antiqua" w:hAnsi="Book Antiqua" w:cs="Book Antiqua"/>
          <w:color w:val="000000"/>
        </w:rPr>
        <w:t xml:space="preserve">study </w:t>
      </w:r>
      <w:r w:rsidRPr="0080707E">
        <w:rPr>
          <w:rFonts w:ascii="Book Antiqua" w:eastAsia="Book Antiqua" w:hAnsi="Book Antiqua" w:cs="Book Antiqua"/>
          <w:color w:val="000000"/>
        </w:rPr>
        <w:t xml:space="preserve">conception and design, </w:t>
      </w:r>
      <w:r w:rsidR="00C813BE" w:rsidRPr="0080707E">
        <w:rPr>
          <w:rFonts w:ascii="Book Antiqua" w:eastAsia="Book Antiqua" w:hAnsi="Book Antiqua" w:cs="Book Antiqua"/>
          <w:color w:val="000000"/>
        </w:rPr>
        <w:t xml:space="preserve">acquisition </w:t>
      </w:r>
      <w:r w:rsidRPr="0080707E">
        <w:rPr>
          <w:rFonts w:ascii="Book Antiqua" w:eastAsia="Book Antiqua" w:hAnsi="Book Antiqua" w:cs="Book Antiqua"/>
          <w:color w:val="000000"/>
        </w:rPr>
        <w:t xml:space="preserve">of data, </w:t>
      </w:r>
      <w:r w:rsidR="00C813BE" w:rsidRPr="0080707E">
        <w:rPr>
          <w:rFonts w:ascii="Book Antiqua" w:eastAsia="Book Antiqua" w:hAnsi="Book Antiqua" w:cs="Book Antiqua"/>
          <w:color w:val="000000"/>
        </w:rPr>
        <w:t xml:space="preserve">analysis </w:t>
      </w:r>
      <w:r w:rsidRPr="0080707E">
        <w:rPr>
          <w:rFonts w:ascii="Book Antiqua" w:eastAsia="Book Antiqua" w:hAnsi="Book Antiqua" w:cs="Book Antiqua"/>
          <w:color w:val="000000"/>
        </w:rPr>
        <w:t xml:space="preserve">and interpretation of data, </w:t>
      </w:r>
      <w:r w:rsidR="00C813BE" w:rsidRPr="0080707E">
        <w:rPr>
          <w:rFonts w:ascii="Book Antiqua" w:eastAsia="Book Antiqua" w:hAnsi="Book Antiqua" w:cs="Book Antiqua"/>
          <w:color w:val="000000"/>
        </w:rPr>
        <w:t xml:space="preserve">drafting </w:t>
      </w:r>
      <w:r w:rsidRPr="0080707E">
        <w:rPr>
          <w:rFonts w:ascii="Book Antiqua" w:eastAsia="Book Antiqua" w:hAnsi="Book Antiqua" w:cs="Book Antiqua"/>
          <w:color w:val="000000"/>
        </w:rPr>
        <w:t xml:space="preserve">of manuscript, </w:t>
      </w:r>
      <w:r w:rsidR="00C813BE" w:rsidRPr="0080707E">
        <w:rPr>
          <w:rFonts w:ascii="Book Antiqua" w:eastAsia="Book Antiqua" w:hAnsi="Book Antiqua" w:cs="Book Antiqua"/>
          <w:color w:val="000000"/>
        </w:rPr>
        <w:t xml:space="preserve">critical </w:t>
      </w:r>
      <w:r w:rsidRPr="0080707E">
        <w:rPr>
          <w:rFonts w:ascii="Book Antiqua" w:eastAsia="Book Antiqua" w:hAnsi="Book Antiqua" w:cs="Book Antiqua"/>
          <w:color w:val="000000"/>
        </w:rPr>
        <w:t xml:space="preserve">revision. </w:t>
      </w:r>
    </w:p>
    <w:p w14:paraId="6440FCD5" w14:textId="77777777" w:rsidR="00A77B3E" w:rsidRPr="0080707E" w:rsidRDefault="00A77B3E" w:rsidP="0080707E">
      <w:pPr>
        <w:snapToGrid w:val="0"/>
        <w:spacing w:line="360" w:lineRule="auto"/>
        <w:jc w:val="both"/>
        <w:rPr>
          <w:rFonts w:ascii="Book Antiqua" w:hAnsi="Book Antiqua"/>
        </w:rPr>
      </w:pPr>
    </w:p>
    <w:p w14:paraId="2C305CC2" w14:textId="60AE5B84"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Supported by</w:t>
      </w:r>
      <w:r w:rsidR="003D277A" w:rsidRPr="0080707E">
        <w:rPr>
          <w:rFonts w:ascii="Book Antiqua" w:eastAsia="Book Antiqua" w:hAnsi="Book Antiqua" w:cs="Book Antiqua"/>
          <w:color w:val="000000"/>
        </w:rPr>
        <w:t xml:space="preserve"> the </w:t>
      </w:r>
      <w:r w:rsidRPr="0080707E">
        <w:rPr>
          <w:rFonts w:ascii="Book Antiqua" w:eastAsia="Book Antiqua" w:hAnsi="Book Antiqua" w:cs="Book Antiqua"/>
          <w:color w:val="000000"/>
        </w:rPr>
        <w:t>NIH/NCI Cancer Center</w:t>
      </w:r>
      <w:r w:rsidR="003D277A" w:rsidRPr="0080707E">
        <w:rPr>
          <w:rFonts w:ascii="Book Antiqua" w:eastAsia="Book Antiqua" w:hAnsi="Book Antiqua" w:cs="Book Antiqua"/>
          <w:color w:val="000000"/>
        </w:rPr>
        <w:t>,</w:t>
      </w:r>
      <w:r w:rsidRPr="0080707E">
        <w:rPr>
          <w:rFonts w:ascii="Book Antiqua" w:eastAsia="Book Antiqua" w:hAnsi="Book Antiqua" w:cs="Book Antiqua"/>
          <w:color w:val="000000"/>
        </w:rPr>
        <w:t xml:space="preserve"> No. P30 CA008748.</w:t>
      </w:r>
    </w:p>
    <w:p w14:paraId="56634F19" w14:textId="77777777" w:rsidR="00A77B3E" w:rsidRPr="0080707E" w:rsidRDefault="00A77B3E" w:rsidP="0080707E">
      <w:pPr>
        <w:snapToGrid w:val="0"/>
        <w:spacing w:line="360" w:lineRule="auto"/>
        <w:jc w:val="both"/>
        <w:rPr>
          <w:rFonts w:ascii="Book Antiqua" w:hAnsi="Book Antiqua"/>
        </w:rPr>
      </w:pPr>
    </w:p>
    <w:p w14:paraId="3ADE5D01" w14:textId="1D814F11" w:rsidR="00A77B3E" w:rsidRPr="0080707E" w:rsidRDefault="008F2971" w:rsidP="0080707E">
      <w:pPr>
        <w:snapToGrid w:val="0"/>
        <w:spacing w:line="360" w:lineRule="auto"/>
        <w:jc w:val="both"/>
        <w:rPr>
          <w:rFonts w:ascii="Book Antiqua" w:eastAsia="Book Antiqua" w:hAnsi="Book Antiqua" w:cs="Book Antiqua"/>
          <w:color w:val="000000"/>
          <w:u w:val="single"/>
        </w:rPr>
      </w:pPr>
      <w:r w:rsidRPr="0080707E">
        <w:rPr>
          <w:rFonts w:ascii="Book Antiqua" w:eastAsia="Book Antiqua" w:hAnsi="Book Antiqua" w:cs="Book Antiqua"/>
          <w:b/>
          <w:bCs/>
          <w:color w:val="000000"/>
        </w:rPr>
        <w:lastRenderedPageBreak/>
        <w:t xml:space="preserve">Corresponding author: Majid Maybody, MD, Associate Professor, </w:t>
      </w:r>
      <w:r w:rsidRPr="0080707E">
        <w:rPr>
          <w:rFonts w:ascii="Book Antiqua" w:eastAsia="Book Antiqua" w:hAnsi="Book Antiqua" w:cs="Book Antiqua"/>
          <w:color w:val="000000"/>
        </w:rPr>
        <w:t>Interventional Radiology Service, Memorial Sloan Kettering Cancer Center, 1275 York Avenue, M276C, New York</w:t>
      </w:r>
      <w:r w:rsidR="00C813BE" w:rsidRPr="0080707E">
        <w:rPr>
          <w:rFonts w:ascii="Book Antiqua" w:eastAsia="Book Antiqua" w:hAnsi="Book Antiqua" w:cs="Book Antiqua"/>
          <w:color w:val="000000"/>
        </w:rPr>
        <w:t>, NY</w:t>
      </w:r>
      <w:r w:rsidR="003D277A"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10065, United States. </w:t>
      </w:r>
      <w:hyperlink r:id="rId6" w:history="1">
        <w:r w:rsidR="003D277A" w:rsidRPr="0080707E">
          <w:rPr>
            <w:rStyle w:val="Hyperlink"/>
            <w:rFonts w:ascii="Book Antiqua" w:eastAsia="Book Antiqua" w:hAnsi="Book Antiqua" w:cs="Book Antiqua"/>
          </w:rPr>
          <w:t>maybodym@mskcc.org</w:t>
        </w:r>
      </w:hyperlink>
    </w:p>
    <w:p w14:paraId="7FA2D0EB" w14:textId="77777777" w:rsidR="00A77B3E" w:rsidRPr="0080707E" w:rsidRDefault="00A77B3E" w:rsidP="0080707E">
      <w:pPr>
        <w:snapToGrid w:val="0"/>
        <w:spacing w:line="360" w:lineRule="auto"/>
        <w:jc w:val="both"/>
        <w:rPr>
          <w:rFonts w:ascii="Book Antiqua" w:hAnsi="Book Antiqua"/>
        </w:rPr>
      </w:pPr>
    </w:p>
    <w:p w14:paraId="2435B43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Received: </w:t>
      </w:r>
      <w:r w:rsidRPr="0080707E">
        <w:rPr>
          <w:rFonts w:ascii="Book Antiqua" w:eastAsia="Book Antiqua" w:hAnsi="Book Antiqua" w:cs="Book Antiqua"/>
          <w:color w:val="000000"/>
        </w:rPr>
        <w:t>May 27, 2020</w:t>
      </w:r>
    </w:p>
    <w:p w14:paraId="3B508584"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Revised: </w:t>
      </w:r>
      <w:r w:rsidRPr="0080707E">
        <w:rPr>
          <w:rFonts w:ascii="Book Antiqua" w:eastAsia="Book Antiqua" w:hAnsi="Book Antiqua" w:cs="Book Antiqua"/>
          <w:color w:val="000000"/>
        </w:rPr>
        <w:t>August 19, 2020</w:t>
      </w:r>
    </w:p>
    <w:p w14:paraId="1B1EEE60" w14:textId="2F21548F"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Accepted: </w:t>
      </w:r>
      <w:r w:rsidR="007E26AE" w:rsidRPr="007E26AE">
        <w:rPr>
          <w:rFonts w:ascii="Book Antiqua" w:eastAsia="Book Antiqua" w:hAnsi="Book Antiqua" w:cs="Book Antiqua"/>
          <w:bCs/>
          <w:color w:val="000000"/>
        </w:rPr>
        <w:t>September 14, 2020</w:t>
      </w:r>
    </w:p>
    <w:p w14:paraId="0CAB8F0D"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Published online: </w:t>
      </w:r>
    </w:p>
    <w:p w14:paraId="2C9BA5B7" w14:textId="77777777" w:rsidR="00A77B3E" w:rsidRPr="0080707E" w:rsidRDefault="00A77B3E" w:rsidP="0080707E">
      <w:pPr>
        <w:snapToGrid w:val="0"/>
        <w:spacing w:line="360" w:lineRule="auto"/>
        <w:jc w:val="both"/>
        <w:rPr>
          <w:rFonts w:ascii="Book Antiqua" w:hAnsi="Book Antiqua"/>
        </w:rPr>
        <w:sectPr w:rsidR="00A77B3E" w:rsidRPr="0080707E" w:rsidSect="009B183D">
          <w:footerReference w:type="default" r:id="rId7"/>
          <w:pgSz w:w="12240" w:h="15840"/>
          <w:pgMar w:top="1440" w:right="1800" w:bottom="1440" w:left="1800" w:header="720" w:footer="720" w:gutter="0"/>
          <w:cols w:space="720"/>
          <w:docGrid w:linePitch="360"/>
        </w:sectPr>
      </w:pPr>
    </w:p>
    <w:p w14:paraId="6A311599"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lastRenderedPageBreak/>
        <w:t>Abstract</w:t>
      </w:r>
    </w:p>
    <w:p w14:paraId="781690A8"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BACKGROUND</w:t>
      </w:r>
    </w:p>
    <w:p w14:paraId="00CC6509" w14:textId="31D02DB0" w:rsidR="00A77B3E" w:rsidRPr="0080707E" w:rsidRDefault="003D277A" w:rsidP="0080707E">
      <w:pPr>
        <w:snapToGrid w:val="0"/>
        <w:spacing w:line="360" w:lineRule="auto"/>
        <w:jc w:val="both"/>
        <w:rPr>
          <w:rFonts w:ascii="Book Antiqua" w:eastAsia="SimSun" w:hAnsi="Book Antiqua" w:cs="SimSun"/>
          <w:color w:val="000000"/>
          <w:lang w:eastAsia="zh-CN"/>
        </w:rPr>
      </w:pPr>
      <w:r w:rsidRPr="0080707E">
        <w:rPr>
          <w:rFonts w:ascii="Book Antiqua" w:eastAsia="Book Antiqua" w:hAnsi="Book Antiqua" w:cs="Book Antiqua"/>
          <w:color w:val="000000"/>
        </w:rPr>
        <w:t>Contrast-induced nephropathy (CIN) is a reversible form of acute kidney injury</w:t>
      </w:r>
      <w:r w:rsidR="008E5948"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that occurs within 48-72 h of exposure to intravascular contrast material. CIN is the third leading cause of hospital-acquired </w:t>
      </w:r>
      <w:r w:rsidR="008E5948" w:rsidRPr="0080707E">
        <w:rPr>
          <w:rFonts w:ascii="Book Antiqua" w:eastAsia="Book Antiqua" w:hAnsi="Book Antiqua" w:cs="Book Antiqua"/>
          <w:color w:val="000000"/>
        </w:rPr>
        <w:t>acute kidney injury</w:t>
      </w:r>
      <w:r w:rsidRPr="0080707E">
        <w:rPr>
          <w:rFonts w:ascii="Book Antiqua" w:eastAsia="Book Antiqua" w:hAnsi="Book Antiqua" w:cs="Book Antiqua"/>
          <w:color w:val="000000"/>
        </w:rPr>
        <w:t xml:space="preserve"> and accounts for 12% of such cases. Risk factors for CIN development can be divided into patient- and procedure-related. The former includes pre-existing chronic renal insufficiency and diabetes mellitus. The latter includes high contrast volume and repeated exposure over 72 h. The incidence of CIN is relatively low (up to 5%) in patients with intact renal function. However, in patients with known chronic renal insufficiency, the incidence can reach up to 27%</w:t>
      </w:r>
      <w:r w:rsidRPr="0080707E">
        <w:rPr>
          <w:rFonts w:ascii="Book Antiqua" w:eastAsia="SimSun" w:hAnsi="Book Antiqua" w:cs="SimSun"/>
          <w:color w:val="000000"/>
          <w:lang w:eastAsia="zh-CN"/>
        </w:rPr>
        <w:t>.</w:t>
      </w:r>
    </w:p>
    <w:p w14:paraId="1A759208" w14:textId="77777777" w:rsidR="00762536" w:rsidRPr="0080707E" w:rsidRDefault="00762536" w:rsidP="0080707E">
      <w:pPr>
        <w:snapToGrid w:val="0"/>
        <w:spacing w:line="360" w:lineRule="auto"/>
        <w:jc w:val="both"/>
        <w:rPr>
          <w:rFonts w:ascii="Book Antiqua" w:eastAsia="SimSun" w:hAnsi="Book Antiqua" w:cs="SimSun"/>
          <w:lang w:eastAsia="zh-CN"/>
        </w:rPr>
      </w:pPr>
    </w:p>
    <w:p w14:paraId="3C4CC277"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AIM</w:t>
      </w:r>
    </w:p>
    <w:p w14:paraId="67CD31E9" w14:textId="7EA3970D"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To examine the association between renal enhancement pattern on non-contrast enhanced computed tomographic (CT) images obtained immediately following hepatic artery embolization with development of CIN.</w:t>
      </w:r>
    </w:p>
    <w:p w14:paraId="4600A56A" w14:textId="77777777" w:rsidR="00A77B3E" w:rsidRPr="0080707E" w:rsidRDefault="00A77B3E" w:rsidP="0080707E">
      <w:pPr>
        <w:snapToGrid w:val="0"/>
        <w:spacing w:line="360" w:lineRule="auto"/>
        <w:jc w:val="both"/>
        <w:rPr>
          <w:rFonts w:ascii="Book Antiqua" w:hAnsi="Book Antiqua"/>
        </w:rPr>
      </w:pPr>
    </w:p>
    <w:p w14:paraId="21D6B152"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METHODS</w:t>
      </w:r>
    </w:p>
    <w:p w14:paraId="445D5A26" w14:textId="46577435"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Retrospective review of all patients who underwent hepatic artery embolization</w:t>
      </w:r>
      <w:r w:rsidR="008E5948"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between 01/2010 and 01/2011 (</w:t>
      </w:r>
      <w:r w:rsidRPr="0080707E">
        <w:rPr>
          <w:rFonts w:ascii="Book Antiqua" w:eastAsia="Book Antiqua" w:hAnsi="Book Antiqua" w:cs="Book Antiqua"/>
          <w:i/>
          <w:iCs/>
          <w:color w:val="000000"/>
        </w:rPr>
        <w:t>n</w:t>
      </w:r>
      <w:r w:rsidR="008E5948"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162) was performed. Patients without intraprocedural CT imaging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51), combined embolization/ablation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6) and those with chronic kidney disease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21) were excluded. The study group comprised of 84 patients with 106 procedures. CIN was defined as 25% increase above baseline </w:t>
      </w:r>
      <w:r w:rsidR="00C813BE" w:rsidRPr="0080707E">
        <w:rPr>
          <w:rFonts w:ascii="Book Antiqua" w:eastAsia="Book Antiqua" w:hAnsi="Book Antiqua" w:cs="Book Antiqua"/>
          <w:color w:val="000000"/>
        </w:rPr>
        <w:t>serum creatinine</w:t>
      </w:r>
      <w:r w:rsidRPr="0080707E">
        <w:rPr>
          <w:rFonts w:ascii="Book Antiqua" w:eastAsia="Book Antiqua" w:hAnsi="Book Antiqua" w:cs="Book Antiqua"/>
          <w:color w:val="000000"/>
        </w:rPr>
        <w:t xml:space="preserve"> or absolute increase</w:t>
      </w:r>
      <w:r w:rsidR="008E5948"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w:t>
      </w:r>
      <w:r w:rsidR="008E5948"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0.5 mg/dL within 72 h post-embolization. Post-embolization CT was reviewed for renal enhancement patterns and presence of renal artery calcifications. The association between non-contrast CT findings and CIN development was examined by Fisher’s Exact Test.</w:t>
      </w:r>
    </w:p>
    <w:p w14:paraId="4C5848F5" w14:textId="77777777" w:rsidR="00A77B3E" w:rsidRPr="0080707E" w:rsidRDefault="00A77B3E" w:rsidP="0080707E">
      <w:pPr>
        <w:snapToGrid w:val="0"/>
        <w:spacing w:line="360" w:lineRule="auto"/>
        <w:jc w:val="both"/>
        <w:rPr>
          <w:rFonts w:ascii="Book Antiqua" w:hAnsi="Book Antiqua"/>
        </w:rPr>
      </w:pPr>
    </w:p>
    <w:p w14:paraId="71F3C115"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RESULTS</w:t>
      </w:r>
    </w:p>
    <w:p w14:paraId="2F4339EB" w14:textId="4E00D479" w:rsidR="00A77B3E" w:rsidRPr="0080707E" w:rsidRDefault="008F2971" w:rsidP="0080707E">
      <w:pPr>
        <w:snapToGrid w:val="0"/>
        <w:spacing w:line="360" w:lineRule="auto"/>
        <w:jc w:val="both"/>
        <w:rPr>
          <w:rFonts w:ascii="Book Antiqua" w:hAnsi="Book Antiqua"/>
          <w:i/>
          <w:iCs/>
        </w:rPr>
      </w:pPr>
      <w:r w:rsidRPr="0080707E">
        <w:rPr>
          <w:rFonts w:ascii="Book Antiqua" w:eastAsia="Book Antiqua" w:hAnsi="Book Antiqua" w:cs="Book Antiqua"/>
          <w:color w:val="000000"/>
        </w:rPr>
        <w:lastRenderedPageBreak/>
        <w:t xml:space="preserve">CIN occurred in 11/106 (10.3%) procedures (Group A,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10). The renal enhancement pattern in patients who did not experience CIN (Group B,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74 with 95/106</w:t>
      </w:r>
      <w:r w:rsidR="00C813BE" w:rsidRPr="0080707E">
        <w:rPr>
          <w:rFonts w:ascii="Book Antiqua" w:eastAsia="Book Antiqua" w:hAnsi="Book Antiqua" w:cs="Book Antiqua"/>
          <w:color w:val="000000"/>
        </w:rPr>
        <w:t xml:space="preserve"> procedures) was late excretory</w:t>
      </w:r>
      <w:r w:rsidRPr="0080707E">
        <w:rPr>
          <w:rFonts w:ascii="Book Antiqua" w:eastAsia="Book Antiqua" w:hAnsi="Book Antiqua" w:cs="Book Antiqua"/>
          <w:color w:val="000000"/>
        </w:rPr>
        <w:t xml:space="preserve"> in 93/95 (98%) and early excretory (EE) in 2/95 (2%). However, in Group A, there was a significantly higher rate of EE pattern (6/11, 55%) compared to </w:t>
      </w:r>
      <w:r w:rsidR="00C813BE" w:rsidRPr="0080707E">
        <w:rPr>
          <w:rFonts w:ascii="Book Antiqua" w:eastAsia="Book Antiqua" w:hAnsi="Book Antiqua" w:cs="Book Antiqua"/>
          <w:color w:val="000000"/>
        </w:rPr>
        <w:t>late excretory</w:t>
      </w:r>
      <w:r w:rsidRPr="0080707E">
        <w:rPr>
          <w:rFonts w:ascii="Book Antiqua" w:eastAsia="Book Antiqua" w:hAnsi="Book Antiqua" w:cs="Book Antiqua"/>
          <w:color w:val="000000"/>
        </w:rPr>
        <w:t xml:space="preserve"> pattern (5/11) (</w:t>
      </w:r>
      <w:r w:rsidR="00C813BE" w:rsidRPr="0080707E">
        <w:rPr>
          <w:rFonts w:ascii="Book Antiqua" w:eastAsia="Book Antiqua" w:hAnsi="Book Antiqua" w:cs="Book Antiqua"/>
          <w:i/>
          <w:iCs/>
          <w:color w:val="000000"/>
        </w:rPr>
        <w:t>P</w:t>
      </w:r>
      <w:r w:rsidR="0052752C" w:rsidRPr="0080707E">
        <w:rPr>
          <w:rFonts w:ascii="Book Antiqua" w:eastAsia="Book Antiqua" w:hAnsi="Book Antiqua" w:cs="Book Antiqua"/>
          <w:i/>
          <w:iCs/>
          <w:color w:val="000000"/>
        </w:rPr>
        <w:t xml:space="preserve"> </w:t>
      </w:r>
      <w:r w:rsidRPr="0080707E">
        <w:rPr>
          <w:rFonts w:ascii="Book Antiqua" w:eastAsia="Book Antiqua" w:hAnsi="Book Antiqua" w:cs="Book Antiqua"/>
          <w:color w:val="000000"/>
        </w:rPr>
        <w:t>&lt;</w:t>
      </w:r>
      <w:r w:rsidR="0052752C" w:rsidRPr="0080707E">
        <w:rPr>
          <w:rFonts w:ascii="Book Antiqua" w:eastAsia="Book Antiqua" w:hAnsi="Book Antiqua" w:cs="Book Antiqua"/>
          <w:color w:val="000000"/>
        </w:rPr>
        <w:t xml:space="preserve"> 0</w:t>
      </w:r>
      <w:r w:rsidRPr="0080707E">
        <w:rPr>
          <w:rFonts w:ascii="Book Antiqua" w:eastAsia="Book Antiqua" w:hAnsi="Book Antiqua" w:cs="Book Antiqua"/>
          <w:color w:val="000000"/>
        </w:rPr>
        <w:t xml:space="preserve">.001). A significantly higher percentage of patients that developed CIN had renal artery calcifications (6/11 </w:t>
      </w:r>
      <w:r w:rsidRPr="0080707E">
        <w:rPr>
          <w:rFonts w:ascii="Book Antiqua" w:eastAsia="Book Antiqua" w:hAnsi="Book Antiqua" w:cs="Book Antiqua"/>
          <w:i/>
          <w:iCs/>
          <w:color w:val="000000"/>
        </w:rPr>
        <w:t xml:space="preserve">vs </w:t>
      </w:r>
      <w:r w:rsidRPr="0080707E">
        <w:rPr>
          <w:rFonts w:ascii="Book Antiqua" w:eastAsia="Book Antiqua" w:hAnsi="Book Antiqua" w:cs="Book Antiqua"/>
          <w:color w:val="000000"/>
        </w:rPr>
        <w:t xml:space="preserve">20/95, 55%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21%, </w:t>
      </w:r>
      <w:r w:rsidR="00C813BE" w:rsidRPr="0080707E">
        <w:rPr>
          <w:rFonts w:ascii="Book Antiqua" w:eastAsia="Book Antiqua" w:hAnsi="Book Antiqua" w:cs="Book Antiqua"/>
          <w:i/>
          <w:iCs/>
          <w:color w:val="000000"/>
        </w:rPr>
        <w:t>P</w:t>
      </w:r>
      <w:r w:rsidR="0052752C" w:rsidRPr="0080707E">
        <w:rPr>
          <w:rFonts w:ascii="Book Antiqua" w:eastAsia="Book Antiqua" w:hAnsi="Book Antiqua" w:cs="Book Antiqua"/>
          <w:i/>
          <w:iCs/>
          <w:color w:val="000000"/>
        </w:rPr>
        <w:t xml:space="preserve"> </w:t>
      </w:r>
      <w:r w:rsidRPr="0080707E">
        <w:rPr>
          <w:rFonts w:ascii="Book Antiqua" w:eastAsia="Book Antiqua" w:hAnsi="Book Antiqua" w:cs="Book Antiqua"/>
          <w:color w:val="000000"/>
        </w:rPr>
        <w:t>=</w:t>
      </w:r>
      <w:r w:rsidR="0052752C"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0.02).</w:t>
      </w:r>
    </w:p>
    <w:p w14:paraId="4111A671" w14:textId="77777777" w:rsidR="00A77B3E" w:rsidRPr="0080707E" w:rsidRDefault="00A77B3E" w:rsidP="0080707E">
      <w:pPr>
        <w:snapToGrid w:val="0"/>
        <w:spacing w:line="360" w:lineRule="auto"/>
        <w:jc w:val="both"/>
        <w:rPr>
          <w:rFonts w:ascii="Book Antiqua" w:hAnsi="Book Antiqua"/>
        </w:rPr>
      </w:pPr>
    </w:p>
    <w:p w14:paraId="5D2B0E1F"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CONCLUSION</w:t>
      </w:r>
    </w:p>
    <w:p w14:paraId="57C9A9A1" w14:textId="15158F94" w:rsidR="00A77B3E" w:rsidRPr="0080707E" w:rsidRDefault="00C813BE" w:rsidP="0080707E">
      <w:pPr>
        <w:snapToGrid w:val="0"/>
        <w:spacing w:line="360" w:lineRule="auto"/>
        <w:jc w:val="both"/>
        <w:rPr>
          <w:rFonts w:ascii="Book Antiqua" w:hAnsi="Book Antiqua"/>
        </w:rPr>
      </w:pPr>
      <w:r w:rsidRPr="0080707E">
        <w:rPr>
          <w:rFonts w:ascii="Book Antiqua" w:eastAsia="Book Antiqua" w:hAnsi="Book Antiqua" w:cs="Book Antiqua"/>
          <w:color w:val="000000"/>
        </w:rPr>
        <w:t>A</w:t>
      </w:r>
      <w:r w:rsidR="008F2971" w:rsidRPr="0080707E">
        <w:rPr>
          <w:rFonts w:ascii="Book Antiqua" w:eastAsia="Book Antiqua" w:hAnsi="Book Antiqua" w:cs="Book Antiqua"/>
          <w:color w:val="000000"/>
        </w:rPr>
        <w:t xml:space="preserve"> hyperdense renal parenchyma relative to surrounding skeletal muscle (EE pattern) and presence of renal artery calcifications on immediate post-HAE non-contrast CT images in patients with low risk for CIN are independently associated with CIN development. </w:t>
      </w:r>
    </w:p>
    <w:p w14:paraId="6E7D74AE" w14:textId="77777777" w:rsidR="00A77B3E" w:rsidRPr="0080707E" w:rsidRDefault="00A77B3E" w:rsidP="0080707E">
      <w:pPr>
        <w:snapToGrid w:val="0"/>
        <w:spacing w:line="360" w:lineRule="auto"/>
        <w:jc w:val="both"/>
        <w:rPr>
          <w:rFonts w:ascii="Book Antiqua" w:hAnsi="Book Antiqua"/>
        </w:rPr>
      </w:pPr>
    </w:p>
    <w:p w14:paraId="5DF22654" w14:textId="65BA33CA"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Key </w:t>
      </w:r>
      <w:r w:rsidR="00A04CC3" w:rsidRPr="0080707E">
        <w:rPr>
          <w:rFonts w:ascii="Book Antiqua" w:eastAsia="Book Antiqua" w:hAnsi="Book Antiqua" w:cs="Book Antiqua"/>
          <w:b/>
          <w:bCs/>
          <w:color w:val="000000"/>
        </w:rPr>
        <w:t>Words</w:t>
      </w:r>
      <w:r w:rsidRPr="0080707E">
        <w:rPr>
          <w:rFonts w:ascii="Book Antiqua" w:eastAsia="Book Antiqua" w:hAnsi="Book Antiqua" w:cs="Book Antiqua"/>
          <w:b/>
          <w:bCs/>
          <w:color w:val="000000"/>
        </w:rPr>
        <w:t xml:space="preserve">: </w:t>
      </w:r>
      <w:r w:rsidRPr="0080707E">
        <w:rPr>
          <w:rFonts w:ascii="Book Antiqua" w:eastAsia="Book Antiqua" w:hAnsi="Book Antiqua" w:cs="Book Antiqua"/>
          <w:color w:val="000000"/>
        </w:rPr>
        <w:t xml:space="preserve">Hepatic artery embolization; </w:t>
      </w:r>
      <w:bookmarkStart w:id="3" w:name="OLE_LINK6"/>
      <w:bookmarkStart w:id="4" w:name="OLE_LINK7"/>
      <w:r w:rsidRPr="0080707E">
        <w:rPr>
          <w:rFonts w:ascii="Book Antiqua" w:eastAsia="Book Antiqua" w:hAnsi="Book Antiqua" w:cs="Book Antiqua"/>
          <w:color w:val="000000"/>
        </w:rPr>
        <w:t xml:space="preserve">Non-contrast </w:t>
      </w:r>
      <w:r w:rsidR="00C813BE" w:rsidRPr="0080707E">
        <w:rPr>
          <w:rFonts w:ascii="Book Antiqua" w:eastAsia="Book Antiqua" w:hAnsi="Book Antiqua" w:cs="Book Antiqua"/>
          <w:color w:val="000000"/>
        </w:rPr>
        <w:t>computed tomographic</w:t>
      </w:r>
      <w:bookmarkEnd w:id="3"/>
      <w:bookmarkEnd w:id="4"/>
      <w:r w:rsidRPr="0080707E">
        <w:rPr>
          <w:rFonts w:ascii="Book Antiqua" w:eastAsia="Book Antiqua" w:hAnsi="Book Antiqua" w:cs="Book Antiqua"/>
          <w:color w:val="000000"/>
        </w:rPr>
        <w:t>; Contrast-induced nephropathy; Renal enhancement pattern; Intra-arterial; Renal artery calcification</w:t>
      </w:r>
    </w:p>
    <w:p w14:paraId="2DB54CBE" w14:textId="77777777" w:rsidR="00A77B3E" w:rsidRPr="0080707E" w:rsidRDefault="00A77B3E" w:rsidP="0080707E">
      <w:pPr>
        <w:snapToGrid w:val="0"/>
        <w:spacing w:line="360" w:lineRule="auto"/>
        <w:jc w:val="both"/>
        <w:rPr>
          <w:rFonts w:ascii="Book Antiqua" w:hAnsi="Book Antiqua"/>
        </w:rPr>
      </w:pPr>
    </w:p>
    <w:p w14:paraId="1F4DE1E7" w14:textId="5B705930" w:rsidR="00A77B3E" w:rsidRPr="0080707E" w:rsidRDefault="008F2971" w:rsidP="0080707E">
      <w:pPr>
        <w:snapToGrid w:val="0"/>
        <w:spacing w:line="360" w:lineRule="auto"/>
        <w:jc w:val="both"/>
        <w:rPr>
          <w:rFonts w:ascii="Book Antiqua" w:hAnsi="Book Antiqua"/>
        </w:rPr>
      </w:pPr>
      <w:bookmarkStart w:id="5" w:name="OLE_LINK8"/>
      <w:bookmarkStart w:id="6" w:name="OLE_LINK9"/>
      <w:r w:rsidRPr="0080707E">
        <w:rPr>
          <w:rFonts w:ascii="Book Antiqua" w:eastAsia="Book Antiqua" w:hAnsi="Book Antiqua" w:cs="Book Antiqua"/>
          <w:color w:val="000000"/>
        </w:rPr>
        <w:t xml:space="preserve">Soliman MM, Sarkar D, Glezerman I, Maybody M. </w:t>
      </w:r>
      <w:r w:rsidR="00762536" w:rsidRPr="0080707E">
        <w:rPr>
          <w:rFonts w:ascii="Book Antiqua" w:eastAsia="Book Antiqua" w:hAnsi="Book Antiqua" w:cs="Book Antiqua"/>
          <w:bCs/>
          <w:color w:val="000000"/>
        </w:rPr>
        <w:t xml:space="preserve">Findings on </w:t>
      </w:r>
      <w:r w:rsidR="00762536" w:rsidRPr="0080707E">
        <w:rPr>
          <w:rFonts w:ascii="Book Antiqua" w:eastAsia="Book Antiqua" w:hAnsi="Book Antiqua" w:cs="Book Antiqua"/>
          <w:bCs/>
          <w:color w:val="000000"/>
          <w:lang w:eastAsia="zh-CN"/>
        </w:rPr>
        <w:t>i</w:t>
      </w:r>
      <w:r w:rsidR="00762536" w:rsidRPr="0080707E">
        <w:rPr>
          <w:rFonts w:ascii="Book Antiqua" w:eastAsia="Book Antiqua" w:hAnsi="Book Antiqua" w:cs="Book Antiqua"/>
          <w:bCs/>
          <w:color w:val="000000"/>
        </w:rPr>
        <w:t xml:space="preserve">ntraprocedural non-contrast computed tomographic imaging following </w:t>
      </w:r>
      <w:r w:rsidR="00C813BE" w:rsidRPr="0080707E">
        <w:rPr>
          <w:rFonts w:ascii="Book Antiqua" w:eastAsia="Book Antiqua" w:hAnsi="Book Antiqua" w:cs="Book Antiqua"/>
          <w:bCs/>
          <w:color w:val="000000"/>
        </w:rPr>
        <w:t xml:space="preserve">hepatic </w:t>
      </w:r>
      <w:r w:rsidR="00762536" w:rsidRPr="0080707E">
        <w:rPr>
          <w:rFonts w:ascii="Book Antiqua" w:eastAsia="Book Antiqua" w:hAnsi="Book Antiqua" w:cs="Book Antiqua"/>
          <w:bCs/>
          <w:color w:val="000000"/>
        </w:rPr>
        <w:t xml:space="preserve">artery embolization are associated with development of </w:t>
      </w:r>
      <w:r w:rsidR="00C813BE" w:rsidRPr="0080707E">
        <w:rPr>
          <w:rFonts w:ascii="Book Antiqua" w:eastAsia="Book Antiqua" w:hAnsi="Book Antiqua" w:cs="Book Antiqua"/>
          <w:bCs/>
          <w:color w:val="000000"/>
        </w:rPr>
        <w:t>contrast</w:t>
      </w:r>
      <w:r w:rsidR="00762536" w:rsidRPr="0080707E">
        <w:rPr>
          <w:rFonts w:ascii="Book Antiqua" w:eastAsia="Book Antiqua" w:hAnsi="Book Antiqua" w:cs="Book Antiqua"/>
          <w:bCs/>
          <w:color w:val="000000"/>
        </w:rPr>
        <w:t>-induced nephropathy</w:t>
      </w:r>
      <w:r w:rsidRPr="0080707E">
        <w:rPr>
          <w:rFonts w:ascii="Book Antiqua" w:eastAsia="Book Antiqua" w:hAnsi="Book Antiqua" w:cs="Book Antiqua"/>
          <w:color w:val="000000"/>
        </w:rPr>
        <w:t xml:space="preserve">. </w:t>
      </w:r>
      <w:r w:rsidRPr="0080707E">
        <w:rPr>
          <w:rFonts w:ascii="Book Antiqua" w:eastAsia="Book Antiqua" w:hAnsi="Book Antiqua" w:cs="Book Antiqua"/>
          <w:i/>
          <w:iCs/>
          <w:color w:val="000000"/>
        </w:rPr>
        <w:t xml:space="preserve">World J </w:t>
      </w:r>
      <w:proofErr w:type="spellStart"/>
      <w:r w:rsidRPr="0080707E">
        <w:rPr>
          <w:rFonts w:ascii="Book Antiqua" w:eastAsia="Book Antiqua" w:hAnsi="Book Antiqua" w:cs="Book Antiqua"/>
          <w:i/>
          <w:iCs/>
          <w:color w:val="000000"/>
        </w:rPr>
        <w:t>Nephrol</w:t>
      </w:r>
      <w:proofErr w:type="spellEnd"/>
      <w:r w:rsidRPr="0080707E">
        <w:rPr>
          <w:rFonts w:ascii="Book Antiqua" w:eastAsia="Book Antiqua" w:hAnsi="Book Antiqua" w:cs="Book Antiqua"/>
          <w:color w:val="000000"/>
        </w:rPr>
        <w:t xml:space="preserve"> 2020; In press</w:t>
      </w:r>
    </w:p>
    <w:bookmarkEnd w:id="5"/>
    <w:bookmarkEnd w:id="6"/>
    <w:p w14:paraId="09E01C56" w14:textId="77777777" w:rsidR="00A77B3E" w:rsidRPr="0080707E" w:rsidRDefault="00A77B3E" w:rsidP="0080707E">
      <w:pPr>
        <w:snapToGrid w:val="0"/>
        <w:spacing w:line="360" w:lineRule="auto"/>
        <w:jc w:val="both"/>
        <w:rPr>
          <w:rFonts w:ascii="Book Antiqua" w:hAnsi="Book Antiqua"/>
        </w:rPr>
      </w:pPr>
    </w:p>
    <w:p w14:paraId="75ABB24E" w14:textId="1B127EFC"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Core </w:t>
      </w:r>
      <w:r w:rsidR="00A04CC3" w:rsidRPr="0080707E">
        <w:rPr>
          <w:rFonts w:ascii="Book Antiqua" w:eastAsia="Book Antiqua" w:hAnsi="Book Antiqua" w:cs="Book Antiqua"/>
          <w:b/>
          <w:bCs/>
          <w:color w:val="000000"/>
        </w:rPr>
        <w:t>Tip</w:t>
      </w:r>
      <w:r w:rsidRPr="0080707E">
        <w:rPr>
          <w:rFonts w:ascii="Book Antiqua" w:eastAsia="Book Antiqua" w:hAnsi="Book Antiqua" w:cs="Book Antiqua"/>
          <w:b/>
          <w:bCs/>
          <w:color w:val="000000"/>
        </w:rPr>
        <w:t xml:space="preserve">: </w:t>
      </w:r>
      <w:bookmarkStart w:id="7" w:name="OLE_LINK10"/>
      <w:bookmarkStart w:id="8" w:name="OLE_LINK11"/>
      <w:r w:rsidRPr="0080707E">
        <w:rPr>
          <w:rFonts w:ascii="Book Antiqua" w:eastAsia="Book Antiqua" w:hAnsi="Book Antiqua" w:cs="Book Antiqua"/>
          <w:color w:val="000000"/>
        </w:rPr>
        <w:t xml:space="preserve">Contrast-induced nephropathy (CIN) is a reversible form of acute kidney injury that occurs within 48-72 h of exposure to intravascular contrast material. CIN is the third leading cause of hospital-acquired </w:t>
      </w:r>
      <w:r w:rsidR="0052752C" w:rsidRPr="0080707E">
        <w:rPr>
          <w:rFonts w:ascii="Book Antiqua" w:eastAsia="Book Antiqua" w:hAnsi="Book Antiqua" w:cs="Book Antiqua"/>
          <w:color w:val="000000"/>
        </w:rPr>
        <w:t>acute kidney injury</w:t>
      </w:r>
      <w:r w:rsidRPr="0080707E">
        <w:rPr>
          <w:rFonts w:ascii="Book Antiqua" w:eastAsia="Book Antiqua" w:hAnsi="Book Antiqua" w:cs="Book Antiqua"/>
          <w:color w:val="000000"/>
        </w:rPr>
        <w:t xml:space="preserve"> and accounts for 12% of such cases. Identification of early indicators of CIN development is important in taking timely management strategies. There is no known mechanism for early identification and timely initiation of preventive measures in patients otherwise considered low risk for development of CIN after </w:t>
      </w:r>
      <w:proofErr w:type="spellStart"/>
      <w:r w:rsidRPr="0080707E">
        <w:rPr>
          <w:rFonts w:ascii="Book Antiqua" w:eastAsia="Book Antiqua" w:hAnsi="Book Antiqua" w:cs="Book Antiqua"/>
          <w:color w:val="000000"/>
        </w:rPr>
        <w:lastRenderedPageBreak/>
        <w:t>transarterial</w:t>
      </w:r>
      <w:proofErr w:type="spellEnd"/>
      <w:r w:rsidRPr="0080707E">
        <w:rPr>
          <w:rFonts w:ascii="Book Antiqua" w:eastAsia="Book Antiqua" w:hAnsi="Book Antiqua" w:cs="Book Antiqua"/>
          <w:color w:val="000000"/>
        </w:rPr>
        <w:t xml:space="preserve"> hepatic artery embolization. This work helps clinicians identify patients at risk of CIN at the time of </w:t>
      </w:r>
      <w:r w:rsidR="0052752C" w:rsidRPr="0080707E">
        <w:rPr>
          <w:rFonts w:ascii="Book Antiqua" w:eastAsia="Book Antiqua" w:hAnsi="Book Antiqua" w:cs="Book Antiqua"/>
          <w:color w:val="000000"/>
        </w:rPr>
        <w:t>hepatic artery embolization</w:t>
      </w:r>
      <w:r w:rsidRPr="0080707E">
        <w:rPr>
          <w:rFonts w:ascii="Book Antiqua" w:eastAsia="Book Antiqua" w:hAnsi="Book Antiqua" w:cs="Book Antiqua"/>
          <w:color w:val="000000"/>
        </w:rPr>
        <w:t>.</w:t>
      </w:r>
    </w:p>
    <w:bookmarkEnd w:id="7"/>
    <w:bookmarkEnd w:id="8"/>
    <w:p w14:paraId="117DB15E" w14:textId="3D6474A2" w:rsidR="00A77B3E" w:rsidRPr="0080707E" w:rsidRDefault="0052752C" w:rsidP="0080707E">
      <w:pPr>
        <w:snapToGrid w:val="0"/>
        <w:spacing w:line="360" w:lineRule="auto"/>
        <w:jc w:val="both"/>
        <w:rPr>
          <w:rFonts w:ascii="Book Antiqua" w:hAnsi="Book Antiqua"/>
        </w:rPr>
      </w:pPr>
      <w:r w:rsidRPr="0080707E">
        <w:rPr>
          <w:rFonts w:ascii="Book Antiqua" w:hAnsi="Book Antiqua"/>
        </w:rPr>
        <w:br w:type="page"/>
      </w:r>
      <w:r w:rsidR="008F2971" w:rsidRPr="0080707E">
        <w:rPr>
          <w:rFonts w:ascii="Book Antiqua" w:eastAsia="Book Antiqua" w:hAnsi="Book Antiqua" w:cs="Book Antiqua"/>
          <w:b/>
          <w:caps/>
          <w:color w:val="000000"/>
          <w:u w:val="single"/>
        </w:rPr>
        <w:lastRenderedPageBreak/>
        <w:t>INTRODUCTION</w:t>
      </w:r>
    </w:p>
    <w:p w14:paraId="1E0A0CA9" w14:textId="46ED9A10"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Contrast-induced nephropathy (CIN) is a reversible form of acute kidney injury (AKI) that occurs within 48-72 h of exposure to intravascular contrast material</w:t>
      </w:r>
      <w:r w:rsidRPr="0080707E">
        <w:rPr>
          <w:rFonts w:ascii="Book Antiqua" w:eastAsia="Book Antiqua" w:hAnsi="Book Antiqua" w:cs="Book Antiqua"/>
          <w:color w:val="000000"/>
          <w:vertAlign w:val="superscript"/>
        </w:rPr>
        <w:t>[1]</w:t>
      </w:r>
      <w:r w:rsidRPr="0080707E">
        <w:rPr>
          <w:rFonts w:ascii="Book Antiqua" w:eastAsia="Book Antiqua" w:hAnsi="Book Antiqua" w:cs="Book Antiqua"/>
          <w:color w:val="000000"/>
        </w:rPr>
        <w:t xml:space="preserve">. The most widely accepted definition of CIN is a 25% increase in </w:t>
      </w:r>
      <w:bookmarkStart w:id="9" w:name="OLE_LINK1"/>
      <w:bookmarkStart w:id="10" w:name="OLE_LINK2"/>
      <w:r w:rsidRPr="0080707E">
        <w:rPr>
          <w:rFonts w:ascii="Book Antiqua" w:eastAsia="Book Antiqua" w:hAnsi="Book Antiqua" w:cs="Book Antiqua"/>
          <w:color w:val="000000"/>
        </w:rPr>
        <w:t>serum creatinine</w:t>
      </w:r>
      <w:bookmarkEnd w:id="9"/>
      <w:bookmarkEnd w:id="10"/>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concentration from baseline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or an absolute increase of at least 0.5 mg/dL which appears within 48-72 h after contrast media exposure, is maintained for 3</w:t>
      </w:r>
      <w:r w:rsidR="00DE2D93">
        <w:rPr>
          <w:rFonts w:ascii="Book Antiqua" w:eastAsia="Book Antiqua" w:hAnsi="Book Antiqua" w:cs="Book Antiqua"/>
          <w:color w:val="000000"/>
        </w:rPr>
        <w:t>-</w:t>
      </w:r>
      <w:r w:rsidRPr="0080707E">
        <w:rPr>
          <w:rFonts w:ascii="Book Antiqua" w:eastAsia="Book Antiqua" w:hAnsi="Book Antiqua" w:cs="Book Antiqua"/>
          <w:color w:val="000000"/>
        </w:rPr>
        <w:t>5 d and returns to baseline over 7-10 d, after excluding other causes</w:t>
      </w:r>
      <w:r w:rsidRPr="0080707E">
        <w:rPr>
          <w:rFonts w:ascii="Book Antiqua" w:eastAsia="Book Antiqua" w:hAnsi="Book Antiqua" w:cs="Book Antiqua"/>
          <w:color w:val="000000"/>
          <w:vertAlign w:val="superscript"/>
        </w:rPr>
        <w:t>[2,3]</w:t>
      </w:r>
      <w:r w:rsidRPr="0080707E">
        <w:rPr>
          <w:rFonts w:ascii="Book Antiqua" w:eastAsia="Book Antiqua" w:hAnsi="Book Antiqua" w:cs="Book Antiqua"/>
          <w:color w:val="000000"/>
        </w:rPr>
        <w:t>.</w:t>
      </w:r>
      <w:r w:rsidR="003D277A" w:rsidRPr="0080707E">
        <w:rPr>
          <w:rFonts w:ascii="Book Antiqua" w:eastAsia="Book Antiqua" w:hAnsi="Book Antiqua" w:cs="Book Antiqua"/>
          <w:color w:val="000000"/>
        </w:rPr>
        <w:t xml:space="preserve"> </w:t>
      </w:r>
    </w:p>
    <w:p w14:paraId="02947B00" w14:textId="1439CC3C"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CIN is the third leading cause of hospital-acquired AKI and accounts for 12% of such cases</w:t>
      </w:r>
      <w:r w:rsidRPr="0080707E">
        <w:rPr>
          <w:rFonts w:ascii="Book Antiqua" w:eastAsia="Book Antiqua" w:hAnsi="Book Antiqua" w:cs="Book Antiqua"/>
          <w:color w:val="000000"/>
          <w:vertAlign w:val="superscript"/>
        </w:rPr>
        <w:t>[4]</w:t>
      </w:r>
      <w:r w:rsidRPr="0080707E">
        <w:rPr>
          <w:rFonts w:ascii="Book Antiqua" w:eastAsia="Book Antiqua" w:hAnsi="Book Antiqua" w:cs="Book Antiqua"/>
          <w:color w:val="000000"/>
        </w:rPr>
        <w:t>. Risk factors for CIN development can be divided into patient- and procedure-related. The former includes pre-existing chronic renal insufficiency and diabetes mellitus. The latter includes high contrast volume and repeated exposure over 72 h</w:t>
      </w:r>
      <w:r w:rsidRPr="0080707E">
        <w:rPr>
          <w:rFonts w:ascii="Book Antiqua" w:eastAsia="Book Antiqua" w:hAnsi="Book Antiqua" w:cs="Book Antiqua"/>
          <w:color w:val="000000"/>
          <w:vertAlign w:val="superscript"/>
        </w:rPr>
        <w:t>[4-7]</w:t>
      </w:r>
      <w:r w:rsidRPr="0080707E">
        <w:rPr>
          <w:rFonts w:ascii="Book Antiqua" w:eastAsia="Book Antiqua" w:hAnsi="Book Antiqua" w:cs="Book Antiqua"/>
          <w:color w:val="000000"/>
        </w:rPr>
        <w:t>. The incidence of CIN is relatively low (up to 5%) in patients with intact renal function</w:t>
      </w:r>
      <w:r w:rsidRPr="0080707E">
        <w:rPr>
          <w:rFonts w:ascii="Book Antiqua" w:eastAsia="Book Antiqua" w:hAnsi="Book Antiqua" w:cs="Book Antiqua"/>
          <w:color w:val="000000"/>
          <w:vertAlign w:val="superscript"/>
        </w:rPr>
        <w:t>[8]</w:t>
      </w:r>
      <w:r w:rsidRPr="0080707E">
        <w:rPr>
          <w:rFonts w:ascii="Book Antiqua" w:eastAsia="Book Antiqua" w:hAnsi="Book Antiqua" w:cs="Book Antiqua"/>
          <w:color w:val="000000"/>
        </w:rPr>
        <w:t>. However, in patients with known chronic renal insufficiency, the incidence can reach up to 27%</w:t>
      </w:r>
      <w:r w:rsidRPr="0080707E">
        <w:rPr>
          <w:rFonts w:ascii="Book Antiqua" w:eastAsia="Book Antiqua" w:hAnsi="Book Antiqua" w:cs="Book Antiqua"/>
          <w:color w:val="000000"/>
          <w:vertAlign w:val="superscript"/>
        </w:rPr>
        <w:t>[8]</w:t>
      </w:r>
      <w:r w:rsidRPr="0080707E">
        <w:rPr>
          <w:rFonts w:ascii="Book Antiqua" w:eastAsia="Book Antiqua" w:hAnsi="Book Antiqua" w:cs="Book Antiqua"/>
          <w:color w:val="000000"/>
        </w:rPr>
        <w:t>. CIN more commonly develops following intraarterial contrast exposure (</w:t>
      </w:r>
      <w:r w:rsidRPr="0080707E">
        <w:rPr>
          <w:rFonts w:ascii="Book Antiqua" w:eastAsia="Book Antiqua" w:hAnsi="Book Antiqua" w:cs="Book Antiqua"/>
          <w:i/>
          <w:iCs/>
          <w:color w:val="000000"/>
        </w:rPr>
        <w:t>e.g.</w:t>
      </w:r>
      <w:r w:rsidR="00B000BB" w:rsidRPr="00B000BB">
        <w:rPr>
          <w:rFonts w:ascii="Book Antiqua" w:eastAsia="Book Antiqua" w:hAnsi="Book Antiqua" w:cs="Book Antiqua"/>
          <w:iCs/>
          <w:color w:val="000000"/>
        </w:rPr>
        <w:t>,</w:t>
      </w:r>
      <w:r w:rsidRPr="0080707E">
        <w:rPr>
          <w:rFonts w:ascii="Book Antiqua" w:eastAsia="Book Antiqua" w:hAnsi="Book Antiqua" w:cs="Book Antiqua"/>
          <w:color w:val="000000"/>
        </w:rPr>
        <w:t xml:space="preserve"> diagnostic arteriograms, coronary interventions,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therapies) than with peripheral intravenous administration (</w:t>
      </w:r>
      <w:r w:rsidRPr="0080707E">
        <w:rPr>
          <w:rFonts w:ascii="Book Antiqua" w:eastAsia="Book Antiqua" w:hAnsi="Book Antiqua" w:cs="Book Antiqua"/>
          <w:i/>
          <w:iCs/>
          <w:color w:val="000000"/>
        </w:rPr>
        <w:t>e.g.</w:t>
      </w:r>
      <w:r w:rsidR="00B000BB" w:rsidRPr="00B000BB">
        <w:rPr>
          <w:rFonts w:ascii="Book Antiqua" w:eastAsia="Book Antiqua" w:hAnsi="Book Antiqua" w:cs="Book Antiqua"/>
          <w:iCs/>
          <w:color w:val="000000"/>
        </w:rPr>
        <w:t>,</w:t>
      </w:r>
      <w:r w:rsidRPr="0080707E">
        <w:rPr>
          <w:rFonts w:ascii="Book Antiqua" w:eastAsia="Book Antiqua" w:hAnsi="Book Antiqua" w:cs="Book Antiqua"/>
          <w:color w:val="000000"/>
        </w:rPr>
        <w:t xml:space="preserve"> computed tomography)</w:t>
      </w:r>
      <w:r w:rsidRPr="0080707E">
        <w:rPr>
          <w:rFonts w:ascii="Book Antiqua" w:eastAsia="Book Antiqua" w:hAnsi="Book Antiqua" w:cs="Book Antiqua"/>
          <w:color w:val="000000"/>
          <w:vertAlign w:val="superscript"/>
        </w:rPr>
        <w:t>[9,10]</w:t>
      </w:r>
      <w:r w:rsidRPr="0080707E">
        <w:rPr>
          <w:rFonts w:ascii="Book Antiqua" w:eastAsia="Book Antiqua" w:hAnsi="Book Antiqua" w:cs="Book Antiqua"/>
          <w:color w:val="000000"/>
        </w:rPr>
        <w:t xml:space="preserve">. Although the acute decline of renal function in CIN is reversible within 1-2 </w:t>
      </w:r>
      <w:proofErr w:type="spellStart"/>
      <w:r w:rsidRPr="0080707E">
        <w:rPr>
          <w:rFonts w:ascii="Book Antiqua" w:eastAsia="Book Antiqua" w:hAnsi="Book Antiqua" w:cs="Book Antiqua"/>
          <w:color w:val="000000"/>
        </w:rPr>
        <w:t>wk</w:t>
      </w:r>
      <w:proofErr w:type="spellEnd"/>
      <w:r w:rsidRPr="0080707E">
        <w:rPr>
          <w:rFonts w:ascii="Book Antiqua" w:eastAsia="Book Antiqua" w:hAnsi="Book Antiqua" w:cs="Book Antiqua"/>
          <w:color w:val="000000"/>
        </w:rPr>
        <w:t>, a higher 1-mo and 1-year mortality rates have been reported in those patients, particularly following arterial angiography</w:t>
      </w:r>
      <w:r w:rsidRPr="0080707E">
        <w:rPr>
          <w:rFonts w:ascii="Book Antiqua" w:eastAsia="Book Antiqua" w:hAnsi="Book Antiqua" w:cs="Book Antiqua"/>
          <w:color w:val="000000"/>
          <w:vertAlign w:val="superscript"/>
        </w:rPr>
        <w:t>[11,12]</w:t>
      </w:r>
      <w:r w:rsidRPr="0080707E">
        <w:rPr>
          <w:rFonts w:ascii="Book Antiqua" w:eastAsia="Book Antiqua" w:hAnsi="Book Antiqua" w:cs="Book Antiqua"/>
          <w:color w:val="000000"/>
        </w:rPr>
        <w:t xml:space="preserve">. </w:t>
      </w:r>
    </w:p>
    <w:p w14:paraId="153F6D0B" w14:textId="6856EF53"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Identification of early indicators of CIN development is important in taking timely management strategies. The elevation in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occurs 2-3 d following contrast exposure, and is a poorly-timed indicator</w:t>
      </w:r>
      <w:r w:rsidRPr="0080707E">
        <w:rPr>
          <w:rFonts w:ascii="Book Antiqua" w:eastAsia="Book Antiqua" w:hAnsi="Book Antiqua" w:cs="Book Antiqua"/>
          <w:color w:val="000000"/>
          <w:vertAlign w:val="superscript"/>
        </w:rPr>
        <w:t>[13,14]</w:t>
      </w:r>
      <w:r w:rsidRPr="0080707E">
        <w:rPr>
          <w:rFonts w:ascii="Book Antiqua" w:eastAsia="Book Antiqua" w:hAnsi="Book Antiqua" w:cs="Book Antiqua"/>
          <w:color w:val="000000"/>
        </w:rPr>
        <w:t xml:space="preserve">. Persistent renal enhancement after intravenous or intraarterial contrast administration on non-contrast enhanced </w:t>
      </w:r>
      <w:r w:rsidR="00917EA7" w:rsidRPr="0080707E">
        <w:rPr>
          <w:rFonts w:ascii="Book Antiqua" w:eastAsia="Book Antiqua" w:hAnsi="Book Antiqua" w:cs="Book Antiqua"/>
          <w:color w:val="000000"/>
        </w:rPr>
        <w:t>computed tomographic (</w:t>
      </w:r>
      <w:r w:rsidRPr="0080707E">
        <w:rPr>
          <w:rFonts w:ascii="Book Antiqua" w:eastAsia="Book Antiqua" w:hAnsi="Book Antiqua" w:cs="Book Antiqua"/>
          <w:color w:val="000000"/>
        </w:rPr>
        <w:t>CT</w:t>
      </w:r>
      <w:r w:rsidR="00917EA7" w:rsidRPr="0080707E">
        <w:rPr>
          <w:rFonts w:ascii="Book Antiqua" w:eastAsia="Book Antiqua" w:hAnsi="Book Antiqua" w:cs="Book Antiqua"/>
          <w:color w:val="000000"/>
        </w:rPr>
        <w:t>)</w:t>
      </w:r>
      <w:r w:rsidRPr="0080707E">
        <w:rPr>
          <w:rFonts w:ascii="Book Antiqua" w:eastAsia="Book Antiqua" w:hAnsi="Book Antiqua" w:cs="Book Antiqua"/>
          <w:color w:val="000000"/>
        </w:rPr>
        <w:t xml:space="preserve"> images obtained within 7 d post-contrast exposure has been associated with development of CIN</w:t>
      </w:r>
      <w:r w:rsidRPr="0080707E">
        <w:rPr>
          <w:rFonts w:ascii="Book Antiqua" w:eastAsia="Book Antiqua" w:hAnsi="Book Antiqua" w:cs="Book Antiqua"/>
          <w:color w:val="000000"/>
          <w:vertAlign w:val="superscript"/>
        </w:rPr>
        <w:t>[15]</w:t>
      </w:r>
      <w:r w:rsidRPr="0080707E">
        <w:rPr>
          <w:rFonts w:ascii="Book Antiqua" w:eastAsia="Book Antiqua" w:hAnsi="Book Antiqua" w:cs="Book Antiqua"/>
          <w:color w:val="000000"/>
        </w:rPr>
        <w:t xml:space="preserve">. There is no known mechanism for early identification and timely initiation of preventive measures in patients otherwise considered low risk for development of CIN after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hepatic artery embolization</w:t>
      </w:r>
      <w:r w:rsidRPr="0080707E">
        <w:rPr>
          <w:rFonts w:ascii="Book Antiqua" w:eastAsia="Book Antiqua" w:hAnsi="Book Antiqua" w:cs="Book Antiqua"/>
          <w:color w:val="000000"/>
          <w:vertAlign w:val="superscript"/>
        </w:rPr>
        <w:t>[16-18]</w:t>
      </w:r>
      <w:r w:rsidRPr="0080707E">
        <w:rPr>
          <w:rFonts w:ascii="Book Antiqua" w:eastAsia="Book Antiqua" w:hAnsi="Book Antiqua" w:cs="Book Antiqua"/>
          <w:color w:val="000000"/>
        </w:rPr>
        <w:t>.</w:t>
      </w:r>
    </w:p>
    <w:p w14:paraId="3D4701C3" w14:textId="79C61CA5"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lastRenderedPageBreak/>
        <w:t xml:space="preserve">When available, a non-contrast CT or cone beam CT imaging of upper abdomen is routinely performed at the end of </w:t>
      </w:r>
      <w:r w:rsidR="0052752C" w:rsidRPr="0080707E">
        <w:rPr>
          <w:rFonts w:ascii="Book Antiqua" w:eastAsia="Book Antiqua" w:hAnsi="Book Antiqua" w:cs="Book Antiqua"/>
          <w:color w:val="000000"/>
        </w:rPr>
        <w:t>hepatic artery embolization (</w:t>
      </w:r>
      <w:r w:rsidRPr="0080707E">
        <w:rPr>
          <w:rFonts w:ascii="Book Antiqua" w:eastAsia="Book Antiqua" w:hAnsi="Book Antiqua" w:cs="Book Antiqua"/>
          <w:color w:val="000000"/>
        </w:rPr>
        <w:t>HAE</w:t>
      </w:r>
      <w:r w:rsidR="0052752C" w:rsidRPr="0080707E">
        <w:rPr>
          <w:rFonts w:ascii="Book Antiqua" w:eastAsia="Book Antiqua" w:hAnsi="Book Antiqua" w:cs="Book Antiqua"/>
          <w:color w:val="000000"/>
        </w:rPr>
        <w:t>)</w:t>
      </w:r>
      <w:r w:rsidRPr="0080707E">
        <w:rPr>
          <w:rFonts w:ascii="Book Antiqua" w:eastAsia="Book Antiqua" w:hAnsi="Book Antiqua" w:cs="Book Antiqua"/>
          <w:color w:val="000000"/>
        </w:rPr>
        <w:t xml:space="preserve"> to assess contrast retention pattern in embolized tumors as a surrogate for treatment response</w:t>
      </w:r>
      <w:r w:rsidRPr="0080707E">
        <w:rPr>
          <w:rFonts w:ascii="Book Antiqua" w:eastAsia="Book Antiqua" w:hAnsi="Book Antiqua" w:cs="Book Antiqua"/>
          <w:color w:val="000000"/>
          <w:vertAlign w:val="superscript"/>
        </w:rPr>
        <w:t>[19-21]</w:t>
      </w:r>
      <w:r w:rsidRPr="0080707E">
        <w:rPr>
          <w:rFonts w:ascii="Book Antiqua" w:eastAsia="Book Antiqua" w:hAnsi="Book Antiqua" w:cs="Book Antiqua"/>
          <w:color w:val="000000"/>
        </w:rPr>
        <w:t xml:space="preserve">. This volume of imaging also covers the kidneys. The aim of this study is to identify early predictors for CIN by examining the appearance of kidneys on non-contrast intraprocedural CT images. </w:t>
      </w:r>
    </w:p>
    <w:p w14:paraId="681B5A3F" w14:textId="77777777" w:rsidR="00A77B3E" w:rsidRPr="0080707E" w:rsidRDefault="00A77B3E" w:rsidP="0080707E">
      <w:pPr>
        <w:snapToGrid w:val="0"/>
        <w:spacing w:line="360" w:lineRule="auto"/>
        <w:jc w:val="both"/>
        <w:rPr>
          <w:rFonts w:ascii="Book Antiqua" w:hAnsi="Book Antiqua"/>
        </w:rPr>
      </w:pPr>
    </w:p>
    <w:p w14:paraId="7C621CD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aps/>
          <w:color w:val="000000"/>
          <w:u w:val="single"/>
        </w:rPr>
        <w:t>MATERIALS AND METHODS</w:t>
      </w:r>
    </w:p>
    <w:p w14:paraId="531EC015" w14:textId="48F8AFFE" w:rsidR="00A77B3E" w:rsidRPr="0080707E" w:rsidRDefault="008F2971" w:rsidP="0080707E">
      <w:pPr>
        <w:snapToGrid w:val="0"/>
        <w:spacing w:line="360" w:lineRule="auto"/>
        <w:jc w:val="both"/>
        <w:rPr>
          <w:rFonts w:ascii="Book Antiqua" w:hAnsi="Book Antiqua"/>
          <w:i/>
          <w:iCs/>
        </w:rPr>
      </w:pPr>
      <w:r w:rsidRPr="0080707E">
        <w:rPr>
          <w:rFonts w:ascii="Book Antiqua" w:eastAsia="Book Antiqua" w:hAnsi="Book Antiqua" w:cs="Book Antiqua"/>
          <w:b/>
          <w:bCs/>
          <w:i/>
          <w:iCs/>
          <w:color w:val="000000"/>
        </w:rPr>
        <w:t xml:space="preserve">Patient </w:t>
      </w:r>
      <w:r w:rsidR="00917EA7" w:rsidRPr="0080707E">
        <w:rPr>
          <w:rFonts w:ascii="Book Antiqua" w:eastAsia="Book Antiqua" w:hAnsi="Book Antiqua" w:cs="Book Antiqua"/>
          <w:b/>
          <w:bCs/>
          <w:i/>
          <w:iCs/>
          <w:color w:val="000000"/>
        </w:rPr>
        <w:t>selection</w:t>
      </w:r>
    </w:p>
    <w:p w14:paraId="5DBBC217" w14:textId="55D15D38"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The local Institutional Review Board approved this retrospective review (Protocol 16-402) of all patients who underwent HAE between January 2010 and January 2011. Informed consent from individual patients for the retrospective review was waived.</w:t>
      </w:r>
    </w:p>
    <w:p w14:paraId="0711CBBE" w14:textId="078485F5" w:rsidR="00A77B3E" w:rsidRPr="0080707E" w:rsidRDefault="008F2971" w:rsidP="0080707E">
      <w:pPr>
        <w:snapToGrid w:val="0"/>
        <w:spacing w:line="360" w:lineRule="auto"/>
        <w:ind w:firstLineChars="100" w:firstLine="240"/>
        <w:jc w:val="both"/>
        <w:rPr>
          <w:rFonts w:ascii="Book Antiqua" w:eastAsia="Book Antiqua" w:hAnsi="Book Antiqua" w:cs="Book Antiqua"/>
          <w:color w:val="000000"/>
        </w:rPr>
      </w:pPr>
      <w:r w:rsidRPr="0080707E">
        <w:rPr>
          <w:rFonts w:ascii="Book Antiqua" w:eastAsia="Book Antiqua" w:hAnsi="Book Antiqua" w:cs="Book Antiqua"/>
          <w:color w:val="000000"/>
        </w:rPr>
        <w:t>For the hepatic artery embolization procedure for treatment of primary or secondary hepatic malignancies, all patients were chosen based on multidisciplinary consensus and were seen in a dedicated outpatient interventional radiology clinic, where history, laboratory tests and imaging were reviewed.</w:t>
      </w:r>
      <w:r w:rsidR="003D277A"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Eligibility for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HAE was based on clinical status and laboratory test results (Child-Pugh A or B, Total serum bilirubin &lt;</w:t>
      </w:r>
      <w:r w:rsidR="0052752C"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2</w:t>
      </w:r>
      <w:r w:rsidR="00917EA7"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mg/</w:t>
      </w:r>
      <w:proofErr w:type="spellStart"/>
      <w:r w:rsidRPr="0080707E">
        <w:rPr>
          <w:rFonts w:ascii="Book Antiqua" w:eastAsia="Book Antiqua" w:hAnsi="Book Antiqua" w:cs="Book Antiqua"/>
          <w:color w:val="000000"/>
        </w:rPr>
        <w:t>dL</w:t>
      </w:r>
      <w:proofErr w:type="spellEnd"/>
      <w:r w:rsidRPr="0080707E">
        <w:rPr>
          <w:rFonts w:ascii="Book Antiqua" w:eastAsia="Book Antiqua" w:hAnsi="Book Antiqua" w:cs="Book Antiqua"/>
          <w:color w:val="000000"/>
        </w:rPr>
        <w:t xml:space="preserve">, Eastern </w:t>
      </w:r>
      <w:proofErr w:type="spellStart"/>
      <w:r w:rsidRPr="0080707E">
        <w:rPr>
          <w:rFonts w:ascii="Book Antiqua" w:eastAsia="Book Antiqua" w:hAnsi="Book Antiqua" w:cs="Book Antiqua"/>
          <w:color w:val="000000"/>
        </w:rPr>
        <w:t>Coorpative</w:t>
      </w:r>
      <w:proofErr w:type="spellEnd"/>
      <w:r w:rsidRPr="0080707E">
        <w:rPr>
          <w:rFonts w:ascii="Book Antiqua" w:eastAsia="Book Antiqua" w:hAnsi="Book Antiqua" w:cs="Book Antiqua"/>
          <w:color w:val="000000"/>
        </w:rPr>
        <w:t xml:space="preserve"> Oncology Group</w:t>
      </w:r>
      <w:r w:rsidR="0052752C"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performance status &lt;</w:t>
      </w:r>
      <w:r w:rsidR="0052752C"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3). The type of embolization (bland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chemoembolization) was based on multidisciplinary consensus. Informed consent was obtained for HAE from all patients prior to the procedure. </w:t>
      </w:r>
    </w:p>
    <w:p w14:paraId="0653E3C0" w14:textId="77777777" w:rsidR="0052752C" w:rsidRPr="0080707E" w:rsidRDefault="0052752C" w:rsidP="0080707E">
      <w:pPr>
        <w:snapToGrid w:val="0"/>
        <w:spacing w:line="360" w:lineRule="auto"/>
        <w:jc w:val="both"/>
        <w:rPr>
          <w:rFonts w:ascii="Book Antiqua" w:hAnsi="Book Antiqua"/>
        </w:rPr>
      </w:pPr>
    </w:p>
    <w:p w14:paraId="50C1F444" w14:textId="090A203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i/>
          <w:iCs/>
          <w:color w:val="000000"/>
        </w:rPr>
        <w:t xml:space="preserve">Inclusion and </w:t>
      </w:r>
      <w:r w:rsidR="00917EA7" w:rsidRPr="0080707E">
        <w:rPr>
          <w:rFonts w:ascii="Book Antiqua" w:eastAsia="Book Antiqua" w:hAnsi="Book Antiqua" w:cs="Book Antiqua"/>
          <w:b/>
          <w:bCs/>
          <w:i/>
          <w:iCs/>
          <w:color w:val="000000"/>
        </w:rPr>
        <w:t>exclusion criteria</w:t>
      </w:r>
    </w:p>
    <w:p w14:paraId="3BC4B00B" w14:textId="20BD5A93" w:rsidR="00A77B3E" w:rsidRPr="0080707E" w:rsidRDefault="008F2971" w:rsidP="0080707E">
      <w:pPr>
        <w:snapToGrid w:val="0"/>
        <w:spacing w:line="360" w:lineRule="auto"/>
        <w:jc w:val="both"/>
        <w:rPr>
          <w:rFonts w:ascii="Book Antiqua" w:eastAsia="Book Antiqua" w:hAnsi="Book Antiqua" w:cs="Book Antiqua"/>
          <w:color w:val="000000"/>
        </w:rPr>
      </w:pPr>
      <w:r w:rsidRPr="0080707E">
        <w:rPr>
          <w:rFonts w:ascii="Book Antiqua" w:eastAsia="Book Antiqua" w:hAnsi="Book Antiqua" w:cs="Book Antiqua"/>
          <w:color w:val="000000"/>
        </w:rPr>
        <w:t>All patients who underwent HAE for treatment of primary or secondary hepatic malignancies within the defined time period were included in the study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162). A total of 217 procedures were performed. Based on the procedure suite, post-embolization non-contrast CT images were available in 139/217 (64%) procedures. Patients with known chronic kidney d</w:t>
      </w:r>
      <w:r w:rsidR="00917EA7" w:rsidRPr="0080707E">
        <w:rPr>
          <w:rFonts w:ascii="Book Antiqua" w:eastAsia="Book Antiqua" w:hAnsi="Book Antiqua" w:cs="Book Antiqua"/>
          <w:color w:val="000000"/>
        </w:rPr>
        <w:t>isease (CKD) stage 3 or higher [</w:t>
      </w:r>
      <w:r w:rsidRPr="0080707E">
        <w:rPr>
          <w:rFonts w:ascii="Book Antiqua" w:eastAsia="Book Antiqua" w:hAnsi="Book Antiqua" w:cs="Book Antiqua"/>
          <w:color w:val="000000"/>
        </w:rPr>
        <w:t>GFR &lt; 60</w:t>
      </w:r>
      <w:r w:rsidR="00917EA7"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lastRenderedPageBreak/>
        <w:t>mL/min/1.72</w:t>
      </w:r>
      <w:r w:rsidR="00917EA7"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m</w:t>
      </w:r>
      <w:r w:rsidRPr="0080707E">
        <w:rPr>
          <w:rFonts w:ascii="Book Antiqua" w:eastAsia="Book Antiqua" w:hAnsi="Book Antiqua" w:cs="Book Antiqua"/>
          <w:color w:val="000000"/>
          <w:vertAlign w:val="superscript"/>
        </w:rPr>
        <w:t>2</w:t>
      </w:r>
      <w:r w:rsidR="00917EA7" w:rsidRPr="0080707E">
        <w:rPr>
          <w:rFonts w:ascii="Book Antiqua" w:eastAsia="Book Antiqua" w:hAnsi="Book Antiqua" w:cs="Book Antiqua"/>
          <w:color w:val="000000"/>
        </w:rPr>
        <w:t xml:space="preserve"> using the CKD-EPI formula]</w:t>
      </w:r>
      <w:r w:rsidRPr="0080707E">
        <w:rPr>
          <w:rFonts w:ascii="Book Antiqua" w:eastAsia="Book Antiqua" w:hAnsi="Book Antiqua" w:cs="Book Antiqua"/>
          <w:color w:val="000000"/>
        </w:rPr>
        <w:t xml:space="preserve"> were excluded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21) since they are typically admitted for IV fluid hydration prior to the procedure and are at high risk for CIN. Patients who underwent percutaneous ablation in combination to embolization were excluded due to delay in post embolization non-contrast CT acquisition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6). A total of 84 patients (106 procedures) were included in the final analysis (Figure 1).</w:t>
      </w:r>
    </w:p>
    <w:p w14:paraId="750F87E7" w14:textId="77777777" w:rsidR="0052752C" w:rsidRPr="0080707E" w:rsidRDefault="0052752C" w:rsidP="0080707E">
      <w:pPr>
        <w:snapToGrid w:val="0"/>
        <w:spacing w:line="360" w:lineRule="auto"/>
        <w:jc w:val="both"/>
        <w:rPr>
          <w:rFonts w:ascii="Book Antiqua" w:hAnsi="Book Antiqua"/>
        </w:rPr>
      </w:pPr>
    </w:p>
    <w:p w14:paraId="03A25996" w14:textId="049539D4"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i/>
          <w:iCs/>
          <w:color w:val="000000"/>
        </w:rPr>
        <w:t xml:space="preserve">Data </w:t>
      </w:r>
      <w:r w:rsidR="00917EA7" w:rsidRPr="0080707E">
        <w:rPr>
          <w:rFonts w:ascii="Book Antiqua" w:eastAsia="Book Antiqua" w:hAnsi="Book Antiqua" w:cs="Book Antiqua"/>
          <w:b/>
          <w:bCs/>
          <w:i/>
          <w:iCs/>
          <w:color w:val="000000"/>
        </w:rPr>
        <w:t>collection</w:t>
      </w:r>
    </w:p>
    <w:p w14:paraId="5EC932C8" w14:textId="6E399F2E" w:rsidR="00917EA7"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Patient electronic records were reviewed for age, gender, ethnicity, type of liver malignancy, presence and etiology of cirrhosis, presence of medical comorbidities related to chronic kidney disease (diabetes mellitus, hypertension, coronary artery disease, prior history of contrast allergies, and number of embolization procedures performed. Laboratory test results were reviewed for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prior to embolization, and post-embolization peak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in the first 72 h following embolization. Procedural details including type of embolization (bland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chemoembolization), total contrast volume administered, and total procedure duration (defined by total sedation or anesthesia time) were recorded. CIN was defined as 25% increase in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above baseline or an absolute increase of</w:t>
      </w:r>
      <w:r w:rsidR="0052752C"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w:t>
      </w:r>
      <w:r w:rsidR="0052752C"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0.5 mg/</w:t>
      </w:r>
      <w:proofErr w:type="spellStart"/>
      <w:r w:rsidRPr="0080707E">
        <w:rPr>
          <w:rFonts w:ascii="Book Antiqua" w:eastAsia="Book Antiqua" w:hAnsi="Book Antiqua" w:cs="Book Antiqua"/>
          <w:color w:val="000000"/>
        </w:rPr>
        <w:t>dL</w:t>
      </w:r>
      <w:proofErr w:type="spellEnd"/>
      <w:r w:rsidRPr="0080707E">
        <w:rPr>
          <w:rFonts w:ascii="Book Antiqua" w:eastAsia="Book Antiqua" w:hAnsi="Book Antiqua" w:cs="Book Antiqua"/>
          <w:color w:val="000000"/>
        </w:rPr>
        <w:t xml:space="preserve"> in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within 72 h of embolization. Patients were divided into two groups based on the change in post-embolization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Group A developed CIN and </w:t>
      </w:r>
      <w:r w:rsidR="00AD3711" w:rsidRPr="0080707E">
        <w:rPr>
          <w:rFonts w:ascii="Book Antiqua" w:eastAsia="Book Antiqua" w:hAnsi="Book Antiqua" w:cs="Book Antiqua"/>
          <w:color w:val="000000"/>
        </w:rPr>
        <w:t xml:space="preserve">Group </w:t>
      </w:r>
      <w:r w:rsidRPr="0080707E">
        <w:rPr>
          <w:rFonts w:ascii="Book Antiqua" w:eastAsia="Book Antiqua" w:hAnsi="Book Antiqua" w:cs="Book Antiqua"/>
          <w:color w:val="000000"/>
        </w:rPr>
        <w:t xml:space="preserve">B did not develop CIN. Immediate post-embolization non-contrast CT images was reviewed for renal enhancement pattern and presence of renal artery calcifications. All data was compiled in a Health Insurance Portability and Accountability Act-compliant database. </w:t>
      </w:r>
    </w:p>
    <w:p w14:paraId="4BE8805F" w14:textId="0E5C5561"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Patient demographics are recorded in </w:t>
      </w:r>
      <w:r w:rsidR="00917EA7" w:rsidRPr="0080707E">
        <w:rPr>
          <w:rFonts w:ascii="Book Antiqua" w:eastAsia="Book Antiqua" w:hAnsi="Book Antiqua" w:cs="Book Antiqua"/>
          <w:color w:val="000000"/>
        </w:rPr>
        <w:t xml:space="preserve">Table </w:t>
      </w:r>
      <w:r w:rsidRPr="0080707E">
        <w:rPr>
          <w:rFonts w:ascii="Book Antiqua" w:eastAsia="Book Antiqua" w:hAnsi="Book Antiqua" w:cs="Book Antiqua"/>
          <w:color w:val="000000"/>
        </w:rPr>
        <w:t xml:space="preserve">1. A total of 84 patients (53 males, 31 females; mean age 63 years, range: 29-87 years) with 106 procedures were included in the final analysis. </w:t>
      </w:r>
    </w:p>
    <w:p w14:paraId="01A0BD7A" w14:textId="77777777" w:rsidR="0073428E" w:rsidRPr="0080707E" w:rsidRDefault="0073428E" w:rsidP="0080707E">
      <w:pPr>
        <w:snapToGrid w:val="0"/>
        <w:spacing w:line="360" w:lineRule="auto"/>
        <w:jc w:val="both"/>
        <w:rPr>
          <w:rFonts w:ascii="Book Antiqua" w:hAnsi="Book Antiqua"/>
        </w:rPr>
      </w:pPr>
    </w:p>
    <w:p w14:paraId="31918E8F" w14:textId="1C81DC03"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i/>
          <w:iCs/>
          <w:color w:val="000000"/>
        </w:rPr>
        <w:t xml:space="preserve">Hepatic </w:t>
      </w:r>
      <w:r w:rsidR="00917EA7" w:rsidRPr="0080707E">
        <w:rPr>
          <w:rFonts w:ascii="Book Antiqua" w:eastAsia="Book Antiqua" w:hAnsi="Book Antiqua" w:cs="Book Antiqua"/>
          <w:b/>
          <w:bCs/>
          <w:i/>
          <w:iCs/>
          <w:color w:val="000000"/>
        </w:rPr>
        <w:t xml:space="preserve">artery embolization </w:t>
      </w:r>
      <w:r w:rsidRPr="0080707E">
        <w:rPr>
          <w:rFonts w:ascii="Book Antiqua" w:eastAsia="Book Antiqua" w:hAnsi="Book Antiqua" w:cs="Book Antiqua"/>
          <w:b/>
          <w:bCs/>
          <w:i/>
          <w:iCs/>
          <w:color w:val="000000"/>
        </w:rPr>
        <w:t xml:space="preserve">and CT </w:t>
      </w:r>
      <w:r w:rsidR="00917EA7" w:rsidRPr="0080707E">
        <w:rPr>
          <w:rFonts w:ascii="Book Antiqua" w:eastAsia="Book Antiqua" w:hAnsi="Book Antiqua" w:cs="Book Antiqua"/>
          <w:b/>
          <w:bCs/>
          <w:i/>
          <w:iCs/>
          <w:color w:val="000000"/>
        </w:rPr>
        <w:t>acquisition</w:t>
      </w:r>
    </w:p>
    <w:p w14:paraId="3816D9D1" w14:textId="1A336128"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lastRenderedPageBreak/>
        <w:t>Pre-procedural imaging was reviewed prior to the procedure. General endotracheal anesthesia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85) or conscious sedation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21) were used. Patients were prepped and draped in a standard sterile fashion. Following ultrasound (US)-guided common femoral artery access and utilizing </w:t>
      </w:r>
      <w:proofErr w:type="spellStart"/>
      <w:r w:rsidRPr="0080707E">
        <w:rPr>
          <w:rFonts w:ascii="Book Antiqua" w:eastAsia="Book Antiqua" w:hAnsi="Book Antiqua" w:cs="Book Antiqua"/>
          <w:color w:val="000000"/>
        </w:rPr>
        <w:t>Seldinger</w:t>
      </w:r>
      <w:proofErr w:type="spellEnd"/>
      <w:r w:rsidRPr="0080707E">
        <w:rPr>
          <w:rFonts w:ascii="Book Antiqua" w:eastAsia="Book Antiqua" w:hAnsi="Book Antiqua" w:cs="Book Antiqua"/>
          <w:color w:val="000000"/>
        </w:rPr>
        <w:t xml:space="preserve"> technique, a 5 French guide catheter was advanced through a 6 French vascular sheath into the origin of the celiac axis or superior mesenteric artery. Angiograms were obtained using </w:t>
      </w:r>
      <w:proofErr w:type="spellStart"/>
      <w:r w:rsidRPr="0080707E">
        <w:rPr>
          <w:rFonts w:ascii="Book Antiqua" w:eastAsia="Book Antiqua" w:hAnsi="Book Antiqua" w:cs="Book Antiqua"/>
          <w:color w:val="000000"/>
        </w:rPr>
        <w:t>Iohexol</w:t>
      </w:r>
      <w:proofErr w:type="spellEnd"/>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Omnipaque</w:t>
      </w:r>
      <w:proofErr w:type="spellEnd"/>
      <w:r w:rsidRPr="0080707E">
        <w:rPr>
          <w:rFonts w:ascii="Book Antiqua" w:eastAsia="Book Antiqua" w:hAnsi="Book Antiqua" w:cs="Book Antiqua"/>
          <w:color w:val="000000"/>
        </w:rPr>
        <w:t xml:space="preserve"> 300; GE Healthcare, Marlborough, MA, </w:t>
      </w:r>
      <w:r w:rsidR="0073428E" w:rsidRPr="0080707E">
        <w:rPr>
          <w:rFonts w:ascii="Book Antiqua" w:eastAsia="Book Antiqua" w:hAnsi="Book Antiqua" w:cs="Book Antiqua"/>
          <w:color w:val="000000"/>
        </w:rPr>
        <w:t>United States</w:t>
      </w:r>
      <w:r w:rsidRPr="0080707E">
        <w:rPr>
          <w:rFonts w:ascii="Book Antiqua" w:eastAsia="Book Antiqua" w:hAnsi="Book Antiqua" w:cs="Book Antiqua"/>
          <w:color w:val="000000"/>
        </w:rPr>
        <w:t xml:space="preserve">). A 2.4-2.8 French microcatheter was advanced over a micro guidewire co-axially through the guide catheter for </w:t>
      </w:r>
      <w:proofErr w:type="spellStart"/>
      <w:r w:rsidRPr="0080707E">
        <w:rPr>
          <w:rFonts w:ascii="Book Antiqua" w:eastAsia="Book Antiqua" w:hAnsi="Book Antiqua" w:cs="Book Antiqua"/>
          <w:color w:val="000000"/>
        </w:rPr>
        <w:t>superselective</w:t>
      </w:r>
      <w:proofErr w:type="spellEnd"/>
      <w:r w:rsidRPr="0080707E">
        <w:rPr>
          <w:rFonts w:ascii="Book Antiqua" w:eastAsia="Book Antiqua" w:hAnsi="Book Antiqua" w:cs="Book Antiqua"/>
          <w:color w:val="000000"/>
        </w:rPr>
        <w:t xml:space="preserve"> catherization of target branches based on angiographic findings and predetermined area of treatment. Treatment was done with either </w:t>
      </w:r>
      <w:proofErr w:type="spellStart"/>
      <w:r w:rsidRPr="0080707E">
        <w:rPr>
          <w:rFonts w:ascii="Book Antiqua" w:eastAsia="Book Antiqua" w:hAnsi="Book Antiqua" w:cs="Book Antiqua"/>
          <w:color w:val="000000"/>
        </w:rPr>
        <w:t>Embospheres</w:t>
      </w:r>
      <w:proofErr w:type="spellEnd"/>
      <w:r w:rsidRPr="0080707E">
        <w:rPr>
          <w:rFonts w:ascii="Book Antiqua" w:eastAsia="Book Antiqua" w:hAnsi="Book Antiqua" w:cs="Book Antiqua"/>
          <w:color w:val="000000"/>
        </w:rPr>
        <w:t xml:space="preserve"> (Merit Medical, South Jordan, UT, </w:t>
      </w:r>
      <w:r w:rsidR="0073428E" w:rsidRPr="0080707E">
        <w:rPr>
          <w:rFonts w:ascii="Book Antiqua" w:eastAsia="Book Antiqua" w:hAnsi="Book Antiqua" w:cs="Book Antiqua"/>
          <w:color w:val="000000"/>
        </w:rPr>
        <w:t>United States</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Embozene</w:t>
      </w:r>
      <w:proofErr w:type="spellEnd"/>
      <w:r w:rsidRPr="0080707E">
        <w:rPr>
          <w:rFonts w:ascii="Book Antiqua" w:eastAsia="Book Antiqua" w:hAnsi="Book Antiqua" w:cs="Book Antiqua"/>
          <w:color w:val="000000"/>
        </w:rPr>
        <w:t xml:space="preserve"> (Boston Scientific, Burlington, MA, </w:t>
      </w:r>
      <w:r w:rsidR="0073428E" w:rsidRPr="0080707E">
        <w:rPr>
          <w:rFonts w:ascii="Book Antiqua" w:eastAsia="Book Antiqua" w:hAnsi="Book Antiqua" w:cs="Book Antiqua"/>
          <w:color w:val="000000"/>
        </w:rPr>
        <w:t>United States</w:t>
      </w:r>
      <w:r w:rsidRPr="0080707E">
        <w:rPr>
          <w:rFonts w:ascii="Book Antiqua" w:eastAsia="Book Antiqua" w:hAnsi="Book Antiqua" w:cs="Book Antiqua"/>
          <w:color w:val="000000"/>
        </w:rPr>
        <w:t>) and Poly-Vinyl Alcohol particles under continuous angiographic monitoring until complete arterial stasis was achieved. Hemostasis was obtained with a femoral closure device. All patients underwent bland HAE with an average procedural duration of 111.8 min, and average total administered contrast volume of 174.3</w:t>
      </w:r>
      <w:r w:rsidR="00917EA7"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mL (average, median, range; </w:t>
      </w:r>
      <w:r w:rsidR="00AD3711" w:rsidRPr="0080707E">
        <w:rPr>
          <w:rFonts w:ascii="Book Antiqua" w:eastAsia="Book Antiqua" w:hAnsi="Book Antiqua" w:cs="Book Antiqua"/>
          <w:color w:val="000000"/>
        </w:rPr>
        <w:t xml:space="preserve">Group </w:t>
      </w:r>
      <w:r w:rsidRPr="0080707E">
        <w:rPr>
          <w:rFonts w:ascii="Book Antiqua" w:eastAsia="Book Antiqua" w:hAnsi="Book Antiqua" w:cs="Book Antiqua"/>
          <w:color w:val="000000"/>
        </w:rPr>
        <w:t>A: 155,</w:t>
      </w:r>
      <w:r w:rsidR="0073428E"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152.5, 50-320 </w:t>
      </w:r>
      <w:proofErr w:type="spellStart"/>
      <w:r w:rsidRPr="0080707E">
        <w:rPr>
          <w:rFonts w:ascii="Book Antiqua" w:eastAsia="Book Antiqua" w:hAnsi="Book Antiqua" w:cs="Book Antiqua"/>
          <w:color w:val="000000"/>
        </w:rPr>
        <w:t>mL.</w:t>
      </w:r>
      <w:proofErr w:type="spellEnd"/>
      <w:r w:rsidRPr="0080707E">
        <w:rPr>
          <w:rFonts w:ascii="Book Antiqua" w:eastAsia="Book Antiqua" w:hAnsi="Book Antiqua" w:cs="Book Antiqua"/>
          <w:color w:val="000000"/>
        </w:rPr>
        <w:t xml:space="preserve"> Group B: 161, 150, 58-350 mL). Post-embolization non-contrast CT was obtained immediately after achieving hemostasis (10-20 min after embolization completion) in all study patients. Patients were transferred to the post-anesthesia care unit and were subsequently admitted for symptomatic management of post-embolization syndrome. </w:t>
      </w:r>
    </w:p>
    <w:p w14:paraId="5FAF06E8" w14:textId="77777777" w:rsidR="00A77B3E" w:rsidRPr="0080707E" w:rsidRDefault="00A77B3E" w:rsidP="0080707E">
      <w:pPr>
        <w:snapToGrid w:val="0"/>
        <w:spacing w:line="360" w:lineRule="auto"/>
        <w:jc w:val="both"/>
        <w:rPr>
          <w:rFonts w:ascii="Book Antiqua" w:hAnsi="Book Antiqua"/>
        </w:rPr>
      </w:pPr>
    </w:p>
    <w:p w14:paraId="58A8E645" w14:textId="22F72A4D"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i/>
          <w:iCs/>
          <w:color w:val="000000"/>
        </w:rPr>
        <w:t>Non-</w:t>
      </w:r>
      <w:r w:rsidR="00917EA7" w:rsidRPr="0080707E">
        <w:rPr>
          <w:rFonts w:ascii="Book Antiqua" w:eastAsia="Book Antiqua" w:hAnsi="Book Antiqua" w:cs="Book Antiqua"/>
          <w:b/>
          <w:bCs/>
          <w:i/>
          <w:iCs/>
          <w:color w:val="000000"/>
        </w:rPr>
        <w:t xml:space="preserve">contrast </w:t>
      </w:r>
      <w:r w:rsidRPr="0080707E">
        <w:rPr>
          <w:rFonts w:ascii="Book Antiqua" w:eastAsia="Book Antiqua" w:hAnsi="Book Antiqua" w:cs="Book Antiqua"/>
          <w:b/>
          <w:bCs/>
          <w:i/>
          <w:iCs/>
          <w:color w:val="000000"/>
        </w:rPr>
        <w:t xml:space="preserve">CT </w:t>
      </w:r>
      <w:r w:rsidR="00917EA7" w:rsidRPr="0080707E">
        <w:rPr>
          <w:rFonts w:ascii="Book Antiqua" w:eastAsia="Book Antiqua" w:hAnsi="Book Antiqua" w:cs="Book Antiqua"/>
          <w:b/>
          <w:bCs/>
          <w:i/>
          <w:iCs/>
          <w:color w:val="000000"/>
        </w:rPr>
        <w:t>analysis</w:t>
      </w:r>
    </w:p>
    <w:p w14:paraId="6296C5CC" w14:textId="7833CF6D" w:rsidR="00A77B3E" w:rsidRPr="0080707E" w:rsidRDefault="008F2971" w:rsidP="0080707E">
      <w:pPr>
        <w:snapToGrid w:val="0"/>
        <w:spacing w:line="360" w:lineRule="auto"/>
        <w:jc w:val="both"/>
        <w:rPr>
          <w:rFonts w:ascii="Book Antiqua" w:eastAsia="Book Antiqua" w:hAnsi="Book Antiqua" w:cs="Book Antiqua"/>
          <w:color w:val="000000"/>
        </w:rPr>
      </w:pPr>
      <w:r w:rsidRPr="0080707E">
        <w:rPr>
          <w:rFonts w:ascii="Book Antiqua" w:eastAsia="Book Antiqua" w:hAnsi="Book Antiqua" w:cs="Book Antiqua"/>
          <w:color w:val="000000"/>
        </w:rPr>
        <w:t>The assessment of renal enhancement pattern and presence of renal artery calcifications was performed by two independent readers. In the case of disagreement, a third reader was involved to assess the CT findings. Regions-of-interest</w:t>
      </w:r>
      <w:r w:rsidR="0073428E"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were drawn on the renal cortex, medulla and pelvis to accurately determine the phase or pattern of renal enhancement and categorize them based on predetermined thresholds as either: corticomedullary, nephrographic, early </w:t>
      </w:r>
      <w:r w:rsidRPr="0080707E">
        <w:rPr>
          <w:rFonts w:ascii="Book Antiqua" w:eastAsia="Book Antiqua" w:hAnsi="Book Antiqua" w:cs="Book Antiqua"/>
          <w:color w:val="000000"/>
        </w:rPr>
        <w:lastRenderedPageBreak/>
        <w:t>excretory (EE) or late excretory (LE) (Fig</w:t>
      </w:r>
      <w:r w:rsidR="00917EA7" w:rsidRPr="0080707E">
        <w:rPr>
          <w:rFonts w:ascii="Book Antiqua" w:eastAsia="Book Antiqua" w:hAnsi="Book Antiqua" w:cs="Book Antiqua"/>
          <w:color w:val="000000"/>
        </w:rPr>
        <w:t>ures</w:t>
      </w:r>
      <w:r w:rsidRPr="0080707E">
        <w:rPr>
          <w:rFonts w:ascii="Book Antiqua" w:eastAsia="Book Antiqua" w:hAnsi="Book Antiqua" w:cs="Book Antiqua"/>
          <w:color w:val="000000"/>
        </w:rPr>
        <w:t xml:space="preserve"> 2 and 3)</w:t>
      </w:r>
      <w:r w:rsidRPr="0080707E">
        <w:rPr>
          <w:rFonts w:ascii="Book Antiqua" w:eastAsia="Book Antiqua" w:hAnsi="Book Antiqua" w:cs="Book Antiqua"/>
          <w:color w:val="000000"/>
          <w:vertAlign w:val="superscript"/>
        </w:rPr>
        <w:t>[22,23]</w:t>
      </w:r>
      <w:r w:rsidRPr="0080707E">
        <w:rPr>
          <w:rFonts w:ascii="Book Antiqua" w:eastAsia="Book Antiqua" w:hAnsi="Book Antiqua" w:cs="Book Antiqua"/>
          <w:color w:val="000000"/>
        </w:rPr>
        <w:t>. Corticomedullary</w:t>
      </w:r>
      <w:r w:rsidR="0073428E"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pattern occurs 25-80 s after contrast injection and is defined by intense enhancement of the renal cortex relative to the renal medulla, with a difference in Hounsfield units (HU) approaching 100 HU. Nephrographic pattern occurs 85-120 s after contrast injection and is defined by homogenous enhancement of the renal parenchyma (cortex and medulla) with HU range of 120-170. The excretory patterns occur 3-5 min after contrast injection. EE pattern is defined by the opacification of the renal calyces/pelvis, with hyperdense renal parenchyma relative to surrounding skeletal muscle. LE pattern is defined by a renal parenchyma iso-dense to skeletal muscle, with contrast fully opacifying the renal pelvis and ureter. Due to timing of post HAE intraprocedural CT imaging (10-20 min after completion of embolization), the corticomedullary and nephrographic patterns were not seen in our patient cohort. Renal enhancement pattern was divided into only 2 </w:t>
      </w:r>
      <w:r w:rsidR="00917EA7" w:rsidRPr="0080707E">
        <w:rPr>
          <w:rFonts w:ascii="Book Antiqua" w:eastAsia="Book Antiqua" w:hAnsi="Book Antiqua" w:cs="Book Antiqua"/>
          <w:color w:val="000000"/>
        </w:rPr>
        <w:t xml:space="preserve">later </w:t>
      </w:r>
      <w:r w:rsidRPr="0080707E">
        <w:rPr>
          <w:rFonts w:ascii="Book Antiqua" w:eastAsia="Book Antiqua" w:hAnsi="Book Antiqua" w:cs="Book Antiqua"/>
          <w:color w:val="000000"/>
        </w:rPr>
        <w:t>patterns of EE or LE.</w:t>
      </w:r>
      <w:r w:rsidR="003D277A"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Any discernible plaque along the renal arteries with more than 130 Hounsfield units were considered calcifications (Figure 4) </w:t>
      </w:r>
    </w:p>
    <w:p w14:paraId="57E72197" w14:textId="77777777" w:rsidR="0073428E" w:rsidRPr="0080707E" w:rsidRDefault="0073428E" w:rsidP="0080707E">
      <w:pPr>
        <w:snapToGrid w:val="0"/>
        <w:spacing w:line="360" w:lineRule="auto"/>
        <w:jc w:val="both"/>
        <w:rPr>
          <w:rFonts w:ascii="Book Antiqua" w:hAnsi="Book Antiqua"/>
        </w:rPr>
      </w:pPr>
    </w:p>
    <w:p w14:paraId="4D2F100E" w14:textId="2E57767E"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i/>
          <w:iCs/>
          <w:color w:val="000000"/>
        </w:rPr>
        <w:t xml:space="preserve">Statistical </w:t>
      </w:r>
      <w:r w:rsidR="00917EA7" w:rsidRPr="0080707E">
        <w:rPr>
          <w:rFonts w:ascii="Book Antiqua" w:eastAsia="Book Antiqua" w:hAnsi="Book Antiqua" w:cs="Book Antiqua"/>
          <w:b/>
          <w:bCs/>
          <w:i/>
          <w:iCs/>
          <w:color w:val="000000"/>
        </w:rPr>
        <w:t>analysis</w:t>
      </w:r>
    </w:p>
    <w:p w14:paraId="2187C6F9" w14:textId="4316857A"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Descriptive statistics (mean, standard deviation) were used to describe the patient demographics and procedural details. Continuous data are reported as the mean value ± SD. A Mann-Whitney U Test was performed to examine difference in baseline serum creatinine, and total contrast volume and procedure duration between the two patient groups. A Fisher’s Exact Test was utilized to compare the prevalence of diabetes mellitus amongst the two patient groups. The association between renal enhancement pattern, presence of renal artery calcifications and the development of CIN (</w:t>
      </w:r>
      <w:r w:rsidR="00AD3711" w:rsidRPr="0080707E">
        <w:rPr>
          <w:rFonts w:ascii="Book Antiqua" w:eastAsia="Book Antiqua" w:hAnsi="Book Antiqua" w:cs="Book Antiqua"/>
          <w:color w:val="000000"/>
        </w:rPr>
        <w:t xml:space="preserve">Group </w:t>
      </w:r>
      <w:r w:rsidRPr="0080707E">
        <w:rPr>
          <w:rFonts w:ascii="Book Antiqua" w:eastAsia="Book Antiqua" w:hAnsi="Book Antiqua" w:cs="Book Antiqua"/>
          <w:color w:val="000000"/>
        </w:rPr>
        <w:t xml:space="preserve">A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B) were analyzed by Chi-Square </w:t>
      </w:r>
      <w:r w:rsidR="007415B9" w:rsidRPr="0080707E">
        <w:rPr>
          <w:rFonts w:ascii="Book Antiqua" w:eastAsia="Book Antiqua" w:hAnsi="Book Antiqua" w:cs="Book Antiqua"/>
          <w:color w:val="000000"/>
        </w:rPr>
        <w:t>t</w:t>
      </w:r>
      <w:r w:rsidRPr="0080707E">
        <w:rPr>
          <w:rFonts w:ascii="Book Antiqua" w:eastAsia="Book Antiqua" w:hAnsi="Book Antiqua" w:cs="Book Antiqua"/>
          <w:color w:val="000000"/>
        </w:rPr>
        <w:t xml:space="preserve">est of Independence. </w:t>
      </w:r>
      <w:r w:rsidRPr="0080707E">
        <w:rPr>
          <w:rFonts w:ascii="Book Antiqua" w:eastAsia="Book Antiqua" w:hAnsi="Book Antiqua" w:cs="Book Antiqua"/>
          <w:i/>
          <w:color w:val="000000"/>
        </w:rPr>
        <w:t>P</w:t>
      </w:r>
      <w:r w:rsidRPr="0080707E">
        <w:rPr>
          <w:rFonts w:ascii="Book Antiqua" w:eastAsia="Book Antiqua" w:hAnsi="Book Antiqua" w:cs="Book Antiqua"/>
          <w:color w:val="000000"/>
        </w:rPr>
        <w:t xml:space="preserve"> value 0.05 was considered to indicate statistical significance. All analyses were performed with SPSS statistical software version 12.0 (SPSS, Inc., Chicago, IL, </w:t>
      </w:r>
      <w:r w:rsidR="0073428E" w:rsidRPr="0080707E">
        <w:rPr>
          <w:rFonts w:ascii="Book Antiqua" w:eastAsia="Book Antiqua" w:hAnsi="Book Antiqua" w:cs="Book Antiqua"/>
          <w:color w:val="000000"/>
        </w:rPr>
        <w:t>United States</w:t>
      </w:r>
      <w:r w:rsidRPr="0080707E">
        <w:rPr>
          <w:rFonts w:ascii="Book Antiqua" w:eastAsia="Book Antiqua" w:hAnsi="Book Antiqua" w:cs="Book Antiqua"/>
          <w:color w:val="000000"/>
        </w:rPr>
        <w:t>).</w:t>
      </w:r>
    </w:p>
    <w:p w14:paraId="70E908C9" w14:textId="77777777" w:rsidR="00A77B3E" w:rsidRPr="0080707E" w:rsidRDefault="00A77B3E" w:rsidP="0080707E">
      <w:pPr>
        <w:snapToGrid w:val="0"/>
        <w:spacing w:line="360" w:lineRule="auto"/>
        <w:jc w:val="both"/>
        <w:rPr>
          <w:rFonts w:ascii="Book Antiqua" w:hAnsi="Book Antiqua"/>
        </w:rPr>
      </w:pPr>
    </w:p>
    <w:p w14:paraId="3702E80D"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aps/>
          <w:color w:val="000000"/>
          <w:u w:val="single"/>
        </w:rPr>
        <w:lastRenderedPageBreak/>
        <w:t>RESULTS</w:t>
      </w:r>
    </w:p>
    <w:p w14:paraId="058D1D42" w14:textId="0DAC21A4"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There was no significant difference between the baseline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w:t>
      </w:r>
      <w:r w:rsidR="00917EA7" w:rsidRPr="0080707E">
        <w:rPr>
          <w:rFonts w:ascii="Book Antiqua" w:eastAsia="Book Antiqua" w:hAnsi="Book Antiqua" w:cs="Book Antiqua"/>
          <w:i/>
          <w:iCs/>
          <w:color w:val="000000"/>
        </w:rPr>
        <w:t>P</w:t>
      </w:r>
      <w:r w:rsidR="0073428E" w:rsidRPr="0080707E">
        <w:rPr>
          <w:rFonts w:ascii="Book Antiqua" w:eastAsia="Book Antiqua" w:hAnsi="Book Antiqua" w:cs="Book Antiqua"/>
          <w:iCs/>
          <w:color w:val="000000"/>
        </w:rPr>
        <w:t xml:space="preserve"> </w:t>
      </w:r>
      <w:r w:rsidRPr="0080707E">
        <w:rPr>
          <w:rFonts w:ascii="Book Antiqua" w:eastAsia="Book Antiqua" w:hAnsi="Book Antiqua" w:cs="Book Antiqua"/>
          <w:iCs/>
          <w:color w:val="000000"/>
        </w:rPr>
        <w:t>=</w:t>
      </w:r>
      <w:r w:rsidR="0073428E" w:rsidRPr="0080707E">
        <w:rPr>
          <w:rFonts w:ascii="Book Antiqua" w:eastAsia="Book Antiqua" w:hAnsi="Book Antiqua" w:cs="Book Antiqua"/>
          <w:iCs/>
          <w:color w:val="000000"/>
        </w:rPr>
        <w:t xml:space="preserve"> </w:t>
      </w:r>
      <w:r w:rsidRPr="0080707E">
        <w:rPr>
          <w:rFonts w:ascii="Book Antiqua" w:eastAsia="Book Antiqua" w:hAnsi="Book Antiqua" w:cs="Book Antiqua"/>
          <w:iCs/>
          <w:color w:val="000000"/>
        </w:rPr>
        <w:t>0.46)</w:t>
      </w:r>
      <w:r w:rsidRPr="0080707E">
        <w:rPr>
          <w:rFonts w:ascii="Book Antiqua" w:eastAsia="Book Antiqua" w:hAnsi="Book Antiqua" w:cs="Book Antiqua"/>
          <w:color w:val="000000"/>
        </w:rPr>
        <w:t>, total contrast volume administered (</w:t>
      </w:r>
      <w:r w:rsidR="00917EA7" w:rsidRPr="0080707E">
        <w:rPr>
          <w:rFonts w:ascii="Book Antiqua" w:eastAsia="Book Antiqua" w:hAnsi="Book Antiqua" w:cs="Book Antiqua"/>
          <w:i/>
          <w:iCs/>
          <w:color w:val="000000"/>
        </w:rPr>
        <w:t>P</w:t>
      </w:r>
      <w:r w:rsidR="0073428E" w:rsidRPr="0080707E">
        <w:rPr>
          <w:rFonts w:ascii="Book Antiqua" w:eastAsia="Book Antiqua" w:hAnsi="Book Antiqua" w:cs="Book Antiqua"/>
          <w:iCs/>
          <w:color w:val="000000"/>
        </w:rPr>
        <w:t xml:space="preserve"> </w:t>
      </w:r>
      <w:r w:rsidRPr="0080707E">
        <w:rPr>
          <w:rFonts w:ascii="Book Antiqua" w:eastAsia="Book Antiqua" w:hAnsi="Book Antiqua" w:cs="Book Antiqua"/>
          <w:iCs/>
          <w:color w:val="000000"/>
        </w:rPr>
        <w:t>=</w:t>
      </w:r>
      <w:r w:rsidR="0073428E" w:rsidRPr="0080707E">
        <w:rPr>
          <w:rFonts w:ascii="Book Antiqua" w:eastAsia="Book Antiqua" w:hAnsi="Book Antiqua" w:cs="Book Antiqua"/>
          <w:iCs/>
          <w:color w:val="000000"/>
        </w:rPr>
        <w:t xml:space="preserve"> </w:t>
      </w:r>
      <w:r w:rsidRPr="0080707E">
        <w:rPr>
          <w:rFonts w:ascii="Book Antiqua" w:eastAsia="Book Antiqua" w:hAnsi="Book Antiqua" w:cs="Book Antiqua"/>
          <w:iCs/>
          <w:color w:val="000000"/>
        </w:rPr>
        <w:t>0.61)</w:t>
      </w:r>
      <w:r w:rsidRPr="0080707E">
        <w:rPr>
          <w:rFonts w:ascii="Book Antiqua" w:eastAsia="Book Antiqua" w:hAnsi="Book Antiqua" w:cs="Book Antiqua"/>
          <w:color w:val="000000"/>
        </w:rPr>
        <w:t>, total procedure duration (</w:t>
      </w:r>
      <w:r w:rsidR="00917EA7" w:rsidRPr="0080707E">
        <w:rPr>
          <w:rFonts w:ascii="Book Antiqua" w:eastAsia="Book Antiqua" w:hAnsi="Book Antiqua" w:cs="Book Antiqua"/>
          <w:i/>
          <w:iCs/>
          <w:color w:val="000000"/>
        </w:rPr>
        <w:t>P</w:t>
      </w:r>
      <w:r w:rsidR="0073428E" w:rsidRPr="0080707E">
        <w:rPr>
          <w:rFonts w:ascii="Book Antiqua" w:eastAsia="Book Antiqua" w:hAnsi="Book Antiqua" w:cs="Book Antiqua"/>
          <w:iCs/>
          <w:color w:val="000000"/>
        </w:rPr>
        <w:t xml:space="preserve"> </w:t>
      </w:r>
      <w:r w:rsidRPr="0080707E">
        <w:rPr>
          <w:rFonts w:ascii="Book Antiqua" w:eastAsia="Book Antiqua" w:hAnsi="Book Antiqua" w:cs="Book Antiqua"/>
          <w:iCs/>
          <w:color w:val="000000"/>
        </w:rPr>
        <w:t>=</w:t>
      </w:r>
      <w:r w:rsidR="0073428E" w:rsidRPr="0080707E">
        <w:rPr>
          <w:rFonts w:ascii="Book Antiqua" w:eastAsia="Book Antiqua" w:hAnsi="Book Antiqua" w:cs="Book Antiqua"/>
          <w:iCs/>
          <w:color w:val="000000"/>
        </w:rPr>
        <w:t xml:space="preserve"> </w:t>
      </w:r>
      <w:r w:rsidRPr="0080707E">
        <w:rPr>
          <w:rFonts w:ascii="Book Antiqua" w:eastAsia="Book Antiqua" w:hAnsi="Book Antiqua" w:cs="Book Antiqua"/>
          <w:iCs/>
          <w:color w:val="000000"/>
        </w:rPr>
        <w:t>0.25)</w:t>
      </w:r>
      <w:r w:rsidRPr="0080707E">
        <w:rPr>
          <w:rFonts w:ascii="Book Antiqua" w:eastAsia="Book Antiqua" w:hAnsi="Book Antiqua" w:cs="Book Antiqua"/>
          <w:color w:val="000000"/>
        </w:rPr>
        <w:t>, or prevalence of diabetes mellitus (</w:t>
      </w:r>
      <w:r w:rsidR="00917EA7" w:rsidRPr="0080707E">
        <w:rPr>
          <w:rFonts w:ascii="Book Antiqua" w:eastAsia="Book Antiqua" w:hAnsi="Book Antiqua" w:cs="Book Antiqua"/>
          <w:i/>
          <w:iCs/>
          <w:color w:val="000000"/>
        </w:rPr>
        <w:t>P</w:t>
      </w:r>
      <w:r w:rsidR="0073428E" w:rsidRPr="0080707E">
        <w:rPr>
          <w:rFonts w:ascii="Book Antiqua" w:eastAsia="Book Antiqua" w:hAnsi="Book Antiqua" w:cs="Book Antiqua"/>
          <w:iCs/>
          <w:color w:val="000000"/>
        </w:rPr>
        <w:t xml:space="preserve"> </w:t>
      </w:r>
      <w:r w:rsidRPr="0080707E">
        <w:rPr>
          <w:rFonts w:ascii="Book Antiqua" w:eastAsia="Book Antiqua" w:hAnsi="Book Antiqua" w:cs="Book Antiqua"/>
          <w:iCs/>
          <w:color w:val="000000"/>
        </w:rPr>
        <w:t>=</w:t>
      </w:r>
      <w:r w:rsidR="0073428E" w:rsidRPr="0080707E">
        <w:rPr>
          <w:rFonts w:ascii="Book Antiqua" w:eastAsia="Book Antiqua" w:hAnsi="Book Antiqua" w:cs="Book Antiqua"/>
          <w:iCs/>
          <w:color w:val="000000"/>
        </w:rPr>
        <w:t xml:space="preserve"> </w:t>
      </w:r>
      <w:r w:rsidRPr="0080707E">
        <w:rPr>
          <w:rFonts w:ascii="Book Antiqua" w:eastAsia="Book Antiqua" w:hAnsi="Book Antiqua" w:cs="Book Antiqua"/>
          <w:iCs/>
          <w:color w:val="000000"/>
        </w:rPr>
        <w:t>0.38)</w:t>
      </w:r>
      <w:r w:rsidRPr="0080707E">
        <w:rPr>
          <w:rFonts w:ascii="Book Antiqua" w:eastAsia="Book Antiqua" w:hAnsi="Book Antiqua" w:cs="Book Antiqua"/>
          <w:color w:val="000000"/>
        </w:rPr>
        <w:t xml:space="preserve"> amongst the two groups</w:t>
      </w:r>
      <w:r w:rsidRPr="0080707E">
        <w:rPr>
          <w:rFonts w:ascii="Book Antiqua" w:eastAsia="Book Antiqua" w:hAnsi="Book Antiqua" w:cs="Book Antiqua"/>
          <w:iCs/>
          <w:color w:val="000000"/>
        </w:rPr>
        <w:t xml:space="preserve">. </w:t>
      </w:r>
    </w:p>
    <w:p w14:paraId="11A81AFC" w14:textId="1E52101C"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The renal enhancement patterns are recorded in </w:t>
      </w:r>
      <w:r w:rsidR="0073428E" w:rsidRPr="0080707E">
        <w:rPr>
          <w:rFonts w:ascii="Book Antiqua" w:eastAsia="Book Antiqua" w:hAnsi="Book Antiqua" w:cs="Book Antiqua"/>
          <w:color w:val="000000"/>
        </w:rPr>
        <w:t>T</w:t>
      </w:r>
      <w:r w:rsidRPr="0080707E">
        <w:rPr>
          <w:rFonts w:ascii="Book Antiqua" w:eastAsia="Book Antiqua" w:hAnsi="Book Antiqua" w:cs="Book Antiqua"/>
          <w:color w:val="000000"/>
        </w:rPr>
        <w:t xml:space="preserve">able 2. In patients who did not experience CIN (Group B,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74 with 95 procedures) the renal enhancement pattern was late excretory in 93/95 procedures (98%) and early excretory in 2/95 procedures (2%).</w:t>
      </w:r>
      <w:r w:rsidR="003D277A"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CIN occurred following 11/106 (11.2%) procedures in 10 distinct patients (Group A). In this group, there was a significantly higher rate of early excretory renal enhancement (6/11 procedures, 55%) compared to late excretory pattern (5/11 procedures, 45%) (</w:t>
      </w:r>
      <w:r w:rsidR="00AD3711" w:rsidRPr="0080707E">
        <w:rPr>
          <w:rFonts w:ascii="Book Antiqua" w:eastAsia="Book Antiqua" w:hAnsi="Book Antiqua" w:cs="Book Antiqua"/>
          <w:i/>
          <w:iCs/>
          <w:color w:val="000000"/>
        </w:rPr>
        <w:t>P</w:t>
      </w:r>
      <w:r w:rsidR="0073428E" w:rsidRPr="0080707E">
        <w:rPr>
          <w:rFonts w:ascii="Book Antiqua" w:eastAsia="Book Antiqua" w:hAnsi="Book Antiqua" w:cs="Book Antiqua"/>
          <w:i/>
          <w:iCs/>
          <w:color w:val="000000"/>
        </w:rPr>
        <w:t xml:space="preserve"> </w:t>
      </w:r>
      <w:r w:rsidRPr="0080707E">
        <w:rPr>
          <w:rFonts w:ascii="Book Antiqua" w:eastAsia="Book Antiqua" w:hAnsi="Book Antiqua" w:cs="Book Antiqua"/>
          <w:i/>
          <w:iCs/>
          <w:color w:val="000000"/>
        </w:rPr>
        <w:t>&lt;</w:t>
      </w:r>
      <w:r w:rsidR="0073428E" w:rsidRPr="0080707E">
        <w:rPr>
          <w:rFonts w:ascii="Book Antiqua" w:eastAsia="Book Antiqua" w:hAnsi="Book Antiqua" w:cs="Book Antiqua"/>
          <w:i/>
          <w:iCs/>
          <w:color w:val="000000"/>
        </w:rPr>
        <w:t xml:space="preserve"> </w:t>
      </w:r>
      <w:r w:rsidRPr="0080707E">
        <w:rPr>
          <w:rFonts w:ascii="Book Antiqua" w:eastAsia="Book Antiqua" w:hAnsi="Book Antiqua" w:cs="Book Antiqua"/>
          <w:color w:val="000000"/>
        </w:rPr>
        <w:t xml:space="preserve">0.001). Renal artery calcifications were detected in 26 post-embolization non-contrast CT scans. A significantly higher percentage of patients that developed CIN had detectable renal artery calcifications (6/11 </w:t>
      </w:r>
      <w:r w:rsidRPr="0080707E">
        <w:rPr>
          <w:rFonts w:ascii="Book Antiqua" w:eastAsia="Book Antiqua" w:hAnsi="Book Antiqua" w:cs="Book Antiqua"/>
          <w:i/>
          <w:iCs/>
          <w:color w:val="000000"/>
        </w:rPr>
        <w:t xml:space="preserve">vs </w:t>
      </w:r>
      <w:r w:rsidRPr="0080707E">
        <w:rPr>
          <w:rFonts w:ascii="Book Antiqua" w:eastAsia="Book Antiqua" w:hAnsi="Book Antiqua" w:cs="Book Antiqua"/>
          <w:color w:val="000000"/>
        </w:rPr>
        <w:t xml:space="preserve">20/95, 55%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21% respectively, </w:t>
      </w:r>
      <w:r w:rsidRPr="0080707E">
        <w:rPr>
          <w:rFonts w:ascii="Book Antiqua" w:eastAsia="Book Antiqua" w:hAnsi="Book Antiqua" w:cs="Book Antiqua"/>
          <w:i/>
          <w:iCs/>
          <w:color w:val="000000"/>
        </w:rPr>
        <w:t>P</w:t>
      </w:r>
      <w:r w:rsidRPr="0080707E">
        <w:rPr>
          <w:rFonts w:ascii="Book Antiqua" w:eastAsia="Book Antiqua" w:hAnsi="Book Antiqua" w:cs="Book Antiqua"/>
          <w:color w:val="000000"/>
        </w:rPr>
        <w:t xml:space="preserve"> = 0.01).</w:t>
      </w:r>
    </w:p>
    <w:p w14:paraId="791FFD40" w14:textId="4817354C"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Patients in Group A were hospitalized for a median of 4 d post-embolization (IQR: 3-10 d). Peak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was reached in a median of 2 d post-embolization (IQR: 1-2.5 d). Those who stayed in the hospital for 2 d or longer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9) demonstrated complete normalization of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prior to discharge. No patient required hemodialysis or hemofiltration. One patient required a nephrology consultation due to oliguria despite Foley catheter placement.</w:t>
      </w:r>
      <w:r w:rsidR="003D277A" w:rsidRPr="0080707E">
        <w:rPr>
          <w:rFonts w:ascii="Book Antiqua" w:eastAsia="Book Antiqua" w:hAnsi="Book Antiqua" w:cs="Book Antiqua"/>
          <w:color w:val="000000"/>
        </w:rPr>
        <w:t xml:space="preserve"> </w:t>
      </w:r>
    </w:p>
    <w:p w14:paraId="5B4379EF" w14:textId="77777777" w:rsidR="00A77B3E" w:rsidRPr="0080707E" w:rsidRDefault="00A77B3E" w:rsidP="0080707E">
      <w:pPr>
        <w:snapToGrid w:val="0"/>
        <w:spacing w:line="360" w:lineRule="auto"/>
        <w:jc w:val="both"/>
        <w:rPr>
          <w:rFonts w:ascii="Book Antiqua" w:hAnsi="Book Antiqua"/>
        </w:rPr>
      </w:pPr>
    </w:p>
    <w:p w14:paraId="46A99F10"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aps/>
          <w:color w:val="000000"/>
          <w:u w:val="single"/>
        </w:rPr>
        <w:t>DISCUSSION</w:t>
      </w:r>
    </w:p>
    <w:p w14:paraId="74480F76"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The findings of this study suggest an association between the renal enhancement pattern on the immediate post-HAE non-contrast enhanced CT imaging and the development of CIN in low-risk patients. It also suggests an association between renal artery calcifications and development of CIN.</w:t>
      </w:r>
    </w:p>
    <w:p w14:paraId="0B861C3B" w14:textId="761CDA8D"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The cornerstone of CIN management is prevention. Risk stratification, IV fluid administration and avoidance of nephrotoxic medications are all essential in prevention</w:t>
      </w:r>
      <w:r w:rsidRPr="0080707E">
        <w:rPr>
          <w:rFonts w:ascii="Book Antiqua" w:eastAsia="Book Antiqua" w:hAnsi="Book Antiqua" w:cs="Book Antiqua"/>
          <w:color w:val="000000"/>
          <w:vertAlign w:val="superscript"/>
        </w:rPr>
        <w:t>[24]</w:t>
      </w:r>
      <w:r w:rsidRPr="0080707E">
        <w:rPr>
          <w:rFonts w:ascii="Book Antiqua" w:eastAsia="Book Antiqua" w:hAnsi="Book Antiqua" w:cs="Book Antiqua"/>
          <w:color w:val="000000"/>
        </w:rPr>
        <w:t>. Randomized clinical trials have consistently shown the efficacy of IV fluid hydration in the prevention of CIN in high-risk patient populations</w:t>
      </w:r>
      <w:r w:rsidRPr="0080707E">
        <w:rPr>
          <w:rFonts w:ascii="Book Antiqua" w:eastAsia="Book Antiqua" w:hAnsi="Book Antiqua" w:cs="Book Antiqua"/>
          <w:color w:val="000000"/>
          <w:vertAlign w:val="superscript"/>
        </w:rPr>
        <w:t>[25-28]</w:t>
      </w:r>
      <w:r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lastRenderedPageBreak/>
        <w:t>All investigated fluid regimens included a pre-procedural component and a post-procedural component (</w:t>
      </w:r>
      <w:r w:rsidRPr="0080707E">
        <w:rPr>
          <w:rFonts w:ascii="Book Antiqua" w:eastAsia="Book Antiqua" w:hAnsi="Book Antiqua" w:cs="Book Antiqua"/>
          <w:i/>
          <w:iCs/>
          <w:color w:val="000000"/>
        </w:rPr>
        <w:t>e.g.</w:t>
      </w:r>
      <w:r w:rsidR="007568CB" w:rsidRPr="007568CB">
        <w:rPr>
          <w:rFonts w:ascii="Book Antiqua" w:eastAsia="Book Antiqua" w:hAnsi="Book Antiqua" w:cs="Book Antiqua"/>
          <w:iCs/>
          <w:color w:val="000000"/>
        </w:rPr>
        <w:t>,</w:t>
      </w:r>
      <w:r w:rsidRPr="007568CB">
        <w:rPr>
          <w:rFonts w:ascii="Book Antiqua" w:eastAsia="Book Antiqua" w:hAnsi="Book Antiqua" w:cs="Book Antiqua"/>
          <w:color w:val="000000"/>
        </w:rPr>
        <w:t xml:space="preserve"> </w:t>
      </w:r>
      <w:r w:rsidRPr="0080707E">
        <w:rPr>
          <w:rFonts w:ascii="Book Antiqua" w:eastAsia="Book Antiqua" w:hAnsi="Book Antiqua" w:cs="Book Antiqua"/>
          <w:color w:val="000000"/>
        </w:rPr>
        <w:t>IV 0.9% normal saline 12 h pre-HAE and 12- h post-HAE). The consensus is that both components contribute to volume expansion and prevention of CIN development</w:t>
      </w:r>
      <w:r w:rsidRPr="0080707E">
        <w:rPr>
          <w:rFonts w:ascii="Book Antiqua" w:eastAsia="Book Antiqua" w:hAnsi="Book Antiqua" w:cs="Book Antiqua"/>
          <w:color w:val="000000"/>
          <w:vertAlign w:val="superscript"/>
        </w:rPr>
        <w:t>[24]</w:t>
      </w:r>
      <w:r w:rsidRPr="0080707E">
        <w:rPr>
          <w:rFonts w:ascii="Book Antiqua" w:eastAsia="Book Antiqua" w:hAnsi="Book Antiqua" w:cs="Book Antiqua"/>
          <w:color w:val="000000"/>
        </w:rPr>
        <w:t xml:space="preserve">. No head-to-head study was performed investigating the efficacy of pre-procedural hydration compared to post-procedural hydration. </w:t>
      </w:r>
    </w:p>
    <w:p w14:paraId="32F5A860" w14:textId="77777777"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High-risk patients are followed by nephrologists in the outpatient setting, are typically admitted the day before an interventional procedure for IV fluid administration and are followed by nephrologists during their admission and after discharge. Conversely, low-risk patients typically arrive on the day of the procedure and no special renal protective precautions are taken. </w:t>
      </w:r>
    </w:p>
    <w:p w14:paraId="15493369" w14:textId="7A9690F7"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Currently there is no mechanism for early identification and timely initiation of preventive measures for patients who do not have risk factors for development of CIN after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hepatic artery embolization</w:t>
      </w:r>
      <w:r w:rsidRPr="0080707E">
        <w:rPr>
          <w:rFonts w:ascii="Book Antiqua" w:eastAsia="Book Antiqua" w:hAnsi="Book Antiqua" w:cs="Book Antiqua"/>
          <w:color w:val="000000"/>
          <w:vertAlign w:val="superscript"/>
        </w:rPr>
        <w:t>[16-18]</w:t>
      </w:r>
      <w:r w:rsidRPr="0080707E">
        <w:rPr>
          <w:rFonts w:ascii="Book Antiqua" w:eastAsia="Book Antiqua" w:hAnsi="Book Antiqua" w:cs="Book Antiqua"/>
          <w:color w:val="000000"/>
        </w:rPr>
        <w:t>. In this study, we propose that risk stratification could be initiated within the interventional radiology procedure room. The proposed method is simple with no need for any calculations or image processing. If in a patient low risk for development of CIN, the renal parenchyma is hyperdense compared to adjacent skeletal muscle at the end of hepatic artery embolization, preventive measures should be initiated immediately. In this group of low-risk patients with no history of CKD, CIN or contrast-allergies, an early excretory pattern on the post-embolization CT imaging was associated with the development of CIN. In addition, the presence of renal artery calcifications was found to be independently associated with CIN development. This is in agreement with prior studies showing the association of renal artery calcification with renal function</w:t>
      </w:r>
      <w:r w:rsidR="00AD3711" w:rsidRPr="0080707E">
        <w:rPr>
          <w:rFonts w:ascii="Book Antiqua" w:eastAsia="Book Antiqua" w:hAnsi="Book Antiqua" w:cs="Book Antiqua"/>
          <w:color w:val="000000"/>
          <w:vertAlign w:val="superscript"/>
        </w:rPr>
        <w:t>[29,</w:t>
      </w:r>
      <w:r w:rsidRPr="0080707E">
        <w:rPr>
          <w:rFonts w:ascii="Book Antiqua" w:eastAsia="Book Antiqua" w:hAnsi="Book Antiqua" w:cs="Book Antiqua"/>
          <w:color w:val="000000"/>
          <w:vertAlign w:val="superscript"/>
        </w:rPr>
        <w:t>30]</w:t>
      </w:r>
      <w:r w:rsidRPr="0080707E">
        <w:rPr>
          <w:rFonts w:ascii="Book Antiqua" w:eastAsia="Book Antiqua" w:hAnsi="Book Antiqua" w:cs="Book Antiqua"/>
          <w:color w:val="000000"/>
        </w:rPr>
        <w:t xml:space="preserve">. Renal artery calcification can be identified prior to embolization intervention by reviewing CT scan of abdomen. These patients should be treated like those at risk for CIN with pre and post procedural hydration. For those patients stratified based on immediate post procedural CT imaging renal enhancement patterns, a nephrology consultation should be initiated, along with rapid initiation of IV fluid hydration to prevent CIN </w:t>
      </w:r>
      <w:r w:rsidRPr="0080707E">
        <w:rPr>
          <w:rFonts w:ascii="Book Antiqua" w:eastAsia="Book Antiqua" w:hAnsi="Book Antiqua" w:cs="Book Antiqua"/>
          <w:color w:val="000000"/>
        </w:rPr>
        <w:lastRenderedPageBreak/>
        <w:t xml:space="preserve">development. These patients should also be marked for preventive measures for their future angiographic interventions. </w:t>
      </w:r>
    </w:p>
    <w:p w14:paraId="3445F007" w14:textId="016480CB"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This study has several limitations. Inherent to its retrospective design and small sample size, extensive multivariable logistic regression and analysis of potential confounders are limited.</w:t>
      </w:r>
      <w:r w:rsidR="003D277A"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The method used to determine renal enhancement patterns is not free of subjectivity despite utilization of multiple readers.</w:t>
      </w:r>
      <w:r w:rsidR="003D277A"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Furthermore, the exact timing of non-contrast CT acquisition was variable and could be a potential confounder.</w:t>
      </w:r>
    </w:p>
    <w:p w14:paraId="7A160ED0" w14:textId="77777777"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Larger, prospective studies should be conducted with standardized post-HAE CT acquisition timing to investigate this association. </w:t>
      </w:r>
    </w:p>
    <w:p w14:paraId="3B432C56" w14:textId="77777777"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Hyperdense renal parenchyma relative to surrounding skeletal muscle (Early excretory renal enhancement pattern) on immediate post HAE non-contrast CT images and also the presence of renal artery calcification are associated with the development of CIN. </w:t>
      </w:r>
    </w:p>
    <w:p w14:paraId="1B08B2F1" w14:textId="77777777" w:rsidR="00A77B3E" w:rsidRPr="0080707E" w:rsidRDefault="00A77B3E" w:rsidP="0080707E">
      <w:pPr>
        <w:snapToGrid w:val="0"/>
        <w:spacing w:line="360" w:lineRule="auto"/>
        <w:jc w:val="both"/>
        <w:rPr>
          <w:rFonts w:ascii="Book Antiqua" w:hAnsi="Book Antiqua"/>
        </w:rPr>
      </w:pPr>
    </w:p>
    <w:p w14:paraId="37C576E8"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aps/>
          <w:color w:val="000000"/>
          <w:u w:val="single"/>
        </w:rPr>
        <w:t>CONCLUSION</w:t>
      </w:r>
    </w:p>
    <w:p w14:paraId="2D6F7454"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Hyperdense renal parenchyma relative to surrounding skeletal muscle (Early excretory renal enhancement pattern) on immediate post HAE non-contrast CT images and also the presence of renal artery calcification are associated with the development of CIN. </w:t>
      </w:r>
    </w:p>
    <w:p w14:paraId="27CE9063" w14:textId="77777777" w:rsidR="00A77B3E" w:rsidRPr="0080707E" w:rsidRDefault="00A77B3E" w:rsidP="0080707E">
      <w:pPr>
        <w:snapToGrid w:val="0"/>
        <w:spacing w:line="360" w:lineRule="auto"/>
        <w:jc w:val="both"/>
        <w:rPr>
          <w:rFonts w:ascii="Book Antiqua" w:hAnsi="Book Antiqua"/>
        </w:rPr>
      </w:pPr>
    </w:p>
    <w:p w14:paraId="3A85DF96"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aps/>
          <w:color w:val="000000"/>
          <w:u w:val="single"/>
        </w:rPr>
        <w:t>ARTICLE HIGHLIGHTS</w:t>
      </w:r>
    </w:p>
    <w:p w14:paraId="3CDF4B1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i/>
          <w:color w:val="000000"/>
        </w:rPr>
        <w:t>Research background</w:t>
      </w:r>
    </w:p>
    <w:p w14:paraId="5D519EA1" w14:textId="3E7AAA6C"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Contrast-induced nephropathy (CIN) is a reversible form of acute kidney injury that occurs within 48-72 h of exposure to intravascular c</w:t>
      </w:r>
      <w:r w:rsidR="00AD3711" w:rsidRPr="0080707E">
        <w:rPr>
          <w:rFonts w:ascii="Book Antiqua" w:eastAsia="Book Antiqua" w:hAnsi="Book Antiqua" w:cs="Book Antiqua"/>
          <w:color w:val="000000"/>
        </w:rPr>
        <w:t>ontrast material. A higher 1-mo</w:t>
      </w:r>
      <w:r w:rsidRPr="0080707E">
        <w:rPr>
          <w:rFonts w:ascii="Book Antiqua" w:eastAsia="Book Antiqua" w:hAnsi="Book Antiqua" w:cs="Book Antiqua"/>
          <w:color w:val="000000"/>
        </w:rPr>
        <w:t xml:space="preserve"> and 1-year mortality rates have been reported in these patients, particularly following arterial angiography.</w:t>
      </w:r>
    </w:p>
    <w:p w14:paraId="1F3F7370" w14:textId="77777777" w:rsidR="00A77B3E" w:rsidRPr="0080707E" w:rsidRDefault="00A77B3E" w:rsidP="0080707E">
      <w:pPr>
        <w:snapToGrid w:val="0"/>
        <w:spacing w:line="360" w:lineRule="auto"/>
        <w:jc w:val="both"/>
        <w:rPr>
          <w:rFonts w:ascii="Book Antiqua" w:hAnsi="Book Antiqua"/>
        </w:rPr>
      </w:pPr>
    </w:p>
    <w:p w14:paraId="603C4735"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i/>
          <w:color w:val="000000"/>
        </w:rPr>
        <w:t>Research motivation</w:t>
      </w:r>
    </w:p>
    <w:p w14:paraId="0384ACF3"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The cornerstone of CIN management is prevention.</w:t>
      </w:r>
    </w:p>
    <w:p w14:paraId="13EBA0F3" w14:textId="77777777" w:rsidR="00A77B3E" w:rsidRPr="0080707E" w:rsidRDefault="00A77B3E" w:rsidP="0080707E">
      <w:pPr>
        <w:snapToGrid w:val="0"/>
        <w:spacing w:line="360" w:lineRule="auto"/>
        <w:jc w:val="both"/>
        <w:rPr>
          <w:rFonts w:ascii="Book Antiqua" w:hAnsi="Book Antiqua"/>
        </w:rPr>
      </w:pPr>
    </w:p>
    <w:p w14:paraId="518A465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i/>
          <w:color w:val="000000"/>
        </w:rPr>
        <w:t>Research objectives</w:t>
      </w:r>
    </w:p>
    <w:p w14:paraId="40BA77EA"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To help with early identification and timely initiation of preventive measures in patients otherwise considered low risk for development of CIN after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hepatic artery embolization.</w:t>
      </w:r>
    </w:p>
    <w:p w14:paraId="4C9717D6" w14:textId="77777777" w:rsidR="00A77B3E" w:rsidRPr="0080707E" w:rsidRDefault="00A77B3E" w:rsidP="0080707E">
      <w:pPr>
        <w:snapToGrid w:val="0"/>
        <w:spacing w:line="360" w:lineRule="auto"/>
        <w:jc w:val="both"/>
        <w:rPr>
          <w:rFonts w:ascii="Book Antiqua" w:hAnsi="Book Antiqua"/>
        </w:rPr>
      </w:pPr>
    </w:p>
    <w:p w14:paraId="5B7A3FB0"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i/>
          <w:color w:val="000000"/>
        </w:rPr>
        <w:t>Research methods</w:t>
      </w:r>
    </w:p>
    <w:p w14:paraId="7BEA1FB2" w14:textId="27D1B68A"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Retrospective review of all patients who underwent hepatic artery embolization</w:t>
      </w:r>
      <w:r w:rsidR="0073428E"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between 2010 and 2011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162) was performed. After removing exclusions, the study group comprised of 84 patients with 106 procedures. CIN was defined as 25% increase above baseline serum creatinine or absolute increase ≥</w:t>
      </w:r>
      <w:r w:rsidR="0073428E"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0.5 mg/dL within 72 h post-embolization. Post-embolization </w:t>
      </w:r>
      <w:r w:rsidR="00AD3711" w:rsidRPr="0080707E">
        <w:rPr>
          <w:rFonts w:ascii="Book Antiqua" w:eastAsia="Book Antiqua" w:hAnsi="Book Antiqua" w:cs="Book Antiqua"/>
          <w:color w:val="000000"/>
        </w:rPr>
        <w:t>computed tomographic (CT)</w:t>
      </w:r>
      <w:r w:rsidRPr="0080707E">
        <w:rPr>
          <w:rFonts w:ascii="Book Antiqua" w:eastAsia="Book Antiqua" w:hAnsi="Book Antiqua" w:cs="Book Antiqua"/>
          <w:color w:val="000000"/>
        </w:rPr>
        <w:t xml:space="preserve"> was reviewed for renal enhancement patterns and presence of renal artery calcifications. The association between non-contrast CT findings and CIN development was examined by Fisher’s Exact Test.</w:t>
      </w:r>
    </w:p>
    <w:p w14:paraId="5FCEEAEB" w14:textId="77777777" w:rsidR="00A77B3E" w:rsidRPr="0080707E" w:rsidRDefault="00A77B3E" w:rsidP="0080707E">
      <w:pPr>
        <w:snapToGrid w:val="0"/>
        <w:spacing w:line="360" w:lineRule="auto"/>
        <w:jc w:val="both"/>
        <w:rPr>
          <w:rFonts w:ascii="Book Antiqua" w:hAnsi="Book Antiqua"/>
        </w:rPr>
      </w:pPr>
    </w:p>
    <w:p w14:paraId="201731EF"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i/>
          <w:color w:val="000000"/>
        </w:rPr>
        <w:t>Research results</w:t>
      </w:r>
    </w:p>
    <w:p w14:paraId="34E35B44" w14:textId="732A099A"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CIN occurred in 11/106 (10.3%) procedures (Group A,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10). The renal enhancement pattern in patients who did not experience CIN (Group B,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74 with 95/106 procedures) was late excretory in 93/95 (98%) and early excretory (EE) in 2/95 (2%). However, in Group A, there was a significantly higher rate of EE pattern (6/11, 55%) compared to </w:t>
      </w:r>
      <w:r w:rsidR="0073428E" w:rsidRPr="0080707E">
        <w:rPr>
          <w:rFonts w:ascii="Book Antiqua" w:eastAsia="Book Antiqua" w:hAnsi="Book Antiqua" w:cs="Book Antiqua"/>
          <w:color w:val="000000"/>
        </w:rPr>
        <w:t>late excretory</w:t>
      </w:r>
      <w:r w:rsidRPr="0080707E">
        <w:rPr>
          <w:rFonts w:ascii="Book Antiqua" w:eastAsia="Book Antiqua" w:hAnsi="Book Antiqua" w:cs="Book Antiqua"/>
          <w:color w:val="000000"/>
        </w:rPr>
        <w:t xml:space="preserve"> pattern (5/11) (</w:t>
      </w:r>
      <w:r w:rsidR="00AD3711" w:rsidRPr="0080707E">
        <w:rPr>
          <w:rFonts w:ascii="Book Antiqua" w:eastAsia="Book Antiqua" w:hAnsi="Book Antiqua" w:cs="Book Antiqua"/>
          <w:i/>
          <w:iCs/>
          <w:color w:val="000000"/>
        </w:rPr>
        <w:t>P</w:t>
      </w:r>
      <w:r w:rsidR="0073428E"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&lt;</w:t>
      </w:r>
      <w:r w:rsidR="0073428E" w:rsidRPr="0080707E">
        <w:rPr>
          <w:rFonts w:ascii="Book Antiqua" w:eastAsia="Book Antiqua" w:hAnsi="Book Antiqua" w:cs="Book Antiqua"/>
          <w:i/>
          <w:iCs/>
          <w:color w:val="000000"/>
        </w:rPr>
        <w:t xml:space="preserve"> </w:t>
      </w:r>
      <w:r w:rsidR="0073428E" w:rsidRPr="0080707E">
        <w:rPr>
          <w:rFonts w:ascii="Book Antiqua" w:eastAsia="Book Antiqua" w:hAnsi="Book Antiqua" w:cs="Book Antiqua"/>
          <w:color w:val="000000"/>
        </w:rPr>
        <w:t>0</w:t>
      </w:r>
      <w:r w:rsidRPr="0080707E">
        <w:rPr>
          <w:rFonts w:ascii="Book Antiqua" w:eastAsia="Book Antiqua" w:hAnsi="Book Antiqua" w:cs="Book Antiqua"/>
          <w:color w:val="000000"/>
        </w:rPr>
        <w:t xml:space="preserve">.001). A significantly higher percentage of patients that developed CIN had renal artery calcifications (6/11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20/95, 55%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21%, </w:t>
      </w:r>
      <w:r w:rsidR="00AD3711" w:rsidRPr="0080707E">
        <w:rPr>
          <w:rFonts w:ascii="Book Antiqua" w:eastAsia="Book Antiqua" w:hAnsi="Book Antiqua" w:cs="Book Antiqua"/>
          <w:i/>
          <w:iCs/>
          <w:color w:val="000000"/>
        </w:rPr>
        <w:t>P</w:t>
      </w:r>
      <w:r w:rsidR="004F63BD" w:rsidRPr="0080707E">
        <w:rPr>
          <w:rFonts w:ascii="Book Antiqua" w:eastAsia="Book Antiqua" w:hAnsi="Book Antiqua" w:cs="Book Antiqua"/>
          <w:i/>
          <w:iCs/>
          <w:color w:val="000000"/>
        </w:rPr>
        <w:t xml:space="preserve"> </w:t>
      </w:r>
      <w:r w:rsidRPr="0080707E">
        <w:rPr>
          <w:rFonts w:ascii="Book Antiqua" w:eastAsia="Book Antiqua" w:hAnsi="Book Antiqua" w:cs="Book Antiqua"/>
          <w:color w:val="000000"/>
        </w:rPr>
        <w:t>=</w:t>
      </w:r>
      <w:r w:rsidR="004F63BD"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0.02).</w:t>
      </w:r>
    </w:p>
    <w:p w14:paraId="11311773" w14:textId="77777777" w:rsidR="00A77B3E" w:rsidRPr="0080707E" w:rsidRDefault="00A77B3E" w:rsidP="0080707E">
      <w:pPr>
        <w:snapToGrid w:val="0"/>
        <w:spacing w:line="360" w:lineRule="auto"/>
        <w:jc w:val="both"/>
        <w:rPr>
          <w:rFonts w:ascii="Book Antiqua" w:hAnsi="Book Antiqua"/>
        </w:rPr>
      </w:pPr>
    </w:p>
    <w:p w14:paraId="235D3ECB"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i/>
          <w:color w:val="000000"/>
        </w:rPr>
        <w:t>Research conclusions</w:t>
      </w:r>
    </w:p>
    <w:p w14:paraId="4B3EA512" w14:textId="7D503E09" w:rsidR="00A77B3E" w:rsidRPr="0080707E" w:rsidRDefault="00AD371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A</w:t>
      </w:r>
      <w:r w:rsidR="008F2971" w:rsidRPr="0080707E">
        <w:rPr>
          <w:rFonts w:ascii="Book Antiqua" w:eastAsia="Book Antiqua" w:hAnsi="Book Antiqua" w:cs="Book Antiqua"/>
          <w:color w:val="000000"/>
        </w:rPr>
        <w:t xml:space="preserve"> hyperdense renal parenchyma relative to surrounding skeletal muscle (EE pattern) and presence of renal artery calcifications on immediate post-HAE non-contrast CT images in patients with low risk for CIN are independently associated with CIN development. </w:t>
      </w:r>
    </w:p>
    <w:p w14:paraId="3D4F8DA3" w14:textId="77777777" w:rsidR="00A77B3E" w:rsidRPr="0080707E" w:rsidRDefault="00A77B3E" w:rsidP="0080707E">
      <w:pPr>
        <w:snapToGrid w:val="0"/>
        <w:spacing w:line="360" w:lineRule="auto"/>
        <w:jc w:val="both"/>
        <w:rPr>
          <w:rFonts w:ascii="Book Antiqua" w:hAnsi="Book Antiqua"/>
        </w:rPr>
      </w:pPr>
    </w:p>
    <w:p w14:paraId="2FF987D9"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i/>
          <w:color w:val="000000"/>
        </w:rPr>
        <w:t>Research perspectives</w:t>
      </w:r>
    </w:p>
    <w:p w14:paraId="12DD5D50"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Prospective studies are required to further assess the findings of this study. </w:t>
      </w:r>
    </w:p>
    <w:p w14:paraId="0270F83D" w14:textId="77777777" w:rsidR="00A77B3E" w:rsidRPr="0080707E" w:rsidRDefault="00A77B3E" w:rsidP="0080707E">
      <w:pPr>
        <w:snapToGrid w:val="0"/>
        <w:spacing w:line="360" w:lineRule="auto"/>
        <w:jc w:val="both"/>
        <w:rPr>
          <w:rFonts w:ascii="Book Antiqua" w:hAnsi="Book Antiqua"/>
        </w:rPr>
      </w:pPr>
    </w:p>
    <w:p w14:paraId="42EFF9AD"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REFERENCES</w:t>
      </w:r>
    </w:p>
    <w:p w14:paraId="0B4A4090"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 </w:t>
      </w:r>
      <w:proofErr w:type="spellStart"/>
      <w:r w:rsidRPr="0080707E">
        <w:rPr>
          <w:rFonts w:ascii="Book Antiqua" w:eastAsia="Book Antiqua" w:hAnsi="Book Antiqua" w:cs="Book Antiqua"/>
          <w:b/>
          <w:bCs/>
          <w:color w:val="000000"/>
        </w:rPr>
        <w:t>Parfrey</w:t>
      </w:r>
      <w:proofErr w:type="spellEnd"/>
      <w:r w:rsidRPr="0080707E">
        <w:rPr>
          <w:rFonts w:ascii="Book Antiqua" w:eastAsia="Book Antiqua" w:hAnsi="Book Antiqua" w:cs="Book Antiqua"/>
          <w:b/>
          <w:bCs/>
          <w:color w:val="000000"/>
        </w:rPr>
        <w:t xml:space="preserve"> PS</w:t>
      </w:r>
      <w:r w:rsidRPr="0080707E">
        <w:rPr>
          <w:rFonts w:ascii="Book Antiqua" w:eastAsia="Book Antiqua" w:hAnsi="Book Antiqua" w:cs="Book Antiqua"/>
          <w:color w:val="000000"/>
        </w:rPr>
        <w:t xml:space="preserve">, Griffiths SM, Barrett BJ, Paul MD, </w:t>
      </w:r>
      <w:proofErr w:type="spellStart"/>
      <w:r w:rsidRPr="0080707E">
        <w:rPr>
          <w:rFonts w:ascii="Book Antiqua" w:eastAsia="Book Antiqua" w:hAnsi="Book Antiqua" w:cs="Book Antiqua"/>
          <w:color w:val="000000"/>
        </w:rPr>
        <w:t>Genge</w:t>
      </w:r>
      <w:proofErr w:type="spellEnd"/>
      <w:r w:rsidRPr="0080707E">
        <w:rPr>
          <w:rFonts w:ascii="Book Antiqua" w:eastAsia="Book Antiqua" w:hAnsi="Book Antiqua" w:cs="Book Antiqua"/>
          <w:color w:val="000000"/>
        </w:rPr>
        <w:t xml:space="preserve"> M, Withers J, Farid N, McManamon PJ. Contrast material-induced renal failure in patients with diabetes mellitus, renal insufficiency, or both. A prospective controlled study. </w:t>
      </w:r>
      <w:r w:rsidRPr="0080707E">
        <w:rPr>
          <w:rFonts w:ascii="Book Antiqua" w:eastAsia="Book Antiqua" w:hAnsi="Book Antiqua" w:cs="Book Antiqua"/>
          <w:i/>
          <w:iCs/>
          <w:color w:val="000000"/>
        </w:rPr>
        <w:t xml:space="preserve">N </w:t>
      </w:r>
      <w:proofErr w:type="spellStart"/>
      <w:r w:rsidRPr="0080707E">
        <w:rPr>
          <w:rFonts w:ascii="Book Antiqua" w:eastAsia="Book Antiqua" w:hAnsi="Book Antiqua" w:cs="Book Antiqua"/>
          <w:i/>
          <w:iCs/>
          <w:color w:val="000000"/>
        </w:rPr>
        <w:t>Engl</w:t>
      </w:r>
      <w:proofErr w:type="spellEnd"/>
      <w:r w:rsidRPr="0080707E">
        <w:rPr>
          <w:rFonts w:ascii="Book Antiqua" w:eastAsia="Book Antiqua" w:hAnsi="Book Antiqua" w:cs="Book Antiqua"/>
          <w:i/>
          <w:iCs/>
          <w:color w:val="000000"/>
        </w:rPr>
        <w:t xml:space="preserve"> J Med</w:t>
      </w:r>
      <w:r w:rsidRPr="0080707E">
        <w:rPr>
          <w:rFonts w:ascii="Book Antiqua" w:eastAsia="Book Antiqua" w:hAnsi="Book Antiqua" w:cs="Book Antiqua"/>
          <w:color w:val="000000"/>
        </w:rPr>
        <w:t xml:space="preserve"> 1989; </w:t>
      </w:r>
      <w:r w:rsidRPr="0080707E">
        <w:rPr>
          <w:rFonts w:ascii="Book Antiqua" w:eastAsia="Book Antiqua" w:hAnsi="Book Antiqua" w:cs="Book Antiqua"/>
          <w:b/>
          <w:bCs/>
          <w:color w:val="000000"/>
        </w:rPr>
        <w:t>320</w:t>
      </w:r>
      <w:r w:rsidRPr="0080707E">
        <w:rPr>
          <w:rFonts w:ascii="Book Antiqua" w:eastAsia="Book Antiqua" w:hAnsi="Book Antiqua" w:cs="Book Antiqua"/>
          <w:color w:val="000000"/>
        </w:rPr>
        <w:t>: 143-149 [PMID: 2643041 DOI: 10.1056/NEJM198901193200303]</w:t>
      </w:r>
    </w:p>
    <w:p w14:paraId="3A9B8F35"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 </w:t>
      </w:r>
      <w:r w:rsidRPr="0080707E">
        <w:rPr>
          <w:rFonts w:ascii="Book Antiqua" w:eastAsia="Book Antiqua" w:hAnsi="Book Antiqua" w:cs="Book Antiqua"/>
          <w:b/>
          <w:bCs/>
          <w:color w:val="000000"/>
        </w:rPr>
        <w:t>Goldenberg I</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Matetzky</w:t>
      </w:r>
      <w:proofErr w:type="spellEnd"/>
      <w:r w:rsidRPr="0080707E">
        <w:rPr>
          <w:rFonts w:ascii="Book Antiqua" w:eastAsia="Book Antiqua" w:hAnsi="Book Antiqua" w:cs="Book Antiqua"/>
          <w:color w:val="000000"/>
        </w:rPr>
        <w:t xml:space="preserve"> S. Nephropathy induced by contrast media: pathogenesis, risk factors and preventive strategies. </w:t>
      </w:r>
      <w:r w:rsidRPr="0080707E">
        <w:rPr>
          <w:rFonts w:ascii="Book Antiqua" w:eastAsia="Book Antiqua" w:hAnsi="Book Antiqua" w:cs="Book Antiqua"/>
          <w:i/>
          <w:iCs/>
          <w:color w:val="000000"/>
        </w:rPr>
        <w:t>CMAJ</w:t>
      </w:r>
      <w:r w:rsidRPr="0080707E">
        <w:rPr>
          <w:rFonts w:ascii="Book Antiqua" w:eastAsia="Book Antiqua" w:hAnsi="Book Antiqua" w:cs="Book Antiqua"/>
          <w:color w:val="000000"/>
        </w:rPr>
        <w:t xml:space="preserve"> 2005; </w:t>
      </w:r>
      <w:r w:rsidRPr="0080707E">
        <w:rPr>
          <w:rFonts w:ascii="Book Antiqua" w:eastAsia="Book Antiqua" w:hAnsi="Book Antiqua" w:cs="Book Antiqua"/>
          <w:b/>
          <w:bCs/>
          <w:color w:val="000000"/>
        </w:rPr>
        <w:t>172</w:t>
      </w:r>
      <w:r w:rsidRPr="0080707E">
        <w:rPr>
          <w:rFonts w:ascii="Book Antiqua" w:eastAsia="Book Antiqua" w:hAnsi="Book Antiqua" w:cs="Book Antiqua"/>
          <w:color w:val="000000"/>
        </w:rPr>
        <w:t>: 1461-1471 [PMID: 15911862 DOI: 10.1503/cmaj.1040847]</w:t>
      </w:r>
    </w:p>
    <w:p w14:paraId="7CD1B53F"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3 </w:t>
      </w:r>
      <w:r w:rsidRPr="0080707E">
        <w:rPr>
          <w:rFonts w:ascii="Book Antiqua" w:eastAsia="Book Antiqua" w:hAnsi="Book Antiqua" w:cs="Book Antiqua"/>
          <w:b/>
          <w:bCs/>
          <w:color w:val="000000"/>
        </w:rPr>
        <w:t>Gleeson TG</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Bulugahapitiya</w:t>
      </w:r>
      <w:proofErr w:type="spellEnd"/>
      <w:r w:rsidRPr="0080707E">
        <w:rPr>
          <w:rFonts w:ascii="Book Antiqua" w:eastAsia="Book Antiqua" w:hAnsi="Book Antiqua" w:cs="Book Antiqua"/>
          <w:color w:val="000000"/>
        </w:rPr>
        <w:t xml:space="preserve"> S. Contrast-induced nephropathy. </w:t>
      </w:r>
      <w:r w:rsidRPr="0080707E">
        <w:rPr>
          <w:rFonts w:ascii="Book Antiqua" w:eastAsia="Book Antiqua" w:hAnsi="Book Antiqua" w:cs="Book Antiqua"/>
          <w:i/>
          <w:iCs/>
          <w:color w:val="000000"/>
        </w:rPr>
        <w:t xml:space="preserve">AJR Am J </w:t>
      </w:r>
      <w:proofErr w:type="spellStart"/>
      <w:r w:rsidRPr="0080707E">
        <w:rPr>
          <w:rFonts w:ascii="Book Antiqua" w:eastAsia="Book Antiqua" w:hAnsi="Book Antiqua" w:cs="Book Antiqua"/>
          <w:i/>
          <w:iCs/>
          <w:color w:val="000000"/>
        </w:rPr>
        <w:t>Roentgenol</w:t>
      </w:r>
      <w:proofErr w:type="spellEnd"/>
      <w:r w:rsidRPr="0080707E">
        <w:rPr>
          <w:rFonts w:ascii="Book Antiqua" w:eastAsia="Book Antiqua" w:hAnsi="Book Antiqua" w:cs="Book Antiqua"/>
          <w:color w:val="000000"/>
        </w:rPr>
        <w:t xml:space="preserve"> 2004; </w:t>
      </w:r>
      <w:r w:rsidRPr="0080707E">
        <w:rPr>
          <w:rFonts w:ascii="Book Antiqua" w:eastAsia="Book Antiqua" w:hAnsi="Book Antiqua" w:cs="Book Antiqua"/>
          <w:b/>
          <w:bCs/>
          <w:color w:val="000000"/>
        </w:rPr>
        <w:t>183</w:t>
      </w:r>
      <w:r w:rsidRPr="0080707E">
        <w:rPr>
          <w:rFonts w:ascii="Book Antiqua" w:eastAsia="Book Antiqua" w:hAnsi="Book Antiqua" w:cs="Book Antiqua"/>
          <w:color w:val="000000"/>
        </w:rPr>
        <w:t>: 1673-1689 [PMID: 15547209 DOI: 10.2214/ajr.183.6.01831673]</w:t>
      </w:r>
    </w:p>
    <w:p w14:paraId="14233FA7"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4 </w:t>
      </w:r>
      <w:proofErr w:type="spellStart"/>
      <w:r w:rsidRPr="0080707E">
        <w:rPr>
          <w:rFonts w:ascii="Book Antiqua" w:eastAsia="Book Antiqua" w:hAnsi="Book Antiqua" w:cs="Book Antiqua"/>
          <w:b/>
          <w:bCs/>
          <w:color w:val="000000"/>
        </w:rPr>
        <w:t>Hou</w:t>
      </w:r>
      <w:proofErr w:type="spellEnd"/>
      <w:r w:rsidRPr="0080707E">
        <w:rPr>
          <w:rFonts w:ascii="Book Antiqua" w:eastAsia="Book Antiqua" w:hAnsi="Book Antiqua" w:cs="Book Antiqua"/>
          <w:b/>
          <w:bCs/>
          <w:color w:val="000000"/>
        </w:rPr>
        <w:t xml:space="preserve"> SH</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Bushinsky</w:t>
      </w:r>
      <w:proofErr w:type="spellEnd"/>
      <w:r w:rsidRPr="0080707E">
        <w:rPr>
          <w:rFonts w:ascii="Book Antiqua" w:eastAsia="Book Antiqua" w:hAnsi="Book Antiqua" w:cs="Book Antiqua"/>
          <w:color w:val="000000"/>
        </w:rPr>
        <w:t xml:space="preserve"> DA, Wish JB, Cohen JJ, Harrington JT. Hospital-acquired renal insufficiency: a prospective study. </w:t>
      </w:r>
      <w:r w:rsidRPr="0080707E">
        <w:rPr>
          <w:rFonts w:ascii="Book Antiqua" w:eastAsia="Book Antiqua" w:hAnsi="Book Antiqua" w:cs="Book Antiqua"/>
          <w:i/>
          <w:iCs/>
          <w:color w:val="000000"/>
        </w:rPr>
        <w:t>Am J Med</w:t>
      </w:r>
      <w:r w:rsidRPr="0080707E">
        <w:rPr>
          <w:rFonts w:ascii="Book Antiqua" w:eastAsia="Book Antiqua" w:hAnsi="Book Antiqua" w:cs="Book Antiqua"/>
          <w:color w:val="000000"/>
        </w:rPr>
        <w:t xml:space="preserve"> 1983; </w:t>
      </w:r>
      <w:r w:rsidRPr="0080707E">
        <w:rPr>
          <w:rFonts w:ascii="Book Antiqua" w:eastAsia="Book Antiqua" w:hAnsi="Book Antiqua" w:cs="Book Antiqua"/>
          <w:b/>
          <w:bCs/>
          <w:color w:val="000000"/>
        </w:rPr>
        <w:t>74</w:t>
      </w:r>
      <w:r w:rsidRPr="0080707E">
        <w:rPr>
          <w:rFonts w:ascii="Book Antiqua" w:eastAsia="Book Antiqua" w:hAnsi="Book Antiqua" w:cs="Book Antiqua"/>
          <w:color w:val="000000"/>
        </w:rPr>
        <w:t>: 243-248 [PMID: 6824004 DOI: 10.1016/0002-9343(83)90618-6]</w:t>
      </w:r>
    </w:p>
    <w:p w14:paraId="274DB69F" w14:textId="5FFCED5E"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5 </w:t>
      </w:r>
      <w:r w:rsidRPr="0080707E">
        <w:rPr>
          <w:rFonts w:ascii="Book Antiqua" w:eastAsia="Book Antiqua" w:hAnsi="Book Antiqua" w:cs="Book Antiqua"/>
          <w:b/>
          <w:bCs/>
          <w:color w:val="000000"/>
        </w:rPr>
        <w:t>Mehran R</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Nikolsky</w:t>
      </w:r>
      <w:proofErr w:type="spellEnd"/>
      <w:r w:rsidRPr="0080707E">
        <w:rPr>
          <w:rFonts w:ascii="Book Antiqua" w:eastAsia="Book Antiqua" w:hAnsi="Book Antiqua" w:cs="Book Antiqua"/>
          <w:color w:val="000000"/>
        </w:rPr>
        <w:t xml:space="preserve"> E. Contrast-induced nephropathy: definition, epidemiology, and patients at risk. </w:t>
      </w:r>
      <w:r w:rsidRPr="0080707E">
        <w:rPr>
          <w:rFonts w:ascii="Book Antiqua" w:eastAsia="Book Antiqua" w:hAnsi="Book Antiqua" w:cs="Book Antiqua"/>
          <w:i/>
          <w:iCs/>
          <w:color w:val="000000"/>
        </w:rPr>
        <w:t>Kidney Int Suppl</w:t>
      </w:r>
      <w:r w:rsidR="00AD3711" w:rsidRPr="0080707E">
        <w:rPr>
          <w:rFonts w:ascii="Book Antiqua" w:eastAsia="Book Antiqua" w:hAnsi="Book Antiqua" w:cs="Book Antiqua"/>
          <w:color w:val="000000"/>
        </w:rPr>
        <w:t xml:space="preserve"> 2006; </w:t>
      </w:r>
      <w:r w:rsidRPr="0080707E">
        <w:rPr>
          <w:rFonts w:ascii="Book Antiqua" w:eastAsia="Book Antiqua" w:hAnsi="Book Antiqua" w:cs="Book Antiqua"/>
          <w:color w:val="000000"/>
        </w:rPr>
        <w:t>S11-S15 [PMID: 16612394 DOI: 10.1038/sj.ki.5000368]</w:t>
      </w:r>
    </w:p>
    <w:p w14:paraId="6B63BA24"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6 </w:t>
      </w:r>
      <w:r w:rsidRPr="0080707E">
        <w:rPr>
          <w:rFonts w:ascii="Book Antiqua" w:eastAsia="Book Antiqua" w:hAnsi="Book Antiqua" w:cs="Book Antiqua"/>
          <w:b/>
          <w:bCs/>
          <w:color w:val="000000"/>
        </w:rPr>
        <w:t>McCullough PA</w:t>
      </w:r>
      <w:r w:rsidRPr="0080707E">
        <w:rPr>
          <w:rFonts w:ascii="Book Antiqua" w:eastAsia="Book Antiqua" w:hAnsi="Book Antiqua" w:cs="Book Antiqua"/>
          <w:color w:val="000000"/>
        </w:rPr>
        <w:t xml:space="preserve">, Adam A, Becker CR, Davidson C, </w:t>
      </w:r>
      <w:proofErr w:type="spellStart"/>
      <w:r w:rsidRPr="0080707E">
        <w:rPr>
          <w:rFonts w:ascii="Book Antiqua" w:eastAsia="Book Antiqua" w:hAnsi="Book Antiqua" w:cs="Book Antiqua"/>
          <w:color w:val="000000"/>
        </w:rPr>
        <w:t>Lameire</w:t>
      </w:r>
      <w:proofErr w:type="spellEnd"/>
      <w:r w:rsidRPr="0080707E">
        <w:rPr>
          <w:rFonts w:ascii="Book Antiqua" w:eastAsia="Book Antiqua" w:hAnsi="Book Antiqua" w:cs="Book Antiqua"/>
          <w:color w:val="000000"/>
        </w:rPr>
        <w:t xml:space="preserve"> N, </w:t>
      </w:r>
      <w:proofErr w:type="spellStart"/>
      <w:r w:rsidRPr="0080707E">
        <w:rPr>
          <w:rFonts w:ascii="Book Antiqua" w:eastAsia="Book Antiqua" w:hAnsi="Book Antiqua" w:cs="Book Antiqua"/>
          <w:color w:val="000000"/>
        </w:rPr>
        <w:t>Stacul</w:t>
      </w:r>
      <w:proofErr w:type="spellEnd"/>
      <w:r w:rsidRPr="0080707E">
        <w:rPr>
          <w:rFonts w:ascii="Book Antiqua" w:eastAsia="Book Antiqua" w:hAnsi="Book Antiqua" w:cs="Book Antiqua"/>
          <w:color w:val="000000"/>
        </w:rPr>
        <w:t xml:space="preserve"> F, </w:t>
      </w:r>
      <w:proofErr w:type="spellStart"/>
      <w:r w:rsidRPr="0080707E">
        <w:rPr>
          <w:rFonts w:ascii="Book Antiqua" w:eastAsia="Book Antiqua" w:hAnsi="Book Antiqua" w:cs="Book Antiqua"/>
          <w:color w:val="000000"/>
        </w:rPr>
        <w:t>Tumlin</w:t>
      </w:r>
      <w:proofErr w:type="spellEnd"/>
      <w:r w:rsidRPr="0080707E">
        <w:rPr>
          <w:rFonts w:ascii="Book Antiqua" w:eastAsia="Book Antiqua" w:hAnsi="Book Antiqua" w:cs="Book Antiqua"/>
          <w:color w:val="000000"/>
        </w:rPr>
        <w:t xml:space="preserve"> J; CIN Consensus Working Panel. Risk prediction of contrast-induced nephropathy. </w:t>
      </w:r>
      <w:r w:rsidRPr="0080707E">
        <w:rPr>
          <w:rFonts w:ascii="Book Antiqua" w:eastAsia="Book Antiqua" w:hAnsi="Book Antiqua" w:cs="Book Antiqua"/>
          <w:i/>
          <w:iCs/>
          <w:color w:val="000000"/>
        </w:rPr>
        <w:t xml:space="preserve">Am J </w:t>
      </w:r>
      <w:proofErr w:type="spellStart"/>
      <w:r w:rsidRPr="0080707E">
        <w:rPr>
          <w:rFonts w:ascii="Book Antiqua" w:eastAsia="Book Antiqua" w:hAnsi="Book Antiqua" w:cs="Book Antiqua"/>
          <w:i/>
          <w:iCs/>
          <w:color w:val="000000"/>
        </w:rPr>
        <w:t>Cardiol</w:t>
      </w:r>
      <w:proofErr w:type="spellEnd"/>
      <w:r w:rsidRPr="0080707E">
        <w:rPr>
          <w:rFonts w:ascii="Book Antiqua" w:eastAsia="Book Antiqua" w:hAnsi="Book Antiqua" w:cs="Book Antiqua"/>
          <w:color w:val="000000"/>
        </w:rPr>
        <w:t xml:space="preserve"> 2006; </w:t>
      </w:r>
      <w:r w:rsidRPr="0080707E">
        <w:rPr>
          <w:rFonts w:ascii="Book Antiqua" w:eastAsia="Book Antiqua" w:hAnsi="Book Antiqua" w:cs="Book Antiqua"/>
          <w:b/>
          <w:bCs/>
          <w:color w:val="000000"/>
        </w:rPr>
        <w:t>98</w:t>
      </w:r>
      <w:r w:rsidRPr="0080707E">
        <w:rPr>
          <w:rFonts w:ascii="Book Antiqua" w:eastAsia="Book Antiqua" w:hAnsi="Book Antiqua" w:cs="Book Antiqua"/>
          <w:color w:val="000000"/>
        </w:rPr>
        <w:t>: 27K-36K [PMID: 16949378 DOI: 10.1016/j.amjcard.2006.01.022]</w:t>
      </w:r>
    </w:p>
    <w:p w14:paraId="6BE8E2BF"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7 </w:t>
      </w:r>
      <w:r w:rsidRPr="0080707E">
        <w:rPr>
          <w:rFonts w:ascii="Book Antiqua" w:eastAsia="Book Antiqua" w:hAnsi="Book Antiqua" w:cs="Book Antiqua"/>
          <w:b/>
          <w:bCs/>
          <w:color w:val="000000"/>
        </w:rPr>
        <w:t>Mehran R</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Aymong</w:t>
      </w:r>
      <w:proofErr w:type="spellEnd"/>
      <w:r w:rsidRPr="0080707E">
        <w:rPr>
          <w:rFonts w:ascii="Book Antiqua" w:eastAsia="Book Antiqua" w:hAnsi="Book Antiqua" w:cs="Book Antiqua"/>
          <w:color w:val="000000"/>
        </w:rPr>
        <w:t xml:space="preserve"> ED, </w:t>
      </w:r>
      <w:proofErr w:type="spellStart"/>
      <w:r w:rsidRPr="0080707E">
        <w:rPr>
          <w:rFonts w:ascii="Book Antiqua" w:eastAsia="Book Antiqua" w:hAnsi="Book Antiqua" w:cs="Book Antiqua"/>
          <w:color w:val="000000"/>
        </w:rPr>
        <w:t>Nikolsky</w:t>
      </w:r>
      <w:proofErr w:type="spellEnd"/>
      <w:r w:rsidRPr="0080707E">
        <w:rPr>
          <w:rFonts w:ascii="Book Antiqua" w:eastAsia="Book Antiqua" w:hAnsi="Book Antiqua" w:cs="Book Antiqua"/>
          <w:color w:val="000000"/>
        </w:rPr>
        <w:t xml:space="preserve"> E, </w:t>
      </w:r>
      <w:proofErr w:type="spellStart"/>
      <w:r w:rsidRPr="0080707E">
        <w:rPr>
          <w:rFonts w:ascii="Book Antiqua" w:eastAsia="Book Antiqua" w:hAnsi="Book Antiqua" w:cs="Book Antiqua"/>
          <w:color w:val="000000"/>
        </w:rPr>
        <w:t>Lasic</w:t>
      </w:r>
      <w:proofErr w:type="spellEnd"/>
      <w:r w:rsidRPr="0080707E">
        <w:rPr>
          <w:rFonts w:ascii="Book Antiqua" w:eastAsia="Book Antiqua" w:hAnsi="Book Antiqua" w:cs="Book Antiqua"/>
          <w:color w:val="000000"/>
        </w:rPr>
        <w:t xml:space="preserve"> Z, </w:t>
      </w:r>
      <w:proofErr w:type="spellStart"/>
      <w:r w:rsidRPr="0080707E">
        <w:rPr>
          <w:rFonts w:ascii="Book Antiqua" w:eastAsia="Book Antiqua" w:hAnsi="Book Antiqua" w:cs="Book Antiqua"/>
          <w:color w:val="000000"/>
        </w:rPr>
        <w:t>Iakovou</w:t>
      </w:r>
      <w:proofErr w:type="spellEnd"/>
      <w:r w:rsidRPr="0080707E">
        <w:rPr>
          <w:rFonts w:ascii="Book Antiqua" w:eastAsia="Book Antiqua" w:hAnsi="Book Antiqua" w:cs="Book Antiqua"/>
          <w:color w:val="000000"/>
        </w:rPr>
        <w:t xml:space="preserve"> I, Fahy M, </w:t>
      </w:r>
      <w:proofErr w:type="spellStart"/>
      <w:r w:rsidRPr="0080707E">
        <w:rPr>
          <w:rFonts w:ascii="Book Antiqua" w:eastAsia="Book Antiqua" w:hAnsi="Book Antiqua" w:cs="Book Antiqua"/>
          <w:color w:val="000000"/>
        </w:rPr>
        <w:t>Mintz</w:t>
      </w:r>
      <w:proofErr w:type="spellEnd"/>
      <w:r w:rsidRPr="0080707E">
        <w:rPr>
          <w:rFonts w:ascii="Book Antiqua" w:eastAsia="Book Antiqua" w:hAnsi="Book Antiqua" w:cs="Book Antiqua"/>
          <w:color w:val="000000"/>
        </w:rPr>
        <w:t xml:space="preserve"> GS, Lansky AJ, Moses JW, Stone GW, Leon MB, </w:t>
      </w:r>
      <w:proofErr w:type="spellStart"/>
      <w:r w:rsidRPr="0080707E">
        <w:rPr>
          <w:rFonts w:ascii="Book Antiqua" w:eastAsia="Book Antiqua" w:hAnsi="Book Antiqua" w:cs="Book Antiqua"/>
          <w:color w:val="000000"/>
        </w:rPr>
        <w:t>Dangas</w:t>
      </w:r>
      <w:proofErr w:type="spellEnd"/>
      <w:r w:rsidRPr="0080707E">
        <w:rPr>
          <w:rFonts w:ascii="Book Antiqua" w:eastAsia="Book Antiqua" w:hAnsi="Book Antiqua" w:cs="Book Antiqua"/>
          <w:color w:val="000000"/>
        </w:rPr>
        <w:t xml:space="preserve"> G. A simple risk score for prediction of contrast-induced nephropathy after percutaneous coronary intervention: development and initial validation. </w:t>
      </w:r>
      <w:r w:rsidRPr="0080707E">
        <w:rPr>
          <w:rFonts w:ascii="Book Antiqua" w:eastAsia="Book Antiqua" w:hAnsi="Book Antiqua" w:cs="Book Antiqua"/>
          <w:i/>
          <w:iCs/>
          <w:color w:val="000000"/>
        </w:rPr>
        <w:t xml:space="preserve">J Am Coll </w:t>
      </w:r>
      <w:proofErr w:type="spellStart"/>
      <w:r w:rsidRPr="0080707E">
        <w:rPr>
          <w:rFonts w:ascii="Book Antiqua" w:eastAsia="Book Antiqua" w:hAnsi="Book Antiqua" w:cs="Book Antiqua"/>
          <w:i/>
          <w:iCs/>
          <w:color w:val="000000"/>
        </w:rPr>
        <w:t>Cardiol</w:t>
      </w:r>
      <w:proofErr w:type="spellEnd"/>
      <w:r w:rsidRPr="0080707E">
        <w:rPr>
          <w:rFonts w:ascii="Book Antiqua" w:eastAsia="Book Antiqua" w:hAnsi="Book Antiqua" w:cs="Book Antiqua"/>
          <w:color w:val="000000"/>
        </w:rPr>
        <w:t xml:space="preserve"> 2004; </w:t>
      </w:r>
      <w:r w:rsidRPr="0080707E">
        <w:rPr>
          <w:rFonts w:ascii="Book Antiqua" w:eastAsia="Book Antiqua" w:hAnsi="Book Antiqua" w:cs="Book Antiqua"/>
          <w:b/>
          <w:bCs/>
          <w:color w:val="000000"/>
        </w:rPr>
        <w:t>44</w:t>
      </w:r>
      <w:r w:rsidRPr="0080707E">
        <w:rPr>
          <w:rFonts w:ascii="Book Antiqua" w:eastAsia="Book Antiqua" w:hAnsi="Book Antiqua" w:cs="Book Antiqua"/>
          <w:color w:val="000000"/>
        </w:rPr>
        <w:t>: 1393-1399 [PMID: 15464318 DOI: 10.1016/j.jacc.2004.06.068]</w:t>
      </w:r>
    </w:p>
    <w:p w14:paraId="604FBA56"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lastRenderedPageBreak/>
        <w:t xml:space="preserve">8 </w:t>
      </w:r>
      <w:proofErr w:type="spellStart"/>
      <w:r w:rsidRPr="0080707E">
        <w:rPr>
          <w:rFonts w:ascii="Book Antiqua" w:eastAsia="Book Antiqua" w:hAnsi="Book Antiqua" w:cs="Book Antiqua"/>
          <w:b/>
          <w:bCs/>
          <w:color w:val="000000"/>
        </w:rPr>
        <w:t>Morcos</w:t>
      </w:r>
      <w:proofErr w:type="spellEnd"/>
      <w:r w:rsidRPr="0080707E">
        <w:rPr>
          <w:rFonts w:ascii="Book Antiqua" w:eastAsia="Book Antiqua" w:hAnsi="Book Antiqua" w:cs="Book Antiqua"/>
          <w:b/>
          <w:bCs/>
          <w:color w:val="000000"/>
        </w:rPr>
        <w:t xml:space="preserve"> SK</w:t>
      </w:r>
      <w:r w:rsidRPr="0080707E">
        <w:rPr>
          <w:rFonts w:ascii="Book Antiqua" w:eastAsia="Book Antiqua" w:hAnsi="Book Antiqua" w:cs="Book Antiqua"/>
          <w:color w:val="000000"/>
        </w:rPr>
        <w:t xml:space="preserve">, Thomsen HS, Webb JA. Contrast-media-induced nephrotoxicity: a consensus report. Contrast Media Safety Committee, European Society of Urogenital Radiology (ESUR). </w:t>
      </w:r>
      <w:proofErr w:type="spellStart"/>
      <w:r w:rsidRPr="0080707E">
        <w:rPr>
          <w:rFonts w:ascii="Book Antiqua" w:eastAsia="Book Antiqua" w:hAnsi="Book Antiqua" w:cs="Book Antiqua"/>
          <w:i/>
          <w:iCs/>
          <w:color w:val="000000"/>
        </w:rPr>
        <w:t>Eur</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Radiol</w:t>
      </w:r>
      <w:proofErr w:type="spellEnd"/>
      <w:r w:rsidRPr="0080707E">
        <w:rPr>
          <w:rFonts w:ascii="Book Antiqua" w:eastAsia="Book Antiqua" w:hAnsi="Book Antiqua" w:cs="Book Antiqua"/>
          <w:color w:val="000000"/>
        </w:rPr>
        <w:t xml:space="preserve"> 1999; </w:t>
      </w:r>
      <w:r w:rsidRPr="0080707E">
        <w:rPr>
          <w:rFonts w:ascii="Book Antiqua" w:eastAsia="Book Antiqua" w:hAnsi="Book Antiqua" w:cs="Book Antiqua"/>
          <w:b/>
          <w:bCs/>
          <w:color w:val="000000"/>
        </w:rPr>
        <w:t>9</w:t>
      </w:r>
      <w:r w:rsidRPr="0080707E">
        <w:rPr>
          <w:rFonts w:ascii="Book Antiqua" w:eastAsia="Book Antiqua" w:hAnsi="Book Antiqua" w:cs="Book Antiqua"/>
          <w:color w:val="000000"/>
        </w:rPr>
        <w:t>: 1602-1613 [PMID: 10525875 DOI: 10.1007/s003300050894]</w:t>
      </w:r>
    </w:p>
    <w:p w14:paraId="6DAC664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9 </w:t>
      </w:r>
      <w:proofErr w:type="spellStart"/>
      <w:r w:rsidRPr="0080707E">
        <w:rPr>
          <w:rFonts w:ascii="Book Antiqua" w:eastAsia="Book Antiqua" w:hAnsi="Book Antiqua" w:cs="Book Antiqua"/>
          <w:b/>
          <w:bCs/>
          <w:color w:val="000000"/>
        </w:rPr>
        <w:t>Kooiman</w:t>
      </w:r>
      <w:proofErr w:type="spellEnd"/>
      <w:r w:rsidRPr="0080707E">
        <w:rPr>
          <w:rFonts w:ascii="Book Antiqua" w:eastAsia="Book Antiqua" w:hAnsi="Book Antiqua" w:cs="Book Antiqua"/>
          <w:b/>
          <w:bCs/>
          <w:color w:val="000000"/>
        </w:rPr>
        <w:t xml:space="preserve"> J</w:t>
      </w:r>
      <w:r w:rsidRPr="0080707E">
        <w:rPr>
          <w:rFonts w:ascii="Book Antiqua" w:eastAsia="Book Antiqua" w:hAnsi="Book Antiqua" w:cs="Book Antiqua"/>
          <w:color w:val="000000"/>
        </w:rPr>
        <w:t xml:space="preserve">, Pasha SM, </w:t>
      </w:r>
      <w:proofErr w:type="spellStart"/>
      <w:r w:rsidRPr="0080707E">
        <w:rPr>
          <w:rFonts w:ascii="Book Antiqua" w:eastAsia="Book Antiqua" w:hAnsi="Book Antiqua" w:cs="Book Antiqua"/>
          <w:color w:val="000000"/>
        </w:rPr>
        <w:t>Zondag</w:t>
      </w:r>
      <w:proofErr w:type="spellEnd"/>
      <w:r w:rsidRPr="0080707E">
        <w:rPr>
          <w:rFonts w:ascii="Book Antiqua" w:eastAsia="Book Antiqua" w:hAnsi="Book Antiqua" w:cs="Book Antiqua"/>
          <w:color w:val="000000"/>
        </w:rPr>
        <w:t xml:space="preserve"> W, </w:t>
      </w:r>
      <w:proofErr w:type="spellStart"/>
      <w:r w:rsidRPr="0080707E">
        <w:rPr>
          <w:rFonts w:ascii="Book Antiqua" w:eastAsia="Book Antiqua" w:hAnsi="Book Antiqua" w:cs="Book Antiqua"/>
          <w:color w:val="000000"/>
        </w:rPr>
        <w:t>Sijpkens</w:t>
      </w:r>
      <w:proofErr w:type="spellEnd"/>
      <w:r w:rsidRPr="0080707E">
        <w:rPr>
          <w:rFonts w:ascii="Book Antiqua" w:eastAsia="Book Antiqua" w:hAnsi="Book Antiqua" w:cs="Book Antiqua"/>
          <w:color w:val="000000"/>
        </w:rPr>
        <w:t xml:space="preserve"> YW, van der </w:t>
      </w:r>
      <w:proofErr w:type="spellStart"/>
      <w:r w:rsidRPr="0080707E">
        <w:rPr>
          <w:rFonts w:ascii="Book Antiqua" w:eastAsia="Book Antiqua" w:hAnsi="Book Antiqua" w:cs="Book Antiqua"/>
          <w:color w:val="000000"/>
        </w:rPr>
        <w:t>Molen</w:t>
      </w:r>
      <w:proofErr w:type="spellEnd"/>
      <w:r w:rsidRPr="0080707E">
        <w:rPr>
          <w:rFonts w:ascii="Book Antiqua" w:eastAsia="Book Antiqua" w:hAnsi="Book Antiqua" w:cs="Book Antiqua"/>
          <w:color w:val="000000"/>
        </w:rPr>
        <w:t xml:space="preserve"> AJ, Huisman MV, </w:t>
      </w:r>
      <w:proofErr w:type="spellStart"/>
      <w:r w:rsidRPr="0080707E">
        <w:rPr>
          <w:rFonts w:ascii="Book Antiqua" w:eastAsia="Book Antiqua" w:hAnsi="Book Antiqua" w:cs="Book Antiqua"/>
          <w:color w:val="000000"/>
        </w:rPr>
        <w:t>Dekkers</w:t>
      </w:r>
      <w:proofErr w:type="spellEnd"/>
      <w:r w:rsidRPr="0080707E">
        <w:rPr>
          <w:rFonts w:ascii="Book Antiqua" w:eastAsia="Book Antiqua" w:hAnsi="Book Antiqua" w:cs="Book Antiqua"/>
          <w:color w:val="000000"/>
        </w:rPr>
        <w:t xml:space="preserve"> OM. Meta-analysis: serum creatinine changes following contrast enhanced CT imaging. </w:t>
      </w:r>
      <w:proofErr w:type="spellStart"/>
      <w:r w:rsidRPr="0080707E">
        <w:rPr>
          <w:rFonts w:ascii="Book Antiqua" w:eastAsia="Book Antiqua" w:hAnsi="Book Antiqua" w:cs="Book Antiqua"/>
          <w:i/>
          <w:iCs/>
          <w:color w:val="000000"/>
        </w:rPr>
        <w:t>Eur</w:t>
      </w:r>
      <w:proofErr w:type="spellEnd"/>
      <w:r w:rsidRPr="0080707E">
        <w:rPr>
          <w:rFonts w:ascii="Book Antiqua" w:eastAsia="Book Antiqua" w:hAnsi="Book Antiqua" w:cs="Book Antiqua"/>
          <w:i/>
          <w:iCs/>
          <w:color w:val="000000"/>
        </w:rPr>
        <w:t xml:space="preserve"> J </w:t>
      </w:r>
      <w:proofErr w:type="spellStart"/>
      <w:r w:rsidRPr="0080707E">
        <w:rPr>
          <w:rFonts w:ascii="Book Antiqua" w:eastAsia="Book Antiqua" w:hAnsi="Book Antiqua" w:cs="Book Antiqua"/>
          <w:i/>
          <w:iCs/>
          <w:color w:val="000000"/>
        </w:rPr>
        <w:t>Radiol</w:t>
      </w:r>
      <w:proofErr w:type="spellEnd"/>
      <w:r w:rsidRPr="0080707E">
        <w:rPr>
          <w:rFonts w:ascii="Book Antiqua" w:eastAsia="Book Antiqua" w:hAnsi="Book Antiqua" w:cs="Book Antiqua"/>
          <w:color w:val="000000"/>
        </w:rPr>
        <w:t xml:space="preserve"> 2012; </w:t>
      </w:r>
      <w:r w:rsidRPr="0080707E">
        <w:rPr>
          <w:rFonts w:ascii="Book Antiqua" w:eastAsia="Book Antiqua" w:hAnsi="Book Antiqua" w:cs="Book Antiqua"/>
          <w:b/>
          <w:bCs/>
          <w:color w:val="000000"/>
        </w:rPr>
        <w:t>81</w:t>
      </w:r>
      <w:r w:rsidRPr="0080707E">
        <w:rPr>
          <w:rFonts w:ascii="Book Antiqua" w:eastAsia="Book Antiqua" w:hAnsi="Book Antiqua" w:cs="Book Antiqua"/>
          <w:color w:val="000000"/>
        </w:rPr>
        <w:t>: 2554-2561 [PMID: 22177326 DOI: 10.1016/j.ejrad.2011.11.020]</w:t>
      </w:r>
    </w:p>
    <w:p w14:paraId="09DDC237"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10 </w:t>
      </w:r>
      <w:proofErr w:type="spellStart"/>
      <w:r w:rsidRPr="0080707E">
        <w:rPr>
          <w:rFonts w:ascii="Book Antiqua" w:eastAsia="Book Antiqua" w:hAnsi="Book Antiqua" w:cs="Book Antiqua"/>
          <w:b/>
          <w:bCs/>
          <w:color w:val="000000"/>
        </w:rPr>
        <w:t>Karlsberg</w:t>
      </w:r>
      <w:proofErr w:type="spellEnd"/>
      <w:r w:rsidRPr="0080707E">
        <w:rPr>
          <w:rFonts w:ascii="Book Antiqua" w:eastAsia="Book Antiqua" w:hAnsi="Book Antiqua" w:cs="Book Antiqua"/>
          <w:b/>
          <w:bCs/>
          <w:color w:val="000000"/>
        </w:rPr>
        <w:t xml:space="preserve"> RP</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Dohad</w:t>
      </w:r>
      <w:proofErr w:type="spellEnd"/>
      <w:r w:rsidRPr="0080707E">
        <w:rPr>
          <w:rFonts w:ascii="Book Antiqua" w:eastAsia="Book Antiqua" w:hAnsi="Book Antiqua" w:cs="Book Antiqua"/>
          <w:color w:val="000000"/>
        </w:rPr>
        <w:t xml:space="preserve"> SY, Sheng R; Iodixanol Peripheral CTA Study Investigator Panel. Contrast-induced acute kidney injury (CI-AKI) following intra-arterial administration of iodinated contrast media. </w:t>
      </w:r>
      <w:r w:rsidRPr="0080707E">
        <w:rPr>
          <w:rFonts w:ascii="Book Antiqua" w:eastAsia="Book Antiqua" w:hAnsi="Book Antiqua" w:cs="Book Antiqua"/>
          <w:i/>
          <w:iCs/>
          <w:color w:val="000000"/>
        </w:rPr>
        <w:t xml:space="preserve">J </w:t>
      </w:r>
      <w:proofErr w:type="spellStart"/>
      <w:r w:rsidRPr="0080707E">
        <w:rPr>
          <w:rFonts w:ascii="Book Antiqua" w:eastAsia="Book Antiqua" w:hAnsi="Book Antiqua" w:cs="Book Antiqua"/>
          <w:i/>
          <w:iCs/>
          <w:color w:val="000000"/>
        </w:rPr>
        <w:t>Nephrol</w:t>
      </w:r>
      <w:proofErr w:type="spellEnd"/>
      <w:r w:rsidRPr="0080707E">
        <w:rPr>
          <w:rFonts w:ascii="Book Antiqua" w:eastAsia="Book Antiqua" w:hAnsi="Book Antiqua" w:cs="Book Antiqua"/>
          <w:color w:val="000000"/>
        </w:rPr>
        <w:t xml:space="preserve"> 2010; </w:t>
      </w:r>
      <w:r w:rsidRPr="0080707E">
        <w:rPr>
          <w:rFonts w:ascii="Book Antiqua" w:eastAsia="Book Antiqua" w:hAnsi="Book Antiqua" w:cs="Book Antiqua"/>
          <w:b/>
          <w:bCs/>
          <w:color w:val="000000"/>
        </w:rPr>
        <w:t>23</w:t>
      </w:r>
      <w:r w:rsidRPr="0080707E">
        <w:rPr>
          <w:rFonts w:ascii="Book Antiqua" w:eastAsia="Book Antiqua" w:hAnsi="Book Antiqua" w:cs="Book Antiqua"/>
          <w:color w:val="000000"/>
        </w:rPr>
        <w:t>: 658-666 [PMID: 20540038]</w:t>
      </w:r>
    </w:p>
    <w:p w14:paraId="1B705F78"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11 </w:t>
      </w:r>
      <w:r w:rsidRPr="0080707E">
        <w:rPr>
          <w:rFonts w:ascii="Book Antiqua" w:eastAsia="Book Antiqua" w:hAnsi="Book Antiqua" w:cs="Book Antiqua"/>
          <w:b/>
          <w:bCs/>
          <w:color w:val="000000"/>
        </w:rPr>
        <w:t>Coca SG</w:t>
      </w:r>
      <w:r w:rsidRPr="0080707E">
        <w:rPr>
          <w:rFonts w:ascii="Book Antiqua" w:eastAsia="Book Antiqua" w:hAnsi="Book Antiqua" w:cs="Book Antiqua"/>
          <w:color w:val="000000"/>
        </w:rPr>
        <w:t xml:space="preserve">, Peixoto AJ, Garg AX, </w:t>
      </w:r>
      <w:proofErr w:type="spellStart"/>
      <w:r w:rsidRPr="0080707E">
        <w:rPr>
          <w:rFonts w:ascii="Book Antiqua" w:eastAsia="Book Antiqua" w:hAnsi="Book Antiqua" w:cs="Book Antiqua"/>
          <w:color w:val="000000"/>
        </w:rPr>
        <w:t>Krumholz</w:t>
      </w:r>
      <w:proofErr w:type="spellEnd"/>
      <w:r w:rsidRPr="0080707E">
        <w:rPr>
          <w:rFonts w:ascii="Book Antiqua" w:eastAsia="Book Antiqua" w:hAnsi="Book Antiqua" w:cs="Book Antiqua"/>
          <w:color w:val="000000"/>
        </w:rPr>
        <w:t xml:space="preserve"> HM, Parikh CR. The prognostic importance of a small acute decrement in kidney function in hospitalized patients: a systematic review and meta-analysis. </w:t>
      </w:r>
      <w:r w:rsidRPr="0080707E">
        <w:rPr>
          <w:rFonts w:ascii="Book Antiqua" w:eastAsia="Book Antiqua" w:hAnsi="Book Antiqua" w:cs="Book Antiqua"/>
          <w:i/>
          <w:iCs/>
          <w:color w:val="000000"/>
        </w:rPr>
        <w:t>Am J Kidney Dis</w:t>
      </w:r>
      <w:r w:rsidRPr="0080707E">
        <w:rPr>
          <w:rFonts w:ascii="Book Antiqua" w:eastAsia="Book Antiqua" w:hAnsi="Book Antiqua" w:cs="Book Antiqua"/>
          <w:color w:val="000000"/>
        </w:rPr>
        <w:t xml:space="preserve"> 2007; </w:t>
      </w:r>
      <w:r w:rsidRPr="0080707E">
        <w:rPr>
          <w:rFonts w:ascii="Book Antiqua" w:eastAsia="Book Antiqua" w:hAnsi="Book Antiqua" w:cs="Book Antiqua"/>
          <w:b/>
          <w:bCs/>
          <w:color w:val="000000"/>
        </w:rPr>
        <w:t>50</w:t>
      </w:r>
      <w:r w:rsidRPr="0080707E">
        <w:rPr>
          <w:rFonts w:ascii="Book Antiqua" w:eastAsia="Book Antiqua" w:hAnsi="Book Antiqua" w:cs="Book Antiqua"/>
          <w:color w:val="000000"/>
        </w:rPr>
        <w:t>: 712-720 [PMID: 17954284 DOI: 10.1053/j.ajkd.2007.07.018]</w:t>
      </w:r>
    </w:p>
    <w:p w14:paraId="410B4DD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12 </w:t>
      </w:r>
      <w:r w:rsidRPr="0080707E">
        <w:rPr>
          <w:rFonts w:ascii="Book Antiqua" w:eastAsia="Book Antiqua" w:hAnsi="Book Antiqua" w:cs="Book Antiqua"/>
          <w:b/>
          <w:bCs/>
          <w:color w:val="000000"/>
        </w:rPr>
        <w:t>Lindsay J</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Canos</w:t>
      </w:r>
      <w:proofErr w:type="spellEnd"/>
      <w:r w:rsidRPr="0080707E">
        <w:rPr>
          <w:rFonts w:ascii="Book Antiqua" w:eastAsia="Book Antiqua" w:hAnsi="Book Antiqua" w:cs="Book Antiqua"/>
          <w:color w:val="000000"/>
        </w:rPr>
        <w:t xml:space="preserve"> DA, Apple S, </w:t>
      </w:r>
      <w:proofErr w:type="spellStart"/>
      <w:r w:rsidRPr="0080707E">
        <w:rPr>
          <w:rFonts w:ascii="Book Antiqua" w:eastAsia="Book Antiqua" w:hAnsi="Book Antiqua" w:cs="Book Antiqua"/>
          <w:color w:val="000000"/>
        </w:rPr>
        <w:t>Pinnow</w:t>
      </w:r>
      <w:proofErr w:type="spellEnd"/>
      <w:r w:rsidRPr="0080707E">
        <w:rPr>
          <w:rFonts w:ascii="Book Antiqua" w:eastAsia="Book Antiqua" w:hAnsi="Book Antiqua" w:cs="Book Antiqua"/>
          <w:color w:val="000000"/>
        </w:rPr>
        <w:t xml:space="preserve"> E, Aggrey GK, </w:t>
      </w:r>
      <w:proofErr w:type="spellStart"/>
      <w:r w:rsidRPr="0080707E">
        <w:rPr>
          <w:rFonts w:ascii="Book Antiqua" w:eastAsia="Book Antiqua" w:hAnsi="Book Antiqua" w:cs="Book Antiqua"/>
          <w:color w:val="000000"/>
        </w:rPr>
        <w:t>Pichard</w:t>
      </w:r>
      <w:proofErr w:type="spellEnd"/>
      <w:r w:rsidRPr="0080707E">
        <w:rPr>
          <w:rFonts w:ascii="Book Antiqua" w:eastAsia="Book Antiqua" w:hAnsi="Book Antiqua" w:cs="Book Antiqua"/>
          <w:color w:val="000000"/>
        </w:rPr>
        <w:t xml:space="preserve"> AD. Causes of acute renal dysfunction after percutaneous coronary intervention and comparison of late mortality rates with </w:t>
      </w:r>
      <w:proofErr w:type="spellStart"/>
      <w:r w:rsidRPr="0080707E">
        <w:rPr>
          <w:rFonts w:ascii="Book Antiqua" w:eastAsia="Book Antiqua" w:hAnsi="Book Antiqua" w:cs="Book Antiqua"/>
          <w:color w:val="000000"/>
        </w:rPr>
        <w:t>postprocedure</w:t>
      </w:r>
      <w:proofErr w:type="spellEnd"/>
      <w:r w:rsidRPr="0080707E">
        <w:rPr>
          <w:rFonts w:ascii="Book Antiqua" w:eastAsia="Book Antiqua" w:hAnsi="Book Antiqua" w:cs="Book Antiqua"/>
          <w:color w:val="000000"/>
        </w:rPr>
        <w:t xml:space="preserve"> rise of creatine kinase-MB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rise of serum creatinine. </w:t>
      </w:r>
      <w:r w:rsidRPr="0080707E">
        <w:rPr>
          <w:rFonts w:ascii="Book Antiqua" w:eastAsia="Book Antiqua" w:hAnsi="Book Antiqua" w:cs="Book Antiqua"/>
          <w:i/>
          <w:iCs/>
          <w:color w:val="000000"/>
        </w:rPr>
        <w:t xml:space="preserve">Am J </w:t>
      </w:r>
      <w:proofErr w:type="spellStart"/>
      <w:r w:rsidRPr="0080707E">
        <w:rPr>
          <w:rFonts w:ascii="Book Antiqua" w:eastAsia="Book Antiqua" w:hAnsi="Book Antiqua" w:cs="Book Antiqua"/>
          <w:i/>
          <w:iCs/>
          <w:color w:val="000000"/>
        </w:rPr>
        <w:t>Cardiol</w:t>
      </w:r>
      <w:proofErr w:type="spellEnd"/>
      <w:r w:rsidRPr="0080707E">
        <w:rPr>
          <w:rFonts w:ascii="Book Antiqua" w:eastAsia="Book Antiqua" w:hAnsi="Book Antiqua" w:cs="Book Antiqua"/>
          <w:color w:val="000000"/>
        </w:rPr>
        <w:t xml:space="preserve"> 2004; </w:t>
      </w:r>
      <w:r w:rsidRPr="0080707E">
        <w:rPr>
          <w:rFonts w:ascii="Book Antiqua" w:eastAsia="Book Antiqua" w:hAnsi="Book Antiqua" w:cs="Book Antiqua"/>
          <w:b/>
          <w:bCs/>
          <w:color w:val="000000"/>
        </w:rPr>
        <w:t>94</w:t>
      </w:r>
      <w:r w:rsidRPr="0080707E">
        <w:rPr>
          <w:rFonts w:ascii="Book Antiqua" w:eastAsia="Book Antiqua" w:hAnsi="Book Antiqua" w:cs="Book Antiqua"/>
          <w:color w:val="000000"/>
        </w:rPr>
        <w:t>: 786-789 [PMID: 15374790 DOI: 10.1016/j.amjcard.2004.06.007]</w:t>
      </w:r>
    </w:p>
    <w:p w14:paraId="69B71E3B"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13 </w:t>
      </w:r>
      <w:proofErr w:type="spellStart"/>
      <w:r w:rsidRPr="0080707E">
        <w:rPr>
          <w:rFonts w:ascii="Book Antiqua" w:eastAsia="Book Antiqua" w:hAnsi="Book Antiqua" w:cs="Book Antiqua"/>
          <w:b/>
          <w:bCs/>
          <w:color w:val="000000"/>
        </w:rPr>
        <w:t>Tublin</w:t>
      </w:r>
      <w:proofErr w:type="spellEnd"/>
      <w:r w:rsidRPr="0080707E">
        <w:rPr>
          <w:rFonts w:ascii="Book Antiqua" w:eastAsia="Book Antiqua" w:hAnsi="Book Antiqua" w:cs="Book Antiqua"/>
          <w:b/>
          <w:bCs/>
          <w:color w:val="000000"/>
        </w:rPr>
        <w:t xml:space="preserve"> ME</w:t>
      </w:r>
      <w:r w:rsidRPr="0080707E">
        <w:rPr>
          <w:rFonts w:ascii="Book Antiqua" w:eastAsia="Book Antiqua" w:hAnsi="Book Antiqua" w:cs="Book Antiqua"/>
          <w:color w:val="000000"/>
        </w:rPr>
        <w:t xml:space="preserve">, Murphy ME, Tessler FN. Current concepts in contrast media-induced nephropathy. </w:t>
      </w:r>
      <w:r w:rsidRPr="0080707E">
        <w:rPr>
          <w:rFonts w:ascii="Book Antiqua" w:eastAsia="Book Antiqua" w:hAnsi="Book Antiqua" w:cs="Book Antiqua"/>
          <w:i/>
          <w:iCs/>
          <w:color w:val="000000"/>
        </w:rPr>
        <w:t xml:space="preserve">AJR Am J </w:t>
      </w:r>
      <w:proofErr w:type="spellStart"/>
      <w:r w:rsidRPr="0080707E">
        <w:rPr>
          <w:rFonts w:ascii="Book Antiqua" w:eastAsia="Book Antiqua" w:hAnsi="Book Antiqua" w:cs="Book Antiqua"/>
          <w:i/>
          <w:iCs/>
          <w:color w:val="000000"/>
        </w:rPr>
        <w:t>Roentgenol</w:t>
      </w:r>
      <w:proofErr w:type="spellEnd"/>
      <w:r w:rsidRPr="0080707E">
        <w:rPr>
          <w:rFonts w:ascii="Book Antiqua" w:eastAsia="Book Antiqua" w:hAnsi="Book Antiqua" w:cs="Book Antiqua"/>
          <w:color w:val="000000"/>
        </w:rPr>
        <w:t xml:space="preserve"> 1998; </w:t>
      </w:r>
      <w:r w:rsidRPr="0080707E">
        <w:rPr>
          <w:rFonts w:ascii="Book Antiqua" w:eastAsia="Book Antiqua" w:hAnsi="Book Antiqua" w:cs="Book Antiqua"/>
          <w:b/>
          <w:bCs/>
          <w:color w:val="000000"/>
        </w:rPr>
        <w:t>171</w:t>
      </w:r>
      <w:r w:rsidRPr="0080707E">
        <w:rPr>
          <w:rFonts w:ascii="Book Antiqua" w:eastAsia="Book Antiqua" w:hAnsi="Book Antiqua" w:cs="Book Antiqua"/>
          <w:color w:val="000000"/>
        </w:rPr>
        <w:t>: 933-939 [PMID: 9762972 DOI: 10.2214/ajr.171.4.9762972]</w:t>
      </w:r>
    </w:p>
    <w:p w14:paraId="310F9C72"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14 </w:t>
      </w:r>
      <w:r w:rsidRPr="0080707E">
        <w:rPr>
          <w:rFonts w:ascii="Book Antiqua" w:eastAsia="Book Antiqua" w:hAnsi="Book Antiqua" w:cs="Book Antiqua"/>
          <w:b/>
          <w:bCs/>
          <w:color w:val="000000"/>
        </w:rPr>
        <w:t>Mohammed NM</w:t>
      </w:r>
      <w:r w:rsidRPr="0080707E">
        <w:rPr>
          <w:rFonts w:ascii="Book Antiqua" w:eastAsia="Book Antiqua" w:hAnsi="Book Antiqua" w:cs="Book Antiqua"/>
          <w:color w:val="000000"/>
        </w:rPr>
        <w:t xml:space="preserve">, Mahfouz A, </w:t>
      </w:r>
      <w:proofErr w:type="spellStart"/>
      <w:r w:rsidRPr="0080707E">
        <w:rPr>
          <w:rFonts w:ascii="Book Antiqua" w:eastAsia="Book Antiqua" w:hAnsi="Book Antiqua" w:cs="Book Antiqua"/>
          <w:color w:val="000000"/>
        </w:rPr>
        <w:t>Achkar</w:t>
      </w:r>
      <w:proofErr w:type="spellEnd"/>
      <w:r w:rsidRPr="0080707E">
        <w:rPr>
          <w:rFonts w:ascii="Book Antiqua" w:eastAsia="Book Antiqua" w:hAnsi="Book Antiqua" w:cs="Book Antiqua"/>
          <w:color w:val="000000"/>
        </w:rPr>
        <w:t xml:space="preserve"> K, </w:t>
      </w:r>
      <w:proofErr w:type="spellStart"/>
      <w:r w:rsidRPr="0080707E">
        <w:rPr>
          <w:rFonts w:ascii="Book Antiqua" w:eastAsia="Book Antiqua" w:hAnsi="Book Antiqua" w:cs="Book Antiqua"/>
          <w:color w:val="000000"/>
        </w:rPr>
        <w:t>Rafie</w:t>
      </w:r>
      <w:proofErr w:type="spellEnd"/>
      <w:r w:rsidRPr="0080707E">
        <w:rPr>
          <w:rFonts w:ascii="Book Antiqua" w:eastAsia="Book Antiqua" w:hAnsi="Book Antiqua" w:cs="Book Antiqua"/>
          <w:color w:val="000000"/>
        </w:rPr>
        <w:t xml:space="preserve"> IM, Hajar R. Contrast-induced Nephropathy. </w:t>
      </w:r>
      <w:r w:rsidRPr="0080707E">
        <w:rPr>
          <w:rFonts w:ascii="Book Antiqua" w:eastAsia="Book Antiqua" w:hAnsi="Book Antiqua" w:cs="Book Antiqua"/>
          <w:i/>
          <w:iCs/>
          <w:color w:val="000000"/>
        </w:rPr>
        <w:t>Heart Views</w:t>
      </w:r>
      <w:r w:rsidRPr="0080707E">
        <w:rPr>
          <w:rFonts w:ascii="Book Antiqua" w:eastAsia="Book Antiqua" w:hAnsi="Book Antiqua" w:cs="Book Antiqua"/>
          <w:color w:val="000000"/>
        </w:rPr>
        <w:t xml:space="preserve"> 2013; </w:t>
      </w:r>
      <w:r w:rsidRPr="0080707E">
        <w:rPr>
          <w:rFonts w:ascii="Book Antiqua" w:eastAsia="Book Antiqua" w:hAnsi="Book Antiqua" w:cs="Book Antiqua"/>
          <w:b/>
          <w:bCs/>
          <w:color w:val="000000"/>
        </w:rPr>
        <w:t>14</w:t>
      </w:r>
      <w:r w:rsidRPr="0080707E">
        <w:rPr>
          <w:rFonts w:ascii="Book Antiqua" w:eastAsia="Book Antiqua" w:hAnsi="Book Antiqua" w:cs="Book Antiqua"/>
          <w:color w:val="000000"/>
        </w:rPr>
        <w:t>: 106-116 [PMID: 24696755 DOI: 10.4103/1995-705X.125926]</w:t>
      </w:r>
    </w:p>
    <w:p w14:paraId="3EF1812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15 </w:t>
      </w:r>
      <w:r w:rsidRPr="0080707E">
        <w:rPr>
          <w:rFonts w:ascii="Book Antiqua" w:eastAsia="Book Antiqua" w:hAnsi="Book Antiqua" w:cs="Book Antiqua"/>
          <w:b/>
          <w:bCs/>
          <w:color w:val="000000"/>
        </w:rPr>
        <w:t>Chou SH</w:t>
      </w:r>
      <w:r w:rsidRPr="0080707E">
        <w:rPr>
          <w:rFonts w:ascii="Book Antiqua" w:eastAsia="Book Antiqua" w:hAnsi="Book Antiqua" w:cs="Book Antiqua"/>
          <w:color w:val="000000"/>
        </w:rPr>
        <w:t xml:space="preserve">, Wang ZJ, </w:t>
      </w:r>
      <w:proofErr w:type="spellStart"/>
      <w:r w:rsidRPr="0080707E">
        <w:rPr>
          <w:rFonts w:ascii="Book Antiqua" w:eastAsia="Book Antiqua" w:hAnsi="Book Antiqua" w:cs="Book Antiqua"/>
          <w:color w:val="000000"/>
        </w:rPr>
        <w:t>Kuo</w:t>
      </w:r>
      <w:proofErr w:type="spellEnd"/>
      <w:r w:rsidRPr="0080707E">
        <w:rPr>
          <w:rFonts w:ascii="Book Antiqua" w:eastAsia="Book Antiqua" w:hAnsi="Book Antiqua" w:cs="Book Antiqua"/>
          <w:color w:val="000000"/>
        </w:rPr>
        <w:t xml:space="preserve"> J, Cabarrus M, Fu Y, Aslam R, Yee J, </w:t>
      </w:r>
      <w:proofErr w:type="spellStart"/>
      <w:r w:rsidRPr="0080707E">
        <w:rPr>
          <w:rFonts w:ascii="Book Antiqua" w:eastAsia="Book Antiqua" w:hAnsi="Book Antiqua" w:cs="Book Antiqua"/>
          <w:color w:val="000000"/>
        </w:rPr>
        <w:t>Zimmet</w:t>
      </w:r>
      <w:proofErr w:type="spellEnd"/>
      <w:r w:rsidRPr="0080707E">
        <w:rPr>
          <w:rFonts w:ascii="Book Antiqua" w:eastAsia="Book Antiqua" w:hAnsi="Book Antiqua" w:cs="Book Antiqua"/>
          <w:color w:val="000000"/>
        </w:rPr>
        <w:t xml:space="preserve"> JM, </w:t>
      </w:r>
      <w:proofErr w:type="spellStart"/>
      <w:r w:rsidRPr="0080707E">
        <w:rPr>
          <w:rFonts w:ascii="Book Antiqua" w:eastAsia="Book Antiqua" w:hAnsi="Book Antiqua" w:cs="Book Antiqua"/>
          <w:color w:val="000000"/>
        </w:rPr>
        <w:t>Shunk</w:t>
      </w:r>
      <w:proofErr w:type="spellEnd"/>
      <w:r w:rsidRPr="0080707E">
        <w:rPr>
          <w:rFonts w:ascii="Book Antiqua" w:eastAsia="Book Antiqua" w:hAnsi="Book Antiqua" w:cs="Book Antiqua"/>
          <w:color w:val="000000"/>
        </w:rPr>
        <w:t xml:space="preserve"> K, Elicker B, Yeh BM. Persistent renal enhancement after intra-arterial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lastRenderedPageBreak/>
        <w:t xml:space="preserve">intravenous iodixanol administration. </w:t>
      </w:r>
      <w:proofErr w:type="spellStart"/>
      <w:r w:rsidRPr="0080707E">
        <w:rPr>
          <w:rFonts w:ascii="Book Antiqua" w:eastAsia="Book Antiqua" w:hAnsi="Book Antiqua" w:cs="Book Antiqua"/>
          <w:i/>
          <w:iCs/>
          <w:color w:val="000000"/>
        </w:rPr>
        <w:t>Eur</w:t>
      </w:r>
      <w:proofErr w:type="spellEnd"/>
      <w:r w:rsidRPr="0080707E">
        <w:rPr>
          <w:rFonts w:ascii="Book Antiqua" w:eastAsia="Book Antiqua" w:hAnsi="Book Antiqua" w:cs="Book Antiqua"/>
          <w:i/>
          <w:iCs/>
          <w:color w:val="000000"/>
        </w:rPr>
        <w:t xml:space="preserve"> J </w:t>
      </w:r>
      <w:proofErr w:type="spellStart"/>
      <w:r w:rsidRPr="0080707E">
        <w:rPr>
          <w:rFonts w:ascii="Book Antiqua" w:eastAsia="Book Antiqua" w:hAnsi="Book Antiqua" w:cs="Book Antiqua"/>
          <w:i/>
          <w:iCs/>
          <w:color w:val="000000"/>
        </w:rPr>
        <w:t>Radiol</w:t>
      </w:r>
      <w:proofErr w:type="spellEnd"/>
      <w:r w:rsidRPr="0080707E">
        <w:rPr>
          <w:rFonts w:ascii="Book Antiqua" w:eastAsia="Book Antiqua" w:hAnsi="Book Antiqua" w:cs="Book Antiqua"/>
          <w:color w:val="000000"/>
        </w:rPr>
        <w:t xml:space="preserve"> 2011; </w:t>
      </w:r>
      <w:r w:rsidRPr="0080707E">
        <w:rPr>
          <w:rFonts w:ascii="Book Antiqua" w:eastAsia="Book Antiqua" w:hAnsi="Book Antiqua" w:cs="Book Antiqua"/>
          <w:b/>
          <w:bCs/>
          <w:color w:val="000000"/>
        </w:rPr>
        <w:t>80</w:t>
      </w:r>
      <w:r w:rsidRPr="0080707E">
        <w:rPr>
          <w:rFonts w:ascii="Book Antiqua" w:eastAsia="Book Antiqua" w:hAnsi="Book Antiqua" w:cs="Book Antiqua"/>
          <w:color w:val="000000"/>
        </w:rPr>
        <w:t>: 378-386 [PMID: 21470810 DOI: 10.1016/j.ejrad.2011.02.044]</w:t>
      </w:r>
    </w:p>
    <w:p w14:paraId="51F58B4A"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16 </w:t>
      </w:r>
      <w:proofErr w:type="spellStart"/>
      <w:r w:rsidRPr="0080707E">
        <w:rPr>
          <w:rFonts w:ascii="Book Antiqua" w:eastAsia="Book Antiqua" w:hAnsi="Book Antiqua" w:cs="Book Antiqua"/>
          <w:b/>
          <w:bCs/>
          <w:color w:val="000000"/>
        </w:rPr>
        <w:t>Huo</w:t>
      </w:r>
      <w:proofErr w:type="spellEnd"/>
      <w:r w:rsidRPr="0080707E">
        <w:rPr>
          <w:rFonts w:ascii="Book Antiqua" w:eastAsia="Book Antiqua" w:hAnsi="Book Antiqua" w:cs="Book Antiqua"/>
          <w:b/>
          <w:bCs/>
          <w:color w:val="000000"/>
        </w:rPr>
        <w:t xml:space="preserve"> TI</w:t>
      </w:r>
      <w:r w:rsidRPr="0080707E">
        <w:rPr>
          <w:rFonts w:ascii="Book Antiqua" w:eastAsia="Book Antiqua" w:hAnsi="Book Antiqua" w:cs="Book Antiqua"/>
          <w:color w:val="000000"/>
        </w:rPr>
        <w:t xml:space="preserve">, Wu JC, Lee PC, Chang FY, Lee SD. Incidence and risk factors for acute renal failure in patients with hepatocellular carcinoma undergoing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chemoembolization: a prospective study. </w:t>
      </w:r>
      <w:r w:rsidRPr="0080707E">
        <w:rPr>
          <w:rFonts w:ascii="Book Antiqua" w:eastAsia="Book Antiqua" w:hAnsi="Book Antiqua" w:cs="Book Antiqua"/>
          <w:i/>
          <w:iCs/>
          <w:color w:val="000000"/>
        </w:rPr>
        <w:t>Liver Int</w:t>
      </w:r>
      <w:r w:rsidRPr="0080707E">
        <w:rPr>
          <w:rFonts w:ascii="Book Antiqua" w:eastAsia="Book Antiqua" w:hAnsi="Book Antiqua" w:cs="Book Antiqua"/>
          <w:color w:val="000000"/>
        </w:rPr>
        <w:t xml:space="preserve"> 2004; </w:t>
      </w:r>
      <w:r w:rsidRPr="0080707E">
        <w:rPr>
          <w:rFonts w:ascii="Book Antiqua" w:eastAsia="Book Antiqua" w:hAnsi="Book Antiqua" w:cs="Book Antiqua"/>
          <w:b/>
          <w:bCs/>
          <w:color w:val="000000"/>
        </w:rPr>
        <w:t>24</w:t>
      </w:r>
      <w:r w:rsidRPr="0080707E">
        <w:rPr>
          <w:rFonts w:ascii="Book Antiqua" w:eastAsia="Book Antiqua" w:hAnsi="Book Antiqua" w:cs="Book Antiqua"/>
          <w:color w:val="000000"/>
        </w:rPr>
        <w:t>: 210-215 [PMID: 15189271 DOI: 10.1111/j.1478-3231.2004.00911.x]</w:t>
      </w:r>
    </w:p>
    <w:p w14:paraId="53ED7DF5"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17 </w:t>
      </w:r>
      <w:r w:rsidRPr="0080707E">
        <w:rPr>
          <w:rFonts w:ascii="Book Antiqua" w:eastAsia="Book Antiqua" w:hAnsi="Book Antiqua" w:cs="Book Antiqua"/>
          <w:b/>
          <w:bCs/>
          <w:color w:val="000000"/>
        </w:rPr>
        <w:t>Cho HS</w:t>
      </w:r>
      <w:r w:rsidRPr="0080707E">
        <w:rPr>
          <w:rFonts w:ascii="Book Antiqua" w:eastAsia="Book Antiqua" w:hAnsi="Book Antiqua" w:cs="Book Antiqua"/>
          <w:color w:val="000000"/>
        </w:rPr>
        <w:t xml:space="preserve">, Seo JW, Kang Y, Bae EJ, Kim HJ, Chang SH, Park DJ. Incidence and risk factors for radiocontrast-induced nephropathy in patients with hepatocellular carcinoma undergoing transcatheter arterial chemoembolization. </w:t>
      </w:r>
      <w:proofErr w:type="spellStart"/>
      <w:r w:rsidRPr="0080707E">
        <w:rPr>
          <w:rFonts w:ascii="Book Antiqua" w:eastAsia="Book Antiqua" w:hAnsi="Book Antiqua" w:cs="Book Antiqua"/>
          <w:i/>
          <w:iCs/>
          <w:color w:val="000000"/>
        </w:rPr>
        <w:t>Clin</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Exp</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Nephrol</w:t>
      </w:r>
      <w:proofErr w:type="spellEnd"/>
      <w:r w:rsidRPr="0080707E">
        <w:rPr>
          <w:rFonts w:ascii="Book Antiqua" w:eastAsia="Book Antiqua" w:hAnsi="Book Antiqua" w:cs="Book Antiqua"/>
          <w:color w:val="000000"/>
        </w:rPr>
        <w:t xml:space="preserve"> 2011; </w:t>
      </w:r>
      <w:r w:rsidRPr="0080707E">
        <w:rPr>
          <w:rFonts w:ascii="Book Antiqua" w:eastAsia="Book Antiqua" w:hAnsi="Book Antiqua" w:cs="Book Antiqua"/>
          <w:b/>
          <w:bCs/>
          <w:color w:val="000000"/>
        </w:rPr>
        <w:t>15</w:t>
      </w:r>
      <w:r w:rsidRPr="0080707E">
        <w:rPr>
          <w:rFonts w:ascii="Book Antiqua" w:eastAsia="Book Antiqua" w:hAnsi="Book Antiqua" w:cs="Book Antiqua"/>
          <w:color w:val="000000"/>
        </w:rPr>
        <w:t>: 714-719 [PMID: 21695415 DOI: 10.1007/s10157-011-0470-9]</w:t>
      </w:r>
    </w:p>
    <w:p w14:paraId="5906054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18 </w:t>
      </w:r>
      <w:r w:rsidRPr="0080707E">
        <w:rPr>
          <w:rFonts w:ascii="Book Antiqua" w:eastAsia="Book Antiqua" w:hAnsi="Book Antiqua" w:cs="Book Antiqua"/>
          <w:b/>
          <w:bCs/>
          <w:color w:val="000000"/>
        </w:rPr>
        <w:t>Hayakawa K</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Tanikake</w:t>
      </w:r>
      <w:proofErr w:type="spellEnd"/>
      <w:r w:rsidRPr="0080707E">
        <w:rPr>
          <w:rFonts w:ascii="Book Antiqua" w:eastAsia="Book Antiqua" w:hAnsi="Book Antiqua" w:cs="Book Antiqua"/>
          <w:color w:val="000000"/>
        </w:rPr>
        <w:t xml:space="preserve"> M, </w:t>
      </w:r>
      <w:proofErr w:type="spellStart"/>
      <w:r w:rsidRPr="0080707E">
        <w:rPr>
          <w:rFonts w:ascii="Book Antiqua" w:eastAsia="Book Antiqua" w:hAnsi="Book Antiqua" w:cs="Book Antiqua"/>
          <w:color w:val="000000"/>
        </w:rPr>
        <w:t>Kirishima</w:t>
      </w:r>
      <w:proofErr w:type="spellEnd"/>
      <w:r w:rsidRPr="0080707E">
        <w:rPr>
          <w:rFonts w:ascii="Book Antiqua" w:eastAsia="Book Antiqua" w:hAnsi="Book Antiqua" w:cs="Book Antiqua"/>
          <w:color w:val="000000"/>
        </w:rPr>
        <w:t xml:space="preserve"> T, </w:t>
      </w:r>
      <w:proofErr w:type="spellStart"/>
      <w:r w:rsidRPr="0080707E">
        <w:rPr>
          <w:rFonts w:ascii="Book Antiqua" w:eastAsia="Book Antiqua" w:hAnsi="Book Antiqua" w:cs="Book Antiqua"/>
          <w:color w:val="000000"/>
        </w:rPr>
        <w:t>Yoshinami</w:t>
      </w:r>
      <w:proofErr w:type="spellEnd"/>
      <w:r w:rsidRPr="0080707E">
        <w:rPr>
          <w:rFonts w:ascii="Book Antiqua" w:eastAsia="Book Antiqua" w:hAnsi="Book Antiqua" w:cs="Book Antiqua"/>
          <w:color w:val="000000"/>
        </w:rPr>
        <w:t xml:space="preserve"> N, </w:t>
      </w:r>
      <w:proofErr w:type="spellStart"/>
      <w:r w:rsidRPr="0080707E">
        <w:rPr>
          <w:rFonts w:ascii="Book Antiqua" w:eastAsia="Book Antiqua" w:hAnsi="Book Antiqua" w:cs="Book Antiqua"/>
          <w:color w:val="000000"/>
        </w:rPr>
        <w:t>Shintani</w:t>
      </w:r>
      <w:proofErr w:type="spellEnd"/>
      <w:r w:rsidRPr="0080707E">
        <w:rPr>
          <w:rFonts w:ascii="Book Antiqua" w:eastAsia="Book Antiqua" w:hAnsi="Book Antiqua" w:cs="Book Antiqua"/>
          <w:color w:val="000000"/>
        </w:rPr>
        <w:t xml:space="preserve"> H, Yamamoto E, Morimoto T. The incidence of contrast-induced nephropathy (CIN) following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chemoembolisation</w:t>
      </w:r>
      <w:proofErr w:type="spellEnd"/>
      <w:r w:rsidRPr="0080707E">
        <w:rPr>
          <w:rFonts w:ascii="Book Antiqua" w:eastAsia="Book Antiqua" w:hAnsi="Book Antiqua" w:cs="Book Antiqua"/>
          <w:color w:val="000000"/>
        </w:rPr>
        <w:t xml:space="preserve"> (TACE) in patients with hepatocellular carcinoma (HCC). </w:t>
      </w:r>
      <w:proofErr w:type="spellStart"/>
      <w:r w:rsidRPr="0080707E">
        <w:rPr>
          <w:rFonts w:ascii="Book Antiqua" w:eastAsia="Book Antiqua" w:hAnsi="Book Antiqua" w:cs="Book Antiqua"/>
          <w:i/>
          <w:iCs/>
          <w:color w:val="000000"/>
        </w:rPr>
        <w:t>Eur</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Radiol</w:t>
      </w:r>
      <w:proofErr w:type="spellEnd"/>
      <w:r w:rsidRPr="0080707E">
        <w:rPr>
          <w:rFonts w:ascii="Book Antiqua" w:eastAsia="Book Antiqua" w:hAnsi="Book Antiqua" w:cs="Book Antiqua"/>
          <w:color w:val="000000"/>
        </w:rPr>
        <w:t xml:space="preserve"> 2014; </w:t>
      </w:r>
      <w:r w:rsidRPr="0080707E">
        <w:rPr>
          <w:rFonts w:ascii="Book Antiqua" w:eastAsia="Book Antiqua" w:hAnsi="Book Antiqua" w:cs="Book Antiqua"/>
          <w:b/>
          <w:bCs/>
          <w:color w:val="000000"/>
        </w:rPr>
        <w:t>24</w:t>
      </w:r>
      <w:r w:rsidRPr="0080707E">
        <w:rPr>
          <w:rFonts w:ascii="Book Antiqua" w:eastAsia="Book Antiqua" w:hAnsi="Book Antiqua" w:cs="Book Antiqua"/>
          <w:color w:val="000000"/>
        </w:rPr>
        <w:t>: 1105-1111 [PMID: 24526284 DOI: 10.1007/s00330-014-3099-8]</w:t>
      </w:r>
    </w:p>
    <w:p w14:paraId="5706715A"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19 </w:t>
      </w:r>
      <w:r w:rsidRPr="0080707E">
        <w:rPr>
          <w:rFonts w:ascii="Book Antiqua" w:eastAsia="Book Antiqua" w:hAnsi="Book Antiqua" w:cs="Book Antiqua"/>
          <w:b/>
          <w:bCs/>
          <w:color w:val="000000"/>
        </w:rPr>
        <w:t>Wang X</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Erinjeri</w:t>
      </w:r>
      <w:proofErr w:type="spellEnd"/>
      <w:r w:rsidRPr="0080707E">
        <w:rPr>
          <w:rFonts w:ascii="Book Antiqua" w:eastAsia="Book Antiqua" w:hAnsi="Book Antiqua" w:cs="Book Antiqua"/>
          <w:color w:val="000000"/>
        </w:rPr>
        <w:t xml:space="preserve"> JP, Jia X, </w:t>
      </w:r>
      <w:proofErr w:type="spellStart"/>
      <w:r w:rsidRPr="0080707E">
        <w:rPr>
          <w:rFonts w:ascii="Book Antiqua" w:eastAsia="Book Antiqua" w:hAnsi="Book Antiqua" w:cs="Book Antiqua"/>
          <w:color w:val="000000"/>
        </w:rPr>
        <w:t>Gonen</w:t>
      </w:r>
      <w:proofErr w:type="spellEnd"/>
      <w:r w:rsidRPr="0080707E">
        <w:rPr>
          <w:rFonts w:ascii="Book Antiqua" w:eastAsia="Book Antiqua" w:hAnsi="Book Antiqua" w:cs="Book Antiqua"/>
          <w:color w:val="000000"/>
        </w:rPr>
        <w:t xml:space="preserve"> M, Brown KT, </w:t>
      </w:r>
      <w:proofErr w:type="spellStart"/>
      <w:r w:rsidRPr="0080707E">
        <w:rPr>
          <w:rFonts w:ascii="Book Antiqua" w:eastAsia="Book Antiqua" w:hAnsi="Book Antiqua" w:cs="Book Antiqua"/>
          <w:color w:val="000000"/>
        </w:rPr>
        <w:t>Sofocleous</w:t>
      </w:r>
      <w:proofErr w:type="spellEnd"/>
      <w:r w:rsidRPr="0080707E">
        <w:rPr>
          <w:rFonts w:ascii="Book Antiqua" w:eastAsia="Book Antiqua" w:hAnsi="Book Antiqua" w:cs="Book Antiqua"/>
          <w:color w:val="000000"/>
        </w:rPr>
        <w:t xml:space="preserve"> CT, </w:t>
      </w:r>
      <w:proofErr w:type="spellStart"/>
      <w:r w:rsidRPr="0080707E">
        <w:rPr>
          <w:rFonts w:ascii="Book Antiqua" w:eastAsia="Book Antiqua" w:hAnsi="Book Antiqua" w:cs="Book Antiqua"/>
          <w:color w:val="000000"/>
        </w:rPr>
        <w:t>Getrajdman</w:t>
      </w:r>
      <w:proofErr w:type="spellEnd"/>
      <w:r w:rsidRPr="0080707E">
        <w:rPr>
          <w:rFonts w:ascii="Book Antiqua" w:eastAsia="Book Antiqua" w:hAnsi="Book Antiqua" w:cs="Book Antiqua"/>
          <w:color w:val="000000"/>
        </w:rPr>
        <w:t xml:space="preserve"> GI, Brody LA, Thornton RH, Maybody M, Covey AM, </w:t>
      </w:r>
      <w:proofErr w:type="spellStart"/>
      <w:r w:rsidRPr="0080707E">
        <w:rPr>
          <w:rFonts w:ascii="Book Antiqua" w:eastAsia="Book Antiqua" w:hAnsi="Book Antiqua" w:cs="Book Antiqua"/>
          <w:color w:val="000000"/>
        </w:rPr>
        <w:t>Siegelbaum</w:t>
      </w:r>
      <w:proofErr w:type="spellEnd"/>
      <w:r w:rsidRPr="0080707E">
        <w:rPr>
          <w:rFonts w:ascii="Book Antiqua" w:eastAsia="Book Antiqua" w:hAnsi="Book Antiqua" w:cs="Book Antiqua"/>
          <w:color w:val="000000"/>
        </w:rPr>
        <w:t xml:space="preserve"> RH, </w:t>
      </w:r>
      <w:proofErr w:type="spellStart"/>
      <w:r w:rsidRPr="0080707E">
        <w:rPr>
          <w:rFonts w:ascii="Book Antiqua" w:eastAsia="Book Antiqua" w:hAnsi="Book Antiqua" w:cs="Book Antiqua"/>
          <w:color w:val="000000"/>
        </w:rPr>
        <w:t>Alago</w:t>
      </w:r>
      <w:proofErr w:type="spellEnd"/>
      <w:r w:rsidRPr="0080707E">
        <w:rPr>
          <w:rFonts w:ascii="Book Antiqua" w:eastAsia="Book Antiqua" w:hAnsi="Book Antiqua" w:cs="Book Antiqua"/>
          <w:color w:val="000000"/>
        </w:rPr>
        <w:t xml:space="preserve"> W, Solomon SB. Pattern of retained contrast on immediate </w:t>
      </w:r>
      <w:proofErr w:type="spellStart"/>
      <w:r w:rsidRPr="0080707E">
        <w:rPr>
          <w:rFonts w:ascii="Book Antiqua" w:eastAsia="Book Antiqua" w:hAnsi="Book Antiqua" w:cs="Book Antiqua"/>
          <w:color w:val="000000"/>
        </w:rPr>
        <w:t>postprocedure</w:t>
      </w:r>
      <w:proofErr w:type="spellEnd"/>
      <w:r w:rsidRPr="0080707E">
        <w:rPr>
          <w:rFonts w:ascii="Book Antiqua" w:eastAsia="Book Antiqua" w:hAnsi="Book Antiqua" w:cs="Book Antiqua"/>
          <w:color w:val="000000"/>
        </w:rPr>
        <w:t xml:space="preserve"> computed tomography (CT) after particle embolization of liver tumors predicts subsequent treatment response. </w:t>
      </w:r>
      <w:r w:rsidRPr="0080707E">
        <w:rPr>
          <w:rFonts w:ascii="Book Antiqua" w:eastAsia="Book Antiqua" w:hAnsi="Book Antiqua" w:cs="Book Antiqua"/>
          <w:i/>
          <w:iCs/>
          <w:color w:val="000000"/>
        </w:rPr>
        <w:t xml:space="preserve">Cardiovasc </w:t>
      </w:r>
      <w:proofErr w:type="spellStart"/>
      <w:r w:rsidRPr="0080707E">
        <w:rPr>
          <w:rFonts w:ascii="Book Antiqua" w:eastAsia="Book Antiqua" w:hAnsi="Book Antiqua" w:cs="Book Antiqua"/>
          <w:i/>
          <w:iCs/>
          <w:color w:val="000000"/>
        </w:rPr>
        <w:t>Intervent</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Radiol</w:t>
      </w:r>
      <w:proofErr w:type="spellEnd"/>
      <w:r w:rsidRPr="0080707E">
        <w:rPr>
          <w:rFonts w:ascii="Book Antiqua" w:eastAsia="Book Antiqua" w:hAnsi="Book Antiqua" w:cs="Book Antiqua"/>
          <w:color w:val="000000"/>
        </w:rPr>
        <w:t xml:space="preserve"> 2013; </w:t>
      </w:r>
      <w:r w:rsidRPr="0080707E">
        <w:rPr>
          <w:rFonts w:ascii="Book Antiqua" w:eastAsia="Book Antiqua" w:hAnsi="Book Antiqua" w:cs="Book Antiqua"/>
          <w:b/>
          <w:bCs/>
          <w:color w:val="000000"/>
        </w:rPr>
        <w:t>36</w:t>
      </w:r>
      <w:r w:rsidRPr="0080707E">
        <w:rPr>
          <w:rFonts w:ascii="Book Antiqua" w:eastAsia="Book Antiqua" w:hAnsi="Book Antiqua" w:cs="Book Antiqua"/>
          <w:color w:val="000000"/>
        </w:rPr>
        <w:t>: 1030-1038 [PMID: 23152036 DOI: 10.1007/s00270-012-0506-x]</w:t>
      </w:r>
    </w:p>
    <w:p w14:paraId="2D3778B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20 </w:t>
      </w:r>
      <w:proofErr w:type="spellStart"/>
      <w:r w:rsidRPr="0080707E">
        <w:rPr>
          <w:rFonts w:ascii="Book Antiqua" w:eastAsia="Book Antiqua" w:hAnsi="Book Antiqua" w:cs="Book Antiqua"/>
          <w:b/>
          <w:bCs/>
          <w:color w:val="000000"/>
        </w:rPr>
        <w:t>Herber</w:t>
      </w:r>
      <w:proofErr w:type="spellEnd"/>
      <w:r w:rsidRPr="0080707E">
        <w:rPr>
          <w:rFonts w:ascii="Book Antiqua" w:eastAsia="Book Antiqua" w:hAnsi="Book Antiqua" w:cs="Book Antiqua"/>
          <w:b/>
          <w:bCs/>
          <w:color w:val="000000"/>
        </w:rPr>
        <w:t xml:space="preserve"> S</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Biesterfeld</w:t>
      </w:r>
      <w:proofErr w:type="spellEnd"/>
      <w:r w:rsidRPr="0080707E">
        <w:rPr>
          <w:rFonts w:ascii="Book Antiqua" w:eastAsia="Book Antiqua" w:hAnsi="Book Antiqua" w:cs="Book Antiqua"/>
          <w:color w:val="000000"/>
        </w:rPr>
        <w:t xml:space="preserve"> S, Franz U, Schneider J, </w:t>
      </w:r>
      <w:proofErr w:type="spellStart"/>
      <w:r w:rsidRPr="0080707E">
        <w:rPr>
          <w:rFonts w:ascii="Book Antiqua" w:eastAsia="Book Antiqua" w:hAnsi="Book Antiqua" w:cs="Book Antiqua"/>
          <w:color w:val="000000"/>
        </w:rPr>
        <w:t>Thies</w:t>
      </w:r>
      <w:proofErr w:type="spellEnd"/>
      <w:r w:rsidRPr="0080707E">
        <w:rPr>
          <w:rFonts w:ascii="Book Antiqua" w:eastAsia="Book Antiqua" w:hAnsi="Book Antiqua" w:cs="Book Antiqua"/>
          <w:color w:val="000000"/>
        </w:rPr>
        <w:t xml:space="preserve"> J, </w:t>
      </w:r>
      <w:proofErr w:type="spellStart"/>
      <w:r w:rsidRPr="0080707E">
        <w:rPr>
          <w:rFonts w:ascii="Book Antiqua" w:eastAsia="Book Antiqua" w:hAnsi="Book Antiqua" w:cs="Book Antiqua"/>
          <w:color w:val="000000"/>
        </w:rPr>
        <w:t>Schuchmann</w:t>
      </w:r>
      <w:proofErr w:type="spellEnd"/>
      <w:r w:rsidRPr="0080707E">
        <w:rPr>
          <w:rFonts w:ascii="Book Antiqua" w:eastAsia="Book Antiqua" w:hAnsi="Book Antiqua" w:cs="Book Antiqua"/>
          <w:color w:val="000000"/>
        </w:rPr>
        <w:t xml:space="preserve"> M, </w:t>
      </w:r>
      <w:proofErr w:type="spellStart"/>
      <w:r w:rsidRPr="0080707E">
        <w:rPr>
          <w:rFonts w:ascii="Book Antiqua" w:eastAsia="Book Antiqua" w:hAnsi="Book Antiqua" w:cs="Book Antiqua"/>
          <w:color w:val="000000"/>
        </w:rPr>
        <w:t>Düber</w:t>
      </w:r>
      <w:proofErr w:type="spellEnd"/>
      <w:r w:rsidRPr="0080707E">
        <w:rPr>
          <w:rFonts w:ascii="Book Antiqua" w:eastAsia="Book Antiqua" w:hAnsi="Book Antiqua" w:cs="Book Antiqua"/>
          <w:color w:val="000000"/>
        </w:rPr>
        <w:t xml:space="preserve"> C, </w:t>
      </w:r>
      <w:proofErr w:type="spellStart"/>
      <w:r w:rsidRPr="0080707E">
        <w:rPr>
          <w:rFonts w:ascii="Book Antiqua" w:eastAsia="Book Antiqua" w:hAnsi="Book Antiqua" w:cs="Book Antiqua"/>
          <w:color w:val="000000"/>
        </w:rPr>
        <w:t>Pitton</w:t>
      </w:r>
      <w:proofErr w:type="spellEnd"/>
      <w:r w:rsidRPr="0080707E">
        <w:rPr>
          <w:rFonts w:ascii="Book Antiqua" w:eastAsia="Book Antiqua" w:hAnsi="Book Antiqua" w:cs="Book Antiqua"/>
          <w:color w:val="000000"/>
        </w:rPr>
        <w:t xml:space="preserve"> MB, Otto G. Correlation of </w:t>
      </w:r>
      <w:proofErr w:type="spellStart"/>
      <w:r w:rsidRPr="0080707E">
        <w:rPr>
          <w:rFonts w:ascii="Book Antiqua" w:eastAsia="Book Antiqua" w:hAnsi="Book Antiqua" w:cs="Book Antiqua"/>
          <w:color w:val="000000"/>
        </w:rPr>
        <w:t>multislice</w:t>
      </w:r>
      <w:proofErr w:type="spellEnd"/>
      <w:r w:rsidRPr="0080707E">
        <w:rPr>
          <w:rFonts w:ascii="Book Antiqua" w:eastAsia="Book Antiqua" w:hAnsi="Book Antiqua" w:cs="Book Antiqua"/>
          <w:color w:val="000000"/>
        </w:rPr>
        <w:t xml:space="preserve"> CT and histomorphology in HCC following TACE: predictors of outcome. </w:t>
      </w:r>
      <w:r w:rsidRPr="0080707E">
        <w:rPr>
          <w:rFonts w:ascii="Book Antiqua" w:eastAsia="Book Antiqua" w:hAnsi="Book Antiqua" w:cs="Book Antiqua"/>
          <w:i/>
          <w:iCs/>
          <w:color w:val="000000"/>
        </w:rPr>
        <w:t xml:space="preserve">Cardiovasc </w:t>
      </w:r>
      <w:proofErr w:type="spellStart"/>
      <w:r w:rsidRPr="0080707E">
        <w:rPr>
          <w:rFonts w:ascii="Book Antiqua" w:eastAsia="Book Antiqua" w:hAnsi="Book Antiqua" w:cs="Book Antiqua"/>
          <w:i/>
          <w:iCs/>
          <w:color w:val="000000"/>
        </w:rPr>
        <w:t>Intervent</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Radiol</w:t>
      </w:r>
      <w:proofErr w:type="spellEnd"/>
      <w:r w:rsidRPr="0080707E">
        <w:rPr>
          <w:rFonts w:ascii="Book Antiqua" w:eastAsia="Book Antiqua" w:hAnsi="Book Antiqua" w:cs="Book Antiqua"/>
          <w:color w:val="000000"/>
        </w:rPr>
        <w:t xml:space="preserve"> 2008; </w:t>
      </w:r>
      <w:r w:rsidRPr="0080707E">
        <w:rPr>
          <w:rFonts w:ascii="Book Antiqua" w:eastAsia="Book Antiqua" w:hAnsi="Book Antiqua" w:cs="Book Antiqua"/>
          <w:b/>
          <w:bCs/>
          <w:color w:val="000000"/>
        </w:rPr>
        <w:t>31</w:t>
      </w:r>
      <w:r w:rsidRPr="0080707E">
        <w:rPr>
          <w:rFonts w:ascii="Book Antiqua" w:eastAsia="Book Antiqua" w:hAnsi="Book Antiqua" w:cs="Book Antiqua"/>
          <w:color w:val="000000"/>
        </w:rPr>
        <w:t>: 768-777 [PMID: 18196335 DOI: 10.1007/s00270-007-9270-8]</w:t>
      </w:r>
    </w:p>
    <w:p w14:paraId="441FCBD8"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21 </w:t>
      </w:r>
      <w:r w:rsidRPr="0080707E">
        <w:rPr>
          <w:rFonts w:ascii="Book Antiqua" w:eastAsia="Book Antiqua" w:hAnsi="Book Antiqua" w:cs="Book Antiqua"/>
          <w:b/>
          <w:bCs/>
          <w:color w:val="000000"/>
        </w:rPr>
        <w:t>Hu J</w:t>
      </w:r>
      <w:r w:rsidRPr="0080707E">
        <w:rPr>
          <w:rFonts w:ascii="Book Antiqua" w:eastAsia="Book Antiqua" w:hAnsi="Book Antiqua" w:cs="Book Antiqua"/>
          <w:color w:val="000000"/>
        </w:rPr>
        <w:t xml:space="preserve">, Maybody M, Cao G, Wang X, Chen H, Zhu X, Yang R, Wang X. Lipiodol retention pattern assessed by cone beam computed tomography during conventional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chemoembolization of hepatocellular carcinoma: accuracy and correlation with response. </w:t>
      </w:r>
      <w:r w:rsidRPr="0080707E">
        <w:rPr>
          <w:rFonts w:ascii="Book Antiqua" w:eastAsia="Book Antiqua" w:hAnsi="Book Antiqua" w:cs="Book Antiqua"/>
          <w:i/>
          <w:iCs/>
          <w:color w:val="000000"/>
        </w:rPr>
        <w:t>Cancer Imaging</w:t>
      </w:r>
      <w:r w:rsidRPr="0080707E">
        <w:rPr>
          <w:rFonts w:ascii="Book Antiqua" w:eastAsia="Book Antiqua" w:hAnsi="Book Antiqua" w:cs="Book Antiqua"/>
          <w:color w:val="000000"/>
        </w:rPr>
        <w:t xml:space="preserve"> 2016; </w:t>
      </w:r>
      <w:r w:rsidRPr="0080707E">
        <w:rPr>
          <w:rFonts w:ascii="Book Antiqua" w:eastAsia="Book Antiqua" w:hAnsi="Book Antiqua" w:cs="Book Antiqua"/>
          <w:b/>
          <w:bCs/>
          <w:color w:val="000000"/>
        </w:rPr>
        <w:t>16</w:t>
      </w:r>
      <w:r w:rsidRPr="0080707E">
        <w:rPr>
          <w:rFonts w:ascii="Book Antiqua" w:eastAsia="Book Antiqua" w:hAnsi="Book Antiqua" w:cs="Book Antiqua"/>
          <w:color w:val="000000"/>
        </w:rPr>
        <w:t>: 32 [PMID: 27716376 DOI: 10.1186/s40644-016-0090-4]</w:t>
      </w:r>
    </w:p>
    <w:p w14:paraId="12DBE780"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lastRenderedPageBreak/>
        <w:t xml:space="preserve">22 </w:t>
      </w:r>
      <w:proofErr w:type="spellStart"/>
      <w:r w:rsidRPr="0080707E">
        <w:rPr>
          <w:rFonts w:ascii="Book Antiqua" w:eastAsia="Book Antiqua" w:hAnsi="Book Antiqua" w:cs="Book Antiqua"/>
          <w:b/>
          <w:bCs/>
          <w:color w:val="000000"/>
        </w:rPr>
        <w:t>Yuh</w:t>
      </w:r>
      <w:proofErr w:type="spellEnd"/>
      <w:r w:rsidRPr="0080707E">
        <w:rPr>
          <w:rFonts w:ascii="Book Antiqua" w:eastAsia="Book Antiqua" w:hAnsi="Book Antiqua" w:cs="Book Antiqua"/>
          <w:b/>
          <w:bCs/>
          <w:color w:val="000000"/>
        </w:rPr>
        <w:t xml:space="preserve"> BI</w:t>
      </w:r>
      <w:r w:rsidRPr="0080707E">
        <w:rPr>
          <w:rFonts w:ascii="Book Antiqua" w:eastAsia="Book Antiqua" w:hAnsi="Book Antiqua" w:cs="Book Antiqua"/>
          <w:color w:val="000000"/>
        </w:rPr>
        <w:t xml:space="preserve">, Cohan RH. Different phases of renal enhancement: role in detecting and characterizing renal masses during helical CT. </w:t>
      </w:r>
      <w:r w:rsidRPr="0080707E">
        <w:rPr>
          <w:rFonts w:ascii="Book Antiqua" w:eastAsia="Book Antiqua" w:hAnsi="Book Antiqua" w:cs="Book Antiqua"/>
          <w:i/>
          <w:iCs/>
          <w:color w:val="000000"/>
        </w:rPr>
        <w:t xml:space="preserve">AJR Am J </w:t>
      </w:r>
      <w:proofErr w:type="spellStart"/>
      <w:r w:rsidRPr="0080707E">
        <w:rPr>
          <w:rFonts w:ascii="Book Antiqua" w:eastAsia="Book Antiqua" w:hAnsi="Book Antiqua" w:cs="Book Antiqua"/>
          <w:i/>
          <w:iCs/>
          <w:color w:val="000000"/>
        </w:rPr>
        <w:t>Roentgenol</w:t>
      </w:r>
      <w:proofErr w:type="spellEnd"/>
      <w:r w:rsidRPr="0080707E">
        <w:rPr>
          <w:rFonts w:ascii="Book Antiqua" w:eastAsia="Book Antiqua" w:hAnsi="Book Antiqua" w:cs="Book Antiqua"/>
          <w:color w:val="000000"/>
        </w:rPr>
        <w:t xml:space="preserve"> 1999; </w:t>
      </w:r>
      <w:r w:rsidRPr="0080707E">
        <w:rPr>
          <w:rFonts w:ascii="Book Antiqua" w:eastAsia="Book Antiqua" w:hAnsi="Book Antiqua" w:cs="Book Antiqua"/>
          <w:b/>
          <w:bCs/>
          <w:color w:val="000000"/>
        </w:rPr>
        <w:t>173</w:t>
      </w:r>
      <w:r w:rsidRPr="0080707E">
        <w:rPr>
          <w:rFonts w:ascii="Book Antiqua" w:eastAsia="Book Antiqua" w:hAnsi="Book Antiqua" w:cs="Book Antiqua"/>
          <w:color w:val="000000"/>
        </w:rPr>
        <w:t>: 747-755 [PMID: 10470916 DOI: 10.2214/ajr.173.3.10470916]</w:t>
      </w:r>
    </w:p>
    <w:p w14:paraId="194CDEA9"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23 </w:t>
      </w:r>
      <w:proofErr w:type="spellStart"/>
      <w:r w:rsidRPr="0080707E">
        <w:rPr>
          <w:rFonts w:ascii="Book Antiqua" w:eastAsia="Book Antiqua" w:hAnsi="Book Antiqua" w:cs="Book Antiqua"/>
          <w:b/>
          <w:bCs/>
          <w:color w:val="000000"/>
        </w:rPr>
        <w:t>Sheth</w:t>
      </w:r>
      <w:proofErr w:type="spellEnd"/>
      <w:r w:rsidRPr="0080707E">
        <w:rPr>
          <w:rFonts w:ascii="Book Antiqua" w:eastAsia="Book Antiqua" w:hAnsi="Book Antiqua" w:cs="Book Antiqua"/>
          <w:b/>
          <w:bCs/>
          <w:color w:val="000000"/>
        </w:rPr>
        <w:t xml:space="preserve"> S</w:t>
      </w:r>
      <w:r w:rsidRPr="0080707E">
        <w:rPr>
          <w:rFonts w:ascii="Book Antiqua" w:eastAsia="Book Antiqua" w:hAnsi="Book Antiqua" w:cs="Book Antiqua"/>
          <w:color w:val="000000"/>
        </w:rPr>
        <w:t xml:space="preserve">, Fishman EK. Multi-detector row CT of the kidneys and urinary tract: techniques and applications in the diagnosis of benign diseases. </w:t>
      </w:r>
      <w:proofErr w:type="spellStart"/>
      <w:r w:rsidRPr="0080707E">
        <w:rPr>
          <w:rFonts w:ascii="Book Antiqua" w:eastAsia="Book Antiqua" w:hAnsi="Book Antiqua" w:cs="Book Antiqua"/>
          <w:i/>
          <w:iCs/>
          <w:color w:val="000000"/>
        </w:rPr>
        <w:t>Radiographics</w:t>
      </w:r>
      <w:proofErr w:type="spellEnd"/>
      <w:r w:rsidRPr="0080707E">
        <w:rPr>
          <w:rFonts w:ascii="Book Antiqua" w:eastAsia="Book Antiqua" w:hAnsi="Book Antiqua" w:cs="Book Antiqua"/>
          <w:color w:val="000000"/>
        </w:rPr>
        <w:t xml:space="preserve"> 2004; </w:t>
      </w:r>
      <w:r w:rsidRPr="0080707E">
        <w:rPr>
          <w:rFonts w:ascii="Book Antiqua" w:eastAsia="Book Antiqua" w:hAnsi="Book Antiqua" w:cs="Book Antiqua"/>
          <w:b/>
          <w:bCs/>
          <w:color w:val="000000"/>
        </w:rPr>
        <w:t>24</w:t>
      </w:r>
      <w:r w:rsidRPr="0080707E">
        <w:rPr>
          <w:rFonts w:ascii="Book Antiqua" w:eastAsia="Book Antiqua" w:hAnsi="Book Antiqua" w:cs="Book Antiqua"/>
          <w:color w:val="000000"/>
        </w:rPr>
        <w:t>: e20 [PMID: 14730056 DOI: 10.1148/rg.e20]</w:t>
      </w:r>
    </w:p>
    <w:p w14:paraId="3506C5F9"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24 </w:t>
      </w:r>
      <w:r w:rsidRPr="0080707E">
        <w:rPr>
          <w:rFonts w:ascii="Book Antiqua" w:eastAsia="Book Antiqua" w:hAnsi="Book Antiqua" w:cs="Book Antiqua"/>
          <w:b/>
          <w:bCs/>
          <w:color w:val="000000"/>
        </w:rPr>
        <w:t>Levey AS</w:t>
      </w:r>
      <w:r w:rsidRPr="0080707E">
        <w:rPr>
          <w:rFonts w:ascii="Book Antiqua" w:eastAsia="Book Antiqua" w:hAnsi="Book Antiqua" w:cs="Book Antiqua"/>
          <w:color w:val="000000"/>
        </w:rPr>
        <w:t xml:space="preserve">, Stevens LA, Schmid CH, Zhang YL, Castro AF 3rd, Feldman HI, </w:t>
      </w:r>
      <w:proofErr w:type="spellStart"/>
      <w:r w:rsidRPr="0080707E">
        <w:rPr>
          <w:rFonts w:ascii="Book Antiqua" w:eastAsia="Book Antiqua" w:hAnsi="Book Antiqua" w:cs="Book Antiqua"/>
          <w:color w:val="000000"/>
        </w:rPr>
        <w:t>Kusek</w:t>
      </w:r>
      <w:proofErr w:type="spellEnd"/>
      <w:r w:rsidRPr="0080707E">
        <w:rPr>
          <w:rFonts w:ascii="Book Antiqua" w:eastAsia="Book Antiqua" w:hAnsi="Book Antiqua" w:cs="Book Antiqua"/>
          <w:color w:val="000000"/>
        </w:rPr>
        <w:t xml:space="preserve"> JW, Eggers P, Van Lente F, Greene T, Coresh J; CKD-EPI (Chronic Kidney Disease Epidemiology Collaboration). A new equation to estimate glomerular filtration rate. </w:t>
      </w:r>
      <w:r w:rsidRPr="0080707E">
        <w:rPr>
          <w:rFonts w:ascii="Book Antiqua" w:eastAsia="Book Antiqua" w:hAnsi="Book Antiqua" w:cs="Book Antiqua"/>
          <w:i/>
          <w:iCs/>
          <w:color w:val="000000"/>
        </w:rPr>
        <w:t>Ann Intern Med</w:t>
      </w:r>
      <w:r w:rsidRPr="0080707E">
        <w:rPr>
          <w:rFonts w:ascii="Book Antiqua" w:eastAsia="Book Antiqua" w:hAnsi="Book Antiqua" w:cs="Book Antiqua"/>
          <w:color w:val="000000"/>
        </w:rPr>
        <w:t xml:space="preserve"> 2009; </w:t>
      </w:r>
      <w:r w:rsidRPr="0080707E">
        <w:rPr>
          <w:rFonts w:ascii="Book Antiqua" w:eastAsia="Book Antiqua" w:hAnsi="Book Antiqua" w:cs="Book Antiqua"/>
          <w:b/>
          <w:bCs/>
          <w:color w:val="000000"/>
        </w:rPr>
        <w:t>150</w:t>
      </w:r>
      <w:r w:rsidRPr="0080707E">
        <w:rPr>
          <w:rFonts w:ascii="Book Antiqua" w:eastAsia="Book Antiqua" w:hAnsi="Book Antiqua" w:cs="Book Antiqua"/>
          <w:color w:val="000000"/>
        </w:rPr>
        <w:t>: 604-612 [PMID: 19414839 DOI: 10.7326/0003-4819-150-9-200905050-00006]</w:t>
      </w:r>
    </w:p>
    <w:p w14:paraId="5FE5AD5C"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25 </w:t>
      </w:r>
      <w:r w:rsidRPr="0080707E">
        <w:rPr>
          <w:rFonts w:ascii="Book Antiqua" w:eastAsia="Book Antiqua" w:hAnsi="Book Antiqua" w:cs="Book Antiqua"/>
          <w:b/>
          <w:bCs/>
          <w:color w:val="000000"/>
        </w:rPr>
        <w:t>Gupta RK</w:t>
      </w:r>
      <w:r w:rsidRPr="0080707E">
        <w:rPr>
          <w:rFonts w:ascii="Book Antiqua" w:eastAsia="Book Antiqua" w:hAnsi="Book Antiqua" w:cs="Book Antiqua"/>
          <w:color w:val="000000"/>
        </w:rPr>
        <w:t xml:space="preserve">, Bang TJ. Prevention of Contrast-Induced Nephropathy (CIN) in Interventional Radiology Practice. </w:t>
      </w:r>
      <w:proofErr w:type="spellStart"/>
      <w:r w:rsidRPr="0080707E">
        <w:rPr>
          <w:rFonts w:ascii="Book Antiqua" w:eastAsia="Book Antiqua" w:hAnsi="Book Antiqua" w:cs="Book Antiqua"/>
          <w:i/>
          <w:iCs/>
          <w:color w:val="000000"/>
        </w:rPr>
        <w:t>Semin</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Intervent</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Radiol</w:t>
      </w:r>
      <w:proofErr w:type="spellEnd"/>
      <w:r w:rsidRPr="0080707E">
        <w:rPr>
          <w:rFonts w:ascii="Book Antiqua" w:eastAsia="Book Antiqua" w:hAnsi="Book Antiqua" w:cs="Book Antiqua"/>
          <w:color w:val="000000"/>
        </w:rPr>
        <w:t xml:space="preserve"> 2010; </w:t>
      </w:r>
      <w:r w:rsidRPr="0080707E">
        <w:rPr>
          <w:rFonts w:ascii="Book Antiqua" w:eastAsia="Book Antiqua" w:hAnsi="Book Antiqua" w:cs="Book Antiqua"/>
          <w:b/>
          <w:bCs/>
          <w:color w:val="000000"/>
        </w:rPr>
        <w:t>27</w:t>
      </w:r>
      <w:r w:rsidRPr="0080707E">
        <w:rPr>
          <w:rFonts w:ascii="Book Antiqua" w:eastAsia="Book Antiqua" w:hAnsi="Book Antiqua" w:cs="Book Antiqua"/>
          <w:color w:val="000000"/>
        </w:rPr>
        <w:t>: 348-359 [PMID: 22550376 DOI: 10.1055/s-0030-1267860]</w:t>
      </w:r>
    </w:p>
    <w:p w14:paraId="09387C57"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26 </w:t>
      </w:r>
      <w:proofErr w:type="spellStart"/>
      <w:r w:rsidRPr="0080707E">
        <w:rPr>
          <w:rFonts w:ascii="Book Antiqua" w:eastAsia="Book Antiqua" w:hAnsi="Book Antiqua" w:cs="Book Antiqua"/>
          <w:b/>
          <w:bCs/>
          <w:color w:val="000000"/>
        </w:rPr>
        <w:t>Briguori</w:t>
      </w:r>
      <w:proofErr w:type="spellEnd"/>
      <w:r w:rsidRPr="0080707E">
        <w:rPr>
          <w:rFonts w:ascii="Book Antiqua" w:eastAsia="Book Antiqua" w:hAnsi="Book Antiqua" w:cs="Book Antiqua"/>
          <w:b/>
          <w:bCs/>
          <w:color w:val="000000"/>
        </w:rPr>
        <w:t xml:space="preserve"> C</w:t>
      </w:r>
      <w:r w:rsidRPr="0080707E">
        <w:rPr>
          <w:rFonts w:ascii="Book Antiqua" w:eastAsia="Book Antiqua" w:hAnsi="Book Antiqua" w:cs="Book Antiqua"/>
          <w:color w:val="000000"/>
        </w:rPr>
        <w:t xml:space="preserve">, Visconti G, </w:t>
      </w:r>
      <w:proofErr w:type="spellStart"/>
      <w:r w:rsidRPr="0080707E">
        <w:rPr>
          <w:rFonts w:ascii="Book Antiqua" w:eastAsia="Book Antiqua" w:hAnsi="Book Antiqua" w:cs="Book Antiqua"/>
          <w:color w:val="000000"/>
        </w:rPr>
        <w:t>Focaccio</w:t>
      </w:r>
      <w:proofErr w:type="spellEnd"/>
      <w:r w:rsidRPr="0080707E">
        <w:rPr>
          <w:rFonts w:ascii="Book Antiqua" w:eastAsia="Book Antiqua" w:hAnsi="Book Antiqua" w:cs="Book Antiqua"/>
          <w:color w:val="000000"/>
        </w:rPr>
        <w:t xml:space="preserve"> A, </w:t>
      </w:r>
      <w:proofErr w:type="spellStart"/>
      <w:r w:rsidRPr="0080707E">
        <w:rPr>
          <w:rFonts w:ascii="Book Antiqua" w:eastAsia="Book Antiqua" w:hAnsi="Book Antiqua" w:cs="Book Antiqua"/>
          <w:color w:val="000000"/>
        </w:rPr>
        <w:t>Airoldi</w:t>
      </w:r>
      <w:proofErr w:type="spellEnd"/>
      <w:r w:rsidRPr="0080707E">
        <w:rPr>
          <w:rFonts w:ascii="Book Antiqua" w:eastAsia="Book Antiqua" w:hAnsi="Book Antiqua" w:cs="Book Antiqua"/>
          <w:color w:val="000000"/>
        </w:rPr>
        <w:t xml:space="preserve"> F, </w:t>
      </w:r>
      <w:proofErr w:type="spellStart"/>
      <w:r w:rsidRPr="0080707E">
        <w:rPr>
          <w:rFonts w:ascii="Book Antiqua" w:eastAsia="Book Antiqua" w:hAnsi="Book Antiqua" w:cs="Book Antiqua"/>
          <w:color w:val="000000"/>
        </w:rPr>
        <w:t>Valgimigli</w:t>
      </w:r>
      <w:proofErr w:type="spellEnd"/>
      <w:r w:rsidRPr="0080707E">
        <w:rPr>
          <w:rFonts w:ascii="Book Antiqua" w:eastAsia="Book Antiqua" w:hAnsi="Book Antiqua" w:cs="Book Antiqua"/>
          <w:color w:val="000000"/>
        </w:rPr>
        <w:t xml:space="preserve"> M, </w:t>
      </w:r>
      <w:proofErr w:type="spellStart"/>
      <w:r w:rsidRPr="0080707E">
        <w:rPr>
          <w:rFonts w:ascii="Book Antiqua" w:eastAsia="Book Antiqua" w:hAnsi="Book Antiqua" w:cs="Book Antiqua"/>
          <w:color w:val="000000"/>
        </w:rPr>
        <w:t>Sangiorgi</w:t>
      </w:r>
      <w:proofErr w:type="spellEnd"/>
      <w:r w:rsidRPr="0080707E">
        <w:rPr>
          <w:rFonts w:ascii="Book Antiqua" w:eastAsia="Book Antiqua" w:hAnsi="Book Antiqua" w:cs="Book Antiqua"/>
          <w:color w:val="000000"/>
        </w:rPr>
        <w:t xml:space="preserve"> GM, </w:t>
      </w:r>
      <w:proofErr w:type="spellStart"/>
      <w:r w:rsidRPr="0080707E">
        <w:rPr>
          <w:rFonts w:ascii="Book Antiqua" w:eastAsia="Book Antiqua" w:hAnsi="Book Antiqua" w:cs="Book Antiqua"/>
          <w:color w:val="000000"/>
        </w:rPr>
        <w:t>Golia</w:t>
      </w:r>
      <w:proofErr w:type="spellEnd"/>
      <w:r w:rsidRPr="0080707E">
        <w:rPr>
          <w:rFonts w:ascii="Book Antiqua" w:eastAsia="Book Antiqua" w:hAnsi="Book Antiqua" w:cs="Book Antiqua"/>
          <w:color w:val="000000"/>
        </w:rPr>
        <w:t xml:space="preserve"> B, </w:t>
      </w:r>
      <w:proofErr w:type="spellStart"/>
      <w:r w:rsidRPr="0080707E">
        <w:rPr>
          <w:rFonts w:ascii="Book Antiqua" w:eastAsia="Book Antiqua" w:hAnsi="Book Antiqua" w:cs="Book Antiqua"/>
          <w:color w:val="000000"/>
        </w:rPr>
        <w:t>Ricciardelli</w:t>
      </w:r>
      <w:proofErr w:type="spellEnd"/>
      <w:r w:rsidRPr="0080707E">
        <w:rPr>
          <w:rFonts w:ascii="Book Antiqua" w:eastAsia="Book Antiqua" w:hAnsi="Book Antiqua" w:cs="Book Antiqua"/>
          <w:color w:val="000000"/>
        </w:rPr>
        <w:t xml:space="preserve"> B, </w:t>
      </w:r>
      <w:proofErr w:type="spellStart"/>
      <w:r w:rsidRPr="0080707E">
        <w:rPr>
          <w:rFonts w:ascii="Book Antiqua" w:eastAsia="Book Antiqua" w:hAnsi="Book Antiqua" w:cs="Book Antiqua"/>
          <w:color w:val="000000"/>
        </w:rPr>
        <w:t>Condorelli</w:t>
      </w:r>
      <w:proofErr w:type="spellEnd"/>
      <w:r w:rsidRPr="0080707E">
        <w:rPr>
          <w:rFonts w:ascii="Book Antiqua" w:eastAsia="Book Antiqua" w:hAnsi="Book Antiqua" w:cs="Book Antiqua"/>
          <w:color w:val="000000"/>
        </w:rPr>
        <w:t xml:space="preserve"> G; REMEDIAL II Investigators. Renal Insufficiency After Contrast Media Administration Trial II (REMEDIAL II): </w:t>
      </w:r>
      <w:proofErr w:type="spellStart"/>
      <w:r w:rsidRPr="0080707E">
        <w:rPr>
          <w:rFonts w:ascii="Book Antiqua" w:eastAsia="Book Antiqua" w:hAnsi="Book Antiqua" w:cs="Book Antiqua"/>
          <w:color w:val="000000"/>
        </w:rPr>
        <w:t>RenalGuard</w:t>
      </w:r>
      <w:proofErr w:type="spellEnd"/>
      <w:r w:rsidRPr="0080707E">
        <w:rPr>
          <w:rFonts w:ascii="Book Antiqua" w:eastAsia="Book Antiqua" w:hAnsi="Book Antiqua" w:cs="Book Antiqua"/>
          <w:color w:val="000000"/>
        </w:rPr>
        <w:t xml:space="preserve"> System in high-risk patients for contrast-induced acute kidney injury. </w:t>
      </w:r>
      <w:r w:rsidRPr="0080707E">
        <w:rPr>
          <w:rFonts w:ascii="Book Antiqua" w:eastAsia="Book Antiqua" w:hAnsi="Book Antiqua" w:cs="Book Antiqua"/>
          <w:i/>
          <w:iCs/>
          <w:color w:val="000000"/>
        </w:rPr>
        <w:t>Circulation</w:t>
      </w:r>
      <w:r w:rsidRPr="0080707E">
        <w:rPr>
          <w:rFonts w:ascii="Book Antiqua" w:eastAsia="Book Antiqua" w:hAnsi="Book Antiqua" w:cs="Book Antiqua"/>
          <w:color w:val="000000"/>
        </w:rPr>
        <w:t xml:space="preserve"> 2011; </w:t>
      </w:r>
      <w:r w:rsidRPr="0080707E">
        <w:rPr>
          <w:rFonts w:ascii="Book Antiqua" w:eastAsia="Book Antiqua" w:hAnsi="Book Antiqua" w:cs="Book Antiqua"/>
          <w:b/>
          <w:bCs/>
          <w:color w:val="000000"/>
        </w:rPr>
        <w:t>124</w:t>
      </w:r>
      <w:r w:rsidRPr="0080707E">
        <w:rPr>
          <w:rFonts w:ascii="Book Antiqua" w:eastAsia="Book Antiqua" w:hAnsi="Book Antiqua" w:cs="Book Antiqua"/>
          <w:color w:val="000000"/>
        </w:rPr>
        <w:t>: 1260-1269 [PMID: 21844075 DOI: 10.1161/CIRCULATIONAHA.111.030759]</w:t>
      </w:r>
    </w:p>
    <w:p w14:paraId="5706C7E2"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27 </w:t>
      </w:r>
      <w:r w:rsidRPr="0080707E">
        <w:rPr>
          <w:rFonts w:ascii="Book Antiqua" w:eastAsia="Book Antiqua" w:hAnsi="Book Antiqua" w:cs="Book Antiqua"/>
          <w:b/>
          <w:bCs/>
          <w:color w:val="000000"/>
        </w:rPr>
        <w:t>Solomon R</w:t>
      </w:r>
      <w:r w:rsidRPr="0080707E">
        <w:rPr>
          <w:rFonts w:ascii="Book Antiqua" w:eastAsia="Book Antiqua" w:hAnsi="Book Antiqua" w:cs="Book Antiqua"/>
          <w:color w:val="000000"/>
        </w:rPr>
        <w:t xml:space="preserve">, Werner C, Mann D, </w:t>
      </w:r>
      <w:proofErr w:type="spellStart"/>
      <w:r w:rsidRPr="0080707E">
        <w:rPr>
          <w:rFonts w:ascii="Book Antiqua" w:eastAsia="Book Antiqua" w:hAnsi="Book Antiqua" w:cs="Book Antiqua"/>
          <w:color w:val="000000"/>
        </w:rPr>
        <w:t>D'Elia</w:t>
      </w:r>
      <w:proofErr w:type="spellEnd"/>
      <w:r w:rsidRPr="0080707E">
        <w:rPr>
          <w:rFonts w:ascii="Book Antiqua" w:eastAsia="Book Antiqua" w:hAnsi="Book Antiqua" w:cs="Book Antiqua"/>
          <w:color w:val="000000"/>
        </w:rPr>
        <w:t xml:space="preserve"> J, Silva P. Effects of saline, mannitol, and furosemide on acute decreases in renal function induced by radiocontrast agents. </w:t>
      </w:r>
      <w:r w:rsidRPr="0080707E">
        <w:rPr>
          <w:rFonts w:ascii="Book Antiqua" w:eastAsia="Book Antiqua" w:hAnsi="Book Antiqua" w:cs="Book Antiqua"/>
          <w:i/>
          <w:iCs/>
          <w:color w:val="000000"/>
        </w:rPr>
        <w:t xml:space="preserve">N </w:t>
      </w:r>
      <w:proofErr w:type="spellStart"/>
      <w:r w:rsidRPr="0080707E">
        <w:rPr>
          <w:rFonts w:ascii="Book Antiqua" w:eastAsia="Book Antiqua" w:hAnsi="Book Antiqua" w:cs="Book Antiqua"/>
          <w:i/>
          <w:iCs/>
          <w:color w:val="000000"/>
        </w:rPr>
        <w:t>Engl</w:t>
      </w:r>
      <w:proofErr w:type="spellEnd"/>
      <w:r w:rsidRPr="0080707E">
        <w:rPr>
          <w:rFonts w:ascii="Book Antiqua" w:eastAsia="Book Antiqua" w:hAnsi="Book Antiqua" w:cs="Book Antiqua"/>
          <w:i/>
          <w:iCs/>
          <w:color w:val="000000"/>
        </w:rPr>
        <w:t xml:space="preserve"> J Med</w:t>
      </w:r>
      <w:r w:rsidRPr="0080707E">
        <w:rPr>
          <w:rFonts w:ascii="Book Antiqua" w:eastAsia="Book Antiqua" w:hAnsi="Book Antiqua" w:cs="Book Antiqua"/>
          <w:color w:val="000000"/>
        </w:rPr>
        <w:t xml:space="preserve"> 1994; </w:t>
      </w:r>
      <w:r w:rsidRPr="0080707E">
        <w:rPr>
          <w:rFonts w:ascii="Book Antiqua" w:eastAsia="Book Antiqua" w:hAnsi="Book Antiqua" w:cs="Book Antiqua"/>
          <w:b/>
          <w:bCs/>
          <w:color w:val="000000"/>
        </w:rPr>
        <w:t>331</w:t>
      </w:r>
      <w:r w:rsidRPr="0080707E">
        <w:rPr>
          <w:rFonts w:ascii="Book Antiqua" w:eastAsia="Book Antiqua" w:hAnsi="Book Antiqua" w:cs="Book Antiqua"/>
          <w:color w:val="000000"/>
        </w:rPr>
        <w:t>: 1416-1420 [PMID: 7969280 DOI: 10.1056/NEJM199411243312104]</w:t>
      </w:r>
    </w:p>
    <w:p w14:paraId="3A2EFE5F"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28 </w:t>
      </w:r>
      <w:r w:rsidRPr="0080707E">
        <w:rPr>
          <w:rFonts w:ascii="Book Antiqua" w:eastAsia="Book Antiqua" w:hAnsi="Book Antiqua" w:cs="Book Antiqua"/>
          <w:b/>
          <w:bCs/>
          <w:color w:val="000000"/>
        </w:rPr>
        <w:t>Mueller C</w:t>
      </w:r>
      <w:r w:rsidRPr="0080707E">
        <w:rPr>
          <w:rFonts w:ascii="Book Antiqua" w:eastAsia="Book Antiqua" w:hAnsi="Book Antiqua" w:cs="Book Antiqua"/>
          <w:color w:val="000000"/>
        </w:rPr>
        <w:t xml:space="preserve">, Buerkle G, Buettner HJ, Petersen J, </w:t>
      </w:r>
      <w:proofErr w:type="spellStart"/>
      <w:r w:rsidRPr="0080707E">
        <w:rPr>
          <w:rFonts w:ascii="Book Antiqua" w:eastAsia="Book Antiqua" w:hAnsi="Book Antiqua" w:cs="Book Antiqua"/>
          <w:color w:val="000000"/>
        </w:rPr>
        <w:t>Perruchoud</w:t>
      </w:r>
      <w:proofErr w:type="spellEnd"/>
      <w:r w:rsidRPr="0080707E">
        <w:rPr>
          <w:rFonts w:ascii="Book Antiqua" w:eastAsia="Book Antiqua" w:hAnsi="Book Antiqua" w:cs="Book Antiqua"/>
          <w:color w:val="000000"/>
        </w:rPr>
        <w:t xml:space="preserve"> AP, Eriksson U, </w:t>
      </w:r>
      <w:proofErr w:type="spellStart"/>
      <w:r w:rsidRPr="0080707E">
        <w:rPr>
          <w:rFonts w:ascii="Book Antiqua" w:eastAsia="Book Antiqua" w:hAnsi="Book Antiqua" w:cs="Book Antiqua"/>
          <w:color w:val="000000"/>
        </w:rPr>
        <w:t>Marsch</w:t>
      </w:r>
      <w:proofErr w:type="spellEnd"/>
      <w:r w:rsidRPr="0080707E">
        <w:rPr>
          <w:rFonts w:ascii="Book Antiqua" w:eastAsia="Book Antiqua" w:hAnsi="Book Antiqua" w:cs="Book Antiqua"/>
          <w:color w:val="000000"/>
        </w:rPr>
        <w:t xml:space="preserve"> S, </w:t>
      </w:r>
      <w:proofErr w:type="spellStart"/>
      <w:r w:rsidRPr="0080707E">
        <w:rPr>
          <w:rFonts w:ascii="Book Antiqua" w:eastAsia="Book Antiqua" w:hAnsi="Book Antiqua" w:cs="Book Antiqua"/>
          <w:color w:val="000000"/>
        </w:rPr>
        <w:t>Roskamm</w:t>
      </w:r>
      <w:proofErr w:type="spellEnd"/>
      <w:r w:rsidRPr="0080707E">
        <w:rPr>
          <w:rFonts w:ascii="Book Antiqua" w:eastAsia="Book Antiqua" w:hAnsi="Book Antiqua" w:cs="Book Antiqua"/>
          <w:color w:val="000000"/>
        </w:rPr>
        <w:t xml:space="preserve"> H. Prevention of contrast media-associated nephropathy: randomized comparison of 2 hydration regimens in 1620 patients undergoing coronary angioplasty. </w:t>
      </w:r>
      <w:r w:rsidRPr="0080707E">
        <w:rPr>
          <w:rFonts w:ascii="Book Antiqua" w:eastAsia="Book Antiqua" w:hAnsi="Book Antiqua" w:cs="Book Antiqua"/>
          <w:i/>
          <w:iCs/>
          <w:color w:val="000000"/>
        </w:rPr>
        <w:t>Arch Intern Med</w:t>
      </w:r>
      <w:r w:rsidRPr="0080707E">
        <w:rPr>
          <w:rFonts w:ascii="Book Antiqua" w:eastAsia="Book Antiqua" w:hAnsi="Book Antiqua" w:cs="Book Antiqua"/>
          <w:color w:val="000000"/>
        </w:rPr>
        <w:t xml:space="preserve"> 2002; </w:t>
      </w:r>
      <w:r w:rsidRPr="0080707E">
        <w:rPr>
          <w:rFonts w:ascii="Book Antiqua" w:eastAsia="Book Antiqua" w:hAnsi="Book Antiqua" w:cs="Book Antiqua"/>
          <w:b/>
          <w:bCs/>
          <w:color w:val="000000"/>
        </w:rPr>
        <w:t>162</w:t>
      </w:r>
      <w:r w:rsidRPr="0080707E">
        <w:rPr>
          <w:rFonts w:ascii="Book Antiqua" w:eastAsia="Book Antiqua" w:hAnsi="Book Antiqua" w:cs="Book Antiqua"/>
          <w:color w:val="000000"/>
        </w:rPr>
        <w:t>: 329-336 [PMID: 11822926 DOI: 10.1001/archinte.162.3.329]</w:t>
      </w:r>
    </w:p>
    <w:p w14:paraId="37E1511D"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lastRenderedPageBreak/>
        <w:t xml:space="preserve">29 </w:t>
      </w:r>
      <w:proofErr w:type="spellStart"/>
      <w:r w:rsidRPr="0080707E">
        <w:rPr>
          <w:rFonts w:ascii="Book Antiqua" w:eastAsia="Book Antiqua" w:hAnsi="Book Antiqua" w:cs="Book Antiqua"/>
          <w:b/>
          <w:bCs/>
          <w:color w:val="000000"/>
        </w:rPr>
        <w:t>Vashishtha</w:t>
      </w:r>
      <w:proofErr w:type="spellEnd"/>
      <w:r w:rsidRPr="0080707E">
        <w:rPr>
          <w:rFonts w:ascii="Book Antiqua" w:eastAsia="Book Antiqua" w:hAnsi="Book Antiqua" w:cs="Book Antiqua"/>
          <w:b/>
          <w:bCs/>
          <w:color w:val="000000"/>
        </w:rPr>
        <w:t xml:space="preserve"> D</w:t>
      </w:r>
      <w:r w:rsidRPr="0080707E">
        <w:rPr>
          <w:rFonts w:ascii="Book Antiqua" w:eastAsia="Book Antiqua" w:hAnsi="Book Antiqua" w:cs="Book Antiqua"/>
          <w:color w:val="000000"/>
        </w:rPr>
        <w:t xml:space="preserve">, McClelland RL, Ix JH, Rifkin DE, Jenny N, Allison M. Relation Between Calcified Atherosclerosis in the Renal Arteries and Kidney Function (from the Multi-Ethnic Study of Atherosclerosis). </w:t>
      </w:r>
      <w:r w:rsidRPr="0080707E">
        <w:rPr>
          <w:rFonts w:ascii="Book Antiqua" w:eastAsia="Book Antiqua" w:hAnsi="Book Antiqua" w:cs="Book Antiqua"/>
          <w:i/>
          <w:iCs/>
          <w:color w:val="000000"/>
        </w:rPr>
        <w:t xml:space="preserve">Am J </w:t>
      </w:r>
      <w:proofErr w:type="spellStart"/>
      <w:r w:rsidRPr="0080707E">
        <w:rPr>
          <w:rFonts w:ascii="Book Antiqua" w:eastAsia="Book Antiqua" w:hAnsi="Book Antiqua" w:cs="Book Antiqua"/>
          <w:i/>
          <w:iCs/>
          <w:color w:val="000000"/>
        </w:rPr>
        <w:t>Cardiol</w:t>
      </w:r>
      <w:proofErr w:type="spellEnd"/>
      <w:r w:rsidRPr="0080707E">
        <w:rPr>
          <w:rFonts w:ascii="Book Antiqua" w:eastAsia="Book Antiqua" w:hAnsi="Book Antiqua" w:cs="Book Antiqua"/>
          <w:color w:val="000000"/>
        </w:rPr>
        <w:t xml:space="preserve"> 2017; </w:t>
      </w:r>
      <w:r w:rsidRPr="0080707E">
        <w:rPr>
          <w:rFonts w:ascii="Book Antiqua" w:eastAsia="Book Antiqua" w:hAnsi="Book Antiqua" w:cs="Book Antiqua"/>
          <w:b/>
          <w:bCs/>
          <w:color w:val="000000"/>
        </w:rPr>
        <w:t>120</w:t>
      </w:r>
      <w:r w:rsidRPr="0080707E">
        <w:rPr>
          <w:rFonts w:ascii="Book Antiqua" w:eastAsia="Book Antiqua" w:hAnsi="Book Antiqua" w:cs="Book Antiqua"/>
          <w:color w:val="000000"/>
        </w:rPr>
        <w:t>: 1434-1439 [PMID: 28826901 DOI: 10.1016/j.amjcard.2017.07.020]</w:t>
      </w:r>
    </w:p>
    <w:p w14:paraId="59F18DC4"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30 </w:t>
      </w:r>
      <w:r w:rsidRPr="0080707E">
        <w:rPr>
          <w:rFonts w:ascii="Book Antiqua" w:eastAsia="Book Antiqua" w:hAnsi="Book Antiqua" w:cs="Book Antiqua"/>
          <w:b/>
          <w:bCs/>
          <w:color w:val="000000"/>
        </w:rPr>
        <w:t>Roseman DA</w:t>
      </w:r>
      <w:r w:rsidRPr="0080707E">
        <w:rPr>
          <w:rFonts w:ascii="Book Antiqua" w:eastAsia="Book Antiqua" w:hAnsi="Book Antiqua" w:cs="Book Antiqua"/>
          <w:color w:val="000000"/>
        </w:rPr>
        <w:t xml:space="preserve">, Hwang SJ, </w:t>
      </w:r>
      <w:proofErr w:type="spellStart"/>
      <w:r w:rsidRPr="0080707E">
        <w:rPr>
          <w:rFonts w:ascii="Book Antiqua" w:eastAsia="Book Antiqua" w:hAnsi="Book Antiqua" w:cs="Book Antiqua"/>
          <w:color w:val="000000"/>
        </w:rPr>
        <w:t>Manders</w:t>
      </w:r>
      <w:proofErr w:type="spellEnd"/>
      <w:r w:rsidRPr="0080707E">
        <w:rPr>
          <w:rFonts w:ascii="Book Antiqua" w:eastAsia="Book Antiqua" w:hAnsi="Book Antiqua" w:cs="Book Antiqua"/>
          <w:color w:val="000000"/>
        </w:rPr>
        <w:t xml:space="preserve"> ES, O'Donnell CJ, Upadhyay A, Hoffmann U, Fox CS. Renal artery calcium, cardiovascular risk factors, and indexes of renal function. </w:t>
      </w:r>
      <w:r w:rsidRPr="0080707E">
        <w:rPr>
          <w:rFonts w:ascii="Book Antiqua" w:eastAsia="Book Antiqua" w:hAnsi="Book Antiqua" w:cs="Book Antiqua"/>
          <w:i/>
          <w:iCs/>
          <w:color w:val="000000"/>
        </w:rPr>
        <w:t xml:space="preserve">Am J </w:t>
      </w:r>
      <w:proofErr w:type="spellStart"/>
      <w:r w:rsidRPr="0080707E">
        <w:rPr>
          <w:rFonts w:ascii="Book Antiqua" w:eastAsia="Book Antiqua" w:hAnsi="Book Antiqua" w:cs="Book Antiqua"/>
          <w:i/>
          <w:iCs/>
          <w:color w:val="000000"/>
        </w:rPr>
        <w:t>Cardiol</w:t>
      </w:r>
      <w:proofErr w:type="spellEnd"/>
      <w:r w:rsidRPr="0080707E">
        <w:rPr>
          <w:rFonts w:ascii="Book Antiqua" w:eastAsia="Book Antiqua" w:hAnsi="Book Antiqua" w:cs="Book Antiqua"/>
          <w:color w:val="000000"/>
        </w:rPr>
        <w:t xml:space="preserve"> 2014; </w:t>
      </w:r>
      <w:r w:rsidRPr="0080707E">
        <w:rPr>
          <w:rFonts w:ascii="Book Antiqua" w:eastAsia="Book Antiqua" w:hAnsi="Book Antiqua" w:cs="Book Antiqua"/>
          <w:b/>
          <w:bCs/>
          <w:color w:val="000000"/>
        </w:rPr>
        <w:t>113</w:t>
      </w:r>
      <w:r w:rsidRPr="0080707E">
        <w:rPr>
          <w:rFonts w:ascii="Book Antiqua" w:eastAsia="Book Antiqua" w:hAnsi="Book Antiqua" w:cs="Book Antiqua"/>
          <w:color w:val="000000"/>
        </w:rPr>
        <w:t>: 156-161 [PMID: 24210678 DOI: 10.1016/j.amjcard.2013.09.036]</w:t>
      </w:r>
    </w:p>
    <w:p w14:paraId="22D875F1" w14:textId="77777777" w:rsidR="00A77B3E" w:rsidRPr="0080707E" w:rsidRDefault="00A77B3E" w:rsidP="0080707E">
      <w:pPr>
        <w:snapToGrid w:val="0"/>
        <w:spacing w:line="360" w:lineRule="auto"/>
        <w:jc w:val="both"/>
        <w:rPr>
          <w:rFonts w:ascii="Book Antiqua" w:hAnsi="Book Antiqua"/>
        </w:rPr>
        <w:sectPr w:rsidR="00A77B3E" w:rsidRPr="0080707E" w:rsidSect="009B183D">
          <w:pgSz w:w="12240" w:h="15840"/>
          <w:pgMar w:top="1440" w:right="1800" w:bottom="1440" w:left="1800" w:header="720" w:footer="720" w:gutter="0"/>
          <w:cols w:space="720"/>
          <w:docGrid w:linePitch="360"/>
        </w:sectPr>
      </w:pPr>
    </w:p>
    <w:p w14:paraId="65315AF1"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lastRenderedPageBreak/>
        <w:t>Footnotes</w:t>
      </w:r>
    </w:p>
    <w:p w14:paraId="317AB8D4"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Institutional review board statement: </w:t>
      </w:r>
      <w:r w:rsidRPr="0080707E">
        <w:rPr>
          <w:rFonts w:ascii="Book Antiqua" w:eastAsia="Book Antiqua" w:hAnsi="Book Antiqua" w:cs="Book Antiqua"/>
          <w:color w:val="000000"/>
        </w:rPr>
        <w:t>The local Institutional Review Board approved this retrospective review (Protocol 16-402) of all patients who underwent hepatic artery embolization (HAE) between January 2010 and January 2011.</w:t>
      </w:r>
    </w:p>
    <w:p w14:paraId="4C11585C" w14:textId="77777777" w:rsidR="00A77B3E" w:rsidRPr="0080707E" w:rsidRDefault="00A77B3E" w:rsidP="0080707E">
      <w:pPr>
        <w:snapToGrid w:val="0"/>
        <w:spacing w:line="360" w:lineRule="auto"/>
        <w:jc w:val="both"/>
        <w:rPr>
          <w:rFonts w:ascii="Book Antiqua" w:hAnsi="Book Antiqua"/>
        </w:rPr>
      </w:pPr>
    </w:p>
    <w:p w14:paraId="507795DE" w14:textId="323F0575"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Conflict-of-interest statement: </w:t>
      </w:r>
      <w:r w:rsidR="006F4386" w:rsidRPr="0080707E">
        <w:rPr>
          <w:rFonts w:ascii="Book Antiqua" w:hAnsi="Book Antiqua"/>
          <w:bCs/>
          <w:color w:val="000000" w:themeColor="text1"/>
        </w:rPr>
        <w:t>All authors declare no conflicts of interest related to this article.</w:t>
      </w:r>
    </w:p>
    <w:p w14:paraId="16BD3453" w14:textId="77777777" w:rsidR="00A77B3E" w:rsidRPr="0080707E" w:rsidRDefault="00A77B3E" w:rsidP="0080707E">
      <w:pPr>
        <w:snapToGrid w:val="0"/>
        <w:spacing w:line="360" w:lineRule="auto"/>
        <w:jc w:val="both"/>
        <w:rPr>
          <w:rFonts w:ascii="Book Antiqua" w:hAnsi="Book Antiqua"/>
        </w:rPr>
      </w:pPr>
    </w:p>
    <w:p w14:paraId="738D2359"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Data sharing statement: </w:t>
      </w:r>
      <w:r w:rsidRPr="0080707E">
        <w:rPr>
          <w:rFonts w:ascii="Book Antiqua" w:eastAsia="Book Antiqua" w:hAnsi="Book Antiqua" w:cs="Book Antiqua"/>
          <w:color w:val="000000"/>
        </w:rPr>
        <w:t>No additional data are available.</w:t>
      </w:r>
    </w:p>
    <w:p w14:paraId="08920D50" w14:textId="77777777" w:rsidR="00A77B3E" w:rsidRPr="0080707E" w:rsidRDefault="00A77B3E" w:rsidP="0080707E">
      <w:pPr>
        <w:snapToGrid w:val="0"/>
        <w:spacing w:line="360" w:lineRule="auto"/>
        <w:jc w:val="both"/>
        <w:rPr>
          <w:rFonts w:ascii="Book Antiqua" w:hAnsi="Book Antiqua"/>
        </w:rPr>
      </w:pPr>
    </w:p>
    <w:p w14:paraId="661572D4"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Open-Access: </w:t>
      </w:r>
      <w:r w:rsidRPr="0080707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0707E">
        <w:rPr>
          <w:rFonts w:ascii="Book Antiqua" w:eastAsia="Book Antiqua" w:hAnsi="Book Antiqua" w:cs="Book Antiqua"/>
          <w:color w:val="000000"/>
        </w:rPr>
        <w:t>NonCommercial</w:t>
      </w:r>
      <w:proofErr w:type="spellEnd"/>
      <w:r w:rsidRPr="0080707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E314C4" w14:textId="77777777" w:rsidR="00A77B3E" w:rsidRPr="0080707E" w:rsidRDefault="00A77B3E" w:rsidP="0080707E">
      <w:pPr>
        <w:snapToGrid w:val="0"/>
        <w:spacing w:line="360" w:lineRule="auto"/>
        <w:jc w:val="both"/>
        <w:rPr>
          <w:rFonts w:ascii="Book Antiqua" w:hAnsi="Book Antiqua"/>
        </w:rPr>
      </w:pPr>
    </w:p>
    <w:p w14:paraId="25A096AB" w14:textId="31A3681C"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Manuscript source: </w:t>
      </w:r>
      <w:r w:rsidRPr="0080707E">
        <w:rPr>
          <w:rFonts w:ascii="Book Antiqua" w:eastAsia="Book Antiqua" w:hAnsi="Book Antiqua" w:cs="Book Antiqua"/>
          <w:color w:val="000000"/>
        </w:rPr>
        <w:t xml:space="preserve">Unsolicited </w:t>
      </w:r>
      <w:r w:rsidR="00AD3711" w:rsidRPr="0080707E">
        <w:rPr>
          <w:rFonts w:ascii="Book Antiqua" w:eastAsia="Book Antiqua" w:hAnsi="Book Antiqua" w:cs="Book Antiqua"/>
          <w:color w:val="000000"/>
        </w:rPr>
        <w:t>manuscript</w:t>
      </w:r>
    </w:p>
    <w:p w14:paraId="1CC0F471" w14:textId="77777777" w:rsidR="00A77B3E" w:rsidRPr="0080707E" w:rsidRDefault="00A77B3E" w:rsidP="0080707E">
      <w:pPr>
        <w:snapToGrid w:val="0"/>
        <w:spacing w:line="360" w:lineRule="auto"/>
        <w:jc w:val="both"/>
        <w:rPr>
          <w:rFonts w:ascii="Book Antiqua" w:hAnsi="Book Antiqua"/>
        </w:rPr>
      </w:pPr>
    </w:p>
    <w:p w14:paraId="316E501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Peer-review started: </w:t>
      </w:r>
      <w:r w:rsidRPr="0080707E">
        <w:rPr>
          <w:rFonts w:ascii="Book Antiqua" w:eastAsia="Book Antiqua" w:hAnsi="Book Antiqua" w:cs="Book Antiqua"/>
          <w:color w:val="000000"/>
        </w:rPr>
        <w:t>May 27, 2020</w:t>
      </w:r>
    </w:p>
    <w:p w14:paraId="70046A29"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First decision: </w:t>
      </w:r>
      <w:r w:rsidRPr="0080707E">
        <w:rPr>
          <w:rFonts w:ascii="Book Antiqua" w:eastAsia="Book Antiqua" w:hAnsi="Book Antiqua" w:cs="Book Antiqua"/>
          <w:color w:val="000000"/>
        </w:rPr>
        <w:t>June 5, 2020</w:t>
      </w:r>
    </w:p>
    <w:p w14:paraId="746989DF"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Article in press: </w:t>
      </w:r>
    </w:p>
    <w:p w14:paraId="0FDB2E45" w14:textId="77777777" w:rsidR="00A77B3E" w:rsidRPr="0080707E" w:rsidRDefault="00A77B3E" w:rsidP="0080707E">
      <w:pPr>
        <w:snapToGrid w:val="0"/>
        <w:spacing w:line="360" w:lineRule="auto"/>
        <w:jc w:val="both"/>
        <w:rPr>
          <w:rFonts w:ascii="Book Antiqua" w:hAnsi="Book Antiqua"/>
        </w:rPr>
      </w:pPr>
    </w:p>
    <w:p w14:paraId="668AC316" w14:textId="69EFFE4B"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Specialty type: </w:t>
      </w:r>
      <w:r w:rsidRPr="0080707E">
        <w:rPr>
          <w:rFonts w:ascii="Book Antiqua" w:eastAsia="Book Antiqua" w:hAnsi="Book Antiqua" w:cs="Book Antiqua"/>
          <w:color w:val="000000"/>
        </w:rPr>
        <w:t xml:space="preserve">Urology and </w:t>
      </w:r>
      <w:r w:rsidR="00EF28EE" w:rsidRPr="0080707E">
        <w:rPr>
          <w:rFonts w:ascii="Book Antiqua" w:eastAsia="Book Antiqua" w:hAnsi="Book Antiqua" w:cs="Book Antiqua"/>
          <w:color w:val="000000"/>
        </w:rPr>
        <w:t>n</w:t>
      </w:r>
      <w:r w:rsidRPr="0080707E">
        <w:rPr>
          <w:rFonts w:ascii="Book Antiqua" w:eastAsia="Book Antiqua" w:hAnsi="Book Antiqua" w:cs="Book Antiqua"/>
          <w:color w:val="000000"/>
        </w:rPr>
        <w:t>ephrology</w:t>
      </w:r>
    </w:p>
    <w:p w14:paraId="746B21C5"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Country/Territory of origin: </w:t>
      </w:r>
      <w:r w:rsidRPr="0080707E">
        <w:rPr>
          <w:rFonts w:ascii="Book Antiqua" w:eastAsia="Book Antiqua" w:hAnsi="Book Antiqua" w:cs="Book Antiqua"/>
          <w:color w:val="000000"/>
        </w:rPr>
        <w:t>United States</w:t>
      </w:r>
    </w:p>
    <w:p w14:paraId="4CFB694B"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Peer-review report’s scientific quality classification</w:t>
      </w:r>
    </w:p>
    <w:p w14:paraId="64033D48"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Grade A (Excellent): 0</w:t>
      </w:r>
    </w:p>
    <w:p w14:paraId="6B52E798"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Grade B (Very good): 0</w:t>
      </w:r>
    </w:p>
    <w:p w14:paraId="668B9665"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lastRenderedPageBreak/>
        <w:t>Grade C (Good): C</w:t>
      </w:r>
    </w:p>
    <w:p w14:paraId="14159B5A"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Grade D (Fair): 0</w:t>
      </w:r>
    </w:p>
    <w:p w14:paraId="1BF58C70"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Grade E (Poor): 0</w:t>
      </w:r>
    </w:p>
    <w:p w14:paraId="361955C4" w14:textId="77777777" w:rsidR="00A77B3E" w:rsidRPr="0080707E" w:rsidRDefault="00A77B3E" w:rsidP="0080707E">
      <w:pPr>
        <w:snapToGrid w:val="0"/>
        <w:spacing w:line="360" w:lineRule="auto"/>
        <w:jc w:val="both"/>
        <w:rPr>
          <w:rFonts w:ascii="Book Antiqua" w:hAnsi="Book Antiqua"/>
        </w:rPr>
      </w:pPr>
    </w:p>
    <w:p w14:paraId="6906C432" w14:textId="77777777" w:rsidR="00A77B3E" w:rsidRPr="0080707E" w:rsidRDefault="008F2971" w:rsidP="0080707E">
      <w:pPr>
        <w:snapToGrid w:val="0"/>
        <w:spacing w:line="360" w:lineRule="auto"/>
        <w:jc w:val="both"/>
        <w:rPr>
          <w:rFonts w:ascii="Book Antiqua" w:eastAsia="Book Antiqua" w:hAnsi="Book Antiqua" w:cs="Book Antiqua"/>
          <w:b/>
          <w:color w:val="000000"/>
        </w:rPr>
      </w:pPr>
      <w:r w:rsidRPr="0080707E">
        <w:rPr>
          <w:rFonts w:ascii="Book Antiqua" w:eastAsia="Book Antiqua" w:hAnsi="Book Antiqua" w:cs="Book Antiqua"/>
          <w:b/>
          <w:color w:val="000000"/>
        </w:rPr>
        <w:t xml:space="preserve">P-Reviewer: </w:t>
      </w:r>
      <w:r w:rsidRPr="0080707E">
        <w:rPr>
          <w:rFonts w:ascii="Book Antiqua" w:eastAsia="Book Antiqua" w:hAnsi="Book Antiqua" w:cs="Book Antiqua"/>
          <w:color w:val="000000"/>
        </w:rPr>
        <w:t>El-</w:t>
      </w:r>
      <w:proofErr w:type="spellStart"/>
      <w:r w:rsidRPr="0080707E">
        <w:rPr>
          <w:rFonts w:ascii="Book Antiqua" w:eastAsia="Book Antiqua" w:hAnsi="Book Antiqua" w:cs="Book Antiqua"/>
          <w:color w:val="000000"/>
        </w:rPr>
        <w:t>Serafy</w:t>
      </w:r>
      <w:proofErr w:type="spellEnd"/>
      <w:r w:rsidRPr="0080707E">
        <w:rPr>
          <w:rFonts w:ascii="Book Antiqua" w:eastAsia="Book Antiqua" w:hAnsi="Book Antiqua" w:cs="Book Antiqua"/>
          <w:color w:val="000000"/>
        </w:rPr>
        <w:t xml:space="preserve"> AS</w:t>
      </w:r>
      <w:r w:rsidRPr="0080707E">
        <w:rPr>
          <w:rFonts w:ascii="Book Antiqua" w:eastAsia="Book Antiqua" w:hAnsi="Book Antiqua" w:cs="Book Antiqua"/>
          <w:b/>
          <w:color w:val="000000"/>
        </w:rPr>
        <w:t xml:space="preserve"> S-Editor: </w:t>
      </w:r>
      <w:r w:rsidRPr="0080707E">
        <w:rPr>
          <w:rFonts w:ascii="Book Antiqua" w:eastAsia="Book Antiqua" w:hAnsi="Book Antiqua" w:cs="Book Antiqua"/>
          <w:color w:val="000000"/>
        </w:rPr>
        <w:t>Zhang L</w:t>
      </w:r>
      <w:r w:rsidRPr="0080707E">
        <w:rPr>
          <w:rFonts w:ascii="Book Antiqua" w:eastAsia="Book Antiqua" w:hAnsi="Book Antiqua" w:cs="Book Antiqua"/>
          <w:b/>
          <w:color w:val="000000"/>
        </w:rPr>
        <w:t xml:space="preserve"> L-Editor:</w:t>
      </w:r>
      <w:r w:rsidR="003D277A" w:rsidRPr="0080707E">
        <w:rPr>
          <w:rFonts w:ascii="Book Antiqua" w:eastAsia="Book Antiqua" w:hAnsi="Book Antiqua" w:cs="Book Antiqua"/>
          <w:b/>
          <w:color w:val="000000"/>
        </w:rPr>
        <w:t xml:space="preserve"> </w:t>
      </w:r>
      <w:r w:rsidRPr="0080707E">
        <w:rPr>
          <w:rFonts w:ascii="Book Antiqua" w:eastAsia="Book Antiqua" w:hAnsi="Book Antiqua" w:cs="Book Antiqua"/>
          <w:b/>
          <w:color w:val="000000"/>
        </w:rPr>
        <w:t xml:space="preserve">P-Editor: </w:t>
      </w:r>
    </w:p>
    <w:p w14:paraId="04FC1912" w14:textId="23254CF9" w:rsidR="004F63BD" w:rsidRPr="0080707E" w:rsidRDefault="004F63BD" w:rsidP="0080707E">
      <w:pPr>
        <w:snapToGrid w:val="0"/>
        <w:spacing w:line="360" w:lineRule="auto"/>
        <w:jc w:val="both"/>
        <w:rPr>
          <w:rFonts w:ascii="Book Antiqua" w:hAnsi="Book Antiqua"/>
        </w:rPr>
        <w:sectPr w:rsidR="004F63BD" w:rsidRPr="0080707E" w:rsidSect="009B183D">
          <w:pgSz w:w="12240" w:h="15840"/>
          <w:pgMar w:top="1440" w:right="1800" w:bottom="1440" w:left="1800" w:header="720" w:footer="720" w:gutter="0"/>
          <w:cols w:space="720"/>
          <w:docGrid w:linePitch="360"/>
        </w:sectPr>
      </w:pPr>
    </w:p>
    <w:p w14:paraId="565A8B59" w14:textId="59B8B908" w:rsidR="00A77B3E" w:rsidRPr="0080707E" w:rsidRDefault="008F2971" w:rsidP="0080707E">
      <w:pPr>
        <w:snapToGrid w:val="0"/>
        <w:spacing w:line="360" w:lineRule="auto"/>
        <w:jc w:val="both"/>
        <w:rPr>
          <w:rFonts w:ascii="Book Antiqua" w:eastAsia="Book Antiqua" w:hAnsi="Book Antiqua" w:cs="Book Antiqua"/>
          <w:b/>
          <w:color w:val="000000"/>
        </w:rPr>
      </w:pPr>
      <w:r w:rsidRPr="0080707E">
        <w:rPr>
          <w:rFonts w:ascii="Book Antiqua" w:eastAsia="Book Antiqua" w:hAnsi="Book Antiqua" w:cs="Book Antiqua"/>
          <w:b/>
          <w:color w:val="000000"/>
        </w:rPr>
        <w:lastRenderedPageBreak/>
        <w:t>Figure Legends</w:t>
      </w:r>
    </w:p>
    <w:p w14:paraId="1E9F559B" w14:textId="573422D3" w:rsidR="004F63BD" w:rsidRPr="0080707E" w:rsidRDefault="00953238" w:rsidP="0080707E">
      <w:pPr>
        <w:snapToGrid w:val="0"/>
        <w:spacing w:line="360" w:lineRule="auto"/>
        <w:jc w:val="both"/>
        <w:rPr>
          <w:rFonts w:ascii="Book Antiqua" w:hAnsi="Book Antiqua"/>
        </w:rPr>
      </w:pPr>
      <w:r w:rsidRPr="0080707E">
        <w:rPr>
          <w:rFonts w:ascii="Book Antiqua" w:hAnsi="Book Antiqua"/>
          <w:noProof/>
          <w:lang w:eastAsia="zh-CN"/>
        </w:rPr>
        <w:drawing>
          <wp:inline distT="0" distB="0" distL="0" distR="0" wp14:anchorId="0628E12E" wp14:editId="7AEE11EE">
            <wp:extent cx="4496871" cy="3641697"/>
            <wp:effectExtent l="0" t="0" r="0" b="0"/>
            <wp:docPr id="18" name="图片 1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手机屏幕截图&#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4500702" cy="3644800"/>
                    </a:xfrm>
                    <a:prstGeom prst="rect">
                      <a:avLst/>
                    </a:prstGeom>
                  </pic:spPr>
                </pic:pic>
              </a:graphicData>
            </a:graphic>
          </wp:inline>
        </w:drawing>
      </w:r>
      <w:bookmarkStart w:id="11" w:name="_GoBack"/>
      <w:bookmarkEnd w:id="11"/>
    </w:p>
    <w:p w14:paraId="4CF58B5B" w14:textId="1D8106C7" w:rsidR="00EF28EE" w:rsidRDefault="004F63BD" w:rsidP="0080707E">
      <w:pPr>
        <w:snapToGrid w:val="0"/>
        <w:spacing w:line="360" w:lineRule="auto"/>
        <w:jc w:val="both"/>
        <w:rPr>
          <w:rFonts w:ascii="Book Antiqua" w:eastAsia="Book Antiqua" w:hAnsi="Book Antiqua" w:cs="Book Antiqua"/>
          <w:bCs/>
          <w:color w:val="000000"/>
        </w:rPr>
      </w:pPr>
      <w:r w:rsidRPr="0080707E">
        <w:rPr>
          <w:rFonts w:ascii="Book Antiqua" w:hAnsi="Book Antiqua" w:cstheme="minorHAnsi"/>
          <w:b/>
        </w:rPr>
        <w:t>Figure 1 Flow chart of study.</w:t>
      </w:r>
      <w:r w:rsidR="006F4386" w:rsidRPr="0080707E">
        <w:rPr>
          <w:rFonts w:ascii="Book Antiqua" w:hAnsi="Book Antiqua" w:cstheme="minorHAnsi"/>
          <w:b/>
        </w:rPr>
        <w:t xml:space="preserve"> </w:t>
      </w:r>
      <w:r w:rsidR="006F4386" w:rsidRPr="0080707E">
        <w:rPr>
          <w:rFonts w:ascii="Book Antiqua" w:hAnsi="Book Antiqua" w:cstheme="minorHAnsi"/>
          <w:bCs/>
        </w:rPr>
        <w:t xml:space="preserve">CT: </w:t>
      </w:r>
      <w:r w:rsidR="006F4386" w:rsidRPr="0080707E">
        <w:rPr>
          <w:rFonts w:ascii="Book Antiqua" w:eastAsia="Book Antiqua" w:hAnsi="Book Antiqua" w:cs="Book Antiqua"/>
          <w:bCs/>
          <w:color w:val="000000"/>
        </w:rPr>
        <w:t>Computed tomograph</w:t>
      </w:r>
      <w:r w:rsidR="0048613D" w:rsidRPr="0080707E">
        <w:rPr>
          <w:rFonts w:ascii="Book Antiqua" w:eastAsia="Book Antiqua" w:hAnsi="Book Antiqua" w:cs="Book Antiqua"/>
          <w:bCs/>
          <w:color w:val="000000"/>
        </w:rPr>
        <w:t>y</w:t>
      </w:r>
      <w:r w:rsidR="006F4386" w:rsidRPr="0080707E">
        <w:rPr>
          <w:rFonts w:ascii="Book Antiqua" w:eastAsia="Book Antiqua" w:hAnsi="Book Antiqua" w:cs="Book Antiqua"/>
          <w:bCs/>
          <w:color w:val="000000"/>
        </w:rPr>
        <w:t>.</w:t>
      </w:r>
    </w:p>
    <w:p w14:paraId="79EDB8B6" w14:textId="77777777" w:rsidR="00EF28EE" w:rsidRDefault="00EF28EE">
      <w:pPr>
        <w:rPr>
          <w:rFonts w:ascii="Book Antiqua" w:eastAsia="Book Antiqua" w:hAnsi="Book Antiqua" w:cs="Book Antiqua"/>
          <w:bCs/>
          <w:color w:val="000000"/>
        </w:rPr>
      </w:pPr>
      <w:r>
        <w:rPr>
          <w:rFonts w:ascii="Book Antiqua" w:eastAsia="Book Antiqua" w:hAnsi="Book Antiqua" w:cs="Book Antiqua"/>
          <w:bCs/>
          <w:color w:val="000000"/>
        </w:rPr>
        <w:br w:type="page"/>
      </w:r>
    </w:p>
    <w:p w14:paraId="31F9E783" w14:textId="4B13F298" w:rsidR="004F63BD" w:rsidRPr="0080707E" w:rsidRDefault="004F63BD" w:rsidP="0080707E">
      <w:pPr>
        <w:snapToGrid w:val="0"/>
        <w:spacing w:line="360" w:lineRule="auto"/>
        <w:jc w:val="both"/>
        <w:rPr>
          <w:rFonts w:ascii="Book Antiqua" w:hAnsi="Book Antiqua"/>
          <w:b/>
        </w:rPr>
      </w:pPr>
      <w:r w:rsidRPr="0080707E">
        <w:rPr>
          <w:rFonts w:ascii="Book Antiqua" w:hAnsi="Book Antiqua"/>
          <w:noProof/>
          <w:lang w:eastAsia="zh-CN"/>
        </w:rPr>
        <w:lastRenderedPageBreak/>
        <w:drawing>
          <wp:inline distT="0" distB="0" distL="0" distR="0" wp14:anchorId="574E9CF7" wp14:editId="7DE89135">
            <wp:extent cx="3600450" cy="3448050"/>
            <wp:effectExtent l="0" t="0" r="0" b="0"/>
            <wp:docPr id="14" name="Picture 14" descr="图片包含 猫, 照片, 播放,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图片包含 猫, 照片, 播放, 桌子&#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450" cy="3448050"/>
                    </a:xfrm>
                    <a:prstGeom prst="rect">
                      <a:avLst/>
                    </a:prstGeom>
                    <a:noFill/>
                    <a:ln>
                      <a:noFill/>
                    </a:ln>
                  </pic:spPr>
                </pic:pic>
              </a:graphicData>
            </a:graphic>
          </wp:inline>
        </w:drawing>
      </w:r>
    </w:p>
    <w:p w14:paraId="6AA0BDEE" w14:textId="5CB8E4B8"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Figure 2 Example of Regions-of-interest</w:t>
      </w:r>
      <w:r w:rsidR="006F4386" w:rsidRPr="0080707E">
        <w:rPr>
          <w:rFonts w:ascii="Book Antiqua" w:eastAsia="Book Antiqua" w:hAnsi="Book Antiqua" w:cs="Book Antiqua"/>
          <w:b/>
          <w:bCs/>
          <w:color w:val="000000"/>
        </w:rPr>
        <w:t xml:space="preserve"> </w:t>
      </w:r>
      <w:r w:rsidRPr="0080707E">
        <w:rPr>
          <w:rFonts w:ascii="Book Antiqua" w:eastAsia="Book Antiqua" w:hAnsi="Book Antiqua" w:cs="Book Antiqua"/>
          <w:b/>
          <w:bCs/>
          <w:color w:val="000000"/>
        </w:rPr>
        <w:t xml:space="preserve">drawn on the post-embolization non-contrast enhanced </w:t>
      </w:r>
      <w:r w:rsidR="006F4386" w:rsidRPr="0080707E">
        <w:rPr>
          <w:rFonts w:ascii="Book Antiqua" w:eastAsia="Book Antiqua" w:hAnsi="Book Antiqua" w:cs="Book Antiqua"/>
          <w:b/>
          <w:color w:val="000000"/>
        </w:rPr>
        <w:t>computed tomographic</w:t>
      </w:r>
      <w:r w:rsidRPr="0080707E">
        <w:rPr>
          <w:rFonts w:ascii="Book Antiqua" w:eastAsia="Book Antiqua" w:hAnsi="Book Antiqua" w:cs="Book Antiqua"/>
          <w:b/>
          <w:bCs/>
          <w:color w:val="000000"/>
        </w:rPr>
        <w:t xml:space="preserve"> to determine the phase of renal enhancement. </w:t>
      </w:r>
      <w:r w:rsidRPr="0080707E">
        <w:rPr>
          <w:rFonts w:ascii="Book Antiqua" w:eastAsia="Book Antiqua" w:hAnsi="Book Antiqua" w:cs="Book Antiqua"/>
          <w:color w:val="000000"/>
        </w:rPr>
        <w:t>ROI 1 measures the Hounsfield units (HU) of the renal cortex. ROI 2 measures the HU of the renal medulla. ROI 3 measures the HU of the renal pelvis. ROI 4 measures the HU of surrounding skeletal muscle. In this example, the renal enhancement phase is late excretory.</w:t>
      </w:r>
    </w:p>
    <w:p w14:paraId="33A3432E" w14:textId="64DDB8CF" w:rsidR="00A77B3E" w:rsidRPr="0080707E" w:rsidRDefault="00AD3711" w:rsidP="0080707E">
      <w:pPr>
        <w:snapToGrid w:val="0"/>
        <w:spacing w:line="360" w:lineRule="auto"/>
        <w:jc w:val="both"/>
        <w:rPr>
          <w:rFonts w:ascii="Book Antiqua" w:hAnsi="Book Antiqua"/>
        </w:rPr>
      </w:pPr>
      <w:r w:rsidRPr="0080707E">
        <w:rPr>
          <w:rFonts w:ascii="Book Antiqua" w:hAnsi="Book Antiqua"/>
        </w:rPr>
        <w:br w:type="page"/>
      </w:r>
    </w:p>
    <w:p w14:paraId="19550EE2" w14:textId="3EA11130" w:rsidR="00A77B3E" w:rsidRPr="0080707E" w:rsidRDefault="004F63BD" w:rsidP="0080707E">
      <w:pPr>
        <w:snapToGrid w:val="0"/>
        <w:spacing w:line="360" w:lineRule="auto"/>
        <w:jc w:val="both"/>
        <w:rPr>
          <w:rFonts w:ascii="Book Antiqua" w:hAnsi="Book Antiqua"/>
        </w:rPr>
      </w:pPr>
      <w:r w:rsidRPr="0080707E">
        <w:rPr>
          <w:rFonts w:ascii="Book Antiqua" w:hAnsi="Book Antiqua"/>
          <w:noProof/>
          <w:lang w:eastAsia="zh-CN"/>
        </w:rPr>
        <w:lastRenderedPageBreak/>
        <w:drawing>
          <wp:inline distT="0" distB="0" distL="0" distR="0" wp14:anchorId="2E79B68C" wp14:editId="3F941C5A">
            <wp:extent cx="5458007" cy="2488758"/>
            <wp:effectExtent l="0" t="0" r="0" b="0"/>
            <wp:docPr id="15" name="图片 15" descr="图片包含 室内, 照片, 桌子,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室内, 照片, 桌子, 食物&#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461977" cy="2490568"/>
                    </a:xfrm>
                    <a:prstGeom prst="rect">
                      <a:avLst/>
                    </a:prstGeom>
                  </pic:spPr>
                </pic:pic>
              </a:graphicData>
            </a:graphic>
          </wp:inline>
        </w:drawing>
      </w:r>
    </w:p>
    <w:p w14:paraId="6F28BF67" w14:textId="0C22F674" w:rsidR="00A77B3E" w:rsidRPr="0080707E" w:rsidRDefault="008F2971" w:rsidP="0080707E">
      <w:pPr>
        <w:snapToGrid w:val="0"/>
        <w:spacing w:line="360" w:lineRule="auto"/>
        <w:jc w:val="both"/>
        <w:rPr>
          <w:rFonts w:ascii="Book Antiqua" w:eastAsia="Book Antiqua" w:hAnsi="Book Antiqua" w:cs="Book Antiqua"/>
          <w:b/>
          <w:bCs/>
          <w:color w:val="000000"/>
        </w:rPr>
      </w:pPr>
      <w:r w:rsidRPr="0080707E">
        <w:rPr>
          <w:rFonts w:ascii="Book Antiqua" w:eastAsia="Book Antiqua" w:hAnsi="Book Antiqua" w:cs="Book Antiqua"/>
          <w:b/>
          <w:bCs/>
          <w:color w:val="000000"/>
        </w:rPr>
        <w:t xml:space="preserve">Figure 3 </w:t>
      </w:r>
      <w:r w:rsidR="00046367" w:rsidRPr="0080707E">
        <w:rPr>
          <w:rFonts w:ascii="Book Antiqua" w:eastAsia="Book Antiqua" w:hAnsi="Book Antiqua" w:cs="Book Antiqua"/>
          <w:b/>
          <w:color w:val="000000"/>
        </w:rPr>
        <w:t>Computed tomographic.</w:t>
      </w:r>
      <w:r w:rsidR="00046367" w:rsidRPr="0080707E">
        <w:rPr>
          <w:rFonts w:ascii="Book Antiqua" w:hAnsi="Book Antiqua" w:cs="Book Antiqua"/>
          <w:b/>
          <w:bCs/>
          <w:color w:val="000000"/>
          <w:lang w:eastAsia="zh-CN"/>
        </w:rPr>
        <w:t xml:space="preserve"> </w:t>
      </w:r>
      <w:r w:rsidR="004F63BD" w:rsidRPr="0080707E">
        <w:rPr>
          <w:rFonts w:ascii="Book Antiqua" w:eastAsia="Book Antiqua" w:hAnsi="Book Antiqua" w:cs="Book Antiqua"/>
          <w:color w:val="000000"/>
        </w:rPr>
        <w:t>A:</w:t>
      </w:r>
      <w:r w:rsidRPr="0080707E">
        <w:rPr>
          <w:rFonts w:ascii="Book Antiqua" w:eastAsia="Book Antiqua" w:hAnsi="Book Antiqua" w:cs="Book Antiqua"/>
          <w:color w:val="000000"/>
        </w:rPr>
        <w:t xml:space="preserve"> Immediate post-embolization non-contrast </w:t>
      </w:r>
      <w:r w:rsidR="006F4386" w:rsidRPr="0080707E">
        <w:rPr>
          <w:rFonts w:ascii="Book Antiqua" w:eastAsia="Book Antiqua" w:hAnsi="Book Antiqua" w:cs="Book Antiqua"/>
          <w:bCs/>
          <w:color w:val="000000"/>
        </w:rPr>
        <w:t>computed tomographic</w:t>
      </w:r>
      <w:r w:rsidRPr="0080707E">
        <w:rPr>
          <w:rFonts w:ascii="Book Antiqua" w:eastAsia="Book Antiqua" w:hAnsi="Book Antiqua" w:cs="Book Antiqua"/>
          <w:bCs/>
          <w:color w:val="000000"/>
        </w:rPr>
        <w:t xml:space="preserve"> </w:t>
      </w:r>
      <w:r w:rsidRPr="0080707E">
        <w:rPr>
          <w:rFonts w:ascii="Book Antiqua" w:eastAsia="Book Antiqua" w:hAnsi="Book Antiqua" w:cs="Book Antiqua"/>
          <w:color w:val="000000"/>
        </w:rPr>
        <w:t xml:space="preserve">demonstrating homogenous renal parenchymal enhancement (renal cortex and medulla) with </w:t>
      </w:r>
      <w:r w:rsidR="006F4386" w:rsidRPr="0080707E">
        <w:rPr>
          <w:rFonts w:ascii="Book Antiqua" w:eastAsia="Book Antiqua" w:hAnsi="Book Antiqua" w:cs="Book Antiqua"/>
          <w:color w:val="000000"/>
        </w:rPr>
        <w:t>Hounsfield units</w:t>
      </w:r>
      <w:r w:rsidRPr="0080707E">
        <w:rPr>
          <w:rFonts w:ascii="Book Antiqua" w:eastAsia="Book Antiqua" w:hAnsi="Book Antiqua" w:cs="Book Antiqua"/>
          <w:color w:val="000000"/>
        </w:rPr>
        <w:t xml:space="preserve"> of 172 and incomplete opacification of renal collecting system, consistent with Early Excretory renal enhancement phase. Hyper enhancement of renal parenchyma compared to adjacent paraspinal skeletal muscle is evident</w:t>
      </w:r>
      <w:r w:rsidR="004F63BD" w:rsidRPr="0080707E">
        <w:rPr>
          <w:rFonts w:ascii="Book Antiqua" w:eastAsia="Book Antiqua" w:hAnsi="Book Antiqua" w:cs="Book Antiqua"/>
          <w:color w:val="000000"/>
        </w:rPr>
        <w:t>; B:</w:t>
      </w:r>
      <w:r w:rsidRPr="0080707E">
        <w:rPr>
          <w:rFonts w:ascii="Book Antiqua" w:eastAsia="Book Antiqua" w:hAnsi="Book Antiqua" w:cs="Book Antiqua"/>
          <w:color w:val="000000"/>
        </w:rPr>
        <w:t xml:space="preserve"> Immediate post-embolization non-contrast </w:t>
      </w:r>
      <w:r w:rsidR="006F4386" w:rsidRPr="0080707E">
        <w:rPr>
          <w:rFonts w:ascii="Book Antiqua" w:eastAsia="Book Antiqua" w:hAnsi="Book Antiqua" w:cs="Book Antiqua"/>
          <w:bCs/>
          <w:color w:val="000000"/>
        </w:rPr>
        <w:t>computed tomographic</w:t>
      </w:r>
      <w:r w:rsidRPr="0080707E">
        <w:rPr>
          <w:rFonts w:ascii="Book Antiqua" w:eastAsia="Book Antiqua" w:hAnsi="Book Antiqua" w:cs="Book Antiqua"/>
          <w:color w:val="000000"/>
        </w:rPr>
        <w:t xml:space="preserve"> demonstrating complete opacification of the renal collecting system with renal parenchyma iso-dense to surrounding skeletal muscle, consistent with late excretory renal enhancement phase.</w:t>
      </w:r>
    </w:p>
    <w:p w14:paraId="6630C716" w14:textId="60D25B75" w:rsidR="00E519B5" w:rsidRDefault="00E519B5">
      <w:pPr>
        <w:rPr>
          <w:rFonts w:ascii="Book Antiqua" w:eastAsia="Book Antiqua" w:hAnsi="Book Antiqua" w:cs="Book Antiqua"/>
          <w:color w:val="000000"/>
        </w:rPr>
      </w:pPr>
      <w:r>
        <w:rPr>
          <w:rFonts w:ascii="Book Antiqua" w:eastAsia="Book Antiqua" w:hAnsi="Book Antiqua" w:cs="Book Antiqua"/>
          <w:color w:val="000000"/>
        </w:rPr>
        <w:br w:type="page"/>
      </w:r>
    </w:p>
    <w:p w14:paraId="6140C307" w14:textId="0F353CF4" w:rsidR="004F63BD" w:rsidRPr="0080707E" w:rsidRDefault="004F63BD" w:rsidP="0080707E">
      <w:pPr>
        <w:snapToGrid w:val="0"/>
        <w:spacing w:line="360" w:lineRule="auto"/>
        <w:jc w:val="both"/>
        <w:rPr>
          <w:rFonts w:ascii="Book Antiqua" w:hAnsi="Book Antiqua"/>
        </w:rPr>
      </w:pPr>
      <w:r w:rsidRPr="0080707E">
        <w:rPr>
          <w:rFonts w:ascii="Book Antiqua" w:hAnsi="Book Antiqua"/>
          <w:noProof/>
          <w:lang w:eastAsia="zh-CN"/>
        </w:rPr>
        <w:lastRenderedPageBreak/>
        <w:drawing>
          <wp:inline distT="0" distB="0" distL="0" distR="0" wp14:anchorId="087019A3" wp14:editId="6B37A1F6">
            <wp:extent cx="5282072" cy="2297927"/>
            <wp:effectExtent l="0" t="0" r="0" b="0"/>
            <wp:docPr id="16" name="图片 16" descr="图片包含 室内, 桌子, 小, 覆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室内, 桌子, 小, 覆盖&#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6084" cy="2299672"/>
                    </a:xfrm>
                    <a:prstGeom prst="rect">
                      <a:avLst/>
                    </a:prstGeom>
                  </pic:spPr>
                </pic:pic>
              </a:graphicData>
            </a:graphic>
          </wp:inline>
        </w:drawing>
      </w:r>
    </w:p>
    <w:p w14:paraId="0943C151" w14:textId="43B43974" w:rsidR="00A77B3E" w:rsidRPr="0080707E" w:rsidRDefault="008F2971" w:rsidP="0080707E">
      <w:pPr>
        <w:snapToGrid w:val="0"/>
        <w:spacing w:line="360" w:lineRule="auto"/>
        <w:jc w:val="both"/>
        <w:rPr>
          <w:rFonts w:ascii="Book Antiqua" w:eastAsia="Book Antiqua" w:hAnsi="Book Antiqua" w:cs="Book Antiqua"/>
          <w:b/>
          <w:color w:val="000000"/>
        </w:rPr>
      </w:pPr>
      <w:r w:rsidRPr="0080707E">
        <w:rPr>
          <w:rFonts w:ascii="Book Antiqua" w:eastAsia="Book Antiqua" w:hAnsi="Book Antiqua" w:cs="Book Antiqua"/>
          <w:b/>
          <w:bCs/>
          <w:color w:val="000000"/>
        </w:rPr>
        <w:t>Figure 4</w:t>
      </w:r>
      <w:r w:rsidRPr="0080707E">
        <w:rPr>
          <w:rFonts w:ascii="Book Antiqua" w:eastAsia="Book Antiqua" w:hAnsi="Book Antiqua" w:cs="Book Antiqua"/>
          <w:color w:val="000000"/>
        </w:rPr>
        <w:t xml:space="preserve"> </w:t>
      </w:r>
      <w:r w:rsidR="00046367" w:rsidRPr="0080707E">
        <w:rPr>
          <w:rFonts w:ascii="Book Antiqua" w:eastAsia="Book Antiqua" w:hAnsi="Book Antiqua" w:cs="Book Antiqua"/>
          <w:b/>
          <w:color w:val="000000"/>
        </w:rPr>
        <w:t>Any discernible plaque along the renal arteries with more than 130 Hounsfield units were considered calcifications.</w:t>
      </w:r>
      <w:r w:rsidR="00046367" w:rsidRPr="0080707E">
        <w:rPr>
          <w:rFonts w:ascii="Book Antiqua" w:hAnsi="Book Antiqua" w:cs="Book Antiqua"/>
          <w:b/>
          <w:color w:val="000000"/>
          <w:lang w:eastAsia="zh-CN"/>
        </w:rPr>
        <w:t xml:space="preserve"> </w:t>
      </w:r>
      <w:r w:rsidRPr="0080707E">
        <w:rPr>
          <w:rFonts w:ascii="Book Antiqua" w:eastAsia="Book Antiqua" w:hAnsi="Book Antiqua" w:cs="Book Antiqua"/>
          <w:color w:val="000000"/>
        </w:rPr>
        <w:t xml:space="preserve">Immediate post-embolization non-contrast </w:t>
      </w:r>
      <w:r w:rsidR="004F63BD" w:rsidRPr="0080707E">
        <w:rPr>
          <w:rFonts w:ascii="Book Antiqua" w:eastAsia="Book Antiqua" w:hAnsi="Book Antiqua" w:cs="Book Antiqua"/>
          <w:color w:val="000000"/>
        </w:rPr>
        <w:t>computed tomographic</w:t>
      </w:r>
      <w:r w:rsidRPr="0080707E">
        <w:rPr>
          <w:rFonts w:ascii="Book Antiqua" w:eastAsia="Book Antiqua" w:hAnsi="Book Antiqua" w:cs="Book Antiqua"/>
          <w:color w:val="000000"/>
        </w:rPr>
        <w:t xml:space="preserve"> demonstrating renal artery calcifications in the right (arrow)</w:t>
      </w:r>
      <w:r w:rsidR="006F4386"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w:t>
      </w:r>
      <w:r w:rsidR="004F63BD" w:rsidRPr="0080707E">
        <w:rPr>
          <w:rFonts w:ascii="Book Antiqua" w:eastAsia="Book Antiqua" w:hAnsi="Book Antiqua" w:cs="Book Antiqua"/>
          <w:color w:val="000000"/>
        </w:rPr>
        <w:t>A</w:t>
      </w:r>
      <w:r w:rsidRPr="0080707E">
        <w:rPr>
          <w:rFonts w:ascii="Book Antiqua" w:eastAsia="Book Antiqua" w:hAnsi="Book Antiqua" w:cs="Book Antiqua"/>
          <w:color w:val="000000"/>
        </w:rPr>
        <w:t>) and left (arrow)</w:t>
      </w:r>
      <w:r w:rsidR="006F4386"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w:t>
      </w:r>
      <w:r w:rsidR="004F63BD" w:rsidRPr="0080707E">
        <w:rPr>
          <w:rFonts w:ascii="Book Antiqua" w:eastAsia="Book Antiqua" w:hAnsi="Book Antiqua" w:cs="Book Antiqua"/>
          <w:color w:val="000000"/>
        </w:rPr>
        <w:t>B</w:t>
      </w:r>
      <w:r w:rsidRPr="0080707E">
        <w:rPr>
          <w:rFonts w:ascii="Book Antiqua" w:eastAsia="Book Antiqua" w:hAnsi="Book Antiqua" w:cs="Book Antiqua"/>
          <w:color w:val="000000"/>
        </w:rPr>
        <w:t>) renal arteries.</w:t>
      </w:r>
    </w:p>
    <w:p w14:paraId="075BED50" w14:textId="3D2B9360" w:rsidR="00A77B3E" w:rsidRPr="0080707E" w:rsidRDefault="00A77B3E" w:rsidP="0080707E">
      <w:pPr>
        <w:snapToGrid w:val="0"/>
        <w:spacing w:line="360" w:lineRule="auto"/>
        <w:jc w:val="both"/>
        <w:rPr>
          <w:rFonts w:ascii="Book Antiqua" w:hAnsi="Book Antiqua"/>
        </w:rPr>
      </w:pPr>
    </w:p>
    <w:p w14:paraId="11BBB9B3" w14:textId="543403DF" w:rsidR="00A27DBA" w:rsidRPr="0080707E" w:rsidRDefault="00A27DBA" w:rsidP="0080707E">
      <w:pPr>
        <w:snapToGrid w:val="0"/>
        <w:spacing w:line="360" w:lineRule="auto"/>
        <w:jc w:val="both"/>
        <w:rPr>
          <w:rFonts w:ascii="Book Antiqua" w:hAnsi="Book Antiqua" w:cstheme="minorHAnsi"/>
          <w:b/>
          <w:bCs/>
        </w:rPr>
      </w:pPr>
      <w:r w:rsidRPr="0080707E">
        <w:rPr>
          <w:rFonts w:ascii="Book Antiqua" w:hAnsi="Book Antiqua"/>
          <w:b/>
        </w:rPr>
        <w:br w:type="page"/>
      </w:r>
      <w:r w:rsidR="00953238" w:rsidRPr="0080707E">
        <w:rPr>
          <w:rFonts w:ascii="Book Antiqua" w:hAnsi="Book Antiqua"/>
          <w:b/>
        </w:rPr>
        <w:lastRenderedPageBreak/>
        <w:t>Table 1</w:t>
      </w:r>
      <w:r w:rsidRPr="0080707E">
        <w:rPr>
          <w:rFonts w:ascii="Book Antiqua" w:hAnsi="Book Antiqua"/>
          <w:b/>
        </w:rPr>
        <w:t xml:space="preserve"> </w:t>
      </w:r>
      <w:r w:rsidR="00953238" w:rsidRPr="0080707E">
        <w:rPr>
          <w:rFonts w:ascii="Book Antiqua" w:hAnsi="Book Antiqua"/>
          <w:b/>
        </w:rPr>
        <w:t xml:space="preserve">Patient </w:t>
      </w:r>
      <w:r w:rsidRPr="0080707E">
        <w:rPr>
          <w:rFonts w:ascii="Book Antiqua" w:hAnsi="Book Antiqua"/>
          <w:b/>
        </w:rPr>
        <w:t>d</w:t>
      </w:r>
      <w:r w:rsidR="00953238" w:rsidRPr="0080707E">
        <w:rPr>
          <w:rFonts w:ascii="Book Antiqua" w:hAnsi="Book Antiqua"/>
          <w:b/>
        </w:rPr>
        <w:t xml:space="preserve">emographics and </w:t>
      </w:r>
      <w:r w:rsidR="005A719E" w:rsidRPr="0080707E">
        <w:rPr>
          <w:rFonts w:ascii="Book Antiqua" w:hAnsi="Book Antiqua"/>
          <w:b/>
        </w:rPr>
        <w:t xml:space="preserve">baseline </w:t>
      </w:r>
      <w:r w:rsidRPr="0080707E">
        <w:rPr>
          <w:rFonts w:ascii="Book Antiqua" w:hAnsi="Book Antiqua"/>
          <w:b/>
        </w:rPr>
        <w:t>c</w:t>
      </w:r>
      <w:r w:rsidR="00953238" w:rsidRPr="0080707E">
        <w:rPr>
          <w:rFonts w:ascii="Book Antiqua" w:hAnsi="Book Antiqua"/>
          <w:b/>
        </w:rPr>
        <w:t>haracteristics (</w:t>
      </w:r>
      <w:r w:rsidR="00953238" w:rsidRPr="0080707E">
        <w:rPr>
          <w:rFonts w:ascii="Book Antiqua" w:hAnsi="Book Antiqua"/>
          <w:b/>
          <w:i/>
          <w:iCs/>
        </w:rPr>
        <w:t>n</w:t>
      </w:r>
      <w:r w:rsidRPr="0080707E">
        <w:rPr>
          <w:rFonts w:ascii="Book Antiqua" w:hAnsi="Book Antiqua"/>
          <w:b/>
          <w:i/>
          <w:iCs/>
        </w:rPr>
        <w:t xml:space="preserve"> </w:t>
      </w:r>
      <w:r w:rsidR="00953238" w:rsidRPr="0080707E">
        <w:rPr>
          <w:rFonts w:ascii="Book Antiqua" w:hAnsi="Book Antiqua"/>
          <w:b/>
        </w:rPr>
        <w:t>=</w:t>
      </w:r>
      <w:r w:rsidRPr="0080707E">
        <w:rPr>
          <w:rFonts w:ascii="Book Antiqua" w:hAnsi="Book Antiqua"/>
          <w:b/>
        </w:rPr>
        <w:t xml:space="preserve"> </w:t>
      </w:r>
      <w:r w:rsidR="00953238" w:rsidRPr="0080707E">
        <w:rPr>
          <w:rFonts w:ascii="Book Antiqua" w:hAnsi="Book Antiqua"/>
          <w:b/>
        </w:rPr>
        <w:t>84)</w:t>
      </w:r>
      <w:r w:rsidRPr="0080707E">
        <w:rPr>
          <w:rFonts w:ascii="Book Antiqua" w:hAnsi="Book Antiqua" w:cstheme="minorHAnsi"/>
          <w:b/>
        </w:rPr>
        <w:t xml:space="preserve">, </w:t>
      </w:r>
      <w:r w:rsidR="00046367" w:rsidRPr="0080707E">
        <w:rPr>
          <w:rFonts w:ascii="Book Antiqua" w:hAnsi="Book Antiqua" w:cstheme="minorHAnsi"/>
          <w:b/>
          <w:bCs/>
        </w:rPr>
        <w:t xml:space="preserve">patient </w:t>
      </w:r>
      <w:r w:rsidRPr="0080707E">
        <w:rPr>
          <w:rFonts w:ascii="Book Antiqua" w:hAnsi="Book Antiqua" w:cstheme="minorHAnsi"/>
          <w:b/>
          <w:bCs/>
        </w:rPr>
        <w:t>demographics and baseline ch</w:t>
      </w:r>
      <w:r w:rsidR="00046367" w:rsidRPr="0080707E">
        <w:rPr>
          <w:rFonts w:ascii="Book Antiqua" w:hAnsi="Book Antiqua" w:cstheme="minorHAnsi"/>
          <w:b/>
          <w:bCs/>
        </w:rPr>
        <w:t>aracteristics and comorbidities</w:t>
      </w:r>
    </w:p>
    <w:tbl>
      <w:tblPr>
        <w:tblW w:w="0" w:type="auto"/>
        <w:tblLook w:val="04A0" w:firstRow="1" w:lastRow="0" w:firstColumn="1" w:lastColumn="0" w:noHBand="0" w:noVBand="1"/>
      </w:tblPr>
      <w:tblGrid>
        <w:gridCol w:w="4412"/>
        <w:gridCol w:w="3835"/>
      </w:tblGrid>
      <w:tr w:rsidR="00046367" w:rsidRPr="0080707E" w14:paraId="23154090" w14:textId="77777777" w:rsidTr="00EF28EE">
        <w:trPr>
          <w:trHeight w:val="456"/>
        </w:trPr>
        <w:tc>
          <w:tcPr>
            <w:tcW w:w="4412" w:type="dxa"/>
            <w:tcBorders>
              <w:top w:val="single" w:sz="8" w:space="0" w:color="auto"/>
              <w:left w:val="nil"/>
              <w:bottom w:val="single" w:sz="4" w:space="0" w:color="auto"/>
              <w:right w:val="nil"/>
            </w:tcBorders>
            <w:shd w:val="clear" w:color="auto" w:fill="auto"/>
            <w:noWrap/>
            <w:vAlign w:val="bottom"/>
            <w:hideMark/>
          </w:tcPr>
          <w:p w14:paraId="4BB1072A" w14:textId="21AF0F73" w:rsidR="00046367" w:rsidRPr="0080707E" w:rsidRDefault="00046367" w:rsidP="0080707E">
            <w:pPr>
              <w:snapToGrid w:val="0"/>
              <w:spacing w:line="360" w:lineRule="auto"/>
              <w:jc w:val="both"/>
              <w:rPr>
                <w:rFonts w:ascii="Book Antiqua" w:eastAsia="Times New Roman" w:hAnsi="Book Antiqua" w:cs="Calibri"/>
                <w:b/>
                <w:bCs/>
                <w:color w:val="000000"/>
              </w:rPr>
            </w:pPr>
            <w:r w:rsidRPr="0080707E">
              <w:rPr>
                <w:rFonts w:ascii="Book Antiqua" w:eastAsia="Times New Roman" w:hAnsi="Book Antiqua" w:cs="Calibri"/>
                <w:b/>
                <w:bCs/>
                <w:color w:val="000000"/>
              </w:rPr>
              <w:t xml:space="preserve">Clinical characteristics </w:t>
            </w:r>
          </w:p>
        </w:tc>
        <w:tc>
          <w:tcPr>
            <w:tcW w:w="3835" w:type="dxa"/>
            <w:tcBorders>
              <w:top w:val="single" w:sz="8" w:space="0" w:color="auto"/>
              <w:left w:val="nil"/>
              <w:bottom w:val="single" w:sz="4" w:space="0" w:color="auto"/>
              <w:right w:val="nil"/>
            </w:tcBorders>
            <w:shd w:val="clear" w:color="auto" w:fill="auto"/>
            <w:noWrap/>
            <w:vAlign w:val="bottom"/>
            <w:hideMark/>
          </w:tcPr>
          <w:p w14:paraId="616CB980" w14:textId="77777777" w:rsidR="00046367" w:rsidRPr="0080707E" w:rsidRDefault="00046367" w:rsidP="0080707E">
            <w:pPr>
              <w:snapToGrid w:val="0"/>
              <w:spacing w:line="360" w:lineRule="auto"/>
              <w:jc w:val="both"/>
              <w:rPr>
                <w:rFonts w:ascii="Book Antiqua" w:eastAsia="Times New Roman" w:hAnsi="Book Antiqua" w:cs="Calibri"/>
                <w:b/>
                <w:bCs/>
                <w:color w:val="000000"/>
              </w:rPr>
            </w:pPr>
            <w:r w:rsidRPr="0080707E">
              <w:rPr>
                <w:rFonts w:ascii="Book Antiqua" w:eastAsia="Times New Roman" w:hAnsi="Book Antiqua" w:cs="Calibri"/>
                <w:b/>
                <w:bCs/>
                <w:color w:val="000000"/>
              </w:rPr>
              <w:t>Value</w:t>
            </w:r>
          </w:p>
        </w:tc>
      </w:tr>
      <w:tr w:rsidR="00046367" w:rsidRPr="0080707E" w14:paraId="4E09DF05" w14:textId="77777777" w:rsidTr="00EF28EE">
        <w:trPr>
          <w:trHeight w:val="456"/>
        </w:trPr>
        <w:tc>
          <w:tcPr>
            <w:tcW w:w="4412" w:type="dxa"/>
            <w:tcBorders>
              <w:top w:val="nil"/>
              <w:left w:val="nil"/>
              <w:bottom w:val="nil"/>
              <w:right w:val="nil"/>
            </w:tcBorders>
            <w:shd w:val="clear" w:color="auto" w:fill="auto"/>
            <w:noWrap/>
            <w:vAlign w:val="bottom"/>
            <w:hideMark/>
          </w:tcPr>
          <w:p w14:paraId="015A9EB8"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Sex</w:t>
            </w:r>
          </w:p>
        </w:tc>
        <w:tc>
          <w:tcPr>
            <w:tcW w:w="3835" w:type="dxa"/>
            <w:tcBorders>
              <w:top w:val="nil"/>
              <w:left w:val="nil"/>
              <w:bottom w:val="nil"/>
              <w:right w:val="nil"/>
            </w:tcBorders>
            <w:shd w:val="clear" w:color="auto" w:fill="auto"/>
            <w:noWrap/>
            <w:vAlign w:val="bottom"/>
            <w:hideMark/>
          </w:tcPr>
          <w:p w14:paraId="0C87BA7C" w14:textId="77777777" w:rsidR="00046367" w:rsidRPr="0080707E" w:rsidRDefault="00046367" w:rsidP="0080707E">
            <w:pPr>
              <w:snapToGrid w:val="0"/>
              <w:spacing w:line="360" w:lineRule="auto"/>
              <w:jc w:val="both"/>
              <w:rPr>
                <w:rFonts w:ascii="Book Antiqua" w:eastAsia="Times New Roman" w:hAnsi="Book Antiqua" w:cs="Calibri"/>
                <w:b/>
                <w:bCs/>
                <w:i/>
                <w:iCs/>
                <w:color w:val="000000"/>
              </w:rPr>
            </w:pPr>
          </w:p>
        </w:tc>
      </w:tr>
      <w:tr w:rsidR="00046367" w:rsidRPr="0080707E" w14:paraId="58A30AAA" w14:textId="77777777" w:rsidTr="00EF28EE">
        <w:trPr>
          <w:trHeight w:val="456"/>
        </w:trPr>
        <w:tc>
          <w:tcPr>
            <w:tcW w:w="4412" w:type="dxa"/>
            <w:tcBorders>
              <w:top w:val="nil"/>
              <w:left w:val="nil"/>
              <w:bottom w:val="nil"/>
              <w:right w:val="nil"/>
            </w:tcBorders>
            <w:shd w:val="clear" w:color="auto" w:fill="auto"/>
            <w:noWrap/>
            <w:vAlign w:val="bottom"/>
            <w:hideMark/>
          </w:tcPr>
          <w:p w14:paraId="6BBD9C17"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Male</w:t>
            </w:r>
          </w:p>
        </w:tc>
        <w:tc>
          <w:tcPr>
            <w:tcW w:w="3835" w:type="dxa"/>
            <w:tcBorders>
              <w:top w:val="nil"/>
              <w:left w:val="nil"/>
              <w:bottom w:val="nil"/>
              <w:right w:val="nil"/>
            </w:tcBorders>
            <w:shd w:val="clear" w:color="auto" w:fill="auto"/>
            <w:noWrap/>
            <w:vAlign w:val="bottom"/>
            <w:hideMark/>
          </w:tcPr>
          <w:p w14:paraId="641A1BA2"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53</w:t>
            </w:r>
          </w:p>
        </w:tc>
      </w:tr>
      <w:tr w:rsidR="00046367" w:rsidRPr="0080707E" w14:paraId="5AD1FB0E" w14:textId="77777777" w:rsidTr="00EF28EE">
        <w:trPr>
          <w:trHeight w:val="456"/>
        </w:trPr>
        <w:tc>
          <w:tcPr>
            <w:tcW w:w="4412" w:type="dxa"/>
            <w:tcBorders>
              <w:top w:val="nil"/>
              <w:left w:val="nil"/>
              <w:bottom w:val="nil"/>
              <w:right w:val="nil"/>
            </w:tcBorders>
            <w:shd w:val="clear" w:color="auto" w:fill="auto"/>
            <w:noWrap/>
            <w:vAlign w:val="bottom"/>
            <w:hideMark/>
          </w:tcPr>
          <w:p w14:paraId="01DCFC6B"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Female</w:t>
            </w:r>
          </w:p>
        </w:tc>
        <w:tc>
          <w:tcPr>
            <w:tcW w:w="3835" w:type="dxa"/>
            <w:tcBorders>
              <w:top w:val="nil"/>
              <w:left w:val="nil"/>
              <w:bottom w:val="nil"/>
              <w:right w:val="nil"/>
            </w:tcBorders>
            <w:shd w:val="clear" w:color="auto" w:fill="auto"/>
            <w:noWrap/>
            <w:vAlign w:val="bottom"/>
            <w:hideMark/>
          </w:tcPr>
          <w:p w14:paraId="15CC547D"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31</w:t>
            </w:r>
          </w:p>
        </w:tc>
      </w:tr>
      <w:tr w:rsidR="00046367" w:rsidRPr="0080707E" w14:paraId="1D107492" w14:textId="77777777" w:rsidTr="00EF28EE">
        <w:trPr>
          <w:trHeight w:val="456"/>
        </w:trPr>
        <w:tc>
          <w:tcPr>
            <w:tcW w:w="4412" w:type="dxa"/>
            <w:tcBorders>
              <w:top w:val="nil"/>
              <w:left w:val="nil"/>
              <w:bottom w:val="nil"/>
              <w:right w:val="nil"/>
            </w:tcBorders>
            <w:shd w:val="clear" w:color="auto" w:fill="auto"/>
            <w:noWrap/>
            <w:vAlign w:val="bottom"/>
            <w:hideMark/>
          </w:tcPr>
          <w:p w14:paraId="4499290B" w14:textId="53F065A0"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Age (</w:t>
            </w:r>
            <w:proofErr w:type="spellStart"/>
            <w:r w:rsidRPr="0080707E">
              <w:rPr>
                <w:rFonts w:ascii="Book Antiqua" w:eastAsia="Times New Roman" w:hAnsi="Book Antiqua" w:cs="Calibri"/>
                <w:color w:val="000000"/>
              </w:rPr>
              <w:t>Yr</w:t>
            </w:r>
            <w:proofErr w:type="spellEnd"/>
            <w:r w:rsidRPr="0080707E">
              <w:rPr>
                <w:rFonts w:ascii="Book Antiqua" w:eastAsia="Times New Roman" w:hAnsi="Book Antiqua" w:cs="Calibri"/>
                <w:color w:val="000000"/>
              </w:rPr>
              <w:t>, average, range)</w:t>
            </w:r>
          </w:p>
        </w:tc>
        <w:tc>
          <w:tcPr>
            <w:tcW w:w="3835" w:type="dxa"/>
            <w:tcBorders>
              <w:top w:val="nil"/>
              <w:left w:val="nil"/>
              <w:bottom w:val="nil"/>
              <w:right w:val="nil"/>
            </w:tcBorders>
            <w:shd w:val="clear" w:color="auto" w:fill="auto"/>
            <w:noWrap/>
            <w:vAlign w:val="bottom"/>
            <w:hideMark/>
          </w:tcPr>
          <w:p w14:paraId="42C8667C"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63 (29-87)</w:t>
            </w:r>
          </w:p>
        </w:tc>
      </w:tr>
      <w:tr w:rsidR="00046367" w:rsidRPr="0080707E" w14:paraId="6E133D86" w14:textId="77777777" w:rsidTr="00EF28EE">
        <w:trPr>
          <w:trHeight w:val="456"/>
        </w:trPr>
        <w:tc>
          <w:tcPr>
            <w:tcW w:w="4412" w:type="dxa"/>
            <w:tcBorders>
              <w:top w:val="nil"/>
              <w:left w:val="nil"/>
              <w:bottom w:val="nil"/>
              <w:right w:val="nil"/>
            </w:tcBorders>
            <w:shd w:val="clear" w:color="auto" w:fill="auto"/>
            <w:noWrap/>
            <w:vAlign w:val="bottom"/>
            <w:hideMark/>
          </w:tcPr>
          <w:p w14:paraId="1B54D07F"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Ethnicity</w:t>
            </w:r>
          </w:p>
        </w:tc>
        <w:tc>
          <w:tcPr>
            <w:tcW w:w="3835" w:type="dxa"/>
            <w:tcBorders>
              <w:top w:val="nil"/>
              <w:left w:val="nil"/>
              <w:bottom w:val="nil"/>
              <w:right w:val="nil"/>
            </w:tcBorders>
            <w:shd w:val="clear" w:color="auto" w:fill="auto"/>
            <w:noWrap/>
            <w:vAlign w:val="bottom"/>
            <w:hideMark/>
          </w:tcPr>
          <w:p w14:paraId="1FCF483E" w14:textId="77777777" w:rsidR="00046367" w:rsidRPr="0080707E" w:rsidRDefault="00046367" w:rsidP="0080707E">
            <w:pPr>
              <w:snapToGrid w:val="0"/>
              <w:spacing w:line="360" w:lineRule="auto"/>
              <w:jc w:val="both"/>
              <w:rPr>
                <w:rFonts w:ascii="Book Antiqua" w:eastAsia="Times New Roman" w:hAnsi="Book Antiqua" w:cs="Calibri"/>
                <w:b/>
                <w:bCs/>
                <w:i/>
                <w:iCs/>
                <w:color w:val="000000"/>
              </w:rPr>
            </w:pPr>
          </w:p>
        </w:tc>
      </w:tr>
      <w:tr w:rsidR="00046367" w:rsidRPr="0080707E" w14:paraId="4FD75958" w14:textId="77777777" w:rsidTr="00EF28EE">
        <w:trPr>
          <w:trHeight w:val="456"/>
        </w:trPr>
        <w:tc>
          <w:tcPr>
            <w:tcW w:w="4412" w:type="dxa"/>
            <w:tcBorders>
              <w:top w:val="nil"/>
              <w:left w:val="nil"/>
              <w:bottom w:val="nil"/>
              <w:right w:val="nil"/>
            </w:tcBorders>
            <w:shd w:val="clear" w:color="auto" w:fill="auto"/>
            <w:noWrap/>
            <w:vAlign w:val="bottom"/>
            <w:hideMark/>
          </w:tcPr>
          <w:p w14:paraId="732C3710"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Caucasian</w:t>
            </w:r>
          </w:p>
        </w:tc>
        <w:tc>
          <w:tcPr>
            <w:tcW w:w="3835" w:type="dxa"/>
            <w:tcBorders>
              <w:top w:val="nil"/>
              <w:left w:val="nil"/>
              <w:bottom w:val="nil"/>
              <w:right w:val="nil"/>
            </w:tcBorders>
            <w:shd w:val="clear" w:color="auto" w:fill="auto"/>
            <w:noWrap/>
            <w:vAlign w:val="bottom"/>
            <w:hideMark/>
          </w:tcPr>
          <w:p w14:paraId="0249448C"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62</w:t>
            </w:r>
          </w:p>
        </w:tc>
      </w:tr>
      <w:tr w:rsidR="00046367" w:rsidRPr="0080707E" w14:paraId="36C4373F" w14:textId="77777777" w:rsidTr="00EF28EE">
        <w:trPr>
          <w:trHeight w:val="456"/>
        </w:trPr>
        <w:tc>
          <w:tcPr>
            <w:tcW w:w="4412" w:type="dxa"/>
            <w:tcBorders>
              <w:top w:val="nil"/>
              <w:left w:val="nil"/>
              <w:bottom w:val="nil"/>
              <w:right w:val="nil"/>
            </w:tcBorders>
            <w:shd w:val="clear" w:color="auto" w:fill="auto"/>
            <w:noWrap/>
            <w:vAlign w:val="bottom"/>
            <w:hideMark/>
          </w:tcPr>
          <w:p w14:paraId="138B5E70"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African American</w:t>
            </w:r>
          </w:p>
        </w:tc>
        <w:tc>
          <w:tcPr>
            <w:tcW w:w="3835" w:type="dxa"/>
            <w:tcBorders>
              <w:top w:val="nil"/>
              <w:left w:val="nil"/>
              <w:bottom w:val="nil"/>
              <w:right w:val="nil"/>
            </w:tcBorders>
            <w:shd w:val="clear" w:color="auto" w:fill="auto"/>
            <w:noWrap/>
            <w:vAlign w:val="bottom"/>
            <w:hideMark/>
          </w:tcPr>
          <w:p w14:paraId="64B2B485"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8</w:t>
            </w:r>
          </w:p>
        </w:tc>
      </w:tr>
      <w:tr w:rsidR="00046367" w:rsidRPr="0080707E" w14:paraId="5797B664" w14:textId="77777777" w:rsidTr="00EF28EE">
        <w:trPr>
          <w:trHeight w:val="456"/>
        </w:trPr>
        <w:tc>
          <w:tcPr>
            <w:tcW w:w="4412" w:type="dxa"/>
            <w:tcBorders>
              <w:top w:val="nil"/>
              <w:left w:val="nil"/>
              <w:bottom w:val="nil"/>
              <w:right w:val="nil"/>
            </w:tcBorders>
            <w:shd w:val="clear" w:color="auto" w:fill="auto"/>
            <w:noWrap/>
            <w:vAlign w:val="bottom"/>
            <w:hideMark/>
          </w:tcPr>
          <w:p w14:paraId="20883911"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Hispanic</w:t>
            </w:r>
          </w:p>
        </w:tc>
        <w:tc>
          <w:tcPr>
            <w:tcW w:w="3835" w:type="dxa"/>
            <w:tcBorders>
              <w:top w:val="nil"/>
              <w:left w:val="nil"/>
              <w:bottom w:val="nil"/>
              <w:right w:val="nil"/>
            </w:tcBorders>
            <w:shd w:val="clear" w:color="auto" w:fill="auto"/>
            <w:noWrap/>
            <w:vAlign w:val="bottom"/>
            <w:hideMark/>
          </w:tcPr>
          <w:p w14:paraId="2501F81A"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4</w:t>
            </w:r>
          </w:p>
        </w:tc>
      </w:tr>
      <w:tr w:rsidR="00046367" w:rsidRPr="0080707E" w14:paraId="61A2EF29" w14:textId="77777777" w:rsidTr="00EF28EE">
        <w:trPr>
          <w:trHeight w:val="456"/>
        </w:trPr>
        <w:tc>
          <w:tcPr>
            <w:tcW w:w="4412" w:type="dxa"/>
            <w:tcBorders>
              <w:top w:val="nil"/>
              <w:left w:val="nil"/>
              <w:bottom w:val="nil"/>
              <w:right w:val="nil"/>
            </w:tcBorders>
            <w:shd w:val="clear" w:color="auto" w:fill="auto"/>
            <w:noWrap/>
            <w:vAlign w:val="bottom"/>
            <w:hideMark/>
          </w:tcPr>
          <w:p w14:paraId="723CF5F6"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Asian</w:t>
            </w:r>
          </w:p>
        </w:tc>
        <w:tc>
          <w:tcPr>
            <w:tcW w:w="3835" w:type="dxa"/>
            <w:tcBorders>
              <w:top w:val="nil"/>
              <w:left w:val="nil"/>
              <w:bottom w:val="nil"/>
              <w:right w:val="nil"/>
            </w:tcBorders>
            <w:shd w:val="clear" w:color="auto" w:fill="auto"/>
            <w:noWrap/>
            <w:vAlign w:val="bottom"/>
            <w:hideMark/>
          </w:tcPr>
          <w:p w14:paraId="27B4E431"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10</w:t>
            </w:r>
          </w:p>
        </w:tc>
      </w:tr>
      <w:tr w:rsidR="00046367" w:rsidRPr="0080707E" w14:paraId="13827AFA" w14:textId="77777777" w:rsidTr="00EF28EE">
        <w:trPr>
          <w:trHeight w:val="456"/>
        </w:trPr>
        <w:tc>
          <w:tcPr>
            <w:tcW w:w="4412" w:type="dxa"/>
            <w:tcBorders>
              <w:top w:val="nil"/>
              <w:left w:val="nil"/>
              <w:bottom w:val="nil"/>
              <w:right w:val="nil"/>
            </w:tcBorders>
            <w:shd w:val="clear" w:color="auto" w:fill="auto"/>
            <w:noWrap/>
            <w:vAlign w:val="bottom"/>
            <w:hideMark/>
          </w:tcPr>
          <w:p w14:paraId="42BDDD0C" w14:textId="377C0486"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Medical comorbidities</w:t>
            </w:r>
          </w:p>
        </w:tc>
        <w:tc>
          <w:tcPr>
            <w:tcW w:w="3835" w:type="dxa"/>
            <w:tcBorders>
              <w:top w:val="nil"/>
              <w:left w:val="nil"/>
              <w:bottom w:val="nil"/>
              <w:right w:val="nil"/>
            </w:tcBorders>
            <w:shd w:val="clear" w:color="auto" w:fill="auto"/>
            <w:noWrap/>
            <w:vAlign w:val="bottom"/>
            <w:hideMark/>
          </w:tcPr>
          <w:p w14:paraId="08D5F772" w14:textId="77777777" w:rsidR="00046367" w:rsidRPr="0080707E" w:rsidRDefault="00046367" w:rsidP="0080707E">
            <w:pPr>
              <w:snapToGrid w:val="0"/>
              <w:spacing w:line="360" w:lineRule="auto"/>
              <w:jc w:val="both"/>
              <w:rPr>
                <w:rFonts w:ascii="Book Antiqua" w:eastAsia="Times New Roman" w:hAnsi="Book Antiqua" w:cs="Calibri"/>
                <w:b/>
                <w:bCs/>
                <w:i/>
                <w:iCs/>
                <w:color w:val="000000"/>
              </w:rPr>
            </w:pPr>
          </w:p>
        </w:tc>
      </w:tr>
      <w:tr w:rsidR="00046367" w:rsidRPr="0080707E" w14:paraId="0B36A6ED" w14:textId="77777777" w:rsidTr="00EF28EE">
        <w:trPr>
          <w:trHeight w:val="456"/>
        </w:trPr>
        <w:tc>
          <w:tcPr>
            <w:tcW w:w="4412" w:type="dxa"/>
            <w:tcBorders>
              <w:top w:val="nil"/>
              <w:left w:val="nil"/>
              <w:bottom w:val="nil"/>
              <w:right w:val="nil"/>
            </w:tcBorders>
            <w:shd w:val="clear" w:color="auto" w:fill="auto"/>
            <w:noWrap/>
            <w:vAlign w:val="bottom"/>
            <w:hideMark/>
          </w:tcPr>
          <w:p w14:paraId="0FB482E5" w14:textId="7EE00738"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Diabetes mellitus</w:t>
            </w:r>
          </w:p>
        </w:tc>
        <w:tc>
          <w:tcPr>
            <w:tcW w:w="3835" w:type="dxa"/>
            <w:tcBorders>
              <w:top w:val="nil"/>
              <w:left w:val="nil"/>
              <w:bottom w:val="nil"/>
              <w:right w:val="nil"/>
            </w:tcBorders>
            <w:shd w:val="clear" w:color="auto" w:fill="auto"/>
            <w:noWrap/>
            <w:vAlign w:val="bottom"/>
            <w:hideMark/>
          </w:tcPr>
          <w:p w14:paraId="1B0E35E7"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17</w:t>
            </w:r>
          </w:p>
        </w:tc>
      </w:tr>
      <w:tr w:rsidR="00046367" w:rsidRPr="0080707E" w14:paraId="1D89D722" w14:textId="77777777" w:rsidTr="00EF28EE">
        <w:trPr>
          <w:trHeight w:val="456"/>
        </w:trPr>
        <w:tc>
          <w:tcPr>
            <w:tcW w:w="4412" w:type="dxa"/>
            <w:tcBorders>
              <w:top w:val="nil"/>
              <w:left w:val="nil"/>
              <w:bottom w:val="nil"/>
              <w:right w:val="nil"/>
            </w:tcBorders>
            <w:shd w:val="clear" w:color="auto" w:fill="auto"/>
            <w:noWrap/>
            <w:vAlign w:val="bottom"/>
            <w:hideMark/>
          </w:tcPr>
          <w:p w14:paraId="4AAE9AED"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CAD/HTN</w:t>
            </w:r>
          </w:p>
        </w:tc>
        <w:tc>
          <w:tcPr>
            <w:tcW w:w="3835" w:type="dxa"/>
            <w:tcBorders>
              <w:top w:val="nil"/>
              <w:left w:val="nil"/>
              <w:bottom w:val="nil"/>
              <w:right w:val="nil"/>
            </w:tcBorders>
            <w:shd w:val="clear" w:color="auto" w:fill="auto"/>
            <w:noWrap/>
            <w:vAlign w:val="bottom"/>
            <w:hideMark/>
          </w:tcPr>
          <w:p w14:paraId="277A6538"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29</w:t>
            </w:r>
          </w:p>
        </w:tc>
      </w:tr>
      <w:tr w:rsidR="00046367" w:rsidRPr="0080707E" w14:paraId="714E0C25" w14:textId="77777777" w:rsidTr="00EF28EE">
        <w:trPr>
          <w:trHeight w:val="456"/>
        </w:trPr>
        <w:tc>
          <w:tcPr>
            <w:tcW w:w="4412" w:type="dxa"/>
            <w:tcBorders>
              <w:top w:val="nil"/>
              <w:left w:val="nil"/>
              <w:bottom w:val="nil"/>
              <w:right w:val="nil"/>
            </w:tcBorders>
            <w:shd w:val="clear" w:color="auto" w:fill="auto"/>
            <w:noWrap/>
            <w:vAlign w:val="bottom"/>
            <w:hideMark/>
          </w:tcPr>
          <w:p w14:paraId="52DE6FB2" w14:textId="7381D99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Cirrhotic?</w:t>
            </w:r>
          </w:p>
        </w:tc>
        <w:tc>
          <w:tcPr>
            <w:tcW w:w="3835" w:type="dxa"/>
            <w:tcBorders>
              <w:top w:val="nil"/>
              <w:left w:val="nil"/>
              <w:bottom w:val="nil"/>
              <w:right w:val="nil"/>
            </w:tcBorders>
            <w:shd w:val="clear" w:color="auto" w:fill="auto"/>
            <w:noWrap/>
            <w:vAlign w:val="bottom"/>
            <w:hideMark/>
          </w:tcPr>
          <w:p w14:paraId="3A6FE26C" w14:textId="77777777" w:rsidR="00046367" w:rsidRPr="0080707E" w:rsidRDefault="00046367" w:rsidP="0080707E">
            <w:pPr>
              <w:snapToGrid w:val="0"/>
              <w:spacing w:line="360" w:lineRule="auto"/>
              <w:jc w:val="both"/>
              <w:rPr>
                <w:rFonts w:ascii="Book Antiqua" w:eastAsia="Times New Roman" w:hAnsi="Book Antiqua" w:cs="Calibri"/>
                <w:b/>
                <w:bCs/>
                <w:i/>
                <w:iCs/>
                <w:color w:val="000000"/>
              </w:rPr>
            </w:pPr>
          </w:p>
        </w:tc>
      </w:tr>
      <w:tr w:rsidR="00046367" w:rsidRPr="0080707E" w14:paraId="738BE4EC" w14:textId="77777777" w:rsidTr="00EF28EE">
        <w:trPr>
          <w:trHeight w:val="456"/>
        </w:trPr>
        <w:tc>
          <w:tcPr>
            <w:tcW w:w="4412" w:type="dxa"/>
            <w:tcBorders>
              <w:top w:val="nil"/>
              <w:left w:val="nil"/>
              <w:bottom w:val="nil"/>
              <w:right w:val="nil"/>
            </w:tcBorders>
            <w:shd w:val="clear" w:color="auto" w:fill="auto"/>
            <w:noWrap/>
            <w:vAlign w:val="bottom"/>
            <w:hideMark/>
          </w:tcPr>
          <w:p w14:paraId="5A34C926"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Yes</w:t>
            </w:r>
          </w:p>
        </w:tc>
        <w:tc>
          <w:tcPr>
            <w:tcW w:w="3835" w:type="dxa"/>
            <w:tcBorders>
              <w:top w:val="nil"/>
              <w:left w:val="nil"/>
              <w:bottom w:val="nil"/>
              <w:right w:val="nil"/>
            </w:tcBorders>
            <w:shd w:val="clear" w:color="auto" w:fill="auto"/>
            <w:noWrap/>
            <w:vAlign w:val="bottom"/>
            <w:hideMark/>
          </w:tcPr>
          <w:p w14:paraId="36158B40"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38</w:t>
            </w:r>
          </w:p>
        </w:tc>
      </w:tr>
      <w:tr w:rsidR="00046367" w:rsidRPr="0080707E" w14:paraId="770815B4" w14:textId="77777777" w:rsidTr="00EF28EE">
        <w:trPr>
          <w:trHeight w:val="456"/>
        </w:trPr>
        <w:tc>
          <w:tcPr>
            <w:tcW w:w="4412" w:type="dxa"/>
            <w:tcBorders>
              <w:top w:val="nil"/>
              <w:left w:val="nil"/>
              <w:bottom w:val="nil"/>
              <w:right w:val="nil"/>
            </w:tcBorders>
            <w:shd w:val="clear" w:color="auto" w:fill="auto"/>
            <w:noWrap/>
            <w:vAlign w:val="bottom"/>
            <w:hideMark/>
          </w:tcPr>
          <w:p w14:paraId="58DA274C"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No</w:t>
            </w:r>
          </w:p>
        </w:tc>
        <w:tc>
          <w:tcPr>
            <w:tcW w:w="3835" w:type="dxa"/>
            <w:tcBorders>
              <w:top w:val="nil"/>
              <w:left w:val="nil"/>
              <w:bottom w:val="nil"/>
              <w:right w:val="nil"/>
            </w:tcBorders>
            <w:shd w:val="clear" w:color="auto" w:fill="auto"/>
            <w:noWrap/>
            <w:vAlign w:val="bottom"/>
            <w:hideMark/>
          </w:tcPr>
          <w:p w14:paraId="4422684C"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46</w:t>
            </w:r>
          </w:p>
        </w:tc>
      </w:tr>
      <w:tr w:rsidR="00046367" w:rsidRPr="0080707E" w14:paraId="1B130AB8" w14:textId="77777777" w:rsidTr="00EF28EE">
        <w:trPr>
          <w:trHeight w:val="456"/>
        </w:trPr>
        <w:tc>
          <w:tcPr>
            <w:tcW w:w="4412" w:type="dxa"/>
            <w:tcBorders>
              <w:top w:val="nil"/>
              <w:left w:val="nil"/>
              <w:bottom w:val="nil"/>
              <w:right w:val="nil"/>
            </w:tcBorders>
            <w:shd w:val="clear" w:color="auto" w:fill="auto"/>
            <w:noWrap/>
            <w:vAlign w:val="bottom"/>
            <w:hideMark/>
          </w:tcPr>
          <w:p w14:paraId="0C35A264" w14:textId="6B12BF2C"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Etiology of cirrhosis</w:t>
            </w:r>
          </w:p>
        </w:tc>
        <w:tc>
          <w:tcPr>
            <w:tcW w:w="3835" w:type="dxa"/>
            <w:tcBorders>
              <w:top w:val="nil"/>
              <w:left w:val="nil"/>
              <w:bottom w:val="nil"/>
              <w:right w:val="nil"/>
            </w:tcBorders>
            <w:shd w:val="clear" w:color="auto" w:fill="auto"/>
            <w:noWrap/>
            <w:vAlign w:val="bottom"/>
            <w:hideMark/>
          </w:tcPr>
          <w:p w14:paraId="00A37D85" w14:textId="77777777" w:rsidR="00046367" w:rsidRPr="0080707E" w:rsidRDefault="00046367" w:rsidP="0080707E">
            <w:pPr>
              <w:snapToGrid w:val="0"/>
              <w:spacing w:line="360" w:lineRule="auto"/>
              <w:jc w:val="both"/>
              <w:rPr>
                <w:rFonts w:ascii="Book Antiqua" w:eastAsia="Times New Roman" w:hAnsi="Book Antiqua" w:cs="Calibri"/>
                <w:b/>
                <w:bCs/>
                <w:i/>
                <w:iCs/>
                <w:color w:val="000000"/>
              </w:rPr>
            </w:pPr>
          </w:p>
        </w:tc>
      </w:tr>
      <w:tr w:rsidR="00046367" w:rsidRPr="0080707E" w14:paraId="25B8F57A" w14:textId="77777777" w:rsidTr="00EF28EE">
        <w:trPr>
          <w:trHeight w:val="456"/>
        </w:trPr>
        <w:tc>
          <w:tcPr>
            <w:tcW w:w="4412" w:type="dxa"/>
            <w:tcBorders>
              <w:top w:val="nil"/>
              <w:left w:val="nil"/>
              <w:bottom w:val="nil"/>
              <w:right w:val="nil"/>
            </w:tcBorders>
            <w:shd w:val="clear" w:color="auto" w:fill="auto"/>
            <w:noWrap/>
            <w:vAlign w:val="bottom"/>
            <w:hideMark/>
          </w:tcPr>
          <w:p w14:paraId="448EFF8C"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HCV</w:t>
            </w:r>
          </w:p>
        </w:tc>
        <w:tc>
          <w:tcPr>
            <w:tcW w:w="3835" w:type="dxa"/>
            <w:tcBorders>
              <w:top w:val="nil"/>
              <w:left w:val="nil"/>
              <w:bottom w:val="nil"/>
              <w:right w:val="nil"/>
            </w:tcBorders>
            <w:shd w:val="clear" w:color="auto" w:fill="auto"/>
            <w:noWrap/>
            <w:vAlign w:val="bottom"/>
            <w:hideMark/>
          </w:tcPr>
          <w:p w14:paraId="3CEE86DF"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16</w:t>
            </w:r>
          </w:p>
        </w:tc>
      </w:tr>
      <w:tr w:rsidR="00046367" w:rsidRPr="0080707E" w14:paraId="65A140F4" w14:textId="77777777" w:rsidTr="00EF28EE">
        <w:trPr>
          <w:trHeight w:val="456"/>
        </w:trPr>
        <w:tc>
          <w:tcPr>
            <w:tcW w:w="4412" w:type="dxa"/>
            <w:tcBorders>
              <w:top w:val="nil"/>
              <w:left w:val="nil"/>
              <w:bottom w:val="nil"/>
              <w:right w:val="nil"/>
            </w:tcBorders>
            <w:shd w:val="clear" w:color="auto" w:fill="auto"/>
            <w:noWrap/>
            <w:vAlign w:val="bottom"/>
            <w:hideMark/>
          </w:tcPr>
          <w:p w14:paraId="43AE0257"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HBV</w:t>
            </w:r>
          </w:p>
        </w:tc>
        <w:tc>
          <w:tcPr>
            <w:tcW w:w="3835" w:type="dxa"/>
            <w:tcBorders>
              <w:top w:val="nil"/>
              <w:left w:val="nil"/>
              <w:bottom w:val="nil"/>
              <w:right w:val="nil"/>
            </w:tcBorders>
            <w:shd w:val="clear" w:color="auto" w:fill="auto"/>
            <w:noWrap/>
            <w:vAlign w:val="bottom"/>
            <w:hideMark/>
          </w:tcPr>
          <w:p w14:paraId="059CA637"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6</w:t>
            </w:r>
          </w:p>
        </w:tc>
      </w:tr>
      <w:tr w:rsidR="00046367" w:rsidRPr="0080707E" w14:paraId="574C2504" w14:textId="77777777" w:rsidTr="00EF28EE">
        <w:trPr>
          <w:trHeight w:val="456"/>
        </w:trPr>
        <w:tc>
          <w:tcPr>
            <w:tcW w:w="4412" w:type="dxa"/>
            <w:tcBorders>
              <w:top w:val="nil"/>
              <w:left w:val="nil"/>
              <w:bottom w:val="nil"/>
              <w:right w:val="nil"/>
            </w:tcBorders>
            <w:shd w:val="clear" w:color="auto" w:fill="auto"/>
            <w:noWrap/>
            <w:vAlign w:val="bottom"/>
            <w:hideMark/>
          </w:tcPr>
          <w:p w14:paraId="7645BA96" w14:textId="428E9CD8"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EtOH</w:t>
            </w:r>
          </w:p>
        </w:tc>
        <w:tc>
          <w:tcPr>
            <w:tcW w:w="3835" w:type="dxa"/>
            <w:tcBorders>
              <w:top w:val="nil"/>
              <w:left w:val="nil"/>
              <w:bottom w:val="nil"/>
              <w:right w:val="nil"/>
            </w:tcBorders>
            <w:shd w:val="clear" w:color="auto" w:fill="auto"/>
            <w:noWrap/>
            <w:vAlign w:val="bottom"/>
            <w:hideMark/>
          </w:tcPr>
          <w:p w14:paraId="6C14068C"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4</w:t>
            </w:r>
          </w:p>
        </w:tc>
      </w:tr>
      <w:tr w:rsidR="00046367" w:rsidRPr="0080707E" w14:paraId="5F1C07DA" w14:textId="77777777" w:rsidTr="00EF28EE">
        <w:trPr>
          <w:trHeight w:val="456"/>
        </w:trPr>
        <w:tc>
          <w:tcPr>
            <w:tcW w:w="4412" w:type="dxa"/>
            <w:tcBorders>
              <w:top w:val="nil"/>
              <w:left w:val="nil"/>
              <w:bottom w:val="nil"/>
              <w:right w:val="nil"/>
            </w:tcBorders>
            <w:shd w:val="clear" w:color="auto" w:fill="auto"/>
            <w:noWrap/>
            <w:vAlign w:val="bottom"/>
            <w:hideMark/>
          </w:tcPr>
          <w:p w14:paraId="1F34E38C"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NASH</w:t>
            </w:r>
          </w:p>
        </w:tc>
        <w:tc>
          <w:tcPr>
            <w:tcW w:w="3835" w:type="dxa"/>
            <w:tcBorders>
              <w:top w:val="nil"/>
              <w:left w:val="nil"/>
              <w:bottom w:val="nil"/>
              <w:right w:val="nil"/>
            </w:tcBorders>
            <w:shd w:val="clear" w:color="auto" w:fill="auto"/>
            <w:noWrap/>
            <w:vAlign w:val="bottom"/>
            <w:hideMark/>
          </w:tcPr>
          <w:p w14:paraId="4B0A2436"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3</w:t>
            </w:r>
          </w:p>
        </w:tc>
      </w:tr>
      <w:tr w:rsidR="00046367" w:rsidRPr="0080707E" w14:paraId="7AF5C55F" w14:textId="77777777" w:rsidTr="00EF28EE">
        <w:trPr>
          <w:trHeight w:val="456"/>
        </w:trPr>
        <w:tc>
          <w:tcPr>
            <w:tcW w:w="4412" w:type="dxa"/>
            <w:tcBorders>
              <w:top w:val="nil"/>
              <w:left w:val="nil"/>
              <w:bottom w:val="nil"/>
              <w:right w:val="nil"/>
            </w:tcBorders>
            <w:shd w:val="clear" w:color="auto" w:fill="auto"/>
            <w:noWrap/>
            <w:vAlign w:val="bottom"/>
            <w:hideMark/>
          </w:tcPr>
          <w:p w14:paraId="51662709"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Hemochromatosis</w:t>
            </w:r>
          </w:p>
        </w:tc>
        <w:tc>
          <w:tcPr>
            <w:tcW w:w="3835" w:type="dxa"/>
            <w:tcBorders>
              <w:top w:val="nil"/>
              <w:left w:val="nil"/>
              <w:bottom w:val="nil"/>
              <w:right w:val="nil"/>
            </w:tcBorders>
            <w:shd w:val="clear" w:color="auto" w:fill="auto"/>
            <w:noWrap/>
            <w:vAlign w:val="bottom"/>
            <w:hideMark/>
          </w:tcPr>
          <w:p w14:paraId="56F4733D"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1</w:t>
            </w:r>
          </w:p>
        </w:tc>
      </w:tr>
      <w:tr w:rsidR="00046367" w:rsidRPr="0080707E" w14:paraId="2E62857C" w14:textId="77777777" w:rsidTr="00EF28EE">
        <w:trPr>
          <w:trHeight w:val="456"/>
        </w:trPr>
        <w:tc>
          <w:tcPr>
            <w:tcW w:w="4412" w:type="dxa"/>
            <w:tcBorders>
              <w:top w:val="nil"/>
              <w:left w:val="nil"/>
              <w:bottom w:val="nil"/>
              <w:right w:val="nil"/>
            </w:tcBorders>
            <w:shd w:val="clear" w:color="auto" w:fill="auto"/>
            <w:noWrap/>
            <w:vAlign w:val="bottom"/>
            <w:hideMark/>
          </w:tcPr>
          <w:p w14:paraId="41A1C207"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Unknown</w:t>
            </w:r>
          </w:p>
        </w:tc>
        <w:tc>
          <w:tcPr>
            <w:tcW w:w="3835" w:type="dxa"/>
            <w:tcBorders>
              <w:top w:val="nil"/>
              <w:left w:val="nil"/>
              <w:bottom w:val="nil"/>
              <w:right w:val="nil"/>
            </w:tcBorders>
            <w:shd w:val="clear" w:color="auto" w:fill="auto"/>
            <w:noWrap/>
            <w:vAlign w:val="bottom"/>
            <w:hideMark/>
          </w:tcPr>
          <w:p w14:paraId="759D4B66"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8</w:t>
            </w:r>
          </w:p>
        </w:tc>
      </w:tr>
      <w:tr w:rsidR="00046367" w:rsidRPr="0080707E" w14:paraId="0178B12C" w14:textId="77777777" w:rsidTr="00EF28EE">
        <w:trPr>
          <w:trHeight w:val="456"/>
        </w:trPr>
        <w:tc>
          <w:tcPr>
            <w:tcW w:w="4412" w:type="dxa"/>
            <w:tcBorders>
              <w:top w:val="nil"/>
              <w:left w:val="nil"/>
              <w:bottom w:val="nil"/>
              <w:right w:val="nil"/>
            </w:tcBorders>
            <w:shd w:val="clear" w:color="auto" w:fill="auto"/>
            <w:noWrap/>
            <w:vAlign w:val="bottom"/>
            <w:hideMark/>
          </w:tcPr>
          <w:p w14:paraId="14A7C296" w14:textId="2D3C7290"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Type of liver malignancy</w:t>
            </w:r>
          </w:p>
        </w:tc>
        <w:tc>
          <w:tcPr>
            <w:tcW w:w="3835" w:type="dxa"/>
            <w:tcBorders>
              <w:top w:val="nil"/>
              <w:left w:val="nil"/>
              <w:bottom w:val="nil"/>
              <w:right w:val="nil"/>
            </w:tcBorders>
            <w:shd w:val="clear" w:color="auto" w:fill="auto"/>
            <w:noWrap/>
            <w:vAlign w:val="bottom"/>
            <w:hideMark/>
          </w:tcPr>
          <w:p w14:paraId="02E0B47C" w14:textId="77777777" w:rsidR="00046367" w:rsidRPr="0080707E" w:rsidRDefault="00046367" w:rsidP="0080707E">
            <w:pPr>
              <w:snapToGrid w:val="0"/>
              <w:spacing w:line="360" w:lineRule="auto"/>
              <w:jc w:val="both"/>
              <w:rPr>
                <w:rFonts w:ascii="Book Antiqua" w:eastAsia="Times New Roman" w:hAnsi="Book Antiqua" w:cs="Calibri"/>
                <w:b/>
                <w:bCs/>
                <w:i/>
                <w:iCs/>
                <w:color w:val="000000"/>
              </w:rPr>
            </w:pPr>
          </w:p>
        </w:tc>
      </w:tr>
      <w:tr w:rsidR="00046367" w:rsidRPr="0080707E" w14:paraId="6EB0F598" w14:textId="77777777" w:rsidTr="00EF28EE">
        <w:trPr>
          <w:trHeight w:val="456"/>
        </w:trPr>
        <w:tc>
          <w:tcPr>
            <w:tcW w:w="4412" w:type="dxa"/>
            <w:tcBorders>
              <w:top w:val="nil"/>
              <w:left w:val="nil"/>
              <w:bottom w:val="nil"/>
              <w:right w:val="nil"/>
            </w:tcBorders>
            <w:shd w:val="clear" w:color="auto" w:fill="auto"/>
            <w:noWrap/>
            <w:vAlign w:val="bottom"/>
            <w:hideMark/>
          </w:tcPr>
          <w:p w14:paraId="0E319A57"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Primary</w:t>
            </w:r>
          </w:p>
        </w:tc>
        <w:tc>
          <w:tcPr>
            <w:tcW w:w="3835" w:type="dxa"/>
            <w:tcBorders>
              <w:top w:val="nil"/>
              <w:left w:val="nil"/>
              <w:bottom w:val="nil"/>
              <w:right w:val="nil"/>
            </w:tcBorders>
            <w:shd w:val="clear" w:color="auto" w:fill="auto"/>
            <w:noWrap/>
            <w:vAlign w:val="bottom"/>
            <w:hideMark/>
          </w:tcPr>
          <w:p w14:paraId="1FFAAC4E" w14:textId="77777777" w:rsidR="00046367" w:rsidRPr="0080707E" w:rsidRDefault="00046367" w:rsidP="0080707E">
            <w:pPr>
              <w:snapToGrid w:val="0"/>
              <w:spacing w:line="360" w:lineRule="auto"/>
              <w:jc w:val="both"/>
              <w:rPr>
                <w:rFonts w:ascii="Book Antiqua" w:eastAsia="Times New Roman" w:hAnsi="Book Antiqua" w:cs="Calibri"/>
                <w:b/>
                <w:bCs/>
                <w:color w:val="000000"/>
              </w:rPr>
            </w:pPr>
          </w:p>
        </w:tc>
      </w:tr>
      <w:tr w:rsidR="00046367" w:rsidRPr="0080707E" w14:paraId="216F8BD5" w14:textId="77777777" w:rsidTr="00EF28EE">
        <w:trPr>
          <w:trHeight w:val="456"/>
        </w:trPr>
        <w:tc>
          <w:tcPr>
            <w:tcW w:w="4412" w:type="dxa"/>
            <w:tcBorders>
              <w:top w:val="nil"/>
              <w:left w:val="nil"/>
              <w:bottom w:val="nil"/>
              <w:right w:val="nil"/>
            </w:tcBorders>
            <w:shd w:val="clear" w:color="auto" w:fill="auto"/>
            <w:noWrap/>
            <w:vAlign w:val="bottom"/>
            <w:hideMark/>
          </w:tcPr>
          <w:p w14:paraId="15CAC2A8"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HCC</w:t>
            </w:r>
          </w:p>
        </w:tc>
        <w:tc>
          <w:tcPr>
            <w:tcW w:w="3835" w:type="dxa"/>
            <w:tcBorders>
              <w:top w:val="nil"/>
              <w:left w:val="nil"/>
              <w:bottom w:val="nil"/>
              <w:right w:val="nil"/>
            </w:tcBorders>
            <w:shd w:val="clear" w:color="auto" w:fill="auto"/>
            <w:noWrap/>
            <w:vAlign w:val="bottom"/>
            <w:hideMark/>
          </w:tcPr>
          <w:p w14:paraId="1E9A5304"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40</w:t>
            </w:r>
          </w:p>
        </w:tc>
      </w:tr>
      <w:tr w:rsidR="00046367" w:rsidRPr="0080707E" w14:paraId="612E5FEE" w14:textId="77777777" w:rsidTr="00EF28EE">
        <w:trPr>
          <w:trHeight w:val="456"/>
        </w:trPr>
        <w:tc>
          <w:tcPr>
            <w:tcW w:w="4412" w:type="dxa"/>
            <w:tcBorders>
              <w:top w:val="nil"/>
              <w:left w:val="nil"/>
              <w:bottom w:val="nil"/>
              <w:right w:val="nil"/>
            </w:tcBorders>
            <w:shd w:val="clear" w:color="auto" w:fill="auto"/>
            <w:noWrap/>
            <w:vAlign w:val="bottom"/>
            <w:hideMark/>
          </w:tcPr>
          <w:p w14:paraId="4F5439E1"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lastRenderedPageBreak/>
              <w:t>Other</w:t>
            </w:r>
          </w:p>
        </w:tc>
        <w:tc>
          <w:tcPr>
            <w:tcW w:w="3835" w:type="dxa"/>
            <w:tcBorders>
              <w:top w:val="nil"/>
              <w:left w:val="nil"/>
              <w:bottom w:val="nil"/>
              <w:right w:val="nil"/>
            </w:tcBorders>
            <w:shd w:val="clear" w:color="auto" w:fill="auto"/>
            <w:noWrap/>
            <w:vAlign w:val="bottom"/>
            <w:hideMark/>
          </w:tcPr>
          <w:p w14:paraId="6D3D3BDC"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5</w:t>
            </w:r>
          </w:p>
        </w:tc>
      </w:tr>
      <w:tr w:rsidR="00046367" w:rsidRPr="0080707E" w14:paraId="2DAE95A7" w14:textId="77777777" w:rsidTr="00EF28EE">
        <w:trPr>
          <w:trHeight w:val="456"/>
        </w:trPr>
        <w:tc>
          <w:tcPr>
            <w:tcW w:w="4412" w:type="dxa"/>
            <w:tcBorders>
              <w:top w:val="nil"/>
              <w:left w:val="nil"/>
              <w:bottom w:val="nil"/>
              <w:right w:val="nil"/>
            </w:tcBorders>
            <w:shd w:val="clear" w:color="auto" w:fill="auto"/>
            <w:noWrap/>
            <w:vAlign w:val="bottom"/>
            <w:hideMark/>
          </w:tcPr>
          <w:p w14:paraId="4B2314C9"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Secondary</w:t>
            </w:r>
          </w:p>
        </w:tc>
        <w:tc>
          <w:tcPr>
            <w:tcW w:w="3835" w:type="dxa"/>
            <w:tcBorders>
              <w:top w:val="nil"/>
              <w:left w:val="nil"/>
              <w:bottom w:val="nil"/>
              <w:right w:val="nil"/>
            </w:tcBorders>
            <w:shd w:val="clear" w:color="auto" w:fill="auto"/>
            <w:noWrap/>
            <w:vAlign w:val="bottom"/>
            <w:hideMark/>
          </w:tcPr>
          <w:p w14:paraId="1BE14F5E" w14:textId="77777777" w:rsidR="00046367" w:rsidRPr="0080707E" w:rsidRDefault="00046367" w:rsidP="0080707E">
            <w:pPr>
              <w:snapToGrid w:val="0"/>
              <w:spacing w:line="360" w:lineRule="auto"/>
              <w:jc w:val="both"/>
              <w:rPr>
                <w:rFonts w:ascii="Book Antiqua" w:eastAsia="Times New Roman" w:hAnsi="Book Antiqua" w:cs="Calibri"/>
                <w:b/>
                <w:bCs/>
                <w:color w:val="000000"/>
              </w:rPr>
            </w:pPr>
          </w:p>
        </w:tc>
      </w:tr>
      <w:tr w:rsidR="00046367" w:rsidRPr="0080707E" w14:paraId="11634E74" w14:textId="77777777" w:rsidTr="00EF28EE">
        <w:trPr>
          <w:trHeight w:val="456"/>
        </w:trPr>
        <w:tc>
          <w:tcPr>
            <w:tcW w:w="4412" w:type="dxa"/>
            <w:tcBorders>
              <w:top w:val="nil"/>
              <w:left w:val="nil"/>
              <w:bottom w:val="nil"/>
              <w:right w:val="nil"/>
            </w:tcBorders>
            <w:shd w:val="clear" w:color="auto" w:fill="auto"/>
            <w:noWrap/>
            <w:vAlign w:val="bottom"/>
            <w:hideMark/>
          </w:tcPr>
          <w:p w14:paraId="1DAFEC9B"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NET</w:t>
            </w:r>
          </w:p>
        </w:tc>
        <w:tc>
          <w:tcPr>
            <w:tcW w:w="3835" w:type="dxa"/>
            <w:tcBorders>
              <w:top w:val="nil"/>
              <w:left w:val="nil"/>
              <w:bottom w:val="nil"/>
              <w:right w:val="nil"/>
            </w:tcBorders>
            <w:shd w:val="clear" w:color="auto" w:fill="auto"/>
            <w:noWrap/>
            <w:vAlign w:val="bottom"/>
            <w:hideMark/>
          </w:tcPr>
          <w:p w14:paraId="0114ADFC"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20</w:t>
            </w:r>
          </w:p>
        </w:tc>
      </w:tr>
      <w:tr w:rsidR="00046367" w:rsidRPr="0080707E" w14:paraId="3D0B239C" w14:textId="77777777" w:rsidTr="00EF28EE">
        <w:trPr>
          <w:trHeight w:val="456"/>
        </w:trPr>
        <w:tc>
          <w:tcPr>
            <w:tcW w:w="4412" w:type="dxa"/>
            <w:tcBorders>
              <w:top w:val="nil"/>
              <w:left w:val="nil"/>
              <w:bottom w:val="nil"/>
              <w:right w:val="nil"/>
            </w:tcBorders>
            <w:shd w:val="clear" w:color="auto" w:fill="auto"/>
            <w:noWrap/>
            <w:vAlign w:val="bottom"/>
            <w:hideMark/>
          </w:tcPr>
          <w:p w14:paraId="29C56A92"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GIST</w:t>
            </w:r>
          </w:p>
        </w:tc>
        <w:tc>
          <w:tcPr>
            <w:tcW w:w="3835" w:type="dxa"/>
            <w:tcBorders>
              <w:top w:val="nil"/>
              <w:left w:val="nil"/>
              <w:bottom w:val="nil"/>
              <w:right w:val="nil"/>
            </w:tcBorders>
            <w:shd w:val="clear" w:color="auto" w:fill="auto"/>
            <w:noWrap/>
            <w:vAlign w:val="bottom"/>
            <w:hideMark/>
          </w:tcPr>
          <w:p w14:paraId="15962B63"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4</w:t>
            </w:r>
          </w:p>
        </w:tc>
      </w:tr>
      <w:tr w:rsidR="00046367" w:rsidRPr="0080707E" w14:paraId="4B64A8CB" w14:textId="77777777" w:rsidTr="00EF28EE">
        <w:trPr>
          <w:trHeight w:val="456"/>
        </w:trPr>
        <w:tc>
          <w:tcPr>
            <w:tcW w:w="4412" w:type="dxa"/>
            <w:tcBorders>
              <w:top w:val="nil"/>
              <w:left w:val="nil"/>
              <w:bottom w:val="nil"/>
              <w:right w:val="nil"/>
            </w:tcBorders>
            <w:shd w:val="clear" w:color="auto" w:fill="auto"/>
            <w:noWrap/>
            <w:vAlign w:val="bottom"/>
            <w:hideMark/>
          </w:tcPr>
          <w:p w14:paraId="6F61E110"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Other</w:t>
            </w:r>
          </w:p>
        </w:tc>
        <w:tc>
          <w:tcPr>
            <w:tcW w:w="3835" w:type="dxa"/>
            <w:tcBorders>
              <w:top w:val="nil"/>
              <w:left w:val="nil"/>
              <w:bottom w:val="nil"/>
              <w:right w:val="nil"/>
            </w:tcBorders>
            <w:shd w:val="clear" w:color="auto" w:fill="auto"/>
            <w:noWrap/>
            <w:vAlign w:val="bottom"/>
            <w:hideMark/>
          </w:tcPr>
          <w:p w14:paraId="19040C9D"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15</w:t>
            </w:r>
          </w:p>
        </w:tc>
      </w:tr>
      <w:tr w:rsidR="00046367" w:rsidRPr="0080707E" w14:paraId="3B6FF5B6" w14:textId="77777777" w:rsidTr="00EF28EE">
        <w:trPr>
          <w:trHeight w:val="456"/>
        </w:trPr>
        <w:tc>
          <w:tcPr>
            <w:tcW w:w="4412" w:type="dxa"/>
            <w:tcBorders>
              <w:top w:val="nil"/>
              <w:left w:val="nil"/>
              <w:bottom w:val="nil"/>
              <w:right w:val="nil"/>
            </w:tcBorders>
            <w:shd w:val="clear" w:color="auto" w:fill="auto"/>
            <w:noWrap/>
            <w:vAlign w:val="bottom"/>
            <w:hideMark/>
          </w:tcPr>
          <w:p w14:paraId="6FAC51B4" w14:textId="1C54142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 xml:space="preserve">Number of </w:t>
            </w:r>
            <w:r w:rsidR="005A719E" w:rsidRPr="0080707E">
              <w:rPr>
                <w:rFonts w:ascii="Book Antiqua" w:eastAsia="Times New Roman" w:hAnsi="Book Antiqua" w:cs="Calibri"/>
                <w:color w:val="000000"/>
              </w:rPr>
              <w:t xml:space="preserve">treatments </w:t>
            </w:r>
            <w:r w:rsidRPr="0080707E">
              <w:rPr>
                <w:rFonts w:ascii="Book Antiqua" w:eastAsia="Times New Roman" w:hAnsi="Book Antiqua" w:cs="Calibri"/>
                <w:color w:val="000000"/>
              </w:rPr>
              <w:t>(</w:t>
            </w:r>
            <w:r w:rsidRPr="0080707E">
              <w:rPr>
                <w:rFonts w:ascii="Book Antiqua" w:eastAsia="Times New Roman" w:hAnsi="Book Antiqua" w:cs="Calibri"/>
                <w:i/>
                <w:iCs/>
                <w:color w:val="000000"/>
              </w:rPr>
              <w:t xml:space="preserve">n </w:t>
            </w:r>
            <w:r w:rsidRPr="0080707E">
              <w:rPr>
                <w:rFonts w:ascii="Book Antiqua" w:eastAsia="Times New Roman" w:hAnsi="Book Antiqua" w:cs="Calibri"/>
                <w:color w:val="000000"/>
              </w:rPr>
              <w:t>= 106)</w:t>
            </w:r>
          </w:p>
        </w:tc>
        <w:tc>
          <w:tcPr>
            <w:tcW w:w="3835" w:type="dxa"/>
            <w:tcBorders>
              <w:top w:val="nil"/>
              <w:left w:val="nil"/>
              <w:bottom w:val="nil"/>
              <w:right w:val="nil"/>
            </w:tcBorders>
            <w:shd w:val="clear" w:color="auto" w:fill="auto"/>
            <w:noWrap/>
            <w:vAlign w:val="bottom"/>
            <w:hideMark/>
          </w:tcPr>
          <w:p w14:paraId="40C75E0D" w14:textId="77777777" w:rsidR="00046367" w:rsidRPr="0080707E" w:rsidRDefault="00046367" w:rsidP="0080707E">
            <w:pPr>
              <w:snapToGrid w:val="0"/>
              <w:spacing w:line="360" w:lineRule="auto"/>
              <w:jc w:val="both"/>
              <w:rPr>
                <w:rFonts w:ascii="Book Antiqua" w:eastAsia="Times New Roman" w:hAnsi="Book Antiqua" w:cs="Calibri"/>
                <w:b/>
                <w:bCs/>
                <w:i/>
                <w:iCs/>
                <w:color w:val="000000"/>
              </w:rPr>
            </w:pPr>
          </w:p>
        </w:tc>
      </w:tr>
      <w:tr w:rsidR="00046367" w:rsidRPr="0080707E" w14:paraId="2C12A0EE" w14:textId="77777777" w:rsidTr="00EF28EE">
        <w:trPr>
          <w:trHeight w:val="456"/>
        </w:trPr>
        <w:tc>
          <w:tcPr>
            <w:tcW w:w="4412" w:type="dxa"/>
            <w:tcBorders>
              <w:top w:val="nil"/>
              <w:left w:val="nil"/>
              <w:bottom w:val="nil"/>
              <w:right w:val="nil"/>
            </w:tcBorders>
            <w:shd w:val="clear" w:color="auto" w:fill="auto"/>
            <w:noWrap/>
            <w:vAlign w:val="bottom"/>
            <w:hideMark/>
          </w:tcPr>
          <w:p w14:paraId="51320A8D"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1</w:t>
            </w:r>
          </w:p>
        </w:tc>
        <w:tc>
          <w:tcPr>
            <w:tcW w:w="3835" w:type="dxa"/>
            <w:tcBorders>
              <w:top w:val="nil"/>
              <w:left w:val="nil"/>
              <w:bottom w:val="nil"/>
              <w:right w:val="nil"/>
            </w:tcBorders>
            <w:shd w:val="clear" w:color="auto" w:fill="auto"/>
            <w:noWrap/>
            <w:vAlign w:val="bottom"/>
            <w:hideMark/>
          </w:tcPr>
          <w:p w14:paraId="07CBAF59"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66</w:t>
            </w:r>
          </w:p>
        </w:tc>
      </w:tr>
      <w:tr w:rsidR="00046367" w:rsidRPr="0080707E" w14:paraId="650E3ECB" w14:textId="77777777" w:rsidTr="00EF28EE">
        <w:trPr>
          <w:trHeight w:val="456"/>
        </w:trPr>
        <w:tc>
          <w:tcPr>
            <w:tcW w:w="4412" w:type="dxa"/>
            <w:tcBorders>
              <w:top w:val="nil"/>
              <w:left w:val="nil"/>
              <w:bottom w:val="nil"/>
              <w:right w:val="nil"/>
            </w:tcBorders>
            <w:shd w:val="clear" w:color="auto" w:fill="auto"/>
            <w:noWrap/>
            <w:vAlign w:val="bottom"/>
            <w:hideMark/>
          </w:tcPr>
          <w:p w14:paraId="61B49BC2"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2</w:t>
            </w:r>
          </w:p>
        </w:tc>
        <w:tc>
          <w:tcPr>
            <w:tcW w:w="3835" w:type="dxa"/>
            <w:tcBorders>
              <w:top w:val="nil"/>
              <w:left w:val="nil"/>
              <w:bottom w:val="nil"/>
              <w:right w:val="nil"/>
            </w:tcBorders>
            <w:shd w:val="clear" w:color="auto" w:fill="auto"/>
            <w:noWrap/>
            <w:vAlign w:val="bottom"/>
            <w:hideMark/>
          </w:tcPr>
          <w:p w14:paraId="68C83E63"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14</w:t>
            </w:r>
          </w:p>
        </w:tc>
      </w:tr>
      <w:tr w:rsidR="00046367" w:rsidRPr="0080707E" w14:paraId="760CD107" w14:textId="77777777" w:rsidTr="00EF28EE">
        <w:trPr>
          <w:trHeight w:val="456"/>
        </w:trPr>
        <w:tc>
          <w:tcPr>
            <w:tcW w:w="4412" w:type="dxa"/>
            <w:tcBorders>
              <w:top w:val="nil"/>
              <w:left w:val="nil"/>
              <w:bottom w:val="single" w:sz="8" w:space="0" w:color="auto"/>
              <w:right w:val="nil"/>
            </w:tcBorders>
            <w:shd w:val="clear" w:color="auto" w:fill="auto"/>
            <w:noWrap/>
            <w:vAlign w:val="bottom"/>
            <w:hideMark/>
          </w:tcPr>
          <w:p w14:paraId="6E8BE1FC"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3</w:t>
            </w:r>
          </w:p>
        </w:tc>
        <w:tc>
          <w:tcPr>
            <w:tcW w:w="3835" w:type="dxa"/>
            <w:tcBorders>
              <w:top w:val="nil"/>
              <w:left w:val="nil"/>
              <w:bottom w:val="single" w:sz="8" w:space="0" w:color="auto"/>
              <w:right w:val="nil"/>
            </w:tcBorders>
            <w:shd w:val="clear" w:color="auto" w:fill="auto"/>
            <w:noWrap/>
            <w:vAlign w:val="bottom"/>
            <w:hideMark/>
          </w:tcPr>
          <w:p w14:paraId="07698480"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4</w:t>
            </w:r>
          </w:p>
        </w:tc>
      </w:tr>
    </w:tbl>
    <w:p w14:paraId="063DBDE4" w14:textId="6C3537CB" w:rsidR="00953238" w:rsidRPr="0080707E" w:rsidRDefault="00A27DBA" w:rsidP="0080707E">
      <w:pPr>
        <w:snapToGrid w:val="0"/>
        <w:spacing w:line="360" w:lineRule="auto"/>
        <w:jc w:val="both"/>
        <w:rPr>
          <w:rFonts w:ascii="Book Antiqua" w:hAnsi="Book Antiqua" w:cstheme="minorHAnsi"/>
        </w:rPr>
      </w:pPr>
      <w:r w:rsidRPr="0080707E">
        <w:rPr>
          <w:rFonts w:ascii="Book Antiqua" w:hAnsi="Book Antiqua" w:cstheme="minorHAnsi"/>
        </w:rPr>
        <w:t xml:space="preserve">CAD: Coronary artery disease; HTN: Hypertension; HCV: Hepatitis C virus; HBV: Hepatitis B virus; EtOH: Alcoholic cirrhosis; NASH: Non Alcoholic </w:t>
      </w:r>
      <w:proofErr w:type="spellStart"/>
      <w:r w:rsidRPr="0080707E">
        <w:rPr>
          <w:rFonts w:ascii="Book Antiqua" w:hAnsi="Book Antiqua" w:cstheme="minorHAnsi"/>
        </w:rPr>
        <w:t>Steato</w:t>
      </w:r>
      <w:proofErr w:type="spellEnd"/>
      <w:r w:rsidRPr="0080707E">
        <w:rPr>
          <w:rFonts w:ascii="Book Antiqua" w:hAnsi="Book Antiqua" w:cstheme="minorHAnsi"/>
        </w:rPr>
        <w:t xml:space="preserve"> Hepatitis; HCC: Hepatocellular carcinoma; NET: Neuroendocrine tumor; GIST: Gastrointestinal stromal tumor.</w:t>
      </w:r>
    </w:p>
    <w:p w14:paraId="0C631FD6" w14:textId="540C0227" w:rsidR="008F2971" w:rsidRPr="0080707E" w:rsidRDefault="00046367" w:rsidP="0080707E">
      <w:pPr>
        <w:snapToGrid w:val="0"/>
        <w:spacing w:line="360" w:lineRule="auto"/>
        <w:jc w:val="both"/>
        <w:rPr>
          <w:rFonts w:ascii="Book Antiqua" w:hAnsi="Book Antiqua" w:cstheme="minorHAnsi"/>
        </w:rPr>
      </w:pPr>
      <w:r w:rsidRPr="0080707E">
        <w:rPr>
          <w:rFonts w:ascii="Book Antiqua" w:hAnsi="Book Antiqua" w:cstheme="minorHAnsi"/>
        </w:rPr>
        <w:br w:type="page"/>
      </w:r>
      <w:r w:rsidR="008F2971" w:rsidRPr="0080707E">
        <w:rPr>
          <w:rFonts w:ascii="Book Antiqua" w:hAnsi="Book Antiqua" w:cstheme="minorHAnsi"/>
          <w:b/>
        </w:rPr>
        <w:lastRenderedPageBreak/>
        <w:t xml:space="preserve">Table 2 </w:t>
      </w:r>
      <w:r w:rsidR="008F2971" w:rsidRPr="0080707E">
        <w:rPr>
          <w:rFonts w:ascii="Book Antiqua" w:hAnsi="Book Antiqua" w:cstheme="minorHAnsi"/>
          <w:b/>
          <w:bCs/>
        </w:rPr>
        <w:t>Non-</w:t>
      </w:r>
      <w:r w:rsidRPr="0080707E">
        <w:rPr>
          <w:rFonts w:ascii="Book Antiqua" w:hAnsi="Book Antiqua" w:cstheme="minorHAnsi"/>
          <w:b/>
          <w:bCs/>
        </w:rPr>
        <w:t xml:space="preserve">contrast </w:t>
      </w:r>
      <w:r w:rsidR="006F4386" w:rsidRPr="0080707E">
        <w:rPr>
          <w:rFonts w:ascii="Book Antiqua" w:eastAsia="Book Antiqua" w:hAnsi="Book Antiqua" w:cs="Book Antiqua"/>
          <w:b/>
          <w:color w:val="000000"/>
        </w:rPr>
        <w:t>computed tomographic</w:t>
      </w:r>
      <w:r w:rsidR="006F4386" w:rsidRPr="0080707E">
        <w:rPr>
          <w:rFonts w:ascii="Book Antiqua" w:hAnsi="Book Antiqua" w:cstheme="minorHAnsi"/>
          <w:b/>
          <w:bCs/>
        </w:rPr>
        <w:t xml:space="preserve"> f</w:t>
      </w:r>
      <w:r w:rsidR="008F2971" w:rsidRPr="0080707E">
        <w:rPr>
          <w:rFonts w:ascii="Book Antiqua" w:hAnsi="Book Antiqua" w:cstheme="minorHAnsi"/>
          <w:b/>
          <w:bCs/>
        </w:rPr>
        <w:t xml:space="preserve">indings and their association with </w:t>
      </w:r>
      <w:r w:rsidRPr="0080707E">
        <w:rPr>
          <w:rFonts w:ascii="Book Antiqua" w:hAnsi="Book Antiqua" w:cstheme="minorHAnsi"/>
          <w:b/>
          <w:bCs/>
        </w:rPr>
        <w:t>contrast</w:t>
      </w:r>
      <w:r w:rsidR="008F2971" w:rsidRPr="0080707E">
        <w:rPr>
          <w:rFonts w:ascii="Book Antiqua" w:hAnsi="Book Antiqua" w:cstheme="minorHAnsi"/>
          <w:b/>
          <w:bCs/>
        </w:rPr>
        <w:t>-</w:t>
      </w:r>
      <w:r w:rsidRPr="0080707E">
        <w:rPr>
          <w:rFonts w:ascii="Book Antiqua" w:hAnsi="Book Antiqua" w:cstheme="minorHAnsi"/>
          <w:b/>
          <w:bCs/>
        </w:rPr>
        <w:t>induced nephropathy development</w:t>
      </w:r>
    </w:p>
    <w:tbl>
      <w:tblPr>
        <w:tblW w:w="8897" w:type="dxa"/>
        <w:tblBorders>
          <w:top w:val="single" w:sz="4" w:space="0" w:color="auto"/>
          <w:bottom w:val="single" w:sz="4" w:space="0" w:color="auto"/>
        </w:tblBorders>
        <w:tblLook w:val="04A0" w:firstRow="1" w:lastRow="0" w:firstColumn="1" w:lastColumn="0" w:noHBand="0" w:noVBand="1"/>
      </w:tblPr>
      <w:tblGrid>
        <w:gridCol w:w="3227"/>
        <w:gridCol w:w="1843"/>
        <w:gridCol w:w="1842"/>
        <w:gridCol w:w="1985"/>
      </w:tblGrid>
      <w:tr w:rsidR="008F2971" w:rsidRPr="0080707E" w14:paraId="68244E60" w14:textId="77777777" w:rsidTr="00046367">
        <w:trPr>
          <w:trHeight w:val="341"/>
        </w:trPr>
        <w:tc>
          <w:tcPr>
            <w:tcW w:w="8897" w:type="dxa"/>
            <w:gridSpan w:val="4"/>
            <w:tcBorders>
              <w:top w:val="single" w:sz="4" w:space="0" w:color="auto"/>
              <w:bottom w:val="single" w:sz="4" w:space="0" w:color="auto"/>
            </w:tcBorders>
            <w:shd w:val="clear" w:color="auto" w:fill="auto"/>
            <w:noWrap/>
            <w:vAlign w:val="bottom"/>
            <w:hideMark/>
          </w:tcPr>
          <w:p w14:paraId="17DBD919" w14:textId="018A1990" w:rsidR="008F2971" w:rsidRPr="0080707E" w:rsidRDefault="008F2971" w:rsidP="0080707E">
            <w:pPr>
              <w:snapToGrid w:val="0"/>
              <w:spacing w:line="360" w:lineRule="auto"/>
              <w:ind w:firstLineChars="50" w:firstLine="120"/>
              <w:jc w:val="both"/>
              <w:rPr>
                <w:rFonts w:ascii="Book Antiqua" w:eastAsia="Times New Roman" w:hAnsi="Book Antiqua" w:cs="Calibri"/>
                <w:b/>
                <w:bCs/>
                <w:color w:val="000000"/>
              </w:rPr>
            </w:pPr>
            <w:r w:rsidRPr="0080707E">
              <w:rPr>
                <w:rFonts w:ascii="Book Antiqua" w:eastAsia="Times New Roman" w:hAnsi="Book Antiqua" w:cs="Calibri"/>
                <w:b/>
                <w:bCs/>
                <w:color w:val="000000"/>
              </w:rPr>
              <w:t>Association between</w:t>
            </w:r>
            <w:r w:rsidRPr="0080707E">
              <w:rPr>
                <w:rFonts w:ascii="Book Antiqua" w:eastAsia="Times New Roman" w:hAnsi="Book Antiqua" w:cs="Calibri"/>
                <w:color w:val="000000"/>
              </w:rPr>
              <w:t xml:space="preserve"> </w:t>
            </w:r>
            <w:r w:rsidR="00046367" w:rsidRPr="0080707E">
              <w:rPr>
                <w:rFonts w:ascii="Book Antiqua" w:eastAsia="Times New Roman" w:hAnsi="Book Antiqua" w:cs="Calibri"/>
                <w:b/>
                <w:bCs/>
                <w:color w:val="000000"/>
              </w:rPr>
              <w:t>non</w:t>
            </w:r>
            <w:r w:rsidRPr="0080707E">
              <w:rPr>
                <w:rFonts w:ascii="Book Antiqua" w:eastAsia="Times New Roman" w:hAnsi="Book Antiqua" w:cs="Calibri"/>
                <w:b/>
                <w:bCs/>
                <w:color w:val="000000"/>
              </w:rPr>
              <w:t>-</w:t>
            </w:r>
            <w:r w:rsidR="00046367" w:rsidRPr="0080707E">
              <w:rPr>
                <w:rFonts w:ascii="Book Antiqua" w:eastAsia="Times New Roman" w:hAnsi="Book Antiqua" w:cs="Calibri"/>
                <w:b/>
                <w:bCs/>
                <w:color w:val="000000"/>
              </w:rPr>
              <w:t xml:space="preserve">contrast </w:t>
            </w:r>
            <w:r w:rsidRPr="0080707E">
              <w:rPr>
                <w:rFonts w:ascii="Book Antiqua" w:eastAsia="Times New Roman" w:hAnsi="Book Antiqua" w:cs="Calibri"/>
                <w:b/>
                <w:bCs/>
                <w:color w:val="000000"/>
              </w:rPr>
              <w:t xml:space="preserve">CT </w:t>
            </w:r>
            <w:r w:rsidR="00046367" w:rsidRPr="0080707E">
              <w:rPr>
                <w:rFonts w:ascii="Book Antiqua" w:eastAsia="Times New Roman" w:hAnsi="Book Antiqua" w:cs="Calibri"/>
                <w:b/>
                <w:bCs/>
                <w:color w:val="000000"/>
              </w:rPr>
              <w:t xml:space="preserve">findings </w:t>
            </w:r>
            <w:r w:rsidRPr="0080707E">
              <w:rPr>
                <w:rFonts w:ascii="Book Antiqua" w:eastAsia="Times New Roman" w:hAnsi="Book Antiqua" w:cs="Calibri"/>
                <w:b/>
                <w:bCs/>
                <w:color w:val="000000"/>
              </w:rPr>
              <w:t>and CIN (</w:t>
            </w:r>
            <w:r w:rsidRPr="0080707E">
              <w:rPr>
                <w:rFonts w:ascii="Book Antiqua" w:eastAsia="Times New Roman" w:hAnsi="Book Antiqua" w:cs="Calibri"/>
                <w:b/>
                <w:bCs/>
                <w:i/>
                <w:iCs/>
                <w:color w:val="000000"/>
              </w:rPr>
              <w:t>n</w:t>
            </w:r>
            <w:r w:rsidRPr="0080707E">
              <w:rPr>
                <w:rFonts w:ascii="Book Antiqua" w:eastAsia="Times New Roman" w:hAnsi="Book Antiqua" w:cs="Calibri"/>
                <w:b/>
                <w:bCs/>
                <w:color w:val="000000"/>
              </w:rPr>
              <w:t xml:space="preserve"> = 106)</w:t>
            </w:r>
          </w:p>
        </w:tc>
      </w:tr>
      <w:tr w:rsidR="008F2971" w:rsidRPr="0080707E" w14:paraId="1A0B00E1" w14:textId="77777777" w:rsidTr="00046367">
        <w:trPr>
          <w:trHeight w:val="250"/>
        </w:trPr>
        <w:tc>
          <w:tcPr>
            <w:tcW w:w="3227" w:type="dxa"/>
            <w:tcBorders>
              <w:top w:val="single" w:sz="4" w:space="0" w:color="auto"/>
            </w:tcBorders>
            <w:shd w:val="clear" w:color="auto" w:fill="auto"/>
            <w:noWrap/>
            <w:vAlign w:val="bottom"/>
            <w:hideMark/>
          </w:tcPr>
          <w:p w14:paraId="53DF9EDA" w14:textId="4356B48A"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 xml:space="preserve">Renal </w:t>
            </w:r>
            <w:r w:rsidR="00046367" w:rsidRPr="0080707E">
              <w:rPr>
                <w:rFonts w:ascii="Book Antiqua" w:eastAsia="Times New Roman" w:hAnsi="Book Antiqua" w:cs="Calibri"/>
                <w:color w:val="000000"/>
              </w:rPr>
              <w:t>enhancement pattern</w:t>
            </w:r>
          </w:p>
        </w:tc>
        <w:tc>
          <w:tcPr>
            <w:tcW w:w="1843" w:type="dxa"/>
            <w:tcBorders>
              <w:top w:val="single" w:sz="4" w:space="0" w:color="auto"/>
            </w:tcBorders>
            <w:shd w:val="clear" w:color="auto" w:fill="auto"/>
            <w:noWrap/>
            <w:vAlign w:val="bottom"/>
            <w:hideMark/>
          </w:tcPr>
          <w:p w14:paraId="44DDF334" w14:textId="434DDBDA"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 xml:space="preserve">Group A </w:t>
            </w:r>
            <w:r w:rsidR="0048613D"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w:t>
            </w:r>
            <w:r w:rsidRPr="0080707E">
              <w:rPr>
                <w:rFonts w:ascii="Book Antiqua" w:eastAsia="Times New Roman" w:hAnsi="Book Antiqua" w:cs="Calibri"/>
                <w:i/>
                <w:iCs/>
                <w:color w:val="000000"/>
              </w:rPr>
              <w:t>n</w:t>
            </w:r>
            <w:r w:rsidRPr="0080707E">
              <w:rPr>
                <w:rFonts w:ascii="Book Antiqua" w:eastAsia="Times New Roman" w:hAnsi="Book Antiqua" w:cs="Calibri"/>
                <w:color w:val="000000"/>
              </w:rPr>
              <w:t xml:space="preserve"> = 11)</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w:t>
            </w:r>
          </w:p>
        </w:tc>
        <w:tc>
          <w:tcPr>
            <w:tcW w:w="1842" w:type="dxa"/>
            <w:tcBorders>
              <w:top w:val="single" w:sz="4" w:space="0" w:color="auto"/>
            </w:tcBorders>
            <w:shd w:val="clear" w:color="auto" w:fill="auto"/>
            <w:noWrap/>
            <w:vAlign w:val="bottom"/>
            <w:hideMark/>
          </w:tcPr>
          <w:p w14:paraId="11C7DBD9" w14:textId="1C10C1DE"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 xml:space="preserve">Group B </w:t>
            </w:r>
            <w:r w:rsidR="0048613D"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w:t>
            </w:r>
            <w:r w:rsidRPr="0080707E">
              <w:rPr>
                <w:rFonts w:ascii="Book Antiqua" w:eastAsia="Times New Roman" w:hAnsi="Book Antiqua" w:cs="Calibri"/>
                <w:i/>
                <w:iCs/>
                <w:color w:val="000000"/>
              </w:rPr>
              <w:t xml:space="preserve">n </w:t>
            </w:r>
            <w:r w:rsidRPr="0080707E">
              <w:rPr>
                <w:rFonts w:ascii="Book Antiqua" w:eastAsia="Times New Roman" w:hAnsi="Book Antiqua" w:cs="Calibri"/>
                <w:color w:val="000000"/>
              </w:rPr>
              <w:t>= 95)</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w:t>
            </w:r>
          </w:p>
        </w:tc>
        <w:tc>
          <w:tcPr>
            <w:tcW w:w="1985" w:type="dxa"/>
            <w:tcBorders>
              <w:top w:val="single" w:sz="4" w:space="0" w:color="auto"/>
            </w:tcBorders>
            <w:shd w:val="clear" w:color="auto" w:fill="auto"/>
            <w:noWrap/>
            <w:vAlign w:val="bottom"/>
            <w:hideMark/>
          </w:tcPr>
          <w:p w14:paraId="3B49D206" w14:textId="61C29941"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i/>
                <w:color w:val="000000"/>
              </w:rPr>
              <w:t>P</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value</w:t>
            </w:r>
          </w:p>
        </w:tc>
      </w:tr>
      <w:tr w:rsidR="008F2971" w:rsidRPr="0080707E" w14:paraId="289FC4CA" w14:textId="77777777" w:rsidTr="00046367">
        <w:trPr>
          <w:trHeight w:val="242"/>
        </w:trPr>
        <w:tc>
          <w:tcPr>
            <w:tcW w:w="3227" w:type="dxa"/>
            <w:shd w:val="clear" w:color="auto" w:fill="auto"/>
            <w:noWrap/>
            <w:vAlign w:val="bottom"/>
            <w:hideMark/>
          </w:tcPr>
          <w:p w14:paraId="332D8344" w14:textId="2EC9464E"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 xml:space="preserve">Early </w:t>
            </w:r>
            <w:r w:rsidR="00046367" w:rsidRPr="0080707E">
              <w:rPr>
                <w:rFonts w:ascii="Book Antiqua" w:eastAsia="Times New Roman" w:hAnsi="Book Antiqua" w:cs="Calibri"/>
                <w:color w:val="000000"/>
              </w:rPr>
              <w:t>excretory</w:t>
            </w:r>
          </w:p>
        </w:tc>
        <w:tc>
          <w:tcPr>
            <w:tcW w:w="1843" w:type="dxa"/>
            <w:shd w:val="clear" w:color="auto" w:fill="auto"/>
            <w:noWrap/>
            <w:vAlign w:val="bottom"/>
            <w:hideMark/>
          </w:tcPr>
          <w:p w14:paraId="7411A523" w14:textId="7058ED52"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6</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(55%)</w:t>
            </w:r>
          </w:p>
        </w:tc>
        <w:tc>
          <w:tcPr>
            <w:tcW w:w="1842" w:type="dxa"/>
            <w:shd w:val="clear" w:color="auto" w:fill="auto"/>
            <w:noWrap/>
            <w:vAlign w:val="bottom"/>
            <w:hideMark/>
          </w:tcPr>
          <w:p w14:paraId="63F91CF5" w14:textId="08F03AC7"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2</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(2%)</w:t>
            </w:r>
          </w:p>
        </w:tc>
        <w:tc>
          <w:tcPr>
            <w:tcW w:w="1985" w:type="dxa"/>
            <w:vMerge w:val="restart"/>
            <w:shd w:val="clear" w:color="auto" w:fill="auto"/>
            <w:noWrap/>
            <w:vAlign w:val="center"/>
            <w:hideMark/>
          </w:tcPr>
          <w:p w14:paraId="66D8DCE9" w14:textId="037DD44D"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&lt; 0.001</w:t>
            </w:r>
          </w:p>
        </w:tc>
      </w:tr>
      <w:tr w:rsidR="008F2971" w:rsidRPr="0080707E" w14:paraId="53591B51" w14:textId="77777777" w:rsidTr="00046367">
        <w:trPr>
          <w:trHeight w:val="423"/>
        </w:trPr>
        <w:tc>
          <w:tcPr>
            <w:tcW w:w="3227" w:type="dxa"/>
            <w:shd w:val="clear" w:color="auto" w:fill="auto"/>
            <w:noWrap/>
            <w:vAlign w:val="bottom"/>
            <w:hideMark/>
          </w:tcPr>
          <w:p w14:paraId="144D53AD" w14:textId="25B1EA67"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 xml:space="preserve">Late </w:t>
            </w:r>
            <w:r w:rsidR="00046367" w:rsidRPr="0080707E">
              <w:rPr>
                <w:rFonts w:ascii="Book Antiqua" w:eastAsia="Times New Roman" w:hAnsi="Book Antiqua" w:cs="Calibri"/>
                <w:color w:val="000000"/>
              </w:rPr>
              <w:t>excretory</w:t>
            </w:r>
          </w:p>
        </w:tc>
        <w:tc>
          <w:tcPr>
            <w:tcW w:w="1843" w:type="dxa"/>
            <w:shd w:val="clear" w:color="auto" w:fill="auto"/>
            <w:noWrap/>
            <w:vAlign w:val="bottom"/>
            <w:hideMark/>
          </w:tcPr>
          <w:p w14:paraId="758FC29A" w14:textId="1E9555CE"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5</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(45%)</w:t>
            </w:r>
          </w:p>
        </w:tc>
        <w:tc>
          <w:tcPr>
            <w:tcW w:w="1842" w:type="dxa"/>
            <w:shd w:val="clear" w:color="auto" w:fill="auto"/>
            <w:noWrap/>
            <w:vAlign w:val="bottom"/>
            <w:hideMark/>
          </w:tcPr>
          <w:p w14:paraId="272974F9" w14:textId="6951F9FC"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93</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(98%)</w:t>
            </w:r>
          </w:p>
        </w:tc>
        <w:tc>
          <w:tcPr>
            <w:tcW w:w="1985" w:type="dxa"/>
            <w:vMerge/>
            <w:shd w:val="clear" w:color="auto" w:fill="auto"/>
            <w:vAlign w:val="center"/>
            <w:hideMark/>
          </w:tcPr>
          <w:p w14:paraId="7C794500" w14:textId="77777777" w:rsidR="008F2971" w:rsidRPr="0080707E" w:rsidRDefault="008F2971" w:rsidP="0080707E">
            <w:pPr>
              <w:snapToGrid w:val="0"/>
              <w:spacing w:line="360" w:lineRule="auto"/>
              <w:jc w:val="both"/>
              <w:rPr>
                <w:rFonts w:ascii="Book Antiqua" w:eastAsia="Times New Roman" w:hAnsi="Book Antiqua" w:cs="Calibri"/>
                <w:color w:val="000000"/>
              </w:rPr>
            </w:pPr>
          </w:p>
        </w:tc>
      </w:tr>
      <w:tr w:rsidR="008F2971" w:rsidRPr="0080707E" w14:paraId="0FFA0942" w14:textId="77777777" w:rsidTr="00046367">
        <w:trPr>
          <w:trHeight w:val="287"/>
        </w:trPr>
        <w:tc>
          <w:tcPr>
            <w:tcW w:w="3227" w:type="dxa"/>
            <w:shd w:val="clear" w:color="auto" w:fill="auto"/>
            <w:noWrap/>
            <w:vAlign w:val="bottom"/>
            <w:hideMark/>
          </w:tcPr>
          <w:p w14:paraId="1C79D841" w14:textId="02FFE02A"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 xml:space="preserve">Renal </w:t>
            </w:r>
            <w:r w:rsidR="00046367" w:rsidRPr="0080707E">
              <w:rPr>
                <w:rFonts w:ascii="Book Antiqua" w:eastAsia="Times New Roman" w:hAnsi="Book Antiqua" w:cs="Calibri"/>
                <w:color w:val="000000"/>
              </w:rPr>
              <w:t>artery calcifications</w:t>
            </w:r>
          </w:p>
        </w:tc>
        <w:tc>
          <w:tcPr>
            <w:tcW w:w="1843" w:type="dxa"/>
            <w:shd w:val="clear" w:color="auto" w:fill="auto"/>
            <w:noWrap/>
            <w:vAlign w:val="bottom"/>
            <w:hideMark/>
          </w:tcPr>
          <w:p w14:paraId="096A09B0" w14:textId="77777777"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Group A</w:t>
            </w:r>
          </w:p>
        </w:tc>
        <w:tc>
          <w:tcPr>
            <w:tcW w:w="1842" w:type="dxa"/>
            <w:shd w:val="clear" w:color="auto" w:fill="auto"/>
            <w:noWrap/>
            <w:vAlign w:val="bottom"/>
            <w:hideMark/>
          </w:tcPr>
          <w:p w14:paraId="440250C5" w14:textId="77777777"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Group B</w:t>
            </w:r>
          </w:p>
        </w:tc>
        <w:tc>
          <w:tcPr>
            <w:tcW w:w="1985" w:type="dxa"/>
            <w:shd w:val="clear" w:color="auto" w:fill="auto"/>
            <w:noWrap/>
            <w:vAlign w:val="center"/>
            <w:hideMark/>
          </w:tcPr>
          <w:p w14:paraId="27E1795F" w14:textId="77777777"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 </w:t>
            </w:r>
          </w:p>
        </w:tc>
      </w:tr>
      <w:tr w:rsidR="008F2971" w:rsidRPr="0080707E" w14:paraId="6E2B3DF1" w14:textId="77777777" w:rsidTr="00046367">
        <w:trPr>
          <w:trHeight w:val="323"/>
        </w:trPr>
        <w:tc>
          <w:tcPr>
            <w:tcW w:w="3227" w:type="dxa"/>
            <w:shd w:val="clear" w:color="auto" w:fill="auto"/>
            <w:noWrap/>
            <w:vAlign w:val="bottom"/>
            <w:hideMark/>
          </w:tcPr>
          <w:p w14:paraId="0641D0FE" w14:textId="77777777"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Yes</w:t>
            </w:r>
          </w:p>
        </w:tc>
        <w:tc>
          <w:tcPr>
            <w:tcW w:w="1843" w:type="dxa"/>
            <w:shd w:val="clear" w:color="auto" w:fill="auto"/>
            <w:noWrap/>
            <w:vAlign w:val="bottom"/>
            <w:hideMark/>
          </w:tcPr>
          <w:p w14:paraId="25FB539A" w14:textId="620992C8"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6</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(55%)</w:t>
            </w:r>
          </w:p>
        </w:tc>
        <w:tc>
          <w:tcPr>
            <w:tcW w:w="1842" w:type="dxa"/>
            <w:shd w:val="clear" w:color="auto" w:fill="auto"/>
            <w:noWrap/>
            <w:vAlign w:val="bottom"/>
            <w:hideMark/>
          </w:tcPr>
          <w:p w14:paraId="35C2FEAE" w14:textId="56969153"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20</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(21%)</w:t>
            </w:r>
          </w:p>
        </w:tc>
        <w:tc>
          <w:tcPr>
            <w:tcW w:w="1985" w:type="dxa"/>
            <w:vMerge w:val="restart"/>
            <w:shd w:val="clear" w:color="auto" w:fill="auto"/>
            <w:noWrap/>
            <w:vAlign w:val="center"/>
            <w:hideMark/>
          </w:tcPr>
          <w:p w14:paraId="14B13AD8" w14:textId="0D463B9B"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0.01</w:t>
            </w:r>
          </w:p>
        </w:tc>
      </w:tr>
      <w:tr w:rsidR="008F2971" w:rsidRPr="0080707E" w14:paraId="1016F4C9" w14:textId="77777777" w:rsidTr="00046367">
        <w:trPr>
          <w:trHeight w:val="315"/>
        </w:trPr>
        <w:tc>
          <w:tcPr>
            <w:tcW w:w="3227" w:type="dxa"/>
            <w:shd w:val="clear" w:color="auto" w:fill="auto"/>
            <w:noWrap/>
            <w:vAlign w:val="bottom"/>
            <w:hideMark/>
          </w:tcPr>
          <w:p w14:paraId="0BF43FB7" w14:textId="77777777"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No</w:t>
            </w:r>
          </w:p>
        </w:tc>
        <w:tc>
          <w:tcPr>
            <w:tcW w:w="1843" w:type="dxa"/>
            <w:shd w:val="clear" w:color="auto" w:fill="auto"/>
            <w:noWrap/>
            <w:vAlign w:val="bottom"/>
            <w:hideMark/>
          </w:tcPr>
          <w:p w14:paraId="343CF805" w14:textId="2450DF6B"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5</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(45%)</w:t>
            </w:r>
          </w:p>
        </w:tc>
        <w:tc>
          <w:tcPr>
            <w:tcW w:w="1842" w:type="dxa"/>
            <w:shd w:val="clear" w:color="auto" w:fill="auto"/>
            <w:noWrap/>
            <w:vAlign w:val="bottom"/>
            <w:hideMark/>
          </w:tcPr>
          <w:p w14:paraId="2203958F" w14:textId="4D97E0C4"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75</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(79%)</w:t>
            </w:r>
          </w:p>
        </w:tc>
        <w:tc>
          <w:tcPr>
            <w:tcW w:w="1985" w:type="dxa"/>
            <w:vMerge/>
            <w:shd w:val="clear" w:color="auto" w:fill="auto"/>
            <w:vAlign w:val="center"/>
            <w:hideMark/>
          </w:tcPr>
          <w:p w14:paraId="7E8D5C32" w14:textId="77777777" w:rsidR="008F2971" w:rsidRPr="0080707E" w:rsidRDefault="008F2971" w:rsidP="0080707E">
            <w:pPr>
              <w:snapToGrid w:val="0"/>
              <w:spacing w:line="360" w:lineRule="auto"/>
              <w:jc w:val="both"/>
              <w:rPr>
                <w:rFonts w:ascii="Book Antiqua" w:eastAsia="Times New Roman" w:hAnsi="Book Antiqua" w:cs="Calibri"/>
                <w:b/>
                <w:bCs/>
                <w:i/>
                <w:iCs/>
                <w:color w:val="000000"/>
              </w:rPr>
            </w:pPr>
          </w:p>
        </w:tc>
      </w:tr>
    </w:tbl>
    <w:p w14:paraId="59745B20" w14:textId="6AA6BB78" w:rsidR="00A27DBA" w:rsidRPr="0080707E" w:rsidRDefault="006F4386" w:rsidP="0080707E">
      <w:pPr>
        <w:snapToGrid w:val="0"/>
        <w:spacing w:line="360" w:lineRule="auto"/>
        <w:jc w:val="both"/>
        <w:rPr>
          <w:rFonts w:ascii="Book Antiqua" w:hAnsi="Book Antiqua" w:cstheme="minorHAnsi"/>
        </w:rPr>
      </w:pPr>
      <w:r w:rsidRPr="0080707E">
        <w:rPr>
          <w:rFonts w:ascii="Book Antiqua" w:hAnsi="Book Antiqua" w:cstheme="minorHAnsi"/>
        </w:rPr>
        <w:t>CT:</w:t>
      </w:r>
      <w:r w:rsidRPr="0080707E">
        <w:rPr>
          <w:rFonts w:ascii="Book Antiqua" w:eastAsia="Book Antiqua" w:hAnsi="Book Antiqua" w:cs="Book Antiqua"/>
          <w:b/>
          <w:color w:val="000000"/>
        </w:rPr>
        <w:t xml:space="preserve"> </w:t>
      </w:r>
      <w:r w:rsidRPr="0080707E">
        <w:rPr>
          <w:rFonts w:ascii="Book Antiqua" w:eastAsia="Book Antiqua" w:hAnsi="Book Antiqua" w:cs="Book Antiqua"/>
          <w:bCs/>
          <w:color w:val="000000"/>
        </w:rPr>
        <w:t>Computed tomograph</w:t>
      </w:r>
      <w:r w:rsidR="0048613D" w:rsidRPr="0080707E">
        <w:rPr>
          <w:rFonts w:ascii="Book Antiqua" w:eastAsia="Book Antiqua" w:hAnsi="Book Antiqua" w:cs="Book Antiqua"/>
          <w:bCs/>
          <w:color w:val="000000"/>
        </w:rPr>
        <w:t>y</w:t>
      </w:r>
      <w:r w:rsidRPr="0080707E">
        <w:rPr>
          <w:rFonts w:ascii="Book Antiqua" w:eastAsia="Book Antiqua" w:hAnsi="Book Antiqua" w:cs="Book Antiqua"/>
          <w:bCs/>
          <w:color w:val="000000"/>
        </w:rPr>
        <w:t xml:space="preserve">; CIN: </w:t>
      </w:r>
      <w:r w:rsidRPr="0080707E">
        <w:rPr>
          <w:rFonts w:ascii="Book Antiqua" w:eastAsia="Book Antiqua" w:hAnsi="Book Antiqua" w:cs="Book Antiqua"/>
          <w:color w:val="000000"/>
        </w:rPr>
        <w:t>Contrast-induced nephropathy.</w:t>
      </w:r>
    </w:p>
    <w:sectPr w:rsidR="00A27DBA" w:rsidRPr="0080707E" w:rsidSect="009B183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E09E7" w14:textId="77777777" w:rsidR="004C2382" w:rsidRDefault="004C2382" w:rsidP="009B183D">
      <w:r>
        <w:separator/>
      </w:r>
    </w:p>
  </w:endnote>
  <w:endnote w:type="continuationSeparator" w:id="0">
    <w:p w14:paraId="5F92CDB1" w14:textId="77777777" w:rsidR="004C2382" w:rsidRDefault="004C2382" w:rsidP="009B1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754149"/>
      <w:docPartObj>
        <w:docPartGallery w:val="Page Numbers (Bottom of Page)"/>
        <w:docPartUnique/>
      </w:docPartObj>
    </w:sdtPr>
    <w:sdtEndPr/>
    <w:sdtContent>
      <w:sdt>
        <w:sdtPr>
          <w:id w:val="-1769616900"/>
          <w:docPartObj>
            <w:docPartGallery w:val="Page Numbers (Top of Page)"/>
            <w:docPartUnique/>
          </w:docPartObj>
        </w:sdtPr>
        <w:sdtEndPr/>
        <w:sdtContent>
          <w:p w14:paraId="47818F6B" w14:textId="3B16D1EF" w:rsidR="009B183D" w:rsidRDefault="009B183D">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519B5">
              <w:rPr>
                <w:b/>
                <w:bCs/>
                <w:noProof/>
              </w:rPr>
              <w:t>27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519B5">
              <w:rPr>
                <w:b/>
                <w:bCs/>
                <w:noProof/>
              </w:rPr>
              <w:t>28</w:t>
            </w:r>
            <w:r>
              <w:rPr>
                <w:b/>
                <w:bCs/>
                <w:sz w:val="24"/>
                <w:szCs w:val="24"/>
              </w:rPr>
              <w:fldChar w:fldCharType="end"/>
            </w:r>
          </w:p>
        </w:sdtContent>
      </w:sdt>
    </w:sdtContent>
  </w:sdt>
  <w:p w14:paraId="22159CB8" w14:textId="77777777" w:rsidR="009B183D" w:rsidRDefault="009B1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9F3FD" w14:textId="77777777" w:rsidR="004C2382" w:rsidRDefault="004C2382" w:rsidP="009B183D">
      <w:r>
        <w:separator/>
      </w:r>
    </w:p>
  </w:footnote>
  <w:footnote w:type="continuationSeparator" w:id="0">
    <w:p w14:paraId="4F5DB3D8" w14:textId="77777777" w:rsidR="004C2382" w:rsidRDefault="004C2382" w:rsidP="009B18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8B9"/>
    <w:rsid w:val="00046367"/>
    <w:rsid w:val="00046E1C"/>
    <w:rsid w:val="0013412F"/>
    <w:rsid w:val="00282CF1"/>
    <w:rsid w:val="002D025E"/>
    <w:rsid w:val="003D277A"/>
    <w:rsid w:val="0048613D"/>
    <w:rsid w:val="004C2382"/>
    <w:rsid w:val="004F63BD"/>
    <w:rsid w:val="0052752C"/>
    <w:rsid w:val="00535F61"/>
    <w:rsid w:val="00540F60"/>
    <w:rsid w:val="00571576"/>
    <w:rsid w:val="005A719E"/>
    <w:rsid w:val="006F4386"/>
    <w:rsid w:val="0073428E"/>
    <w:rsid w:val="007415B9"/>
    <w:rsid w:val="007568CB"/>
    <w:rsid w:val="00762536"/>
    <w:rsid w:val="0076270D"/>
    <w:rsid w:val="007E26AE"/>
    <w:rsid w:val="0080707E"/>
    <w:rsid w:val="008E5948"/>
    <w:rsid w:val="008F2971"/>
    <w:rsid w:val="00917EA7"/>
    <w:rsid w:val="00953238"/>
    <w:rsid w:val="009807EE"/>
    <w:rsid w:val="009B183D"/>
    <w:rsid w:val="00A04CC3"/>
    <w:rsid w:val="00A14510"/>
    <w:rsid w:val="00A27DBA"/>
    <w:rsid w:val="00A77B3E"/>
    <w:rsid w:val="00AD3711"/>
    <w:rsid w:val="00B000BB"/>
    <w:rsid w:val="00BA5D6B"/>
    <w:rsid w:val="00BB19DD"/>
    <w:rsid w:val="00C813BE"/>
    <w:rsid w:val="00CA2A55"/>
    <w:rsid w:val="00D9198D"/>
    <w:rsid w:val="00DE2D93"/>
    <w:rsid w:val="00E519B5"/>
    <w:rsid w:val="00EF28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3D31DF"/>
  <w15:docId w15:val="{A5B3FB53-0F2A-DF40-BD5B-05D35EAB0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D277A"/>
    <w:rPr>
      <w:rFonts w:ascii="SimSun" w:eastAsia="SimSun"/>
      <w:sz w:val="18"/>
      <w:szCs w:val="18"/>
    </w:rPr>
  </w:style>
  <w:style w:type="character" w:customStyle="1" w:styleId="BalloonTextChar">
    <w:name w:val="Balloon Text Char"/>
    <w:basedOn w:val="DefaultParagraphFont"/>
    <w:link w:val="BalloonText"/>
    <w:rsid w:val="003D277A"/>
    <w:rPr>
      <w:rFonts w:ascii="SimSun" w:eastAsia="SimSun"/>
      <w:sz w:val="18"/>
      <w:szCs w:val="18"/>
    </w:rPr>
  </w:style>
  <w:style w:type="character" w:styleId="Hyperlink">
    <w:name w:val="Hyperlink"/>
    <w:basedOn w:val="DefaultParagraphFont"/>
    <w:unhideWhenUsed/>
    <w:rsid w:val="003D277A"/>
    <w:rPr>
      <w:color w:val="0000FF" w:themeColor="hyperlink"/>
      <w:u w:val="single"/>
    </w:rPr>
  </w:style>
  <w:style w:type="character" w:customStyle="1" w:styleId="UnresolvedMention1">
    <w:name w:val="Unresolved Mention1"/>
    <w:basedOn w:val="DefaultParagraphFont"/>
    <w:uiPriority w:val="99"/>
    <w:semiHidden/>
    <w:unhideWhenUsed/>
    <w:rsid w:val="003D277A"/>
    <w:rPr>
      <w:color w:val="605E5C"/>
      <w:shd w:val="clear" w:color="auto" w:fill="E1DFDD"/>
    </w:rPr>
  </w:style>
  <w:style w:type="paragraph" w:styleId="NoSpacing">
    <w:name w:val="No Spacing"/>
    <w:uiPriority w:val="1"/>
    <w:qFormat/>
    <w:rsid w:val="00953238"/>
    <w:rPr>
      <w:rFonts w:asciiTheme="minorHAnsi" w:hAnsiTheme="minorHAnsi" w:cstheme="minorBidi"/>
      <w:sz w:val="22"/>
      <w:szCs w:val="22"/>
    </w:rPr>
  </w:style>
  <w:style w:type="paragraph" w:styleId="Header">
    <w:name w:val="header"/>
    <w:basedOn w:val="Normal"/>
    <w:link w:val="HeaderChar"/>
    <w:unhideWhenUsed/>
    <w:rsid w:val="009B183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B183D"/>
    <w:rPr>
      <w:sz w:val="18"/>
      <w:szCs w:val="18"/>
    </w:rPr>
  </w:style>
  <w:style w:type="paragraph" w:styleId="Footer">
    <w:name w:val="footer"/>
    <w:basedOn w:val="Normal"/>
    <w:link w:val="FooterChar"/>
    <w:uiPriority w:val="99"/>
    <w:unhideWhenUsed/>
    <w:rsid w:val="009B183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B183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ybodym@mskcc.org"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5237</Words>
  <Characters>29853</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Maybody, Majid/Radiology</dc:creator>
  <cp:lastModifiedBy>Na Ma</cp:lastModifiedBy>
  <cp:revision>2</cp:revision>
  <dcterms:created xsi:type="dcterms:W3CDTF">2020-09-14T17:34:00Z</dcterms:created>
  <dcterms:modified xsi:type="dcterms:W3CDTF">2020-09-14T17:34:00Z</dcterms:modified>
</cp:coreProperties>
</file>