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B03C9" w14:textId="1B0B7F85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color w:val="000000"/>
        </w:rPr>
        <w:t>Name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of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Journal: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color w:val="000000"/>
        </w:rPr>
        <w:t>World</w:t>
      </w:r>
      <w:r w:rsidR="00221BA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color w:val="000000"/>
        </w:rPr>
        <w:t>Journal</w:t>
      </w:r>
      <w:r w:rsidR="00221BA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color w:val="000000"/>
        </w:rPr>
        <w:t>of</w:t>
      </w:r>
      <w:r w:rsidR="00221BA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28DCF449" w14:textId="20D748BA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color w:val="000000"/>
        </w:rPr>
        <w:t>Manuscript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NO: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57189</w:t>
      </w:r>
    </w:p>
    <w:p w14:paraId="3F946C30" w14:textId="2D9C2F09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color w:val="000000"/>
        </w:rPr>
        <w:t>Manuscript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Type: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ORIGINAL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ARTICLE</w:t>
      </w:r>
    </w:p>
    <w:p w14:paraId="3C0734D8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7B832047" w14:textId="35318A9E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221BA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07A2D84" w14:textId="54D7DE5E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bookmarkStart w:id="0" w:name="OLE_LINK1862"/>
      <w:bookmarkStart w:id="1" w:name="OLE_LINK1863"/>
      <w:r w:rsidRPr="00D43612">
        <w:rPr>
          <w:rFonts w:ascii="Book Antiqua" w:eastAsia="Book Antiqua" w:hAnsi="Book Antiqua" w:cs="Book Antiqua"/>
          <w:b/>
          <w:color w:val="000000"/>
        </w:rPr>
        <w:t>Transitioning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patients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with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inflammatory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bowel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disease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from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hospital-based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to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rapid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home-based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infliximab: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A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stepwise,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safety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and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patient-orientated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process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towards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sustainability</w:t>
      </w:r>
    </w:p>
    <w:bookmarkEnd w:id="0"/>
    <w:bookmarkEnd w:id="1"/>
    <w:p w14:paraId="1A31062F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65C6FBD5" w14:textId="0CF4C743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Bohra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21BA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43612">
        <w:rPr>
          <w:rFonts w:ascii="Book Antiqua" w:eastAsia="Book Antiqua" w:hAnsi="Book Antiqua" w:cs="Book Antiqua"/>
          <w:color w:val="000000"/>
        </w:rPr>
        <w:t>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therapy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IBD</w:t>
      </w:r>
    </w:p>
    <w:p w14:paraId="1DB81484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39F7C247" w14:textId="093A8038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Anuj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Bohra,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Qurat</w:t>
      </w:r>
      <w:proofErr w:type="spellEnd"/>
      <w:r w:rsidRPr="00D43612">
        <w:rPr>
          <w:rFonts w:ascii="Book Antiqua" w:eastAsia="Book Antiqua" w:hAnsi="Book Antiqua" w:cs="Book Antiqua"/>
          <w:color w:val="000000"/>
        </w:rPr>
        <w:t>-Al-Ain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Rizvi,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Charlotte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Yuen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Yu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Keung,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Abhinav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Vasudevan,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Daniel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van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Langenberg</w:t>
      </w:r>
      <w:proofErr w:type="spellEnd"/>
    </w:p>
    <w:p w14:paraId="70E4EBB7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1933C817" w14:textId="232CAA90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bCs/>
          <w:color w:val="000000"/>
        </w:rPr>
        <w:t>Anuj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Bohra,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b/>
          <w:bCs/>
          <w:color w:val="000000"/>
        </w:rPr>
        <w:t>Qurat</w:t>
      </w:r>
      <w:proofErr w:type="spellEnd"/>
      <w:r w:rsidRPr="00D43612">
        <w:rPr>
          <w:rFonts w:ascii="Book Antiqua" w:eastAsia="Book Antiqua" w:hAnsi="Book Antiqua" w:cs="Book Antiqua"/>
          <w:b/>
          <w:bCs/>
          <w:color w:val="000000"/>
        </w:rPr>
        <w:t>-Al-Ain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Rizvi,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37B82" w:rsidRPr="00D43612">
        <w:rPr>
          <w:rFonts w:ascii="Book Antiqua" w:eastAsia="Book Antiqua" w:hAnsi="Book Antiqua" w:cs="Book Antiqua"/>
          <w:b/>
          <w:bCs/>
          <w:color w:val="000000"/>
        </w:rPr>
        <w:t>Charlotte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37B82" w:rsidRPr="00D43612">
        <w:rPr>
          <w:rFonts w:ascii="Book Antiqua" w:eastAsia="Book Antiqua" w:hAnsi="Book Antiqua" w:cs="Book Antiqua"/>
          <w:b/>
          <w:bCs/>
          <w:color w:val="000000"/>
        </w:rPr>
        <w:t>Yuen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37B82" w:rsidRPr="00D43612">
        <w:rPr>
          <w:rFonts w:ascii="Book Antiqua" w:eastAsia="Book Antiqua" w:hAnsi="Book Antiqua" w:cs="Book Antiqua"/>
          <w:b/>
          <w:bCs/>
          <w:color w:val="000000"/>
        </w:rPr>
        <w:t>Yu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37B82" w:rsidRPr="00D43612">
        <w:rPr>
          <w:rFonts w:ascii="Book Antiqua" w:eastAsia="Book Antiqua" w:hAnsi="Book Antiqua" w:cs="Book Antiqua"/>
          <w:b/>
          <w:bCs/>
          <w:color w:val="000000"/>
        </w:rPr>
        <w:t>Keung,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Abhinav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Vasudevan,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Daniel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R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b/>
          <w:bCs/>
          <w:color w:val="000000"/>
        </w:rPr>
        <w:t>Langenberg</w:t>
      </w:r>
      <w:proofErr w:type="spellEnd"/>
      <w:r w:rsidRPr="00D43612">
        <w:rPr>
          <w:rFonts w:ascii="Book Antiqua" w:eastAsia="Book Antiqua" w:hAnsi="Book Antiqua" w:cs="Book Antiqua"/>
          <w:b/>
          <w:bCs/>
          <w:color w:val="000000"/>
        </w:rPr>
        <w:t>,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Department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Gastroenterology,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Eastern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Health,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Box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Hill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3128,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Victoria,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Australia</w:t>
      </w:r>
    </w:p>
    <w:p w14:paraId="30854E54" w14:textId="77777777" w:rsidR="006767EC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51CF2505" w14:textId="5182F0BC" w:rsidR="008B18C4" w:rsidRDefault="008B18C4">
      <w:pPr>
        <w:spacing w:line="360" w:lineRule="auto"/>
        <w:jc w:val="both"/>
        <w:rPr>
          <w:rFonts w:ascii="Book Antiqua" w:hAnsi="Book Antiqua" w:cs="Book Antiqua"/>
        </w:rPr>
      </w:pPr>
      <w:r w:rsidRPr="008B18C4">
        <w:rPr>
          <w:rFonts w:ascii="Book Antiqua" w:hAnsi="Book Antiqua" w:cs="Book Antiqua"/>
          <w:b/>
        </w:rPr>
        <w:t>Anuj</w:t>
      </w:r>
      <w:r w:rsidR="00221BA4">
        <w:rPr>
          <w:rFonts w:ascii="Book Antiqua" w:hAnsi="Book Antiqua" w:cs="Book Antiqua"/>
          <w:b/>
        </w:rPr>
        <w:t xml:space="preserve"> </w:t>
      </w:r>
      <w:r w:rsidRPr="008B18C4">
        <w:rPr>
          <w:rFonts w:ascii="Book Antiqua" w:hAnsi="Book Antiqua" w:cs="Book Antiqua"/>
          <w:b/>
        </w:rPr>
        <w:t>Bohra,</w:t>
      </w:r>
      <w:r w:rsidR="00221BA4">
        <w:rPr>
          <w:rFonts w:ascii="Book Antiqua" w:hAnsi="Book Antiqua" w:cs="Book Antiqua"/>
          <w:b/>
        </w:rPr>
        <w:t xml:space="preserve"> </w:t>
      </w:r>
      <w:r w:rsidRPr="008B18C4">
        <w:rPr>
          <w:rFonts w:ascii="Book Antiqua" w:hAnsi="Book Antiqua" w:cs="Book Antiqua"/>
          <w:b/>
        </w:rPr>
        <w:t>Abhinav</w:t>
      </w:r>
      <w:r w:rsidR="00221BA4">
        <w:rPr>
          <w:rFonts w:ascii="Book Antiqua" w:hAnsi="Book Antiqua" w:cs="Book Antiqua"/>
          <w:b/>
        </w:rPr>
        <w:t xml:space="preserve"> </w:t>
      </w:r>
      <w:r w:rsidRPr="008B18C4">
        <w:rPr>
          <w:rFonts w:ascii="Book Antiqua" w:hAnsi="Book Antiqua" w:cs="Book Antiqua"/>
          <w:b/>
        </w:rPr>
        <w:t>Vasudevan,</w:t>
      </w:r>
      <w:r w:rsidR="00221BA4">
        <w:rPr>
          <w:rFonts w:ascii="Book Antiqua" w:hAnsi="Book Antiqua" w:cs="Book Antiqua"/>
          <w:b/>
        </w:rPr>
        <w:t xml:space="preserve"> </w:t>
      </w:r>
      <w:r w:rsidRPr="008B18C4">
        <w:rPr>
          <w:rFonts w:ascii="Book Antiqua" w:hAnsi="Book Antiqua" w:cs="Book Antiqua"/>
          <w:b/>
        </w:rPr>
        <w:t>Daniel</w:t>
      </w:r>
      <w:r w:rsidR="00221BA4">
        <w:rPr>
          <w:rFonts w:ascii="Book Antiqua" w:hAnsi="Book Antiqua" w:cs="Book Antiqua"/>
          <w:b/>
        </w:rPr>
        <w:t xml:space="preserve"> </w:t>
      </w:r>
      <w:r w:rsidRPr="008B18C4">
        <w:rPr>
          <w:rFonts w:ascii="Book Antiqua" w:hAnsi="Book Antiqua" w:cs="Book Antiqua"/>
          <w:b/>
        </w:rPr>
        <w:t>R</w:t>
      </w:r>
      <w:r w:rsidR="00221BA4">
        <w:rPr>
          <w:rFonts w:ascii="Book Antiqua" w:hAnsi="Book Antiqua" w:cs="Book Antiqua"/>
          <w:b/>
        </w:rPr>
        <w:t xml:space="preserve"> </w:t>
      </w:r>
      <w:r w:rsidRPr="008B18C4">
        <w:rPr>
          <w:rFonts w:ascii="Book Antiqua" w:hAnsi="Book Antiqua" w:cs="Book Antiqua"/>
          <w:b/>
        </w:rPr>
        <w:t>van</w:t>
      </w:r>
      <w:r w:rsidR="00221BA4">
        <w:rPr>
          <w:rFonts w:ascii="Book Antiqua" w:hAnsi="Book Antiqua" w:cs="Book Antiqua"/>
          <w:b/>
        </w:rPr>
        <w:t xml:space="preserve"> </w:t>
      </w:r>
      <w:proofErr w:type="spellStart"/>
      <w:r w:rsidRPr="008B18C4">
        <w:rPr>
          <w:rFonts w:ascii="Book Antiqua" w:hAnsi="Book Antiqua" w:cs="Book Antiqua"/>
          <w:b/>
        </w:rPr>
        <w:t>Langenberg</w:t>
      </w:r>
      <w:proofErr w:type="spellEnd"/>
      <w:r w:rsidRPr="008B18C4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r w:rsidRPr="008B18C4">
        <w:rPr>
          <w:rFonts w:ascii="Book Antiqua" w:hAnsi="Book Antiqua" w:cs="Book Antiqua"/>
        </w:rPr>
        <w:t>Eastern</w:t>
      </w:r>
      <w:r w:rsidR="00221BA4">
        <w:rPr>
          <w:rFonts w:ascii="Book Antiqua" w:hAnsi="Book Antiqua" w:cs="Book Antiqua"/>
        </w:rPr>
        <w:t xml:space="preserve"> </w:t>
      </w:r>
      <w:r w:rsidRPr="008B18C4">
        <w:rPr>
          <w:rFonts w:ascii="Book Antiqua" w:hAnsi="Book Antiqua" w:cs="Book Antiqua"/>
        </w:rPr>
        <w:t>Health</w:t>
      </w:r>
      <w:r w:rsidR="00221BA4">
        <w:rPr>
          <w:rFonts w:ascii="Book Antiqua" w:hAnsi="Book Antiqua" w:cs="Book Antiqua"/>
        </w:rPr>
        <w:t xml:space="preserve"> </w:t>
      </w:r>
      <w:r w:rsidRPr="008B18C4">
        <w:rPr>
          <w:rFonts w:ascii="Book Antiqua" w:hAnsi="Book Antiqua" w:cs="Book Antiqua"/>
        </w:rPr>
        <w:t>Clinical</w:t>
      </w:r>
      <w:r w:rsidR="00221BA4">
        <w:rPr>
          <w:rFonts w:ascii="Book Antiqua" w:hAnsi="Book Antiqua" w:cs="Book Antiqua"/>
        </w:rPr>
        <w:t xml:space="preserve"> </w:t>
      </w:r>
      <w:r w:rsidRPr="008B18C4">
        <w:rPr>
          <w:rFonts w:ascii="Book Antiqua" w:hAnsi="Book Antiqua" w:cs="Book Antiqua"/>
        </w:rPr>
        <w:t>School,</w:t>
      </w:r>
      <w:r w:rsidR="00221BA4">
        <w:rPr>
          <w:rFonts w:ascii="Book Antiqua" w:hAnsi="Book Antiqua" w:cs="Book Antiqua"/>
        </w:rPr>
        <w:t xml:space="preserve"> </w:t>
      </w:r>
      <w:r w:rsidRPr="008B18C4">
        <w:rPr>
          <w:rFonts w:ascii="Book Antiqua" w:hAnsi="Book Antiqua" w:cs="Book Antiqua"/>
        </w:rPr>
        <w:t>Monash</w:t>
      </w:r>
      <w:r w:rsidR="00221BA4">
        <w:rPr>
          <w:rFonts w:ascii="Book Antiqua" w:hAnsi="Book Antiqua" w:cs="Book Antiqua"/>
        </w:rPr>
        <w:t xml:space="preserve"> </w:t>
      </w:r>
      <w:r w:rsidRPr="008B18C4">
        <w:rPr>
          <w:rFonts w:ascii="Book Antiqua" w:hAnsi="Book Antiqua" w:cs="Book Antiqua"/>
        </w:rPr>
        <w:t>University,</w:t>
      </w:r>
      <w:r w:rsidR="00221BA4">
        <w:rPr>
          <w:rFonts w:ascii="Book Antiqua" w:hAnsi="Book Antiqua" w:cs="Book Antiqua"/>
        </w:rPr>
        <w:t xml:space="preserve"> </w:t>
      </w:r>
      <w:r w:rsidRPr="008B18C4">
        <w:rPr>
          <w:rFonts w:ascii="Book Antiqua" w:hAnsi="Book Antiqua" w:cs="Book Antiqua"/>
        </w:rPr>
        <w:t>Box</w:t>
      </w:r>
      <w:r w:rsidR="00221BA4">
        <w:rPr>
          <w:rFonts w:ascii="Book Antiqua" w:hAnsi="Book Antiqua" w:cs="Book Antiqua"/>
        </w:rPr>
        <w:t xml:space="preserve"> </w:t>
      </w:r>
      <w:r w:rsidRPr="008B18C4">
        <w:rPr>
          <w:rFonts w:ascii="Book Antiqua" w:hAnsi="Book Antiqua" w:cs="Book Antiqua"/>
        </w:rPr>
        <w:t>Hill</w:t>
      </w:r>
      <w:r w:rsidR="00221BA4">
        <w:rPr>
          <w:rFonts w:ascii="Book Antiqua" w:hAnsi="Book Antiqua" w:cs="Book Antiqua"/>
        </w:rPr>
        <w:t xml:space="preserve"> </w:t>
      </w:r>
      <w:r w:rsidRPr="008B18C4">
        <w:rPr>
          <w:rFonts w:ascii="Book Antiqua" w:hAnsi="Book Antiqua" w:cs="Book Antiqua"/>
        </w:rPr>
        <w:t>3128,</w:t>
      </w:r>
      <w:r w:rsidR="00221BA4">
        <w:rPr>
          <w:rFonts w:ascii="Book Antiqua" w:hAnsi="Book Antiqua" w:cs="Book Antiqua"/>
        </w:rPr>
        <w:t xml:space="preserve"> </w:t>
      </w:r>
      <w:r w:rsidR="00074AA5" w:rsidRPr="00D43612">
        <w:rPr>
          <w:rFonts w:ascii="Book Antiqua" w:eastAsia="Book Antiqua" w:hAnsi="Book Antiqua" w:cs="Book Antiqua"/>
          <w:color w:val="000000"/>
        </w:rPr>
        <w:t>Victoria,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8B18C4">
        <w:rPr>
          <w:rFonts w:ascii="Book Antiqua" w:hAnsi="Book Antiqua" w:cs="Book Antiqua"/>
        </w:rPr>
        <w:t>Australia</w:t>
      </w:r>
    </w:p>
    <w:p w14:paraId="3FD4CDB3" w14:textId="77777777" w:rsidR="008B18C4" w:rsidRPr="00D43612" w:rsidRDefault="008B18C4">
      <w:pPr>
        <w:spacing w:line="360" w:lineRule="auto"/>
        <w:jc w:val="both"/>
        <w:rPr>
          <w:rFonts w:ascii="Book Antiqua" w:hAnsi="Book Antiqua" w:cs="Book Antiqua"/>
        </w:rPr>
      </w:pPr>
    </w:p>
    <w:p w14:paraId="051AAFCE" w14:textId="51BF5436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Bohra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performed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acquisition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data,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interpretation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data,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drafting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Rizvi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362AC"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QA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questionnaires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acquisition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data;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Keung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782E06"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YY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acquisition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data;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Vasudevan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revision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21A0F"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v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Langenberg</w:t>
      </w:r>
      <w:proofErr w:type="spellEnd"/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DR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concept,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revision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version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6BD729A8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3865F83C" w14:textId="3737964B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Anuj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Bohra,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b/>
          <w:bCs/>
          <w:color w:val="000000"/>
        </w:rPr>
        <w:t>BMed</w:t>
      </w:r>
      <w:proofErr w:type="spellEnd"/>
      <w:r w:rsidRPr="00D43612">
        <w:rPr>
          <w:rFonts w:ascii="Book Antiqua" w:eastAsia="Book Antiqua" w:hAnsi="Book Antiqua" w:cs="Book Antiqua"/>
          <w:b/>
          <w:bCs/>
          <w:color w:val="000000"/>
        </w:rPr>
        <w:t>,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Department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Gastroenterology,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Eastern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Health,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West,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8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Arnold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Street,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Box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Hill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3128,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Victoria,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Australia.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anujbohra@hotmail.com</w:t>
      </w:r>
    </w:p>
    <w:p w14:paraId="3AF0E658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46C1A1EC" w14:textId="5686BCD2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28,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2020</w:t>
      </w:r>
    </w:p>
    <w:p w14:paraId="0D6DC06A" w14:textId="58924C7C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August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10,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2020</w:t>
      </w:r>
    </w:p>
    <w:p w14:paraId="467B68A4" w14:textId="1391730F" w:rsidR="006767EC" w:rsidRPr="00994689" w:rsidRDefault="00B416D1" w:rsidP="00994689">
      <w:pPr>
        <w:snapToGrid w:val="0"/>
        <w:spacing w:line="360" w:lineRule="auto"/>
        <w:rPr>
          <w:rFonts w:ascii="Book Antiqua" w:eastAsiaTheme="minorEastAsia" w:hAnsi="Book Antiqua" w:cs="Arial" w:hint="eastAsia"/>
          <w:color w:val="000000" w:themeColor="text1"/>
          <w:shd w:val="clear" w:color="auto" w:fill="FFFFFF"/>
          <w:lang w:eastAsia="zh-CN"/>
        </w:rPr>
      </w:pPr>
      <w:r w:rsidRPr="00D43612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94689">
        <w:rPr>
          <w:rFonts w:ascii="Book Antiqua" w:hAnsi="Book Antiqua" w:cs="Arial"/>
          <w:color w:val="000000" w:themeColor="text1"/>
          <w:shd w:val="clear" w:color="auto" w:fill="FFFFFF"/>
        </w:rPr>
        <w:t>September 5, 2020</w:t>
      </w:r>
    </w:p>
    <w:p w14:paraId="076A3605" w14:textId="6E2E9B40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0A71A83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  <w:sectPr w:rsidR="006767EC" w:rsidRPr="00D4361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B0CC02" w14:textId="77777777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A8F6051" w14:textId="77777777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BACKGROUND</w:t>
      </w:r>
    </w:p>
    <w:p w14:paraId="096EB302" w14:textId="272874A9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other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intravenous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biologic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increasingly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chronic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disorders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like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inflammatory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bowel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disease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(IBD).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attractive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solutions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address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resource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capacity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issues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Pr="00D43612">
        <w:rPr>
          <w:rFonts w:ascii="Book Antiqua" w:eastAsia="Book Antiqua" w:hAnsi="Book Antiqua" w:cs="Book Antiqua"/>
          <w:color w:val="000000"/>
        </w:rPr>
        <w:t>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yet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reportedly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occur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up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25%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IBD,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even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manufacturers’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recommended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duration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h.</w:t>
      </w:r>
    </w:p>
    <w:p w14:paraId="76D61450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0DD630EF" w14:textId="77777777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AIM</w:t>
      </w:r>
    </w:p>
    <w:p w14:paraId="6D1FFBA4" w14:textId="5D5DDC01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evaluate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safety,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satisfaction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transitioning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hospital-based,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30-min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infusions.</w:t>
      </w:r>
    </w:p>
    <w:p w14:paraId="7F05B2F8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18AFBF9E" w14:textId="77777777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METHODS</w:t>
      </w:r>
    </w:p>
    <w:p w14:paraId="2956DD0D" w14:textId="2EE2FACB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All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receiving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IBD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between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2014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2017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(39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D43612">
        <w:rPr>
          <w:rFonts w:ascii="Book Antiqua" w:eastAsia="Book Antiqua" w:hAnsi="Book Antiqua" w:cs="Book Antiqua"/>
          <w:color w:val="000000"/>
        </w:rPr>
        <w:t>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compared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those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received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two-hour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IFX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between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2005-2013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(96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D43612">
        <w:rPr>
          <w:rFonts w:ascii="Book Antiqua" w:eastAsia="Book Antiqua" w:hAnsi="Book Antiqua" w:cs="Book Antiqua"/>
          <w:color w:val="000000"/>
        </w:rPr>
        <w:t>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single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IBD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D43612">
        <w:rPr>
          <w:rFonts w:ascii="Book Antiqua" w:eastAsia="Book Antiqua" w:hAnsi="Book Antiqua" w:cs="Book Antiqua"/>
          <w:color w:val="000000"/>
        </w:rPr>
        <w:t>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Data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(per-infusion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per-individual)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including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adverse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drug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(ADR),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duration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needle-departure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time)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other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clinical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data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extracted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electronic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medical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records.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Multivariable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logistical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regression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analysis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assessed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factors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potentially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associated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increased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risk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primary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outcome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safety</w:t>
      </w:r>
      <w:r w:rsidR="00221BA4">
        <w:rPr>
          <w:rFonts w:ascii="Book Antiqua" w:eastAsia="Book Antiqua" w:hAnsi="Book Antiqua" w:cs="Book Antiqua"/>
          <w:color w:val="000000"/>
        </w:rPr>
        <w:t xml:space="preserve"> [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relative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risk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(RR)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ADR</w:t>
      </w:r>
      <w:r w:rsidR="00221BA4">
        <w:rPr>
          <w:rFonts w:ascii="Book Antiqua" w:eastAsia="Book Antiqua" w:hAnsi="Book Antiqua" w:cs="Book Antiqua"/>
          <w:color w:val="000000"/>
        </w:rPr>
        <w:t xml:space="preserve">]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(1)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30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(both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hospital-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Also,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relative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satisfaction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productivity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evaluated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recipients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transitioned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infusions.</w:t>
      </w:r>
    </w:p>
    <w:p w14:paraId="046B0E99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1A1BB304" w14:textId="77777777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RESULTS</w:t>
      </w:r>
    </w:p>
    <w:p w14:paraId="62FF9BF1" w14:textId="516F4C89" w:rsidR="006767EC" w:rsidRPr="00D43612" w:rsidRDefault="00221BA4" w:rsidP="00221BA4">
      <w:pPr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 xml:space="preserve">Of </w:t>
      </w:r>
      <w:r w:rsidR="00B416D1" w:rsidRPr="00D43612">
        <w:rPr>
          <w:rFonts w:ascii="Book Antiqua" w:eastAsia="Book Antiqua" w:hAnsi="Book Antiqua" w:cs="Book Antiqua"/>
          <w:color w:val="000000"/>
        </w:rPr>
        <w:t>129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who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received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1461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rapid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IFX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infusions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(2014-2017)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compared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169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who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received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2214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standard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IFX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infusions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(2005-2013).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Within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rapid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cohort,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(42.6%)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males,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median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age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year</w:t>
      </w:r>
      <w:r w:rsidR="00421A0F" w:rsidRPr="00D43612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(range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18,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86),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114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(84%)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had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Crohn’s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(CD)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median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duration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year</w:t>
      </w:r>
      <w:r w:rsidR="00421A0F" w:rsidRPr="00D43612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(0,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36).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Median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needle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departure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lastRenderedPageBreak/>
        <w:t>time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higher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standard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rapid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protocol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group,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108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(70,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253)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i/>
          <w:iCs/>
          <w:color w:val="000000"/>
        </w:rPr>
        <w:t>vs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(33,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90)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min,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&lt;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0.001),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per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infusion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cost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$AUD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107.50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i/>
          <w:iCs/>
          <w:color w:val="000000"/>
        </w:rPr>
        <w:t>vs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$49.77</w:t>
      </w:r>
      <w:r w:rsidR="00D23573" w:rsidRPr="00D43612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(both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&lt;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0.001).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There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difference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median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infusion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duration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costs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between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rapid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home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i/>
          <w:iCs/>
          <w:color w:val="000000"/>
        </w:rPr>
        <w:t>vs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hospital-based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infusions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(</w:t>
      </w:r>
      <w:r w:rsidR="00B416D1" w:rsidRPr="00D43612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=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0.21).</w:t>
      </w:r>
      <w:r>
        <w:rPr>
          <w:rFonts w:ascii="Book Antiqua" w:hAnsi="Book Antiqua" w:cs="Book Antiqua" w:hint="eastAsia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rapid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infliximab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cohort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had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ADR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compared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standard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infliximab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recipients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(RR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0.55%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i/>
          <w:iCs/>
          <w:color w:val="000000"/>
        </w:rPr>
        <w:t>vs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1.04%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respectively),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hence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higher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likelihood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ADR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standard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compared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rapid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infusions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[RR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3.0,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95%CI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(1.2,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7.7),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=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0.02].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ADRs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observed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405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rapid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home-based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infusions.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lower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E3650" w:rsidRPr="00FE3650">
        <w:rPr>
          <w:rFonts w:ascii="Book Antiqua" w:eastAsia="Book Antiqua" w:hAnsi="Book Antiqua" w:cs="Book Antiqua"/>
          <w:color w:val="000000"/>
        </w:rPr>
        <w:t>body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E3650" w:rsidRPr="00FE3650">
        <w:rPr>
          <w:rFonts w:ascii="Book Antiqua" w:eastAsia="Book Antiqua" w:hAnsi="Book Antiqua" w:cs="Book Antiqua"/>
          <w:color w:val="000000"/>
        </w:rPr>
        <w:t>mass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E3650" w:rsidRPr="00FE3650">
        <w:rPr>
          <w:rFonts w:ascii="Book Antiqua" w:eastAsia="Book Antiqua" w:hAnsi="Book Antiqua" w:cs="Book Antiqua"/>
          <w:color w:val="000000"/>
        </w:rPr>
        <w:t>index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(&lt;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kg/m</w:t>
      </w:r>
      <w:r w:rsidR="00B416D1" w:rsidRPr="00D4361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416D1" w:rsidRPr="00D43612">
        <w:rPr>
          <w:rFonts w:ascii="Book Antiqua" w:eastAsia="Book Antiqua" w:hAnsi="Book Antiqua" w:cs="Book Antiqua"/>
          <w:color w:val="000000"/>
        </w:rPr>
        <w:t>),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presence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more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extra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manifestations,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longer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duration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(&gt;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year</w:t>
      </w:r>
      <w:r w:rsidR="00421A0F" w:rsidRPr="00D43612">
        <w:rPr>
          <w:rFonts w:ascii="Book Antiqua" w:eastAsia="Book Antiqua" w:hAnsi="Book Antiqua" w:cs="Book Antiqua"/>
          <w:color w:val="000000"/>
        </w:rPr>
        <w:t>s</w:t>
      </w:r>
      <w:r w:rsidR="00B416D1" w:rsidRPr="00D43612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previous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exposure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another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biologic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each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independently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higher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likelihood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reaction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(s)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rapid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infusions.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(100%)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survey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respondents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preferred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rapid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i/>
          <w:iCs/>
          <w:color w:val="000000"/>
        </w:rPr>
        <w:t>vs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standard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infusions,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however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within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rapid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infusion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recipients,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61.3%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found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home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based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infusions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more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inconvenient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hospital-based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infusions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despite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median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per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week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missed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paid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work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self-reported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loss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work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productivity.</w:t>
      </w: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030E5D06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591354F1" w14:textId="77777777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CONCLUSION</w:t>
      </w:r>
    </w:p>
    <w:p w14:paraId="55AE905F" w14:textId="55F7A596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Transitioning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appears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very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significant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benefit,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satisfaction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avails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provision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efficient,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IBD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worldwide.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</w:p>
    <w:p w14:paraId="24E56FCB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10FE8C13" w14:textId="46F3576E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Inflammatory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bowel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disease;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Infliximab;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Safety;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Cost;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Therapy;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Drug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</w:t>
      </w:r>
    </w:p>
    <w:p w14:paraId="105079C4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7A5C04E7" w14:textId="27EB752A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Bohra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Rizvi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QAA,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Keung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CYY,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Vasudevan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van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Langenberg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DR.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Transitioning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inflammatory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bowel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disease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hospital-based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infliximab: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B336AF">
        <w:rPr>
          <w:rFonts w:ascii="Book Antiqua" w:eastAsia="Book Antiqua" w:hAnsi="Book Antiqua" w:cs="Book Antiqua"/>
          <w:caps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stepwise,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patient-orientated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process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towards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sustainability.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21BA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J</w:t>
      </w:r>
      <w:r w:rsidR="00221BA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2020;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press</w:t>
      </w:r>
    </w:p>
    <w:p w14:paraId="373514AB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0A66BC9D" w14:textId="51C737A4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potential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avenue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address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overburdened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Pr="00D43612">
        <w:rPr>
          <w:rFonts w:ascii="Book Antiqua" w:eastAsia="Book Antiqua" w:hAnsi="Book Antiqua" w:cs="Book Antiqua"/>
          <w:color w:val="000000"/>
        </w:rPr>
        <w:t>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yet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enhance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convenience.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However,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depends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more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minimal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risk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increased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provides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safety-centric,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how-to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guide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transitioning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2-h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hospital-based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30-min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additional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layer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provided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careful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selection;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found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lower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FE3650" w:rsidRPr="00D43612">
        <w:rPr>
          <w:rFonts w:ascii="Book Antiqua" w:hAnsi="Book Antiqua" w:cs="Book Antiqua"/>
        </w:rPr>
        <w:t>body</w:t>
      </w:r>
      <w:r w:rsidR="00221BA4">
        <w:rPr>
          <w:rFonts w:ascii="Book Antiqua" w:hAnsi="Book Antiqua" w:cs="Book Antiqua"/>
        </w:rPr>
        <w:t xml:space="preserve"> </w:t>
      </w:r>
      <w:r w:rsidR="00FE3650" w:rsidRPr="00D43612">
        <w:rPr>
          <w:rFonts w:ascii="Book Antiqua" w:hAnsi="Book Antiqua" w:cs="Book Antiqua"/>
        </w:rPr>
        <w:t>mass</w:t>
      </w:r>
      <w:r w:rsidR="00221BA4">
        <w:rPr>
          <w:rFonts w:ascii="Book Antiqua" w:hAnsi="Book Antiqua" w:cs="Book Antiqua"/>
        </w:rPr>
        <w:t xml:space="preserve"> </w:t>
      </w:r>
      <w:r w:rsidR="00FE3650" w:rsidRPr="00D43612">
        <w:rPr>
          <w:rFonts w:ascii="Book Antiqua" w:hAnsi="Book Antiqua" w:cs="Book Antiqua"/>
        </w:rPr>
        <w:t>index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(&lt;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22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kg/m</w:t>
      </w:r>
      <w:r w:rsidRPr="00D4361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3612">
        <w:rPr>
          <w:rFonts w:ascii="Book Antiqua" w:eastAsia="Book Antiqua" w:hAnsi="Book Antiqua" w:cs="Book Antiqua"/>
          <w:color w:val="000000"/>
        </w:rPr>
        <w:t>),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presence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extraintestinal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manifestation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(s),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longer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disease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duration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(&gt;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year</w:t>
      </w:r>
      <w:r w:rsidR="00835DD0" w:rsidRPr="00D43612">
        <w:rPr>
          <w:rFonts w:ascii="Book Antiqua" w:eastAsia="Book Antiqua" w:hAnsi="Book Antiqua" w:cs="Book Antiqua"/>
          <w:color w:val="000000"/>
        </w:rPr>
        <w:t>s</w:t>
      </w:r>
      <w:r w:rsidRPr="00D43612">
        <w:rPr>
          <w:rFonts w:ascii="Book Antiqua" w:eastAsia="Book Antiqua" w:hAnsi="Book Antiqua" w:cs="Book Antiqua"/>
          <w:color w:val="000000"/>
        </w:rPr>
        <w:t>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previous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biologic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exposure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associated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increased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likelihood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(s)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maintenance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infusions.</w:t>
      </w:r>
    </w:p>
    <w:p w14:paraId="3D4B1743" w14:textId="77777777" w:rsidR="00221BA4" w:rsidRDefault="00221BA4">
      <w:pPr>
        <w:spacing w:line="360" w:lineRule="auto"/>
        <w:jc w:val="both"/>
        <w:rPr>
          <w:rFonts w:ascii="Book Antiqua" w:hAnsi="Book Antiqua" w:cs="Book Antiqua"/>
        </w:rPr>
        <w:sectPr w:rsidR="00221B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54DEFE" w14:textId="77777777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71439E4" w14:textId="04C83FDB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biologic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monoclonal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IgG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antibody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against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necrosis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alpha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(anti-TNF).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highly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effective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induction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maintenance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treatment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multiple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immune-mediated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inflammatory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disorders,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including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inflammatory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bowel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diseases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(IBD</w:t>
      </w:r>
      <w:proofErr w:type="gramStart"/>
      <w:r w:rsidRPr="00D43612">
        <w:rPr>
          <w:rFonts w:ascii="Book Antiqua" w:eastAsia="Book Antiqua" w:hAnsi="Book Antiqua" w:cs="Book Antiqua"/>
          <w:color w:val="000000"/>
        </w:rPr>
        <w:t>)</w:t>
      </w:r>
      <w:r w:rsidRPr="00D436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43612"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Pr="00D43612">
        <w:rPr>
          <w:rFonts w:ascii="Book Antiqua" w:eastAsia="Book Antiqua" w:hAnsi="Book Antiqua" w:cs="Book Antiqua"/>
          <w:color w:val="000000"/>
        </w:rPr>
        <w:t>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Recently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Australia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many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countries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worldwide,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accessibility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indications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IBD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increased,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alongside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increasing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trend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accelerated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doses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shorter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dose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intervals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regain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and/or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achieve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remission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certain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disease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43612">
        <w:rPr>
          <w:rFonts w:ascii="Book Antiqua" w:eastAsia="Book Antiqua" w:hAnsi="Book Antiqua" w:cs="Book Antiqua"/>
          <w:color w:val="000000"/>
        </w:rPr>
        <w:t>subtypes</w:t>
      </w:r>
      <w:r w:rsidRPr="00D436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43612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D43612">
        <w:rPr>
          <w:rFonts w:ascii="Book Antiqua" w:eastAsia="Book Antiqua" w:hAnsi="Book Antiqua" w:cs="Book Antiqua"/>
          <w:color w:val="000000"/>
        </w:rPr>
        <w:t>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Hence</w:t>
      </w:r>
      <w:r w:rsidR="00C23A5E">
        <w:rPr>
          <w:rFonts w:ascii="Book Antiqua" w:eastAsia="Book Antiqua" w:hAnsi="Book Antiqua" w:cs="Book Antiqua"/>
          <w:color w:val="000000"/>
        </w:rPr>
        <w:t>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despite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growing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number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biologic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options,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many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which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subcutaneously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administered,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still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increased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demand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over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years.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maintenance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therapy,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other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biologic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agents)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often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prescribed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long-term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43612">
        <w:rPr>
          <w:rFonts w:ascii="Book Antiqua" w:eastAsia="Book Antiqua" w:hAnsi="Book Antiqua" w:cs="Book Antiqua"/>
          <w:color w:val="000000"/>
        </w:rPr>
        <w:t>basis</w:t>
      </w:r>
      <w:r w:rsidRPr="00D436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43612">
        <w:rPr>
          <w:rFonts w:ascii="Book Antiqua" w:eastAsia="Book Antiqua" w:hAnsi="Book Antiqua" w:cs="Book Antiqua"/>
          <w:color w:val="000000"/>
          <w:vertAlign w:val="superscript"/>
        </w:rPr>
        <w:t>6-8]</w:t>
      </w:r>
      <w:r w:rsidRPr="00D43612">
        <w:rPr>
          <w:rFonts w:ascii="Book Antiqua" w:eastAsia="Book Antiqua" w:hAnsi="Book Antiqua" w:cs="Book Antiqua"/>
          <w:color w:val="000000"/>
        </w:rPr>
        <w:t>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Allocation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funding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resource-intensive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always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priority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hospital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administrators,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given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traditional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hospital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model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typically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focussed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acute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inpatient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resulting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continual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pressure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already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near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capacity.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Additionally,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treatment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expensive,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some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studies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suggesting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administering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approximately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9%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12%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total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43612">
        <w:rPr>
          <w:rFonts w:ascii="Book Antiqua" w:eastAsia="Book Antiqua" w:hAnsi="Book Antiqua" w:cs="Book Antiqua"/>
          <w:color w:val="000000"/>
        </w:rPr>
        <w:t>treatment</w:t>
      </w:r>
      <w:r w:rsidRPr="00D436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43612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D43612">
        <w:rPr>
          <w:rFonts w:ascii="Book Antiqua" w:eastAsia="Book Antiqua" w:hAnsi="Book Antiqua" w:cs="Book Antiqua"/>
          <w:color w:val="000000"/>
        </w:rPr>
        <w:t>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</w:p>
    <w:p w14:paraId="6DFDC56E" w14:textId="26CB416B" w:rsidR="006767EC" w:rsidRPr="00D43612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effort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address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capacity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issues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shortening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time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potential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solution.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typically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30-60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835DD0" w:rsidRPr="00D43612">
        <w:rPr>
          <w:rFonts w:ascii="Book Antiqua" w:eastAsia="Book Antiqua" w:hAnsi="Book Antiqua" w:cs="Book Antiqua"/>
          <w:color w:val="000000"/>
        </w:rPr>
        <w:t>min</w:t>
      </w:r>
      <w:r w:rsidRPr="00D43612">
        <w:rPr>
          <w:rFonts w:ascii="Book Antiqua" w:eastAsia="Book Antiqua" w:hAnsi="Book Antiqua" w:cs="Book Antiqua"/>
          <w:color w:val="000000"/>
        </w:rPr>
        <w:t>’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duration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previously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identified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IBD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other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indications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potential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increased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capacity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yet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reduce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plus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apparently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improve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43612">
        <w:rPr>
          <w:rFonts w:ascii="Book Antiqua" w:eastAsia="Book Antiqua" w:hAnsi="Book Antiqua" w:cs="Book Antiqua"/>
          <w:color w:val="000000"/>
        </w:rPr>
        <w:t>satisfaction</w:t>
      </w:r>
      <w:r w:rsidRPr="00D436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43612">
        <w:rPr>
          <w:rFonts w:ascii="Book Antiqua" w:eastAsia="Book Antiqua" w:hAnsi="Book Antiqua" w:cs="Book Antiqua"/>
          <w:color w:val="000000"/>
          <w:vertAlign w:val="superscript"/>
        </w:rPr>
        <w:t>9,11]</w:t>
      </w:r>
      <w:r w:rsidRPr="00D43612">
        <w:rPr>
          <w:rFonts w:ascii="Book Antiqua" w:eastAsia="Book Antiqua" w:hAnsi="Book Antiqua" w:cs="Book Antiqua"/>
          <w:color w:val="000000"/>
        </w:rPr>
        <w:t>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Despite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further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exponential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growth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therapies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various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chronic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diseases,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improving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efficiencies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does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appear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sufficient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still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imperative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explore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further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alternatives.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</w:p>
    <w:p w14:paraId="3B8BF27D" w14:textId="64E407EB" w:rsidR="006767EC" w:rsidRPr="00D43612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therefore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logical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extension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hospital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infusion-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potentially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appealing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both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health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providers.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many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drug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therapies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demonstrated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cost-saving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many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jurisdictions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43612">
        <w:rPr>
          <w:rFonts w:ascii="Book Antiqua" w:eastAsia="Book Antiqua" w:hAnsi="Book Antiqua" w:cs="Book Antiqua"/>
          <w:color w:val="000000"/>
        </w:rPr>
        <w:t>worldwide</w:t>
      </w:r>
      <w:r w:rsidRPr="00D436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43612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D43612">
        <w:rPr>
          <w:rFonts w:ascii="Book Antiqua" w:eastAsia="Book Antiqua" w:hAnsi="Book Antiqua" w:cs="Book Antiqua"/>
          <w:color w:val="000000"/>
        </w:rPr>
        <w:t>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However,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lastRenderedPageBreak/>
        <w:t>poses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challenge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given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relatively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high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rate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including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anaphylaxis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anaphylactoid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43612">
        <w:rPr>
          <w:rFonts w:ascii="Book Antiqua" w:eastAsia="Book Antiqua" w:hAnsi="Book Antiqua" w:cs="Book Antiqua"/>
          <w:color w:val="000000"/>
        </w:rPr>
        <w:t>reactions</w:t>
      </w:r>
      <w:r w:rsidRPr="00D436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43612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Pr="00D43612">
        <w:rPr>
          <w:rFonts w:ascii="Book Antiqua" w:eastAsia="Book Antiqua" w:hAnsi="Book Antiqua" w:cs="Book Antiqua"/>
          <w:color w:val="000000"/>
        </w:rPr>
        <w:t>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need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dilute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refrigerate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medication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two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hours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required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hour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observation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period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thereafter</w:t>
      </w:r>
      <w:r w:rsidRPr="00D43612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D43612">
        <w:rPr>
          <w:rFonts w:ascii="Book Antiqua" w:eastAsia="Book Antiqua" w:hAnsi="Book Antiqua" w:cs="Book Antiqua"/>
          <w:color w:val="000000"/>
        </w:rPr>
        <w:t>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Some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problems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overcome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allow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their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example,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initial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therapy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completed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hospital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monitor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subsequent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administered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currently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undertaken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our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hospital.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approach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yet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comprehensively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evaluated.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Therefore,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aimed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evaluate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transition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hospital-based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protocolised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manner,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while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also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assessing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efficiency,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savings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satisfaction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process</w:t>
      </w:r>
      <w:r w:rsidR="00C965D3">
        <w:rPr>
          <w:rFonts w:ascii="Book Antiqua" w:eastAsia="Book Antiqua" w:hAnsi="Book Antiqua" w:cs="Book Antiqua"/>
          <w:color w:val="000000"/>
        </w:rPr>
        <w:t>.</w:t>
      </w:r>
    </w:p>
    <w:p w14:paraId="02E2840C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46F083A5" w14:textId="7CD1ECFB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221BA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4361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221BA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43612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3F72F22" w14:textId="5AC5F9FC" w:rsidR="007F7AD4" w:rsidRPr="00D43612" w:rsidRDefault="00B416D1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Patient</w:t>
      </w:r>
      <w:r w:rsidR="00221BA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selection</w:t>
      </w:r>
      <w:r w:rsidR="00221BA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221BA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data</w:t>
      </w:r>
      <w:r w:rsidR="00221BA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collection</w:t>
      </w:r>
    </w:p>
    <w:p w14:paraId="0CD7DBD5" w14:textId="7AF0B9E3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All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consecutive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confirmed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IBD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attending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two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Australian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tertiary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inflammatory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bowel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disease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over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12-year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period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January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2005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March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2017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prescribed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commenced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identified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IBD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database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and/or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pharmacy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dispensing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records,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prospectively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followed.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receiving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example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acute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severe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colitis)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excluded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analysis.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underwent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dosing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5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kilogram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body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weight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induction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week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0,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6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followed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maintenance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dosing/dosage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interval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altered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treating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clinician’s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discretion,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predominantly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address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secondary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loss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response.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</w:p>
    <w:p w14:paraId="501941DC" w14:textId="11467839" w:rsidR="006767EC" w:rsidRDefault="00B416D1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D43612">
        <w:rPr>
          <w:rFonts w:ascii="Book Antiqua" w:eastAsia="Book Antiqua" w:hAnsi="Book Antiqua" w:cs="Book Antiqua"/>
          <w:color w:val="000000"/>
        </w:rPr>
        <w:t>Data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including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baseline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demographic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data,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IBD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data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including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disease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distribution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duration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complications,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therapeutic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data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including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adverse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drug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(ADRs)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location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administration,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extracted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medical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records.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severity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43612">
        <w:rPr>
          <w:rFonts w:ascii="Book Antiqua" w:eastAsia="Book Antiqua" w:hAnsi="Book Antiqua" w:cs="Book Antiqua"/>
          <w:color w:val="000000"/>
        </w:rPr>
        <w:t>were</w:t>
      </w:r>
      <w:proofErr w:type="gram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graded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retrospectively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according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Common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Toxicity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Criteria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(CTC)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version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2.0</w:t>
      </w:r>
      <w:r w:rsidRPr="00D43612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4,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CTC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score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1-2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graded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arbitrarily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defined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‘mild’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3-4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‘severe’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respectively.</w:t>
      </w:r>
    </w:p>
    <w:p w14:paraId="577ED702" w14:textId="77777777" w:rsidR="00221BA4" w:rsidRPr="00D43612" w:rsidRDefault="00221BA4" w:rsidP="00221BA4">
      <w:pPr>
        <w:spacing w:line="360" w:lineRule="auto"/>
        <w:jc w:val="both"/>
        <w:rPr>
          <w:rFonts w:ascii="Book Antiqua" w:hAnsi="Book Antiqua" w:cs="Book Antiqua"/>
        </w:rPr>
      </w:pPr>
    </w:p>
    <w:p w14:paraId="740079B3" w14:textId="25F55E96" w:rsidR="006767EC" w:rsidRDefault="00B416D1">
      <w:pPr>
        <w:spacing w:line="360" w:lineRule="auto"/>
        <w:ind w:firstLineChars="100" w:firstLine="241"/>
        <w:jc w:val="both"/>
        <w:rPr>
          <w:rFonts w:ascii="Book Antiqua" w:eastAsia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bCs/>
        </w:rPr>
        <w:t>Inclusion</w:t>
      </w:r>
      <w:r w:rsidR="00221BA4">
        <w:rPr>
          <w:rFonts w:ascii="Book Antiqua" w:eastAsia="Book Antiqua" w:hAnsi="Book Antiqua" w:cs="Book Antiqua"/>
          <w:b/>
          <w:bCs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</w:rPr>
        <w:t>criteria:</w:t>
      </w:r>
      <w:r w:rsidR="00221BA4">
        <w:rPr>
          <w:rFonts w:ascii="Book Antiqua" w:eastAsia="Book Antiqua" w:hAnsi="Book Antiqua" w:cs="Book Antiqua"/>
          <w:b/>
          <w:bCs/>
        </w:rPr>
        <w:t xml:space="preserve"> </w:t>
      </w:r>
      <w:r w:rsidRPr="00D43612">
        <w:rPr>
          <w:rFonts w:ascii="Book Antiqua" w:eastAsia="Book Antiqua" w:hAnsi="Book Antiqua" w:cs="Book Antiqua"/>
        </w:rPr>
        <w:t>(1)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  <w:caps/>
        </w:rPr>
        <w:t>a</w:t>
      </w:r>
      <w:r w:rsidRPr="00D43612">
        <w:rPr>
          <w:rFonts w:ascii="Book Antiqua" w:eastAsia="Book Antiqua" w:hAnsi="Book Antiqua" w:cs="Book Antiqua"/>
        </w:rPr>
        <w:t>ged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18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and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above</w:t>
      </w:r>
      <w:r w:rsidR="007F7AD4" w:rsidRPr="00D43612">
        <w:rPr>
          <w:rFonts w:ascii="Book Antiqua" w:eastAsia="Book Antiqua" w:hAnsi="Book Antiqua" w:cs="Book Antiqua"/>
        </w:rPr>
        <w:t>;</w:t>
      </w:r>
      <w:r w:rsidR="00221BA4">
        <w:rPr>
          <w:rFonts w:ascii="Book Antiqua" w:eastAsia="Book Antiqua" w:hAnsi="Book Antiqua" w:cs="Book Antiqua"/>
        </w:rPr>
        <w:t xml:space="preserve"> and </w:t>
      </w:r>
      <w:r w:rsidRPr="00D43612">
        <w:rPr>
          <w:rFonts w:ascii="Book Antiqua" w:eastAsia="Book Antiqua" w:hAnsi="Book Antiqua" w:cs="Book Antiqua"/>
        </w:rPr>
        <w:t>(2)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  <w:caps/>
        </w:rPr>
        <w:t>r</w:t>
      </w:r>
      <w:r w:rsidRPr="00D43612">
        <w:rPr>
          <w:rFonts w:ascii="Book Antiqua" w:eastAsia="Book Antiqua" w:hAnsi="Book Antiqua" w:cs="Book Antiqua"/>
        </w:rPr>
        <w:t>eceived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maintenance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therapy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infliximab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between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January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2005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and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March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2017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for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an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IBD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indication</w:t>
      </w:r>
      <w:r w:rsidR="007F7AD4" w:rsidRPr="00D43612">
        <w:rPr>
          <w:rFonts w:ascii="Book Antiqua" w:eastAsia="Book Antiqua" w:hAnsi="Book Antiqua" w:cs="Book Antiqua"/>
        </w:rPr>
        <w:t>.</w:t>
      </w:r>
    </w:p>
    <w:p w14:paraId="1914942F" w14:textId="77777777" w:rsidR="00221BA4" w:rsidRPr="00D43612" w:rsidRDefault="00221BA4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</w:p>
    <w:p w14:paraId="5149ADA1" w14:textId="5D3DAAE7" w:rsidR="006767EC" w:rsidRPr="00D43612" w:rsidRDefault="00B416D1">
      <w:pPr>
        <w:spacing w:line="360" w:lineRule="auto"/>
        <w:ind w:firstLineChars="100" w:firstLine="241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bCs/>
        </w:rPr>
        <w:t>Exclusion</w:t>
      </w:r>
      <w:r w:rsidR="00221BA4">
        <w:rPr>
          <w:rFonts w:ascii="Book Antiqua" w:eastAsia="Book Antiqua" w:hAnsi="Book Antiqua" w:cs="Book Antiqua"/>
          <w:b/>
          <w:bCs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</w:rPr>
        <w:t>criteria</w:t>
      </w:r>
      <w:r w:rsidR="007F7AD4" w:rsidRPr="00D43612">
        <w:rPr>
          <w:rFonts w:ascii="Book Antiqua" w:eastAsia="Book Antiqua" w:hAnsi="Book Antiqua" w:cs="Book Antiqua"/>
          <w:b/>
          <w:bCs/>
        </w:rPr>
        <w:t>:</w:t>
      </w:r>
      <w:r w:rsidR="00221BA4">
        <w:rPr>
          <w:rFonts w:ascii="Book Antiqua" w:eastAsia="Book Antiqua" w:hAnsi="Book Antiqua" w:cs="Book Antiqua"/>
          <w:b/>
          <w:bCs/>
        </w:rPr>
        <w:t xml:space="preserve"> </w:t>
      </w:r>
      <w:r w:rsidRPr="00D43612">
        <w:rPr>
          <w:rFonts w:ascii="Book Antiqua" w:eastAsia="Book Antiqua" w:hAnsi="Book Antiqua" w:cs="Book Antiqua"/>
        </w:rPr>
        <w:t>(1)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  <w:caps/>
        </w:rPr>
        <w:t>l</w:t>
      </w:r>
      <w:r w:rsidRPr="00D43612">
        <w:rPr>
          <w:rFonts w:ascii="Book Antiqua" w:eastAsia="Book Antiqua" w:hAnsi="Book Antiqua" w:cs="Book Antiqua"/>
        </w:rPr>
        <w:t>ess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than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age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18</w:t>
      </w:r>
      <w:r w:rsidR="007F7AD4" w:rsidRPr="00D43612">
        <w:rPr>
          <w:rFonts w:ascii="Book Antiqua" w:eastAsia="Book Antiqua" w:hAnsi="Book Antiqua" w:cs="Book Antiqua"/>
        </w:rPr>
        <w:t>;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(2)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  <w:caps/>
        </w:rPr>
        <w:t>r</w:t>
      </w:r>
      <w:r w:rsidRPr="00D43612">
        <w:rPr>
          <w:rFonts w:ascii="Book Antiqua" w:eastAsia="Book Antiqua" w:hAnsi="Book Antiqua" w:cs="Book Antiqua"/>
        </w:rPr>
        <w:t>eceived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infliximab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for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a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non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–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IBD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indication</w:t>
      </w:r>
      <w:r w:rsidR="007F7AD4" w:rsidRPr="00D43612">
        <w:rPr>
          <w:rFonts w:ascii="Book Antiqua" w:eastAsia="Book Antiqua" w:hAnsi="Book Antiqua" w:cs="Book Antiqua"/>
        </w:rPr>
        <w:t>;</w:t>
      </w:r>
      <w:r w:rsidR="00221BA4">
        <w:rPr>
          <w:rFonts w:ascii="Book Antiqua" w:eastAsia="Book Antiqua" w:hAnsi="Book Antiqua" w:cs="Book Antiqua"/>
        </w:rPr>
        <w:t xml:space="preserve"> </w:t>
      </w:r>
      <w:r w:rsidR="007F7AD4" w:rsidRPr="00D43612">
        <w:rPr>
          <w:rFonts w:ascii="Book Antiqua" w:eastAsia="Book Antiqua" w:hAnsi="Book Antiqua" w:cs="Book Antiqua"/>
        </w:rPr>
        <w:t>and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(3)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received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infliximab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as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an</w:t>
      </w:r>
      <w:r w:rsidR="00221BA4">
        <w:rPr>
          <w:rFonts w:ascii="Book Antiqua" w:eastAsia="Book Antiqua" w:hAnsi="Book Antiqua" w:cs="Book Antiqua"/>
        </w:rPr>
        <w:t xml:space="preserve"> </w:t>
      </w:r>
      <w:r w:rsidRPr="00D43612">
        <w:rPr>
          <w:rFonts w:ascii="Book Antiqua" w:eastAsia="Book Antiqua" w:hAnsi="Book Antiqua" w:cs="Book Antiqua"/>
        </w:rPr>
        <w:t>inpatient</w:t>
      </w:r>
      <w:r w:rsidR="007F7AD4" w:rsidRPr="00D43612">
        <w:rPr>
          <w:rFonts w:ascii="Book Antiqua" w:eastAsia="Book Antiqua" w:hAnsi="Book Antiqua" w:cs="Book Antiqua"/>
        </w:rPr>
        <w:t>.</w:t>
      </w:r>
    </w:p>
    <w:p w14:paraId="1296DF05" w14:textId="77777777" w:rsidR="006767EC" w:rsidRPr="00D43612" w:rsidRDefault="006767E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0F67B03" w14:textId="6A95F3B4" w:rsidR="00B44B1C" w:rsidRPr="00D43612" w:rsidRDefault="00B416D1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221BA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outcome</w:t>
      </w:r>
      <w:r w:rsidR="00221BA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measures</w:t>
      </w:r>
    </w:p>
    <w:p w14:paraId="4ADA04C5" w14:textId="513A6EF1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primary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outcome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measure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protocol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manufacturer’s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guidelines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reference,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compared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(1)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protocol</w:t>
      </w:r>
      <w:r w:rsidR="00221BA4">
        <w:rPr>
          <w:rFonts w:ascii="Book Antiqua" w:eastAsia="Book Antiqua" w:hAnsi="Book Antiqua" w:cs="Book Antiqua"/>
          <w:color w:val="000000"/>
        </w:rPr>
        <w:t xml:space="preserve">;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(2)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protocol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administered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service,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comparing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relative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incidence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serious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adverse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events.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Secondary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outcomes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assessed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included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relative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factors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associated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higher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risk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order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risk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stratify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prior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referral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infusions.</w:t>
      </w:r>
    </w:p>
    <w:p w14:paraId="28F5DBE0" w14:textId="437F201A" w:rsidR="006767EC" w:rsidRPr="00D43612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Initial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2-h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data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available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between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January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</w:t>
      </w:r>
      <w:r w:rsidR="00221BA4">
        <w:rPr>
          <w:rFonts w:ascii="Book Antiqua" w:eastAsia="Book Antiqua" w:hAnsi="Book Antiqua" w:cs="Book Antiqua"/>
          <w:color w:val="000000"/>
        </w:rPr>
        <w:t xml:space="preserve">, </w:t>
      </w:r>
      <w:r w:rsidRPr="00D43612">
        <w:rPr>
          <w:rFonts w:ascii="Book Antiqua" w:eastAsia="Book Antiqua" w:hAnsi="Book Antiqua" w:cs="Book Antiqua"/>
          <w:color w:val="000000"/>
        </w:rPr>
        <w:t>2005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December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31</w:t>
      </w:r>
      <w:r w:rsidR="00221BA4">
        <w:rPr>
          <w:rFonts w:ascii="Book Antiqua" w:eastAsia="Book Antiqua" w:hAnsi="Book Antiqua" w:cs="Book Antiqua"/>
          <w:color w:val="000000"/>
        </w:rPr>
        <w:t xml:space="preserve">, </w:t>
      </w:r>
      <w:r w:rsidRPr="00D43612">
        <w:rPr>
          <w:rFonts w:ascii="Book Antiqua" w:eastAsia="Book Antiqua" w:hAnsi="Book Antiqua" w:cs="Book Antiqua"/>
          <w:color w:val="000000"/>
        </w:rPr>
        <w:t>2013,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inclusive.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30-min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data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available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between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January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</w:t>
      </w:r>
      <w:r w:rsidR="00221BA4">
        <w:rPr>
          <w:rFonts w:ascii="Book Antiqua" w:eastAsia="Book Antiqua" w:hAnsi="Book Antiqua" w:cs="Book Antiqua"/>
          <w:color w:val="000000"/>
        </w:rPr>
        <w:t xml:space="preserve">, </w:t>
      </w:r>
      <w:r w:rsidRPr="00D43612">
        <w:rPr>
          <w:rFonts w:ascii="Book Antiqua" w:eastAsia="Book Antiqua" w:hAnsi="Book Antiqua" w:cs="Book Antiqua"/>
          <w:color w:val="000000"/>
        </w:rPr>
        <w:t>2014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March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31</w:t>
      </w:r>
      <w:r w:rsidR="00221BA4">
        <w:rPr>
          <w:rFonts w:ascii="Book Antiqua" w:eastAsia="Book Antiqua" w:hAnsi="Book Antiqua" w:cs="Book Antiqua"/>
          <w:color w:val="000000"/>
        </w:rPr>
        <w:t xml:space="preserve">, </w:t>
      </w:r>
      <w:r w:rsidRPr="00D43612">
        <w:rPr>
          <w:rFonts w:ascii="Book Antiqua" w:eastAsia="Book Antiqua" w:hAnsi="Book Antiqua" w:cs="Book Antiqua"/>
          <w:color w:val="000000"/>
        </w:rPr>
        <w:t>2017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inclusive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data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available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between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October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</w:t>
      </w:r>
      <w:r w:rsidR="00221BA4">
        <w:rPr>
          <w:rFonts w:ascii="Book Antiqua" w:eastAsia="Book Antiqua" w:hAnsi="Book Antiqua" w:cs="Book Antiqua"/>
          <w:color w:val="000000"/>
        </w:rPr>
        <w:t xml:space="preserve">, </w:t>
      </w:r>
      <w:r w:rsidRPr="00D43612">
        <w:rPr>
          <w:rFonts w:ascii="Book Antiqua" w:eastAsia="Book Antiqua" w:hAnsi="Book Antiqua" w:cs="Book Antiqua"/>
          <w:color w:val="000000"/>
        </w:rPr>
        <w:t>2017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December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31</w:t>
      </w:r>
      <w:r w:rsidR="00221BA4">
        <w:rPr>
          <w:rFonts w:ascii="Book Antiqua" w:eastAsia="Book Antiqua" w:hAnsi="Book Antiqua" w:cs="Book Antiqua"/>
          <w:color w:val="000000"/>
        </w:rPr>
        <w:t xml:space="preserve">, </w:t>
      </w:r>
      <w:r w:rsidRPr="00D43612">
        <w:rPr>
          <w:rFonts w:ascii="Book Antiqua" w:eastAsia="Book Antiqua" w:hAnsi="Book Antiqua" w:cs="Book Antiqua"/>
          <w:color w:val="000000"/>
        </w:rPr>
        <w:t>2019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inclusive.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each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case,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needle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departure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times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collected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each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time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spent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compared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between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groups.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</w:p>
    <w:p w14:paraId="7B00DFD6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6B980F2C" w14:textId="3285240A" w:rsidR="00B44B1C" w:rsidRPr="00D43612" w:rsidRDefault="00B416D1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Cost</w:t>
      </w:r>
      <w:r w:rsidR="00221BA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438B03B2" w14:textId="7EFF55EA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Moreover,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analysis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performed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delivery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comprising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staff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unit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time)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infusion-related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consumables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unit),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Total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time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duration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measured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time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cannula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insertion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patient’s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time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departure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D43612">
        <w:rPr>
          <w:rFonts w:ascii="Book Antiqua" w:eastAsia="Book Antiqua" w:hAnsi="Book Antiqua" w:cs="Book Antiqua"/>
          <w:color w:val="000000"/>
        </w:rPr>
        <w:t>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lastRenderedPageBreak/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time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nurse’s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departure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setting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221BA4">
        <w:rPr>
          <w:rFonts w:ascii="Book Antiqua" w:eastAsia="Book Antiqua" w:hAnsi="Book Antiqua" w:cs="Book Antiqua"/>
          <w:i/>
          <w:iCs/>
          <w:color w:val="000000"/>
        </w:rPr>
        <w:t>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needle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departure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time),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given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events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accurately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recorded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medical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records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</w:p>
    <w:p w14:paraId="47198F1E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3A94485E" w14:textId="49B18590" w:rsidR="00B44B1C" w:rsidRPr="00D43612" w:rsidRDefault="00B416D1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Satisfaction</w:t>
      </w:r>
      <w:r w:rsidR="00221BA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221BA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productivity</w:t>
      </w:r>
      <w:r w:rsidR="00221BA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survey</w:t>
      </w:r>
      <w:r w:rsidR="00221BA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relating</w:t>
      </w:r>
      <w:r w:rsidR="00221BA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to</w:t>
      </w:r>
      <w:r w:rsidR="00221BA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rapid/</w:t>
      </w:r>
      <w:r w:rsidR="00221BA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home-based</w:t>
      </w:r>
      <w:r w:rsidR="00221BA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infusions</w:t>
      </w:r>
    </w:p>
    <w:p w14:paraId="65A90926" w14:textId="6D1C25A7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transitioned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asked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complete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survey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comprising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items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assessing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their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satisfaction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regarding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compared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administered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D43612">
        <w:rPr>
          <w:rFonts w:ascii="Book Antiqua" w:eastAsia="Book Antiqua" w:hAnsi="Book Antiqua" w:cs="Book Antiqua"/>
          <w:color w:val="000000"/>
        </w:rPr>
        <w:t>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settings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(see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Appendix).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items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included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customised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feedback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qualitative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interviews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subgroup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(by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investigators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DvL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QaR</w:t>
      </w:r>
      <w:proofErr w:type="spellEnd"/>
      <w:r w:rsidRPr="00D43612">
        <w:rPr>
          <w:rFonts w:ascii="Book Antiqua" w:eastAsia="Book Antiqua" w:hAnsi="Book Antiqua" w:cs="Book Antiqua"/>
          <w:color w:val="000000"/>
        </w:rPr>
        <w:t>),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given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suitable,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previously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validated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surveys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found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literature.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Responses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each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item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recorded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across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numerical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scale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(most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negative)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5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(most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positive)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denoted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neutral.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Furthermore,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short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IBD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Questionnaire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sIBDQ</w:t>
      </w:r>
      <w:proofErr w:type="spellEnd"/>
      <w:r w:rsidRPr="00D43612">
        <w:rPr>
          <w:rFonts w:ascii="Book Antiqua" w:eastAsia="Book Antiqua" w:hAnsi="Book Antiqua" w:cs="Book Antiqua"/>
          <w:color w:val="000000"/>
        </w:rPr>
        <w:t>),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measure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concurrent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health-related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quality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life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Work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Productivity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Impairment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Questionnaire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(WPAI-IBD)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administered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examine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perceived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rapid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infliximab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infusions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(including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home-based)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domains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D4361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18]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cut-off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derived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Swart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221BA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D4361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8C1D5C" w:rsidRPr="00D4361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8C1D5C" w:rsidRPr="00D4361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19</w:t>
      </w:r>
      <w:r w:rsidR="008C1D5C" w:rsidRPr="008C1D5C">
        <w:rPr>
          <w:rFonts w:ascii="Book Antiqua" w:eastAsiaTheme="minorEastAsia" w:hAnsi="Book Antiqua" w:cs="Book Antiqua"/>
          <w:color w:val="000000"/>
          <w:shd w:val="clear" w:color="auto" w:fill="FFFFFF"/>
          <w:vertAlign w:val="superscript"/>
          <w:lang w:eastAsia="zh-CN"/>
        </w:rPr>
        <w:t>]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sIBDQ</w:t>
      </w:r>
      <w:proofErr w:type="spellEnd"/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greater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55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(total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70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indicating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excellent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life)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deemed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represent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‘satisfactory/normal</w:t>
      </w:r>
      <w:r w:rsidR="00B44B1C"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’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life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[19,20]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work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productivity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daily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impairment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(expressed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percentage,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100%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indicating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loss/impairment)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derived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WPAI-IBD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Reilly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221BA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D4361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D4361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20]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surveys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seven-day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home-based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infliximab</w:t>
      </w:r>
      <w:r w:rsidR="00221BA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  <w:shd w:val="clear" w:color="auto" w:fill="FFFFFF"/>
        </w:rPr>
        <w:t>infusion.</w:t>
      </w:r>
    </w:p>
    <w:p w14:paraId="20D0F031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0A9B452C" w14:textId="5151F9FF" w:rsidR="00B44B1C" w:rsidRPr="00D43612" w:rsidRDefault="00B416D1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Infliximab</w:t>
      </w:r>
      <w:r w:rsidR="00221BA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infusion</w:t>
      </w:r>
      <w:r w:rsidR="00221BA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protocols</w:t>
      </w:r>
      <w:r w:rsidR="00221BA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used</w:t>
      </w:r>
    </w:p>
    <w:p w14:paraId="01B95366" w14:textId="1EAE6B56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protocol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applied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shown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Figure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underwent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their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first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2-h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protocol,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progressed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‘accelerated’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1-h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4-6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adverse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7</w:t>
      </w:r>
      <w:r w:rsidRPr="00D43612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onwards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received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‘rapid’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over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30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thereafter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assuming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further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treated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immediately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according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severity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those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graded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mild-moderate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subsequent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re-trial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last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tolerated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rate.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lastRenderedPageBreak/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standardised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pre-medication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regimen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200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intravenous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hydrocortisone,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10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cetirizine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paracetamol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administered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prior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their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first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three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also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immediately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ADRs,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nursing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and/or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medical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staff’s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discretion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time.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</w:p>
    <w:p w14:paraId="3DC11C30" w14:textId="52CB08F8" w:rsidR="006767EC" w:rsidRDefault="00B416D1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D43612">
        <w:rPr>
          <w:rFonts w:ascii="Book Antiqua" w:eastAsia="Book Antiqua" w:hAnsi="Book Antiqua" w:cs="Book Antiqua"/>
          <w:color w:val="000000"/>
        </w:rPr>
        <w:t>Subsequently,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those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tolerated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least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three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without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offered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opportunity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transition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their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known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psychiatric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comorbidities,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unsafe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D70977" w:rsidRPr="00D70977">
        <w:rPr>
          <w:rFonts w:ascii="Book Antiqua" w:eastAsiaTheme="minorEastAsia" w:hAnsi="Book Antiqua" w:cs="Book Antiqua"/>
          <w:i/>
          <w:iCs/>
          <w:color w:val="000000"/>
          <w:lang w:eastAsia="zh-CN"/>
        </w:rPr>
        <w:t>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visiting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nursing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staff)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itinerant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living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conditions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and/or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previous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poor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adherence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medications,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and/or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clinic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visits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deemed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unsuitable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candidates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offered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option.</w:t>
      </w:r>
    </w:p>
    <w:p w14:paraId="346336C1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5D38685F" w14:textId="48F3A36B" w:rsidR="00B44B1C" w:rsidRPr="00D43612" w:rsidRDefault="00B416D1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Ethics</w:t>
      </w:r>
      <w:r w:rsidR="00221BA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approval</w:t>
      </w:r>
    </w:p>
    <w:p w14:paraId="5808F1AE" w14:textId="11E00A1D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Eastern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Health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Human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Research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B548DB">
        <w:rPr>
          <w:rFonts w:ascii="Book Antiqua" w:eastAsia="Book Antiqua" w:hAnsi="Book Antiqua" w:cs="Book Antiqua"/>
          <w:caps/>
          <w:color w:val="000000"/>
        </w:rPr>
        <w:t>e</w:t>
      </w:r>
      <w:r w:rsidRPr="00D43612">
        <w:rPr>
          <w:rFonts w:ascii="Book Antiqua" w:eastAsia="Book Antiqua" w:hAnsi="Book Antiqua" w:cs="Book Antiqua"/>
          <w:color w:val="000000"/>
        </w:rPr>
        <w:t>thics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B548DB">
        <w:rPr>
          <w:rFonts w:ascii="Book Antiqua" w:eastAsia="Book Antiqua" w:hAnsi="Book Antiqua" w:cs="Book Antiqua"/>
          <w:caps/>
          <w:color w:val="000000"/>
        </w:rPr>
        <w:t>c</w:t>
      </w:r>
      <w:r w:rsidRPr="00D43612">
        <w:rPr>
          <w:rFonts w:ascii="Book Antiqua" w:eastAsia="Book Antiqua" w:hAnsi="Book Antiqua" w:cs="Book Antiqua"/>
          <w:color w:val="000000"/>
        </w:rPr>
        <w:t>ommittee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approved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low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risk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audit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(LR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64/2017),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thus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informed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consent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deemed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required.</w:t>
      </w:r>
    </w:p>
    <w:p w14:paraId="6A2C9300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4B104B54" w14:textId="5D1448FC" w:rsidR="00B44B1C" w:rsidRPr="00D43612" w:rsidRDefault="00B416D1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221BA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4B26B7AC" w14:textId="532C8BA3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Comparisons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between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groups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performed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using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non-parametric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statistics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(assuming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non-normal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distributions)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medians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(ranges)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presented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Mann-Whitney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tests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calculated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appropriate.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Proportions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expressed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percentages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compared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using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Fisher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exact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tests,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including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relative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risks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(RR)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reactions/ADRs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which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presented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both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patient.</w:t>
      </w:r>
    </w:p>
    <w:p w14:paraId="27611961" w14:textId="26E44292" w:rsidR="006767EC" w:rsidRPr="00D43612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order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determine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factors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potentially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associated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occurrence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more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reaction(s)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infusion(s),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univariable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analyses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[expressed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odds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ratios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(OR)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categorical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variables,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95%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confidence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intervals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displayed]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performed.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multivariable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logistic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regression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analysis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conducted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occurrence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reaction(s)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due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dependent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variable.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Multiple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exploratory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models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initially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undertaken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forced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entry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models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always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used,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final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model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chosen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basis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effect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size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goodness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fit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overall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model.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variables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significant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those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trending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significance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lastRenderedPageBreak/>
        <w:t>included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multivariable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analysis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plus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other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putatively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important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factors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included,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age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131E8C" w:rsidRPr="00D43612">
        <w:rPr>
          <w:rFonts w:ascii="Book Antiqua" w:hAnsi="Book Antiqua" w:cs="Book Antiqua"/>
        </w:rPr>
        <w:t>body</w:t>
      </w:r>
      <w:r w:rsidR="00221BA4">
        <w:rPr>
          <w:rFonts w:ascii="Book Antiqua" w:hAnsi="Book Antiqua" w:cs="Book Antiqua"/>
        </w:rPr>
        <w:t xml:space="preserve"> </w:t>
      </w:r>
      <w:r w:rsidR="00131E8C" w:rsidRPr="00D43612">
        <w:rPr>
          <w:rFonts w:ascii="Book Antiqua" w:hAnsi="Book Antiqua" w:cs="Book Antiqua"/>
        </w:rPr>
        <w:t>mass</w:t>
      </w:r>
      <w:r w:rsidR="00221BA4">
        <w:rPr>
          <w:rFonts w:ascii="Book Antiqua" w:hAnsi="Book Antiqua" w:cs="Book Antiqua"/>
        </w:rPr>
        <w:t xml:space="preserve"> </w:t>
      </w:r>
      <w:r w:rsidR="00131E8C" w:rsidRPr="00D43612">
        <w:rPr>
          <w:rFonts w:ascii="Book Antiqua" w:hAnsi="Book Antiqua" w:cs="Book Antiqua"/>
        </w:rPr>
        <w:t>index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131E8C">
        <w:rPr>
          <w:rFonts w:ascii="Book Antiqua" w:eastAsia="Book Antiqua" w:hAnsi="Book Antiqua" w:cs="Book Antiqua"/>
          <w:color w:val="000000"/>
        </w:rPr>
        <w:t>(</w:t>
      </w:r>
      <w:r w:rsidRPr="00D43612">
        <w:rPr>
          <w:rFonts w:ascii="Book Antiqua" w:eastAsia="Book Antiqua" w:hAnsi="Book Antiqua" w:cs="Book Antiqua"/>
          <w:color w:val="000000"/>
        </w:rPr>
        <w:t>BMI</w:t>
      </w:r>
      <w:r w:rsidR="00131E8C">
        <w:rPr>
          <w:rFonts w:ascii="Book Antiqua" w:eastAsia="Book Antiqua" w:hAnsi="Book Antiqua" w:cs="Book Antiqua"/>
          <w:color w:val="000000"/>
        </w:rPr>
        <w:t>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dichotomised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cut-off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&lt;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22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kg/m</w:t>
      </w:r>
      <w:r w:rsidRPr="00D4361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representing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lowest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quartile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cohort).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Those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factors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exerting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minimal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effect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size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model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standardised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values)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excluded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final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model.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P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value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&lt;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0.05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deemed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statistically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significant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throughout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</w:p>
    <w:p w14:paraId="53175430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410586E3" w14:textId="77777777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C1476F4" w14:textId="69CA33E0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Baseline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demographics</w:t>
      </w:r>
    </w:p>
    <w:p w14:paraId="082422DF" w14:textId="0363386D" w:rsidR="006767EC" w:rsidRDefault="00B416D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cohort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comprised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169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received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total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2214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over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8-year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period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(2006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2013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inclusive)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cohort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comprised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129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received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total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1461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over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4-year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period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(2014-2017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inclusive).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administered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32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total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405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over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2.2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years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(October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2017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December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2019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inclusive).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baseline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characteristics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cohorts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represented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Table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1.</w:t>
      </w:r>
    </w:p>
    <w:p w14:paraId="76F0B16B" w14:textId="77777777" w:rsidR="0066335B" w:rsidRPr="00D43612" w:rsidRDefault="0066335B">
      <w:pPr>
        <w:spacing w:line="360" w:lineRule="auto"/>
        <w:jc w:val="both"/>
        <w:rPr>
          <w:rFonts w:ascii="Book Antiqua" w:hAnsi="Book Antiqua" w:cs="Book Antiqua"/>
        </w:rPr>
      </w:pPr>
    </w:p>
    <w:p w14:paraId="40859F56" w14:textId="21348661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Infliximab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infusion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ADRs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rechallenges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14F2A"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tandard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14F2A"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r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apid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infusion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cohorts</w:t>
      </w:r>
    </w:p>
    <w:p w14:paraId="613E7849" w14:textId="6B17AB3C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cohort,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total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23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experienced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directly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related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infusion(s),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16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graded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mild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according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CTC.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16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rechallenged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which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15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tolerated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subsequent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premedications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slower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rate.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AB2FC4" w:rsidRPr="00D43612">
        <w:rPr>
          <w:rFonts w:ascii="Book Antiqua" w:eastAsia="Book Antiqua" w:hAnsi="Book Antiqua" w:cs="Book Antiqua"/>
          <w:color w:val="000000"/>
        </w:rPr>
        <w:t>Seven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severe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rechallenged.</w:t>
      </w:r>
    </w:p>
    <w:p w14:paraId="349984C0" w14:textId="164627C5" w:rsidR="006767EC" w:rsidRPr="00D43612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cohort,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8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experienced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due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which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(8/8)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mild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CTC.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these,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7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rechallenged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concurrent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premedications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administered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seven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tolerated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subsequent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infusion;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four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returned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two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remained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accelerated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returned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protocol.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eight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described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previously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documented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protocol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infusions.</w:t>
      </w:r>
    </w:p>
    <w:p w14:paraId="008699BD" w14:textId="40D3641C" w:rsidR="006767EC" w:rsidRPr="00D43612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lastRenderedPageBreak/>
        <w:t>Hence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administered,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relative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risk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(RR)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mild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0.8%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0.7%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severe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0.2%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0.0%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cohorts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respectively.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overall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mild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10.7%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7.8%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severe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3.0%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0.0%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cohorts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respectively,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shown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Table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66335B">
        <w:rPr>
          <w:rFonts w:ascii="Book Antiqua" w:eastAsia="Book Antiqua" w:hAnsi="Book Antiqua" w:cs="Book Antiqua"/>
          <w:color w:val="000000"/>
        </w:rPr>
        <w:t>2</w:t>
      </w:r>
      <w:r w:rsidRPr="00D43612">
        <w:rPr>
          <w:rFonts w:ascii="Book Antiqua" w:eastAsia="Book Antiqua" w:hAnsi="Book Antiqua" w:cs="Book Antiqua"/>
          <w:color w:val="000000"/>
        </w:rPr>
        <w:t>.</w:t>
      </w:r>
    </w:p>
    <w:p w14:paraId="46C48EEC" w14:textId="58C3F606" w:rsidR="006767EC" w:rsidRDefault="00B416D1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D43612">
        <w:rPr>
          <w:rFonts w:ascii="Book Antiqua" w:eastAsia="Book Antiqua" w:hAnsi="Book Antiqua" w:cs="Book Antiqua"/>
          <w:color w:val="000000"/>
        </w:rPr>
        <w:t>Moreover,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greater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likelihood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having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(mild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severe)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protocol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cohort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receiving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protocol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3.0,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95%CI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(1.2,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7.7),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P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=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0.02.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median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duration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commencement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first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17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(0,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1401)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637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(45,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2122)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respectively.</w:t>
      </w:r>
    </w:p>
    <w:p w14:paraId="7B602337" w14:textId="77777777" w:rsidR="0066335B" w:rsidRPr="00D43612" w:rsidRDefault="0066335B" w:rsidP="0066335B">
      <w:pPr>
        <w:spacing w:line="360" w:lineRule="auto"/>
        <w:jc w:val="both"/>
        <w:rPr>
          <w:rFonts w:ascii="Book Antiqua" w:hAnsi="Book Antiqua" w:cs="Book Antiqua"/>
        </w:rPr>
      </w:pPr>
    </w:p>
    <w:p w14:paraId="4402D1A4" w14:textId="6B8CF0A5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associated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increased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infliximab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infusion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reactions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this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cohort</w:t>
      </w:r>
    </w:p>
    <w:p w14:paraId="3B315686" w14:textId="57AAD495" w:rsidR="006767EC" w:rsidRDefault="00B416D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univariable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logistic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regression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analysis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performed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cohort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received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three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more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protocol.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Factors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found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significantly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associated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P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&lt;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0.05)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and/or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trending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significance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(0.05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≤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P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≤</w:t>
      </w:r>
      <w:r w:rsidR="00221BA4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0.15)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occurrence(s)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ADR/s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included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multivariable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logistic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regression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analysis,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shown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Table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summary,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lower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BMI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(&lt;</w:t>
      </w:r>
      <w:r w:rsidR="00221BA4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22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kg/m</w:t>
      </w:r>
      <w:r w:rsidRPr="00D4361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3612">
        <w:rPr>
          <w:rFonts w:ascii="Book Antiqua" w:eastAsia="Book Antiqua" w:hAnsi="Book Antiqua" w:cs="Book Antiqua"/>
          <w:color w:val="000000"/>
        </w:rPr>
        <w:t>),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history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more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extra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intestinal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manifestations,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longer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disease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duration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(&gt;</w:t>
      </w:r>
      <w:r w:rsidR="00221BA4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year</w:t>
      </w:r>
      <w:r w:rsidR="00D43612" w:rsidRPr="00D43612">
        <w:rPr>
          <w:rFonts w:ascii="Book Antiqua" w:eastAsia="Book Antiqua" w:hAnsi="Book Antiqua" w:cs="Book Antiqua"/>
          <w:color w:val="000000"/>
        </w:rPr>
        <w:t>s</w:t>
      </w:r>
      <w:r w:rsidRPr="00D43612">
        <w:rPr>
          <w:rFonts w:ascii="Book Antiqua" w:eastAsia="Book Antiqua" w:hAnsi="Book Antiqua" w:cs="Book Antiqua"/>
          <w:color w:val="000000"/>
        </w:rPr>
        <w:t>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previous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exposure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another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biologic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each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independently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associated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higher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likelihood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reaction(s)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(each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P</w:t>
      </w:r>
      <w:r w:rsidR="00221BA4">
        <w:rPr>
          <w:rFonts w:ascii="Book Antiqua" w:eastAsia="宋体" w:hAnsi="Book Antiqua" w:cs="Book Antiqua"/>
          <w:i/>
          <w:iCs/>
          <w:color w:val="000000"/>
          <w:lang w:eastAsia="zh-CN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&lt;</w:t>
      </w:r>
      <w:r w:rsidR="00221BA4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0.05).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non-significant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trend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higher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risk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also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prior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episodic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and/or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break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maintenance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dosing.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</w:p>
    <w:p w14:paraId="6ED11344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65DD0792" w14:textId="35A5ED5B" w:rsidR="006767EC" w:rsidRPr="00D43612" w:rsidRDefault="00D43612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Comparison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infusion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time/</w:t>
      </w:r>
      <w:r w:rsidR="00B416D1"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cost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productivity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(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="00B416D1"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tandard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r</w:t>
      </w:r>
      <w:r w:rsidR="00B416D1"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apid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infusion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cohort)</w:t>
      </w:r>
    </w:p>
    <w:p w14:paraId="6B784D38" w14:textId="546E255B" w:rsidR="006767EC" w:rsidRDefault="00B416D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3612">
        <w:rPr>
          <w:rFonts w:ascii="Book Antiqua" w:eastAsia="Book Antiqua" w:hAnsi="Book Antiqua" w:cs="Book Antiqua"/>
          <w:color w:val="000000"/>
        </w:rPr>
        <w:t>Median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needle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departure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time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significantly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higher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protocol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protocol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group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[108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(70,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253)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50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(33,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90)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min,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P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&lt;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0.001]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66335B">
        <w:rPr>
          <w:rFonts w:ascii="Book Antiqua" w:eastAsia="Book Antiqua" w:hAnsi="Book Antiqua" w:cs="Book Antiqua"/>
          <w:color w:val="000000"/>
        </w:rPr>
        <w:t>(</w:t>
      </w:r>
      <w:r w:rsidR="0066335B" w:rsidRPr="00A76C26">
        <w:rPr>
          <w:rFonts w:ascii="Book Antiqua" w:eastAsia="Book Antiqua" w:hAnsi="Book Antiqua" w:cs="Book Antiqua"/>
          <w:caps/>
          <w:color w:val="000000"/>
        </w:rPr>
        <w:t>f</w:t>
      </w:r>
      <w:r w:rsidR="0066335B">
        <w:rPr>
          <w:rFonts w:ascii="Book Antiqua" w:eastAsia="Book Antiqua" w:hAnsi="Book Antiqua" w:cs="Book Antiqua"/>
          <w:color w:val="000000"/>
        </w:rPr>
        <w:t>igure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66335B">
        <w:rPr>
          <w:rFonts w:ascii="Book Antiqua" w:eastAsia="Book Antiqua" w:hAnsi="Book Antiqua" w:cs="Book Antiqua"/>
          <w:color w:val="000000"/>
        </w:rPr>
        <w:t>2)</w:t>
      </w:r>
      <w:r w:rsidRPr="00D43612">
        <w:rPr>
          <w:rFonts w:ascii="Book Antiqua" w:eastAsia="Book Antiqua" w:hAnsi="Book Antiqua" w:cs="Book Antiqua"/>
          <w:color w:val="000000"/>
        </w:rPr>
        <w:t>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local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consumables,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equated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median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chair)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$AUD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49.80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$107.50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protocol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P</w:t>
      </w:r>
      <w:r w:rsidR="00221BA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&lt;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0.001).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since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lastRenderedPageBreak/>
        <w:t>inception,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protocols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resulted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net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saving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$AUD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84344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net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54%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reduction)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across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whole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cohort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follow-up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period.</w:t>
      </w:r>
    </w:p>
    <w:p w14:paraId="01374DBE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41AE10D2" w14:textId="38C89315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Transition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from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infusion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centre</w:t>
      </w:r>
      <w:proofErr w:type="spellEnd"/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home-based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rapid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infusions: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Safety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cost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DC814DE" w14:textId="35AD215F" w:rsidR="006767EC" w:rsidRPr="00D43612" w:rsidRDefault="00C23380" w:rsidP="00C23380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baseline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characteristics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r w:rsidRPr="00D43612">
        <w:rPr>
          <w:rFonts w:ascii="Book Antiqua" w:eastAsia="Book Antiqua" w:hAnsi="Book Antiqua" w:cs="Book Antiqua"/>
          <w:color w:val="000000"/>
        </w:rPr>
        <w:t>cohorts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represented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Table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Pr="00D43612">
        <w:rPr>
          <w:rFonts w:ascii="Book Antiqua" w:eastAsia="Book Antiqua" w:hAnsi="Book Antiqua" w:cs="Book Antiqua"/>
          <w:color w:val="000000"/>
        </w:rPr>
        <w:t>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32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transitioned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having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received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least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three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hospital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416D1" w:rsidRPr="00D43612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no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history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reaction/s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infusions.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total,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405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had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hitherto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been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administered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service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end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follow-up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period,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no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(0%)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reported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ADRs.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Six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who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subsequently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withdrew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service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due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personal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choice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(</w:t>
      </w:r>
      <w:r w:rsidR="00B416D1" w:rsidRPr="00D43612">
        <w:rPr>
          <w:rFonts w:ascii="Book Antiqua" w:eastAsia="Book Antiqua" w:hAnsi="Book Antiqua" w:cs="Book Antiqua"/>
          <w:i/>
          <w:iCs/>
          <w:color w:val="000000"/>
        </w:rPr>
        <w:t>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=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3),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change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different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biologic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(</w:t>
      </w:r>
      <w:r w:rsidR="00B416D1" w:rsidRPr="00D43612">
        <w:rPr>
          <w:rFonts w:ascii="Book Antiqua" w:eastAsia="Book Antiqua" w:hAnsi="Book Antiqua" w:cs="Book Antiqua"/>
          <w:i/>
          <w:iCs/>
          <w:color w:val="000000"/>
        </w:rPr>
        <w:t>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=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2)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death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(</w:t>
      </w:r>
      <w:r w:rsidR="00B416D1" w:rsidRPr="00D43612">
        <w:rPr>
          <w:rFonts w:ascii="Book Antiqua" w:eastAsia="Book Antiqua" w:hAnsi="Book Antiqua" w:cs="Book Antiqua"/>
          <w:i/>
          <w:iCs/>
          <w:color w:val="000000"/>
        </w:rPr>
        <w:t>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=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1,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unrelated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IBD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and/or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associated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B416D1" w:rsidRPr="00D43612">
        <w:rPr>
          <w:rFonts w:ascii="Book Antiqua" w:eastAsia="Book Antiqua" w:hAnsi="Book Antiqua" w:cs="Book Antiqua"/>
          <w:color w:val="000000"/>
        </w:rPr>
        <w:t>therapies).</w:t>
      </w:r>
    </w:p>
    <w:p w14:paraId="0FD56005" w14:textId="209BED00" w:rsidR="006767EC" w:rsidRPr="00D43612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Moreover,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significant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difference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needle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departure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times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between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[median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50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(33,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90)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45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(31,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90)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respectively,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P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=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0.21]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C23380">
        <w:rPr>
          <w:rFonts w:ascii="Book Antiqua" w:eastAsia="Book Antiqua" w:hAnsi="Book Antiqua" w:cs="Book Antiqua"/>
          <w:color w:val="000000"/>
        </w:rPr>
        <w:t>(</w:t>
      </w:r>
      <w:r w:rsidR="00C23380" w:rsidRPr="00A76C26">
        <w:rPr>
          <w:rFonts w:ascii="Book Antiqua" w:eastAsia="Book Antiqua" w:hAnsi="Book Antiqua" w:cs="Book Antiqua"/>
          <w:caps/>
          <w:color w:val="000000"/>
        </w:rPr>
        <w:t>f</w:t>
      </w:r>
      <w:r w:rsidR="00C23380">
        <w:rPr>
          <w:rFonts w:ascii="Book Antiqua" w:eastAsia="Book Antiqua" w:hAnsi="Book Antiqua" w:cs="Book Antiqua"/>
          <w:color w:val="000000"/>
        </w:rPr>
        <w:t>igure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C23380">
        <w:rPr>
          <w:rFonts w:ascii="Book Antiqua" w:eastAsia="Book Antiqua" w:hAnsi="Book Antiqua" w:cs="Book Antiqua"/>
          <w:color w:val="000000"/>
        </w:rPr>
        <w:t>2)</w:t>
      </w:r>
      <w:r w:rsidRPr="00D43612">
        <w:rPr>
          <w:rFonts w:ascii="Book Antiqua" w:eastAsia="Book Antiqua" w:hAnsi="Book Antiqua" w:cs="Book Antiqua"/>
          <w:color w:val="000000"/>
        </w:rPr>
        <w:t>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turn,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similar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(incorporating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staffing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consumables)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between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groups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(median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$49.80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$39.20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P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=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0.20).</w:t>
      </w:r>
    </w:p>
    <w:p w14:paraId="07D14B5A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034483A1" w14:textId="39845FD6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satisfaction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home-based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infusions: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aps/>
          <w:color w:val="000000"/>
        </w:rPr>
        <w:t>d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ata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from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survey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67A7959" w14:textId="4D8974A4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32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received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service,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31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(97%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response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rate)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completed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survey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described.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26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31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clinical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remission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CDAI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&lt;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150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time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survey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median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sIBDQ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score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responders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55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(33,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65)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57%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scoring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‘normal’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IBD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QoL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range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Swart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21BA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4361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436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43612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D43612">
        <w:rPr>
          <w:rFonts w:ascii="Book Antiqua" w:eastAsia="Book Antiqua" w:hAnsi="Book Antiqua" w:cs="Book Antiqua"/>
          <w:color w:val="000000"/>
        </w:rPr>
        <w:t>.</w:t>
      </w:r>
    </w:p>
    <w:p w14:paraId="538E3E93" w14:textId="60322DC5" w:rsidR="006767EC" w:rsidRPr="00D43612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Only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(6.4%)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reported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their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negative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impact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their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quality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life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overall.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31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(100%)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preferred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protocol,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17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(54.8%)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specifically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stating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due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enhanced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convenience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F55E14">
        <w:rPr>
          <w:rFonts w:ascii="Book Antiqua" w:eastAsia="Book Antiqua" w:hAnsi="Book Antiqua" w:cs="Book Antiqua"/>
          <w:color w:val="000000"/>
        </w:rPr>
        <w:t>(</w:t>
      </w:r>
      <w:r w:rsidR="00F55E14" w:rsidRPr="002B4177">
        <w:rPr>
          <w:rFonts w:ascii="Book Antiqua" w:eastAsia="Book Antiqua" w:hAnsi="Book Antiqua" w:cs="Book Antiqua"/>
          <w:caps/>
          <w:color w:val="000000"/>
        </w:rPr>
        <w:t>f</w:t>
      </w:r>
      <w:r w:rsidR="00F55E14">
        <w:rPr>
          <w:rFonts w:ascii="Book Antiqua" w:eastAsia="Book Antiqua" w:hAnsi="Book Antiqua" w:cs="Book Antiqua"/>
          <w:color w:val="000000"/>
        </w:rPr>
        <w:t>igure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F55E14">
        <w:rPr>
          <w:rFonts w:ascii="Book Antiqua" w:eastAsia="Book Antiqua" w:hAnsi="Book Antiqua" w:cs="Book Antiqua"/>
          <w:color w:val="000000"/>
        </w:rPr>
        <w:t>3)</w:t>
      </w:r>
      <w:r w:rsidRPr="00D43612">
        <w:rPr>
          <w:rFonts w:ascii="Book Antiqua" w:eastAsia="Book Antiqua" w:hAnsi="Book Antiqua" w:cs="Book Antiqua"/>
          <w:color w:val="000000"/>
        </w:rPr>
        <w:t>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</w:p>
    <w:p w14:paraId="130365E5" w14:textId="18DFE3C8" w:rsidR="006767EC" w:rsidRPr="00D43612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14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31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responders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(45.2%)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disagreed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neutral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about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preference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D43612">
        <w:rPr>
          <w:rFonts w:ascii="Book Antiqua" w:eastAsia="Book Antiqua" w:hAnsi="Book Antiqua" w:cs="Book Antiqua"/>
          <w:color w:val="000000"/>
        </w:rPr>
        <w:t>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19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(61.3%)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found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lastRenderedPageBreak/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actually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more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inconvenient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those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administered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F55E14">
        <w:rPr>
          <w:rFonts w:ascii="Book Antiqua" w:eastAsia="Book Antiqua" w:hAnsi="Book Antiqua" w:cs="Book Antiqua"/>
          <w:color w:val="000000"/>
        </w:rPr>
        <w:t>(</w:t>
      </w:r>
      <w:r w:rsidR="00F55E14" w:rsidRPr="003807B1">
        <w:rPr>
          <w:rFonts w:ascii="Book Antiqua" w:eastAsia="Book Antiqua" w:hAnsi="Book Antiqua" w:cs="Book Antiqua"/>
          <w:caps/>
          <w:color w:val="000000"/>
        </w:rPr>
        <w:t>f</w:t>
      </w:r>
      <w:r w:rsidR="00F55E14">
        <w:rPr>
          <w:rFonts w:ascii="Book Antiqua" w:eastAsia="Book Antiqua" w:hAnsi="Book Antiqua" w:cs="Book Antiqua"/>
          <w:color w:val="000000"/>
        </w:rPr>
        <w:t>igure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F55E14">
        <w:rPr>
          <w:rFonts w:ascii="Book Antiqua" w:eastAsia="Book Antiqua" w:hAnsi="Book Antiqua" w:cs="Book Antiqua"/>
          <w:color w:val="000000"/>
        </w:rPr>
        <w:t>3)</w:t>
      </w:r>
      <w:r w:rsidRPr="00D43612">
        <w:rPr>
          <w:rFonts w:ascii="Book Antiqua" w:eastAsia="Book Antiqua" w:hAnsi="Book Antiqua" w:cs="Book Antiqua"/>
          <w:color w:val="000000"/>
        </w:rPr>
        <w:t>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</w:p>
    <w:p w14:paraId="0468C987" w14:textId="660ED0D7" w:rsidR="006767EC" w:rsidRDefault="00B416D1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D43612">
        <w:rPr>
          <w:rFonts w:ascii="Book Antiqua" w:eastAsia="Book Antiqua" w:hAnsi="Book Antiqua" w:cs="Book Antiqua"/>
          <w:color w:val="000000"/>
        </w:rPr>
        <w:t>Qualitatively,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reasons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provided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included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lack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coordination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communication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timing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unforeseen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delays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nurse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arrival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their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lack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nursing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staff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B3141" w:rsidRPr="00D43612">
        <w:rPr>
          <w:rFonts w:ascii="Book Antiqua" w:eastAsia="Book Antiqua" w:hAnsi="Book Antiqua" w:cs="Book Antiqua"/>
          <w:iCs/>
          <w:color w:val="000000"/>
        </w:rPr>
        <w:t>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due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illness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extra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demand)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certain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days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forcing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attend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parent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hospital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their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infusion(s),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lack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sufficiently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skilled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nurses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resulting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difficulties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obtaining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intravenous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access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and/or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administering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slower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rates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prescribed.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Additionally,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others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reported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reluctance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‘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medicalise</w:t>
      </w:r>
      <w:proofErr w:type="spellEnd"/>
      <w:r w:rsidRPr="00D43612">
        <w:rPr>
          <w:rFonts w:ascii="Book Antiqua" w:eastAsia="Book Antiqua" w:hAnsi="Book Antiqua" w:cs="Book Antiqua"/>
          <w:color w:val="000000"/>
        </w:rPr>
        <w:t>’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their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and/or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presence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family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members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(especially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their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children)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work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colleagues.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Also,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some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missed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familiarity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nursing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staff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camaraderie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enabled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attending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D43612">
        <w:rPr>
          <w:rFonts w:ascii="Book Antiqua" w:eastAsia="Book Antiqua" w:hAnsi="Book Antiqua" w:cs="Book Antiqua"/>
          <w:color w:val="000000"/>
        </w:rPr>
        <w:t>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many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done,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several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years.</w:t>
      </w:r>
    </w:p>
    <w:p w14:paraId="2D7D5E26" w14:textId="77777777" w:rsidR="00F55E14" w:rsidRPr="00D43612" w:rsidRDefault="00F55E14">
      <w:pPr>
        <w:spacing w:line="360" w:lineRule="auto"/>
        <w:jc w:val="both"/>
        <w:rPr>
          <w:rFonts w:ascii="Book Antiqua" w:hAnsi="Book Antiqua" w:cs="Book Antiqua"/>
        </w:rPr>
      </w:pPr>
    </w:p>
    <w:p w14:paraId="22A30C2A" w14:textId="18CAC705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Impact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home-based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43612"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infusions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43612"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43612"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work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43612"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productivity/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activity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as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per</w:t>
      </w:r>
      <w:r w:rsidR="00221BA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survey</w:t>
      </w:r>
    </w:p>
    <w:p w14:paraId="641665AC" w14:textId="70AA471B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Responses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WPAI-IBD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showed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week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including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median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0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week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missed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work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(range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0,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36.7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h),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4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(12.9%)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reporting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total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more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hours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work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missed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week.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Also,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median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overall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work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impairment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(incorporating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both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percentage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work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hours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missed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impairment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work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performance)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10.0%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(0,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81.0).</w:t>
      </w:r>
    </w:p>
    <w:p w14:paraId="4A475D16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2ECAFA85" w14:textId="77777777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BF99EE0" w14:textId="0012CEAA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demonstrated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30-min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compared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2-h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IBD.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Moreover,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applying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rational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stepwise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protocol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Figure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culminating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almost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1500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none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resulted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severe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Furthermore,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8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mild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7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able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undertake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re-trial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premedication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6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successfully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transitioning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back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30-min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data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consistent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similar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protocolised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studies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43612">
        <w:rPr>
          <w:rFonts w:ascii="Book Antiqua" w:eastAsia="Book Antiqua" w:hAnsi="Book Antiqua" w:cs="Book Antiqua"/>
          <w:color w:val="000000"/>
        </w:rPr>
        <w:t>previously</w:t>
      </w:r>
      <w:r w:rsidR="00D43612" w:rsidRPr="00D436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43612" w:rsidRPr="00D43612">
        <w:rPr>
          <w:rFonts w:ascii="Book Antiqua" w:eastAsia="Book Antiqua" w:hAnsi="Book Antiqua" w:cs="Book Antiqua"/>
          <w:color w:val="000000"/>
          <w:vertAlign w:val="superscript"/>
        </w:rPr>
        <w:t>9,21,22]</w:t>
      </w:r>
      <w:r w:rsidRPr="00D43612">
        <w:rPr>
          <w:rFonts w:ascii="Book Antiqua" w:eastAsia="Book Antiqua" w:hAnsi="Book Antiqua" w:cs="Book Antiqua"/>
          <w:color w:val="000000"/>
        </w:rPr>
        <w:t>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yet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critical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confidently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administering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settings.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Otherwise,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without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stringent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protocols,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lastRenderedPageBreak/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reported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up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5%-10%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43612">
        <w:rPr>
          <w:rFonts w:ascii="Book Antiqua" w:eastAsia="Book Antiqua" w:hAnsi="Book Antiqua" w:cs="Book Antiqua"/>
          <w:color w:val="000000"/>
        </w:rPr>
        <w:t>IBD</w:t>
      </w:r>
      <w:r w:rsidRPr="00D436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43612">
        <w:rPr>
          <w:rFonts w:ascii="Book Antiqua" w:eastAsia="Book Antiqua" w:hAnsi="Book Antiqua" w:cs="Book Antiqua"/>
          <w:color w:val="000000"/>
          <w:vertAlign w:val="superscript"/>
        </w:rPr>
        <w:t>15,23]</w:t>
      </w:r>
      <w:r w:rsidRPr="00D43612">
        <w:rPr>
          <w:rFonts w:ascii="Book Antiqua" w:eastAsia="Book Antiqua" w:hAnsi="Book Antiqua" w:cs="Book Antiqua"/>
          <w:color w:val="000000"/>
        </w:rPr>
        <w:t>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which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our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view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does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provide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adequate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assurance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Indeed,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cohort,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none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experienced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adverse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result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centre’s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stepwise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protocol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introducing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prior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transitioning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</w:p>
    <w:p w14:paraId="7250DA0E" w14:textId="3A4C2828" w:rsidR="006767EC" w:rsidRPr="00D43612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addition,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first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elucidate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factors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associated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higher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risk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adverse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maintenance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30-min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which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enables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clinicians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further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mitigate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risk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adverse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case-by-case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basis.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Although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initial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B3141" w:rsidRPr="00D43612">
        <w:rPr>
          <w:rFonts w:ascii="Book Antiqua" w:eastAsia="Book Antiqua" w:hAnsi="Book Antiqua" w:cs="Book Antiqua"/>
          <w:iCs/>
          <w:color w:val="000000"/>
        </w:rPr>
        <w:t>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induction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episodic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dosing)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typically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attributable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allergic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massive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cytokine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release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pathways,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longer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term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postulated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driven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primarily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development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immunogenicity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AB3141" w:rsidRPr="00D43612">
        <w:rPr>
          <w:rFonts w:ascii="Book Antiqua" w:eastAsia="Book Antiqua" w:hAnsi="Book Antiqua" w:cs="Book Antiqua"/>
          <w:iCs/>
          <w:color w:val="000000"/>
        </w:rPr>
        <w:t>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antibodies)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43612">
        <w:rPr>
          <w:rFonts w:ascii="Book Antiqua" w:eastAsia="Book Antiqua" w:hAnsi="Book Antiqua" w:cs="Book Antiqua"/>
          <w:color w:val="000000"/>
        </w:rPr>
        <w:t>infliximab</w:t>
      </w:r>
      <w:r w:rsidRPr="00D436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43612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D43612">
        <w:rPr>
          <w:rFonts w:ascii="Book Antiqua" w:eastAsia="Book Antiqua" w:hAnsi="Book Antiqua" w:cs="Book Antiqua"/>
          <w:color w:val="000000"/>
        </w:rPr>
        <w:t>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Accordingly,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demonstrated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longer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disease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duration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(&gt;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year</w:t>
      </w:r>
      <w:r w:rsidR="00AB3141" w:rsidRPr="00D43612">
        <w:rPr>
          <w:rFonts w:ascii="Book Antiqua" w:eastAsia="Book Antiqua" w:hAnsi="Book Antiqua" w:cs="Book Antiqua"/>
          <w:color w:val="000000"/>
        </w:rPr>
        <w:t>s</w:t>
      </w:r>
      <w:r w:rsidRPr="00D43612">
        <w:rPr>
          <w:rFonts w:ascii="Book Antiqua" w:eastAsia="Book Antiqua" w:hAnsi="Book Antiqua" w:cs="Book Antiqua"/>
          <w:color w:val="000000"/>
        </w:rPr>
        <w:t>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associated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higher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risk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reaction(s),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consistent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known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cumulative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incidence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antibodies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prospective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43612">
        <w:rPr>
          <w:rFonts w:ascii="Book Antiqua" w:eastAsia="Book Antiqua" w:hAnsi="Book Antiqua" w:cs="Book Antiqua"/>
          <w:color w:val="000000"/>
        </w:rPr>
        <w:t>studies</w:t>
      </w:r>
      <w:r w:rsidRPr="00D436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43612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D43612">
        <w:rPr>
          <w:rFonts w:ascii="Book Antiqua" w:eastAsia="Book Antiqua" w:hAnsi="Book Antiqua" w:cs="Book Antiqua"/>
          <w:color w:val="000000"/>
        </w:rPr>
        <w:t>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Also,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those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prior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biologic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exposure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and/or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break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previous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dosing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found,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least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univariate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analysis,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higher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risk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reaction(s)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shown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43612">
        <w:rPr>
          <w:rFonts w:ascii="Book Antiqua" w:eastAsia="Book Antiqua" w:hAnsi="Book Antiqua" w:cs="Book Antiqua"/>
          <w:color w:val="000000"/>
        </w:rPr>
        <w:t>elsewhere</w:t>
      </w:r>
      <w:r w:rsidRPr="00D436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43612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D43612">
        <w:rPr>
          <w:rFonts w:ascii="Book Antiqua" w:eastAsia="Book Antiqua" w:hAnsi="Book Antiqua" w:cs="Book Antiqua"/>
          <w:color w:val="000000"/>
        </w:rPr>
        <w:t>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Furthermore,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presence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extraintestinal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manifestations,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suggestive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more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systemic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inflammatory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burden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turn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greater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propensity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immunogenicity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–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instance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due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presence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alternate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cytokine-mediated,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immune-complex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and/or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complement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mediated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processes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–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appears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another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important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risk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factor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Although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non-significant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trend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univariable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analysis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protective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effect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concomitant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thiopurine/immunomodulator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therapy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presumably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due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their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negating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effect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antibody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development,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persist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multivariable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analysis.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Interestingly,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lower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BMI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(&lt;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22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kg/m</w:t>
      </w:r>
      <w:r w:rsidRPr="00D4361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3612">
        <w:rPr>
          <w:rFonts w:ascii="Book Antiqua" w:eastAsia="Book Antiqua" w:hAnsi="Book Antiqua" w:cs="Book Antiqua"/>
          <w:color w:val="000000"/>
        </w:rPr>
        <w:t>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associated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increased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risk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reaction(s)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despite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publications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showing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increased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drug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clearance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lower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anti-TNF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drug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trough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levels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higher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43612">
        <w:rPr>
          <w:rFonts w:ascii="Book Antiqua" w:eastAsia="Book Antiqua" w:hAnsi="Book Antiqua" w:cs="Book Antiqua"/>
          <w:color w:val="000000"/>
        </w:rPr>
        <w:t>BMI</w:t>
      </w:r>
      <w:r w:rsidRPr="00D436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43612">
        <w:rPr>
          <w:rFonts w:ascii="Book Antiqua" w:eastAsia="Book Antiqua" w:hAnsi="Book Antiqua" w:cs="Book Antiqua"/>
          <w:color w:val="000000"/>
          <w:vertAlign w:val="superscript"/>
        </w:rPr>
        <w:t>27,28]</w:t>
      </w:r>
      <w:r w:rsidRPr="00D43612">
        <w:rPr>
          <w:rFonts w:ascii="Book Antiqua" w:eastAsia="Book Antiqua" w:hAnsi="Book Antiqua" w:cs="Book Antiqua"/>
          <w:color w:val="000000"/>
        </w:rPr>
        <w:t>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However,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lower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BMI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resultant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reduced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volume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distribution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fact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result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relatively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higher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trough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levels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greater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potential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immunogenicity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thus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acute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lastRenderedPageBreak/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delayed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ADRs.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drug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levels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anti-drug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antibodies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routinely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performed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cohort,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further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potential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relationship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between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factors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needed.</w:t>
      </w:r>
    </w:p>
    <w:p w14:paraId="22CA2D65" w14:textId="661D53E9" w:rsidR="006767EC" w:rsidRPr="00D43612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One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key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benefits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transitioning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30-min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reduced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enhanced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productivity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D43612">
        <w:rPr>
          <w:rFonts w:ascii="Book Antiqua" w:eastAsia="Book Antiqua" w:hAnsi="Book Antiqua" w:cs="Book Antiqua"/>
          <w:color w:val="000000"/>
        </w:rPr>
        <w:t>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introduction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demonstrated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halving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needle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departure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times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real-world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context,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attendant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reduction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54%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across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whole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cohort.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institutional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level,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enables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potential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doubling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throughput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staffing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D43612">
        <w:rPr>
          <w:rFonts w:ascii="Book Antiqua" w:eastAsia="Book Antiqua" w:hAnsi="Book Antiqua" w:cs="Book Antiqua"/>
          <w:color w:val="000000"/>
        </w:rPr>
        <w:t>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societal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level,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additional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flow-on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benefits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reduced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parking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reduced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absence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work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and/or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family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commitments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through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improved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productivity.</w:t>
      </w:r>
    </w:p>
    <w:p w14:paraId="413C3B28" w14:textId="21DB9331" w:rsidR="006767EC" w:rsidRPr="00D43612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Given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increasing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array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intravenous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therapies,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including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chronic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diseases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leading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capacity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concerns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many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jurisdictions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worldwide,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transitioning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logical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solution.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However,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ensure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economic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sustainability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service,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nurses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theoretically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need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conduct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least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3-4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patients’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8-h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shift,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allowing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travel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between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preparation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intravenous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access,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communication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administering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slower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over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30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unlikely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cost-effective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cases.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demonstrated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sustainable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administration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setting,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subject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appropriate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selection.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Furthermore,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first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assess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satisfaction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which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overall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high,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81%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highly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satisfied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satisfied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addition,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survey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responders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reported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minimal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impact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work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other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activities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WPAI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during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typical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week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included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</w:p>
    <w:p w14:paraId="3EB6419A" w14:textId="50E1988D" w:rsidR="006767EC" w:rsidRPr="00D43612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However,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also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revealed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previously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unappreciated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caveats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implementation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patients’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perspective.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Almost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half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survey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responders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neutral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disagreed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more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convenient,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anecdotally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reasons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including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unforeseen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delays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nurse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arrival,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variable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availability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staff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administer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impacts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work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social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life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medicalising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their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lastRenderedPageBreak/>
        <w:t>home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unintended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consequences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transitioning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pose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potential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challenges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model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which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therefore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warrant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further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research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evaluation.</w:t>
      </w:r>
    </w:p>
    <w:p w14:paraId="70FF8324" w14:textId="1F6BF470" w:rsidR="006767EC" w:rsidRPr="00D43612" w:rsidRDefault="00B416D1">
      <w:pPr>
        <w:spacing w:line="360" w:lineRule="auto"/>
        <w:ind w:firstLineChars="100" w:firstLine="240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several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limitations,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including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retrospective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nature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data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collection,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however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risk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recall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bias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somewhat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mitigated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given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primarily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evaluation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protocol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relatively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consistent,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homogeneous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single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population.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Although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sample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size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cohorts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relatively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large,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subgroup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small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which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selection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bias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larger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scale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evaluation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latter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required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future.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Furthermore,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given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large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time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period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across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which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data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collected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local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contemporary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practice,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unable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evaluate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putative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relationship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between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trough/antibody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levels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occurrence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reactions.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difference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rate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psychiatric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disorders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between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groups.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While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unlikely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impact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results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does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reflect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some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differences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between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groups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captured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our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demographic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data.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Prospective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validation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results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required.</w:t>
      </w:r>
    </w:p>
    <w:p w14:paraId="1556DFE3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40D7B8D8" w14:textId="77777777" w:rsidR="006767EC" w:rsidRPr="00D43612" w:rsidRDefault="00B416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/>
        </w:rPr>
      </w:pPr>
      <w:r w:rsidRPr="00D43612">
        <w:rPr>
          <w:rFonts w:ascii="Book Antiqua" w:eastAsia="Book Antiqua" w:hAnsi="Book Antiqua" w:cs="Book Antiqua"/>
          <w:b/>
          <w:bCs/>
          <w:color w:val="000000"/>
          <w:u w:val="single"/>
        </w:rPr>
        <w:t>CONCLUSION</w:t>
      </w:r>
    </w:p>
    <w:p w14:paraId="2EDB04D8" w14:textId="71E4964A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conclusion,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comprehensively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outlines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centred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approach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transitioning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receiving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IBD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initial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protocols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through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careful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selection,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demonstrated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risk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negligible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thus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data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reassuring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clinicians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healthcare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providers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alike.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Whilst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significant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logistical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challenges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providing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failsafe,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service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ongoing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evaluation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especially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meeting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patient’s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needs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warranted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regard,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satisfied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service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convenience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provides.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therefore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defined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rigorous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framework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potentially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saving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delivery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but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potentially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other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similar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medical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</w:p>
    <w:p w14:paraId="2355AC29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28BA64A2" w14:textId="1E3BCCB5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221BA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43612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1B3561F" w14:textId="7CDDE905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21BA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7FBB0BD" w14:textId="6D4E75ED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commonly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biologic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therapies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management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inflammatory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bowel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disease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(IBD).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development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biosimilars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resulting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reduction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medication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availability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usage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worldwide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seen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exponential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growth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therapeutic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indications.</w:t>
      </w:r>
    </w:p>
    <w:p w14:paraId="7DB81574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1A1BF855" w14:textId="35239C92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21BA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E128BA7" w14:textId="1AC3B623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Previous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studies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suggested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30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IBD.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Despite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few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moved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deliver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therapy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IBD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="001C33BB" w:rsidRPr="00D43612">
        <w:rPr>
          <w:rFonts w:ascii="Book Antiqua" w:eastAsia="Book Antiqua" w:hAnsi="Book Antiqua" w:cs="Book Antiqua"/>
          <w:color w:val="000000"/>
        </w:rPr>
        <w:t>patient’s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remains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paucity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literature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demonstrating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benefit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compared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therapy.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</w:p>
    <w:p w14:paraId="6884570A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380BFE83" w14:textId="679DE1AD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21BA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F2FC64D" w14:textId="4A98E205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primary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aims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evaluate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transition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standard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hospital-based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home-based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protocolised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manner,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while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also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assessing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efficiency,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savings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satisfaction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process.</w:t>
      </w:r>
    </w:p>
    <w:p w14:paraId="26D7423A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2B148523" w14:textId="057BC581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21BA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D444FEE" w14:textId="0CD25C2F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retrospective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conducted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across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two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tertiary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IBD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Australia.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Based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pharmacy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prescribing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records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historic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IBD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databases,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received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over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12</w:t>
      </w:r>
      <w:r w:rsidR="006C0DA3" w:rsidRPr="006C0DA3">
        <w:rPr>
          <w:rFonts w:ascii="Book Antiqua" w:eastAsiaTheme="minorEastAsia" w:hAnsi="Book Antiqua" w:cs="Book Antiqua"/>
          <w:color w:val="000000"/>
          <w:lang w:eastAsia="zh-CN"/>
        </w:rPr>
        <w:t>-</w:t>
      </w:r>
      <w:r w:rsidRPr="00D43612">
        <w:rPr>
          <w:rFonts w:ascii="Book Antiqua" w:eastAsia="Book Antiqua" w:hAnsi="Book Antiqua" w:cs="Book Antiqua"/>
          <w:color w:val="000000"/>
        </w:rPr>
        <w:t>year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period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identified.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Data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related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therapy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retrospectively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obtained.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transitioned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prospectively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surveyed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satisfaction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productivity.</w:t>
      </w:r>
    </w:p>
    <w:p w14:paraId="50BB2A7D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3759CCC3" w14:textId="65FF2DB5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21BA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B111608" w14:textId="084EF321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lastRenderedPageBreak/>
        <w:t>Our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reinforced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previous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findings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showing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30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IBD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minimal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side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effects.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Furthermore,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careful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selection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receiving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able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transitioned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43612">
        <w:rPr>
          <w:rFonts w:ascii="Book Antiqua" w:eastAsia="Book Antiqua" w:hAnsi="Book Antiqua" w:cs="Book Antiqua"/>
          <w:color w:val="000000"/>
        </w:rPr>
        <w:t>home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based</w:t>
      </w:r>
      <w:proofErr w:type="gram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therapy.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resulted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halving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time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spent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receiving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resulted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54%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reduction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delivery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related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found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transition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highly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satisfying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but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were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neutral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about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receiving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therapy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home.</w:t>
      </w:r>
    </w:p>
    <w:p w14:paraId="2986E56F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371C9377" w14:textId="2A6C6E49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21BA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E520249" w14:textId="0D688C33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our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30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appeared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protocolised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manner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could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delivered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process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ability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substantially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reduce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costs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related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delivery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therapy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provides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viable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alternative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under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resourced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delivery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therapy.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</w:p>
    <w:p w14:paraId="0B2EA45B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1763F7E0" w14:textId="23122398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21BA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129046B" w14:textId="5AFE20A5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Rapid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therapy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delivered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under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supervision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trained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health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staff.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Our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provides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framework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other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selectively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transition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from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traditional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alternative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destinations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such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based.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further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studies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other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infusion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therapies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could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potentially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transitioned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safety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delivered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home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convenience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of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patient.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</w:p>
    <w:p w14:paraId="2092C35F" w14:textId="77777777" w:rsidR="00742C98" w:rsidRDefault="00742C98">
      <w:pPr>
        <w:spacing w:line="360" w:lineRule="auto"/>
        <w:jc w:val="both"/>
        <w:rPr>
          <w:rFonts w:ascii="Book Antiqua" w:hAnsi="Book Antiqua" w:cs="Book Antiqua"/>
        </w:rPr>
      </w:pPr>
    </w:p>
    <w:p w14:paraId="4D9B77FA" w14:textId="0C908D8B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color w:val="000000"/>
        </w:rPr>
        <w:t>REFERENCES</w:t>
      </w:r>
    </w:p>
    <w:p w14:paraId="60569C71" w14:textId="2E6CF11B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bookmarkStart w:id="2" w:name="OLE_LINK1866"/>
      <w:bookmarkStart w:id="3" w:name="OLE_LINK1867"/>
      <w:r w:rsidRPr="00D43612">
        <w:rPr>
          <w:rFonts w:ascii="Book Antiqua" w:hAnsi="Book Antiqua" w:cs="Book Antiqua"/>
        </w:rPr>
        <w:t>1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  <w:b/>
        </w:rPr>
        <w:t>Rutgeerts</w:t>
      </w:r>
      <w:proofErr w:type="spellEnd"/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PJ</w:t>
      </w:r>
      <w:r w:rsidRPr="00D43612">
        <w:rPr>
          <w:rFonts w:ascii="Book Antiqua" w:hAnsi="Book Antiqua" w:cs="Book Antiqua"/>
        </w:rPr>
        <w:t>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Review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article: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efficacy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of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infliximab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Crohn's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disease--induction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and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maintenance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of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remission.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i/>
        </w:rPr>
        <w:t>Aliment</w:t>
      </w:r>
      <w:r w:rsidR="00221BA4">
        <w:rPr>
          <w:rFonts w:ascii="Book Antiqua" w:hAnsi="Book Antiqua" w:cs="Book Antiqua"/>
          <w:i/>
        </w:rPr>
        <w:t xml:space="preserve"> </w:t>
      </w:r>
      <w:proofErr w:type="spellStart"/>
      <w:r w:rsidRPr="00D43612">
        <w:rPr>
          <w:rFonts w:ascii="Book Antiqua" w:hAnsi="Book Antiqua" w:cs="Book Antiqua"/>
          <w:i/>
        </w:rPr>
        <w:t>Pharmacol</w:t>
      </w:r>
      <w:proofErr w:type="spellEnd"/>
      <w:r w:rsidR="00221BA4">
        <w:rPr>
          <w:rFonts w:ascii="Book Antiqua" w:hAnsi="Book Antiqua" w:cs="Book Antiqua"/>
          <w:i/>
        </w:rPr>
        <w:t xml:space="preserve"> </w:t>
      </w:r>
      <w:proofErr w:type="spellStart"/>
      <w:r w:rsidRPr="00D43612">
        <w:rPr>
          <w:rFonts w:ascii="Book Antiqua" w:hAnsi="Book Antiqua" w:cs="Book Antiqua"/>
          <w:i/>
        </w:rPr>
        <w:t>Ther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1999;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13</w:t>
      </w:r>
      <w:r w:rsidR="00221BA4">
        <w:rPr>
          <w:rFonts w:ascii="Book Antiqua" w:hAnsi="Book Antiqua" w:cs="Book Antiqua"/>
          <w:b/>
        </w:rPr>
        <w:t xml:space="preserve"> </w:t>
      </w:r>
      <w:r w:rsidRPr="00221BA4">
        <w:rPr>
          <w:rFonts w:ascii="Book Antiqua" w:hAnsi="Book Antiqua" w:cs="Book Antiqua"/>
          <w:bCs/>
        </w:rPr>
        <w:t>Suppl</w:t>
      </w:r>
      <w:r w:rsidR="00221BA4" w:rsidRPr="00221BA4">
        <w:rPr>
          <w:rFonts w:ascii="Book Antiqua" w:hAnsi="Book Antiqua" w:cs="Book Antiqua"/>
          <w:bCs/>
        </w:rPr>
        <w:t xml:space="preserve"> </w:t>
      </w:r>
      <w:r w:rsidRPr="00221BA4">
        <w:rPr>
          <w:rFonts w:ascii="Book Antiqua" w:hAnsi="Book Antiqua" w:cs="Book Antiqua"/>
          <w:bCs/>
        </w:rPr>
        <w:t>4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9-15;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discussion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38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10597334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10.1046/j.1365-2036.</w:t>
      </w:r>
      <w:proofErr w:type="gramStart"/>
      <w:r w:rsidRPr="00D43612">
        <w:rPr>
          <w:rFonts w:ascii="Book Antiqua" w:hAnsi="Book Antiqua" w:cs="Book Antiqua"/>
        </w:rPr>
        <w:t>1999.00025.x</w:t>
      </w:r>
      <w:proofErr w:type="gramEnd"/>
      <w:r w:rsidRPr="00D43612">
        <w:rPr>
          <w:rFonts w:ascii="Book Antiqua" w:hAnsi="Book Antiqua" w:cs="Book Antiqua"/>
        </w:rPr>
        <w:t>]</w:t>
      </w:r>
    </w:p>
    <w:p w14:paraId="75BC8718" w14:textId="24919193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t>2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  <w:b/>
        </w:rPr>
        <w:t>Rutgeerts</w:t>
      </w:r>
      <w:proofErr w:type="spellEnd"/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P</w:t>
      </w:r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Sandborn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WJ,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Feagan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BG,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Reinisch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W,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Olson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Johanns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J,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Travers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Rachmilewitz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Hanauer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SB,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Lichtenstein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GR,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Villiers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WJ,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Present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Sands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BE,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Colombel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JF.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Infliximab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for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induction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and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maintenance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therapy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for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ulcerative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colitis.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i/>
        </w:rPr>
        <w:t>N</w:t>
      </w:r>
      <w:r w:rsidR="00221BA4">
        <w:rPr>
          <w:rFonts w:ascii="Book Antiqua" w:hAnsi="Book Antiqua" w:cs="Book Antiqua"/>
          <w:i/>
        </w:rPr>
        <w:t xml:space="preserve"> </w:t>
      </w:r>
      <w:proofErr w:type="spellStart"/>
      <w:r w:rsidRPr="00D43612">
        <w:rPr>
          <w:rFonts w:ascii="Book Antiqua" w:hAnsi="Book Antiqua" w:cs="Book Antiqua"/>
          <w:i/>
        </w:rPr>
        <w:t>Engl</w:t>
      </w:r>
      <w:proofErr w:type="spellEnd"/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J</w:t>
      </w:r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Med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2005;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353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2462-2476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16339095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10.1056/NEJMoa050516]</w:t>
      </w:r>
    </w:p>
    <w:p w14:paraId="5C97A113" w14:textId="0D342E9C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lastRenderedPageBreak/>
        <w:t>3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Smolen</w:t>
      </w:r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JS</w:t>
      </w:r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Emery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Infliximab: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12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years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of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experience.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i/>
        </w:rPr>
        <w:t>Arthritis</w:t>
      </w:r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Res</w:t>
      </w:r>
      <w:r w:rsidR="00221BA4">
        <w:rPr>
          <w:rFonts w:ascii="Book Antiqua" w:hAnsi="Book Antiqua" w:cs="Book Antiqua"/>
          <w:i/>
        </w:rPr>
        <w:t xml:space="preserve"> </w:t>
      </w:r>
      <w:proofErr w:type="spellStart"/>
      <w:r w:rsidRPr="00D43612">
        <w:rPr>
          <w:rFonts w:ascii="Book Antiqua" w:hAnsi="Book Antiqua" w:cs="Book Antiqua"/>
          <w:i/>
        </w:rPr>
        <w:t>Ther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2011;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13</w:t>
      </w:r>
      <w:r w:rsidR="00221BA4">
        <w:rPr>
          <w:rFonts w:ascii="Book Antiqua" w:hAnsi="Book Antiqua" w:cs="Book Antiqua"/>
          <w:b/>
        </w:rPr>
        <w:t xml:space="preserve"> </w:t>
      </w:r>
      <w:r w:rsidRPr="00221BA4">
        <w:rPr>
          <w:rFonts w:ascii="Book Antiqua" w:hAnsi="Book Antiqua" w:cs="Book Antiqua"/>
          <w:bCs/>
        </w:rPr>
        <w:t>Suppl</w:t>
      </w:r>
      <w:r w:rsidR="00221BA4">
        <w:rPr>
          <w:rFonts w:ascii="Book Antiqua" w:hAnsi="Book Antiqua" w:cs="Book Antiqua"/>
          <w:b/>
        </w:rPr>
        <w:t xml:space="preserve"> </w:t>
      </w:r>
      <w:r w:rsidRPr="00221BA4">
        <w:rPr>
          <w:rFonts w:ascii="Book Antiqua" w:hAnsi="Book Antiqua" w:cs="Book Antiqua"/>
          <w:bCs/>
        </w:rPr>
        <w:t>1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S2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21624181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10.1186/1478-6354-13-S1-S2]</w:t>
      </w:r>
    </w:p>
    <w:p w14:paraId="400B2B65" w14:textId="20EAE5D5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t>4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  <w:b/>
        </w:rPr>
        <w:t>Hendler</w:t>
      </w:r>
      <w:proofErr w:type="spellEnd"/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SA</w:t>
      </w:r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Cohen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BL,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Colombel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JF,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Sands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BE,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Mayer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L,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Agarwal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High-dose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infliximab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therapy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Crohn's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disease: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clinical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experience,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safety,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and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efficacy.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i/>
        </w:rPr>
        <w:t>J</w:t>
      </w:r>
      <w:r w:rsidR="00221BA4">
        <w:rPr>
          <w:rFonts w:ascii="Book Antiqua" w:hAnsi="Book Antiqua" w:cs="Book Antiqua"/>
          <w:i/>
        </w:rPr>
        <w:t xml:space="preserve"> </w:t>
      </w:r>
      <w:proofErr w:type="spellStart"/>
      <w:r w:rsidRPr="00D43612">
        <w:rPr>
          <w:rFonts w:ascii="Book Antiqua" w:hAnsi="Book Antiqua" w:cs="Book Antiqua"/>
          <w:i/>
        </w:rPr>
        <w:t>Crohns</w:t>
      </w:r>
      <w:proofErr w:type="spellEnd"/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Colitis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2015;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9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266-275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25540149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10.1093/</w:t>
      </w:r>
      <w:proofErr w:type="spellStart"/>
      <w:r w:rsidRPr="00D43612">
        <w:rPr>
          <w:rFonts w:ascii="Book Antiqua" w:hAnsi="Book Antiqua" w:cs="Book Antiqua"/>
        </w:rPr>
        <w:t>ecco-jcc</w:t>
      </w:r>
      <w:proofErr w:type="spellEnd"/>
      <w:r w:rsidRPr="00D43612">
        <w:rPr>
          <w:rFonts w:ascii="Book Antiqua" w:hAnsi="Book Antiqua" w:cs="Book Antiqua"/>
        </w:rPr>
        <w:t>/jju026]</w:t>
      </w:r>
    </w:p>
    <w:p w14:paraId="078CA533" w14:textId="60E2805B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t>5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Gibson</w:t>
      </w:r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DJ</w:t>
      </w:r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Heetun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ZS,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Redmond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CE,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Nanda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KS,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Keegan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Byrne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K,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Mulcahy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HE,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Cullen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Doherty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GA.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accelerated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infliximab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induction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regimen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reduces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the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need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for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early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colectomy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patients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with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acute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severe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ulcerative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colitis.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i/>
        </w:rPr>
        <w:t>Clin</w:t>
      </w:r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Gastroenterol</w:t>
      </w:r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Hepatol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2015;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13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330-335.e1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25086187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10.1016/j.cgh.2014.07.041]</w:t>
      </w:r>
    </w:p>
    <w:p w14:paraId="39AA5165" w14:textId="344E33AB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t>6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Polman</w:t>
      </w:r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CH</w:t>
      </w:r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O'Connor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PW,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Havrdova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E,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Hutchinson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Kappos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L,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Miller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DH,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Phillips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JT,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Lublin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FD,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Giovannoni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Wajgt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Toal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Lynn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F,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Panzara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MA,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Sandrock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AW;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AFFIRM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Investigators.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randomized,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placebo-controlled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trial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of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natalizumab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for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relapsing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multiple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sclerosis.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i/>
        </w:rPr>
        <w:t>N</w:t>
      </w:r>
      <w:r w:rsidR="00221BA4">
        <w:rPr>
          <w:rFonts w:ascii="Book Antiqua" w:hAnsi="Book Antiqua" w:cs="Book Antiqua"/>
          <w:i/>
        </w:rPr>
        <w:t xml:space="preserve"> </w:t>
      </w:r>
      <w:proofErr w:type="spellStart"/>
      <w:r w:rsidRPr="00D43612">
        <w:rPr>
          <w:rFonts w:ascii="Book Antiqua" w:hAnsi="Book Antiqua" w:cs="Book Antiqua"/>
          <w:i/>
        </w:rPr>
        <w:t>Engl</w:t>
      </w:r>
      <w:proofErr w:type="spellEnd"/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J</w:t>
      </w:r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Med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2006;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354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899-910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16510744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10.1056/NEJMoa044397]</w:t>
      </w:r>
    </w:p>
    <w:p w14:paraId="56016E8D" w14:textId="6EB0FA2F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t>7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Jones</w:t>
      </w:r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G</w:t>
      </w:r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Sebba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Gu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J,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Lowenstein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MB,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Calvo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Gomez-</w:t>
      </w:r>
      <w:proofErr w:type="spellStart"/>
      <w:r w:rsidRPr="00D43612">
        <w:rPr>
          <w:rFonts w:ascii="Book Antiqua" w:hAnsi="Book Antiqua" w:cs="Book Antiqua"/>
        </w:rPr>
        <w:t>Reino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JJ,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Siri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DA,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Tomsic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Alecock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E,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Woodworth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Genovese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MC.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Comparison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of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tocilizumab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monotherapy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versus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methotrexate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monotherapy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patients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with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moderate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to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severe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rheumatoid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arthritis: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the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AMBITION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study.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i/>
        </w:rPr>
        <w:t>Ann</w:t>
      </w:r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Rheum</w:t>
      </w:r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Dis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2010;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69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88-96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19297346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10.1136/ard.2008.105197]</w:t>
      </w:r>
    </w:p>
    <w:p w14:paraId="0FFAEF6B" w14:textId="01390AF6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t>8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  <w:b/>
        </w:rPr>
        <w:t>Sandborn</w:t>
      </w:r>
      <w:proofErr w:type="spellEnd"/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WJ</w:t>
      </w:r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Feagan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BG,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Rutgeerts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Hanauer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Colombel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JF,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Sands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BE,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Lukas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Fedorak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RN,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Lee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Bressler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Fox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Rosario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Sankoh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Xu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J,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Stephens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K,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Milch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Parikh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GEMINI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Study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Group.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Vedolizumab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induction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and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maintenance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therapy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for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Crohn's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disease.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i/>
        </w:rPr>
        <w:t>N</w:t>
      </w:r>
      <w:r w:rsidR="00221BA4">
        <w:rPr>
          <w:rFonts w:ascii="Book Antiqua" w:hAnsi="Book Antiqua" w:cs="Book Antiqua"/>
          <w:i/>
        </w:rPr>
        <w:t xml:space="preserve"> </w:t>
      </w:r>
      <w:proofErr w:type="spellStart"/>
      <w:r w:rsidRPr="00D43612">
        <w:rPr>
          <w:rFonts w:ascii="Book Antiqua" w:hAnsi="Book Antiqua" w:cs="Book Antiqua"/>
          <w:i/>
        </w:rPr>
        <w:t>Engl</w:t>
      </w:r>
      <w:proofErr w:type="spellEnd"/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J</w:t>
      </w:r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Med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2013;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369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711-721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23964933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10.1056/NEJMoa1215739]</w:t>
      </w:r>
    </w:p>
    <w:p w14:paraId="28BF8755" w14:textId="457C6C8C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t>9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  <w:b/>
        </w:rPr>
        <w:t>Neef</w:t>
      </w:r>
      <w:proofErr w:type="spellEnd"/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HC</w:t>
      </w:r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Riebschleger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MP,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Adler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J.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Meta-analysis: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rapid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infliximab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infusions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are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safe.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i/>
        </w:rPr>
        <w:t>Aliment</w:t>
      </w:r>
      <w:r w:rsidR="00221BA4">
        <w:rPr>
          <w:rFonts w:ascii="Book Antiqua" w:hAnsi="Book Antiqua" w:cs="Book Antiqua"/>
          <w:i/>
        </w:rPr>
        <w:t xml:space="preserve"> </w:t>
      </w:r>
      <w:proofErr w:type="spellStart"/>
      <w:r w:rsidRPr="00D43612">
        <w:rPr>
          <w:rFonts w:ascii="Book Antiqua" w:hAnsi="Book Antiqua" w:cs="Book Antiqua"/>
          <w:i/>
        </w:rPr>
        <w:t>Pharmacol</w:t>
      </w:r>
      <w:proofErr w:type="spellEnd"/>
      <w:r w:rsidR="00221BA4">
        <w:rPr>
          <w:rFonts w:ascii="Book Antiqua" w:hAnsi="Book Antiqua" w:cs="Book Antiqua"/>
          <w:i/>
        </w:rPr>
        <w:t xml:space="preserve"> </w:t>
      </w:r>
      <w:proofErr w:type="spellStart"/>
      <w:r w:rsidRPr="00D43612">
        <w:rPr>
          <w:rFonts w:ascii="Book Antiqua" w:hAnsi="Book Antiqua" w:cs="Book Antiqua"/>
          <w:i/>
        </w:rPr>
        <w:t>Ther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2013;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38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365-376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23815183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10.1111/apt.12389]</w:t>
      </w:r>
    </w:p>
    <w:p w14:paraId="56B788D7" w14:textId="27BE6A26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t>10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  <w:b/>
        </w:rPr>
        <w:t>Saro</w:t>
      </w:r>
      <w:proofErr w:type="spellEnd"/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C</w:t>
      </w:r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da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la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Coba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Casado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MA,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Morales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JM,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Otero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Resource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use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patients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with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Crohn's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disease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treated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with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infliximab.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i/>
        </w:rPr>
        <w:t>Aliment</w:t>
      </w:r>
      <w:r w:rsidR="00221BA4">
        <w:rPr>
          <w:rFonts w:ascii="Book Antiqua" w:hAnsi="Book Antiqua" w:cs="Book Antiqua"/>
          <w:i/>
        </w:rPr>
        <w:t xml:space="preserve"> </w:t>
      </w:r>
      <w:proofErr w:type="spellStart"/>
      <w:r w:rsidRPr="00D43612">
        <w:rPr>
          <w:rFonts w:ascii="Book Antiqua" w:hAnsi="Book Antiqua" w:cs="Book Antiqua"/>
          <w:i/>
        </w:rPr>
        <w:t>Pharmacol</w:t>
      </w:r>
      <w:proofErr w:type="spellEnd"/>
      <w:r w:rsidR="00221BA4">
        <w:rPr>
          <w:rFonts w:ascii="Book Antiqua" w:hAnsi="Book Antiqua" w:cs="Book Antiqua"/>
          <w:i/>
        </w:rPr>
        <w:t xml:space="preserve"> </w:t>
      </w:r>
      <w:proofErr w:type="spellStart"/>
      <w:r w:rsidRPr="00D43612">
        <w:rPr>
          <w:rFonts w:ascii="Book Antiqua" w:hAnsi="Book Antiqua" w:cs="Book Antiqua"/>
          <w:i/>
        </w:rPr>
        <w:t>Ther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2007;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26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1313-1323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17850419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10.1111/j.1365-2036.</w:t>
      </w:r>
      <w:proofErr w:type="gramStart"/>
      <w:r w:rsidRPr="00D43612">
        <w:rPr>
          <w:rFonts w:ascii="Book Antiqua" w:hAnsi="Book Antiqua" w:cs="Book Antiqua"/>
        </w:rPr>
        <w:t>2007.03507.x</w:t>
      </w:r>
      <w:proofErr w:type="gramEnd"/>
      <w:r w:rsidRPr="00D43612">
        <w:rPr>
          <w:rFonts w:ascii="Book Antiqua" w:hAnsi="Book Antiqua" w:cs="Book Antiqua"/>
        </w:rPr>
        <w:t>]</w:t>
      </w:r>
    </w:p>
    <w:p w14:paraId="5A098C73" w14:textId="0CCE9E56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lastRenderedPageBreak/>
        <w:t>11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Clare</w:t>
      </w:r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DF</w:t>
      </w:r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Alexander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FC,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Mike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Dan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Allan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F,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Lisa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W,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Peter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HJ.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Accelerated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infliximab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infusions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are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safe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and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well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tolerated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patients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with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inflammatory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bowel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disease.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i/>
        </w:rPr>
        <w:t>Eur</w:t>
      </w:r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J</w:t>
      </w:r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Gastroenterol</w:t>
      </w:r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Hepatol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2009;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21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71-75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19060632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10.1097/MEG.0b013e3283081afe]</w:t>
      </w:r>
    </w:p>
    <w:p w14:paraId="3B5E0AA5" w14:textId="6A0A4CC4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t>12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  <w:b/>
        </w:rPr>
        <w:t>Kuin</w:t>
      </w:r>
      <w:proofErr w:type="spellEnd"/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S</w:t>
      </w:r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Stolte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SB,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van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den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Brink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GR,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Ponsioen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CY,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Fockens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D'Haens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GR,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Löwenberg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Short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article: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Remicade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infusions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home: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alternative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setting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of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infliximab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therapy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for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patients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with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Crohn's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disease.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i/>
        </w:rPr>
        <w:t>Eur</w:t>
      </w:r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J</w:t>
      </w:r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Gastroenterol</w:t>
      </w:r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Hepatol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2016;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28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222-225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26566062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10.1097/MEG.0000000000000530]</w:t>
      </w:r>
    </w:p>
    <w:p w14:paraId="21CB20E1" w14:textId="00CF7768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t>13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Le</w:t>
      </w:r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Masson</w:t>
      </w:r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G</w:t>
      </w:r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Solé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Desnuelle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Delmont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E,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Gauthier-</w:t>
      </w:r>
      <w:proofErr w:type="spellStart"/>
      <w:r w:rsidRPr="00D43612">
        <w:rPr>
          <w:rFonts w:ascii="Book Antiqua" w:hAnsi="Book Antiqua" w:cs="Book Antiqua"/>
        </w:rPr>
        <w:t>Darnis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Puget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Durand-Zaleski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Home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versus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hospital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immunoglobulin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treatment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for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autoimmune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neuropathies: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cost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minimization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analysis.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i/>
        </w:rPr>
        <w:t>Brain</w:t>
      </w:r>
      <w:r w:rsidR="00221BA4">
        <w:rPr>
          <w:rFonts w:ascii="Book Antiqua" w:hAnsi="Book Antiqua" w:cs="Book Antiqua"/>
          <w:i/>
        </w:rPr>
        <w:t xml:space="preserve"> </w:t>
      </w:r>
      <w:proofErr w:type="spellStart"/>
      <w:r w:rsidRPr="00D43612">
        <w:rPr>
          <w:rFonts w:ascii="Book Antiqua" w:hAnsi="Book Antiqua" w:cs="Book Antiqua"/>
          <w:i/>
        </w:rPr>
        <w:t>Behav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2018;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8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e00923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29484273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10.1002/brb3.923]</w:t>
      </w:r>
    </w:p>
    <w:p w14:paraId="08B90F6A" w14:textId="7B99D5A3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t>14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  <w:b/>
        </w:rPr>
        <w:t>Colombel</w:t>
      </w:r>
      <w:proofErr w:type="spellEnd"/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JF</w:t>
      </w:r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Sandborn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WJ,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Reinisch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W,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Mantzaris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GJ,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Kornbluth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Rachmilewitz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Lichtiger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D'Haens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Diamond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RH,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Broussard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DL,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Tang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KL,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van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der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Woude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CJ,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Rutgeerts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SONIC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Study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Group.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Infliximab,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azathioprine,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or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combination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therapy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for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Crohn's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disease.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i/>
        </w:rPr>
        <w:t>N</w:t>
      </w:r>
      <w:r w:rsidR="00221BA4">
        <w:rPr>
          <w:rFonts w:ascii="Book Antiqua" w:hAnsi="Book Antiqua" w:cs="Book Antiqua"/>
          <w:i/>
        </w:rPr>
        <w:t xml:space="preserve"> </w:t>
      </w:r>
      <w:proofErr w:type="spellStart"/>
      <w:r w:rsidRPr="00D43612">
        <w:rPr>
          <w:rFonts w:ascii="Book Antiqua" w:hAnsi="Book Antiqua" w:cs="Book Antiqua"/>
          <w:i/>
        </w:rPr>
        <w:t>Engl</w:t>
      </w:r>
      <w:proofErr w:type="spellEnd"/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J</w:t>
      </w:r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Med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2010;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362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1383-1395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20393175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10.1056/NEJMoa0904492]</w:t>
      </w:r>
    </w:p>
    <w:p w14:paraId="3E910769" w14:textId="61AB6A6E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t>15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  <w:b/>
        </w:rPr>
        <w:t>Hanauer</w:t>
      </w:r>
      <w:proofErr w:type="spellEnd"/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SB</w:t>
      </w:r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Feagan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BG,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Lichtenstein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GR,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Mayer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LF,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Schreiber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Colombel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JF,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Rachmilewitz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Wolf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DC,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Olson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Bao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W,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Rutgeerts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ACCENT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Study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Group.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Maintenance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infliximab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for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Crohn's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disease: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the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ACCENT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randomised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trial.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i/>
        </w:rPr>
        <w:t>Lancet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2002;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359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1541-1549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12047962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10.1016/S0140-6736(02)08512-4]</w:t>
      </w:r>
    </w:p>
    <w:p w14:paraId="5CD61FEF" w14:textId="5D8290F3" w:rsidR="006767EC" w:rsidRPr="008C1D5C" w:rsidRDefault="00B416D1">
      <w:pPr>
        <w:widowControl w:val="0"/>
        <w:spacing w:line="360" w:lineRule="auto"/>
        <w:jc w:val="both"/>
        <w:rPr>
          <w:rFonts w:ascii="Book Antiqua" w:hAnsi="Book Antiqua" w:cs="Book Antiqua"/>
          <w:highlight w:val="yellow"/>
        </w:rPr>
      </w:pPr>
      <w:r w:rsidRPr="008C1D5C">
        <w:rPr>
          <w:rFonts w:ascii="Book Antiqua" w:hAnsi="Book Antiqua" w:cs="Book Antiqua"/>
          <w:highlight w:val="yellow"/>
        </w:rPr>
        <w:t>16</w:t>
      </w:r>
      <w:r w:rsidR="00221BA4">
        <w:rPr>
          <w:rFonts w:ascii="Book Antiqua" w:hAnsi="Book Antiqua" w:cs="Book Antiqua"/>
          <w:highlight w:val="yellow"/>
        </w:rPr>
        <w:t xml:space="preserve"> </w:t>
      </w:r>
      <w:proofErr w:type="spellStart"/>
      <w:r w:rsidRPr="008C1D5C">
        <w:rPr>
          <w:rFonts w:ascii="Book Antiqua" w:hAnsi="Book Antiqua" w:cs="Book Antiqua"/>
          <w:b/>
          <w:highlight w:val="yellow"/>
        </w:rPr>
        <w:t>Jannsen</w:t>
      </w:r>
      <w:proofErr w:type="spellEnd"/>
      <w:r w:rsidR="00221BA4">
        <w:rPr>
          <w:rFonts w:ascii="Book Antiqua" w:hAnsi="Book Antiqua" w:cs="Book Antiqua"/>
          <w:b/>
          <w:highlight w:val="yellow"/>
        </w:rPr>
        <w:t xml:space="preserve"> </w:t>
      </w:r>
      <w:r w:rsidRPr="008C1D5C">
        <w:rPr>
          <w:rFonts w:ascii="Book Antiqua" w:hAnsi="Book Antiqua" w:cs="Book Antiqua"/>
          <w:b/>
          <w:highlight w:val="yellow"/>
        </w:rPr>
        <w:t>Australia</w:t>
      </w:r>
      <w:r w:rsidRPr="008C1D5C">
        <w:rPr>
          <w:rFonts w:ascii="Book Antiqua" w:hAnsi="Book Antiqua" w:cs="Book Antiqua"/>
          <w:highlight w:val="yellow"/>
        </w:rPr>
        <w:t>.</w:t>
      </w:r>
      <w:r w:rsidR="00221BA4">
        <w:rPr>
          <w:rFonts w:ascii="Book Antiqua" w:hAnsi="Book Antiqua" w:cs="Book Antiqua"/>
          <w:highlight w:val="yellow"/>
        </w:rPr>
        <w:t xml:space="preserve"> </w:t>
      </w:r>
      <w:r w:rsidRPr="008C1D5C">
        <w:rPr>
          <w:rFonts w:ascii="Book Antiqua" w:hAnsi="Book Antiqua" w:cs="Book Antiqua"/>
          <w:highlight w:val="yellow"/>
        </w:rPr>
        <w:t>Remicade</w:t>
      </w:r>
      <w:r w:rsidR="00221BA4">
        <w:rPr>
          <w:rFonts w:ascii="Book Antiqua" w:hAnsi="Book Antiqua" w:cs="Book Antiqua"/>
          <w:highlight w:val="yellow"/>
        </w:rPr>
        <w:t xml:space="preserve"> </w:t>
      </w:r>
      <w:r w:rsidRPr="008C1D5C">
        <w:rPr>
          <w:rFonts w:ascii="Book Antiqua" w:hAnsi="Book Antiqua" w:cs="Book Antiqua"/>
          <w:highlight w:val="yellow"/>
        </w:rPr>
        <w:t>Product</w:t>
      </w:r>
      <w:r w:rsidR="00221BA4">
        <w:rPr>
          <w:rFonts w:ascii="Book Antiqua" w:hAnsi="Book Antiqua" w:cs="Book Antiqua"/>
          <w:highlight w:val="yellow"/>
        </w:rPr>
        <w:t xml:space="preserve"> </w:t>
      </w:r>
      <w:r w:rsidRPr="008C1D5C">
        <w:rPr>
          <w:rFonts w:ascii="Book Antiqua" w:hAnsi="Book Antiqua" w:cs="Book Antiqua"/>
          <w:highlight w:val="yellow"/>
        </w:rPr>
        <w:t>Information.</w:t>
      </w:r>
      <w:r w:rsidR="00221BA4">
        <w:rPr>
          <w:rFonts w:ascii="Book Antiqua" w:hAnsi="Book Antiqua" w:cs="Book Antiqua"/>
          <w:highlight w:val="yellow"/>
        </w:rPr>
        <w:t xml:space="preserve"> </w:t>
      </w:r>
      <w:r w:rsidRPr="008C1D5C">
        <w:rPr>
          <w:rFonts w:ascii="Book Antiqua" w:hAnsi="Book Antiqua" w:cs="Book Antiqua"/>
          <w:highlight w:val="yellow"/>
        </w:rPr>
        <w:t>Johnson</w:t>
      </w:r>
      <w:r w:rsidR="00221BA4">
        <w:rPr>
          <w:rFonts w:ascii="Book Antiqua" w:hAnsi="Book Antiqua" w:cs="Book Antiqua"/>
          <w:highlight w:val="yellow"/>
        </w:rPr>
        <w:t xml:space="preserve"> </w:t>
      </w:r>
      <w:r w:rsidRPr="008C1D5C">
        <w:rPr>
          <w:rFonts w:ascii="Book Antiqua" w:hAnsi="Book Antiqua" w:cs="Book Antiqua"/>
          <w:highlight w:val="yellow"/>
        </w:rPr>
        <w:t>and</w:t>
      </w:r>
      <w:r w:rsidR="00221BA4">
        <w:rPr>
          <w:rFonts w:ascii="Book Antiqua" w:hAnsi="Book Antiqua" w:cs="Book Antiqua"/>
          <w:highlight w:val="yellow"/>
        </w:rPr>
        <w:t xml:space="preserve"> </w:t>
      </w:r>
      <w:r w:rsidRPr="008C1D5C">
        <w:rPr>
          <w:rFonts w:ascii="Book Antiqua" w:hAnsi="Book Antiqua" w:cs="Book Antiqua"/>
          <w:highlight w:val="yellow"/>
        </w:rPr>
        <w:t>Johnson,</w:t>
      </w:r>
      <w:r w:rsidR="00221BA4">
        <w:rPr>
          <w:rFonts w:ascii="Book Antiqua" w:hAnsi="Book Antiqua" w:cs="Book Antiqua"/>
          <w:highlight w:val="yellow"/>
        </w:rPr>
        <w:t xml:space="preserve"> </w:t>
      </w:r>
      <w:r w:rsidRPr="008C1D5C">
        <w:rPr>
          <w:rFonts w:ascii="Book Antiqua" w:hAnsi="Book Antiqua" w:cs="Book Antiqua"/>
          <w:highlight w:val="yellow"/>
        </w:rPr>
        <w:t>2020</w:t>
      </w:r>
    </w:p>
    <w:p w14:paraId="1D93F708" w14:textId="17E7F5A6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8C1D5C">
        <w:rPr>
          <w:rFonts w:ascii="Book Antiqua" w:hAnsi="Book Antiqua" w:cs="Book Antiqua"/>
          <w:highlight w:val="yellow"/>
        </w:rPr>
        <w:t>17</w:t>
      </w:r>
      <w:r w:rsidR="00221BA4">
        <w:rPr>
          <w:rFonts w:ascii="Book Antiqua" w:hAnsi="Book Antiqua" w:cs="Book Antiqua"/>
          <w:highlight w:val="yellow"/>
        </w:rPr>
        <w:t xml:space="preserve"> </w:t>
      </w:r>
      <w:r w:rsidRPr="008C1D5C">
        <w:rPr>
          <w:rFonts w:ascii="Book Antiqua" w:hAnsi="Book Antiqua" w:cs="Book Antiqua"/>
          <w:b/>
          <w:highlight w:val="yellow"/>
        </w:rPr>
        <w:t>European</w:t>
      </w:r>
      <w:r w:rsidR="00221BA4">
        <w:rPr>
          <w:rFonts w:ascii="Book Antiqua" w:hAnsi="Book Antiqua" w:cs="Book Antiqua"/>
          <w:b/>
          <w:highlight w:val="yellow"/>
        </w:rPr>
        <w:t xml:space="preserve"> </w:t>
      </w:r>
      <w:proofErr w:type="spellStart"/>
      <w:r w:rsidRPr="008C1D5C">
        <w:rPr>
          <w:rFonts w:ascii="Book Antiqua" w:hAnsi="Book Antiqua" w:cs="Book Antiqua"/>
          <w:b/>
          <w:highlight w:val="yellow"/>
        </w:rPr>
        <w:t>Organisation</w:t>
      </w:r>
      <w:proofErr w:type="spellEnd"/>
      <w:r w:rsidR="00221BA4">
        <w:rPr>
          <w:rFonts w:ascii="Book Antiqua" w:hAnsi="Book Antiqua" w:cs="Book Antiqua"/>
          <w:b/>
          <w:highlight w:val="yellow"/>
        </w:rPr>
        <w:t xml:space="preserve"> </w:t>
      </w:r>
      <w:r w:rsidRPr="008C1D5C">
        <w:rPr>
          <w:rFonts w:ascii="Book Antiqua" w:hAnsi="Book Antiqua" w:cs="Book Antiqua"/>
          <w:b/>
          <w:highlight w:val="yellow"/>
        </w:rPr>
        <w:t>for</w:t>
      </w:r>
      <w:r w:rsidR="00221BA4">
        <w:rPr>
          <w:rFonts w:ascii="Book Antiqua" w:hAnsi="Book Antiqua" w:cs="Book Antiqua"/>
          <w:b/>
          <w:highlight w:val="yellow"/>
        </w:rPr>
        <w:t xml:space="preserve"> </w:t>
      </w:r>
      <w:r w:rsidRPr="008C1D5C">
        <w:rPr>
          <w:rFonts w:ascii="Book Antiqua" w:hAnsi="Book Antiqua" w:cs="Book Antiqua"/>
          <w:b/>
          <w:highlight w:val="yellow"/>
        </w:rPr>
        <w:t>Research</w:t>
      </w:r>
      <w:r w:rsidR="00221BA4">
        <w:rPr>
          <w:rFonts w:ascii="Book Antiqua" w:hAnsi="Book Antiqua" w:cs="Book Antiqua"/>
          <w:b/>
          <w:highlight w:val="yellow"/>
        </w:rPr>
        <w:t xml:space="preserve"> </w:t>
      </w:r>
      <w:r w:rsidRPr="008C1D5C">
        <w:rPr>
          <w:rFonts w:ascii="Book Antiqua" w:hAnsi="Book Antiqua" w:cs="Book Antiqua"/>
          <w:b/>
          <w:highlight w:val="yellow"/>
        </w:rPr>
        <w:t>and</w:t>
      </w:r>
      <w:r w:rsidR="00221BA4">
        <w:rPr>
          <w:rFonts w:ascii="Book Antiqua" w:hAnsi="Book Antiqua" w:cs="Book Antiqua"/>
          <w:b/>
          <w:highlight w:val="yellow"/>
        </w:rPr>
        <w:t xml:space="preserve"> </w:t>
      </w:r>
      <w:proofErr w:type="spellStart"/>
      <w:r w:rsidRPr="008C1D5C">
        <w:rPr>
          <w:rFonts w:ascii="Book Antiqua" w:hAnsi="Book Antiqua" w:cs="Book Antiqua"/>
          <w:b/>
          <w:highlight w:val="yellow"/>
        </w:rPr>
        <w:t>Treatement</w:t>
      </w:r>
      <w:proofErr w:type="spellEnd"/>
      <w:r w:rsidR="00221BA4">
        <w:rPr>
          <w:rFonts w:ascii="Book Antiqua" w:hAnsi="Book Antiqua" w:cs="Book Antiqua"/>
          <w:b/>
          <w:highlight w:val="yellow"/>
        </w:rPr>
        <w:t xml:space="preserve"> </w:t>
      </w:r>
      <w:r w:rsidRPr="008C1D5C">
        <w:rPr>
          <w:rFonts w:ascii="Book Antiqua" w:hAnsi="Book Antiqua" w:cs="Book Antiqua"/>
          <w:b/>
          <w:highlight w:val="yellow"/>
        </w:rPr>
        <w:t>of</w:t>
      </w:r>
      <w:r w:rsidR="00221BA4">
        <w:rPr>
          <w:rFonts w:ascii="Book Antiqua" w:hAnsi="Book Antiqua" w:cs="Book Antiqua"/>
          <w:b/>
          <w:highlight w:val="yellow"/>
        </w:rPr>
        <w:t xml:space="preserve"> </w:t>
      </w:r>
      <w:r w:rsidRPr="008C1D5C">
        <w:rPr>
          <w:rFonts w:ascii="Book Antiqua" w:hAnsi="Book Antiqua" w:cs="Book Antiqua"/>
          <w:b/>
          <w:highlight w:val="yellow"/>
        </w:rPr>
        <w:t>Cancer</w:t>
      </w:r>
      <w:r w:rsidRPr="008C1D5C">
        <w:rPr>
          <w:rFonts w:ascii="Book Antiqua" w:hAnsi="Book Antiqua" w:cs="Book Antiqua"/>
          <w:highlight w:val="yellow"/>
        </w:rPr>
        <w:t>.</w:t>
      </w:r>
      <w:r w:rsidR="00221BA4">
        <w:rPr>
          <w:rFonts w:ascii="Book Antiqua" w:hAnsi="Book Antiqua" w:cs="Book Antiqua"/>
          <w:highlight w:val="yellow"/>
        </w:rPr>
        <w:t xml:space="preserve"> </w:t>
      </w:r>
      <w:r w:rsidRPr="008C1D5C">
        <w:rPr>
          <w:rFonts w:ascii="Book Antiqua" w:hAnsi="Book Antiqua" w:cs="Book Antiqua"/>
          <w:highlight w:val="yellow"/>
        </w:rPr>
        <w:t>Common</w:t>
      </w:r>
      <w:r w:rsidR="00221BA4">
        <w:rPr>
          <w:rFonts w:ascii="Book Antiqua" w:hAnsi="Book Antiqua" w:cs="Book Antiqua"/>
          <w:highlight w:val="yellow"/>
        </w:rPr>
        <w:t xml:space="preserve"> </w:t>
      </w:r>
      <w:r w:rsidRPr="008C1D5C">
        <w:rPr>
          <w:rFonts w:ascii="Book Antiqua" w:hAnsi="Book Antiqua" w:cs="Book Antiqua"/>
          <w:highlight w:val="yellow"/>
        </w:rPr>
        <w:t>Toxicity</w:t>
      </w:r>
      <w:r w:rsidR="00221BA4">
        <w:rPr>
          <w:rFonts w:ascii="Book Antiqua" w:hAnsi="Book Antiqua" w:cs="Book Antiqua"/>
          <w:highlight w:val="yellow"/>
        </w:rPr>
        <w:t xml:space="preserve"> </w:t>
      </w:r>
      <w:r w:rsidRPr="008C1D5C">
        <w:rPr>
          <w:rFonts w:ascii="Book Antiqua" w:hAnsi="Book Antiqua" w:cs="Book Antiqua"/>
          <w:highlight w:val="yellow"/>
        </w:rPr>
        <w:t>Criteria</w:t>
      </w:r>
      <w:r w:rsidR="00221BA4">
        <w:rPr>
          <w:rFonts w:ascii="Book Antiqua" w:hAnsi="Book Antiqua" w:cs="Book Antiqua"/>
          <w:highlight w:val="yellow"/>
        </w:rPr>
        <w:t xml:space="preserve"> </w:t>
      </w:r>
      <w:r w:rsidRPr="008C1D5C">
        <w:rPr>
          <w:rFonts w:ascii="Book Antiqua" w:hAnsi="Book Antiqua" w:cs="Book Antiqua"/>
          <w:highlight w:val="yellow"/>
        </w:rPr>
        <w:t>Version</w:t>
      </w:r>
      <w:r w:rsidR="00221BA4">
        <w:rPr>
          <w:rFonts w:ascii="Book Antiqua" w:hAnsi="Book Antiqua" w:cs="Book Antiqua"/>
          <w:highlight w:val="yellow"/>
        </w:rPr>
        <w:t xml:space="preserve"> </w:t>
      </w:r>
      <w:r w:rsidRPr="008C1D5C">
        <w:rPr>
          <w:rFonts w:ascii="Book Antiqua" w:hAnsi="Book Antiqua" w:cs="Book Antiqua"/>
          <w:highlight w:val="yellow"/>
        </w:rPr>
        <w:t>2.0.</w:t>
      </w:r>
      <w:r w:rsidR="00221BA4">
        <w:rPr>
          <w:rFonts w:ascii="Book Antiqua" w:hAnsi="Book Antiqua" w:cs="Book Antiqua"/>
          <w:highlight w:val="yellow"/>
        </w:rPr>
        <w:t xml:space="preserve"> </w:t>
      </w:r>
      <w:r w:rsidRPr="008C1D5C">
        <w:rPr>
          <w:rFonts w:ascii="Book Antiqua" w:hAnsi="Book Antiqua" w:cs="Book Antiqua"/>
          <w:highlight w:val="yellow"/>
        </w:rPr>
        <w:t>1999</w:t>
      </w:r>
    </w:p>
    <w:p w14:paraId="5078B443" w14:textId="622F0B21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t>18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Irvine</w:t>
      </w:r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EJ</w:t>
      </w:r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Zhou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Q,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Thompson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AK.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The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Short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Inflammatory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Bowel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Disease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Questionnaire: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quality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of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life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instrument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for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community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physicians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managing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inflammatory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bowel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disease.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CCRPT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Investigators.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Canadian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Crohn's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Relapse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Prevention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Trial.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i/>
        </w:rPr>
        <w:t>Am</w:t>
      </w:r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J</w:t>
      </w:r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Gastroenterol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1996;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91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1571-1578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8759664]</w:t>
      </w:r>
    </w:p>
    <w:p w14:paraId="41A85DAF" w14:textId="1F28D0F1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t>19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Swart</w:t>
      </w:r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N,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Wellsted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Lithgo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K,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Price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Johnson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MW.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PWE-111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Assessment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and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lastRenderedPageBreak/>
        <w:t>Implications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of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Health-Related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Quality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of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Life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District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General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Cohort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of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Inflammatory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Bowel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Disease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Patients.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i/>
          <w:iCs/>
        </w:rPr>
        <w:t>Gut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2013;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  <w:bCs/>
        </w:rPr>
        <w:t>62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221BA4">
        <w:rPr>
          <w:rFonts w:ascii="Book Antiqua" w:hAnsi="Book Antiqua" w:cs="Book Antiqua"/>
        </w:rPr>
        <w:t>Suppl</w:t>
      </w:r>
      <w:r w:rsidR="00221BA4" w:rsidRPr="00221BA4">
        <w:rPr>
          <w:rFonts w:ascii="Book Antiqua" w:hAnsi="Book Antiqua" w:cs="Book Antiqua"/>
        </w:rPr>
        <w:t xml:space="preserve"> </w:t>
      </w:r>
      <w:r w:rsidRPr="00221BA4">
        <w:rPr>
          <w:rFonts w:ascii="Book Antiqua" w:hAnsi="Book Antiqua" w:cs="Book Antiqua"/>
        </w:rPr>
        <w:t>1</w:t>
      </w:r>
      <w:r w:rsidRPr="00D43612">
        <w:rPr>
          <w:rFonts w:ascii="Book Antiqua" w:hAnsi="Book Antiqua" w:cs="Book Antiqua"/>
          <w:b/>
          <w:bCs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A176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10.1136/gutjnl-2013-304907.399]</w:t>
      </w:r>
    </w:p>
    <w:p w14:paraId="731ED943" w14:textId="4DD6CD0D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t>20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Reilly</w:t>
      </w:r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MC</w:t>
      </w:r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Gerlier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L,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Brabant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Y,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Brown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Validity,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reliability,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and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responsiveness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of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the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work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productivity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and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activity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impairment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questionnaire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Crohn's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disease.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i/>
        </w:rPr>
        <w:t>Clin</w:t>
      </w:r>
      <w:r w:rsidR="00221BA4">
        <w:rPr>
          <w:rFonts w:ascii="Book Antiqua" w:hAnsi="Book Antiqua" w:cs="Book Antiqua"/>
          <w:i/>
        </w:rPr>
        <w:t xml:space="preserve"> </w:t>
      </w:r>
      <w:proofErr w:type="spellStart"/>
      <w:r w:rsidRPr="00D43612">
        <w:rPr>
          <w:rFonts w:ascii="Book Antiqua" w:hAnsi="Book Antiqua" w:cs="Book Antiqua"/>
          <w:i/>
        </w:rPr>
        <w:t>Ther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2008;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30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393-404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18343277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10.1016/j.clinthera.2008.02.016]</w:t>
      </w:r>
    </w:p>
    <w:p w14:paraId="0181E59E" w14:textId="43371033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t>21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Bhat</w:t>
      </w:r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S</w:t>
      </w:r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Sharma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Doherty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Tham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TC,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Caddy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GR.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Are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accelerated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infliximab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infusions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safe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patients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with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inflammatory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bowel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disease?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  <w:i/>
        </w:rPr>
        <w:t>Inflamm</w:t>
      </w:r>
      <w:proofErr w:type="spellEnd"/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Bowel</w:t>
      </w:r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Dis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2010;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16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1922-1925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20848465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10.1002/ibd.21279]</w:t>
      </w:r>
    </w:p>
    <w:p w14:paraId="6F527EB1" w14:textId="49D60742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t>22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Van</w:t>
      </w:r>
      <w:r w:rsidR="00221BA4">
        <w:rPr>
          <w:rFonts w:ascii="Book Antiqua" w:hAnsi="Book Antiqua" w:cs="Book Antiqua"/>
          <w:b/>
        </w:rPr>
        <w:t xml:space="preserve"> </w:t>
      </w:r>
      <w:proofErr w:type="spellStart"/>
      <w:r w:rsidRPr="00D43612">
        <w:rPr>
          <w:rFonts w:ascii="Book Antiqua" w:hAnsi="Book Antiqua" w:cs="Book Antiqua"/>
          <w:b/>
        </w:rPr>
        <w:t>Assche</w:t>
      </w:r>
      <w:proofErr w:type="spellEnd"/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G</w:t>
      </w:r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Vermeire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Noman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Amant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Weyts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E,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Vleminckx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Vermeyen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MJ,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Rutgeerts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Infliximab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administered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with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shortened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infusion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times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specialized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IBD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infusion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unit: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prospective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cohort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study.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i/>
        </w:rPr>
        <w:t>J</w:t>
      </w:r>
      <w:r w:rsidR="00221BA4">
        <w:rPr>
          <w:rFonts w:ascii="Book Antiqua" w:hAnsi="Book Antiqua" w:cs="Book Antiqua"/>
          <w:i/>
        </w:rPr>
        <w:t xml:space="preserve"> </w:t>
      </w:r>
      <w:proofErr w:type="spellStart"/>
      <w:r w:rsidRPr="00D43612">
        <w:rPr>
          <w:rFonts w:ascii="Book Antiqua" w:hAnsi="Book Antiqua" w:cs="Book Antiqua"/>
          <w:i/>
        </w:rPr>
        <w:t>Crohns</w:t>
      </w:r>
      <w:proofErr w:type="spellEnd"/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Colitis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2010;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4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329-333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21122522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10.1016/j.crohns.2009.12.012]</w:t>
      </w:r>
    </w:p>
    <w:p w14:paraId="4AD33128" w14:textId="01C78FEC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t>23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  <w:b/>
        </w:rPr>
        <w:t>Cheifetz</w:t>
      </w:r>
      <w:proofErr w:type="spellEnd"/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A</w:t>
      </w:r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Smedley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Martin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Reiter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Leone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Mayer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L,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Plevy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The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incidence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and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management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of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infusion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reactions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to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infliximab: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large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center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experience.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i/>
        </w:rPr>
        <w:t>Am</w:t>
      </w:r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J</w:t>
      </w:r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Gastroenterol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2003;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98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1315-1324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12818276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10.1111/j.1572-0241.</w:t>
      </w:r>
      <w:proofErr w:type="gramStart"/>
      <w:r w:rsidRPr="00D43612">
        <w:rPr>
          <w:rFonts w:ascii="Book Antiqua" w:hAnsi="Book Antiqua" w:cs="Book Antiqua"/>
        </w:rPr>
        <w:t>2003.07457.x</w:t>
      </w:r>
      <w:proofErr w:type="gramEnd"/>
      <w:r w:rsidRPr="00D43612">
        <w:rPr>
          <w:rFonts w:ascii="Book Antiqua" w:hAnsi="Book Antiqua" w:cs="Book Antiqua"/>
        </w:rPr>
        <w:t>]</w:t>
      </w:r>
    </w:p>
    <w:p w14:paraId="23119D48" w14:textId="1FF154B7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t>24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  <w:b/>
        </w:rPr>
        <w:t>Baert</w:t>
      </w:r>
      <w:proofErr w:type="spellEnd"/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F</w:t>
      </w:r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Noman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Vermeire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Van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Assche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D'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Haens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Carbonez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Rutgeerts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Influence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of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immunogenicity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the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long-term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efficacy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of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infliximab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Crohn's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disease.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i/>
        </w:rPr>
        <w:t>N</w:t>
      </w:r>
      <w:r w:rsidR="00221BA4">
        <w:rPr>
          <w:rFonts w:ascii="Book Antiqua" w:hAnsi="Book Antiqua" w:cs="Book Antiqua"/>
          <w:i/>
        </w:rPr>
        <w:t xml:space="preserve"> </w:t>
      </w:r>
      <w:proofErr w:type="spellStart"/>
      <w:r w:rsidRPr="00D43612">
        <w:rPr>
          <w:rFonts w:ascii="Book Antiqua" w:hAnsi="Book Antiqua" w:cs="Book Antiqua"/>
          <w:i/>
        </w:rPr>
        <w:t>Engl</w:t>
      </w:r>
      <w:proofErr w:type="spellEnd"/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J</w:t>
      </w:r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Med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2003;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348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601-608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12584368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10.1056/NEJMoa020888]</w:t>
      </w:r>
    </w:p>
    <w:p w14:paraId="75CB8D26" w14:textId="6A2FB844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t>25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  <w:b/>
        </w:rPr>
        <w:t>Sazonovs</w:t>
      </w:r>
      <w:proofErr w:type="spellEnd"/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A</w:t>
      </w:r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Kennedy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NA,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Moutsianas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L,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Heap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GA,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Rice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DL,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Reppell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Bewshea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CM,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Chanchlani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N,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Walker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GJ,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Perry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MH,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McDonald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TJ,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Lees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CW,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Cummings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JRF,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Parkes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Mansfield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JC,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Irving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PM,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Barrett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JC,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McGovern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Goodhand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JR,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Anderson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CA,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Ahmad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PANTS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Consortium.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HLA-DQA1*05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Carriage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Associated</w:t>
      </w:r>
      <w:r w:rsidR="00221BA4">
        <w:rPr>
          <w:rFonts w:ascii="Book Antiqua" w:hAnsi="Book Antiqua" w:cs="Book Antiqua"/>
        </w:rPr>
        <w:t xml:space="preserve"> </w:t>
      </w:r>
      <w:proofErr w:type="gramStart"/>
      <w:r w:rsidRPr="00D43612">
        <w:rPr>
          <w:rFonts w:ascii="Book Antiqua" w:hAnsi="Book Antiqua" w:cs="Book Antiqua"/>
        </w:rPr>
        <w:t>With</w:t>
      </w:r>
      <w:proofErr w:type="gram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Development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of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Anti-Drug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Antibodies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to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Infliximab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and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Adalimumab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Patients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With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Crohn's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Disease.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i/>
        </w:rPr>
        <w:t>Gastroenterology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2020;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158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189-199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31600487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10.1053/j.gastro.2019.09.041]</w:t>
      </w:r>
    </w:p>
    <w:p w14:paraId="1CF2DB46" w14:textId="4C9DFA73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t>26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  <w:b/>
        </w:rPr>
        <w:t>Steenholdt</w:t>
      </w:r>
      <w:proofErr w:type="spellEnd"/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C</w:t>
      </w:r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Svenson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Bendtzen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K,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Thomsen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OØ,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Brynskov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J,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Ainsworth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MA.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Severe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infusion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reactions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to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infliximab: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aetiology</w:t>
      </w:r>
      <w:proofErr w:type="spellEnd"/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immunogenicity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and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risk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factors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patients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with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inflammatory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bowel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disease.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i/>
        </w:rPr>
        <w:t>Aliment</w:t>
      </w:r>
      <w:r w:rsidR="00221BA4">
        <w:rPr>
          <w:rFonts w:ascii="Book Antiqua" w:hAnsi="Book Antiqua" w:cs="Book Antiqua"/>
          <w:i/>
        </w:rPr>
        <w:t xml:space="preserve"> </w:t>
      </w:r>
      <w:proofErr w:type="spellStart"/>
      <w:r w:rsidRPr="00D43612">
        <w:rPr>
          <w:rFonts w:ascii="Book Antiqua" w:hAnsi="Book Antiqua" w:cs="Book Antiqua"/>
          <w:i/>
        </w:rPr>
        <w:t>Pharmacol</w:t>
      </w:r>
      <w:proofErr w:type="spellEnd"/>
      <w:r w:rsidR="00221BA4">
        <w:rPr>
          <w:rFonts w:ascii="Book Antiqua" w:hAnsi="Book Antiqua" w:cs="Book Antiqua"/>
          <w:i/>
        </w:rPr>
        <w:t xml:space="preserve"> </w:t>
      </w:r>
      <w:proofErr w:type="spellStart"/>
      <w:r w:rsidRPr="00D43612">
        <w:rPr>
          <w:rFonts w:ascii="Book Antiqua" w:hAnsi="Book Antiqua" w:cs="Book Antiqua"/>
          <w:i/>
        </w:rPr>
        <w:t>Ther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2011;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34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51-58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21535447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10.1111/j.1365-2036.</w:t>
      </w:r>
      <w:proofErr w:type="gramStart"/>
      <w:r w:rsidRPr="00D43612">
        <w:rPr>
          <w:rFonts w:ascii="Book Antiqua" w:hAnsi="Book Antiqua" w:cs="Book Antiqua"/>
        </w:rPr>
        <w:t>2011.04682.x</w:t>
      </w:r>
      <w:proofErr w:type="gramEnd"/>
      <w:r w:rsidRPr="00D43612">
        <w:rPr>
          <w:rFonts w:ascii="Book Antiqua" w:hAnsi="Book Antiqua" w:cs="Book Antiqua"/>
        </w:rPr>
        <w:t>]</w:t>
      </w:r>
    </w:p>
    <w:p w14:paraId="2BD2D8A2" w14:textId="12451138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lastRenderedPageBreak/>
        <w:t>27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  <w:b/>
        </w:rPr>
        <w:t>Dotan</w:t>
      </w:r>
      <w:proofErr w:type="spellEnd"/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I</w:t>
      </w:r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Y,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Yanai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H,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Becker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Fishman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Yahav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L,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Ben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Yehoyada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Mould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DR.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Patient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factors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that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increase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infliximab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clearance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and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shorten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half-life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inflammatory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bowel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disease: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population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pharmacokinetic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study.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  <w:i/>
        </w:rPr>
        <w:t>Inflamm</w:t>
      </w:r>
      <w:proofErr w:type="spellEnd"/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Bowel</w:t>
      </w:r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Dis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2014;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20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2247-2259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25358062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10.1097/MIB.0000000000000212]</w:t>
      </w:r>
    </w:p>
    <w:p w14:paraId="52CD8E46" w14:textId="5B5BAA13" w:rsidR="006767EC" w:rsidRPr="00D43612" w:rsidRDefault="00B416D1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t>28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Sharma</w:t>
      </w:r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S</w:t>
      </w:r>
      <w:r w:rsidRPr="00D43612">
        <w:rPr>
          <w:rFonts w:ascii="Book Antiqua" w:hAnsi="Book Antiqua" w:cs="Book Antiqua"/>
        </w:rPr>
        <w:t>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Eckert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Hyams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JS,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Mensing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Thakkar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RB,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Robinson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AM,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Rosh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JR,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Ruemmele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FM,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</w:rPr>
        <w:t>Awni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WM.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Pharmacokinetics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and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exposure-efficacy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relationship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of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adalimumab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pediatric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patients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with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moderate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to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severe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Crohn's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disease: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results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from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randomized,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multicenter,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phase-3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study.</w:t>
      </w:r>
      <w:r w:rsidR="00221BA4">
        <w:rPr>
          <w:rFonts w:ascii="Book Antiqua" w:hAnsi="Book Antiqua" w:cs="Book Antiqua"/>
        </w:rPr>
        <w:t xml:space="preserve"> </w:t>
      </w:r>
      <w:proofErr w:type="spellStart"/>
      <w:r w:rsidRPr="00D43612">
        <w:rPr>
          <w:rFonts w:ascii="Book Antiqua" w:hAnsi="Book Antiqua" w:cs="Book Antiqua"/>
          <w:i/>
        </w:rPr>
        <w:t>Inflamm</w:t>
      </w:r>
      <w:proofErr w:type="spellEnd"/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Bowel</w:t>
      </w:r>
      <w:r w:rsidR="00221BA4">
        <w:rPr>
          <w:rFonts w:ascii="Book Antiqua" w:hAnsi="Book Antiqua" w:cs="Book Antiqua"/>
          <w:i/>
        </w:rPr>
        <w:t xml:space="preserve"> </w:t>
      </w:r>
      <w:r w:rsidRPr="00D43612">
        <w:rPr>
          <w:rFonts w:ascii="Book Antiqua" w:hAnsi="Book Antiqua" w:cs="Book Antiqua"/>
          <w:i/>
        </w:rPr>
        <w:t>Dis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2015;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  <w:b/>
        </w:rPr>
        <w:t>21</w:t>
      </w:r>
      <w:r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783-792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[PMID: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25723614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DOI: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10.1097/MIB.0000000000000327]</w:t>
      </w:r>
    </w:p>
    <w:bookmarkEnd w:id="2"/>
    <w:bookmarkEnd w:id="3"/>
    <w:p w14:paraId="32D801F3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23CF9E0C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  <w:lang w:eastAsia="zh-CN"/>
        </w:rPr>
        <w:sectPr w:rsidR="006767EC" w:rsidRPr="00D436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EEF2DF" w14:textId="77777777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FE83DE9" w14:textId="5DC1B090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reviewed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approved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Human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Research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Ethics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Committee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Eastern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Health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audit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activity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committee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provided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waiver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informed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consent.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Reference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number: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64/2017</w:t>
      </w:r>
      <w:r w:rsidR="00C965D3">
        <w:rPr>
          <w:rFonts w:ascii="Book Antiqua" w:eastAsia="Book Antiqua" w:hAnsi="Book Antiqua" w:cs="Book Antiqua"/>
          <w:color w:val="000000"/>
        </w:rPr>
        <w:t>.</w:t>
      </w:r>
    </w:p>
    <w:p w14:paraId="6B9BF8DF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59A76C0F" w14:textId="6A9F67AA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study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reviewed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approved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Human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Research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Ethics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Committee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Eastern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Health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audit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activity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committee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provided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waiver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informed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consent.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Reference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number: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64/2017</w:t>
      </w:r>
      <w:r w:rsidR="00C965D3">
        <w:rPr>
          <w:rFonts w:ascii="Book Antiqua" w:eastAsia="Book Antiqua" w:hAnsi="Book Antiqua" w:cs="Book Antiqua"/>
          <w:color w:val="000000"/>
        </w:rPr>
        <w:t>.</w:t>
      </w:r>
    </w:p>
    <w:p w14:paraId="06E96EC5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444B1D95" w14:textId="54A63C71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None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declared.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</w:p>
    <w:p w14:paraId="10BAC8CE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68B63AFC" w14:textId="4289F270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addit</w:t>
      </w:r>
      <w:r w:rsidR="00C965D3">
        <w:rPr>
          <w:rFonts w:ascii="Book Antiqua" w:eastAsia="Book Antiqua" w:hAnsi="Book Antiqua" w:cs="Book Antiqua"/>
          <w:color w:val="000000"/>
        </w:rPr>
        <w:t>i</w:t>
      </w:r>
      <w:r w:rsidRPr="00D43612">
        <w:rPr>
          <w:rFonts w:ascii="Book Antiqua" w:eastAsia="Book Antiqua" w:hAnsi="Book Antiqua" w:cs="Book Antiqua"/>
          <w:color w:val="000000"/>
        </w:rPr>
        <w:t>onal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data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available.</w:t>
      </w:r>
    </w:p>
    <w:p w14:paraId="3201BF92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081F1EB5" w14:textId="351A076A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article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open-access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article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that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was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selected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in-house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editor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fully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peer-reviewed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external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reviewers.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distributed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accordance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with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Creative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Commons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Attribution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(CC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BY-NC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4.0)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license,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which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permits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others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to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distribute,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remix,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adapt,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build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upon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work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non-commercially,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license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their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derivative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works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on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different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terms,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provided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original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work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properly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cited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the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use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is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non-commercial.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See: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CE9B0FD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1C37AC55" w14:textId="4D59756B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color w:val="000000"/>
        </w:rPr>
        <w:t>Manuscript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source: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Invited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manuscript</w:t>
      </w:r>
    </w:p>
    <w:p w14:paraId="1EDB0B3A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544A7B72" w14:textId="7134F068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color w:val="000000"/>
        </w:rPr>
        <w:t>Peer-review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started: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May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28,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2020</w:t>
      </w:r>
    </w:p>
    <w:p w14:paraId="486EBA47" w14:textId="0DBA37DA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color w:val="000000"/>
        </w:rPr>
        <w:t>First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decision: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July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25,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2020</w:t>
      </w:r>
    </w:p>
    <w:p w14:paraId="5AED04EA" w14:textId="46579D00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color w:val="000000"/>
        </w:rPr>
        <w:t>Article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in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press: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1E27E04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790946B3" w14:textId="4DACAC82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color w:val="000000"/>
        </w:rPr>
        <w:t>Specialty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type: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Gastroenterology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and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hepatology</w:t>
      </w:r>
    </w:p>
    <w:p w14:paraId="73EA4CC4" w14:textId="235C14CC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color w:val="000000"/>
        </w:rPr>
        <w:t>Country/Territory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of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origin: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Australia</w:t>
      </w:r>
    </w:p>
    <w:p w14:paraId="7E8FF243" w14:textId="77480D86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color w:val="000000"/>
        </w:rPr>
        <w:t>Peer-review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report’s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scientific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quality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34DE64E" w14:textId="5FD8FC21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(Excellent):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0</w:t>
      </w:r>
    </w:p>
    <w:p w14:paraId="0E8922D1" w14:textId="3E3CCA37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Grade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(Very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good):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</w:t>
      </w:r>
      <w:r w:rsidR="0082536A">
        <w:rPr>
          <w:rFonts w:ascii="Book Antiqua" w:eastAsia="Book Antiqua" w:hAnsi="Book Antiqua" w:cs="Book Antiqua"/>
          <w:color w:val="000000"/>
        </w:rPr>
        <w:t>, B</w:t>
      </w:r>
    </w:p>
    <w:p w14:paraId="3E0975BB" w14:textId="3A1B6D62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Grade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(Good):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C</w:t>
      </w:r>
    </w:p>
    <w:p w14:paraId="0BF65D8E" w14:textId="173E8DDE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Grade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(Fair):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0</w:t>
      </w:r>
    </w:p>
    <w:p w14:paraId="056FC32B" w14:textId="083CCAD5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color w:val="000000"/>
        </w:rPr>
        <w:t>Grade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E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(Poor):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0</w:t>
      </w:r>
    </w:p>
    <w:p w14:paraId="2B9EED0A" w14:textId="77777777" w:rsidR="006767EC" w:rsidRPr="00D43612" w:rsidRDefault="006767EC">
      <w:pPr>
        <w:spacing w:line="360" w:lineRule="auto"/>
        <w:jc w:val="both"/>
        <w:rPr>
          <w:rFonts w:ascii="Book Antiqua" w:hAnsi="Book Antiqua" w:cs="Book Antiqua"/>
        </w:rPr>
      </w:pPr>
    </w:p>
    <w:p w14:paraId="0AF856C0" w14:textId="25149081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  <w:sectPr w:rsidR="006767EC" w:rsidRPr="00D436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43612">
        <w:rPr>
          <w:rFonts w:ascii="Book Antiqua" w:eastAsia="Book Antiqua" w:hAnsi="Book Antiqua" w:cs="Book Antiqua"/>
          <w:b/>
          <w:color w:val="000000"/>
        </w:rPr>
        <w:t>P-Reviewer: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Sozutek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A,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color w:val="000000"/>
        </w:rPr>
        <w:t>Velikova</w:t>
      </w:r>
      <w:proofErr w:type="spellEnd"/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TV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S-Editor: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Gong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ZM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L-Editor: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P-Editor: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424CD7A" w14:textId="74D756F4" w:rsidR="006767EC" w:rsidRPr="00D43612" w:rsidRDefault="00B416D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43612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21BA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color w:val="000000"/>
        </w:rPr>
        <w:t>Legends</w:t>
      </w:r>
    </w:p>
    <w:p w14:paraId="42EBB755" w14:textId="77777777" w:rsidR="006767EC" w:rsidRPr="00D43612" w:rsidRDefault="00B416D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43612">
        <w:rPr>
          <w:rFonts w:ascii="Book Antiqua" w:hAnsi="Book Antiqua" w:cs="Book Antiqua"/>
          <w:noProof/>
          <w:lang w:eastAsia="zh-CN"/>
        </w:rPr>
        <w:drawing>
          <wp:inline distT="0" distB="0" distL="114300" distR="114300" wp14:anchorId="48BFE4C1" wp14:editId="04B7950C">
            <wp:extent cx="5911149" cy="3355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4718" cy="335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51503" w14:textId="4508DC3A" w:rsidR="006767EC" w:rsidRPr="00D43612" w:rsidRDefault="00B416D1">
      <w:pPr>
        <w:spacing w:line="360" w:lineRule="auto"/>
        <w:jc w:val="both"/>
        <w:rPr>
          <w:rFonts w:ascii="Book Antiqua" w:eastAsia="宋体" w:hAnsi="Book Antiqua" w:cs="Book Antiqua"/>
          <w:lang w:eastAsia="zh-CN"/>
        </w:rPr>
      </w:pPr>
      <w:r w:rsidRPr="00D4361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1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Rapid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infliximab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infusion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protocol.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BP: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Blood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pressure;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IV: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Intravenous;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IFX:</w:t>
      </w:r>
      <w:r w:rsidR="00221BA4">
        <w:rPr>
          <w:rFonts w:ascii="Book Antiqua" w:eastAsia="Book Antiqua" w:hAnsi="Book Antiqua" w:cs="Book Antiqua"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color w:val="000000"/>
        </w:rPr>
        <w:t>Infliximab.</w:t>
      </w:r>
    </w:p>
    <w:p w14:paraId="5A640BD3" w14:textId="77777777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br w:type="page"/>
      </w:r>
      <w:r w:rsidR="00526599">
        <w:rPr>
          <w:noProof/>
          <w:lang w:eastAsia="zh-CN"/>
        </w:rPr>
        <w:lastRenderedPageBreak/>
        <w:drawing>
          <wp:inline distT="0" distB="0" distL="0" distR="0" wp14:anchorId="11DDAFC0" wp14:editId="00AC09AF">
            <wp:extent cx="3997437" cy="35383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3914" cy="354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68188" w14:textId="565A97DA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2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Needle-to-departure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times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C34B6" w:rsidRPr="00D4361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tandard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C34B6" w:rsidRPr="00D43612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apid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(further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subdivided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by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infusion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b/>
          <w:bCs/>
          <w:color w:val="000000"/>
        </w:rPr>
        <w:t>centre</w:t>
      </w:r>
      <w:proofErr w:type="spellEnd"/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home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based)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infliximab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protocols.</w:t>
      </w:r>
    </w:p>
    <w:p w14:paraId="1F441D1E" w14:textId="77777777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br w:type="page"/>
      </w:r>
      <w:r w:rsidRPr="00D43612">
        <w:rPr>
          <w:rFonts w:ascii="Book Antiqua" w:hAnsi="Book Antiqua" w:cs="Book Antiqua"/>
          <w:noProof/>
          <w:lang w:eastAsia="zh-CN"/>
        </w:rPr>
        <w:lastRenderedPageBreak/>
        <w:drawing>
          <wp:inline distT="0" distB="0" distL="114300" distR="114300" wp14:anchorId="62FC2323" wp14:editId="7DDCE821">
            <wp:extent cx="5949477" cy="30771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9670" cy="308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DD228" w14:textId="31EC855B" w:rsidR="006767EC" w:rsidRPr="00D43612" w:rsidRDefault="00B416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D4361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3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Results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satisfaction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survey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preferences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regarding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standard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rapid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infusion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43612">
        <w:rPr>
          <w:rFonts w:ascii="Book Antiqua" w:eastAsia="Book Antiqua" w:hAnsi="Book Antiqua" w:cs="Book Antiqua"/>
          <w:b/>
          <w:bCs/>
          <w:color w:val="000000"/>
        </w:rPr>
        <w:t>centre</w:t>
      </w:r>
      <w:proofErr w:type="spellEnd"/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home-based</w:t>
      </w:r>
      <w:r w:rsidR="00221BA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3612">
        <w:rPr>
          <w:rFonts w:ascii="Book Antiqua" w:eastAsia="Book Antiqua" w:hAnsi="Book Antiqua" w:cs="Book Antiqua"/>
          <w:b/>
          <w:bCs/>
          <w:color w:val="000000"/>
        </w:rPr>
        <w:t>infusions.</w:t>
      </w:r>
    </w:p>
    <w:p w14:paraId="42928EF4" w14:textId="77777777" w:rsidR="00742C98" w:rsidRDefault="00B416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742C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43612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7A13FC3B" w14:textId="4C82DB7B" w:rsidR="006767EC" w:rsidRPr="00D43612" w:rsidRDefault="00B416D1">
      <w:pPr>
        <w:spacing w:line="360" w:lineRule="auto"/>
        <w:jc w:val="both"/>
        <w:rPr>
          <w:rFonts w:ascii="Book Antiqua" w:hAnsi="Book Antiqua" w:cs="Book Antiqua"/>
          <w:b/>
          <w:bCs/>
        </w:rPr>
      </w:pPr>
      <w:r w:rsidRPr="00D43612">
        <w:rPr>
          <w:rFonts w:ascii="Book Antiqua" w:hAnsi="Book Antiqua" w:cs="Book Antiqua"/>
          <w:b/>
          <w:bCs/>
        </w:rPr>
        <w:lastRenderedPageBreak/>
        <w:t>Table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1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Baseline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characteristics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comparing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the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="00F529E5" w:rsidRPr="00D43612">
        <w:rPr>
          <w:rFonts w:ascii="Book Antiqua" w:hAnsi="Book Antiqua" w:cs="Book Antiqua"/>
          <w:b/>
          <w:bCs/>
        </w:rPr>
        <w:t>s</w:t>
      </w:r>
      <w:r w:rsidRPr="00D43612">
        <w:rPr>
          <w:rFonts w:ascii="Book Antiqua" w:hAnsi="Book Antiqua" w:cs="Book Antiqua"/>
          <w:b/>
          <w:bCs/>
        </w:rPr>
        <w:t>tandard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infusion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(</w:t>
      </w:r>
      <w:r w:rsidRPr="00D43612">
        <w:rPr>
          <w:rFonts w:ascii="Book Antiqua" w:hAnsi="Book Antiqua" w:cs="Book Antiqua"/>
          <w:b/>
          <w:bCs/>
          <w:i/>
          <w:iCs/>
        </w:rPr>
        <w:t>n</w:t>
      </w:r>
      <w:r w:rsidR="00221BA4">
        <w:rPr>
          <w:rFonts w:ascii="Book Antiqua" w:hAnsi="Book Antiqua" w:cs="Book Antiqua"/>
          <w:b/>
          <w:bCs/>
          <w:i/>
          <w:i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=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169)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and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="00FA00D0" w:rsidRPr="00D43612">
        <w:rPr>
          <w:rFonts w:ascii="Book Antiqua" w:hAnsi="Book Antiqua" w:cs="Book Antiqua"/>
          <w:b/>
          <w:bCs/>
        </w:rPr>
        <w:t>r</w:t>
      </w:r>
      <w:r w:rsidRPr="00D43612">
        <w:rPr>
          <w:rFonts w:ascii="Book Antiqua" w:hAnsi="Book Antiqua" w:cs="Book Antiqua"/>
          <w:b/>
          <w:bCs/>
        </w:rPr>
        <w:t>apid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infusion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(</w:t>
      </w:r>
      <w:r w:rsidRPr="00D43612">
        <w:rPr>
          <w:rFonts w:ascii="Book Antiqua" w:hAnsi="Book Antiqua" w:cs="Book Antiqua"/>
          <w:b/>
          <w:bCs/>
          <w:i/>
          <w:iCs/>
        </w:rPr>
        <w:t>n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=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129)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cohorts</w:t>
      </w:r>
      <w:r w:rsidR="00221BA4">
        <w:rPr>
          <w:rFonts w:ascii="Book Antiqua" w:hAnsi="Book Antiqua" w:cs="Book Antiqua"/>
          <w:b/>
          <w:bCs/>
        </w:rPr>
        <w:t xml:space="preserve"> </w:t>
      </w:r>
    </w:p>
    <w:tbl>
      <w:tblPr>
        <w:tblStyle w:val="a3"/>
        <w:tblpPr w:leftFromText="180" w:rightFromText="180" w:vertAnchor="text" w:tblpX="40" w:tblpY="1"/>
        <w:tblOverlap w:val="never"/>
        <w:tblW w:w="119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6"/>
        <w:gridCol w:w="2087"/>
        <w:gridCol w:w="2715"/>
        <w:gridCol w:w="1739"/>
      </w:tblGrid>
      <w:tr w:rsidR="006767EC" w:rsidRPr="00D43612" w14:paraId="250F3DAC" w14:textId="77777777" w:rsidTr="002B4177">
        <w:trPr>
          <w:trHeight w:val="453"/>
        </w:trPr>
        <w:tc>
          <w:tcPr>
            <w:tcW w:w="5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04A02" w14:textId="77777777" w:rsidR="006767EC" w:rsidRPr="00D43612" w:rsidRDefault="00B416D1" w:rsidP="00CC2009">
            <w:pPr>
              <w:spacing w:line="360" w:lineRule="auto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Variable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42231" w14:textId="4CA4E068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Standard,</w:t>
            </w:r>
            <w:r w:rsidR="00221BA4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i/>
                <w:iCs/>
                <w:lang w:eastAsia="en-AU"/>
              </w:rPr>
              <w:t>n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(%)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08832" w14:textId="71BD4172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Rapid,</w:t>
            </w:r>
            <w:r w:rsidR="00221BA4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i/>
                <w:iCs/>
                <w:lang w:eastAsia="en-AU"/>
              </w:rPr>
              <w:t>n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(%)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5AA34" w14:textId="6E724F6C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b/>
                <w:bCs/>
                <w:i/>
                <w:iCs/>
                <w:lang w:eastAsia="en-AU"/>
              </w:rPr>
              <w:t>P</w:t>
            </w:r>
            <w:r w:rsidR="00221BA4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value</w:t>
            </w:r>
          </w:p>
        </w:tc>
      </w:tr>
      <w:tr w:rsidR="006767EC" w:rsidRPr="00D43612" w14:paraId="4F422B78" w14:textId="77777777" w:rsidTr="002B4177">
        <w:trPr>
          <w:trHeight w:val="440"/>
        </w:trPr>
        <w:tc>
          <w:tcPr>
            <w:tcW w:w="5426" w:type="dxa"/>
            <w:tcBorders>
              <w:top w:val="single" w:sz="4" w:space="0" w:color="auto"/>
            </w:tcBorders>
            <w:shd w:val="clear" w:color="auto" w:fill="auto"/>
          </w:tcPr>
          <w:p w14:paraId="54BDAC7A" w14:textId="31B5A820" w:rsidR="006767EC" w:rsidRPr="00D43612" w:rsidRDefault="00B416D1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Male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sex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(%)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E989E" w14:textId="07281F87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76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(45.0)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1A622" w14:textId="35DBD36D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55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(42.6)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CF6429" w14:textId="77777777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0.72</w:t>
            </w:r>
          </w:p>
        </w:tc>
      </w:tr>
      <w:tr w:rsidR="006767EC" w:rsidRPr="00D43612" w14:paraId="38FBAA27" w14:textId="77777777" w:rsidTr="002B4177">
        <w:trPr>
          <w:trHeight w:val="79"/>
        </w:trPr>
        <w:tc>
          <w:tcPr>
            <w:tcW w:w="5426" w:type="dxa"/>
            <w:shd w:val="clear" w:color="auto" w:fill="auto"/>
          </w:tcPr>
          <w:p w14:paraId="388A8BBC" w14:textId="4BB22A79" w:rsidR="006767EC" w:rsidRPr="00D43612" w:rsidRDefault="00B416D1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Age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</w:t>
            </w:r>
            <w:proofErr w:type="spellStart"/>
            <w:r w:rsidRPr="00D43612">
              <w:rPr>
                <w:rFonts w:ascii="Book Antiqua" w:hAnsi="Book Antiqua" w:cs="Book Antiqua"/>
                <w:lang w:eastAsia="en-AU"/>
              </w:rPr>
              <w:t>yr</w:t>
            </w:r>
            <w:proofErr w:type="spellEnd"/>
            <w:r w:rsidRPr="00D43612">
              <w:rPr>
                <w:rFonts w:ascii="Book Antiqua" w:hAnsi="Book Antiqua" w:cs="Book Antiqua"/>
                <w:lang w:eastAsia="en-AU"/>
              </w:rPr>
              <w:t>)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(median,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range)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61F8FC7" w14:textId="5D29060E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39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(20-88)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3DB8F05" w14:textId="127E1B22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42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(18-86)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90AA8D4" w14:textId="77777777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0.86</w:t>
            </w:r>
          </w:p>
        </w:tc>
      </w:tr>
      <w:tr w:rsidR="006767EC" w:rsidRPr="00D43612" w14:paraId="624BC1A2" w14:textId="77777777" w:rsidTr="002B4177">
        <w:trPr>
          <w:trHeight w:val="343"/>
        </w:trPr>
        <w:tc>
          <w:tcPr>
            <w:tcW w:w="5426" w:type="dxa"/>
            <w:shd w:val="clear" w:color="auto" w:fill="auto"/>
          </w:tcPr>
          <w:p w14:paraId="29BB6B8B" w14:textId="2B41143A" w:rsidR="006767EC" w:rsidRPr="00D43612" w:rsidRDefault="00B416D1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Low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BMI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(&lt;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22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kg/m</w:t>
            </w:r>
            <w:r w:rsidRPr="00D43612">
              <w:rPr>
                <w:rFonts w:ascii="Book Antiqua" w:hAnsi="Book Antiqua" w:cs="Book Antiqua"/>
                <w:vertAlign w:val="superscript"/>
                <w:lang w:eastAsia="en-AU"/>
              </w:rPr>
              <w:t>2</w:t>
            </w:r>
            <w:r w:rsidRPr="00D43612">
              <w:rPr>
                <w:rFonts w:ascii="Book Antiqua" w:hAnsi="Book Antiqua" w:cs="Book Antiqua"/>
                <w:lang w:eastAsia="en-AU"/>
              </w:rPr>
              <w:t>)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6197104" w14:textId="0E1D0334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17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(10.1)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9115ECC" w14:textId="3CA8E181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13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(10.1)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A6EA8BA" w14:textId="77777777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0.84</w:t>
            </w:r>
          </w:p>
        </w:tc>
      </w:tr>
      <w:tr w:rsidR="006767EC" w:rsidRPr="00D43612" w14:paraId="7717E7EE" w14:textId="77777777" w:rsidTr="002B4177">
        <w:trPr>
          <w:trHeight w:val="306"/>
        </w:trPr>
        <w:tc>
          <w:tcPr>
            <w:tcW w:w="5426" w:type="dxa"/>
            <w:shd w:val="clear" w:color="auto" w:fill="auto"/>
          </w:tcPr>
          <w:p w14:paraId="0F504A6F" w14:textId="6C14BB77" w:rsidR="006767EC" w:rsidRPr="00D43612" w:rsidRDefault="00B416D1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High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BMI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(&gt;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30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kg/m</w:t>
            </w:r>
            <w:r w:rsidRPr="00D43612">
              <w:rPr>
                <w:rFonts w:ascii="Book Antiqua" w:hAnsi="Book Antiqua" w:cs="Book Antiqua"/>
                <w:vertAlign w:val="superscript"/>
                <w:lang w:eastAsia="en-AU"/>
              </w:rPr>
              <w:t>2</w:t>
            </w:r>
            <w:r w:rsidRPr="00D43612">
              <w:rPr>
                <w:rFonts w:ascii="Book Antiqua" w:hAnsi="Book Antiqua" w:cs="Book Antiqua"/>
                <w:lang w:eastAsia="en-AU"/>
              </w:rPr>
              <w:t>)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6442AFD" w14:textId="372DEB9F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28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(16.6)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031FB42" w14:textId="73FCAC4B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31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(24.0)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880FA87" w14:textId="77777777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0.14</w:t>
            </w:r>
          </w:p>
        </w:tc>
      </w:tr>
      <w:tr w:rsidR="006767EC" w:rsidRPr="00D43612" w14:paraId="5F84BECF" w14:textId="77777777" w:rsidTr="002B4177">
        <w:trPr>
          <w:trHeight w:val="453"/>
        </w:trPr>
        <w:tc>
          <w:tcPr>
            <w:tcW w:w="5426" w:type="dxa"/>
            <w:shd w:val="clear" w:color="auto" w:fill="auto"/>
          </w:tcPr>
          <w:p w14:paraId="6B297BF6" w14:textId="791D67C4" w:rsidR="006767EC" w:rsidRPr="00D43612" w:rsidRDefault="00B416D1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Current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smoker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18578CA" w14:textId="6A59E27D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28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(16.6)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877B0ED" w14:textId="22A95E70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26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(20.2)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2CB623E" w14:textId="77777777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0.45</w:t>
            </w:r>
          </w:p>
        </w:tc>
      </w:tr>
      <w:tr w:rsidR="006767EC" w:rsidRPr="00D43612" w14:paraId="7D1A86D6" w14:textId="77777777" w:rsidTr="002B4177">
        <w:trPr>
          <w:trHeight w:val="69"/>
        </w:trPr>
        <w:tc>
          <w:tcPr>
            <w:tcW w:w="5426" w:type="dxa"/>
            <w:shd w:val="clear" w:color="auto" w:fill="auto"/>
          </w:tcPr>
          <w:p w14:paraId="029906AF" w14:textId="570E0351" w:rsidR="006767EC" w:rsidRPr="00D43612" w:rsidRDefault="00B416D1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Disease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duration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</w:t>
            </w:r>
            <w:proofErr w:type="spellStart"/>
            <w:r w:rsidRPr="00D43612">
              <w:rPr>
                <w:rFonts w:ascii="Book Antiqua" w:hAnsi="Book Antiqua" w:cs="Book Antiqua"/>
                <w:lang w:eastAsia="en-AU"/>
              </w:rPr>
              <w:t>y</w:t>
            </w:r>
            <w:r w:rsidR="00782E06" w:rsidRPr="00D43612">
              <w:rPr>
                <w:rFonts w:ascii="Book Antiqua" w:hAnsi="Book Antiqua" w:cs="Book Antiqua"/>
                <w:lang w:eastAsia="en-AU"/>
              </w:rPr>
              <w:t>r</w:t>
            </w:r>
            <w:proofErr w:type="spellEnd"/>
            <w:r w:rsidRPr="00D43612">
              <w:rPr>
                <w:rFonts w:ascii="Book Antiqua" w:hAnsi="Book Antiqua" w:cs="Book Antiqua"/>
                <w:lang w:eastAsia="en-AU"/>
              </w:rPr>
              <w:t>)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(median,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range)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43A2283D" w14:textId="1C5713AF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7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(0-49)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EEE7CA3" w14:textId="75139069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5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(0-36)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E3046D7" w14:textId="77777777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0.78</w:t>
            </w:r>
          </w:p>
        </w:tc>
      </w:tr>
      <w:tr w:rsidR="006767EC" w:rsidRPr="00D43612" w14:paraId="28C320DC" w14:textId="77777777" w:rsidTr="002B4177">
        <w:trPr>
          <w:trHeight w:val="357"/>
        </w:trPr>
        <w:tc>
          <w:tcPr>
            <w:tcW w:w="5426" w:type="dxa"/>
            <w:shd w:val="clear" w:color="auto" w:fill="auto"/>
          </w:tcPr>
          <w:p w14:paraId="520E3AF1" w14:textId="04191B5D" w:rsidR="006767EC" w:rsidRPr="00D43612" w:rsidRDefault="00B416D1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Disease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type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4AAAEBE2" w14:textId="63BF1463" w:rsidR="006767EC" w:rsidRPr="00D43612" w:rsidRDefault="006767EC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14:paraId="49DA6D5E" w14:textId="545D0903" w:rsidR="006767EC" w:rsidRPr="00D43612" w:rsidRDefault="006767EC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F4658A2" w14:textId="44533B5C" w:rsidR="006767EC" w:rsidRPr="00D43612" w:rsidRDefault="006767EC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</w:tr>
      <w:tr w:rsidR="00CC2009" w:rsidRPr="00D43612" w14:paraId="6ED73B42" w14:textId="77777777" w:rsidTr="002B4177">
        <w:trPr>
          <w:trHeight w:val="364"/>
        </w:trPr>
        <w:tc>
          <w:tcPr>
            <w:tcW w:w="5426" w:type="dxa"/>
            <w:shd w:val="clear" w:color="auto" w:fill="auto"/>
          </w:tcPr>
          <w:p w14:paraId="09247DB6" w14:textId="76339DE3" w:rsidR="00CC2009" w:rsidRPr="00D43612" w:rsidRDefault="00CC2009" w:rsidP="00CC2009">
            <w:pPr>
              <w:spacing w:line="360" w:lineRule="auto"/>
              <w:ind w:firstLineChars="150" w:firstLine="36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CD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57F77553" w14:textId="4AC406BB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126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(74.6)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B5CD28F" w14:textId="71688B9B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114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(88.4)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30696E2" w14:textId="45C7D1DA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&lt;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0.01</w:t>
            </w:r>
          </w:p>
        </w:tc>
      </w:tr>
      <w:tr w:rsidR="00CC2009" w:rsidRPr="00D43612" w14:paraId="344F457A" w14:textId="77777777" w:rsidTr="002B4177">
        <w:trPr>
          <w:trHeight w:val="376"/>
        </w:trPr>
        <w:tc>
          <w:tcPr>
            <w:tcW w:w="5426" w:type="dxa"/>
            <w:shd w:val="clear" w:color="auto" w:fill="auto"/>
          </w:tcPr>
          <w:p w14:paraId="08E6AD40" w14:textId="17EA7C43" w:rsidR="00CC2009" w:rsidRPr="00D43612" w:rsidRDefault="00CC2009" w:rsidP="00CC2009">
            <w:pPr>
              <w:spacing w:line="360" w:lineRule="auto"/>
              <w:ind w:firstLineChars="150" w:firstLine="36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UC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49114AB" w14:textId="7BA22823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43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(25.4)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CD2A23D" w14:textId="442681DA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14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(10.9)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7A6C7E3" w14:textId="68300312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&lt;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0.01</w:t>
            </w:r>
          </w:p>
        </w:tc>
      </w:tr>
      <w:tr w:rsidR="00CC2009" w:rsidRPr="00D43612" w14:paraId="3B895D08" w14:textId="77777777" w:rsidTr="002B4177">
        <w:trPr>
          <w:trHeight w:val="78"/>
        </w:trPr>
        <w:tc>
          <w:tcPr>
            <w:tcW w:w="5426" w:type="dxa"/>
            <w:shd w:val="clear" w:color="auto" w:fill="auto"/>
          </w:tcPr>
          <w:p w14:paraId="15375FC5" w14:textId="5E23A129" w:rsidR="00CC2009" w:rsidRPr="00D43612" w:rsidRDefault="00CC2009" w:rsidP="00CC2009">
            <w:pPr>
              <w:spacing w:line="360" w:lineRule="auto"/>
              <w:ind w:firstLineChars="150" w:firstLine="36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Indeterminate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861CCC1" w14:textId="414C2E88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(0.0)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AF8C6D4" w14:textId="39D06E23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(0.8)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4F08E21" w14:textId="247AD9B9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0.43</w:t>
            </w:r>
          </w:p>
        </w:tc>
      </w:tr>
      <w:tr w:rsidR="006767EC" w:rsidRPr="00D43612" w14:paraId="6CF449AB" w14:textId="77777777" w:rsidTr="002B4177">
        <w:trPr>
          <w:trHeight w:val="226"/>
        </w:trPr>
        <w:tc>
          <w:tcPr>
            <w:tcW w:w="5426" w:type="dxa"/>
            <w:shd w:val="clear" w:color="auto" w:fill="auto"/>
          </w:tcPr>
          <w:p w14:paraId="60D061E0" w14:textId="6EA97072" w:rsidR="006767EC" w:rsidRPr="00D43612" w:rsidRDefault="00B416D1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Extra-intestinal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manifestation(s)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documented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547B2EE" w14:textId="7764AAA8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46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(27.2)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AA82529" w14:textId="06A6B423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29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(22.5)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FA6616C" w14:textId="77777777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0.42</w:t>
            </w:r>
          </w:p>
        </w:tc>
      </w:tr>
      <w:tr w:rsidR="006767EC" w:rsidRPr="00D43612" w14:paraId="1AEC5E67" w14:textId="77777777" w:rsidTr="002B4177">
        <w:trPr>
          <w:trHeight w:val="401"/>
        </w:trPr>
        <w:tc>
          <w:tcPr>
            <w:tcW w:w="5426" w:type="dxa"/>
            <w:shd w:val="clear" w:color="auto" w:fill="auto"/>
          </w:tcPr>
          <w:p w14:paraId="72BB125D" w14:textId="5C421BD9" w:rsidR="006767EC" w:rsidRPr="00D43612" w:rsidRDefault="00B416D1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Psychiatric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comorbidity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documented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DBC73B2" w14:textId="18ED76D9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24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(14.2)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1AF3B86" w14:textId="218776C8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45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(34.9)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A8B3E94" w14:textId="3134ADC3" w:rsidR="006767EC" w:rsidRPr="00D43612" w:rsidRDefault="00B416D1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&lt;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0.01</w:t>
            </w:r>
          </w:p>
        </w:tc>
      </w:tr>
      <w:tr w:rsidR="006767EC" w:rsidRPr="00D43612" w14:paraId="2A023481" w14:textId="77777777" w:rsidTr="002B4177">
        <w:trPr>
          <w:trHeight w:val="401"/>
        </w:trPr>
        <w:tc>
          <w:tcPr>
            <w:tcW w:w="5426" w:type="dxa"/>
            <w:shd w:val="clear" w:color="auto" w:fill="auto"/>
          </w:tcPr>
          <w:p w14:paraId="38DD575A" w14:textId="4CF5F696" w:rsidR="006767EC" w:rsidRPr="00D43612" w:rsidRDefault="00B416D1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Concomitant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medications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7F9235D" w14:textId="1E0A1155" w:rsidR="006767EC" w:rsidRPr="00D43612" w:rsidRDefault="006767EC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14:paraId="5D2A2D4C" w14:textId="3D6122B0" w:rsidR="006767EC" w:rsidRPr="00D43612" w:rsidRDefault="006767EC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1105E3D6" w14:textId="5CFAEDB8" w:rsidR="006767EC" w:rsidRPr="00D43612" w:rsidRDefault="006767EC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</w:tr>
      <w:tr w:rsidR="00CC2009" w:rsidRPr="00D43612" w14:paraId="765D323D" w14:textId="77777777" w:rsidTr="002B4177">
        <w:trPr>
          <w:trHeight w:val="389"/>
        </w:trPr>
        <w:tc>
          <w:tcPr>
            <w:tcW w:w="5426" w:type="dxa"/>
            <w:shd w:val="clear" w:color="auto" w:fill="auto"/>
          </w:tcPr>
          <w:p w14:paraId="34E462F5" w14:textId="0DC13CED" w:rsidR="00CC2009" w:rsidRPr="00D43612" w:rsidRDefault="00CC2009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Corticosteroid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8B530EA" w14:textId="46A41033" w:rsidR="00CC2009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11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(6.5)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A2247AB" w14:textId="0598DE87" w:rsidR="00CC2009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11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(8.5)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024299D" w14:textId="552B7836" w:rsidR="00CC2009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0.51</w:t>
            </w:r>
          </w:p>
        </w:tc>
      </w:tr>
      <w:tr w:rsidR="00CC2009" w:rsidRPr="00D43612" w14:paraId="7348937F" w14:textId="77777777" w:rsidTr="002B4177">
        <w:trPr>
          <w:trHeight w:val="420"/>
        </w:trPr>
        <w:tc>
          <w:tcPr>
            <w:tcW w:w="5426" w:type="dxa"/>
            <w:shd w:val="clear" w:color="auto" w:fill="auto"/>
          </w:tcPr>
          <w:p w14:paraId="76B6EF7F" w14:textId="218FF015" w:rsidR="00CC2009" w:rsidRPr="00D43612" w:rsidRDefault="00CC2009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Immunomodulator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630EC89B" w14:textId="3C4C0482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114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(67.5)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932CAAF" w14:textId="31B6C963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104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(80.6)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C967663" w14:textId="109398AE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0.01</w:t>
            </w:r>
          </w:p>
        </w:tc>
      </w:tr>
      <w:tr w:rsidR="00CC2009" w:rsidRPr="00D43612" w14:paraId="789063B3" w14:textId="77777777" w:rsidTr="002B4177">
        <w:trPr>
          <w:trHeight w:val="465"/>
        </w:trPr>
        <w:tc>
          <w:tcPr>
            <w:tcW w:w="5426" w:type="dxa"/>
            <w:shd w:val="clear" w:color="auto" w:fill="auto"/>
          </w:tcPr>
          <w:p w14:paraId="7B695BF1" w14:textId="25CF6CDC" w:rsidR="00CC2009" w:rsidRPr="00D43612" w:rsidRDefault="00CC2009" w:rsidP="00CC2009">
            <w:pPr>
              <w:spacing w:line="360" w:lineRule="auto"/>
              <w:ind w:firstLineChars="150" w:firstLine="36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Thiopurine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3F92B7B" w14:textId="021D1483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91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(79.8)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905DC22" w14:textId="4EF3B3A0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70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(67.3)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0DAE502" w14:textId="13FDF458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0.04</w:t>
            </w:r>
          </w:p>
        </w:tc>
      </w:tr>
      <w:tr w:rsidR="00CC2009" w:rsidRPr="00D43612" w14:paraId="30BD6745" w14:textId="77777777" w:rsidTr="002B4177">
        <w:trPr>
          <w:trHeight w:val="59"/>
        </w:trPr>
        <w:tc>
          <w:tcPr>
            <w:tcW w:w="5426" w:type="dxa"/>
            <w:shd w:val="clear" w:color="auto" w:fill="auto"/>
          </w:tcPr>
          <w:p w14:paraId="615E48CA" w14:textId="65B91803" w:rsidR="00CC2009" w:rsidRPr="00D43612" w:rsidRDefault="00CC2009" w:rsidP="00CC2009">
            <w:pPr>
              <w:spacing w:line="360" w:lineRule="auto"/>
              <w:ind w:firstLineChars="150" w:firstLine="36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Thiopurine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ADR</w:t>
            </w:r>
          </w:p>
          <w:p w14:paraId="2BFE2E58" w14:textId="791B60C5" w:rsidR="00CC2009" w:rsidRPr="00D43612" w:rsidRDefault="00CC2009" w:rsidP="00CC2009">
            <w:pPr>
              <w:spacing w:line="360" w:lineRule="auto"/>
              <w:ind w:firstLineChars="150" w:firstLine="36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Methotrexate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5EF35C4" w14:textId="5689A26C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32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(35.2)</w:t>
            </w:r>
          </w:p>
          <w:p w14:paraId="5144B5B1" w14:textId="341179BE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23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(20.2)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8EDACB2" w14:textId="29DFC12B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32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(45.7)</w:t>
            </w:r>
          </w:p>
          <w:p w14:paraId="53FB2B54" w14:textId="5A83412F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34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(32.7)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15299BF" w14:textId="77777777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0.20</w:t>
            </w:r>
          </w:p>
          <w:p w14:paraId="65BA2229" w14:textId="08E12D1A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0.04</w:t>
            </w:r>
          </w:p>
        </w:tc>
      </w:tr>
      <w:tr w:rsidR="00CC2009" w:rsidRPr="00D43612" w14:paraId="47A8C000" w14:textId="77777777" w:rsidTr="002B4177">
        <w:trPr>
          <w:trHeight w:val="420"/>
        </w:trPr>
        <w:tc>
          <w:tcPr>
            <w:tcW w:w="5426" w:type="dxa"/>
            <w:shd w:val="clear" w:color="auto" w:fill="auto"/>
          </w:tcPr>
          <w:p w14:paraId="7ED25782" w14:textId="5C863D17" w:rsidR="00CC2009" w:rsidRPr="00D43612" w:rsidRDefault="00CC2009" w:rsidP="00CC2009">
            <w:pPr>
              <w:spacing w:line="360" w:lineRule="auto"/>
              <w:ind w:firstLineChars="150" w:firstLine="36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lastRenderedPageBreak/>
              <w:t>Methotrexate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ADR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6674202B" w14:textId="239098F8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12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(52.2)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002FAE6" w14:textId="7B25ED2B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10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(29.4)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D6004E5" w14:textId="43CABBF3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0.10</w:t>
            </w:r>
          </w:p>
        </w:tc>
      </w:tr>
      <w:tr w:rsidR="00CC2009" w:rsidRPr="00D43612" w14:paraId="70226D07" w14:textId="77777777" w:rsidTr="002B4177">
        <w:trPr>
          <w:trHeight w:val="465"/>
        </w:trPr>
        <w:tc>
          <w:tcPr>
            <w:tcW w:w="5426" w:type="dxa"/>
            <w:shd w:val="clear" w:color="auto" w:fill="auto"/>
          </w:tcPr>
          <w:p w14:paraId="5626E936" w14:textId="57A013F3" w:rsidR="00CC2009" w:rsidRPr="00D43612" w:rsidRDefault="00CC2009" w:rsidP="00CC2009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Prior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biologic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2DCD9FC0" w14:textId="766B510C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21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(12.4)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4764824" w14:textId="43C3731D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20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(15.5)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8BA5A2F" w14:textId="113545FD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0.40</w:t>
            </w:r>
          </w:p>
        </w:tc>
      </w:tr>
      <w:tr w:rsidR="00CC2009" w:rsidRPr="00D43612" w14:paraId="65219620" w14:textId="77777777" w:rsidTr="002B4177">
        <w:trPr>
          <w:trHeight w:val="505"/>
        </w:trPr>
        <w:tc>
          <w:tcPr>
            <w:tcW w:w="5426" w:type="dxa"/>
            <w:shd w:val="clear" w:color="auto" w:fill="auto"/>
          </w:tcPr>
          <w:p w14:paraId="3F6B4115" w14:textId="4BFFFF97" w:rsidR="00CC2009" w:rsidRPr="00D43612" w:rsidRDefault="00CC2009" w:rsidP="00CC2009">
            <w:pPr>
              <w:spacing w:line="360" w:lineRule="auto"/>
              <w:ind w:firstLineChars="150" w:firstLine="36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Other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anti-TNF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0ACA6E3" w14:textId="25C83A17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18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(85.7)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A8B074A" w14:textId="1BCE72AE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18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(90.0)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2A37DE5" w14:textId="2F3DC6A0" w:rsidR="00CC2009" w:rsidRPr="00D43612" w:rsidRDefault="00CC2009" w:rsidP="00CC2009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1.00</w:t>
            </w:r>
          </w:p>
        </w:tc>
      </w:tr>
    </w:tbl>
    <w:p w14:paraId="31A4EF56" w14:textId="361CDA82" w:rsidR="006767EC" w:rsidRPr="00D43612" w:rsidRDefault="00B416D1">
      <w:pPr>
        <w:spacing w:line="360" w:lineRule="auto"/>
        <w:jc w:val="both"/>
        <w:rPr>
          <w:rFonts w:ascii="Book Antiqua" w:hAnsi="Book Antiqua" w:cs="Book Antiqua"/>
        </w:rPr>
      </w:pPr>
      <w:r w:rsidRPr="00D43612">
        <w:rPr>
          <w:rFonts w:ascii="Book Antiqua" w:hAnsi="Book Antiqua" w:cs="Book Antiqua"/>
        </w:rPr>
        <w:t>BMI: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Body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mass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index;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CD: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Crohn’s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disease;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UC: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Ulcerative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colitis;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ADR: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Adverse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drug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reaction;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anti-TNF: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Anti-</w:t>
      </w:r>
      <w:proofErr w:type="spellStart"/>
      <w:r w:rsidRPr="00D43612">
        <w:rPr>
          <w:rFonts w:ascii="Book Antiqua" w:hAnsi="Book Antiqua" w:cs="Book Antiqua"/>
        </w:rPr>
        <w:t>tumour</w:t>
      </w:r>
      <w:proofErr w:type="spellEnd"/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necrosis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factor.</w:t>
      </w:r>
    </w:p>
    <w:p w14:paraId="1F7E921B" w14:textId="739CB60C" w:rsidR="006767EC" w:rsidRPr="00D43612" w:rsidRDefault="00B416D1">
      <w:pPr>
        <w:spacing w:line="360" w:lineRule="auto"/>
        <w:jc w:val="both"/>
        <w:rPr>
          <w:rFonts w:ascii="Book Antiqua" w:hAnsi="Book Antiqua" w:cs="Book Antiqua"/>
          <w:b/>
        </w:rPr>
      </w:pPr>
      <w:r w:rsidRPr="00D43612">
        <w:rPr>
          <w:rFonts w:ascii="Book Antiqua" w:hAnsi="Book Antiqua" w:cs="Book Antiqua"/>
        </w:rPr>
        <w:br w:type="page"/>
      </w:r>
      <w:r w:rsidRPr="00D43612">
        <w:rPr>
          <w:rFonts w:ascii="Book Antiqua" w:hAnsi="Book Antiqua" w:cs="Book Antiqua"/>
          <w:b/>
        </w:rPr>
        <w:lastRenderedPageBreak/>
        <w:t>Table</w:t>
      </w:r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2</w:t>
      </w:r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Infusion</w:t>
      </w:r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reactions</w:t>
      </w:r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per</w:t>
      </w:r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cohort,</w:t>
      </w:r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type</w:t>
      </w:r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and</w:t>
      </w:r>
      <w:r w:rsidR="00221BA4">
        <w:rPr>
          <w:rFonts w:ascii="Book Antiqua" w:hAnsi="Book Antiqua" w:cs="Book Antiqua"/>
          <w:b/>
        </w:rPr>
        <w:t xml:space="preserve"> </w:t>
      </w:r>
      <w:r w:rsidRPr="00D43612">
        <w:rPr>
          <w:rFonts w:ascii="Book Antiqua" w:hAnsi="Book Antiqua" w:cs="Book Antiqua"/>
          <w:b/>
        </w:rPr>
        <w:t>severity</w:t>
      </w:r>
      <w:r w:rsidR="00221BA4">
        <w:rPr>
          <w:rFonts w:ascii="Book Antiqua" w:hAnsi="Book Antiqua" w:cs="Book Antiqua"/>
          <w:b/>
        </w:rPr>
        <w:t xml:space="preserve"> </w:t>
      </w:r>
    </w:p>
    <w:tbl>
      <w:tblPr>
        <w:tblStyle w:val="a3"/>
        <w:tblW w:w="112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9"/>
        <w:gridCol w:w="2789"/>
        <w:gridCol w:w="2945"/>
      </w:tblGrid>
      <w:tr w:rsidR="006767EC" w:rsidRPr="00D43612" w14:paraId="7AB719CD" w14:textId="77777777" w:rsidTr="00742C98">
        <w:trPr>
          <w:trHeight w:val="856"/>
        </w:trPr>
        <w:tc>
          <w:tcPr>
            <w:tcW w:w="5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5B7E3CF" w14:textId="77777777" w:rsidR="006767EC" w:rsidRPr="00D43612" w:rsidRDefault="006767EC">
            <w:pPr>
              <w:spacing w:line="360" w:lineRule="auto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596A" w14:textId="2F70AE39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Standard</w:t>
            </w:r>
            <w:r w:rsidR="00221BA4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cohort,</w:t>
            </w:r>
            <w:r w:rsidR="00221BA4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i/>
                <w:iCs/>
                <w:lang w:eastAsia="en-AU"/>
              </w:rPr>
              <w:t>n</w:t>
            </w:r>
            <w:r w:rsidR="00221BA4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(%)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1E97C" w14:textId="1BB5B2A8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Rapid</w:t>
            </w:r>
            <w:r w:rsidR="00221BA4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cohort,</w:t>
            </w:r>
            <w:r w:rsidR="00221BA4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i/>
                <w:iCs/>
                <w:lang w:eastAsia="en-AU"/>
              </w:rPr>
              <w:t>n</w:t>
            </w:r>
            <w:r w:rsidR="00221BA4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(%)</w:t>
            </w:r>
          </w:p>
        </w:tc>
      </w:tr>
      <w:tr w:rsidR="006767EC" w:rsidRPr="00D43612" w14:paraId="2894C011" w14:textId="77777777" w:rsidTr="00742C98">
        <w:trPr>
          <w:trHeight w:val="377"/>
        </w:trPr>
        <w:tc>
          <w:tcPr>
            <w:tcW w:w="5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65D2EB" w14:textId="77777777" w:rsidR="006767EC" w:rsidRPr="00D43612" w:rsidRDefault="006767EC">
            <w:pPr>
              <w:spacing w:line="360" w:lineRule="auto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96E8B" w14:textId="292A403C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2214</w:t>
            </w:r>
            <w:r w:rsidR="00221BA4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infusions/169</w:t>
            </w:r>
            <w:r w:rsidR="00221BA4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patients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296EC" w14:textId="04697535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1461</w:t>
            </w:r>
            <w:r w:rsidR="00221BA4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infusions/129</w:t>
            </w:r>
            <w:r w:rsidR="00221BA4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patients</w:t>
            </w:r>
          </w:p>
        </w:tc>
      </w:tr>
      <w:tr w:rsidR="006767EC" w:rsidRPr="00D43612" w14:paraId="7AA3583D" w14:textId="77777777" w:rsidTr="00742C98">
        <w:trPr>
          <w:trHeight w:val="379"/>
        </w:trPr>
        <w:tc>
          <w:tcPr>
            <w:tcW w:w="5479" w:type="dxa"/>
            <w:tcBorders>
              <w:top w:val="single" w:sz="4" w:space="0" w:color="auto"/>
            </w:tcBorders>
          </w:tcPr>
          <w:p w14:paraId="6D9907F7" w14:textId="20C9561D" w:rsidR="006767EC" w:rsidRPr="00D43612" w:rsidRDefault="00B416D1" w:rsidP="00932CF7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Mild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reaction</w:t>
            </w:r>
            <w:r w:rsidRPr="00D43612">
              <w:rPr>
                <w:rFonts w:ascii="Book Antiqua" w:hAnsi="Book Antiqua" w:cs="Book Antiqua"/>
                <w:vertAlign w:val="superscript"/>
                <w:lang w:eastAsia="en-AU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vAlign w:val="center"/>
          </w:tcPr>
          <w:p w14:paraId="22D38CFD" w14:textId="77777777" w:rsidR="006767EC" w:rsidRPr="00D43612" w:rsidRDefault="006767EC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vAlign w:val="center"/>
          </w:tcPr>
          <w:p w14:paraId="28D47BEF" w14:textId="77777777" w:rsidR="006767EC" w:rsidRPr="00D43612" w:rsidRDefault="006767EC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</w:tr>
      <w:tr w:rsidR="00932CF7" w:rsidRPr="00D43612" w14:paraId="635A565D" w14:textId="77777777" w:rsidTr="00742C98">
        <w:trPr>
          <w:trHeight w:val="374"/>
        </w:trPr>
        <w:tc>
          <w:tcPr>
            <w:tcW w:w="5479" w:type="dxa"/>
          </w:tcPr>
          <w:p w14:paraId="677D02E3" w14:textId="620796BF" w:rsidR="00932CF7" w:rsidRPr="00D43612" w:rsidRDefault="00932CF7" w:rsidP="00932CF7">
            <w:pPr>
              <w:pStyle w:val="a4"/>
              <w:spacing w:after="0" w:line="360" w:lineRule="auto"/>
              <w:ind w:left="69" w:firstLineChars="100" w:firstLine="24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sz w:val="24"/>
                <w:szCs w:val="24"/>
                <w:lang w:eastAsia="en-AU"/>
              </w:rPr>
              <w:t>RR</w:t>
            </w:r>
            <w:r w:rsidR="00221BA4">
              <w:rPr>
                <w:rFonts w:ascii="Book Antiqua" w:hAnsi="Book Antiqua" w:cs="Book Antiqua"/>
                <w:sz w:val="24"/>
                <w:szCs w:val="24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sz w:val="24"/>
                <w:szCs w:val="24"/>
                <w:lang w:eastAsia="en-AU"/>
              </w:rPr>
              <w:t>per</w:t>
            </w:r>
            <w:r w:rsidR="00221BA4">
              <w:rPr>
                <w:rFonts w:ascii="Book Antiqua" w:hAnsi="Book Antiqua" w:cs="Book Antiqua"/>
                <w:sz w:val="24"/>
                <w:szCs w:val="24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sz w:val="24"/>
                <w:szCs w:val="24"/>
                <w:lang w:eastAsia="en-AU"/>
              </w:rPr>
              <w:t>infusion</w:t>
            </w:r>
          </w:p>
        </w:tc>
        <w:tc>
          <w:tcPr>
            <w:tcW w:w="2789" w:type="dxa"/>
            <w:vAlign w:val="center"/>
          </w:tcPr>
          <w:p w14:paraId="41E49981" w14:textId="77777777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0.8%</w:t>
            </w:r>
          </w:p>
        </w:tc>
        <w:tc>
          <w:tcPr>
            <w:tcW w:w="2945" w:type="dxa"/>
            <w:vAlign w:val="center"/>
          </w:tcPr>
          <w:p w14:paraId="79E1B7EF" w14:textId="77777777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0.7%</w:t>
            </w:r>
          </w:p>
        </w:tc>
      </w:tr>
      <w:tr w:rsidR="00932CF7" w:rsidRPr="00D43612" w14:paraId="54039A89" w14:textId="77777777" w:rsidTr="00742C98">
        <w:trPr>
          <w:trHeight w:val="424"/>
        </w:trPr>
        <w:tc>
          <w:tcPr>
            <w:tcW w:w="5479" w:type="dxa"/>
          </w:tcPr>
          <w:p w14:paraId="1BB02872" w14:textId="556200F8" w:rsidR="00932CF7" w:rsidRPr="00D43612" w:rsidRDefault="00932CF7" w:rsidP="00932CF7">
            <w:pPr>
              <w:pStyle w:val="a4"/>
              <w:spacing w:after="0" w:line="360" w:lineRule="auto"/>
              <w:ind w:left="69" w:firstLineChars="100" w:firstLine="240"/>
              <w:rPr>
                <w:rFonts w:ascii="Book Antiqua" w:hAnsi="Book Antiqua" w:cs="Book Antiqua"/>
                <w:sz w:val="24"/>
                <w:szCs w:val="24"/>
                <w:lang w:eastAsia="en-AU"/>
              </w:rPr>
            </w:pPr>
            <w:r w:rsidRPr="00D43612">
              <w:rPr>
                <w:rFonts w:ascii="Book Antiqua" w:hAnsi="Book Antiqua" w:cs="Book Antiqua"/>
                <w:sz w:val="24"/>
                <w:szCs w:val="24"/>
                <w:lang w:eastAsia="en-AU"/>
              </w:rPr>
              <w:t>RR</w:t>
            </w:r>
            <w:r w:rsidR="00221BA4">
              <w:rPr>
                <w:rFonts w:ascii="Book Antiqua" w:hAnsi="Book Antiqua" w:cs="Book Antiqua"/>
                <w:sz w:val="24"/>
                <w:szCs w:val="24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sz w:val="24"/>
                <w:szCs w:val="24"/>
                <w:lang w:eastAsia="en-AU"/>
              </w:rPr>
              <w:t>per</w:t>
            </w:r>
            <w:r w:rsidR="00221BA4">
              <w:rPr>
                <w:rFonts w:ascii="Book Antiqua" w:hAnsi="Book Antiqua" w:cs="Book Antiqua"/>
                <w:sz w:val="24"/>
                <w:szCs w:val="24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sz w:val="24"/>
                <w:szCs w:val="24"/>
                <w:lang w:eastAsia="en-AU"/>
              </w:rPr>
              <w:t>patient</w:t>
            </w:r>
          </w:p>
        </w:tc>
        <w:tc>
          <w:tcPr>
            <w:tcW w:w="2789" w:type="dxa"/>
            <w:vAlign w:val="center"/>
          </w:tcPr>
          <w:p w14:paraId="500C5E27" w14:textId="77777777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10.7%</w:t>
            </w:r>
          </w:p>
        </w:tc>
        <w:tc>
          <w:tcPr>
            <w:tcW w:w="2945" w:type="dxa"/>
            <w:vAlign w:val="center"/>
          </w:tcPr>
          <w:p w14:paraId="0584D59D" w14:textId="77777777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7.8%</w:t>
            </w:r>
          </w:p>
        </w:tc>
      </w:tr>
      <w:tr w:rsidR="00932CF7" w:rsidRPr="00D43612" w14:paraId="4E8D09ED" w14:textId="77777777" w:rsidTr="00742C98">
        <w:trPr>
          <w:trHeight w:val="412"/>
        </w:trPr>
        <w:tc>
          <w:tcPr>
            <w:tcW w:w="5479" w:type="dxa"/>
          </w:tcPr>
          <w:p w14:paraId="294C63F2" w14:textId="4BC8849E" w:rsidR="00932CF7" w:rsidRPr="00D43612" w:rsidRDefault="00932CF7" w:rsidP="00932CF7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Severe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reaction</w:t>
            </w:r>
            <w:r w:rsidRPr="00D43612">
              <w:rPr>
                <w:rFonts w:ascii="Book Antiqua" w:hAnsi="Book Antiqua" w:cs="Book Antiqua"/>
                <w:vertAlign w:val="superscript"/>
                <w:lang w:eastAsia="en-AU"/>
              </w:rPr>
              <w:t>1</w:t>
            </w:r>
          </w:p>
        </w:tc>
        <w:tc>
          <w:tcPr>
            <w:tcW w:w="2789" w:type="dxa"/>
            <w:vAlign w:val="center"/>
          </w:tcPr>
          <w:p w14:paraId="72A2FD26" w14:textId="77777777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  <w:tc>
          <w:tcPr>
            <w:tcW w:w="2945" w:type="dxa"/>
            <w:vAlign w:val="center"/>
          </w:tcPr>
          <w:p w14:paraId="71D68A85" w14:textId="77777777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</w:tr>
      <w:tr w:rsidR="00932CF7" w:rsidRPr="00D43612" w14:paraId="0A469604" w14:textId="77777777" w:rsidTr="00742C98">
        <w:trPr>
          <w:trHeight w:val="399"/>
        </w:trPr>
        <w:tc>
          <w:tcPr>
            <w:tcW w:w="5479" w:type="dxa"/>
          </w:tcPr>
          <w:p w14:paraId="13C29B72" w14:textId="4536A350" w:rsidR="00932CF7" w:rsidRPr="00D43612" w:rsidRDefault="00932CF7" w:rsidP="00932CF7">
            <w:pPr>
              <w:pStyle w:val="a4"/>
              <w:spacing w:after="0" w:line="360" w:lineRule="auto"/>
              <w:ind w:left="69" w:firstLineChars="100" w:firstLine="24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sz w:val="24"/>
                <w:szCs w:val="24"/>
                <w:lang w:eastAsia="en-AU"/>
              </w:rPr>
              <w:t>RR</w:t>
            </w:r>
            <w:r w:rsidR="00221BA4">
              <w:rPr>
                <w:rFonts w:ascii="Book Antiqua" w:hAnsi="Book Antiqua" w:cs="Book Antiqua"/>
                <w:sz w:val="24"/>
                <w:szCs w:val="24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sz w:val="24"/>
                <w:szCs w:val="24"/>
                <w:lang w:eastAsia="en-AU"/>
              </w:rPr>
              <w:t>per</w:t>
            </w:r>
            <w:r w:rsidR="00221BA4">
              <w:rPr>
                <w:rFonts w:ascii="Book Antiqua" w:hAnsi="Book Antiqua" w:cs="Book Antiqua"/>
                <w:sz w:val="24"/>
                <w:szCs w:val="24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sz w:val="24"/>
                <w:szCs w:val="24"/>
                <w:lang w:eastAsia="en-AU"/>
              </w:rPr>
              <w:t>infusion</w:t>
            </w:r>
          </w:p>
        </w:tc>
        <w:tc>
          <w:tcPr>
            <w:tcW w:w="2789" w:type="dxa"/>
            <w:vAlign w:val="center"/>
          </w:tcPr>
          <w:p w14:paraId="2BD22FCB" w14:textId="77777777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0.2%</w:t>
            </w:r>
          </w:p>
        </w:tc>
        <w:tc>
          <w:tcPr>
            <w:tcW w:w="2945" w:type="dxa"/>
            <w:vAlign w:val="center"/>
          </w:tcPr>
          <w:p w14:paraId="39804E3F" w14:textId="77777777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0.00%</w:t>
            </w:r>
          </w:p>
        </w:tc>
      </w:tr>
      <w:tr w:rsidR="00932CF7" w:rsidRPr="00D43612" w14:paraId="1F100EDC" w14:textId="77777777" w:rsidTr="00742C98">
        <w:trPr>
          <w:trHeight w:val="180"/>
        </w:trPr>
        <w:tc>
          <w:tcPr>
            <w:tcW w:w="5479" w:type="dxa"/>
          </w:tcPr>
          <w:p w14:paraId="50F5C3BC" w14:textId="7CC07790" w:rsidR="00932CF7" w:rsidRPr="00D43612" w:rsidRDefault="00932CF7" w:rsidP="00932CF7">
            <w:pPr>
              <w:pStyle w:val="a4"/>
              <w:spacing w:after="0" w:line="360" w:lineRule="auto"/>
              <w:ind w:left="69" w:firstLineChars="100" w:firstLine="240"/>
              <w:rPr>
                <w:rFonts w:ascii="Book Antiqua" w:hAnsi="Book Antiqua" w:cs="Book Antiqua"/>
                <w:sz w:val="24"/>
                <w:szCs w:val="24"/>
                <w:lang w:eastAsia="en-AU"/>
              </w:rPr>
            </w:pPr>
            <w:r w:rsidRPr="00D43612">
              <w:rPr>
                <w:rFonts w:ascii="Book Antiqua" w:hAnsi="Book Antiqua" w:cs="Book Antiqua"/>
                <w:sz w:val="24"/>
                <w:szCs w:val="24"/>
                <w:lang w:eastAsia="en-AU"/>
              </w:rPr>
              <w:t>RR</w:t>
            </w:r>
            <w:r w:rsidR="00221BA4">
              <w:rPr>
                <w:rFonts w:ascii="Book Antiqua" w:hAnsi="Book Antiqua" w:cs="Book Antiqua"/>
                <w:sz w:val="24"/>
                <w:szCs w:val="24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sz w:val="24"/>
                <w:szCs w:val="24"/>
                <w:lang w:eastAsia="en-AU"/>
              </w:rPr>
              <w:t>per</w:t>
            </w:r>
            <w:r w:rsidR="00221BA4">
              <w:rPr>
                <w:rFonts w:ascii="Book Antiqua" w:hAnsi="Book Antiqua" w:cs="Book Antiqua"/>
                <w:sz w:val="24"/>
                <w:szCs w:val="24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sz w:val="24"/>
                <w:szCs w:val="24"/>
                <w:lang w:eastAsia="en-AU"/>
              </w:rPr>
              <w:t>patients</w:t>
            </w:r>
          </w:p>
        </w:tc>
        <w:tc>
          <w:tcPr>
            <w:tcW w:w="2789" w:type="dxa"/>
            <w:vAlign w:val="center"/>
          </w:tcPr>
          <w:p w14:paraId="7F62EA8B" w14:textId="77777777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3.0%</w:t>
            </w:r>
          </w:p>
        </w:tc>
        <w:tc>
          <w:tcPr>
            <w:tcW w:w="2945" w:type="dxa"/>
            <w:vAlign w:val="center"/>
          </w:tcPr>
          <w:p w14:paraId="10CCE23E" w14:textId="77777777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0.00%</w:t>
            </w:r>
          </w:p>
        </w:tc>
      </w:tr>
      <w:tr w:rsidR="006767EC" w:rsidRPr="00D43612" w14:paraId="4D7943D4" w14:textId="77777777" w:rsidTr="00742C98">
        <w:trPr>
          <w:trHeight w:val="412"/>
        </w:trPr>
        <w:tc>
          <w:tcPr>
            <w:tcW w:w="5479" w:type="dxa"/>
          </w:tcPr>
          <w:p w14:paraId="4616D973" w14:textId="68AFB2C3" w:rsidR="006767EC" w:rsidRPr="00D43612" w:rsidRDefault="00B416D1" w:rsidP="00932CF7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Total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ADRs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to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infliximab</w:t>
            </w:r>
          </w:p>
        </w:tc>
        <w:tc>
          <w:tcPr>
            <w:tcW w:w="2789" w:type="dxa"/>
            <w:vAlign w:val="center"/>
          </w:tcPr>
          <w:p w14:paraId="75A0EE36" w14:textId="71E7C94E" w:rsidR="006767EC" w:rsidRPr="00D43612" w:rsidRDefault="00B416D1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23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(%)</w:t>
            </w:r>
          </w:p>
        </w:tc>
        <w:tc>
          <w:tcPr>
            <w:tcW w:w="2945" w:type="dxa"/>
            <w:vAlign w:val="center"/>
          </w:tcPr>
          <w:p w14:paraId="39DF7ADD" w14:textId="2347B91F" w:rsidR="006767EC" w:rsidRPr="00D43612" w:rsidRDefault="00B416D1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8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(%)</w:t>
            </w:r>
          </w:p>
        </w:tc>
      </w:tr>
      <w:tr w:rsidR="00932CF7" w:rsidRPr="00D43612" w14:paraId="546607D4" w14:textId="77777777" w:rsidTr="00742C98">
        <w:trPr>
          <w:trHeight w:val="437"/>
        </w:trPr>
        <w:tc>
          <w:tcPr>
            <w:tcW w:w="5479" w:type="dxa"/>
          </w:tcPr>
          <w:p w14:paraId="402C0A29" w14:textId="388FEF6B" w:rsidR="00932CF7" w:rsidRPr="00D43612" w:rsidRDefault="00932CF7" w:rsidP="00932CF7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Mild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ADRs</w:t>
            </w:r>
            <w:r w:rsidRPr="00D43612">
              <w:rPr>
                <w:rFonts w:ascii="Book Antiqua" w:hAnsi="Book Antiqua" w:cs="Book Antiqua"/>
                <w:vertAlign w:val="superscript"/>
                <w:lang w:eastAsia="en-AU"/>
              </w:rPr>
              <w:t>1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(by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subtype)</w:t>
            </w:r>
          </w:p>
        </w:tc>
        <w:tc>
          <w:tcPr>
            <w:tcW w:w="2789" w:type="dxa"/>
            <w:vAlign w:val="center"/>
          </w:tcPr>
          <w:p w14:paraId="748EA12E" w14:textId="39B68F2A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16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(69.6)</w:t>
            </w:r>
          </w:p>
        </w:tc>
        <w:tc>
          <w:tcPr>
            <w:tcW w:w="2945" w:type="dxa"/>
            <w:vAlign w:val="center"/>
          </w:tcPr>
          <w:p w14:paraId="1ECA5D32" w14:textId="0EF6C514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8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(100.0)</w:t>
            </w:r>
          </w:p>
        </w:tc>
      </w:tr>
      <w:tr w:rsidR="00932CF7" w:rsidRPr="00D43612" w14:paraId="2481FB89" w14:textId="77777777" w:rsidTr="00742C98">
        <w:trPr>
          <w:trHeight w:val="355"/>
        </w:trPr>
        <w:tc>
          <w:tcPr>
            <w:tcW w:w="5479" w:type="dxa"/>
          </w:tcPr>
          <w:p w14:paraId="6947207D" w14:textId="316E9FAF" w:rsidR="00932CF7" w:rsidRPr="00D43612" w:rsidRDefault="00932CF7" w:rsidP="00932CF7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Serum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sickness</w:t>
            </w:r>
          </w:p>
        </w:tc>
        <w:tc>
          <w:tcPr>
            <w:tcW w:w="2789" w:type="dxa"/>
            <w:vAlign w:val="center"/>
          </w:tcPr>
          <w:p w14:paraId="68B63865" w14:textId="5FDA63A3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(4.3)</w:t>
            </w:r>
          </w:p>
        </w:tc>
        <w:tc>
          <w:tcPr>
            <w:tcW w:w="2945" w:type="dxa"/>
            <w:vAlign w:val="center"/>
          </w:tcPr>
          <w:p w14:paraId="319E647E" w14:textId="5D86D02B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(25.0)</w:t>
            </w:r>
          </w:p>
        </w:tc>
      </w:tr>
      <w:tr w:rsidR="00932CF7" w:rsidRPr="00D43612" w14:paraId="4C89C1FB" w14:textId="77777777" w:rsidTr="00742C98">
        <w:trPr>
          <w:trHeight w:val="524"/>
        </w:trPr>
        <w:tc>
          <w:tcPr>
            <w:tcW w:w="5479" w:type="dxa"/>
          </w:tcPr>
          <w:p w14:paraId="299B6E5E" w14:textId="228418F1" w:rsidR="00932CF7" w:rsidRPr="00D43612" w:rsidRDefault="00932CF7" w:rsidP="00932CF7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Skin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rash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(including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psoriasis/lupus)</w:t>
            </w:r>
          </w:p>
        </w:tc>
        <w:tc>
          <w:tcPr>
            <w:tcW w:w="2789" w:type="dxa"/>
            <w:vAlign w:val="center"/>
          </w:tcPr>
          <w:p w14:paraId="4AE5DD72" w14:textId="427260E3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6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(26.1)</w:t>
            </w:r>
          </w:p>
        </w:tc>
        <w:tc>
          <w:tcPr>
            <w:tcW w:w="2945" w:type="dxa"/>
            <w:vAlign w:val="center"/>
          </w:tcPr>
          <w:p w14:paraId="6F6D3B53" w14:textId="2D110463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4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(50.0)</w:t>
            </w:r>
          </w:p>
        </w:tc>
      </w:tr>
      <w:tr w:rsidR="00932CF7" w:rsidRPr="00D43612" w14:paraId="13A3CC8D" w14:textId="77777777" w:rsidTr="00742C98">
        <w:trPr>
          <w:trHeight w:val="514"/>
        </w:trPr>
        <w:tc>
          <w:tcPr>
            <w:tcW w:w="5479" w:type="dxa"/>
          </w:tcPr>
          <w:p w14:paraId="5BE3AA80" w14:textId="7E67A8CC" w:rsidR="00932CF7" w:rsidRPr="00D43612" w:rsidRDefault="00932CF7" w:rsidP="00932CF7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Facial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flushing</w:t>
            </w:r>
          </w:p>
        </w:tc>
        <w:tc>
          <w:tcPr>
            <w:tcW w:w="2789" w:type="dxa"/>
            <w:vAlign w:val="center"/>
          </w:tcPr>
          <w:p w14:paraId="4810D50E" w14:textId="105FC837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(4.3)</w:t>
            </w:r>
          </w:p>
        </w:tc>
        <w:tc>
          <w:tcPr>
            <w:tcW w:w="2945" w:type="dxa"/>
            <w:vAlign w:val="center"/>
          </w:tcPr>
          <w:p w14:paraId="48CA4AC9" w14:textId="55A9E2B4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(0.0)</w:t>
            </w:r>
          </w:p>
        </w:tc>
      </w:tr>
      <w:tr w:rsidR="00932CF7" w:rsidRPr="00D43612" w14:paraId="0DA7D0D5" w14:textId="77777777" w:rsidTr="00742C98">
        <w:trPr>
          <w:trHeight w:val="497"/>
        </w:trPr>
        <w:tc>
          <w:tcPr>
            <w:tcW w:w="5479" w:type="dxa"/>
          </w:tcPr>
          <w:p w14:paraId="0DEAF44C" w14:textId="77777777" w:rsidR="00932CF7" w:rsidRPr="00D43612" w:rsidRDefault="00932CF7" w:rsidP="00932CF7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Hypoxia</w:t>
            </w:r>
          </w:p>
        </w:tc>
        <w:tc>
          <w:tcPr>
            <w:tcW w:w="2789" w:type="dxa"/>
            <w:vAlign w:val="center"/>
          </w:tcPr>
          <w:p w14:paraId="09AACE7F" w14:textId="2F4F5445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(0.0)</w:t>
            </w:r>
          </w:p>
        </w:tc>
        <w:tc>
          <w:tcPr>
            <w:tcW w:w="2945" w:type="dxa"/>
            <w:vAlign w:val="center"/>
          </w:tcPr>
          <w:p w14:paraId="78C08B2A" w14:textId="43235B52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2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(25.0)</w:t>
            </w:r>
          </w:p>
        </w:tc>
      </w:tr>
      <w:tr w:rsidR="00932CF7" w:rsidRPr="00D43612" w14:paraId="15F35525" w14:textId="77777777" w:rsidTr="00742C98">
        <w:trPr>
          <w:trHeight w:val="445"/>
        </w:trPr>
        <w:tc>
          <w:tcPr>
            <w:tcW w:w="5479" w:type="dxa"/>
          </w:tcPr>
          <w:p w14:paraId="7A03378B" w14:textId="77777777" w:rsidR="00932CF7" w:rsidRPr="00D43612" w:rsidRDefault="00932CF7" w:rsidP="00932CF7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Nausea</w:t>
            </w:r>
          </w:p>
        </w:tc>
        <w:tc>
          <w:tcPr>
            <w:tcW w:w="2789" w:type="dxa"/>
            <w:vAlign w:val="center"/>
          </w:tcPr>
          <w:p w14:paraId="6876CA3A" w14:textId="62B52FD1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2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(8.7)</w:t>
            </w:r>
          </w:p>
        </w:tc>
        <w:tc>
          <w:tcPr>
            <w:tcW w:w="2945" w:type="dxa"/>
            <w:vAlign w:val="center"/>
          </w:tcPr>
          <w:p w14:paraId="3039014B" w14:textId="5F5E61EC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(12.5)</w:t>
            </w:r>
          </w:p>
        </w:tc>
      </w:tr>
      <w:tr w:rsidR="00932CF7" w:rsidRPr="00D43612" w14:paraId="6C0F7B56" w14:textId="77777777" w:rsidTr="00742C98">
        <w:trPr>
          <w:trHeight w:val="503"/>
        </w:trPr>
        <w:tc>
          <w:tcPr>
            <w:tcW w:w="5479" w:type="dxa"/>
          </w:tcPr>
          <w:p w14:paraId="33161714" w14:textId="77777777" w:rsidR="00932CF7" w:rsidRPr="00D43612" w:rsidRDefault="00932CF7" w:rsidP="00932CF7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Pruritis</w:t>
            </w:r>
          </w:p>
        </w:tc>
        <w:tc>
          <w:tcPr>
            <w:tcW w:w="2789" w:type="dxa"/>
            <w:vAlign w:val="center"/>
          </w:tcPr>
          <w:p w14:paraId="71801B4D" w14:textId="14E65648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2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(8.7)</w:t>
            </w:r>
          </w:p>
        </w:tc>
        <w:tc>
          <w:tcPr>
            <w:tcW w:w="2945" w:type="dxa"/>
            <w:vAlign w:val="center"/>
          </w:tcPr>
          <w:p w14:paraId="5AA44C49" w14:textId="0E34574E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(0.0)</w:t>
            </w:r>
          </w:p>
        </w:tc>
      </w:tr>
      <w:tr w:rsidR="00932CF7" w:rsidRPr="00D43612" w14:paraId="410E46E8" w14:textId="77777777" w:rsidTr="00742C98">
        <w:trPr>
          <w:trHeight w:val="451"/>
        </w:trPr>
        <w:tc>
          <w:tcPr>
            <w:tcW w:w="5479" w:type="dxa"/>
          </w:tcPr>
          <w:p w14:paraId="28FB84E2" w14:textId="77777777" w:rsidR="00932CF7" w:rsidRPr="00D43612" w:rsidRDefault="00932CF7" w:rsidP="00932CF7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Arthralgia</w:t>
            </w:r>
          </w:p>
        </w:tc>
        <w:tc>
          <w:tcPr>
            <w:tcW w:w="2789" w:type="dxa"/>
            <w:vAlign w:val="center"/>
          </w:tcPr>
          <w:p w14:paraId="5425A8A5" w14:textId="46973D07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(4.3)</w:t>
            </w:r>
          </w:p>
        </w:tc>
        <w:tc>
          <w:tcPr>
            <w:tcW w:w="2945" w:type="dxa"/>
            <w:vAlign w:val="center"/>
          </w:tcPr>
          <w:p w14:paraId="43C393EA" w14:textId="161CBF66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(0.0)</w:t>
            </w:r>
          </w:p>
        </w:tc>
      </w:tr>
      <w:tr w:rsidR="00932CF7" w:rsidRPr="00D43612" w14:paraId="37D89BFC" w14:textId="77777777" w:rsidTr="00742C98">
        <w:trPr>
          <w:trHeight w:val="499"/>
        </w:trPr>
        <w:tc>
          <w:tcPr>
            <w:tcW w:w="5479" w:type="dxa"/>
          </w:tcPr>
          <w:p w14:paraId="5BC31662" w14:textId="33962714" w:rsidR="00932CF7" w:rsidRPr="00D43612" w:rsidRDefault="00932CF7" w:rsidP="00932CF7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lastRenderedPageBreak/>
              <w:t>Other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(unspecified)</w:t>
            </w:r>
          </w:p>
        </w:tc>
        <w:tc>
          <w:tcPr>
            <w:tcW w:w="2789" w:type="dxa"/>
            <w:vAlign w:val="center"/>
          </w:tcPr>
          <w:p w14:paraId="663EA137" w14:textId="3C00B0C7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3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(13.0)</w:t>
            </w:r>
          </w:p>
        </w:tc>
        <w:tc>
          <w:tcPr>
            <w:tcW w:w="2945" w:type="dxa"/>
            <w:vAlign w:val="center"/>
          </w:tcPr>
          <w:p w14:paraId="0BBB9F3D" w14:textId="3D7D970F" w:rsidR="00932CF7" w:rsidRPr="00D43612" w:rsidRDefault="00932CF7" w:rsidP="00932CF7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(0.0)</w:t>
            </w:r>
          </w:p>
        </w:tc>
      </w:tr>
      <w:tr w:rsidR="0030454F" w:rsidRPr="00D43612" w14:paraId="4391476A" w14:textId="77777777" w:rsidTr="00742C98">
        <w:trPr>
          <w:trHeight w:val="299"/>
        </w:trPr>
        <w:tc>
          <w:tcPr>
            <w:tcW w:w="5479" w:type="dxa"/>
          </w:tcPr>
          <w:p w14:paraId="0BE4EE90" w14:textId="6120CA6A" w:rsidR="0030454F" w:rsidRPr="00D43612" w:rsidRDefault="0030454F" w:rsidP="0030454F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Severe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ADRs</w:t>
            </w:r>
            <w:r w:rsidRPr="00D43612">
              <w:rPr>
                <w:rFonts w:ascii="Book Antiqua" w:hAnsi="Book Antiqua" w:cs="Book Antiqua"/>
                <w:vertAlign w:val="superscript"/>
                <w:lang w:eastAsia="en-AU"/>
              </w:rPr>
              <w:t>1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(by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subtype)</w:t>
            </w:r>
          </w:p>
        </w:tc>
        <w:tc>
          <w:tcPr>
            <w:tcW w:w="2789" w:type="dxa"/>
            <w:vAlign w:val="center"/>
          </w:tcPr>
          <w:p w14:paraId="68A0BFE2" w14:textId="698C08E3" w:rsidR="0030454F" w:rsidRPr="00D43612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7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(30.4)</w:t>
            </w:r>
          </w:p>
        </w:tc>
        <w:tc>
          <w:tcPr>
            <w:tcW w:w="2945" w:type="dxa"/>
            <w:vAlign w:val="center"/>
          </w:tcPr>
          <w:p w14:paraId="79EE3C6E" w14:textId="29D64589" w:rsidR="0030454F" w:rsidRPr="00D43612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(0.0)</w:t>
            </w:r>
          </w:p>
        </w:tc>
      </w:tr>
      <w:tr w:rsidR="0030454F" w:rsidRPr="00D43612" w14:paraId="093D0594" w14:textId="77777777" w:rsidTr="00742C98">
        <w:trPr>
          <w:trHeight w:val="399"/>
        </w:trPr>
        <w:tc>
          <w:tcPr>
            <w:tcW w:w="5479" w:type="dxa"/>
          </w:tcPr>
          <w:p w14:paraId="376D864C" w14:textId="7F8CFEA2" w:rsidR="0030454F" w:rsidRPr="00D43612" w:rsidRDefault="0030454F" w:rsidP="0030454F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Anaphylactic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(incl.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angioedema)</w:t>
            </w:r>
          </w:p>
        </w:tc>
        <w:tc>
          <w:tcPr>
            <w:tcW w:w="2789" w:type="dxa"/>
            <w:vAlign w:val="center"/>
          </w:tcPr>
          <w:p w14:paraId="7FC5F4D0" w14:textId="402951A7" w:rsidR="0030454F" w:rsidRPr="00D43612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4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(17.4)</w:t>
            </w:r>
          </w:p>
        </w:tc>
        <w:tc>
          <w:tcPr>
            <w:tcW w:w="2945" w:type="dxa"/>
            <w:vAlign w:val="center"/>
          </w:tcPr>
          <w:p w14:paraId="684DBC48" w14:textId="69239198" w:rsidR="0030454F" w:rsidRPr="00D43612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(0.0)</w:t>
            </w:r>
          </w:p>
        </w:tc>
      </w:tr>
      <w:tr w:rsidR="0030454F" w:rsidRPr="00D43612" w14:paraId="0BF62128" w14:textId="77777777" w:rsidTr="00742C98">
        <w:trPr>
          <w:trHeight w:val="424"/>
        </w:trPr>
        <w:tc>
          <w:tcPr>
            <w:tcW w:w="5479" w:type="dxa"/>
          </w:tcPr>
          <w:p w14:paraId="050BB611" w14:textId="77777777" w:rsidR="0030454F" w:rsidRPr="00D43612" w:rsidRDefault="0030454F" w:rsidP="0030454F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Dyspnoea</w:t>
            </w:r>
          </w:p>
        </w:tc>
        <w:tc>
          <w:tcPr>
            <w:tcW w:w="2789" w:type="dxa"/>
            <w:vAlign w:val="center"/>
          </w:tcPr>
          <w:p w14:paraId="2D545F9A" w14:textId="3F957EF9" w:rsidR="0030454F" w:rsidRPr="00D43612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(4.3)</w:t>
            </w:r>
          </w:p>
        </w:tc>
        <w:tc>
          <w:tcPr>
            <w:tcW w:w="2945" w:type="dxa"/>
            <w:vAlign w:val="center"/>
          </w:tcPr>
          <w:p w14:paraId="18E45DFB" w14:textId="3C3836AB" w:rsidR="0030454F" w:rsidRPr="00D43612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(0.0)</w:t>
            </w:r>
          </w:p>
        </w:tc>
      </w:tr>
      <w:tr w:rsidR="0030454F" w:rsidRPr="00D43612" w14:paraId="61094184" w14:textId="77777777" w:rsidTr="00742C98">
        <w:trPr>
          <w:trHeight w:val="424"/>
        </w:trPr>
        <w:tc>
          <w:tcPr>
            <w:tcW w:w="5479" w:type="dxa"/>
          </w:tcPr>
          <w:p w14:paraId="7C62AD21" w14:textId="77777777" w:rsidR="0030454F" w:rsidRPr="00D43612" w:rsidRDefault="0030454F" w:rsidP="0030454F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Hypotension</w:t>
            </w:r>
          </w:p>
        </w:tc>
        <w:tc>
          <w:tcPr>
            <w:tcW w:w="2789" w:type="dxa"/>
            <w:vAlign w:val="center"/>
          </w:tcPr>
          <w:p w14:paraId="7098D4A1" w14:textId="3F44B3FF" w:rsidR="0030454F" w:rsidRPr="00D43612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(4.3)</w:t>
            </w:r>
          </w:p>
        </w:tc>
        <w:tc>
          <w:tcPr>
            <w:tcW w:w="2945" w:type="dxa"/>
            <w:vAlign w:val="center"/>
          </w:tcPr>
          <w:p w14:paraId="32221841" w14:textId="04A1C3CC" w:rsidR="0030454F" w:rsidRPr="00D43612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(0.0)</w:t>
            </w:r>
          </w:p>
        </w:tc>
      </w:tr>
      <w:tr w:rsidR="0030454F" w:rsidRPr="00D43612" w14:paraId="4F895DC4" w14:textId="77777777" w:rsidTr="00742C98">
        <w:trPr>
          <w:trHeight w:val="59"/>
        </w:trPr>
        <w:tc>
          <w:tcPr>
            <w:tcW w:w="5479" w:type="dxa"/>
          </w:tcPr>
          <w:p w14:paraId="3B233EDE" w14:textId="715AABF3" w:rsidR="0030454F" w:rsidRPr="00D43612" w:rsidRDefault="0030454F" w:rsidP="0030454F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Chest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pain</w:t>
            </w:r>
          </w:p>
        </w:tc>
        <w:tc>
          <w:tcPr>
            <w:tcW w:w="2789" w:type="dxa"/>
            <w:vAlign w:val="center"/>
          </w:tcPr>
          <w:p w14:paraId="522FA34A" w14:textId="53EE0B81" w:rsidR="0030454F" w:rsidRPr="00D43612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(4.3)</w:t>
            </w:r>
          </w:p>
        </w:tc>
        <w:tc>
          <w:tcPr>
            <w:tcW w:w="2945" w:type="dxa"/>
            <w:vAlign w:val="center"/>
          </w:tcPr>
          <w:p w14:paraId="08982328" w14:textId="19979730" w:rsidR="0030454F" w:rsidRPr="00D43612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(0.0)</w:t>
            </w:r>
          </w:p>
        </w:tc>
      </w:tr>
      <w:tr w:rsidR="0030454F" w:rsidRPr="00D43612" w14:paraId="47C4A5FB" w14:textId="77777777" w:rsidTr="00742C98">
        <w:trPr>
          <w:trHeight w:val="59"/>
        </w:trPr>
        <w:tc>
          <w:tcPr>
            <w:tcW w:w="5479" w:type="dxa"/>
          </w:tcPr>
          <w:p w14:paraId="63DF16CC" w14:textId="14DE5659" w:rsidR="0030454F" w:rsidRPr="00D43612" w:rsidRDefault="0030454F" w:rsidP="0030454F">
            <w:pPr>
              <w:spacing w:line="360" w:lineRule="auto"/>
              <w:ind w:left="159" w:firstLineChars="50" w:firstLine="12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Other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(unspecified)</w:t>
            </w:r>
          </w:p>
        </w:tc>
        <w:tc>
          <w:tcPr>
            <w:tcW w:w="2789" w:type="dxa"/>
            <w:vAlign w:val="center"/>
          </w:tcPr>
          <w:p w14:paraId="007A6DD9" w14:textId="06E37563" w:rsidR="0030454F" w:rsidRPr="00D43612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(0.0)</w:t>
            </w:r>
          </w:p>
        </w:tc>
        <w:tc>
          <w:tcPr>
            <w:tcW w:w="2945" w:type="dxa"/>
            <w:vAlign w:val="center"/>
          </w:tcPr>
          <w:p w14:paraId="73D4DA39" w14:textId="2BA02065" w:rsidR="0030454F" w:rsidRPr="00D43612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(0.0)</w:t>
            </w:r>
          </w:p>
        </w:tc>
      </w:tr>
      <w:tr w:rsidR="0030454F" w:rsidRPr="00D43612" w14:paraId="5C87686F" w14:textId="77777777" w:rsidTr="00742C98">
        <w:trPr>
          <w:trHeight w:val="357"/>
        </w:trPr>
        <w:tc>
          <w:tcPr>
            <w:tcW w:w="5479" w:type="dxa"/>
          </w:tcPr>
          <w:p w14:paraId="5E207B81" w14:textId="745D5B74" w:rsidR="0030454F" w:rsidRPr="00D43612" w:rsidRDefault="0030454F" w:rsidP="0030454F">
            <w:pPr>
              <w:spacing w:line="360" w:lineRule="auto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Retrial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outcomes</w:t>
            </w:r>
            <w:r w:rsidRPr="00D43612">
              <w:rPr>
                <w:rFonts w:ascii="Book Antiqua" w:hAnsi="Book Antiqua" w:cs="Book Antiqua"/>
                <w:vertAlign w:val="superscript"/>
                <w:lang w:eastAsia="en-AU"/>
              </w:rPr>
              <w:t>2</w:t>
            </w:r>
          </w:p>
        </w:tc>
        <w:tc>
          <w:tcPr>
            <w:tcW w:w="2789" w:type="dxa"/>
            <w:vAlign w:val="center"/>
          </w:tcPr>
          <w:p w14:paraId="1F2EDE3B" w14:textId="77777777" w:rsidR="0030454F" w:rsidRPr="00D43612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  <w:tc>
          <w:tcPr>
            <w:tcW w:w="2945" w:type="dxa"/>
            <w:vAlign w:val="center"/>
          </w:tcPr>
          <w:p w14:paraId="64103328" w14:textId="77777777" w:rsidR="0030454F" w:rsidRPr="00D43612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</w:tr>
      <w:tr w:rsidR="0030454F" w:rsidRPr="00D43612" w14:paraId="479E2FE8" w14:textId="77777777" w:rsidTr="00742C98">
        <w:trPr>
          <w:trHeight w:val="412"/>
        </w:trPr>
        <w:tc>
          <w:tcPr>
            <w:tcW w:w="5479" w:type="dxa"/>
          </w:tcPr>
          <w:p w14:paraId="51BE6189" w14:textId="06417A30" w:rsidR="0030454F" w:rsidRPr="00D43612" w:rsidRDefault="0030454F" w:rsidP="0030454F">
            <w:pPr>
              <w:spacing w:line="360" w:lineRule="auto"/>
              <w:ind w:firstLineChars="150" w:firstLine="36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Returned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to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rapid</w:t>
            </w:r>
          </w:p>
        </w:tc>
        <w:tc>
          <w:tcPr>
            <w:tcW w:w="2789" w:type="dxa"/>
            <w:vAlign w:val="center"/>
          </w:tcPr>
          <w:p w14:paraId="0FB09E3D" w14:textId="3B03BD45" w:rsidR="0030454F" w:rsidRPr="00D43612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NA</w:t>
            </w:r>
          </w:p>
        </w:tc>
        <w:tc>
          <w:tcPr>
            <w:tcW w:w="2945" w:type="dxa"/>
            <w:vAlign w:val="center"/>
          </w:tcPr>
          <w:p w14:paraId="05B338FF" w14:textId="77777777" w:rsidR="0030454F" w:rsidRPr="00D43612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7</w:t>
            </w:r>
          </w:p>
        </w:tc>
      </w:tr>
      <w:tr w:rsidR="0030454F" w:rsidRPr="00D43612" w14:paraId="049584B6" w14:textId="77777777" w:rsidTr="00742C98">
        <w:trPr>
          <w:trHeight w:val="349"/>
        </w:trPr>
        <w:tc>
          <w:tcPr>
            <w:tcW w:w="5479" w:type="dxa"/>
          </w:tcPr>
          <w:p w14:paraId="1AA0A3A3" w14:textId="5ABDA08C" w:rsidR="0030454F" w:rsidRPr="00D43612" w:rsidRDefault="0030454F" w:rsidP="0030454F">
            <w:pPr>
              <w:spacing w:line="360" w:lineRule="auto"/>
              <w:ind w:firstLineChars="150" w:firstLine="36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Returned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to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accelerated</w:t>
            </w:r>
          </w:p>
        </w:tc>
        <w:tc>
          <w:tcPr>
            <w:tcW w:w="2789" w:type="dxa"/>
            <w:vAlign w:val="center"/>
          </w:tcPr>
          <w:p w14:paraId="1FB25B37" w14:textId="1980DF74" w:rsidR="0030454F" w:rsidRPr="00D43612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NA</w:t>
            </w:r>
          </w:p>
        </w:tc>
        <w:tc>
          <w:tcPr>
            <w:tcW w:w="2945" w:type="dxa"/>
            <w:vAlign w:val="center"/>
          </w:tcPr>
          <w:p w14:paraId="18620CE6" w14:textId="77777777" w:rsidR="0030454F" w:rsidRPr="00D43612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</w:t>
            </w:r>
          </w:p>
        </w:tc>
      </w:tr>
      <w:tr w:rsidR="0030454F" w:rsidRPr="00D43612" w14:paraId="5F476F88" w14:textId="77777777" w:rsidTr="00742C98">
        <w:trPr>
          <w:trHeight w:val="387"/>
        </w:trPr>
        <w:tc>
          <w:tcPr>
            <w:tcW w:w="5479" w:type="dxa"/>
          </w:tcPr>
          <w:p w14:paraId="7710F396" w14:textId="448CE8E7" w:rsidR="0030454F" w:rsidRPr="00D43612" w:rsidRDefault="0030454F" w:rsidP="0030454F">
            <w:pPr>
              <w:spacing w:line="360" w:lineRule="auto"/>
              <w:ind w:firstLineChars="150" w:firstLine="36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Returned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to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standard</w:t>
            </w:r>
          </w:p>
        </w:tc>
        <w:tc>
          <w:tcPr>
            <w:tcW w:w="2789" w:type="dxa"/>
            <w:vAlign w:val="center"/>
          </w:tcPr>
          <w:p w14:paraId="605DA78B" w14:textId="77777777" w:rsidR="0030454F" w:rsidRPr="00D43612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15</w:t>
            </w:r>
          </w:p>
        </w:tc>
        <w:tc>
          <w:tcPr>
            <w:tcW w:w="2945" w:type="dxa"/>
            <w:vAlign w:val="center"/>
          </w:tcPr>
          <w:p w14:paraId="03F168A0" w14:textId="77777777" w:rsidR="0030454F" w:rsidRPr="00D43612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</w:t>
            </w:r>
          </w:p>
        </w:tc>
      </w:tr>
      <w:tr w:rsidR="0030454F" w:rsidRPr="00D43612" w14:paraId="0158228A" w14:textId="77777777" w:rsidTr="00742C98">
        <w:trPr>
          <w:trHeight w:val="248"/>
        </w:trPr>
        <w:tc>
          <w:tcPr>
            <w:tcW w:w="5479" w:type="dxa"/>
          </w:tcPr>
          <w:p w14:paraId="528E9117" w14:textId="1400CF2B" w:rsidR="0030454F" w:rsidRPr="00D43612" w:rsidRDefault="0030454F" w:rsidP="0030454F">
            <w:pPr>
              <w:spacing w:line="360" w:lineRule="auto"/>
              <w:ind w:firstLineChars="150" w:firstLine="36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ADR(s)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occurred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on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retrial</w:t>
            </w:r>
          </w:p>
        </w:tc>
        <w:tc>
          <w:tcPr>
            <w:tcW w:w="2789" w:type="dxa"/>
            <w:vAlign w:val="center"/>
          </w:tcPr>
          <w:p w14:paraId="426113A5" w14:textId="77777777" w:rsidR="0030454F" w:rsidRPr="00D43612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3</w:t>
            </w:r>
          </w:p>
        </w:tc>
        <w:tc>
          <w:tcPr>
            <w:tcW w:w="2945" w:type="dxa"/>
            <w:vAlign w:val="center"/>
          </w:tcPr>
          <w:p w14:paraId="213B7730" w14:textId="77777777" w:rsidR="0030454F" w:rsidRPr="00D43612" w:rsidRDefault="0030454F" w:rsidP="0030454F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</w:t>
            </w:r>
          </w:p>
        </w:tc>
      </w:tr>
    </w:tbl>
    <w:p w14:paraId="2D31C128" w14:textId="5DFBD339" w:rsidR="006767EC" w:rsidRPr="00D43612" w:rsidRDefault="00B416D1">
      <w:pPr>
        <w:spacing w:line="360" w:lineRule="auto"/>
        <w:rPr>
          <w:rFonts w:ascii="Book Antiqua" w:hAnsi="Book Antiqua" w:cs="Book Antiqua"/>
          <w:lang w:eastAsia="zh-CN"/>
        </w:rPr>
      </w:pPr>
      <w:r w:rsidRPr="00D43612">
        <w:rPr>
          <w:rFonts w:ascii="Book Antiqua" w:hAnsi="Book Antiqua" w:cs="Book Antiqua"/>
          <w:vertAlign w:val="superscript"/>
          <w:lang w:eastAsia="en-AU"/>
        </w:rPr>
        <w:t>1</w:t>
      </w:r>
      <w:r w:rsidRPr="00D43612">
        <w:rPr>
          <w:rFonts w:ascii="Book Antiqua" w:hAnsi="Book Antiqua" w:cs="Book Antiqua"/>
          <w:lang w:eastAsia="en-AU"/>
        </w:rPr>
        <w:t>As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per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Common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Toxicity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Criteria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definitions;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vertAlign w:val="superscript"/>
          <w:lang w:eastAsia="en-AU"/>
        </w:rPr>
        <w:t>2</w:t>
      </w:r>
      <w:r w:rsidRPr="00D43612">
        <w:rPr>
          <w:rFonts w:ascii="Book Antiqua" w:hAnsi="Book Antiqua" w:cs="Book Antiqua"/>
          <w:lang w:eastAsia="en-AU"/>
        </w:rPr>
        <w:t>Fastest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protocol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to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which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tolerated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on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ongoing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basis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(</w:t>
      </w:r>
      <w:r w:rsidRPr="00D43612">
        <w:rPr>
          <w:rFonts w:ascii="Book Antiqua" w:hAnsi="Book Antiqua" w:cs="Book Antiqua"/>
          <w:i/>
          <w:iCs/>
          <w:lang w:eastAsia="en-AU"/>
        </w:rPr>
        <w:t>i.e.</w:t>
      </w:r>
      <w:r w:rsidR="00E1123A">
        <w:rPr>
          <w:rFonts w:ascii="Book Antiqua" w:hAnsi="Book Antiqua" w:cs="Book Antiqua"/>
          <w:i/>
          <w:iCs/>
          <w:lang w:eastAsia="en-AU"/>
        </w:rPr>
        <w:t>,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≥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3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infusions).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</w:rPr>
        <w:t>RR: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Relative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risk;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ADR: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Adverse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drug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reaction</w:t>
      </w:r>
      <w:r w:rsidR="00E1123A">
        <w:rPr>
          <w:rFonts w:ascii="Book Antiqua" w:hAnsi="Book Antiqua" w:cs="Book Antiqua"/>
        </w:rPr>
        <w:t>; NA: N</w:t>
      </w:r>
      <w:r w:rsidR="00E1123A">
        <w:rPr>
          <w:rFonts w:ascii="Book Antiqua" w:hAnsi="Book Antiqua" w:cs="Book Antiqua" w:hint="eastAsia"/>
          <w:lang w:eastAsia="zh-CN"/>
        </w:rPr>
        <w:t>ot</w:t>
      </w:r>
      <w:r w:rsidR="00E1123A">
        <w:rPr>
          <w:rFonts w:ascii="Book Antiqua" w:hAnsi="Book Antiqua" w:cs="Book Antiqua"/>
          <w:lang w:eastAsia="zh-CN"/>
        </w:rPr>
        <w:t xml:space="preserve"> available. </w:t>
      </w:r>
    </w:p>
    <w:p w14:paraId="68CBD7C6" w14:textId="63834022" w:rsidR="006767EC" w:rsidRPr="00D43612" w:rsidRDefault="00B416D1">
      <w:pPr>
        <w:spacing w:line="360" w:lineRule="auto"/>
        <w:jc w:val="both"/>
        <w:rPr>
          <w:rFonts w:ascii="Book Antiqua" w:hAnsi="Book Antiqua" w:cs="Book Antiqua"/>
          <w:b/>
          <w:bCs/>
        </w:rPr>
      </w:pPr>
      <w:r w:rsidRPr="00D43612">
        <w:rPr>
          <w:rFonts w:ascii="Book Antiqua" w:hAnsi="Book Antiqua" w:cs="Book Antiqua"/>
        </w:rPr>
        <w:br w:type="page"/>
      </w:r>
      <w:r w:rsidRPr="00D43612">
        <w:rPr>
          <w:rFonts w:ascii="Book Antiqua" w:hAnsi="Book Antiqua" w:cs="Book Antiqua"/>
          <w:b/>
          <w:bCs/>
        </w:rPr>
        <w:lastRenderedPageBreak/>
        <w:t>Table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3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Univariable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and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multivariable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logistic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regression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analyses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depicting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factors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potentially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associated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with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increased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likelihood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of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infliximab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infusion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reaction/s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with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a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rapid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infusion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protocol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in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this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cohort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(</w:t>
      </w:r>
      <w:r w:rsidRPr="00D43612">
        <w:rPr>
          <w:rFonts w:ascii="Book Antiqua" w:hAnsi="Book Antiqua" w:cs="Book Antiqua"/>
          <w:b/>
          <w:bCs/>
          <w:i/>
          <w:iCs/>
        </w:rPr>
        <w:t>n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=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129)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2093"/>
        <w:gridCol w:w="2172"/>
        <w:gridCol w:w="2413"/>
        <w:gridCol w:w="2173"/>
      </w:tblGrid>
      <w:tr w:rsidR="006767EC" w:rsidRPr="00D43612" w14:paraId="45F52581" w14:textId="77777777" w:rsidTr="00742C98">
        <w:trPr>
          <w:trHeight w:val="1305"/>
        </w:trPr>
        <w:tc>
          <w:tcPr>
            <w:tcW w:w="3304" w:type="dxa"/>
            <w:tcBorders>
              <w:bottom w:val="single" w:sz="4" w:space="0" w:color="auto"/>
            </w:tcBorders>
          </w:tcPr>
          <w:p w14:paraId="6F21ADC4" w14:textId="77777777" w:rsidR="006767EC" w:rsidRPr="00D43612" w:rsidRDefault="00B416D1">
            <w:pPr>
              <w:spacing w:line="360" w:lineRule="auto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Variable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7A1430D6" w14:textId="3C77F67E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b/>
                <w:lang w:eastAsia="en-AU"/>
              </w:rPr>
              <w:t>Univariable</w:t>
            </w:r>
            <w:r w:rsidR="00221BA4">
              <w:rPr>
                <w:rFonts w:ascii="Book Antiqua" w:hAnsi="Book Antiqua" w:cs="Book Antiqua"/>
                <w:b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lang w:eastAsia="en-AU"/>
              </w:rPr>
              <w:t>odds</w:t>
            </w:r>
            <w:r w:rsidR="00221BA4">
              <w:rPr>
                <w:rFonts w:ascii="Book Antiqua" w:hAnsi="Book Antiqua" w:cs="Book Antiqua"/>
                <w:b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lang w:eastAsia="en-AU"/>
              </w:rPr>
              <w:t>ratio</w:t>
            </w:r>
            <w:r w:rsidR="00221BA4">
              <w:rPr>
                <w:rFonts w:ascii="Book Antiqua" w:hAnsi="Book Antiqua" w:cs="Book Antiqua"/>
                <w:b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lang w:eastAsia="en-AU"/>
              </w:rPr>
              <w:t>(95%CI)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14:paraId="73A26CA9" w14:textId="3FEDD133" w:rsidR="006767EC" w:rsidRPr="00D43612" w:rsidRDefault="00B416D1" w:rsidP="001739F8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b/>
                <w:i/>
                <w:iCs/>
                <w:lang w:eastAsia="en-AU"/>
              </w:rPr>
              <w:t>P</w:t>
            </w:r>
            <w:r w:rsidR="00221BA4">
              <w:rPr>
                <w:rFonts w:ascii="Book Antiqua" w:hAnsi="Book Antiqua" w:cs="Book Antiqua"/>
                <w:b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lang w:eastAsia="en-AU"/>
              </w:rPr>
              <w:t>value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392F9764" w14:textId="2C4A7D5D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b/>
                <w:lang w:eastAsia="en-AU"/>
              </w:rPr>
              <w:t>Multivariable</w:t>
            </w:r>
            <w:r w:rsidR="00221BA4">
              <w:rPr>
                <w:rFonts w:ascii="Book Antiqua" w:hAnsi="Book Antiqua" w:cs="Book Antiqua"/>
                <w:b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lang w:eastAsia="en-AU"/>
              </w:rPr>
              <w:t>odds</w:t>
            </w:r>
            <w:r w:rsidR="00221BA4">
              <w:rPr>
                <w:rFonts w:ascii="Book Antiqua" w:hAnsi="Book Antiqua" w:cs="Book Antiqua"/>
                <w:b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lang w:eastAsia="en-AU"/>
              </w:rPr>
              <w:t>ratio</w:t>
            </w:r>
            <w:r w:rsidR="00221BA4">
              <w:rPr>
                <w:rFonts w:ascii="Book Antiqua" w:hAnsi="Book Antiqua" w:cs="Book Antiqua"/>
                <w:b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lang w:eastAsia="en-AU"/>
              </w:rPr>
              <w:t>(95%CI)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14:paraId="71CFA4E0" w14:textId="72087D7F" w:rsidR="006767EC" w:rsidRPr="00D43612" w:rsidRDefault="00B416D1" w:rsidP="001739F8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b/>
                <w:i/>
                <w:iCs/>
                <w:lang w:eastAsia="en-AU"/>
              </w:rPr>
              <w:t>P</w:t>
            </w:r>
            <w:r w:rsidR="00221BA4">
              <w:rPr>
                <w:rFonts w:ascii="Book Antiqua" w:hAnsi="Book Antiqua" w:cs="Book Antiqua"/>
                <w:b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lang w:eastAsia="en-AU"/>
              </w:rPr>
              <w:t>value</w:t>
            </w:r>
          </w:p>
        </w:tc>
      </w:tr>
      <w:tr w:rsidR="006767EC" w:rsidRPr="00D43612" w14:paraId="3AE7B95C" w14:textId="77777777" w:rsidTr="00BB0DE6">
        <w:trPr>
          <w:trHeight w:val="205"/>
        </w:trPr>
        <w:tc>
          <w:tcPr>
            <w:tcW w:w="3304" w:type="dxa"/>
            <w:tcBorders>
              <w:top w:val="single" w:sz="4" w:space="0" w:color="auto"/>
            </w:tcBorders>
            <w:vAlign w:val="center"/>
          </w:tcPr>
          <w:p w14:paraId="68AC90B7" w14:textId="6091574F" w:rsidR="006767EC" w:rsidRPr="00D43612" w:rsidRDefault="00B416D1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Lower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BMI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(&lt;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22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kg/m</w:t>
            </w:r>
            <w:r w:rsidRPr="00D43612">
              <w:rPr>
                <w:rFonts w:ascii="Book Antiqua" w:hAnsi="Book Antiqua" w:cs="Book Antiqua"/>
                <w:vertAlign w:val="superscript"/>
                <w:lang w:eastAsia="en-AU"/>
              </w:rPr>
              <w:t>2</w:t>
            </w:r>
            <w:r w:rsidRPr="00D43612">
              <w:rPr>
                <w:rFonts w:ascii="Book Antiqua" w:hAnsi="Book Antiqua" w:cs="Book Antiqua"/>
                <w:lang w:eastAsia="en-AU"/>
              </w:rPr>
              <w:t>)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3F38A7EE" w14:textId="417DF448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2.0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(0.7,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6.0)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vAlign w:val="center"/>
          </w:tcPr>
          <w:p w14:paraId="7B8F1B11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0.15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14:paraId="3C0E5190" w14:textId="34F2951D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5.3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(1.3,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21.6)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14:paraId="0C5BDADB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0.02</w:t>
            </w:r>
          </w:p>
        </w:tc>
      </w:tr>
      <w:tr w:rsidR="006767EC" w:rsidRPr="00D43612" w14:paraId="5C5B7CFC" w14:textId="77777777" w:rsidTr="002B4177">
        <w:trPr>
          <w:trHeight w:val="888"/>
        </w:trPr>
        <w:tc>
          <w:tcPr>
            <w:tcW w:w="3304" w:type="dxa"/>
            <w:vAlign w:val="center"/>
          </w:tcPr>
          <w:p w14:paraId="66BEC1EE" w14:textId="30056F1A" w:rsidR="006767EC" w:rsidRPr="00D43612" w:rsidRDefault="00B416D1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Presence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of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≥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1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extra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intestinal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manifestation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</w:p>
        </w:tc>
        <w:tc>
          <w:tcPr>
            <w:tcW w:w="2093" w:type="dxa"/>
            <w:vAlign w:val="center"/>
          </w:tcPr>
          <w:p w14:paraId="3F22BA8D" w14:textId="567100F6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4.0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(1.4,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11.8)</w:t>
            </w:r>
          </w:p>
        </w:tc>
        <w:tc>
          <w:tcPr>
            <w:tcW w:w="2172" w:type="dxa"/>
            <w:vAlign w:val="center"/>
          </w:tcPr>
          <w:p w14:paraId="325B8D10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0.01</w:t>
            </w:r>
          </w:p>
        </w:tc>
        <w:tc>
          <w:tcPr>
            <w:tcW w:w="2413" w:type="dxa"/>
            <w:vAlign w:val="center"/>
          </w:tcPr>
          <w:p w14:paraId="7D3F707B" w14:textId="13A37535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8.8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(2.3,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33.5)</w:t>
            </w:r>
          </w:p>
        </w:tc>
        <w:tc>
          <w:tcPr>
            <w:tcW w:w="2173" w:type="dxa"/>
            <w:vAlign w:val="center"/>
          </w:tcPr>
          <w:p w14:paraId="05CB1E71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&lt;0.01</w:t>
            </w:r>
          </w:p>
        </w:tc>
      </w:tr>
      <w:tr w:rsidR="006767EC" w:rsidRPr="00D43612" w14:paraId="075875A6" w14:textId="77777777" w:rsidTr="00BB0DE6">
        <w:trPr>
          <w:trHeight w:val="113"/>
        </w:trPr>
        <w:tc>
          <w:tcPr>
            <w:tcW w:w="3304" w:type="dxa"/>
            <w:vAlign w:val="center"/>
          </w:tcPr>
          <w:p w14:paraId="3CD6C8A2" w14:textId="4948D4CF" w:rsidR="006767EC" w:rsidRPr="00D43612" w:rsidRDefault="00B416D1">
            <w:pPr>
              <w:spacing w:line="360" w:lineRule="auto"/>
              <w:ind w:left="120" w:hangingChars="50" w:hanging="120"/>
              <w:jc w:val="both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Disease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duration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≥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3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proofErr w:type="spellStart"/>
            <w:r w:rsidRPr="00D43612">
              <w:rPr>
                <w:rFonts w:ascii="Book Antiqua" w:hAnsi="Book Antiqua" w:cs="Book Antiqua"/>
                <w:lang w:eastAsia="en-AU"/>
              </w:rPr>
              <w:t>yr</w:t>
            </w:r>
            <w:proofErr w:type="spellEnd"/>
          </w:p>
        </w:tc>
        <w:tc>
          <w:tcPr>
            <w:tcW w:w="2093" w:type="dxa"/>
            <w:vAlign w:val="center"/>
          </w:tcPr>
          <w:p w14:paraId="16DBB6B6" w14:textId="1FAD4B0A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4.8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(1.1,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20.5)</w:t>
            </w:r>
          </w:p>
        </w:tc>
        <w:tc>
          <w:tcPr>
            <w:tcW w:w="2172" w:type="dxa"/>
            <w:vAlign w:val="center"/>
          </w:tcPr>
          <w:p w14:paraId="05FD1F04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0.01</w:t>
            </w:r>
          </w:p>
        </w:tc>
        <w:tc>
          <w:tcPr>
            <w:tcW w:w="2413" w:type="dxa"/>
            <w:vAlign w:val="center"/>
          </w:tcPr>
          <w:p w14:paraId="5A9B8716" w14:textId="19C74A01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6.1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(1.1,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35.1)</w:t>
            </w:r>
          </w:p>
        </w:tc>
        <w:tc>
          <w:tcPr>
            <w:tcW w:w="2173" w:type="dxa"/>
            <w:vAlign w:val="center"/>
          </w:tcPr>
          <w:p w14:paraId="1B9A3E65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0.04</w:t>
            </w:r>
          </w:p>
        </w:tc>
      </w:tr>
      <w:tr w:rsidR="006767EC" w:rsidRPr="00D43612" w14:paraId="4C3D2CF6" w14:textId="77777777" w:rsidTr="00742C98">
        <w:trPr>
          <w:trHeight w:val="1032"/>
        </w:trPr>
        <w:tc>
          <w:tcPr>
            <w:tcW w:w="3304" w:type="dxa"/>
            <w:vAlign w:val="center"/>
          </w:tcPr>
          <w:p w14:paraId="67A60352" w14:textId="1BAA7078" w:rsidR="006767EC" w:rsidRPr="00D43612" w:rsidRDefault="00B416D1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Previous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infliximab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exposure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(≥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1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dose)</w:t>
            </w:r>
          </w:p>
        </w:tc>
        <w:tc>
          <w:tcPr>
            <w:tcW w:w="2093" w:type="dxa"/>
            <w:vAlign w:val="center"/>
          </w:tcPr>
          <w:p w14:paraId="66DA4C75" w14:textId="3CBA38C2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5.8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(1.2,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27.2)</w:t>
            </w:r>
          </w:p>
        </w:tc>
        <w:tc>
          <w:tcPr>
            <w:tcW w:w="2172" w:type="dxa"/>
            <w:vAlign w:val="center"/>
          </w:tcPr>
          <w:p w14:paraId="5FB42561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0.02</w:t>
            </w:r>
          </w:p>
        </w:tc>
        <w:tc>
          <w:tcPr>
            <w:tcW w:w="2413" w:type="dxa"/>
            <w:vAlign w:val="center"/>
          </w:tcPr>
          <w:p w14:paraId="1D0AE444" w14:textId="77777777" w:rsidR="006767EC" w:rsidRPr="00D43612" w:rsidRDefault="006767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  <w:tc>
          <w:tcPr>
            <w:tcW w:w="2173" w:type="dxa"/>
            <w:vAlign w:val="center"/>
          </w:tcPr>
          <w:p w14:paraId="45E3B901" w14:textId="77777777" w:rsidR="006767EC" w:rsidRPr="00D43612" w:rsidRDefault="006767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</w:tr>
      <w:tr w:rsidR="006767EC" w:rsidRPr="00D43612" w14:paraId="0A20E956" w14:textId="77777777" w:rsidTr="00BB0DE6">
        <w:trPr>
          <w:trHeight w:val="758"/>
        </w:trPr>
        <w:tc>
          <w:tcPr>
            <w:tcW w:w="3304" w:type="dxa"/>
            <w:vAlign w:val="center"/>
          </w:tcPr>
          <w:p w14:paraId="61F2ABC9" w14:textId="783AAD93" w:rsidR="006767EC" w:rsidRPr="00D43612" w:rsidRDefault="00B416D1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Previous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other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biologic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exposure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(any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other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agent)</w:t>
            </w:r>
          </w:p>
        </w:tc>
        <w:tc>
          <w:tcPr>
            <w:tcW w:w="2093" w:type="dxa"/>
            <w:vAlign w:val="center"/>
          </w:tcPr>
          <w:p w14:paraId="35B536BB" w14:textId="6E4C94C4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18.6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(1.6,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218.0)</w:t>
            </w:r>
          </w:p>
        </w:tc>
        <w:tc>
          <w:tcPr>
            <w:tcW w:w="2172" w:type="dxa"/>
            <w:vAlign w:val="center"/>
          </w:tcPr>
          <w:p w14:paraId="04016F51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0.03</w:t>
            </w:r>
          </w:p>
        </w:tc>
        <w:tc>
          <w:tcPr>
            <w:tcW w:w="2413" w:type="dxa"/>
            <w:vAlign w:val="center"/>
          </w:tcPr>
          <w:p w14:paraId="46181F90" w14:textId="28B63545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34.9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(2.1,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576.7)</w:t>
            </w:r>
          </w:p>
        </w:tc>
        <w:tc>
          <w:tcPr>
            <w:tcW w:w="2173" w:type="dxa"/>
            <w:vAlign w:val="center"/>
          </w:tcPr>
          <w:p w14:paraId="267FA670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0.01</w:t>
            </w:r>
          </w:p>
        </w:tc>
      </w:tr>
      <w:tr w:rsidR="006767EC" w:rsidRPr="00D43612" w14:paraId="4ED3269A" w14:textId="77777777" w:rsidTr="00742C98">
        <w:trPr>
          <w:trHeight w:val="891"/>
        </w:trPr>
        <w:tc>
          <w:tcPr>
            <w:tcW w:w="3304" w:type="dxa"/>
            <w:vAlign w:val="center"/>
          </w:tcPr>
          <w:p w14:paraId="2BA44922" w14:textId="0844A153" w:rsidR="006767EC" w:rsidRPr="00D43612" w:rsidRDefault="00B416D1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Previous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break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off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infliximab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(≥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3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m)</w:t>
            </w:r>
          </w:p>
        </w:tc>
        <w:tc>
          <w:tcPr>
            <w:tcW w:w="2093" w:type="dxa"/>
            <w:vAlign w:val="center"/>
          </w:tcPr>
          <w:p w14:paraId="58965C5D" w14:textId="57AFCE8B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5.1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(1.3,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19.4)</w:t>
            </w:r>
          </w:p>
        </w:tc>
        <w:tc>
          <w:tcPr>
            <w:tcW w:w="2172" w:type="dxa"/>
            <w:vAlign w:val="center"/>
          </w:tcPr>
          <w:p w14:paraId="1B6252C6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0.03</w:t>
            </w:r>
          </w:p>
        </w:tc>
        <w:tc>
          <w:tcPr>
            <w:tcW w:w="2413" w:type="dxa"/>
            <w:vAlign w:val="center"/>
          </w:tcPr>
          <w:p w14:paraId="260E3A7E" w14:textId="36924CA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4.8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(0.8,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28.4)</w:t>
            </w:r>
          </w:p>
        </w:tc>
        <w:tc>
          <w:tcPr>
            <w:tcW w:w="2173" w:type="dxa"/>
            <w:vAlign w:val="center"/>
          </w:tcPr>
          <w:p w14:paraId="0AE6AEF8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0.08</w:t>
            </w:r>
          </w:p>
        </w:tc>
      </w:tr>
      <w:tr w:rsidR="006767EC" w:rsidRPr="00D43612" w14:paraId="5C540C84" w14:textId="77777777" w:rsidTr="00BB0DE6">
        <w:trPr>
          <w:trHeight w:val="529"/>
        </w:trPr>
        <w:tc>
          <w:tcPr>
            <w:tcW w:w="3304" w:type="dxa"/>
            <w:vAlign w:val="center"/>
          </w:tcPr>
          <w:p w14:paraId="157CB8DD" w14:textId="1824C315" w:rsidR="006767EC" w:rsidRPr="00D43612" w:rsidRDefault="00B416D1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Concurrent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immunomodulator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(any)</w:t>
            </w:r>
          </w:p>
        </w:tc>
        <w:tc>
          <w:tcPr>
            <w:tcW w:w="2093" w:type="dxa"/>
            <w:vAlign w:val="center"/>
          </w:tcPr>
          <w:p w14:paraId="6CCCC4BC" w14:textId="15FD979D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0.1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(0.01,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1.1)</w:t>
            </w:r>
          </w:p>
        </w:tc>
        <w:tc>
          <w:tcPr>
            <w:tcW w:w="2172" w:type="dxa"/>
            <w:vAlign w:val="center"/>
          </w:tcPr>
          <w:p w14:paraId="06A440F5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0.06</w:t>
            </w:r>
          </w:p>
        </w:tc>
        <w:tc>
          <w:tcPr>
            <w:tcW w:w="2413" w:type="dxa"/>
            <w:vAlign w:val="center"/>
          </w:tcPr>
          <w:p w14:paraId="665CB6C4" w14:textId="77777777" w:rsidR="006767EC" w:rsidRPr="00D43612" w:rsidRDefault="006767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  <w:tc>
          <w:tcPr>
            <w:tcW w:w="2173" w:type="dxa"/>
            <w:vAlign w:val="center"/>
          </w:tcPr>
          <w:p w14:paraId="0DDC6D26" w14:textId="77777777" w:rsidR="006767EC" w:rsidRPr="00D43612" w:rsidRDefault="006767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</w:tr>
      <w:tr w:rsidR="006767EC" w:rsidRPr="00D43612" w14:paraId="436FFAA0" w14:textId="77777777" w:rsidTr="00BB0DE6">
        <w:trPr>
          <w:trHeight w:val="70"/>
        </w:trPr>
        <w:tc>
          <w:tcPr>
            <w:tcW w:w="3304" w:type="dxa"/>
            <w:vAlign w:val="center"/>
          </w:tcPr>
          <w:p w14:paraId="1F710942" w14:textId="00C08EA2" w:rsidR="006767EC" w:rsidRPr="00D43612" w:rsidRDefault="00B416D1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Concurrent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thiopurine</w:t>
            </w:r>
          </w:p>
        </w:tc>
        <w:tc>
          <w:tcPr>
            <w:tcW w:w="2093" w:type="dxa"/>
            <w:vAlign w:val="center"/>
          </w:tcPr>
          <w:p w14:paraId="4E7CF2A1" w14:textId="1257AD04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0.3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(0.1,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1.001)</w:t>
            </w:r>
          </w:p>
        </w:tc>
        <w:tc>
          <w:tcPr>
            <w:tcW w:w="2172" w:type="dxa"/>
            <w:vAlign w:val="center"/>
          </w:tcPr>
          <w:p w14:paraId="2A74F989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0.06</w:t>
            </w:r>
          </w:p>
        </w:tc>
        <w:tc>
          <w:tcPr>
            <w:tcW w:w="2413" w:type="dxa"/>
            <w:vAlign w:val="center"/>
          </w:tcPr>
          <w:p w14:paraId="6495B796" w14:textId="77777777" w:rsidR="006767EC" w:rsidRPr="00D43612" w:rsidRDefault="006767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  <w:tc>
          <w:tcPr>
            <w:tcW w:w="2173" w:type="dxa"/>
            <w:vAlign w:val="center"/>
          </w:tcPr>
          <w:p w14:paraId="5EB0E5E2" w14:textId="77777777" w:rsidR="006767EC" w:rsidRPr="00D43612" w:rsidRDefault="006767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</w:tr>
      <w:tr w:rsidR="006767EC" w:rsidRPr="00D43612" w14:paraId="375ABC3C" w14:textId="77777777" w:rsidTr="00742C98">
        <w:trPr>
          <w:trHeight w:val="904"/>
        </w:trPr>
        <w:tc>
          <w:tcPr>
            <w:tcW w:w="3304" w:type="dxa"/>
            <w:vAlign w:val="center"/>
          </w:tcPr>
          <w:p w14:paraId="39EE98B4" w14:textId="2414DBEB" w:rsidR="006767EC" w:rsidRPr="00D43612" w:rsidRDefault="00B416D1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Previous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adverse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drug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reaction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(any)</w:t>
            </w:r>
          </w:p>
        </w:tc>
        <w:tc>
          <w:tcPr>
            <w:tcW w:w="2093" w:type="dxa"/>
            <w:vAlign w:val="center"/>
          </w:tcPr>
          <w:p w14:paraId="1164FD4C" w14:textId="57D4054C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2.2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(0.7,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6.7)</w:t>
            </w:r>
          </w:p>
        </w:tc>
        <w:tc>
          <w:tcPr>
            <w:tcW w:w="2172" w:type="dxa"/>
            <w:vAlign w:val="center"/>
          </w:tcPr>
          <w:p w14:paraId="6A560028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0.12</w:t>
            </w:r>
          </w:p>
        </w:tc>
        <w:tc>
          <w:tcPr>
            <w:tcW w:w="2413" w:type="dxa"/>
            <w:vAlign w:val="center"/>
          </w:tcPr>
          <w:p w14:paraId="0050FD8A" w14:textId="77777777" w:rsidR="006767EC" w:rsidRPr="00D43612" w:rsidRDefault="006767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  <w:tc>
          <w:tcPr>
            <w:tcW w:w="2173" w:type="dxa"/>
            <w:vAlign w:val="center"/>
          </w:tcPr>
          <w:p w14:paraId="3E1B460A" w14:textId="77777777" w:rsidR="006767EC" w:rsidRPr="00D43612" w:rsidRDefault="006767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</w:tr>
      <w:tr w:rsidR="006767EC" w:rsidRPr="00D43612" w14:paraId="122969EF" w14:textId="77777777" w:rsidTr="00742C98">
        <w:trPr>
          <w:trHeight w:val="891"/>
        </w:trPr>
        <w:tc>
          <w:tcPr>
            <w:tcW w:w="3304" w:type="dxa"/>
            <w:vAlign w:val="center"/>
          </w:tcPr>
          <w:p w14:paraId="2EF4206A" w14:textId="0FB1A3C7" w:rsidR="006767EC" w:rsidRPr="00D43612" w:rsidRDefault="00B416D1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lastRenderedPageBreak/>
              <w:t>Known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psychiatric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comorbidity</w:t>
            </w:r>
          </w:p>
        </w:tc>
        <w:tc>
          <w:tcPr>
            <w:tcW w:w="2093" w:type="dxa"/>
            <w:vAlign w:val="center"/>
          </w:tcPr>
          <w:p w14:paraId="668C5B72" w14:textId="092478B0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2.4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(0.8,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6.7)</w:t>
            </w:r>
          </w:p>
        </w:tc>
        <w:tc>
          <w:tcPr>
            <w:tcW w:w="2172" w:type="dxa"/>
            <w:vAlign w:val="center"/>
          </w:tcPr>
          <w:p w14:paraId="319D158F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0.10</w:t>
            </w:r>
          </w:p>
        </w:tc>
        <w:tc>
          <w:tcPr>
            <w:tcW w:w="2413" w:type="dxa"/>
            <w:vAlign w:val="center"/>
          </w:tcPr>
          <w:p w14:paraId="7250CD10" w14:textId="77777777" w:rsidR="006767EC" w:rsidRPr="00D43612" w:rsidRDefault="006767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  <w:tc>
          <w:tcPr>
            <w:tcW w:w="2173" w:type="dxa"/>
            <w:vAlign w:val="center"/>
          </w:tcPr>
          <w:p w14:paraId="20D7CEE8" w14:textId="77777777" w:rsidR="006767EC" w:rsidRPr="00D43612" w:rsidRDefault="006767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</w:tr>
      <w:tr w:rsidR="006767EC" w:rsidRPr="00D43612" w14:paraId="45505A23" w14:textId="77777777" w:rsidTr="00742C98">
        <w:trPr>
          <w:trHeight w:val="70"/>
        </w:trPr>
        <w:tc>
          <w:tcPr>
            <w:tcW w:w="3304" w:type="dxa"/>
            <w:vAlign w:val="center"/>
          </w:tcPr>
          <w:p w14:paraId="59D1AC85" w14:textId="65EAE3BB" w:rsidR="006767EC" w:rsidRPr="00D43612" w:rsidRDefault="00B416D1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Pre-medication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used</w:t>
            </w:r>
          </w:p>
        </w:tc>
        <w:tc>
          <w:tcPr>
            <w:tcW w:w="2093" w:type="dxa"/>
            <w:vAlign w:val="center"/>
          </w:tcPr>
          <w:p w14:paraId="5BD45B15" w14:textId="79C50A1C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0.5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(0.3,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1.00)</w:t>
            </w:r>
          </w:p>
        </w:tc>
        <w:tc>
          <w:tcPr>
            <w:tcW w:w="2172" w:type="dxa"/>
            <w:vAlign w:val="center"/>
          </w:tcPr>
          <w:p w14:paraId="7CB71CA0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0.08</w:t>
            </w:r>
          </w:p>
        </w:tc>
        <w:tc>
          <w:tcPr>
            <w:tcW w:w="2413" w:type="dxa"/>
            <w:vAlign w:val="center"/>
          </w:tcPr>
          <w:p w14:paraId="17D22AD3" w14:textId="77777777" w:rsidR="006767EC" w:rsidRPr="00D43612" w:rsidRDefault="006767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  <w:tc>
          <w:tcPr>
            <w:tcW w:w="2173" w:type="dxa"/>
            <w:vAlign w:val="center"/>
          </w:tcPr>
          <w:p w14:paraId="74C1AE80" w14:textId="77777777" w:rsidR="006767EC" w:rsidRPr="00D43612" w:rsidRDefault="006767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</w:p>
        </w:tc>
      </w:tr>
    </w:tbl>
    <w:p w14:paraId="369ED173" w14:textId="15C9801F" w:rsidR="006767EC" w:rsidRPr="00D43612" w:rsidRDefault="00B416D1">
      <w:pPr>
        <w:spacing w:line="360" w:lineRule="auto"/>
        <w:jc w:val="both"/>
        <w:rPr>
          <w:rFonts w:ascii="Book Antiqua" w:hAnsi="Book Antiqua" w:cs="Book Antiqua"/>
          <w:bCs/>
        </w:rPr>
      </w:pPr>
      <w:r w:rsidRPr="00D43612">
        <w:rPr>
          <w:rFonts w:ascii="Book Antiqua" w:hAnsi="Book Antiqua" w:cs="Book Antiqua"/>
          <w:lang w:eastAsia="en-AU"/>
        </w:rPr>
        <w:t>Final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multivariable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model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characteristics: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Omnibus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goodness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of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fit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chi-square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=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28.9,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i/>
          <w:iCs/>
          <w:lang w:eastAsia="en-AU"/>
        </w:rPr>
        <w:t>P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&lt;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0.001,</w:t>
      </w:r>
      <w:r w:rsidR="00221BA4">
        <w:rPr>
          <w:rFonts w:ascii="Book Antiqua" w:hAnsi="Book Antiqua" w:cs="Book Antiqua"/>
          <w:lang w:eastAsia="en-AU"/>
        </w:rPr>
        <w:t xml:space="preserve"> </w:t>
      </w:r>
      <w:proofErr w:type="spellStart"/>
      <w:r w:rsidRPr="00D43612">
        <w:rPr>
          <w:rFonts w:ascii="Book Antiqua" w:hAnsi="Book Antiqua" w:cs="Book Antiqua"/>
          <w:lang w:eastAsia="en-AU"/>
        </w:rPr>
        <w:t>Nagelkerke’s</w:t>
      </w:r>
      <w:proofErr w:type="spellEnd"/>
      <w:r w:rsidR="00221BA4">
        <w:rPr>
          <w:rFonts w:ascii="Book Antiqua" w:hAnsi="Book Antiqua" w:cs="Book Antiqua"/>
          <w:lang w:eastAsia="en-AU"/>
        </w:rPr>
        <w:t xml:space="preserve"> </w:t>
      </w:r>
      <w:r w:rsidRPr="00E1123A">
        <w:rPr>
          <w:rFonts w:ascii="Book Antiqua" w:hAnsi="Book Antiqua" w:cs="Book Antiqua"/>
          <w:i/>
          <w:iCs/>
          <w:lang w:eastAsia="en-AU"/>
        </w:rPr>
        <w:t>R</w:t>
      </w:r>
      <w:r w:rsidRPr="00E1123A">
        <w:rPr>
          <w:rFonts w:ascii="Book Antiqua" w:hAnsi="Book Antiqua" w:cs="Book Antiqua"/>
          <w:i/>
          <w:iCs/>
          <w:vertAlign w:val="superscript"/>
          <w:lang w:eastAsia="en-AU"/>
        </w:rPr>
        <w:t>2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=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lang w:eastAsia="en-AU"/>
        </w:rPr>
        <w:t>0.40.</w:t>
      </w:r>
      <w:r w:rsidR="00221BA4">
        <w:rPr>
          <w:rFonts w:ascii="Book Antiqua" w:hAnsi="Book Antiqua" w:cs="Book Antiqua"/>
          <w:lang w:eastAsia="en-AU"/>
        </w:rPr>
        <w:t xml:space="preserve"> </w:t>
      </w:r>
      <w:r w:rsidRPr="00D43612">
        <w:rPr>
          <w:rFonts w:ascii="Book Antiqua" w:hAnsi="Book Antiqua" w:cs="Book Antiqua"/>
          <w:bCs/>
        </w:rPr>
        <w:t>BMI:</w:t>
      </w:r>
      <w:r w:rsidR="00221BA4">
        <w:rPr>
          <w:rFonts w:ascii="Book Antiqua" w:hAnsi="Book Antiqua" w:cs="Book Antiqua"/>
          <w:bCs/>
        </w:rPr>
        <w:t xml:space="preserve"> </w:t>
      </w:r>
      <w:r w:rsidRPr="00D43612">
        <w:rPr>
          <w:rFonts w:ascii="Book Antiqua" w:hAnsi="Book Antiqua" w:cs="Book Antiqua"/>
          <w:bCs/>
        </w:rPr>
        <w:t>Body</w:t>
      </w:r>
      <w:r w:rsidR="00221BA4">
        <w:rPr>
          <w:rFonts w:ascii="Book Antiqua" w:hAnsi="Book Antiqua" w:cs="Book Antiqua"/>
          <w:bCs/>
        </w:rPr>
        <w:t xml:space="preserve"> </w:t>
      </w:r>
      <w:r w:rsidRPr="00D43612">
        <w:rPr>
          <w:rFonts w:ascii="Book Antiqua" w:hAnsi="Book Antiqua" w:cs="Book Antiqua"/>
          <w:bCs/>
        </w:rPr>
        <w:t>mass</w:t>
      </w:r>
      <w:r w:rsidR="00221BA4">
        <w:rPr>
          <w:rFonts w:ascii="Book Antiqua" w:hAnsi="Book Antiqua" w:cs="Book Antiqua"/>
          <w:bCs/>
        </w:rPr>
        <w:t xml:space="preserve"> </w:t>
      </w:r>
      <w:r w:rsidRPr="00D43612">
        <w:rPr>
          <w:rFonts w:ascii="Book Antiqua" w:hAnsi="Book Antiqua" w:cs="Book Antiqua"/>
          <w:bCs/>
        </w:rPr>
        <w:t>index.</w:t>
      </w:r>
    </w:p>
    <w:p w14:paraId="05D5EF5D" w14:textId="0A64F47D" w:rsidR="006767EC" w:rsidRPr="00D43612" w:rsidRDefault="00B416D1">
      <w:pPr>
        <w:spacing w:line="360" w:lineRule="auto"/>
        <w:jc w:val="both"/>
        <w:rPr>
          <w:rFonts w:ascii="Book Antiqua" w:hAnsi="Book Antiqua" w:cs="Book Antiqua"/>
          <w:b/>
          <w:bCs/>
        </w:rPr>
      </w:pPr>
      <w:r w:rsidRPr="00D43612">
        <w:rPr>
          <w:rFonts w:ascii="Book Antiqua" w:hAnsi="Book Antiqua" w:cs="Book Antiqua"/>
        </w:rPr>
        <w:br w:type="page"/>
      </w:r>
      <w:r w:rsidRPr="00D43612">
        <w:rPr>
          <w:rFonts w:ascii="Book Antiqua" w:hAnsi="Book Antiqua" w:cs="Book Antiqua"/>
          <w:b/>
          <w:bCs/>
        </w:rPr>
        <w:lastRenderedPageBreak/>
        <w:t>Table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4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Cha</w:t>
      </w:r>
      <w:r w:rsidR="008E220C" w:rsidRPr="00D43612">
        <w:rPr>
          <w:rFonts w:ascii="Book Antiqua" w:hAnsi="Book Antiqua" w:cs="Book Antiqua"/>
          <w:b/>
          <w:bCs/>
        </w:rPr>
        <w:t>racteristics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="008E220C" w:rsidRPr="00D43612">
        <w:rPr>
          <w:rFonts w:ascii="Book Antiqua" w:hAnsi="Book Antiqua" w:cs="Book Antiqua"/>
          <w:b/>
          <w:bCs/>
        </w:rPr>
        <w:t>of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="008E220C" w:rsidRPr="00D43612">
        <w:rPr>
          <w:rFonts w:ascii="Book Antiqua" w:hAnsi="Book Antiqua" w:cs="Book Antiqua"/>
          <w:b/>
          <w:bCs/>
        </w:rPr>
        <w:t>home-based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="008E220C" w:rsidRPr="00D43612">
        <w:rPr>
          <w:rFonts w:ascii="Book Antiqua" w:hAnsi="Book Antiqua" w:cs="Book Antiqua"/>
          <w:b/>
          <w:bCs/>
          <w:i/>
        </w:rPr>
        <w:t>v</w:t>
      </w:r>
      <w:r w:rsidRPr="00D43612">
        <w:rPr>
          <w:rFonts w:ascii="Book Antiqua" w:hAnsi="Book Antiqua" w:cs="Book Antiqua"/>
          <w:b/>
          <w:bCs/>
          <w:i/>
        </w:rPr>
        <w:t>s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infusion</w:t>
      </w:r>
      <w:r w:rsidR="00221BA4">
        <w:rPr>
          <w:rFonts w:ascii="Book Antiqua" w:hAnsi="Book Antiqua" w:cs="Book Antiqua"/>
          <w:b/>
          <w:bCs/>
        </w:rPr>
        <w:t xml:space="preserve"> </w:t>
      </w:r>
      <w:proofErr w:type="spellStart"/>
      <w:r w:rsidRPr="00D43612">
        <w:rPr>
          <w:rFonts w:ascii="Book Antiqua" w:hAnsi="Book Antiqua" w:cs="Book Antiqua"/>
          <w:b/>
          <w:bCs/>
        </w:rPr>
        <w:t>centre</w:t>
      </w:r>
      <w:proofErr w:type="spellEnd"/>
      <w:r w:rsidRPr="00D43612">
        <w:rPr>
          <w:rFonts w:ascii="Book Antiqua" w:hAnsi="Book Antiqua" w:cs="Book Antiqua"/>
          <w:b/>
          <w:bCs/>
        </w:rPr>
        <w:t>-based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rapid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protocol</w:t>
      </w:r>
      <w:r w:rsidR="00221BA4">
        <w:rPr>
          <w:rFonts w:ascii="Book Antiqua" w:hAnsi="Book Antiqua" w:cs="Book Antiqua"/>
          <w:b/>
          <w:bCs/>
        </w:rPr>
        <w:t xml:space="preserve"> </w:t>
      </w:r>
      <w:r w:rsidRPr="00D43612">
        <w:rPr>
          <w:rFonts w:ascii="Book Antiqua" w:hAnsi="Book Antiqua" w:cs="Book Antiqua"/>
          <w:b/>
          <w:bCs/>
        </w:rPr>
        <w:t>groups</w:t>
      </w:r>
      <w:r w:rsidR="00221BA4">
        <w:rPr>
          <w:rFonts w:ascii="Book Antiqua" w:hAnsi="Book Antiqua" w:cs="Book Antiqua"/>
          <w:b/>
          <w:bCs/>
        </w:rPr>
        <w:t xml:space="preserve"> </w:t>
      </w:r>
    </w:p>
    <w:tbl>
      <w:tblPr>
        <w:tblStyle w:val="a3"/>
        <w:tblW w:w="119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8"/>
        <w:gridCol w:w="3117"/>
        <w:gridCol w:w="3232"/>
        <w:gridCol w:w="1731"/>
      </w:tblGrid>
      <w:tr w:rsidR="006767EC" w:rsidRPr="00D43612" w14:paraId="25233E53" w14:textId="77777777" w:rsidTr="00D40C43">
        <w:trPr>
          <w:trHeight w:val="550"/>
        </w:trPr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C7A4E" w14:textId="77777777" w:rsidR="006767EC" w:rsidRPr="00D43612" w:rsidRDefault="00B416D1" w:rsidP="007679CB">
            <w:pPr>
              <w:spacing w:line="360" w:lineRule="auto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Variable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CF307" w14:textId="606B0416" w:rsidR="006767EC" w:rsidRPr="00D43612" w:rsidRDefault="00B416D1" w:rsidP="00BA70EC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Home</w:t>
            </w:r>
            <w:r w:rsidR="00221BA4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based</w:t>
            </w:r>
            <w:r w:rsidR="00221BA4">
              <w:rPr>
                <w:rFonts w:ascii="Book Antiqua" w:eastAsiaTheme="minorEastAsia" w:hAnsi="Book Antiqua" w:cs="Book Antiqua" w:hint="eastAsia"/>
                <w:b/>
                <w:bCs/>
                <w:lang w:eastAsia="zh-CN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rapid</w:t>
            </w:r>
            <w:r w:rsidR="00221BA4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infusion</w:t>
            </w:r>
            <w:r w:rsidR="00221BA4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group</w:t>
            </w:r>
            <w:r w:rsidR="00BA70EC" w:rsidRPr="00D43612">
              <w:rPr>
                <w:rFonts w:ascii="Book Antiqua" w:eastAsiaTheme="minorEastAsia" w:hAnsi="Book Antiqua" w:cs="Book Antiqua" w:hint="eastAsia"/>
                <w:b/>
                <w:bCs/>
                <w:lang w:eastAsia="zh-CN"/>
              </w:rPr>
              <w:t>,</w:t>
            </w:r>
            <w:r w:rsidR="00221BA4">
              <w:rPr>
                <w:rFonts w:ascii="Book Antiqua" w:eastAsiaTheme="minorEastAsia" w:hAnsi="Book Antiqua" w:cs="Book Antiqua"/>
                <w:b/>
                <w:bCs/>
                <w:lang w:eastAsia="zh-CN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i/>
                <w:lang w:eastAsia="en-AU"/>
              </w:rPr>
              <w:t>n</w:t>
            </w:r>
            <w:r w:rsidR="00221BA4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(%)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43493" w14:textId="31CD6CBF" w:rsidR="006767EC" w:rsidRPr="00D43612" w:rsidRDefault="00B416D1" w:rsidP="00851983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Infusion</w:t>
            </w:r>
            <w:r w:rsidR="00221BA4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centre</w:t>
            </w:r>
            <w:r w:rsidR="00221BA4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based</w:t>
            </w:r>
            <w:r w:rsidR="00221BA4">
              <w:rPr>
                <w:rFonts w:ascii="Book Antiqua" w:eastAsiaTheme="minorEastAsia" w:hAnsi="Book Antiqua" w:cs="Book Antiqua" w:hint="eastAsia"/>
                <w:b/>
                <w:bCs/>
                <w:lang w:eastAsia="zh-CN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rapid</w:t>
            </w:r>
            <w:r w:rsidR="00221BA4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infusion</w:t>
            </w:r>
            <w:r w:rsidR="00221BA4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group</w:t>
            </w:r>
            <w:r w:rsidR="00851983" w:rsidRPr="00D43612">
              <w:rPr>
                <w:rFonts w:ascii="Book Antiqua" w:eastAsiaTheme="minorEastAsia" w:hAnsi="Book Antiqua" w:cs="Book Antiqua" w:hint="eastAsia"/>
                <w:b/>
                <w:bCs/>
                <w:lang w:eastAsia="zh-CN"/>
              </w:rPr>
              <w:t>,</w:t>
            </w:r>
            <w:r w:rsidR="00221BA4">
              <w:rPr>
                <w:rFonts w:ascii="Book Antiqua" w:eastAsiaTheme="minorEastAsia" w:hAnsi="Book Antiqua" w:cs="Book Antiqua"/>
                <w:b/>
                <w:bCs/>
                <w:lang w:eastAsia="zh-CN"/>
              </w:rPr>
              <w:t xml:space="preserve"> </w:t>
            </w:r>
            <w:r w:rsidR="00851983" w:rsidRPr="00D43612">
              <w:rPr>
                <w:rFonts w:ascii="Book Antiqua" w:hAnsi="Book Antiqua" w:cs="Book Antiqua"/>
                <w:b/>
                <w:bCs/>
                <w:i/>
                <w:lang w:eastAsia="en-AU"/>
              </w:rPr>
              <w:t>n</w:t>
            </w:r>
            <w:r w:rsidR="00221BA4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(%)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1CDDC" w14:textId="75E35D9B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en-AU"/>
              </w:rPr>
            </w:pPr>
            <w:r w:rsidRPr="00D43612">
              <w:rPr>
                <w:rFonts w:ascii="Book Antiqua" w:hAnsi="Book Antiqua" w:cs="Book Antiqua"/>
                <w:b/>
                <w:bCs/>
                <w:i/>
                <w:caps/>
                <w:lang w:eastAsia="en-AU"/>
              </w:rPr>
              <w:t>p</w:t>
            </w:r>
            <w:r w:rsidR="00221BA4">
              <w:rPr>
                <w:rFonts w:ascii="Book Antiqua" w:hAnsi="Book Antiqua" w:cs="Book Antiqua"/>
                <w:b/>
                <w:b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b/>
                <w:bCs/>
                <w:lang w:eastAsia="en-AU"/>
              </w:rPr>
              <w:t>value</w:t>
            </w:r>
          </w:p>
        </w:tc>
      </w:tr>
      <w:tr w:rsidR="006767EC" w:rsidRPr="00D43612" w14:paraId="0B29FD11" w14:textId="77777777" w:rsidTr="00742C98">
        <w:trPr>
          <w:trHeight w:val="461"/>
        </w:trPr>
        <w:tc>
          <w:tcPr>
            <w:tcW w:w="3918" w:type="dxa"/>
            <w:tcBorders>
              <w:top w:val="single" w:sz="4" w:space="0" w:color="auto"/>
            </w:tcBorders>
            <w:shd w:val="clear" w:color="auto" w:fill="auto"/>
          </w:tcPr>
          <w:p w14:paraId="541AC1FB" w14:textId="230A6D42" w:rsidR="006767EC" w:rsidRPr="00D43612" w:rsidRDefault="007679CB">
            <w:pPr>
              <w:spacing w:line="360" w:lineRule="auto"/>
              <w:rPr>
                <w:rFonts w:ascii="Book Antiqua" w:hAnsi="Book Antiqua" w:cs="Book Antiqua"/>
                <w:iCs/>
                <w:lang w:eastAsia="en-AU"/>
              </w:rPr>
            </w:pPr>
            <w:r w:rsidRPr="00D43612">
              <w:rPr>
                <w:rFonts w:ascii="Book Antiqua" w:hAnsi="Book Antiqua" w:cs="Book Antiqua"/>
                <w:iCs/>
                <w:lang w:eastAsia="en-AU"/>
              </w:rPr>
              <w:t>Total</w:t>
            </w:r>
            <w:r w:rsidR="00221BA4">
              <w:rPr>
                <w:rFonts w:ascii="Book Antiqua" w:hAnsi="Book Antiqua" w:cs="Book Antiqua"/>
                <w:i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iCs/>
                <w:lang w:eastAsia="en-AU"/>
              </w:rPr>
              <w:t>patients/</w:t>
            </w:r>
            <w:r w:rsidR="00B416D1" w:rsidRPr="00D43612">
              <w:rPr>
                <w:rFonts w:ascii="Book Antiqua" w:hAnsi="Book Antiqua" w:cs="Book Antiqua"/>
                <w:iCs/>
                <w:lang w:eastAsia="en-AU"/>
              </w:rPr>
              <w:t>infusions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908D22" w14:textId="5B72AFE9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iCs/>
                <w:lang w:eastAsia="en-AU"/>
              </w:rPr>
            </w:pPr>
            <w:r w:rsidRPr="00D43612">
              <w:rPr>
                <w:rFonts w:ascii="Book Antiqua" w:hAnsi="Book Antiqua" w:cs="Book Antiqua"/>
                <w:iCs/>
                <w:lang w:eastAsia="en-AU"/>
              </w:rPr>
              <w:t>32</w:t>
            </w:r>
            <w:r w:rsidR="00221BA4">
              <w:rPr>
                <w:rFonts w:ascii="Book Antiqua" w:hAnsi="Book Antiqua" w:cs="Book Antiqua"/>
                <w:i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iCs/>
                <w:lang w:eastAsia="en-AU"/>
              </w:rPr>
              <w:t>/</w:t>
            </w:r>
            <w:r w:rsidR="00221BA4">
              <w:rPr>
                <w:rFonts w:ascii="Book Antiqua" w:hAnsi="Book Antiqua" w:cs="Book Antiqua"/>
                <w:iCs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iCs/>
                <w:lang w:eastAsia="en-AU"/>
              </w:rPr>
              <w:t>405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307C0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iCs/>
                <w:lang w:eastAsia="en-AU"/>
              </w:rPr>
            </w:pPr>
            <w:r w:rsidRPr="00D43612">
              <w:rPr>
                <w:rFonts w:ascii="Book Antiqua" w:hAnsi="Book Antiqua" w:cs="Book Antiqua"/>
                <w:iCs/>
                <w:lang w:eastAsia="en-AU"/>
              </w:rPr>
              <w:t>97/1067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D25A4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-</w:t>
            </w:r>
          </w:p>
        </w:tc>
      </w:tr>
      <w:tr w:rsidR="006767EC" w:rsidRPr="00D43612" w14:paraId="759056CB" w14:textId="77777777" w:rsidTr="00742C98">
        <w:trPr>
          <w:trHeight w:val="447"/>
        </w:trPr>
        <w:tc>
          <w:tcPr>
            <w:tcW w:w="3918" w:type="dxa"/>
            <w:shd w:val="clear" w:color="auto" w:fill="auto"/>
          </w:tcPr>
          <w:p w14:paraId="64DE2BA6" w14:textId="1E794312" w:rsidR="006767EC" w:rsidRPr="00D43612" w:rsidRDefault="00B416D1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Male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(%)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A3D5B2B" w14:textId="2C811114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18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(56.2)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5EDF4E9F" w14:textId="07CB953A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37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(38.1)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37D806F9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0.10</w:t>
            </w:r>
          </w:p>
        </w:tc>
      </w:tr>
      <w:tr w:rsidR="006767EC" w:rsidRPr="00D43612" w14:paraId="631EA975" w14:textId="77777777" w:rsidTr="00742C98">
        <w:trPr>
          <w:trHeight w:val="461"/>
        </w:trPr>
        <w:tc>
          <w:tcPr>
            <w:tcW w:w="3918" w:type="dxa"/>
            <w:shd w:val="clear" w:color="auto" w:fill="auto"/>
          </w:tcPr>
          <w:p w14:paraId="3D5EAFDE" w14:textId="72CAB75E" w:rsidR="006767EC" w:rsidRPr="00D43612" w:rsidRDefault="00B416D1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Age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(median,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range)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48DB6E1" w14:textId="1A6C79A2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36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(18,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79)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7BADD0C4" w14:textId="13829465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42(16,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86)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62EF94C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0.05</w:t>
            </w:r>
          </w:p>
        </w:tc>
      </w:tr>
      <w:tr w:rsidR="006767EC" w:rsidRPr="00D43612" w14:paraId="390E40B3" w14:textId="77777777" w:rsidTr="00742C98">
        <w:trPr>
          <w:trHeight w:val="461"/>
        </w:trPr>
        <w:tc>
          <w:tcPr>
            <w:tcW w:w="3918" w:type="dxa"/>
            <w:shd w:val="clear" w:color="auto" w:fill="auto"/>
          </w:tcPr>
          <w:p w14:paraId="2A57C6F8" w14:textId="0B439DB5" w:rsidR="006767EC" w:rsidRPr="00D43612" w:rsidRDefault="00B416D1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BMI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&gt;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30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478ED4B" w14:textId="46E7603A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7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(21.9)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2E33F784" w14:textId="4356AF51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24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(24.7)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1AAB4F4F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0.82</w:t>
            </w:r>
          </w:p>
        </w:tc>
      </w:tr>
      <w:tr w:rsidR="006767EC" w:rsidRPr="00D43612" w14:paraId="70D3EC44" w14:textId="77777777" w:rsidTr="00742C98">
        <w:trPr>
          <w:trHeight w:val="461"/>
        </w:trPr>
        <w:tc>
          <w:tcPr>
            <w:tcW w:w="3918" w:type="dxa"/>
            <w:shd w:val="clear" w:color="auto" w:fill="auto"/>
          </w:tcPr>
          <w:p w14:paraId="72D4D2F0" w14:textId="77777777" w:rsidR="006767EC" w:rsidRPr="00D43612" w:rsidRDefault="00B416D1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Smoker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9AD3F11" w14:textId="1543B1AD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6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(18.8)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6594F03" w14:textId="31B034AD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20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(20.6)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1B38E5C8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1.00</w:t>
            </w:r>
          </w:p>
        </w:tc>
      </w:tr>
      <w:tr w:rsidR="006767EC" w:rsidRPr="00D43612" w14:paraId="77B17EF4" w14:textId="77777777" w:rsidTr="00742C98">
        <w:trPr>
          <w:trHeight w:val="345"/>
        </w:trPr>
        <w:tc>
          <w:tcPr>
            <w:tcW w:w="3918" w:type="dxa"/>
            <w:shd w:val="clear" w:color="auto" w:fill="auto"/>
          </w:tcPr>
          <w:p w14:paraId="0D1BD8E7" w14:textId="1CC5F17C" w:rsidR="006767EC" w:rsidRPr="00D43612" w:rsidRDefault="00B416D1" w:rsidP="006B56CD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Disease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="006B56CD" w:rsidRPr="00D43612">
              <w:rPr>
                <w:rFonts w:ascii="Book Antiqua" w:hAnsi="Book Antiqua" w:cs="Book Antiqua"/>
                <w:lang w:eastAsia="en-AU"/>
              </w:rPr>
              <w:t>t</w:t>
            </w:r>
            <w:r w:rsidRPr="00D43612">
              <w:rPr>
                <w:rFonts w:ascii="Book Antiqua" w:hAnsi="Book Antiqua" w:cs="Book Antiqua"/>
                <w:lang w:eastAsia="en-AU"/>
              </w:rPr>
              <w:t>ype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05CD47D" w14:textId="77777777" w:rsidR="006767EC" w:rsidRPr="00D43612" w:rsidRDefault="006767EC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0450663A" w14:textId="77777777" w:rsidR="006767EC" w:rsidRPr="00D43612" w:rsidRDefault="006767EC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1B6E75FF" w14:textId="77777777" w:rsidR="006767EC" w:rsidRPr="00D43612" w:rsidRDefault="006767EC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</w:p>
        </w:tc>
      </w:tr>
      <w:tr w:rsidR="006B56CD" w:rsidRPr="00D43612" w14:paraId="15C6050C" w14:textId="77777777" w:rsidTr="00742C98">
        <w:trPr>
          <w:trHeight w:val="396"/>
        </w:trPr>
        <w:tc>
          <w:tcPr>
            <w:tcW w:w="3918" w:type="dxa"/>
            <w:shd w:val="clear" w:color="auto" w:fill="auto"/>
          </w:tcPr>
          <w:p w14:paraId="6F603CF4" w14:textId="77777777" w:rsidR="006B56CD" w:rsidRPr="00D43612" w:rsidRDefault="006B56CD" w:rsidP="006B56CD">
            <w:pPr>
              <w:spacing w:line="360" w:lineRule="auto"/>
              <w:ind w:firstLineChars="100" w:firstLine="24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CD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A0F4ADC" w14:textId="2822B233" w:rsidR="006B56CD" w:rsidRPr="00D43612" w:rsidRDefault="006B56CD" w:rsidP="006B56CD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26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(81.2)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17B7BB42" w14:textId="69FCBA6C" w:rsidR="006B56CD" w:rsidRPr="00D43612" w:rsidRDefault="006B56CD" w:rsidP="006B56CD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88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(90.7)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E978493" w14:textId="77777777" w:rsidR="006B56CD" w:rsidRPr="00D43612" w:rsidRDefault="006B56CD" w:rsidP="006B56CD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0.20</w:t>
            </w:r>
          </w:p>
        </w:tc>
      </w:tr>
      <w:tr w:rsidR="006B56CD" w:rsidRPr="00D43612" w14:paraId="71BB7D14" w14:textId="77777777" w:rsidTr="00742C98">
        <w:trPr>
          <w:trHeight w:val="422"/>
        </w:trPr>
        <w:tc>
          <w:tcPr>
            <w:tcW w:w="3918" w:type="dxa"/>
            <w:shd w:val="clear" w:color="auto" w:fill="auto"/>
          </w:tcPr>
          <w:p w14:paraId="68BC6AC2" w14:textId="77777777" w:rsidR="006B56CD" w:rsidRPr="00D43612" w:rsidRDefault="006B56CD" w:rsidP="006B56CD">
            <w:pPr>
              <w:spacing w:line="360" w:lineRule="auto"/>
              <w:ind w:firstLineChars="100" w:firstLine="24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UC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F5886AB" w14:textId="5B46C4CF" w:rsidR="006B56CD" w:rsidRPr="00D43612" w:rsidRDefault="006B56CD" w:rsidP="006B56CD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6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(18.8)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22332112" w14:textId="2347EDB4" w:rsidR="006B56CD" w:rsidRPr="00D43612" w:rsidRDefault="006B56CD" w:rsidP="006B56CD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8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(8.2)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1E8865F0" w14:textId="77777777" w:rsidR="006B56CD" w:rsidRPr="00D43612" w:rsidRDefault="006B56CD" w:rsidP="006B56CD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0.11</w:t>
            </w:r>
          </w:p>
        </w:tc>
      </w:tr>
      <w:tr w:rsidR="006B56CD" w:rsidRPr="00D43612" w14:paraId="58D539A9" w14:textId="77777777" w:rsidTr="00742C98">
        <w:trPr>
          <w:trHeight w:val="248"/>
        </w:trPr>
        <w:tc>
          <w:tcPr>
            <w:tcW w:w="3918" w:type="dxa"/>
            <w:shd w:val="clear" w:color="auto" w:fill="auto"/>
          </w:tcPr>
          <w:p w14:paraId="40BA60C0" w14:textId="77777777" w:rsidR="006B56CD" w:rsidRPr="00D43612" w:rsidRDefault="006B56CD" w:rsidP="006B56CD">
            <w:pPr>
              <w:spacing w:line="360" w:lineRule="auto"/>
              <w:ind w:firstLineChars="100" w:firstLine="240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Indeterminate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91E8296" w14:textId="7D9A1B6B" w:rsidR="006B56CD" w:rsidRPr="00D43612" w:rsidRDefault="006B56CD" w:rsidP="006B56CD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(0)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284905B" w14:textId="4D7B5BAA" w:rsidR="006B56CD" w:rsidRPr="00D43612" w:rsidRDefault="006B56CD" w:rsidP="006B56CD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(1.0)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2A2C110" w14:textId="77777777" w:rsidR="006B56CD" w:rsidRPr="00D43612" w:rsidRDefault="006B56CD" w:rsidP="006B56CD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1.00</w:t>
            </w:r>
          </w:p>
        </w:tc>
      </w:tr>
      <w:tr w:rsidR="006767EC" w:rsidRPr="00D43612" w14:paraId="18E3524E" w14:textId="77777777" w:rsidTr="00D40C43">
        <w:trPr>
          <w:trHeight w:val="70"/>
        </w:trPr>
        <w:tc>
          <w:tcPr>
            <w:tcW w:w="3918" w:type="dxa"/>
            <w:shd w:val="clear" w:color="auto" w:fill="auto"/>
          </w:tcPr>
          <w:p w14:paraId="0711E0BD" w14:textId="778AA0CF" w:rsidR="006767EC" w:rsidRPr="00D43612" w:rsidRDefault="00B416D1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Extra-intestinal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manifestations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3E76C0E" w14:textId="1500E710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9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(28.1)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7029342B" w14:textId="3241D1C0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20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(20.6)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7C342B7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0.46</w:t>
            </w:r>
          </w:p>
        </w:tc>
      </w:tr>
      <w:tr w:rsidR="006767EC" w:rsidRPr="00D43612" w14:paraId="3B3649D6" w14:textId="77777777" w:rsidTr="00742C98">
        <w:trPr>
          <w:trHeight w:val="461"/>
        </w:trPr>
        <w:tc>
          <w:tcPr>
            <w:tcW w:w="3918" w:type="dxa"/>
            <w:shd w:val="clear" w:color="auto" w:fill="auto"/>
          </w:tcPr>
          <w:p w14:paraId="63D93C7F" w14:textId="1F91D42A" w:rsidR="006767EC" w:rsidRPr="00D43612" w:rsidRDefault="00B416D1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Psychiatric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co-morbidity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FF2BCE4" w14:textId="6333C78B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10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(31.2)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E4527C2" w14:textId="0EB8F30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35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(36.1)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E130867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0.67</w:t>
            </w:r>
          </w:p>
        </w:tc>
      </w:tr>
      <w:tr w:rsidR="006767EC" w:rsidRPr="00D43612" w14:paraId="013697CB" w14:textId="77777777" w:rsidTr="00742C98">
        <w:trPr>
          <w:trHeight w:val="447"/>
        </w:trPr>
        <w:tc>
          <w:tcPr>
            <w:tcW w:w="3918" w:type="dxa"/>
            <w:shd w:val="clear" w:color="auto" w:fill="auto"/>
          </w:tcPr>
          <w:p w14:paraId="2CBB584E" w14:textId="3F783410" w:rsidR="006767EC" w:rsidRPr="00D43612" w:rsidRDefault="00B416D1">
            <w:pPr>
              <w:spacing w:line="360" w:lineRule="auto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ADRs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(any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severity)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A377FB4" w14:textId="11CEBADA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(0.0%)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2E2AEE4A" w14:textId="1A5F8F52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8</w:t>
            </w:r>
            <w:r w:rsidR="00221BA4">
              <w:rPr>
                <w:rFonts w:ascii="Book Antiqua" w:hAnsi="Book Antiqua" w:cs="Book Antiqua"/>
                <w:lang w:eastAsia="en-AU"/>
              </w:rPr>
              <w:t xml:space="preserve"> </w:t>
            </w:r>
            <w:r w:rsidRPr="00D43612">
              <w:rPr>
                <w:rFonts w:ascii="Book Antiqua" w:hAnsi="Book Antiqua" w:cs="Book Antiqua"/>
                <w:lang w:eastAsia="en-AU"/>
              </w:rPr>
              <w:t>(8.2)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400454D0" w14:textId="77777777" w:rsidR="006767EC" w:rsidRPr="00D43612" w:rsidRDefault="00B416D1">
            <w:pPr>
              <w:spacing w:line="360" w:lineRule="auto"/>
              <w:jc w:val="center"/>
              <w:rPr>
                <w:rFonts w:ascii="Book Antiqua" w:hAnsi="Book Antiqua" w:cs="Book Antiqua"/>
                <w:lang w:eastAsia="en-AU"/>
              </w:rPr>
            </w:pPr>
            <w:r w:rsidRPr="00D43612">
              <w:rPr>
                <w:rFonts w:ascii="Book Antiqua" w:hAnsi="Book Antiqua" w:cs="Book Antiqua"/>
                <w:lang w:eastAsia="en-AU"/>
              </w:rPr>
              <w:t>0.20</w:t>
            </w:r>
          </w:p>
        </w:tc>
      </w:tr>
    </w:tbl>
    <w:p w14:paraId="2669ED43" w14:textId="595D4C01" w:rsidR="006767EC" w:rsidRDefault="00B416D1">
      <w:pPr>
        <w:spacing w:line="360" w:lineRule="auto"/>
        <w:rPr>
          <w:rFonts w:ascii="Book Antiqua" w:eastAsia="Book Antiqua" w:hAnsi="Book Antiqua" w:cs="Book Antiqua"/>
          <w:b/>
          <w:bCs/>
          <w:color w:val="000000"/>
        </w:rPr>
      </w:pPr>
      <w:r w:rsidRPr="00D43612">
        <w:rPr>
          <w:rFonts w:ascii="Book Antiqua" w:hAnsi="Book Antiqua" w:cs="Book Antiqua"/>
        </w:rPr>
        <w:t>BMI: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Body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mass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index</w:t>
      </w:r>
      <w:r w:rsidR="00314391" w:rsidRPr="00D43612">
        <w:rPr>
          <w:rFonts w:ascii="Book Antiqua" w:hAnsi="Book Antiqua" w:cs="Book Antiqua"/>
        </w:rPr>
        <w:t>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CD</w:t>
      </w:r>
      <w:r w:rsidR="00314391"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Crohn’s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disease</w:t>
      </w:r>
      <w:r w:rsidR="00314391" w:rsidRPr="00D43612">
        <w:rPr>
          <w:rFonts w:ascii="Book Antiqua" w:hAnsi="Book Antiqua" w:cs="Book Antiqua"/>
        </w:rPr>
        <w:t>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UC</w:t>
      </w:r>
      <w:r w:rsidR="00314391"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Ulcerative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colitis</w:t>
      </w:r>
      <w:r w:rsidR="00314391" w:rsidRPr="00D43612">
        <w:rPr>
          <w:rFonts w:ascii="Book Antiqua" w:hAnsi="Book Antiqua" w:cs="Book Antiqua"/>
        </w:rPr>
        <w:t>;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ADR</w:t>
      </w:r>
      <w:r w:rsidR="00314391" w:rsidRPr="00D43612">
        <w:rPr>
          <w:rFonts w:ascii="Book Antiqua" w:hAnsi="Book Antiqua" w:cs="Book Antiqua"/>
        </w:rPr>
        <w:t>: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Adverse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drug</w:t>
      </w:r>
      <w:r w:rsidR="00221BA4">
        <w:rPr>
          <w:rFonts w:ascii="Book Antiqua" w:hAnsi="Book Antiqua" w:cs="Book Antiqua"/>
        </w:rPr>
        <w:t xml:space="preserve"> </w:t>
      </w:r>
      <w:r w:rsidRPr="00D43612">
        <w:rPr>
          <w:rFonts w:ascii="Book Antiqua" w:hAnsi="Book Antiqua" w:cs="Book Antiqua"/>
        </w:rPr>
        <w:t>reaction.</w:t>
      </w:r>
    </w:p>
    <w:sectPr w:rsidR="006767EC" w:rsidSect="00742C98">
      <w:pgSz w:w="15840" w:h="12240" w:orient="landscape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279CA" w14:textId="77777777" w:rsidR="00CE422D" w:rsidRDefault="00CE422D" w:rsidP="00782E06">
      <w:r>
        <w:separator/>
      </w:r>
    </w:p>
  </w:endnote>
  <w:endnote w:type="continuationSeparator" w:id="0">
    <w:p w14:paraId="0B0B55C7" w14:textId="77777777" w:rsidR="00CE422D" w:rsidRDefault="00CE422D" w:rsidP="0078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67021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1F269A" w14:textId="685A1C21" w:rsidR="00BB0DE6" w:rsidRDefault="00221BA4" w:rsidP="00567D0C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 w:rsidR="00BB0DE6">
              <w:rPr>
                <w:b/>
                <w:bCs/>
                <w:sz w:val="24"/>
                <w:szCs w:val="24"/>
              </w:rPr>
              <w:fldChar w:fldCharType="begin"/>
            </w:r>
            <w:r w:rsidR="00BB0DE6">
              <w:rPr>
                <w:b/>
                <w:bCs/>
              </w:rPr>
              <w:instrText>PAGE</w:instrText>
            </w:r>
            <w:r w:rsidR="00BB0DE6">
              <w:rPr>
                <w:b/>
                <w:bCs/>
                <w:sz w:val="24"/>
                <w:szCs w:val="24"/>
              </w:rPr>
              <w:fldChar w:fldCharType="separate"/>
            </w:r>
            <w:r w:rsidR="00B548DB">
              <w:rPr>
                <w:b/>
                <w:bCs/>
                <w:noProof/>
              </w:rPr>
              <w:t>10</w:t>
            </w:r>
            <w:r w:rsidR="00BB0DE6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 w:rsidR="00BB0DE6">
              <w:rPr>
                <w:lang w:val="zh-CN" w:eastAsia="zh-CN"/>
              </w:rPr>
              <w:t>/</w:t>
            </w:r>
            <w:r>
              <w:rPr>
                <w:lang w:val="zh-CN" w:eastAsia="zh-CN"/>
              </w:rPr>
              <w:t xml:space="preserve"> </w:t>
            </w:r>
            <w:r w:rsidR="00BB0DE6">
              <w:rPr>
                <w:b/>
                <w:bCs/>
                <w:sz w:val="24"/>
                <w:szCs w:val="24"/>
              </w:rPr>
              <w:fldChar w:fldCharType="begin"/>
            </w:r>
            <w:r w:rsidR="00BB0DE6">
              <w:rPr>
                <w:b/>
                <w:bCs/>
              </w:rPr>
              <w:instrText>NUMPAGES</w:instrText>
            </w:r>
            <w:r w:rsidR="00BB0DE6">
              <w:rPr>
                <w:b/>
                <w:bCs/>
                <w:sz w:val="24"/>
                <w:szCs w:val="24"/>
              </w:rPr>
              <w:fldChar w:fldCharType="separate"/>
            </w:r>
            <w:r w:rsidR="00B548DB">
              <w:rPr>
                <w:b/>
                <w:bCs/>
                <w:noProof/>
              </w:rPr>
              <w:t>34</w:t>
            </w:r>
            <w:r w:rsidR="00BB0DE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18DB8D" w14:textId="77777777" w:rsidR="00BB0DE6" w:rsidRDefault="00BB0D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43F95" w14:textId="77777777" w:rsidR="00CE422D" w:rsidRDefault="00CE422D" w:rsidP="00782E06">
      <w:r>
        <w:separator/>
      </w:r>
    </w:p>
  </w:footnote>
  <w:footnote w:type="continuationSeparator" w:id="0">
    <w:p w14:paraId="4D271B99" w14:textId="77777777" w:rsidR="00CE422D" w:rsidRDefault="00CE422D" w:rsidP="00782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F22"/>
    <w:rsid w:val="00000F97"/>
    <w:rsid w:val="00074AA5"/>
    <w:rsid w:val="000D7BAB"/>
    <w:rsid w:val="000E7BCC"/>
    <w:rsid w:val="000F383A"/>
    <w:rsid w:val="00131E8C"/>
    <w:rsid w:val="001739F8"/>
    <w:rsid w:val="001C33BB"/>
    <w:rsid w:val="001D1EBB"/>
    <w:rsid w:val="00212D8C"/>
    <w:rsid w:val="002171AC"/>
    <w:rsid w:val="00221BA4"/>
    <w:rsid w:val="00237B82"/>
    <w:rsid w:val="00292FF1"/>
    <w:rsid w:val="002A05F9"/>
    <w:rsid w:val="002A313A"/>
    <w:rsid w:val="002B4177"/>
    <w:rsid w:val="002C2411"/>
    <w:rsid w:val="002F485A"/>
    <w:rsid w:val="0030454F"/>
    <w:rsid w:val="00314391"/>
    <w:rsid w:val="00317876"/>
    <w:rsid w:val="00337E9F"/>
    <w:rsid w:val="00341499"/>
    <w:rsid w:val="003807B1"/>
    <w:rsid w:val="003808B9"/>
    <w:rsid w:val="003A2F6E"/>
    <w:rsid w:val="003B560B"/>
    <w:rsid w:val="00421A0F"/>
    <w:rsid w:val="004467A0"/>
    <w:rsid w:val="00451BA8"/>
    <w:rsid w:val="00496415"/>
    <w:rsid w:val="004B4824"/>
    <w:rsid w:val="004E618F"/>
    <w:rsid w:val="005234A8"/>
    <w:rsid w:val="00526599"/>
    <w:rsid w:val="00527AA2"/>
    <w:rsid w:val="00535B97"/>
    <w:rsid w:val="00567D0C"/>
    <w:rsid w:val="005F22ED"/>
    <w:rsid w:val="0066335B"/>
    <w:rsid w:val="006767EC"/>
    <w:rsid w:val="006905AE"/>
    <w:rsid w:val="006B56CD"/>
    <w:rsid w:val="006C0DA3"/>
    <w:rsid w:val="006C34B6"/>
    <w:rsid w:val="007362AC"/>
    <w:rsid w:val="00742C98"/>
    <w:rsid w:val="007679CB"/>
    <w:rsid w:val="00782E06"/>
    <w:rsid w:val="007C4BC4"/>
    <w:rsid w:val="007F7AD4"/>
    <w:rsid w:val="0082536A"/>
    <w:rsid w:val="00835DD0"/>
    <w:rsid w:val="00851983"/>
    <w:rsid w:val="008B18C4"/>
    <w:rsid w:val="008C1D5C"/>
    <w:rsid w:val="008E220C"/>
    <w:rsid w:val="008E4D0E"/>
    <w:rsid w:val="00932CF7"/>
    <w:rsid w:val="009450C8"/>
    <w:rsid w:val="009727DF"/>
    <w:rsid w:val="00972D3D"/>
    <w:rsid w:val="00994689"/>
    <w:rsid w:val="009B710F"/>
    <w:rsid w:val="00A76C26"/>
    <w:rsid w:val="00A77B3E"/>
    <w:rsid w:val="00AB2FC4"/>
    <w:rsid w:val="00AB3141"/>
    <w:rsid w:val="00B16BE9"/>
    <w:rsid w:val="00B336AF"/>
    <w:rsid w:val="00B416D1"/>
    <w:rsid w:val="00B44B1C"/>
    <w:rsid w:val="00B54519"/>
    <w:rsid w:val="00B548DB"/>
    <w:rsid w:val="00BA70EC"/>
    <w:rsid w:val="00BB0DE6"/>
    <w:rsid w:val="00C00294"/>
    <w:rsid w:val="00C14F2A"/>
    <w:rsid w:val="00C17BCC"/>
    <w:rsid w:val="00C23380"/>
    <w:rsid w:val="00C23A5E"/>
    <w:rsid w:val="00C60FE4"/>
    <w:rsid w:val="00C740FB"/>
    <w:rsid w:val="00C965D3"/>
    <w:rsid w:val="00CA2A55"/>
    <w:rsid w:val="00CB11B3"/>
    <w:rsid w:val="00CC2009"/>
    <w:rsid w:val="00CE422D"/>
    <w:rsid w:val="00CF0A55"/>
    <w:rsid w:val="00CF5546"/>
    <w:rsid w:val="00D0030D"/>
    <w:rsid w:val="00D133D2"/>
    <w:rsid w:val="00D147F8"/>
    <w:rsid w:val="00D16F0C"/>
    <w:rsid w:val="00D23573"/>
    <w:rsid w:val="00D3075C"/>
    <w:rsid w:val="00D40C43"/>
    <w:rsid w:val="00D43612"/>
    <w:rsid w:val="00D70977"/>
    <w:rsid w:val="00D87C24"/>
    <w:rsid w:val="00D928AB"/>
    <w:rsid w:val="00DC18BA"/>
    <w:rsid w:val="00E1123A"/>
    <w:rsid w:val="00E50CE6"/>
    <w:rsid w:val="00E75C50"/>
    <w:rsid w:val="00EA3D3D"/>
    <w:rsid w:val="00EC617F"/>
    <w:rsid w:val="00ED6215"/>
    <w:rsid w:val="00F529E5"/>
    <w:rsid w:val="00F55E14"/>
    <w:rsid w:val="00FA00D0"/>
    <w:rsid w:val="00FE0308"/>
    <w:rsid w:val="00FE3650"/>
    <w:rsid w:val="17A95D49"/>
    <w:rsid w:val="27A01561"/>
    <w:rsid w:val="62FC5708"/>
    <w:rsid w:val="7E8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AAEB7F"/>
  <w15:docId w15:val="{E0C2D07F-6EA0-4B52-804E-EBF72D1B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="Times New Roman" w:eastAsia="Times New Roman" w:hAnsi="Times New Roman" w:cs="Times New Roman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rsid w:val="00782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82E06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rsid w:val="00782E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2E06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9">
    <w:name w:val="Balloon Text"/>
    <w:basedOn w:val="a"/>
    <w:link w:val="aa"/>
    <w:rsid w:val="00932CF7"/>
    <w:rPr>
      <w:sz w:val="18"/>
      <w:szCs w:val="18"/>
    </w:rPr>
  </w:style>
  <w:style w:type="character" w:customStyle="1" w:styleId="aa">
    <w:name w:val="批注框文本 字符"/>
    <w:basedOn w:val="a0"/>
    <w:link w:val="a9"/>
    <w:rsid w:val="00932CF7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styleId="ab">
    <w:name w:val="annotation reference"/>
    <w:basedOn w:val="a0"/>
    <w:rsid w:val="000E7BCC"/>
    <w:rPr>
      <w:sz w:val="21"/>
      <w:szCs w:val="21"/>
    </w:rPr>
  </w:style>
  <w:style w:type="paragraph" w:styleId="ac">
    <w:name w:val="annotation text"/>
    <w:basedOn w:val="a"/>
    <w:link w:val="ad"/>
    <w:rsid w:val="000E7BCC"/>
  </w:style>
  <w:style w:type="character" w:customStyle="1" w:styleId="ad">
    <w:name w:val="批注文字 字符"/>
    <w:basedOn w:val="a0"/>
    <w:link w:val="ac"/>
    <w:rsid w:val="000E7BC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e">
    <w:name w:val="annotation subject"/>
    <w:basedOn w:val="ac"/>
    <w:next w:val="ac"/>
    <w:link w:val="af"/>
    <w:rsid w:val="000E7BCC"/>
    <w:rPr>
      <w:b/>
      <w:bCs/>
    </w:rPr>
  </w:style>
  <w:style w:type="character" w:customStyle="1" w:styleId="af">
    <w:name w:val="批注主题 字符"/>
    <w:basedOn w:val="ad"/>
    <w:link w:val="ae"/>
    <w:rsid w:val="000E7BC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BA478A-C9DB-4F6B-978A-1A4690FA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7306</Words>
  <Characters>41645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Liansheng Ma</cp:lastModifiedBy>
  <cp:revision>2</cp:revision>
  <dcterms:created xsi:type="dcterms:W3CDTF">2020-09-05T01:21:00Z</dcterms:created>
  <dcterms:modified xsi:type="dcterms:W3CDTF">2020-09-05T01:21:00Z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