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03C9" w14:textId="1B0B7F8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Name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Journal: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color w:val="000000"/>
        </w:rPr>
        <w:t>World</w:t>
      </w:r>
      <w:r w:rsidR="00221BA4" w:rsidRPr="009A277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color w:val="000000"/>
        </w:rPr>
        <w:t>Journal</w:t>
      </w:r>
      <w:r w:rsidR="00221BA4" w:rsidRPr="009A277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8DCF449" w14:textId="20D748B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Manuscript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NO: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57189</w:t>
      </w:r>
    </w:p>
    <w:p w14:paraId="3F946C30" w14:textId="2D9C2F09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Manuscript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Type: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ORIGINAL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ARTICLE</w:t>
      </w:r>
    </w:p>
    <w:p w14:paraId="3C0734D8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7B832047" w14:textId="35318A9E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07A2D84" w14:textId="54D7DE5E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bookmarkStart w:id="0" w:name="OLE_LINK1862"/>
      <w:bookmarkStart w:id="1" w:name="OLE_LINK1863"/>
      <w:r w:rsidRPr="009A2775">
        <w:rPr>
          <w:rFonts w:ascii="Book Antiqua" w:eastAsia="Book Antiqua" w:hAnsi="Book Antiqua" w:cs="Book Antiqua"/>
          <w:b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bowel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hospital-based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infliximab: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stepwise,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patient-orientated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process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towards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sustainability</w:t>
      </w:r>
    </w:p>
    <w:bookmarkEnd w:id="0"/>
    <w:bookmarkEnd w:id="1"/>
    <w:p w14:paraId="1A31062F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5C6FBD5" w14:textId="0CF4C743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Bohra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</w:p>
    <w:p w14:paraId="1DB81484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9F7C247" w14:textId="093A8038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proofErr w:type="spellStart"/>
      <w:r w:rsidRPr="009A2775">
        <w:rPr>
          <w:rFonts w:ascii="Book Antiqua" w:eastAsia="Book Antiqua" w:hAnsi="Book Antiqua" w:cs="Book Antiqua"/>
          <w:color w:val="000000"/>
        </w:rPr>
        <w:t>Anuj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Bohra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Qurat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-Al-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Ain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Rizvi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Charlotte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Yuen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Yu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Keung,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Abhinav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Vasudevan,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Daniel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Langenberg</w:t>
      </w:r>
      <w:proofErr w:type="spellEnd"/>
    </w:p>
    <w:p w14:paraId="70E4EBB7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933C817" w14:textId="232CAA90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Anuj</w:t>
      </w:r>
      <w:proofErr w:type="spellEnd"/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Bohra</w:t>
      </w:r>
      <w:proofErr w:type="spellEnd"/>
      <w:r w:rsidRPr="009A2775">
        <w:rPr>
          <w:rFonts w:ascii="Book Antiqua" w:eastAsia="Book Antiqua" w:hAnsi="Book Antiqua" w:cs="Book Antiqua"/>
          <w:b/>
          <w:b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Qurat</w:t>
      </w:r>
      <w:proofErr w:type="spellEnd"/>
      <w:r w:rsidRPr="009A2775">
        <w:rPr>
          <w:rFonts w:ascii="Book Antiqua" w:eastAsia="Book Antiqua" w:hAnsi="Book Antiqua" w:cs="Book Antiqua"/>
          <w:b/>
          <w:bCs/>
          <w:color w:val="000000"/>
        </w:rPr>
        <w:t>-Al-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Ain</w:t>
      </w:r>
      <w:proofErr w:type="spellEnd"/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Rizvi</w:t>
      </w:r>
      <w:proofErr w:type="spellEnd"/>
      <w:r w:rsidRPr="009A2775">
        <w:rPr>
          <w:rFonts w:ascii="Book Antiqua" w:eastAsia="Book Antiqua" w:hAnsi="Book Antiqua" w:cs="Book Antiqua"/>
          <w:b/>
          <w:b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9A2775">
        <w:rPr>
          <w:rFonts w:ascii="Book Antiqua" w:eastAsia="Book Antiqua" w:hAnsi="Book Antiqua" w:cs="Book Antiqua"/>
          <w:b/>
          <w:bCs/>
          <w:color w:val="000000"/>
        </w:rPr>
        <w:t>Charlotte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9A2775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9A2775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9A2775">
        <w:rPr>
          <w:rFonts w:ascii="Book Antiqua" w:eastAsia="Book Antiqua" w:hAnsi="Book Antiqua" w:cs="Book Antiqua"/>
          <w:b/>
          <w:bCs/>
          <w:color w:val="000000"/>
        </w:rPr>
        <w:t>Keung,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Abhinav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Vasudevan,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R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Langenberg</w:t>
      </w:r>
      <w:proofErr w:type="spellEnd"/>
      <w:r w:rsidRPr="009A2775">
        <w:rPr>
          <w:rFonts w:ascii="Book Antiqua" w:eastAsia="Book Antiqua" w:hAnsi="Book Antiqua" w:cs="Book Antiqua"/>
          <w:b/>
          <w:b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Gastroenterology,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Eastern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Box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3128,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Victoria,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Australia</w:t>
      </w:r>
    </w:p>
    <w:p w14:paraId="30854E54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1CF2505" w14:textId="5182F0BC" w:rsidR="008B18C4" w:rsidRPr="009A2775" w:rsidRDefault="008B18C4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  <w:b/>
        </w:rPr>
        <w:t>Anuj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Bohra,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Abhinav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Vasudevan,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Daniel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R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van</w:t>
      </w:r>
      <w:r w:rsidR="00221BA4" w:rsidRPr="009A2775">
        <w:rPr>
          <w:rFonts w:ascii="Book Antiqua" w:hAnsi="Book Antiqua" w:cs="Book Antiqua"/>
          <w:b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Langenberg</w:t>
      </w:r>
      <w:proofErr w:type="spellEnd"/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Eastern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Health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Clinical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School,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Monash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University,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Box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Hill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3128,</w:t>
      </w:r>
      <w:r w:rsidR="00221BA4" w:rsidRPr="009A2775">
        <w:rPr>
          <w:rFonts w:ascii="Book Antiqua" w:hAnsi="Book Antiqua" w:cs="Book Antiqua"/>
        </w:rPr>
        <w:t xml:space="preserve"> </w:t>
      </w:r>
      <w:r w:rsidR="00074AA5" w:rsidRPr="009A2775">
        <w:rPr>
          <w:rFonts w:ascii="Book Antiqua" w:eastAsia="Book Antiqua" w:hAnsi="Book Antiqua" w:cs="Book Antiqua"/>
          <w:color w:val="000000"/>
        </w:rPr>
        <w:t>Victoria,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hAnsi="Book Antiqua" w:cs="Book Antiqua"/>
        </w:rPr>
        <w:t>Australia</w:t>
      </w:r>
    </w:p>
    <w:p w14:paraId="3FD4CDB3" w14:textId="77777777" w:rsidR="008B18C4" w:rsidRPr="009A2775" w:rsidRDefault="008B18C4">
      <w:pPr>
        <w:spacing w:line="360" w:lineRule="auto"/>
        <w:jc w:val="both"/>
        <w:rPr>
          <w:rFonts w:ascii="Book Antiqua" w:hAnsi="Book Antiqua" w:cs="Book Antiqua"/>
        </w:rPr>
      </w:pPr>
    </w:p>
    <w:p w14:paraId="051AAFCE" w14:textId="51BF5436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Bohra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Rizvi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362AC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QA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questionnaires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Keung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82E06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YY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Vasudevan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1A0F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Langenberg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DR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concept,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6BD729A8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865F83C" w14:textId="3737964B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Anuj</w:t>
      </w:r>
      <w:proofErr w:type="spellEnd"/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Bohra</w:t>
      </w:r>
      <w:proofErr w:type="spellEnd"/>
      <w:r w:rsidRPr="009A2775">
        <w:rPr>
          <w:rFonts w:ascii="Book Antiqua" w:eastAsia="Book Antiqua" w:hAnsi="Book Antiqua" w:cs="Book Antiqua"/>
          <w:b/>
          <w:b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BMed</w:t>
      </w:r>
      <w:proofErr w:type="spellEnd"/>
      <w:r w:rsidRPr="009A2775">
        <w:rPr>
          <w:rFonts w:ascii="Book Antiqua" w:eastAsia="Book Antiqua" w:hAnsi="Book Antiqua" w:cs="Book Antiqua"/>
          <w:b/>
          <w:b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Gastroenterology,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Eastern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West,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Arnold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Street,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Box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3128,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Victoria,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Australia.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anujbohra@hotmail.com</w:t>
      </w:r>
    </w:p>
    <w:p w14:paraId="3AF0E658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6C1A1EC" w14:textId="5686BCD2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28,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2020</w:t>
      </w:r>
    </w:p>
    <w:p w14:paraId="0D6DC06A" w14:textId="58924C7C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August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10,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2020</w:t>
      </w:r>
    </w:p>
    <w:p w14:paraId="467B68A4" w14:textId="1391730F" w:rsidR="006767EC" w:rsidRPr="009A2775" w:rsidRDefault="00B416D1" w:rsidP="00994689">
      <w:pPr>
        <w:snapToGrid w:val="0"/>
        <w:spacing w:line="360" w:lineRule="auto"/>
        <w:rPr>
          <w:rFonts w:ascii="Book Antiqua" w:eastAsiaTheme="minorEastAsia" w:hAnsi="Book Antiqua" w:cs="Arial"/>
          <w:color w:val="000000" w:themeColor="text1"/>
          <w:shd w:val="clear" w:color="auto" w:fill="FFFFFF"/>
          <w:lang w:eastAsia="zh-CN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4689" w:rsidRPr="009A2775">
        <w:rPr>
          <w:rFonts w:ascii="Book Antiqua" w:hAnsi="Book Antiqua" w:cs="Arial"/>
          <w:color w:val="000000" w:themeColor="text1"/>
          <w:shd w:val="clear" w:color="auto" w:fill="FFFFFF"/>
        </w:rPr>
        <w:t>September 5, 2020</w:t>
      </w:r>
    </w:p>
    <w:p w14:paraId="076A3605" w14:textId="7B42A426" w:rsidR="006767EC" w:rsidRPr="009A2775" w:rsidRDefault="00B416D1">
      <w:pPr>
        <w:spacing w:line="360" w:lineRule="auto"/>
        <w:jc w:val="both"/>
        <w:rPr>
          <w:rFonts w:ascii="Book Antiqua" w:eastAsiaTheme="minorEastAsia" w:hAnsi="Book Antiqua" w:cs="Book Antiqua" w:hint="eastAsia"/>
          <w:lang w:eastAsia="zh-CN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5E02" w:rsidRPr="009A2775">
        <w:rPr>
          <w:rFonts w:ascii="Book Antiqua" w:eastAsiaTheme="minorEastAsia" w:hAnsi="Book Antiqua" w:cs="Book Antiqua" w:hint="eastAsia"/>
          <w:b/>
          <w:bCs/>
          <w:color w:val="000000"/>
          <w:lang w:eastAsia="zh-CN"/>
        </w:rPr>
        <w:t xml:space="preserve"> </w:t>
      </w:r>
      <w:r w:rsidR="00205E02" w:rsidRPr="009A2775">
        <w:rPr>
          <w:rStyle w:val="fontstyle01"/>
          <w:rFonts w:ascii="Book Antiqua" w:hAnsi="Book Antiqua"/>
          <w:color w:val="000000" w:themeColor="text1"/>
          <w:sz w:val="24"/>
          <w:szCs w:val="24"/>
        </w:rPr>
        <w:t>September 28,</w:t>
      </w:r>
      <w:r w:rsidR="00205E02" w:rsidRPr="009A2775">
        <w:rPr>
          <w:rStyle w:val="fontstyle01"/>
          <w:rFonts w:ascii="Book Antiqua" w:hAnsi="Book Antiqua" w:hint="eastAsia"/>
          <w:color w:val="000000" w:themeColor="text1"/>
        </w:rPr>
        <w:t xml:space="preserve"> </w:t>
      </w:r>
      <w:r w:rsidR="00205E02" w:rsidRPr="009A2775">
        <w:rPr>
          <w:rStyle w:val="fontstyle01"/>
          <w:rFonts w:ascii="Book Antiqua" w:hAnsi="Book Antiqua"/>
          <w:color w:val="000000" w:themeColor="text1"/>
          <w:sz w:val="24"/>
          <w:szCs w:val="24"/>
        </w:rPr>
        <w:t>2020</w:t>
      </w:r>
    </w:p>
    <w:p w14:paraId="10A71A83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  <w:sectPr w:rsidR="006767EC" w:rsidRPr="009A277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0CC02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A8F6051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BACKGROUND</w:t>
      </w:r>
    </w:p>
    <w:p w14:paraId="096EB302" w14:textId="272874A9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intravenous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increasingly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chronic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disorders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like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bowel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(IBD).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attractive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solutions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address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resource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capacity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issues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reportedly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occur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25%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manufacturers’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recommended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h.</w:t>
      </w:r>
    </w:p>
    <w:p w14:paraId="76D61450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DD630EF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AIM</w:t>
      </w:r>
    </w:p>
    <w:p w14:paraId="6D1FFBA4" w14:textId="5D5DDC01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hospital-based,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</w:p>
    <w:p w14:paraId="7F05B2F8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8AFBF9E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METHODS</w:t>
      </w:r>
    </w:p>
    <w:p w14:paraId="2956DD0D" w14:textId="2EE2FACB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2014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(39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two-hour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IFX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2005-2013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(96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single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(per-infusion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per-individual)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adverse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(ADR),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needle-departure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clinical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extracted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electronic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records.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Multivariable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logistical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regression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assessed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primary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outcome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[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(RR)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]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(1)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(both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hospital-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productivity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recipients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</w:p>
    <w:p w14:paraId="046B0E99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A1BB304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RESULTS</w:t>
      </w:r>
    </w:p>
    <w:p w14:paraId="62FF9BF1" w14:textId="516F4C89" w:rsidR="006767EC" w:rsidRPr="009A2775" w:rsidRDefault="00221BA4" w:rsidP="00221BA4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 xml:space="preserve">Of </w:t>
      </w:r>
      <w:r w:rsidR="00B416D1" w:rsidRPr="009A2775">
        <w:rPr>
          <w:rFonts w:ascii="Book Antiqua" w:eastAsia="Book Antiqua" w:hAnsi="Book Antiqua" w:cs="Book Antiqua"/>
          <w:color w:val="000000"/>
        </w:rPr>
        <w:t>129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patients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who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received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1461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IFX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(2014-2017)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were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compared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169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patients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who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received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2214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standard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IFX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(2005-2013).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Within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cohort,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55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(42.6%)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were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males,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median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age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42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year</w:t>
      </w:r>
      <w:r w:rsidR="00421A0F" w:rsidRPr="009A2775">
        <w:rPr>
          <w:rFonts w:ascii="Book Antiqua" w:eastAsia="Book Antiqua" w:hAnsi="Book Antiqua" w:cs="Book Antiqua"/>
          <w:color w:val="000000"/>
        </w:rPr>
        <w:t>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(range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18,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86),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114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(84%)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had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lastRenderedPageBreak/>
        <w:t>Crohn’s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disease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(CD)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median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disease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duration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5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year</w:t>
      </w:r>
      <w:r w:rsidR="00421A0F" w:rsidRPr="009A2775">
        <w:rPr>
          <w:rFonts w:ascii="Book Antiqua" w:eastAsia="Book Antiqua" w:hAnsi="Book Antiqua" w:cs="Book Antiqua"/>
          <w:color w:val="000000"/>
        </w:rPr>
        <w:t>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(0,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36).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Median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needle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departure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time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was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higher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standard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protocol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group,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108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(70,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253)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50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(33,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90)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min,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&lt;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0.001),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cost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$AUD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107.50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$49.77</w:t>
      </w:r>
      <w:r w:rsidR="00D23573" w:rsidRPr="009A2775">
        <w:rPr>
          <w:rFonts w:ascii="Book Antiqua" w:eastAsia="Book Antiqua" w:hAnsi="Book Antiqua" w:cs="Book Antiqua"/>
          <w:color w:val="000000"/>
        </w:rPr>
        <w:t>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respectively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(both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&lt;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0.001).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was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no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difference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median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duration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costs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between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home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hospital-based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=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0.21).</w:t>
      </w:r>
      <w:r w:rsidRPr="009A2775">
        <w:rPr>
          <w:rFonts w:ascii="Book Antiqua" w:hAnsi="Book Antiqua" w:cs="Book Antiqua" w:hint="eastAsia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8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patients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infliximab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cohort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had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ADR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compared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23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standard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infliximab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recipients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(RR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0.55%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1.04%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respectively),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hence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higher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likelihood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ADR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standard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compared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[RR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3.0,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95%CI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(1.2,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7.7),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=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0.02].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No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ADRs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were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observed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405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home-based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infusions.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lower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9A2775">
        <w:rPr>
          <w:rFonts w:ascii="Book Antiqua" w:eastAsia="Book Antiqua" w:hAnsi="Book Antiqua" w:cs="Book Antiqua"/>
          <w:color w:val="000000"/>
        </w:rPr>
        <w:t>body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9A2775">
        <w:rPr>
          <w:rFonts w:ascii="Book Antiqua" w:eastAsia="Book Antiqua" w:hAnsi="Book Antiqua" w:cs="Book Antiqua"/>
          <w:color w:val="000000"/>
        </w:rPr>
        <w:t>mass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9A2775">
        <w:rPr>
          <w:rFonts w:ascii="Book Antiqua" w:eastAsia="Book Antiqua" w:hAnsi="Book Antiqua" w:cs="Book Antiqua"/>
          <w:color w:val="000000"/>
        </w:rPr>
        <w:t>index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(&lt;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22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kg/m</w:t>
      </w:r>
      <w:r w:rsidR="00B416D1" w:rsidRPr="009A277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416D1" w:rsidRPr="009A2775">
        <w:rPr>
          <w:rFonts w:ascii="Book Antiqua" w:eastAsia="Book Antiqua" w:hAnsi="Book Antiqua" w:cs="Book Antiqua"/>
          <w:color w:val="000000"/>
        </w:rPr>
        <w:t>),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presence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one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more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extra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intestinal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manifestations,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longer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disease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duration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(&gt;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3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year</w:t>
      </w:r>
      <w:r w:rsidR="00421A0F" w:rsidRPr="009A2775">
        <w:rPr>
          <w:rFonts w:ascii="Book Antiqua" w:eastAsia="Book Antiqua" w:hAnsi="Book Antiqua" w:cs="Book Antiqua"/>
          <w:color w:val="000000"/>
        </w:rPr>
        <w:t>s</w:t>
      </w:r>
      <w:r w:rsidR="00B416D1" w:rsidRPr="009A2775">
        <w:rPr>
          <w:rFonts w:ascii="Book Antiqua" w:eastAsia="Book Antiqua" w:hAnsi="Book Antiqua" w:cs="Book Antiqua"/>
          <w:color w:val="000000"/>
        </w:rPr>
        <w:t>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and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previous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exposure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another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biologic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were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each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independently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associated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higher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likelihood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reaction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(s)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infusions.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All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(100%)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survey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respondents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preferred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standard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however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within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recipients,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61.3%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found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home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based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more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inconvenient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hospital-based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despite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median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0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per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week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missed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from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paid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work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and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no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self-reported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loss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work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productivity.</w:t>
      </w:r>
      <w:r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030E5D06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91354F1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CONCLUSION</w:t>
      </w:r>
    </w:p>
    <w:p w14:paraId="55AE905F" w14:textId="55F7A596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appears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very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benefit,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avails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efficient,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worldwide.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24E56FCB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0FE8C13" w14:textId="46F3576E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bowel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</w:p>
    <w:p w14:paraId="105079C4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27F1CB7" w14:textId="2C86A68E" w:rsidR="00205E02" w:rsidRPr="009A2775" w:rsidRDefault="00B416D1" w:rsidP="00205E02">
      <w:pPr>
        <w:pStyle w:val="ab"/>
        <w:spacing w:line="360" w:lineRule="auto"/>
        <w:jc w:val="both"/>
        <w:rPr>
          <w:rFonts w:ascii="Book Antiqua" w:hAnsi="Book Antiqua" w:cs="Arial" w:hint="eastAsia"/>
          <w:bCs/>
          <w:iCs/>
          <w:lang w:val="en-US" w:eastAsia="zh-CN"/>
        </w:rPr>
      </w:pPr>
      <w:r w:rsidRPr="009A2775">
        <w:rPr>
          <w:rFonts w:ascii="Book Antiqua" w:eastAsia="Book Antiqua" w:hAnsi="Book Antiqua" w:cs="Book Antiqua"/>
          <w:color w:val="000000"/>
        </w:rPr>
        <w:t>Bohra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Rizvi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QAA,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Keung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CYY,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Vasudevan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Langenberg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bowel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aps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stepwise,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patient-orientated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process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towards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sustainability.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205E02" w:rsidRPr="009A2775">
        <w:rPr>
          <w:rFonts w:ascii="Book Antiqua" w:hAnsi="Book Antiqua" w:cs="Arial"/>
          <w:bCs/>
          <w:iCs/>
          <w:lang w:val="en-US" w:eastAsia="zh-CN"/>
        </w:rPr>
        <w:t xml:space="preserve">2020; 26(36): </w:t>
      </w:r>
      <w:r w:rsidR="00205E02" w:rsidRPr="009A2775">
        <w:rPr>
          <w:rFonts w:ascii="Book Antiqua" w:hAnsi="Book Antiqua" w:cs="Arial" w:hint="eastAsia"/>
          <w:bCs/>
          <w:iCs/>
          <w:lang w:val="en-US" w:eastAsia="zh-CN"/>
        </w:rPr>
        <w:t>5</w:t>
      </w:r>
      <w:r w:rsidR="00205E02" w:rsidRPr="009A2775">
        <w:rPr>
          <w:rFonts w:ascii="Book Antiqua" w:hAnsi="Book Antiqua" w:cs="Arial" w:hint="eastAsia"/>
          <w:bCs/>
          <w:iCs/>
          <w:lang w:val="en-US" w:eastAsia="zh-CN"/>
        </w:rPr>
        <w:t>437</w:t>
      </w:r>
      <w:r w:rsidR="00205E02" w:rsidRPr="009A2775">
        <w:rPr>
          <w:rFonts w:ascii="Book Antiqua" w:hAnsi="Book Antiqua" w:cs="Arial"/>
          <w:bCs/>
          <w:iCs/>
          <w:lang w:val="en-US" w:eastAsia="zh-CN"/>
        </w:rPr>
        <w:t>-</w:t>
      </w:r>
      <w:r w:rsidR="00205E02" w:rsidRPr="009A2775">
        <w:rPr>
          <w:rFonts w:ascii="Book Antiqua" w:hAnsi="Book Antiqua" w:cs="Arial" w:hint="eastAsia"/>
          <w:bCs/>
          <w:iCs/>
          <w:lang w:val="en-US" w:eastAsia="zh-CN"/>
        </w:rPr>
        <w:t>54</w:t>
      </w:r>
      <w:r w:rsidR="00205E02" w:rsidRPr="009A2775">
        <w:rPr>
          <w:rFonts w:ascii="Book Antiqua" w:hAnsi="Book Antiqua" w:cs="Arial" w:hint="eastAsia"/>
          <w:bCs/>
          <w:iCs/>
          <w:lang w:val="en-US" w:eastAsia="zh-CN"/>
        </w:rPr>
        <w:t>49</w:t>
      </w:r>
    </w:p>
    <w:p w14:paraId="617D57DE" w14:textId="2B082429" w:rsidR="00205E02" w:rsidRPr="009A2775" w:rsidRDefault="00205E02" w:rsidP="00205E02">
      <w:pPr>
        <w:pStyle w:val="ab"/>
        <w:spacing w:line="360" w:lineRule="auto"/>
        <w:jc w:val="both"/>
        <w:rPr>
          <w:rFonts w:ascii="Book Antiqua" w:hAnsi="Book Antiqua" w:cs="Arial" w:hint="eastAsia"/>
          <w:bCs/>
          <w:iCs/>
          <w:lang w:val="en-GB" w:eastAsia="zh-CN"/>
        </w:rPr>
      </w:pPr>
      <w:r w:rsidRPr="009A2775">
        <w:rPr>
          <w:rFonts w:ascii="Book Antiqua" w:hAnsi="Book Antiqua" w:cs="Arial"/>
          <w:bCs/>
          <w:iCs/>
          <w:lang w:val="en-GB"/>
        </w:rPr>
        <w:lastRenderedPageBreak/>
        <w:t>URL: https://www.wjgnet.com/1007-9327/full/v26/i36/</w:t>
      </w:r>
      <w:r w:rsidRPr="009A2775">
        <w:rPr>
          <w:rFonts w:ascii="Book Antiqua" w:hAnsi="Book Antiqua" w:cs="Arial" w:hint="eastAsia"/>
          <w:bCs/>
          <w:iCs/>
          <w:lang w:val="en-US" w:eastAsia="zh-CN"/>
        </w:rPr>
        <w:t>5437</w:t>
      </w:r>
      <w:r w:rsidRPr="009A2775">
        <w:rPr>
          <w:rFonts w:ascii="Book Antiqua" w:hAnsi="Book Antiqua" w:cs="Arial"/>
          <w:bCs/>
          <w:iCs/>
          <w:lang w:val="en-GB"/>
        </w:rPr>
        <w:t>.</w:t>
      </w:r>
      <w:proofErr w:type="spellStart"/>
      <w:r w:rsidRPr="009A2775">
        <w:rPr>
          <w:rFonts w:ascii="Book Antiqua" w:hAnsi="Book Antiqua" w:cs="Arial"/>
          <w:bCs/>
          <w:iCs/>
          <w:lang w:val="en-GB"/>
        </w:rPr>
        <w:t>htm</w:t>
      </w:r>
      <w:proofErr w:type="spellEnd"/>
    </w:p>
    <w:p w14:paraId="7A5C04E7" w14:textId="6C80131D" w:rsidR="006767EC" w:rsidRPr="009A2775" w:rsidRDefault="00205E02" w:rsidP="00205E02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Arial"/>
          <w:bCs/>
          <w:iCs/>
          <w:lang w:val="en-GB"/>
        </w:rPr>
        <w:t>DOI: https://dx.doi.org/10.3748/wjg.v26.i36.</w:t>
      </w:r>
      <w:r w:rsidRPr="009A2775">
        <w:rPr>
          <w:rFonts w:ascii="Book Antiqua" w:hAnsi="Book Antiqua" w:cs="Arial" w:hint="eastAsia"/>
          <w:bCs/>
          <w:iCs/>
          <w:lang w:eastAsia="zh-CN"/>
        </w:rPr>
        <w:t>5437</w:t>
      </w:r>
    </w:p>
    <w:p w14:paraId="373514AB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A66BC9D" w14:textId="51C737A4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avenue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address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overburdened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enhance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convenience.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However,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depends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minimal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safety-centric,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how-to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guide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2-h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additional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layer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careful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selection;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found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9A2775">
        <w:rPr>
          <w:rFonts w:ascii="Book Antiqua" w:hAnsi="Book Antiqua" w:cs="Book Antiqua"/>
        </w:rPr>
        <w:t>body</w:t>
      </w:r>
      <w:r w:rsidR="00221BA4" w:rsidRPr="009A2775">
        <w:rPr>
          <w:rFonts w:ascii="Book Antiqua" w:hAnsi="Book Antiqua" w:cs="Book Antiqua"/>
        </w:rPr>
        <w:t xml:space="preserve"> </w:t>
      </w:r>
      <w:r w:rsidR="00FE3650" w:rsidRPr="009A2775">
        <w:rPr>
          <w:rFonts w:ascii="Book Antiqua" w:hAnsi="Book Antiqua" w:cs="Book Antiqua"/>
        </w:rPr>
        <w:t>mass</w:t>
      </w:r>
      <w:r w:rsidR="00221BA4" w:rsidRPr="009A2775">
        <w:rPr>
          <w:rFonts w:ascii="Book Antiqua" w:hAnsi="Book Antiqua" w:cs="Book Antiqua"/>
        </w:rPr>
        <w:t xml:space="preserve"> </w:t>
      </w:r>
      <w:r w:rsidR="00FE3650" w:rsidRPr="009A2775">
        <w:rPr>
          <w:rFonts w:ascii="Book Antiqua" w:hAnsi="Book Antiqua" w:cs="Book Antiqua"/>
        </w:rPr>
        <w:t>index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kg/m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A2775">
        <w:rPr>
          <w:rFonts w:ascii="Book Antiqua" w:eastAsia="Book Antiqua" w:hAnsi="Book Antiqua" w:cs="Book Antiqua"/>
          <w:color w:val="000000"/>
        </w:rPr>
        <w:t>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extraintestinal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manifestation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(s),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longer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(&gt;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year</w:t>
      </w:r>
      <w:r w:rsidR="00835DD0" w:rsidRPr="009A2775">
        <w:rPr>
          <w:rFonts w:ascii="Book Antiqua" w:eastAsia="Book Antiqua" w:hAnsi="Book Antiqua" w:cs="Book Antiqua"/>
          <w:color w:val="000000"/>
        </w:rPr>
        <w:t>s</w:t>
      </w:r>
      <w:r w:rsidRPr="009A2775">
        <w:rPr>
          <w:rFonts w:ascii="Book Antiqua" w:eastAsia="Book Antiqua" w:hAnsi="Book Antiqua" w:cs="Book Antiqua"/>
          <w:color w:val="000000"/>
        </w:rPr>
        <w:t>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exposure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likelihood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maintenance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</w:p>
    <w:p w14:paraId="3D4B1743" w14:textId="77777777" w:rsidR="00221BA4" w:rsidRPr="009A2775" w:rsidRDefault="00221BA4">
      <w:pPr>
        <w:spacing w:line="360" w:lineRule="auto"/>
        <w:jc w:val="both"/>
        <w:rPr>
          <w:rFonts w:ascii="Book Antiqua" w:hAnsi="Book Antiqua" w:cs="Book Antiqua"/>
        </w:rPr>
        <w:sectPr w:rsidR="00221BA4" w:rsidRPr="009A2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4DEFE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71439E4" w14:textId="04C83FDB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monoclonal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antibody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against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necrosis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alpha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(anti-TNF).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effective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induction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maintenance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treatment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multiple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immune-mediated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disorders,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bowel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(IBD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)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Australia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countries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worldwide,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accessibility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indications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alongside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accelerated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shorter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intervals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regain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achieve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remission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certain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subtypes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Hence</w:t>
      </w:r>
      <w:r w:rsidR="00C23A5E"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despite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growing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number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options,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subcutaneously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still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years.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maintenance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agents)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often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prescribed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long-term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basis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Allocation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funding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resource-intensive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always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priority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administrators,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traditional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typically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focussed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acute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continual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pressure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already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capacity.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Additionally,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treatment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expensive,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suggesting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approximately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9%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12%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treatment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6DFDC56E" w14:textId="26CB416B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effort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address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capacity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issues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shortening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solution.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typically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30-60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835DD0" w:rsidRPr="009A2775">
        <w:rPr>
          <w:rFonts w:ascii="Book Antiqua" w:eastAsia="Book Antiqua" w:hAnsi="Book Antiqua" w:cs="Book Antiqua"/>
          <w:color w:val="000000"/>
        </w:rPr>
        <w:t>min</w:t>
      </w:r>
      <w:r w:rsidRPr="009A2775">
        <w:rPr>
          <w:rFonts w:ascii="Book Antiqua" w:eastAsia="Book Antiqua" w:hAnsi="Book Antiqua" w:cs="Book Antiqua"/>
          <w:color w:val="000000"/>
        </w:rPr>
        <w:t>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identified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indications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capacity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plus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apparently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improve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[9,11]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Despite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exponential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growth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various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chronic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improving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efficiencies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appear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sufficient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still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imperative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explore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alternatives.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3B8BF27D" w14:textId="64E407EB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therefore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logical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extension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infusion-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appealing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providers.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demonstrated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cost-saving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jurisdictions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worldwide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However,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challenge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anaphylaxis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anaphylactoid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dilute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refrigerate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two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hours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required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observation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period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thereafter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problems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overcome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allow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example,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initial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completed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monitor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subsequent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currently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undertaken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approach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comprehensively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Therefore,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aimed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manner,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assessing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efficiency,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savings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process</w:t>
      </w:r>
      <w:r w:rsidR="00C965D3" w:rsidRPr="009A2775">
        <w:rPr>
          <w:rFonts w:ascii="Book Antiqua" w:eastAsia="Book Antiqua" w:hAnsi="Book Antiqua" w:cs="Book Antiqua"/>
          <w:color w:val="000000"/>
        </w:rPr>
        <w:t>.</w:t>
      </w:r>
    </w:p>
    <w:p w14:paraId="02E2840C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6F083A5" w14:textId="7CD1ECFB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21BA4"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21BA4"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3F72F22" w14:textId="5AC5F9FC" w:rsidR="007F7AD4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collection</w:t>
      </w:r>
    </w:p>
    <w:p w14:paraId="0CD7DBD5" w14:textId="7AF0B9E3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consecutive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confirmed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attending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two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Australian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tertiary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bowel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12-year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period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January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2005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March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prescribed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commenced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identified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database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pharmacy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dispensing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records,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prospectively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followed.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example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acute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colitis)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underwent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kilogram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weight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induction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week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followed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maintenance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dosing/dosage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interval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treating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clinician’s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discretion,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predominantly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address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secondary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response.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501941DC" w14:textId="11467839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baseline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demographic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distribution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complications,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therapeutic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adverse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(ADRs)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administration,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extracted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records.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graded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retrospectively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according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Toxicity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Criteria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(CTC)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version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2.0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CTC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score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1-2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graded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arbitrarily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defined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‘mild’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3-4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‘severe’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respectively.</w:t>
      </w:r>
    </w:p>
    <w:p w14:paraId="577ED702" w14:textId="77777777" w:rsidR="00221BA4" w:rsidRPr="009A2775" w:rsidRDefault="00221BA4" w:rsidP="00221BA4">
      <w:pPr>
        <w:spacing w:line="360" w:lineRule="auto"/>
        <w:jc w:val="both"/>
        <w:rPr>
          <w:rFonts w:ascii="Book Antiqua" w:hAnsi="Book Antiqua" w:cs="Book Antiqua"/>
        </w:rPr>
      </w:pPr>
    </w:p>
    <w:p w14:paraId="740079B3" w14:textId="25F55E96" w:rsidR="006767EC" w:rsidRPr="009A2775" w:rsidRDefault="00B416D1">
      <w:pPr>
        <w:spacing w:line="360" w:lineRule="auto"/>
        <w:ind w:firstLineChars="100" w:firstLine="241"/>
        <w:jc w:val="both"/>
        <w:rPr>
          <w:rFonts w:ascii="Book Antiqua" w:eastAsia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</w:rPr>
        <w:t>Inclusion</w:t>
      </w:r>
      <w:r w:rsidR="00221BA4" w:rsidRPr="009A2775">
        <w:rPr>
          <w:rFonts w:ascii="Book Antiqua" w:eastAsia="Book Antiqua" w:hAnsi="Book Antiqua" w:cs="Book Antiqua"/>
          <w:b/>
          <w:bCs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</w:rPr>
        <w:t>criteria:</w:t>
      </w:r>
      <w:r w:rsidR="00221BA4" w:rsidRPr="009A2775">
        <w:rPr>
          <w:rFonts w:ascii="Book Antiqua" w:eastAsia="Book Antiqua" w:hAnsi="Book Antiqua" w:cs="Book Antiqua"/>
          <w:b/>
          <w:bCs/>
        </w:rPr>
        <w:t xml:space="preserve"> </w:t>
      </w:r>
      <w:r w:rsidRPr="009A2775">
        <w:rPr>
          <w:rFonts w:ascii="Book Antiqua" w:eastAsia="Book Antiqua" w:hAnsi="Book Antiqua" w:cs="Book Antiqua"/>
        </w:rPr>
        <w:t>(1)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  <w:caps/>
        </w:rPr>
        <w:t>a</w:t>
      </w:r>
      <w:r w:rsidRPr="009A2775">
        <w:rPr>
          <w:rFonts w:ascii="Book Antiqua" w:eastAsia="Book Antiqua" w:hAnsi="Book Antiqua" w:cs="Book Antiqua"/>
        </w:rPr>
        <w:t>ged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18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and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above</w:t>
      </w:r>
      <w:r w:rsidR="007F7AD4" w:rsidRPr="009A2775">
        <w:rPr>
          <w:rFonts w:ascii="Book Antiqua" w:eastAsia="Book Antiqua" w:hAnsi="Book Antiqua" w:cs="Book Antiqua"/>
        </w:rPr>
        <w:t>;</w:t>
      </w:r>
      <w:r w:rsidR="00221BA4" w:rsidRPr="009A2775">
        <w:rPr>
          <w:rFonts w:ascii="Book Antiqua" w:eastAsia="Book Antiqua" w:hAnsi="Book Antiqua" w:cs="Book Antiqua"/>
        </w:rPr>
        <w:t xml:space="preserve"> and </w:t>
      </w:r>
      <w:r w:rsidRPr="009A2775">
        <w:rPr>
          <w:rFonts w:ascii="Book Antiqua" w:eastAsia="Book Antiqua" w:hAnsi="Book Antiqua" w:cs="Book Antiqua"/>
        </w:rPr>
        <w:t>(2)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  <w:caps/>
        </w:rPr>
        <w:t>r</w:t>
      </w:r>
      <w:r w:rsidRPr="009A2775">
        <w:rPr>
          <w:rFonts w:ascii="Book Antiqua" w:eastAsia="Book Antiqua" w:hAnsi="Book Antiqua" w:cs="Book Antiqua"/>
        </w:rPr>
        <w:t>eceived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maintenance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therapy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infliximab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between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January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2005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and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March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2017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for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an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IBD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indication</w:t>
      </w:r>
      <w:r w:rsidR="007F7AD4" w:rsidRPr="009A2775">
        <w:rPr>
          <w:rFonts w:ascii="Book Antiqua" w:eastAsia="Book Antiqua" w:hAnsi="Book Antiqua" w:cs="Book Antiqua"/>
        </w:rPr>
        <w:t>.</w:t>
      </w:r>
    </w:p>
    <w:p w14:paraId="1914942F" w14:textId="77777777" w:rsidR="00221BA4" w:rsidRPr="009A2775" w:rsidRDefault="00221BA4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</w:p>
    <w:p w14:paraId="5149ADA1" w14:textId="5D3DAAE7" w:rsidR="006767EC" w:rsidRPr="009A2775" w:rsidRDefault="00B416D1">
      <w:pPr>
        <w:spacing w:line="360" w:lineRule="auto"/>
        <w:ind w:firstLineChars="100" w:firstLine="241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</w:rPr>
        <w:t>Exclusion</w:t>
      </w:r>
      <w:r w:rsidR="00221BA4" w:rsidRPr="009A2775">
        <w:rPr>
          <w:rFonts w:ascii="Book Antiqua" w:eastAsia="Book Antiqua" w:hAnsi="Book Antiqua" w:cs="Book Antiqua"/>
          <w:b/>
          <w:bCs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</w:rPr>
        <w:t>criteria</w:t>
      </w:r>
      <w:r w:rsidR="007F7AD4" w:rsidRPr="009A2775">
        <w:rPr>
          <w:rFonts w:ascii="Book Antiqua" w:eastAsia="Book Antiqua" w:hAnsi="Book Antiqua" w:cs="Book Antiqua"/>
          <w:b/>
          <w:bCs/>
        </w:rPr>
        <w:t>:</w:t>
      </w:r>
      <w:r w:rsidR="00221BA4" w:rsidRPr="009A2775">
        <w:rPr>
          <w:rFonts w:ascii="Book Antiqua" w:eastAsia="Book Antiqua" w:hAnsi="Book Antiqua" w:cs="Book Antiqua"/>
          <w:b/>
          <w:bCs/>
        </w:rPr>
        <w:t xml:space="preserve"> </w:t>
      </w:r>
      <w:r w:rsidRPr="009A2775">
        <w:rPr>
          <w:rFonts w:ascii="Book Antiqua" w:eastAsia="Book Antiqua" w:hAnsi="Book Antiqua" w:cs="Book Antiqua"/>
        </w:rPr>
        <w:t>(1)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  <w:caps/>
        </w:rPr>
        <w:t>l</w:t>
      </w:r>
      <w:r w:rsidRPr="009A2775">
        <w:rPr>
          <w:rFonts w:ascii="Book Antiqua" w:eastAsia="Book Antiqua" w:hAnsi="Book Antiqua" w:cs="Book Antiqua"/>
        </w:rPr>
        <w:t>ess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than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age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18</w:t>
      </w:r>
      <w:r w:rsidR="007F7AD4" w:rsidRPr="009A2775">
        <w:rPr>
          <w:rFonts w:ascii="Book Antiqua" w:eastAsia="Book Antiqua" w:hAnsi="Book Antiqua" w:cs="Book Antiqua"/>
        </w:rPr>
        <w:t>;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(2)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  <w:caps/>
        </w:rPr>
        <w:t>r</w:t>
      </w:r>
      <w:r w:rsidRPr="009A2775">
        <w:rPr>
          <w:rFonts w:ascii="Book Antiqua" w:eastAsia="Book Antiqua" w:hAnsi="Book Antiqua" w:cs="Book Antiqua"/>
        </w:rPr>
        <w:t>eceived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infliximab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for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non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–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IBD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indication</w:t>
      </w:r>
      <w:r w:rsidR="007F7AD4" w:rsidRPr="009A2775">
        <w:rPr>
          <w:rFonts w:ascii="Book Antiqua" w:eastAsia="Book Antiqua" w:hAnsi="Book Antiqua" w:cs="Book Antiqua"/>
        </w:rPr>
        <w:t>;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="007F7AD4" w:rsidRPr="009A2775">
        <w:rPr>
          <w:rFonts w:ascii="Book Antiqua" w:eastAsia="Book Antiqua" w:hAnsi="Book Antiqua" w:cs="Book Antiqua"/>
        </w:rPr>
        <w:t>and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(3)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received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infliximab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as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an</w:t>
      </w:r>
      <w:r w:rsidR="00221BA4" w:rsidRPr="009A2775">
        <w:rPr>
          <w:rFonts w:ascii="Book Antiqua" w:eastAsia="Book Antiqua" w:hAnsi="Book Antiqua" w:cs="Book Antiqua"/>
        </w:rPr>
        <w:t xml:space="preserve"> </w:t>
      </w:r>
      <w:r w:rsidRPr="009A2775">
        <w:rPr>
          <w:rFonts w:ascii="Book Antiqua" w:eastAsia="Book Antiqua" w:hAnsi="Book Antiqua" w:cs="Book Antiqua"/>
        </w:rPr>
        <w:t>inpatient</w:t>
      </w:r>
      <w:r w:rsidR="007F7AD4" w:rsidRPr="009A2775">
        <w:rPr>
          <w:rFonts w:ascii="Book Antiqua" w:eastAsia="Book Antiqua" w:hAnsi="Book Antiqua" w:cs="Book Antiqua"/>
        </w:rPr>
        <w:t>.</w:t>
      </w:r>
    </w:p>
    <w:p w14:paraId="1296DF05" w14:textId="77777777" w:rsidR="006767EC" w:rsidRPr="009A2775" w:rsidRDefault="006767E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0F67B03" w14:textId="6A95F3B4" w:rsidR="00B44B1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outcome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measures</w:t>
      </w:r>
    </w:p>
    <w:p w14:paraId="4ADA04C5" w14:textId="513A6EF1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primary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outcome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measure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manufacturer’s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guidelines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reference,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(1)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;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(2)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service,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incidence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serious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adverse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events.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Secondary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outcomes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assessed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order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stratify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referral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</w:p>
    <w:p w14:paraId="28F5DBE0" w14:textId="437F201A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Initial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2-h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available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January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, </w:t>
      </w:r>
      <w:r w:rsidRPr="009A2775">
        <w:rPr>
          <w:rFonts w:ascii="Book Antiqua" w:eastAsia="Book Antiqua" w:hAnsi="Book Antiqua" w:cs="Book Antiqua"/>
          <w:color w:val="000000"/>
        </w:rPr>
        <w:t>2005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December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, </w:t>
      </w:r>
      <w:r w:rsidRPr="009A2775">
        <w:rPr>
          <w:rFonts w:ascii="Book Antiqua" w:eastAsia="Book Antiqua" w:hAnsi="Book Antiqua" w:cs="Book Antiqua"/>
          <w:color w:val="000000"/>
        </w:rPr>
        <w:t>2013,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inclusive.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available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January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, </w:t>
      </w:r>
      <w:r w:rsidRPr="009A2775">
        <w:rPr>
          <w:rFonts w:ascii="Book Antiqua" w:eastAsia="Book Antiqua" w:hAnsi="Book Antiqua" w:cs="Book Antiqua"/>
          <w:color w:val="000000"/>
        </w:rPr>
        <w:t>2014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March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, </w:t>
      </w:r>
      <w:r w:rsidRPr="009A2775">
        <w:rPr>
          <w:rFonts w:ascii="Book Antiqua" w:eastAsia="Book Antiqua" w:hAnsi="Book Antiqua" w:cs="Book Antiqua"/>
          <w:color w:val="000000"/>
        </w:rPr>
        <w:t>2017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inclusive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available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October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, </w:t>
      </w:r>
      <w:r w:rsidRPr="009A2775">
        <w:rPr>
          <w:rFonts w:ascii="Book Antiqua" w:eastAsia="Book Antiqua" w:hAnsi="Book Antiqua" w:cs="Book Antiqua"/>
          <w:color w:val="000000"/>
        </w:rPr>
        <w:t>2017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December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, </w:t>
      </w:r>
      <w:r w:rsidRPr="009A2775">
        <w:rPr>
          <w:rFonts w:ascii="Book Antiqua" w:eastAsia="Book Antiqua" w:hAnsi="Book Antiqua" w:cs="Book Antiqua"/>
          <w:color w:val="000000"/>
        </w:rPr>
        <w:t>2019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inclusive.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case,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collected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spent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groups.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7B00DFD6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B980F2C" w14:textId="3285240A" w:rsidR="00B44B1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38B03B2" w14:textId="7EFF55E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Moreover,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comprising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infusion-related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consumables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unit),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measured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cannula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insertion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patient’s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nurse’s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setting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accurately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recorded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records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47198F1E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A94485E" w14:textId="49B18590" w:rsidR="00B44B1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productivity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relating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rapid/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infusions</w:t>
      </w:r>
    </w:p>
    <w:p w14:paraId="65A90926" w14:textId="6D1C25A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asked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complete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comprising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items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assessing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regarding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settings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(see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Appendix).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items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customised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feedback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qualitative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interviews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subgroup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investigators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DvL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QaR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suitable,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validated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surveys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found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literature.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Responses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item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recorded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across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numerical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scale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(most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negative)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(most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positive)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denoted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neutral.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Furthermore,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Questionnaire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sIBDQ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measure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concurrent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health-related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quality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Productivity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(WPAI-IBD)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examine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perceived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(including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home-based)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domains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cut-off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Swart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C1D5C" w:rsidRPr="009A277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C1D5C" w:rsidRPr="009A277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="008C1D5C" w:rsidRPr="009A2775">
        <w:rPr>
          <w:rFonts w:ascii="Book Antiqua" w:eastAsiaTheme="minorEastAsia" w:hAnsi="Book Antiqua" w:cs="Book Antiqua"/>
          <w:color w:val="000000"/>
          <w:shd w:val="clear" w:color="auto" w:fill="FFFFFF"/>
          <w:vertAlign w:val="superscript"/>
          <w:lang w:eastAsia="zh-CN"/>
        </w:rPr>
        <w:t>]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sIBDQ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55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(total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70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life)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deemed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represent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‘satisfactory/normal</w:t>
      </w:r>
      <w:r w:rsidR="00B44B1C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’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[19,20]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productivity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(expressed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percentage,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loss/impairment)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WPAI-IBD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Reilly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surveys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seven-day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  <w:shd w:val="clear" w:color="auto" w:fill="FFFFFF"/>
        </w:rPr>
        <w:t>infusion.</w:t>
      </w:r>
    </w:p>
    <w:p w14:paraId="20D0F031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A9B452C" w14:textId="5151F9FF" w:rsidR="00B44B1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protocols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used</w:t>
      </w:r>
    </w:p>
    <w:p w14:paraId="01B95366" w14:textId="1EAE6B56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applied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shown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Figure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underwent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first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2-h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progressed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‘accelerated’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1-h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4-6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adverse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7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onwards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‘rapid’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thereafter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assuming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immediately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according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graded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mild-moderate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subsequent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re-trial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tolerated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pre-medication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regimen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intravenous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hydrocortisone,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cetirizine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paracetamol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first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three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immediately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staff’s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discretion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3DC11C30" w14:textId="52CB08F8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A2775">
        <w:rPr>
          <w:rFonts w:ascii="Book Antiqua" w:eastAsia="Book Antiqua" w:hAnsi="Book Antiqua" w:cs="Book Antiqua"/>
          <w:color w:val="000000"/>
        </w:rPr>
        <w:t>Subsequently,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tolerated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least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three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without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offered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opportunity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known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psychiatric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comorbidities,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unsafe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70977" w:rsidRPr="009A2775">
        <w:rPr>
          <w:rFonts w:ascii="Book Antiqua" w:eastAsiaTheme="minorEastAsia" w:hAnsi="Book Antiqua" w:cs="Book Antiqua"/>
          <w:i/>
          <w:iCs/>
          <w:color w:val="000000"/>
          <w:lang w:eastAsia="zh-CN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visiting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itinerant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conditions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adherence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clinic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visits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deemed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unsuitable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candidates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offered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option.</w:t>
      </w:r>
    </w:p>
    <w:p w14:paraId="346336C1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D38685F" w14:textId="48F3A36B" w:rsidR="00B44B1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Ethics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approval</w:t>
      </w:r>
    </w:p>
    <w:p w14:paraId="5808F1AE" w14:textId="11E00A1D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Eastern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Human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aps/>
          <w:color w:val="000000"/>
        </w:rPr>
        <w:t>e</w:t>
      </w:r>
      <w:r w:rsidRPr="009A2775">
        <w:rPr>
          <w:rFonts w:ascii="Book Antiqua" w:eastAsia="Book Antiqua" w:hAnsi="Book Antiqua" w:cs="Book Antiqua"/>
          <w:color w:val="000000"/>
        </w:rPr>
        <w:t>thics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aps/>
          <w:color w:val="000000"/>
        </w:rPr>
        <w:t>c</w:t>
      </w:r>
      <w:r w:rsidRPr="009A2775">
        <w:rPr>
          <w:rFonts w:ascii="Book Antiqua" w:eastAsia="Book Antiqua" w:hAnsi="Book Antiqua" w:cs="Book Antiqua"/>
          <w:color w:val="000000"/>
        </w:rPr>
        <w:t>ommittee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low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audit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(LR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64/2017),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deemed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required.</w:t>
      </w:r>
    </w:p>
    <w:p w14:paraId="6A2C9300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B104B54" w14:textId="5D1448FC" w:rsidR="00B44B1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221BA4" w:rsidRPr="009A277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B26B7AC" w14:textId="532C8BA3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Comparisons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groups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non-parametric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statistics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(assuming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non-normal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distributions)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medians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(ranges)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presented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Mann-Whitney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tests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calculated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appropriate.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Proportions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expressed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percentages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Fisher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exact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tests,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(RR)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reactions/ADRs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presented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patient.</w:t>
      </w:r>
    </w:p>
    <w:p w14:paraId="27611961" w14:textId="26E44292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order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determine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occurrence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reaction(s)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infusion(s),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[expressed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odds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ratios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(OR)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categorical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variables,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95%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confidence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intervals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displayed]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performed.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multivariable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logistic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regression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conducted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occurrence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reaction(s)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dependent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variable.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Multiple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exploratory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initially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undertaken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entry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always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chosen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effect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size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goodness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variables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trending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multivariable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plus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putatively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important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131E8C" w:rsidRPr="009A2775">
        <w:rPr>
          <w:rFonts w:ascii="Book Antiqua" w:hAnsi="Book Antiqua" w:cs="Book Antiqua"/>
        </w:rPr>
        <w:t>body</w:t>
      </w:r>
      <w:r w:rsidR="00221BA4" w:rsidRPr="009A2775">
        <w:rPr>
          <w:rFonts w:ascii="Book Antiqua" w:hAnsi="Book Antiqua" w:cs="Book Antiqua"/>
        </w:rPr>
        <w:t xml:space="preserve"> </w:t>
      </w:r>
      <w:r w:rsidR="00131E8C" w:rsidRPr="009A2775">
        <w:rPr>
          <w:rFonts w:ascii="Book Antiqua" w:hAnsi="Book Antiqua" w:cs="Book Antiqua"/>
        </w:rPr>
        <w:t>mass</w:t>
      </w:r>
      <w:r w:rsidR="00221BA4" w:rsidRPr="009A2775">
        <w:rPr>
          <w:rFonts w:ascii="Book Antiqua" w:hAnsi="Book Antiqua" w:cs="Book Antiqua"/>
        </w:rPr>
        <w:t xml:space="preserve"> </w:t>
      </w:r>
      <w:r w:rsidR="00131E8C" w:rsidRPr="009A2775">
        <w:rPr>
          <w:rFonts w:ascii="Book Antiqua" w:hAnsi="Book Antiqua" w:cs="Book Antiqua"/>
        </w:rPr>
        <w:t>index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131E8C"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color w:val="000000"/>
        </w:rPr>
        <w:t>BMI</w:t>
      </w:r>
      <w:r w:rsidR="00131E8C" w:rsidRPr="009A2775">
        <w:rPr>
          <w:rFonts w:ascii="Book Antiqua" w:eastAsia="Book Antiqua" w:hAnsi="Book Antiqua" w:cs="Book Antiqua"/>
          <w:color w:val="000000"/>
        </w:rPr>
        <w:t>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dichotomised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cut-off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kg/m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representing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lowest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quartile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exerting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minimal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effect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size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values)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value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deemed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statistically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throughout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53175430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10586E3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1476F4" w14:textId="69CA33E0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</w:p>
    <w:p w14:paraId="082422DF" w14:textId="0363386D" w:rsidR="006767E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comprised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169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2214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8-year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period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(2006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2013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inclusive)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comprised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129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1461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4-year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period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(2014-2017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inclusive).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405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2.2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years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(October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December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2019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inclusive).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baseline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characteristics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represented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1.</w:t>
      </w:r>
    </w:p>
    <w:p w14:paraId="76F0B16B" w14:textId="77777777" w:rsidR="0066335B" w:rsidRPr="009A2775" w:rsidRDefault="0066335B">
      <w:pPr>
        <w:spacing w:line="360" w:lineRule="auto"/>
        <w:jc w:val="both"/>
        <w:rPr>
          <w:rFonts w:ascii="Book Antiqua" w:hAnsi="Book Antiqua" w:cs="Book Antiqua"/>
        </w:rPr>
      </w:pPr>
    </w:p>
    <w:p w14:paraId="40859F56" w14:textId="21348661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rechallenges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14F2A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tandard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14F2A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apid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cohorts</w:t>
      </w:r>
    </w:p>
    <w:p w14:paraId="613E7849" w14:textId="6B17AB3C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experienced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directly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infusion(s),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graded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according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CTC.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rechallenged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tolerated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subsequent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premedications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AB2FC4" w:rsidRPr="009A2775">
        <w:rPr>
          <w:rFonts w:ascii="Book Antiqua" w:eastAsia="Book Antiqua" w:hAnsi="Book Antiqua" w:cs="Book Antiqua"/>
          <w:color w:val="000000"/>
        </w:rPr>
        <w:t>Seven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rechallenged.</w:t>
      </w:r>
    </w:p>
    <w:p w14:paraId="349984C0" w14:textId="164627C5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experienced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(8/8)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CTC.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rechallenged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concurrent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premedications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tolerated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subsequent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infusion;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returned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two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remained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accelerated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returned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eight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described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documented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</w:p>
    <w:p w14:paraId="008699BD" w14:textId="40D3641C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Hence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(RR)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0.8%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0.7%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0.2%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respectively.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10.7%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7.8%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3.0%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respectively,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shown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66335B" w:rsidRPr="009A2775">
        <w:rPr>
          <w:rFonts w:ascii="Book Antiqua" w:eastAsia="Book Antiqua" w:hAnsi="Book Antiqua" w:cs="Book Antiqua"/>
          <w:color w:val="000000"/>
        </w:rPr>
        <w:t>2</w:t>
      </w:r>
      <w:r w:rsidRPr="009A2775">
        <w:rPr>
          <w:rFonts w:ascii="Book Antiqua" w:eastAsia="Book Antiqua" w:hAnsi="Book Antiqua" w:cs="Book Antiqua"/>
          <w:color w:val="000000"/>
        </w:rPr>
        <w:t>.</w:t>
      </w:r>
    </w:p>
    <w:p w14:paraId="46C48EEC" w14:textId="58C3F606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A2775">
        <w:rPr>
          <w:rFonts w:ascii="Book Antiqua" w:eastAsia="Book Antiqua" w:hAnsi="Book Antiqua" w:cs="Book Antiqua"/>
          <w:color w:val="000000"/>
        </w:rPr>
        <w:t>Moreover,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greater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likelihood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(mild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3.0,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95%CI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(1.2,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7.7),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=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0.02.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commencement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first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(0,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1401)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637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(45,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2122)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respectively.</w:t>
      </w:r>
    </w:p>
    <w:p w14:paraId="7B602337" w14:textId="77777777" w:rsidR="0066335B" w:rsidRPr="009A2775" w:rsidRDefault="0066335B" w:rsidP="0066335B">
      <w:pPr>
        <w:spacing w:line="360" w:lineRule="auto"/>
        <w:jc w:val="both"/>
        <w:rPr>
          <w:rFonts w:ascii="Book Antiqua" w:hAnsi="Book Antiqua" w:cs="Book Antiqua"/>
        </w:rPr>
      </w:pPr>
    </w:p>
    <w:p w14:paraId="4402D1A4" w14:textId="6B8CF0A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</w:p>
    <w:p w14:paraId="3B315686" w14:textId="57AAD495" w:rsidR="006767E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logistic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regression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three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found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0.05)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trending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(0.05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≤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≤</w:t>
      </w:r>
      <w:r w:rsidR="00221BA4" w:rsidRPr="009A277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0.15)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occurrence(s)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ADR/s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multivariable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logistic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regression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shown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summary,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BMI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(&lt;</w:t>
      </w:r>
      <w:r w:rsidR="00221BA4" w:rsidRPr="009A277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kg/m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A2775">
        <w:rPr>
          <w:rFonts w:ascii="Book Antiqua" w:eastAsia="Book Antiqua" w:hAnsi="Book Antiqua" w:cs="Book Antiqua"/>
          <w:color w:val="000000"/>
        </w:rPr>
        <w:t>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history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extra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intestinal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manifestations,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longer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(&gt;</w:t>
      </w:r>
      <w:r w:rsidR="00221BA4" w:rsidRPr="009A277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year</w:t>
      </w:r>
      <w:r w:rsidR="00D43612" w:rsidRPr="009A2775">
        <w:rPr>
          <w:rFonts w:ascii="Book Antiqua" w:eastAsia="Book Antiqua" w:hAnsi="Book Antiqua" w:cs="Book Antiqua"/>
          <w:color w:val="000000"/>
        </w:rPr>
        <w:t>s</w:t>
      </w:r>
      <w:r w:rsidRPr="009A2775">
        <w:rPr>
          <w:rFonts w:ascii="Book Antiqua" w:eastAsia="Book Antiqua" w:hAnsi="Book Antiqua" w:cs="Book Antiqua"/>
          <w:color w:val="000000"/>
        </w:rPr>
        <w:t>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exposure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independently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likelihood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reaction(s)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(each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宋体" w:hAnsi="Book Antiqua" w:cs="Book Antiqua"/>
          <w:i/>
          <w:iCs/>
          <w:color w:val="000000"/>
          <w:lang w:eastAsia="zh-CN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&lt;</w:t>
      </w:r>
      <w:r w:rsidR="00221BA4" w:rsidRPr="009A2775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0.05).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non-significant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episodic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break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maintenance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dosing.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6ED11344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5DD0792" w14:textId="35A5ED5B" w:rsidR="006767EC" w:rsidRPr="009A2775" w:rsidRDefault="00D43612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time/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productivity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tandard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apid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cohort)</w:t>
      </w:r>
    </w:p>
    <w:p w14:paraId="6B784D38" w14:textId="546E255B" w:rsidR="006767E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2775">
        <w:rPr>
          <w:rFonts w:ascii="Book Antiqua" w:eastAsia="Book Antiqua" w:hAnsi="Book Antiqua" w:cs="Book Antiqua"/>
          <w:color w:val="000000"/>
        </w:rPr>
        <w:t>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group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[108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(70,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253)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(33,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90)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0.001]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66335B" w:rsidRPr="009A2775">
        <w:rPr>
          <w:rFonts w:ascii="Book Antiqua" w:eastAsia="Book Antiqua" w:hAnsi="Book Antiqua" w:cs="Book Antiqua"/>
          <w:color w:val="000000"/>
        </w:rPr>
        <w:t>(</w:t>
      </w:r>
      <w:r w:rsidR="0066335B" w:rsidRPr="009A2775">
        <w:rPr>
          <w:rFonts w:ascii="Book Antiqua" w:eastAsia="Book Antiqua" w:hAnsi="Book Antiqua" w:cs="Book Antiqua"/>
          <w:caps/>
          <w:color w:val="000000"/>
        </w:rPr>
        <w:t>f</w:t>
      </w:r>
      <w:r w:rsidR="0066335B" w:rsidRPr="009A2775">
        <w:rPr>
          <w:rFonts w:ascii="Book Antiqua" w:eastAsia="Book Antiqua" w:hAnsi="Book Antiqua" w:cs="Book Antiqua"/>
          <w:color w:val="000000"/>
        </w:rPr>
        <w:t>igure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66335B" w:rsidRPr="009A2775">
        <w:rPr>
          <w:rFonts w:ascii="Book Antiqua" w:eastAsia="Book Antiqua" w:hAnsi="Book Antiqua" w:cs="Book Antiqua"/>
          <w:color w:val="000000"/>
        </w:rPr>
        <w:t>2)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local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consumables,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equated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chair)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$AUD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49.80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$107.50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0.001).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inception,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$AUD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84344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54%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reduction)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across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follow-up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period.</w:t>
      </w:r>
    </w:p>
    <w:p w14:paraId="01374DBE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1AE10D2" w14:textId="38C8931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Transition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infusions: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DC814DE" w14:textId="35AD215F" w:rsidR="006767EC" w:rsidRPr="009A2775" w:rsidRDefault="00C23380" w:rsidP="00C23380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baseline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characteristics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centrecohorts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represented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32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transitioned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having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least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three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hospital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16D1"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history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reaction/s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total,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405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had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hitherto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been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service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end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follow-up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period,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(0%)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reported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ADRs.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Six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subsequently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withdrew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service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personal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choice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=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3),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change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different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=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2)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death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(</w:t>
      </w:r>
      <w:r w:rsidR="00B416D1" w:rsidRPr="009A2775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=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1,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unrelated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9A2775">
        <w:rPr>
          <w:rFonts w:ascii="Book Antiqua" w:eastAsia="Book Antiqua" w:hAnsi="Book Antiqua" w:cs="Book Antiqua"/>
          <w:color w:val="000000"/>
        </w:rPr>
        <w:t>therapies).</w:t>
      </w:r>
    </w:p>
    <w:p w14:paraId="0FD56005" w14:textId="209BED00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Moreover,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difference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[median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(33,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90)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(31,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90)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respectively,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=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0.21]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C23380" w:rsidRPr="009A2775">
        <w:rPr>
          <w:rFonts w:ascii="Book Antiqua" w:eastAsia="Book Antiqua" w:hAnsi="Book Antiqua" w:cs="Book Antiqua"/>
          <w:color w:val="000000"/>
        </w:rPr>
        <w:t>(</w:t>
      </w:r>
      <w:r w:rsidR="00C23380" w:rsidRPr="009A2775">
        <w:rPr>
          <w:rFonts w:ascii="Book Antiqua" w:eastAsia="Book Antiqua" w:hAnsi="Book Antiqua" w:cs="Book Antiqua"/>
          <w:caps/>
          <w:color w:val="000000"/>
        </w:rPr>
        <w:t>f</w:t>
      </w:r>
      <w:r w:rsidR="00C23380" w:rsidRPr="009A2775">
        <w:rPr>
          <w:rFonts w:ascii="Book Antiqua" w:eastAsia="Book Antiqua" w:hAnsi="Book Antiqua" w:cs="Book Antiqua"/>
          <w:color w:val="000000"/>
        </w:rPr>
        <w:t>igure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C23380" w:rsidRPr="009A2775">
        <w:rPr>
          <w:rFonts w:ascii="Book Antiqua" w:eastAsia="Book Antiqua" w:hAnsi="Book Antiqua" w:cs="Book Antiqua"/>
          <w:color w:val="000000"/>
        </w:rPr>
        <w:t>2)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turn,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similar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(incorporating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consumables)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groups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$49.80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$39.20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=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0.20).</w:t>
      </w:r>
    </w:p>
    <w:p w14:paraId="07D14B5A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34483A1" w14:textId="39845FD6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infusions: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>d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ata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67A7959" w14:textId="4D8974A4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service,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(97%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response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completed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described.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clinical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remission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CDAI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150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sIBDQ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score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responders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55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(33,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65)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57%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scoring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‘normal’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QoL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range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Swart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21BA4" w:rsidRPr="009A27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9A2775">
        <w:rPr>
          <w:rFonts w:ascii="Book Antiqua" w:eastAsia="Book Antiqua" w:hAnsi="Book Antiqua" w:cs="Book Antiqua"/>
          <w:color w:val="000000"/>
        </w:rPr>
        <w:t>.</w:t>
      </w:r>
    </w:p>
    <w:p w14:paraId="538E3E93" w14:textId="60322DC5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Only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(6.4%)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reported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negative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impact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quality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overall.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(100%)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preferred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(54.8%)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specifically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enhanced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convenience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55E14" w:rsidRPr="009A2775">
        <w:rPr>
          <w:rFonts w:ascii="Book Antiqua" w:eastAsia="Book Antiqua" w:hAnsi="Book Antiqua" w:cs="Book Antiqua"/>
          <w:color w:val="000000"/>
        </w:rPr>
        <w:t>(</w:t>
      </w:r>
      <w:r w:rsidR="00F55E14" w:rsidRPr="009A2775">
        <w:rPr>
          <w:rFonts w:ascii="Book Antiqua" w:eastAsia="Book Antiqua" w:hAnsi="Book Antiqua" w:cs="Book Antiqua"/>
          <w:caps/>
          <w:color w:val="000000"/>
        </w:rPr>
        <w:t>f</w:t>
      </w:r>
      <w:r w:rsidR="00F55E14" w:rsidRPr="009A2775">
        <w:rPr>
          <w:rFonts w:ascii="Book Antiqua" w:eastAsia="Book Antiqua" w:hAnsi="Book Antiqua" w:cs="Book Antiqua"/>
          <w:color w:val="000000"/>
        </w:rPr>
        <w:t>igure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55E14" w:rsidRPr="009A2775">
        <w:rPr>
          <w:rFonts w:ascii="Book Antiqua" w:eastAsia="Book Antiqua" w:hAnsi="Book Antiqua" w:cs="Book Antiqua"/>
          <w:color w:val="000000"/>
        </w:rPr>
        <w:t>3)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130365E5" w14:textId="18DFE3C8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lastRenderedPageBreak/>
        <w:t>14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responders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(45.2%)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disagreed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neutral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about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preference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19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(61.3%)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found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actually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inconvenient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55E14" w:rsidRPr="009A2775">
        <w:rPr>
          <w:rFonts w:ascii="Book Antiqua" w:eastAsia="Book Antiqua" w:hAnsi="Book Antiqua" w:cs="Book Antiqua"/>
          <w:color w:val="000000"/>
        </w:rPr>
        <w:t>(</w:t>
      </w:r>
      <w:r w:rsidR="00F55E14" w:rsidRPr="009A2775">
        <w:rPr>
          <w:rFonts w:ascii="Book Antiqua" w:eastAsia="Book Antiqua" w:hAnsi="Book Antiqua" w:cs="Book Antiqua"/>
          <w:caps/>
          <w:color w:val="000000"/>
        </w:rPr>
        <w:t>f</w:t>
      </w:r>
      <w:r w:rsidR="00F55E14" w:rsidRPr="009A2775">
        <w:rPr>
          <w:rFonts w:ascii="Book Antiqua" w:eastAsia="Book Antiqua" w:hAnsi="Book Antiqua" w:cs="Book Antiqua"/>
          <w:color w:val="000000"/>
        </w:rPr>
        <w:t>igure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F55E14" w:rsidRPr="009A2775">
        <w:rPr>
          <w:rFonts w:ascii="Book Antiqua" w:eastAsia="Book Antiqua" w:hAnsi="Book Antiqua" w:cs="Book Antiqua"/>
          <w:color w:val="000000"/>
        </w:rPr>
        <w:t>3)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0468C987" w14:textId="660ED0D7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A2775">
        <w:rPr>
          <w:rFonts w:ascii="Book Antiqua" w:eastAsia="Book Antiqua" w:hAnsi="Book Antiqua" w:cs="Book Antiqua"/>
          <w:color w:val="000000"/>
        </w:rPr>
        <w:t>Qualitatively,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reasons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lack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coordination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communication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unforeseen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delays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arrival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lack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B3141" w:rsidRPr="009A2775">
        <w:rPr>
          <w:rFonts w:ascii="Book Antiqua" w:eastAsia="Book Antiqua" w:hAnsi="Book Antiqua" w:cs="Book Antiqua"/>
          <w:i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illness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extra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demand)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certain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days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forcing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attend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parent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infusion(s),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lack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sufficiently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skilled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difficulties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obtaining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intravenous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prescribed.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Additionally,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reported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reluctance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‘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medicalise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family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members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(especially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children)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colleagues.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familiarity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camaraderie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enabled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attending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done,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years.</w:t>
      </w:r>
    </w:p>
    <w:p w14:paraId="2D7D5E26" w14:textId="77777777" w:rsidR="00F55E14" w:rsidRPr="009A2775" w:rsidRDefault="00F55E14">
      <w:pPr>
        <w:spacing w:line="360" w:lineRule="auto"/>
        <w:jc w:val="both"/>
        <w:rPr>
          <w:rFonts w:ascii="Book Antiqua" w:hAnsi="Book Antiqua" w:cs="Book Antiqua"/>
        </w:rPr>
      </w:pPr>
    </w:p>
    <w:p w14:paraId="22A30C2A" w14:textId="18CAC70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productivity/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survey</w:t>
      </w:r>
    </w:p>
    <w:p w14:paraId="641665AC" w14:textId="70AA471B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Responses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WPAI-IBD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showed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week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week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(range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36.7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(12.9%)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reporting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hours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week.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impairment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(incorporating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percentage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hours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missed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impairment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performance)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10.0%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(0,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81.0).</w:t>
      </w:r>
    </w:p>
    <w:p w14:paraId="4A475D16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ECAFA85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BF99EE0" w14:textId="0012CEA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demonstrated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2-h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Moreover,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applying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rational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stepwise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Figure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culminating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almost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1500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Furthermore,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7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undertake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re-trial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premedication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6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successfully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back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consistent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similar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previously</w:t>
      </w:r>
      <w:r w:rsidR="00D43612"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43612" w:rsidRPr="009A2775">
        <w:rPr>
          <w:rFonts w:ascii="Book Antiqua" w:eastAsia="Book Antiqua" w:hAnsi="Book Antiqua" w:cs="Book Antiqua"/>
          <w:color w:val="000000"/>
          <w:vertAlign w:val="superscript"/>
        </w:rPr>
        <w:t>9,21,22]</w:t>
      </w:r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critical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confidently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settings.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Otherwise,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without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stringent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reported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5%-10%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IBD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vertAlign w:val="superscript"/>
        </w:rPr>
        <w:t>15,23]</w:t>
      </w:r>
      <w:r w:rsidRPr="009A2775">
        <w:rPr>
          <w:rFonts w:ascii="Book Antiqua" w:eastAsia="Book Antiqua" w:hAnsi="Book Antiqua" w:cs="Book Antiqua"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view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adequate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assurance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Indeed,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experienced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adverse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centre’s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stepwise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introducing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7250DA0E" w14:textId="3A4C2828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addition,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first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elucidate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adverse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maintenance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enables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clinicians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mitigate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adverse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case-by-case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basis.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Although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initial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B3141" w:rsidRPr="009A2775">
        <w:rPr>
          <w:rFonts w:ascii="Book Antiqua" w:eastAsia="Book Antiqua" w:hAnsi="Book Antiqua" w:cs="Book Antiqua"/>
          <w:i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induction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episodic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dosing)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typically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attributable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allergic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massive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cytokine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pathways,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longer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term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postulated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primarily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development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immunogenicity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B3141" w:rsidRPr="009A2775">
        <w:rPr>
          <w:rFonts w:ascii="Book Antiqua" w:eastAsia="Book Antiqua" w:hAnsi="Book Antiqua" w:cs="Book Antiqua"/>
          <w:iCs/>
          <w:color w:val="000000"/>
        </w:rPr>
        <w:t>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antibodies)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Accordingly,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demonstrated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longer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(&gt;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year</w:t>
      </w:r>
      <w:r w:rsidR="00AB3141" w:rsidRPr="009A2775">
        <w:rPr>
          <w:rFonts w:ascii="Book Antiqua" w:eastAsia="Book Antiqua" w:hAnsi="Book Antiqua" w:cs="Book Antiqua"/>
          <w:color w:val="000000"/>
        </w:rPr>
        <w:t>s</w:t>
      </w:r>
      <w:r w:rsidRPr="009A2775">
        <w:rPr>
          <w:rFonts w:ascii="Book Antiqua" w:eastAsia="Book Antiqua" w:hAnsi="Book Antiqua" w:cs="Book Antiqua"/>
          <w:color w:val="000000"/>
        </w:rPr>
        <w:t>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reaction(s),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consistent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known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cumulative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incidence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antibodies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prospective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A2775">
        <w:rPr>
          <w:rFonts w:ascii="Book Antiqua" w:eastAsia="Book Antiqua" w:hAnsi="Book Antiqua" w:cs="Book Antiqua"/>
          <w:color w:val="000000"/>
        </w:rPr>
        <w:t>studies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A277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exposure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break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found,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least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univariate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reaction(s)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shown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elsewhere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Furthermore,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extraintestinal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manifestations,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suggestive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systemic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burden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turn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greater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propensity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immunogenicity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–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instance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alternate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cytokine-mediated,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immune-complex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complement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processes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–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appears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important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Although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non-significant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trend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protective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effect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concomitant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thiopurine/immunomodulator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presumably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negating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effect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antibody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development,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persist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multivariable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analysis.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Interestingly,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BMI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(&lt;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22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kg/m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A2775">
        <w:rPr>
          <w:rFonts w:ascii="Book Antiqua" w:eastAsia="Book Antiqua" w:hAnsi="Book Antiqua" w:cs="Book Antiqua"/>
          <w:color w:val="000000"/>
        </w:rPr>
        <w:t>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associated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reaction(s)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despite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publications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showing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clearance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anti-TNF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trough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levels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BMI</w:t>
      </w:r>
      <w:r w:rsidRPr="009A2775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However,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BMI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volume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distribution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trough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levels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greater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immunogenicity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acute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delayed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levels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anti-drug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antibodies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routinely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relationship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factors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needed.</w:t>
      </w:r>
    </w:p>
    <w:p w14:paraId="22CA2D65" w14:textId="661D53E9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key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benefits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30-min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enhanced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productivity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introduction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demonstrated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halving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departure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real-world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context,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attendant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54%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across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institutional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level,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enables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doubling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throughput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A2775">
        <w:rPr>
          <w:rFonts w:ascii="Book Antiqua" w:eastAsia="Book Antiqua" w:hAnsi="Book Antiqua" w:cs="Book Antiqua"/>
          <w:color w:val="000000"/>
        </w:rPr>
        <w:t>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societal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level,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additional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flow-on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benefits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parking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absence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and/or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family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commitments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through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improved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productivity.</w:t>
      </w:r>
    </w:p>
    <w:p w14:paraId="413C3B28" w14:textId="21DB9331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Given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increasing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array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intravenous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therapies,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chronic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leading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capacity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concerns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jurisdictions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worldwide,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logical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solution.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However,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ensure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economic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sustainability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service,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theoretically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conduct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least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3-4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8-h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shift,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allowing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travel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preparation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intravenous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access,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communication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slower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unlikely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cost-effective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cases.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demonstrated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sustainable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administration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setting,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subject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appropriate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selection.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Furthermore,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first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81%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satisfied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satisfied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addition,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responders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reported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minimal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impact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activities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WPAI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during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typical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week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3EB6419A" w14:textId="50E1988D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However,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revealed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unappreciated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caveats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implementation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patients’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perspective.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Almost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half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responders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neutral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disagreed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convenient,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anecdotally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reasons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unforeseen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delays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nurse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arrival,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variable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availability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administer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impacts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social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medicalising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unintended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consequences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challenges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model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therefore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warrant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evaluation.</w:t>
      </w:r>
    </w:p>
    <w:p w14:paraId="70FF8324" w14:textId="1F6BF470" w:rsidR="006767EC" w:rsidRPr="009A2775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several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limitations,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including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retrospective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nature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collection,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however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somewhat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mitigated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primarily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consistent,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homogeneous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single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population.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Although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sample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size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cohorts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large,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subgroup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small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selection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larger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scale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latter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required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future.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Furthermore,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given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large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period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across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collected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contemporary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practice,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putative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relationship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trough/antibody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levels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occurrence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reactions.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difference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psychiatric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disorders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groups.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unlikely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impact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does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reflect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differences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between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groups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captured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demographic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Prospective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validation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required.</w:t>
      </w:r>
    </w:p>
    <w:p w14:paraId="1556DFE3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0D7B8D8" w14:textId="77777777" w:rsidR="006767E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9A2775">
        <w:rPr>
          <w:rFonts w:ascii="Book Antiqua" w:eastAsia="Book Antiqua" w:hAnsi="Book Antiqua" w:cs="Book Antiqua"/>
          <w:b/>
          <w:bCs/>
          <w:color w:val="000000"/>
          <w:u w:val="single"/>
        </w:rPr>
        <w:t>CONCLUSION</w:t>
      </w:r>
    </w:p>
    <w:p w14:paraId="2EDB04D8" w14:textId="71E4964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conclusion,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comprehensively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outlines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approach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initial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protocols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through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careful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selection,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demonstrated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risk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negligible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reassuring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clinicians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healthcare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alike.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Whilst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significant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logistical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challenges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failsafe,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service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ongoing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especially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meeting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patient’s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needs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warranted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regard,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satisfied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service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convenience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therefore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defined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rigorous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framework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lastRenderedPageBreak/>
        <w:t>potentially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similar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2355AC29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8BA64A2" w14:textId="1E3BCCB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21BA4"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A277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1B3561F" w14:textId="7CDDE90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7FBB0BD" w14:textId="6D4E75ED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commonly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biologic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management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inflammatory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bowel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disease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(IBD).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development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biosimilars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medication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availability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usage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worldwide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seen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exponential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growth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therapeutic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indications.</w:t>
      </w:r>
    </w:p>
    <w:p w14:paraId="7DB81574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A1BF855" w14:textId="35239C92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E128BA7" w14:textId="1AC3B623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Previous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suggested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Despite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few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moved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="001C33BB" w:rsidRPr="009A2775">
        <w:rPr>
          <w:rFonts w:ascii="Book Antiqua" w:eastAsia="Book Antiqua" w:hAnsi="Book Antiqua" w:cs="Book Antiqua"/>
          <w:color w:val="000000"/>
        </w:rPr>
        <w:t>patient’s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remains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paucity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literature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demonstrating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benefit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compared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6884570A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80BFE83" w14:textId="679DE1AD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F2FC64D" w14:textId="4A98E20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primary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aims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evaluate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hospital-based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manner,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also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assessing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efficiency,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savings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process.</w:t>
      </w:r>
    </w:p>
    <w:p w14:paraId="26D7423A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B148523" w14:textId="057BC581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D444FEE" w14:textId="0CD25C2F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retrospective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conducted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across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two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tertiary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Australia.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pharmacy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prescribing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records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historic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databases,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12</w:t>
      </w:r>
      <w:r w:rsidR="006C0DA3" w:rsidRPr="009A2775">
        <w:rPr>
          <w:rFonts w:ascii="Book Antiqua" w:eastAsiaTheme="minorEastAsia" w:hAnsi="Book Antiqua" w:cs="Book Antiqua"/>
          <w:color w:val="000000"/>
          <w:lang w:eastAsia="zh-CN"/>
        </w:rPr>
        <w:t>-</w:t>
      </w:r>
      <w:r w:rsidRPr="009A2775">
        <w:rPr>
          <w:rFonts w:ascii="Book Antiqua" w:eastAsia="Book Antiqua" w:hAnsi="Book Antiqua" w:cs="Book Antiqua"/>
          <w:color w:val="000000"/>
        </w:rPr>
        <w:t>year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period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identified.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retrospectively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obtained.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prospectively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surveyed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productivity.</w:t>
      </w:r>
    </w:p>
    <w:p w14:paraId="50BB2A7D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759CCC3" w14:textId="65FF2DB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B111608" w14:textId="084EF321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reinforced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previous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findings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showing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IBD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minimal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side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effects.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Furthermore,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careful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selection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halving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time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spent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resulted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54%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found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highly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satisfying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were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neutral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about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receiving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home.</w:t>
      </w:r>
    </w:p>
    <w:p w14:paraId="2986E56F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71C9377" w14:textId="2A6C6E49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E520249" w14:textId="0D688C33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30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appeared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manner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could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process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ability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substantially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reduce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costs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related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viable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alternative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under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resourced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0B2EA45B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763F7E0" w14:textId="23122398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29046B" w14:textId="5AFE20A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under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supervision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trained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staff.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Our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framework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selectively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from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traditional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alternative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destinations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such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based.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further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therapies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could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potentially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transitioned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safety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delivered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convenience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patient.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2092C35F" w14:textId="77777777" w:rsidR="00742C98" w:rsidRPr="009A2775" w:rsidRDefault="00742C98">
      <w:pPr>
        <w:spacing w:line="360" w:lineRule="auto"/>
        <w:jc w:val="both"/>
        <w:rPr>
          <w:rFonts w:ascii="Book Antiqua" w:hAnsi="Book Antiqua" w:cs="Book Antiqua"/>
        </w:rPr>
      </w:pPr>
    </w:p>
    <w:p w14:paraId="4D9B77FA" w14:textId="0C908D8B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569C71" w14:textId="2E6CF11B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2" w:name="OLE_LINK1866"/>
      <w:bookmarkStart w:id="3" w:name="OLE_LINK1867"/>
      <w:r w:rsidRPr="009A2775">
        <w:rPr>
          <w:rFonts w:ascii="Book Antiqua" w:hAnsi="Book Antiqua" w:cs="Book Antiqua"/>
        </w:rPr>
        <w:t>1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Rutgeerts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PJ</w:t>
      </w:r>
      <w:r w:rsidRPr="009A2775">
        <w:rPr>
          <w:rFonts w:ascii="Book Antiqua" w:hAnsi="Book Antiqua" w:cs="Book Antiqua"/>
        </w:rPr>
        <w:t>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Review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article: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efficacy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disease--induction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maintenance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remission.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Aliment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Pharmacol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Ther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1999;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13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Cs/>
        </w:rPr>
        <w:t>Suppl</w:t>
      </w:r>
      <w:r w:rsidR="00221BA4" w:rsidRPr="009A2775">
        <w:rPr>
          <w:rFonts w:ascii="Book Antiqua" w:hAnsi="Book Antiqua" w:cs="Book Antiqua"/>
          <w:bCs/>
        </w:rPr>
        <w:t xml:space="preserve"> </w:t>
      </w:r>
      <w:r w:rsidRPr="009A2775">
        <w:rPr>
          <w:rFonts w:ascii="Book Antiqua" w:hAnsi="Book Antiqua" w:cs="Book Antiqua"/>
          <w:bCs/>
        </w:rPr>
        <w:t>4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9-15;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discussion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38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10597334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10.1046/j.1365-2036.1999.00025.x]</w:t>
      </w:r>
    </w:p>
    <w:p w14:paraId="75BC8718" w14:textId="24919193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Rutgeerts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P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Sandborn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WJ,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Feagan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BG,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Reinisch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Olson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Johanns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Travers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Rachmilewitz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Hanauer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SB,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Lichtenstein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Villiers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WJ,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Present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Sands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BE,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lastRenderedPageBreak/>
        <w:t>Colombel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JF.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induction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maintenance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therapy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ulcerative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colitis.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N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Engl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Med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2005;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353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2462-2476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16339095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10.1056/NEJMoa050516]</w:t>
      </w:r>
    </w:p>
    <w:p w14:paraId="5C97A113" w14:textId="0D342E9C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Smolen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JS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Emery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years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experience.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Arthritis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Res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Ther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2011;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13</w:t>
      </w:r>
      <w:r w:rsidR="00221BA4" w:rsidRPr="009A2775">
        <w:rPr>
          <w:rFonts w:ascii="Book Antiqua" w:hAnsi="Book Antiqua" w:cs="Book Antiqua"/>
          <w:b/>
        </w:rPr>
        <w:t xml:space="preserve"> </w:t>
      </w:r>
      <w:proofErr w:type="spellStart"/>
      <w:r w:rsidRPr="009A2775">
        <w:rPr>
          <w:rFonts w:ascii="Book Antiqua" w:hAnsi="Book Antiqua" w:cs="Book Antiqua"/>
          <w:bCs/>
        </w:rPr>
        <w:t>Suppl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Cs/>
        </w:rPr>
        <w:t>1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21624181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10.1186/1478-6354-13-S1-S2]</w:t>
      </w:r>
    </w:p>
    <w:p w14:paraId="400B2B65" w14:textId="20EAE5D5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4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Hendler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SA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Cohen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BL,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Colombel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JF,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Sands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Mayer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Agarwal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High-dose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therapy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clinical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experience,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safety,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efficacy.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Crohns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Colitis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2015;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9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266-275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25540149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10.1093/</w:t>
      </w:r>
      <w:proofErr w:type="spellStart"/>
      <w:r w:rsidRPr="009A2775">
        <w:rPr>
          <w:rFonts w:ascii="Book Antiqua" w:hAnsi="Book Antiqua" w:cs="Book Antiqua"/>
        </w:rPr>
        <w:t>ecco-jcc</w:t>
      </w:r>
      <w:proofErr w:type="spellEnd"/>
      <w:r w:rsidRPr="009A2775">
        <w:rPr>
          <w:rFonts w:ascii="Book Antiqua" w:hAnsi="Book Antiqua" w:cs="Book Antiqua"/>
        </w:rPr>
        <w:t>/jju026]</w:t>
      </w:r>
    </w:p>
    <w:p w14:paraId="078CA533" w14:textId="60E2805B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Gibson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DJ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Heetun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ZS,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Redmond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Nanda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Keegan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Byrne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Mulcahy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Cullen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Doherty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GA.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accelerated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induction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regimen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reduces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need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early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colectomy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acute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severe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ulcerative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colitis.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Clin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Gastroenterol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Hepatol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2015;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13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330-335.e1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25086187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10.1016/j.cgh.2014.07.041]</w:t>
      </w:r>
    </w:p>
    <w:p w14:paraId="39AA5165" w14:textId="344E33AB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6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Polman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CH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O'Connor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PW,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Havrdova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Hutchinson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Kappos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Miller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DH,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Phillips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JT,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Lublin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FD,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Giovannoni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Wajgt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Toal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Lynn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Panzara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Sandrock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AW;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AFFIRM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Investigators.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randomized,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placebo-controlled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trial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natalizumab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relapsing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multiple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sclerosis.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N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Engl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Med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2006;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354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899-910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16510744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10.1056/NEJMoa044397]</w:t>
      </w:r>
    </w:p>
    <w:p w14:paraId="56016E8D" w14:textId="6EB0FA2F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7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Jones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G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Sebba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Gu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Lowenstein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MB,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Calvo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Gomez-</w:t>
      </w:r>
      <w:proofErr w:type="spellStart"/>
      <w:r w:rsidRPr="009A2775">
        <w:rPr>
          <w:rFonts w:ascii="Book Antiqua" w:hAnsi="Book Antiqua" w:cs="Book Antiqua"/>
        </w:rPr>
        <w:t>Reino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JJ,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Siri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Tomsic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Alecock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Woodworth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Genovese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MC.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Comparison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tocilizumab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monotherapy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versus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methotrexate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monotherapy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moderate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severe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rheumatoid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arthritis: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AMBITION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study.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Ann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Rheum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Dis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2010;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69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88-96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19297346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10.1136/ard.2008.105197]</w:t>
      </w:r>
    </w:p>
    <w:p w14:paraId="0FFAEF6B" w14:textId="01390AF6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8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Sandborn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WJ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Feagan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BG,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Rutgeerts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Hanauer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Colombel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JF,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Sands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Lukas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Fedorak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RN,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Lee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Bressler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Fox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Rosario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Sankoh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Xu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Stephens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Milch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Parikh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GEMINI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Study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Group.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Vedolizumab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induction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maintenance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therapy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N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Engl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Med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2013;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369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711-721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23964933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10.1056/NEJMoa1215739]</w:t>
      </w:r>
    </w:p>
    <w:p w14:paraId="28BF8755" w14:textId="457C6C8C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9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Neef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HC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Riebschleger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MP,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Adler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Meta-analysis: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rapid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safe.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Aliment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Pharmacol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Ther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2013;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38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365-376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23815183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10.1111/apt.12389]</w:t>
      </w:r>
    </w:p>
    <w:p w14:paraId="56B788D7" w14:textId="27BE6A26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10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Saro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C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la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Coba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Casado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Morales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Otero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Resource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lastRenderedPageBreak/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treated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Aliment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Pharmacol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Ther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2007;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26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1313-1323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17850419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10.1111/j.1365-2036.2007.03507.x]</w:t>
      </w:r>
    </w:p>
    <w:p w14:paraId="5A098C73" w14:textId="0CCE9E56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11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Clare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DF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Alexander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FC,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Mike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Allan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Lisa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Peter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HJ.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Accelerated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safe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well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tolerated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inflammatory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bowel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Eur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Gastroenterol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Hepatol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2009;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21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71-75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19060632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10.1097/MEG.0b013e3283081afe]</w:t>
      </w:r>
    </w:p>
    <w:p w14:paraId="3B5E0AA5" w14:textId="6A0A4CC4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12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Kuin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S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Stolte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SB,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den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Brink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Ponsioen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CY,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Fockens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D'Haens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Löwenberg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Short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article: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Remicade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home: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alternative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setting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therapy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Eur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Gastroenterol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Hepatol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2016;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28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222-225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26566062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10.1097/MEG.0000000000000530]</w:t>
      </w:r>
    </w:p>
    <w:p w14:paraId="21CB20E1" w14:textId="00CF7768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Le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Masson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G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Solé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Desnuelle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Delmont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Gauthier-</w:t>
      </w:r>
      <w:proofErr w:type="spellStart"/>
      <w:r w:rsidRPr="009A2775">
        <w:rPr>
          <w:rFonts w:ascii="Book Antiqua" w:hAnsi="Book Antiqua" w:cs="Book Antiqua"/>
        </w:rPr>
        <w:t>Darnis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Puget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Durand-Zaleski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Home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versus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hospital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immunoglobulin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treatment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autoimmune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neuropathies: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cost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minimization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analysis.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Brain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Behav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2018;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8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e00923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29484273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10.1002/brb3.923]</w:t>
      </w:r>
    </w:p>
    <w:p w14:paraId="08B90F6A" w14:textId="7B99D5A3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14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Colombel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JF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Sandborn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WJ,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Reinisch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Mantzaris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GJ,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Kornbluth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Rachmilewitz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Lichtiger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D'Haens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Diamond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RH,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Broussard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Tang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der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Woude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CJ,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Rutgeerts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SONIC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Study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Group.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azathioprine,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combination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therapy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N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Engl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Med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2010;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362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1383-1395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20393175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10.1056/NEJMoa0904492]</w:t>
      </w:r>
    </w:p>
    <w:p w14:paraId="3E910769" w14:textId="61AB6A6E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15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Hanauer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SB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Feagan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BG,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Lichtenstein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Mayer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LF,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Schreiber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Colombel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JF,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Rachmilewitz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Wolf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DC,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Olson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Bao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Rutgeerts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ACCENT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Study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Group.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Maintenance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ACCENT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randomised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trial.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Lancet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2002;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359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1541-1549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12047962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10.1016/S0140-6736(02)08512-4]</w:t>
      </w:r>
    </w:p>
    <w:p w14:paraId="5CD61FEF" w14:textId="5D8290F3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16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Jannsen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Australia</w:t>
      </w:r>
      <w:r w:rsidRPr="009A2775">
        <w:rPr>
          <w:rFonts w:ascii="Book Antiqua" w:hAnsi="Book Antiqua" w:cs="Book Antiqua"/>
        </w:rPr>
        <w:t>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Remicade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Product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Information.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Johnson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Johnson,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2020</w:t>
      </w:r>
    </w:p>
    <w:p w14:paraId="1D93F708" w14:textId="17E7F5A6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17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European</w:t>
      </w:r>
      <w:r w:rsidR="00221BA4" w:rsidRPr="009A2775">
        <w:rPr>
          <w:rFonts w:ascii="Book Antiqua" w:hAnsi="Book Antiqua" w:cs="Book Antiqua"/>
          <w:b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Organisation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for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Research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and</w:t>
      </w:r>
      <w:r w:rsidR="00221BA4" w:rsidRPr="009A2775">
        <w:rPr>
          <w:rFonts w:ascii="Book Antiqua" w:hAnsi="Book Antiqua" w:cs="Book Antiqua"/>
          <w:b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Treatement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of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Cancer</w:t>
      </w:r>
      <w:r w:rsidRPr="009A2775">
        <w:rPr>
          <w:rFonts w:ascii="Book Antiqua" w:hAnsi="Book Antiqua" w:cs="Book Antiqua"/>
        </w:rPr>
        <w:t>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Common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Toxicity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Criteria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Version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2.0.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1999</w:t>
      </w:r>
    </w:p>
    <w:p w14:paraId="5078B443" w14:textId="622F0B21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18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Irvine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EJ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Zhou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Q,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Thompson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AK.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Short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Inflammatory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Bowel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Questionnaire: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quality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life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instrument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for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community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physicians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managing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inflammatory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bowel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CCRPT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Investigators.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Canadian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Relapse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lastRenderedPageBreak/>
        <w:t>Prevention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Trial.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Am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Gastroenterol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1996;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91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1571-1578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8759664]</w:t>
      </w:r>
    </w:p>
    <w:p w14:paraId="41A85DAF" w14:textId="1F28D0F1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19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Swart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N,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Wellsted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Lithgo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Price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Johnson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MW.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PWE-111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Assessment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Implications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Health-Related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Quality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Life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District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General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Cohort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Inflammatory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Bowel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  <w:iCs/>
        </w:rPr>
        <w:t>Gut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2013;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  <w:bCs/>
        </w:rPr>
        <w:t>62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</w:rPr>
        <w:t>Suppl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</w:t>
      </w:r>
      <w:r w:rsidRPr="009A2775">
        <w:rPr>
          <w:rFonts w:ascii="Book Antiqua" w:hAnsi="Book Antiqua" w:cs="Book Antiqua"/>
          <w:b/>
          <w:bCs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A176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10.1136/gutjnl-2013-304907.399]</w:t>
      </w:r>
    </w:p>
    <w:p w14:paraId="731ED943" w14:textId="4DD6CD0D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20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Reilly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MC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Gerlier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Brabant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Y,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Brown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Validity,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reliability,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responsiveness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work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productivity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activity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impairment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questionnaire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Clin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Ther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2008;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30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393-404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18343277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10.1016/j.clinthera.2008.02.016]</w:t>
      </w:r>
    </w:p>
    <w:p w14:paraId="0181E59E" w14:textId="43371033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21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Bhat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S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Sharma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Doherty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Tham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TC,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Caddy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GR.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accelerated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safe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inflammatory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bowel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disease?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Inflamm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Bowel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Dis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2010;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16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1922-1925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20848465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10.1002/ibd.21279]</w:t>
      </w:r>
    </w:p>
    <w:p w14:paraId="6F527EB1" w14:textId="49D60742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Van</w:t>
      </w:r>
      <w:r w:rsidR="00221BA4" w:rsidRPr="009A2775">
        <w:rPr>
          <w:rFonts w:ascii="Book Antiqua" w:hAnsi="Book Antiqua" w:cs="Book Antiqua"/>
          <w:b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Assche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G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Vermeire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Noman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Amant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Weyts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Vleminckx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Vermeyen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MJ,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Rutgeerts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administered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shortened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times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specialized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IBD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unit: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prospective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cohort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study.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Crohns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Colitis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2010;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4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329-333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21122522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10.1016/j.crohns.2009.12.012]</w:t>
      </w:r>
    </w:p>
    <w:p w14:paraId="4AD33128" w14:textId="01C78FEC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23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Cheifetz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A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Smedley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Martin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Reiter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Leone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Mayer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Plevy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incidence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management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reactions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large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center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experience.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Am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Gastroenterol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2003;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98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1315-1324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12818276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10.1111/j.1572-0241.2003.07457.x]</w:t>
      </w:r>
    </w:p>
    <w:p w14:paraId="23119D48" w14:textId="1FF154B7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24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Baert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F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Noman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Vermeire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Van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Assche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D'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Haens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Carbonez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Rutgeerts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Influence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immunogenicity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long-term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efficacy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N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Engl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J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Med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2003;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348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601-608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12584368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10.1056/NEJMoa020888]</w:t>
      </w:r>
    </w:p>
    <w:p w14:paraId="75CB8D26" w14:textId="6A2FB844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25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Sazonovs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A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Kennedy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NA,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Moutsianas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Heap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GA,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Rice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DL,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Reppell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Bewshea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Chanchlani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N,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Walker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GJ,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Perry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MH,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McDonald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TJ,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Lees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CW,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Cummings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JRF,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Parkes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Mansfield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JC,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Irving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Barrett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JC,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McGovern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Goodhand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JR,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Anderson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CA,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Ahmad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Consortium.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HLA-DQA1*05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Carriage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Associated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Development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Anti-Drug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Antibodies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Adalimumab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proofErr w:type="gramStart"/>
      <w:r w:rsidRPr="009A2775">
        <w:rPr>
          <w:rFonts w:ascii="Book Antiqua" w:hAnsi="Book Antiqua" w:cs="Book Antiqua"/>
        </w:rPr>
        <w:t>With</w:t>
      </w:r>
      <w:proofErr w:type="gram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Gastroenterology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2020;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158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189-199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31600487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10.1053/j.gastro.2019.09.041]</w:t>
      </w:r>
    </w:p>
    <w:p w14:paraId="1CF2DB46" w14:textId="4C9DFA73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lastRenderedPageBreak/>
        <w:t>26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Steenholdt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C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Svenson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Bendtzen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K,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Thomsen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OØ,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Brynskov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Ainsworth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Severe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infusion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reactions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infliximab: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aetiology</w:t>
      </w:r>
      <w:proofErr w:type="spellEnd"/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immunogenicity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risk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factors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inflammatory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bowel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i/>
        </w:rPr>
        <w:t>Aliment</w:t>
      </w:r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Pharmacol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Ther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2011;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34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51-58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21535447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10.1111/j.1365-2036.2011.04682.x]</w:t>
      </w:r>
    </w:p>
    <w:p w14:paraId="2BD2D8A2" w14:textId="12451138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27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b/>
        </w:rPr>
        <w:t>Dotan</w:t>
      </w:r>
      <w:proofErr w:type="spellEnd"/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I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Y,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Yanai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Becker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Fishman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Yahav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L,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Ben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Yehoyada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Mould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DR.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factors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that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increase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infliximab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clearance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shorten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half-life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inflammatory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bowel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population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pharmacokinetic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study.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Inflamm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Bowel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Dis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2014;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20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2247-2259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25358062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10.1097/MIB.0000000000000212]</w:t>
      </w:r>
    </w:p>
    <w:p w14:paraId="52CD8E46" w14:textId="5B5BAA13" w:rsidR="006767EC" w:rsidRPr="009A2775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28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Sharma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S</w:t>
      </w:r>
      <w:r w:rsidRPr="009A2775">
        <w:rPr>
          <w:rFonts w:ascii="Book Antiqua" w:hAnsi="Book Antiqua" w:cs="Book Antiqua"/>
        </w:rPr>
        <w:t>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Eckert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Hyams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JS,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Mensing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Thakkar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RB,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Robinson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AM,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Rosh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JR,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Ruemmele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FM,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</w:rPr>
        <w:t>Awni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WM.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Pharmacokinetics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and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exposure-efficacy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relationship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of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adalimumab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pediatric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patients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with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moderate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to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severe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Crohn's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results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from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randomized,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multicenter,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phase-3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study.</w:t>
      </w:r>
      <w:r w:rsidR="00221BA4" w:rsidRPr="009A2775">
        <w:rPr>
          <w:rFonts w:ascii="Book Antiqua" w:hAnsi="Book Antiqua" w:cs="Book Antiqua"/>
        </w:rPr>
        <w:t xml:space="preserve"> </w:t>
      </w:r>
      <w:proofErr w:type="spellStart"/>
      <w:r w:rsidRPr="009A2775">
        <w:rPr>
          <w:rFonts w:ascii="Book Antiqua" w:hAnsi="Book Antiqua" w:cs="Book Antiqua"/>
          <w:i/>
        </w:rPr>
        <w:t>Inflamm</w:t>
      </w:r>
      <w:proofErr w:type="spellEnd"/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Bowel</w:t>
      </w:r>
      <w:r w:rsidR="00221BA4" w:rsidRPr="009A2775">
        <w:rPr>
          <w:rFonts w:ascii="Book Antiqua" w:hAnsi="Book Antiqua" w:cs="Book Antiqua"/>
          <w:i/>
        </w:rPr>
        <w:t xml:space="preserve"> </w:t>
      </w:r>
      <w:r w:rsidRPr="009A2775">
        <w:rPr>
          <w:rFonts w:ascii="Book Antiqua" w:hAnsi="Book Antiqua" w:cs="Book Antiqua"/>
          <w:i/>
        </w:rPr>
        <w:t>Dis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2015;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  <w:b/>
        </w:rPr>
        <w:t>21</w:t>
      </w:r>
      <w:r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783-792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[PMID: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25723614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DOI: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10.1097/MIB.0000000000000327]</w:t>
      </w:r>
    </w:p>
    <w:bookmarkEnd w:id="2"/>
    <w:bookmarkEnd w:id="3"/>
    <w:p w14:paraId="32D801F3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3CF9E0C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6767EC" w:rsidRPr="009A2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EF2DF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FE83DE9" w14:textId="5DC1B090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reviewed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Human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Ethics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Committee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Eastern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audit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activity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committee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waiver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consent.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Reference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number: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64/2017</w:t>
      </w:r>
      <w:r w:rsidR="00C965D3" w:rsidRPr="009A2775">
        <w:rPr>
          <w:rFonts w:ascii="Book Antiqua" w:eastAsia="Book Antiqua" w:hAnsi="Book Antiqua" w:cs="Book Antiqua"/>
          <w:color w:val="000000"/>
        </w:rPr>
        <w:t>.</w:t>
      </w:r>
    </w:p>
    <w:p w14:paraId="6B9BF8DF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9A76C0F" w14:textId="6A9F67A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study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reviewed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approved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Human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Research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Ethics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Committee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Eastern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Health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audit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activity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committee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waiver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informed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consent.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Reference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number: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64/2017</w:t>
      </w:r>
      <w:r w:rsidR="00C965D3" w:rsidRPr="009A2775">
        <w:rPr>
          <w:rFonts w:ascii="Book Antiqua" w:eastAsia="Book Antiqua" w:hAnsi="Book Antiqua" w:cs="Book Antiqua"/>
          <w:color w:val="000000"/>
        </w:rPr>
        <w:t>.</w:t>
      </w:r>
    </w:p>
    <w:p w14:paraId="06E96EC5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44B1D95" w14:textId="54A63C71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declared.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</w:p>
    <w:p w14:paraId="10BAC8CE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8B63AFC" w14:textId="4289F270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addit</w:t>
      </w:r>
      <w:r w:rsidR="00C965D3" w:rsidRPr="009A2775">
        <w:rPr>
          <w:rFonts w:ascii="Book Antiqua" w:eastAsia="Book Antiqua" w:hAnsi="Book Antiqua" w:cs="Book Antiqua"/>
          <w:color w:val="000000"/>
        </w:rPr>
        <w:t>i</w:t>
      </w:r>
      <w:r w:rsidRPr="009A2775">
        <w:rPr>
          <w:rFonts w:ascii="Book Antiqua" w:eastAsia="Book Antiqua" w:hAnsi="Book Antiqua" w:cs="Book Antiqua"/>
          <w:color w:val="000000"/>
        </w:rPr>
        <w:t>onal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data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available.</w:t>
      </w:r>
    </w:p>
    <w:p w14:paraId="3201BF92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81F1EB5" w14:textId="351A076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article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open-access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article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that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was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selected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in-house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editor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fully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peer-reviewed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external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reviewers.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distributed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accordance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with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Creative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Commons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Attribution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(CC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BY-NC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4.0)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license,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which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permits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others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to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distribute,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remix,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adapt,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build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upon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non-commercially,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license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their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derivative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on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different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terms,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provided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original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work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properly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cited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the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use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is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non-commercial.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See: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CE9B0FD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C37AC55" w14:textId="4D59756B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Manuscript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source: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Invited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manuscript</w:t>
      </w:r>
    </w:p>
    <w:p w14:paraId="1EDB0B3A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44A7B72" w14:textId="7134F068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Peer-review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started: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May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28,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2020</w:t>
      </w:r>
    </w:p>
    <w:p w14:paraId="486EBA47" w14:textId="0DBA37D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First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decision: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July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25,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2020</w:t>
      </w:r>
    </w:p>
    <w:p w14:paraId="5AED04EA" w14:textId="5B0BCDB3" w:rsidR="006767EC" w:rsidRPr="009A2775" w:rsidRDefault="00B416D1">
      <w:pPr>
        <w:spacing w:line="360" w:lineRule="auto"/>
        <w:jc w:val="both"/>
        <w:rPr>
          <w:rFonts w:ascii="Book Antiqua" w:eastAsiaTheme="minorEastAsia" w:hAnsi="Book Antiqua" w:cs="Book Antiqua" w:hint="eastAsia"/>
          <w:lang w:eastAsia="zh-CN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Article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in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press: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2775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9A2775" w:rsidRPr="009A2775">
        <w:rPr>
          <w:rFonts w:ascii="Book Antiqua" w:eastAsiaTheme="minorEastAsia" w:hAnsi="Book Antiqua" w:cs="Book Antiqua"/>
          <w:color w:val="000000"/>
          <w:lang w:eastAsia="zh-CN"/>
        </w:rPr>
        <w:t>September 5, 2020</w:t>
      </w:r>
    </w:p>
    <w:p w14:paraId="51E27E04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790946B3" w14:textId="4DACAC82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Specialty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type: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Gastroenterology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hepatology</w:t>
      </w:r>
    </w:p>
    <w:p w14:paraId="73EA4CC4" w14:textId="235C14CC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t>Country/Territory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origin: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Australia</w:t>
      </w:r>
    </w:p>
    <w:p w14:paraId="7E8FF243" w14:textId="77480D86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report’s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scientific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quality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4DE64E" w14:textId="5FD8FC21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Grade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(Excellent):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</w:t>
      </w:r>
    </w:p>
    <w:p w14:paraId="0E8922D1" w14:textId="3E3CCA3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Grade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(Very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good):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</w:t>
      </w:r>
      <w:r w:rsidR="0082536A" w:rsidRPr="009A2775">
        <w:rPr>
          <w:rFonts w:ascii="Book Antiqua" w:eastAsia="Book Antiqua" w:hAnsi="Book Antiqua" w:cs="Book Antiqua"/>
          <w:color w:val="000000"/>
        </w:rPr>
        <w:t>, B</w:t>
      </w:r>
    </w:p>
    <w:p w14:paraId="3E0975BB" w14:textId="3A1B6D62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Grade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(Good):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C</w:t>
      </w:r>
    </w:p>
    <w:p w14:paraId="0BF65D8E" w14:textId="173E8DDE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Grade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(Fair):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</w:t>
      </w:r>
    </w:p>
    <w:p w14:paraId="056FC32B" w14:textId="083CCAD5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color w:val="000000"/>
        </w:rPr>
        <w:t>Grade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E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(Poor):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0</w:t>
      </w:r>
      <w:bookmarkStart w:id="4" w:name="_GoBack"/>
      <w:bookmarkEnd w:id="4"/>
    </w:p>
    <w:p w14:paraId="2B9EED0A" w14:textId="77777777" w:rsidR="006767EC" w:rsidRPr="009A2775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AF856C0" w14:textId="38C0D3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  <w:sectPr w:rsidR="006767EC" w:rsidRPr="009A2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2775">
        <w:rPr>
          <w:rFonts w:ascii="Book Antiqua" w:eastAsia="Book Antiqua" w:hAnsi="Book Antiqua" w:cs="Book Antiqua"/>
          <w:b/>
          <w:color w:val="000000"/>
        </w:rPr>
        <w:t>P-Reviewer: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Sozutek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A,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color w:val="000000"/>
        </w:rPr>
        <w:t>Velikova</w:t>
      </w:r>
      <w:proofErr w:type="spellEnd"/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TV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S-Editor: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Gong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ZM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L-Editor:</w:t>
      </w:r>
      <w:r w:rsidR="009A2775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9A2775" w:rsidRPr="009A2775">
        <w:rPr>
          <w:rFonts w:ascii="Book Antiqua" w:eastAsiaTheme="minorEastAsia" w:hAnsi="Book Antiqua" w:cs="Book Antiqua" w:hint="eastAsia"/>
          <w:color w:val="000000"/>
          <w:lang w:eastAsia="zh-CN"/>
        </w:rPr>
        <w:t>A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P-Editor:</w:t>
      </w:r>
      <w:r w:rsidR="009A2775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9A2775" w:rsidRPr="009A2775">
        <w:rPr>
          <w:rFonts w:ascii="Book Antiqua" w:eastAsiaTheme="minorEastAsia" w:hAnsi="Book Antiqua" w:cs="Book Antiqua"/>
          <w:color w:val="000000"/>
          <w:lang w:eastAsia="zh-CN"/>
        </w:rPr>
        <w:t>Zhang YL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424CD7A" w14:textId="74D756F4" w:rsidR="006767E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A277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21BA4" w:rsidRPr="009A27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color w:val="000000"/>
        </w:rPr>
        <w:t>Legends</w:t>
      </w:r>
    </w:p>
    <w:p w14:paraId="42EBB755" w14:textId="77777777" w:rsidR="006767E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A2775">
        <w:rPr>
          <w:rFonts w:ascii="Book Antiqua" w:hAnsi="Book Antiqua" w:cs="Book Antiqua"/>
          <w:noProof/>
          <w:lang w:eastAsia="zh-CN"/>
        </w:rPr>
        <w:drawing>
          <wp:inline distT="0" distB="0" distL="114300" distR="114300" wp14:anchorId="48BFE4C1" wp14:editId="04B7950C">
            <wp:extent cx="5911149" cy="335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4718" cy="33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1503" w14:textId="4508DC3A" w:rsidR="006767EC" w:rsidRPr="009A2775" w:rsidRDefault="00B416D1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1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protocol.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BP: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Blood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pressure;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IV: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Intravenous;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IFX:</w:t>
      </w:r>
      <w:r w:rsidR="00221BA4" w:rsidRPr="009A2775">
        <w:rPr>
          <w:rFonts w:ascii="Book Antiqua" w:eastAsia="Book Antiqua" w:hAnsi="Book Antiqua" w:cs="Book Antiqua"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color w:val="000000"/>
        </w:rPr>
        <w:t>Infliximab.</w:t>
      </w:r>
    </w:p>
    <w:p w14:paraId="5A640BD3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br w:type="page"/>
      </w:r>
      <w:r w:rsidR="00526599" w:rsidRPr="009A2775">
        <w:rPr>
          <w:noProof/>
          <w:lang w:eastAsia="zh-CN"/>
        </w:rPr>
        <w:lastRenderedPageBreak/>
        <w:drawing>
          <wp:inline distT="0" distB="0" distL="0" distR="0" wp14:anchorId="11DDAFC0" wp14:editId="00AC09AF">
            <wp:extent cx="3997437" cy="3538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3914" cy="35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8188" w14:textId="565A97DA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2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Needle-to-departure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times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34B6" w:rsidRPr="009A277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tandard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34B6" w:rsidRPr="009A277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apid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(further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subdivided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home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based)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infliximab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protocols.</w:t>
      </w:r>
    </w:p>
    <w:p w14:paraId="1F441D1E" w14:textId="77777777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br w:type="page"/>
      </w:r>
      <w:r w:rsidRPr="009A2775">
        <w:rPr>
          <w:rFonts w:ascii="Book Antiqua" w:hAnsi="Book Antiqua" w:cs="Book Antiqua"/>
          <w:noProof/>
          <w:lang w:eastAsia="zh-CN"/>
        </w:rPr>
        <w:lastRenderedPageBreak/>
        <w:drawing>
          <wp:inline distT="0" distB="0" distL="114300" distR="114300" wp14:anchorId="62FC2323" wp14:editId="7DDCE821">
            <wp:extent cx="5949477" cy="30771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9670" cy="30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D228" w14:textId="31EC855B" w:rsidR="006767EC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3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satisfaction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survey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regarding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rapid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infusion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color w:val="000000"/>
        </w:rPr>
        <w:t>centre</w:t>
      </w:r>
      <w:proofErr w:type="spellEnd"/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A2775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proofErr w:type="spellEnd"/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home-based</w:t>
      </w:r>
      <w:r w:rsidR="00221BA4" w:rsidRPr="009A27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2775">
        <w:rPr>
          <w:rFonts w:ascii="Book Antiqua" w:eastAsia="Book Antiqua" w:hAnsi="Book Antiqua" w:cs="Book Antiqua"/>
          <w:b/>
          <w:bCs/>
          <w:color w:val="000000"/>
        </w:rPr>
        <w:t>infusions.</w:t>
      </w:r>
    </w:p>
    <w:p w14:paraId="42928EF4" w14:textId="77777777" w:rsidR="00742C98" w:rsidRPr="009A2775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742C98" w:rsidRPr="009A2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2775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A13FC3B" w14:textId="4C82DB7B" w:rsidR="006767EC" w:rsidRPr="009A2775" w:rsidRDefault="00B416D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9A2775">
        <w:rPr>
          <w:rFonts w:ascii="Book Antiqua" w:hAnsi="Book Antiqua" w:cs="Book Antiqua"/>
          <w:b/>
          <w:bCs/>
        </w:rPr>
        <w:lastRenderedPageBreak/>
        <w:t>Table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1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Baseline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characteristics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comparing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the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="00F529E5" w:rsidRPr="009A2775">
        <w:rPr>
          <w:rFonts w:ascii="Book Antiqua" w:hAnsi="Book Antiqua" w:cs="Book Antiqua"/>
          <w:b/>
          <w:bCs/>
        </w:rPr>
        <w:t>s</w:t>
      </w:r>
      <w:r w:rsidRPr="009A2775">
        <w:rPr>
          <w:rFonts w:ascii="Book Antiqua" w:hAnsi="Book Antiqua" w:cs="Book Antiqua"/>
          <w:b/>
          <w:bCs/>
        </w:rPr>
        <w:t>tandard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infusion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(</w:t>
      </w:r>
      <w:r w:rsidRPr="009A2775">
        <w:rPr>
          <w:rFonts w:ascii="Book Antiqua" w:hAnsi="Book Antiqua" w:cs="Book Antiqua"/>
          <w:b/>
          <w:bCs/>
          <w:i/>
          <w:iCs/>
        </w:rPr>
        <w:t>n</w:t>
      </w:r>
      <w:r w:rsidR="00221BA4" w:rsidRPr="009A2775">
        <w:rPr>
          <w:rFonts w:ascii="Book Antiqua" w:hAnsi="Book Antiqua" w:cs="Book Antiqua"/>
          <w:b/>
          <w:bCs/>
          <w:i/>
          <w:i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=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169)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and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="00FA00D0" w:rsidRPr="009A2775">
        <w:rPr>
          <w:rFonts w:ascii="Book Antiqua" w:hAnsi="Book Antiqua" w:cs="Book Antiqua"/>
          <w:b/>
          <w:bCs/>
        </w:rPr>
        <w:t>r</w:t>
      </w:r>
      <w:r w:rsidRPr="009A2775">
        <w:rPr>
          <w:rFonts w:ascii="Book Antiqua" w:hAnsi="Book Antiqua" w:cs="Book Antiqua"/>
          <w:b/>
          <w:bCs/>
        </w:rPr>
        <w:t>apid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infusion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(</w:t>
      </w:r>
      <w:r w:rsidRPr="009A2775">
        <w:rPr>
          <w:rFonts w:ascii="Book Antiqua" w:hAnsi="Book Antiqua" w:cs="Book Antiqua"/>
          <w:b/>
          <w:bCs/>
          <w:i/>
          <w:iCs/>
        </w:rPr>
        <w:t>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=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129)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cohorts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</w:p>
    <w:tbl>
      <w:tblPr>
        <w:tblStyle w:val="a3"/>
        <w:tblpPr w:leftFromText="180" w:rightFromText="180" w:vertAnchor="text" w:tblpX="40" w:tblpY="1"/>
        <w:tblOverlap w:val="never"/>
        <w:tblW w:w="119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2087"/>
        <w:gridCol w:w="2715"/>
        <w:gridCol w:w="1739"/>
      </w:tblGrid>
      <w:tr w:rsidR="006767EC" w:rsidRPr="009A2775" w14:paraId="250F3DAC" w14:textId="77777777" w:rsidTr="002B4177">
        <w:trPr>
          <w:trHeight w:val="453"/>
        </w:trPr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04A02" w14:textId="77777777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42231" w14:textId="4CA4E068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Standard,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8832" w14:textId="71BD4172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Rapid,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5AA34" w14:textId="6E724F6C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P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value</w:t>
            </w:r>
          </w:p>
        </w:tc>
      </w:tr>
      <w:tr w:rsidR="006767EC" w:rsidRPr="009A2775" w14:paraId="4F422B78" w14:textId="77777777" w:rsidTr="002B4177">
        <w:trPr>
          <w:trHeight w:val="440"/>
        </w:trPr>
        <w:tc>
          <w:tcPr>
            <w:tcW w:w="5426" w:type="dxa"/>
            <w:tcBorders>
              <w:top w:val="single" w:sz="4" w:space="0" w:color="auto"/>
            </w:tcBorders>
            <w:shd w:val="clear" w:color="auto" w:fill="auto"/>
          </w:tcPr>
          <w:p w14:paraId="54BDAC7A" w14:textId="31B5A820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Male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sex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E989E" w14:textId="07281F8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76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(45.0)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1A622" w14:textId="35DBD36D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55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(42.6)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F6429" w14:textId="7777777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0.72</w:t>
            </w:r>
          </w:p>
        </w:tc>
      </w:tr>
      <w:tr w:rsidR="006767EC" w:rsidRPr="009A2775" w14:paraId="38FBAA27" w14:textId="77777777" w:rsidTr="002B4177">
        <w:trPr>
          <w:trHeight w:val="79"/>
        </w:trPr>
        <w:tc>
          <w:tcPr>
            <w:tcW w:w="5426" w:type="dxa"/>
            <w:shd w:val="clear" w:color="auto" w:fill="auto"/>
          </w:tcPr>
          <w:p w14:paraId="388A8BBC" w14:textId="4BB22A79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Age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</w:t>
            </w:r>
            <w:proofErr w:type="spellStart"/>
            <w:r w:rsidRPr="009A2775">
              <w:rPr>
                <w:rFonts w:ascii="Book Antiqua" w:hAnsi="Book Antiqua" w:cs="Book Antiqua"/>
                <w:lang w:eastAsia="en-AU"/>
              </w:rPr>
              <w:t>yr</w:t>
            </w:r>
            <w:proofErr w:type="spellEnd"/>
            <w:r w:rsidRPr="009A2775">
              <w:rPr>
                <w:rFonts w:ascii="Book Antiqua" w:hAnsi="Book Antiqua" w:cs="Book Antiqua"/>
                <w:lang w:eastAsia="en-AU"/>
              </w:rPr>
              <w:t>)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(median,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range)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61F8FC7" w14:textId="5D29060E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39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(20-88)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3DB8F05" w14:textId="127E1B22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(18-86)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90AA8D4" w14:textId="7777777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0.86</w:t>
            </w:r>
          </w:p>
        </w:tc>
      </w:tr>
      <w:tr w:rsidR="006767EC" w:rsidRPr="009A2775" w14:paraId="624BC1A2" w14:textId="77777777" w:rsidTr="002B4177">
        <w:trPr>
          <w:trHeight w:val="343"/>
        </w:trPr>
        <w:tc>
          <w:tcPr>
            <w:tcW w:w="5426" w:type="dxa"/>
            <w:shd w:val="clear" w:color="auto" w:fill="auto"/>
          </w:tcPr>
          <w:p w14:paraId="29BB6B8B" w14:textId="2B41143A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Low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BMI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(&lt;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22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kg/m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  <w:r w:rsidRPr="009A2775">
              <w:rPr>
                <w:rFonts w:ascii="Book Antiqua" w:hAnsi="Book Antiqua" w:cs="Book Antiqua"/>
                <w:lang w:eastAsia="en-AU"/>
              </w:rPr>
              <w:t>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6197104" w14:textId="0E1D0334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17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(10.1)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9115ECC" w14:textId="3CA8E181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(10.1)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A6EA8BA" w14:textId="7777777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0.84</w:t>
            </w:r>
          </w:p>
        </w:tc>
      </w:tr>
      <w:tr w:rsidR="006767EC" w:rsidRPr="009A2775" w14:paraId="7717E7EE" w14:textId="77777777" w:rsidTr="002B4177">
        <w:trPr>
          <w:trHeight w:val="306"/>
        </w:trPr>
        <w:tc>
          <w:tcPr>
            <w:tcW w:w="5426" w:type="dxa"/>
            <w:shd w:val="clear" w:color="auto" w:fill="auto"/>
          </w:tcPr>
          <w:p w14:paraId="0F504A6F" w14:textId="6C14BB77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High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BMI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(&gt;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30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kg/m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  <w:r w:rsidRPr="009A2775">
              <w:rPr>
                <w:rFonts w:ascii="Book Antiqua" w:hAnsi="Book Antiqua" w:cs="Book Antiqua"/>
                <w:lang w:eastAsia="en-AU"/>
              </w:rPr>
              <w:t>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6442AFD" w14:textId="372DEB9F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(16.6)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031FB42" w14:textId="73FCAC4B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(24.0)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880FA87" w14:textId="7777777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0.14</w:t>
            </w:r>
          </w:p>
        </w:tc>
      </w:tr>
      <w:tr w:rsidR="006767EC" w:rsidRPr="009A2775" w14:paraId="5F84BECF" w14:textId="77777777" w:rsidTr="002B4177">
        <w:trPr>
          <w:trHeight w:val="453"/>
        </w:trPr>
        <w:tc>
          <w:tcPr>
            <w:tcW w:w="5426" w:type="dxa"/>
            <w:shd w:val="clear" w:color="auto" w:fill="auto"/>
          </w:tcPr>
          <w:p w14:paraId="6B297BF6" w14:textId="791D67C4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Current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smoker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18578CA" w14:textId="6A59E27D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(16.6)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877B0ED" w14:textId="22A95E70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(20.2)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2CB623E" w14:textId="7777777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0.45</w:t>
            </w:r>
          </w:p>
        </w:tc>
      </w:tr>
      <w:tr w:rsidR="006767EC" w:rsidRPr="009A2775" w14:paraId="7D1A86D6" w14:textId="77777777" w:rsidTr="002B4177">
        <w:trPr>
          <w:trHeight w:val="69"/>
        </w:trPr>
        <w:tc>
          <w:tcPr>
            <w:tcW w:w="5426" w:type="dxa"/>
            <w:shd w:val="clear" w:color="auto" w:fill="auto"/>
          </w:tcPr>
          <w:p w14:paraId="029906AF" w14:textId="570E0351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Disease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duration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</w:t>
            </w:r>
            <w:proofErr w:type="spellStart"/>
            <w:r w:rsidRPr="009A2775">
              <w:rPr>
                <w:rFonts w:ascii="Book Antiqua" w:hAnsi="Book Antiqua" w:cs="Book Antiqua"/>
                <w:lang w:eastAsia="en-AU"/>
              </w:rPr>
              <w:t>y</w:t>
            </w:r>
            <w:r w:rsidR="00782E06" w:rsidRPr="009A2775">
              <w:rPr>
                <w:rFonts w:ascii="Book Antiqua" w:hAnsi="Book Antiqua" w:cs="Book Antiqua"/>
                <w:lang w:eastAsia="en-AU"/>
              </w:rPr>
              <w:t>r</w:t>
            </w:r>
            <w:proofErr w:type="spellEnd"/>
            <w:r w:rsidRPr="009A2775">
              <w:rPr>
                <w:rFonts w:ascii="Book Antiqua" w:hAnsi="Book Antiqua" w:cs="Book Antiqua"/>
                <w:lang w:eastAsia="en-AU"/>
              </w:rPr>
              <w:t>)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(median,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range)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3A2283D" w14:textId="1C5713AF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7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(0-49)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EEE7CA3" w14:textId="75139069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5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(0-36)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E3046D7" w14:textId="7777777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0.78</w:t>
            </w:r>
          </w:p>
        </w:tc>
      </w:tr>
      <w:tr w:rsidR="006767EC" w:rsidRPr="009A2775" w14:paraId="28C320DC" w14:textId="77777777" w:rsidTr="002B4177">
        <w:trPr>
          <w:trHeight w:val="357"/>
        </w:trPr>
        <w:tc>
          <w:tcPr>
            <w:tcW w:w="5426" w:type="dxa"/>
            <w:shd w:val="clear" w:color="auto" w:fill="auto"/>
          </w:tcPr>
          <w:p w14:paraId="520E3AF1" w14:textId="04191B5D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Disease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type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AAAEBE2" w14:textId="63BF1463" w:rsidR="006767EC" w:rsidRPr="009A2775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49DA6D5E" w14:textId="545D0903" w:rsidR="006767EC" w:rsidRPr="009A2775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F4658A2" w14:textId="44533B5C" w:rsidR="006767EC" w:rsidRPr="009A2775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CC2009" w:rsidRPr="009A2775" w14:paraId="6ED73B42" w14:textId="77777777" w:rsidTr="002B4177">
        <w:trPr>
          <w:trHeight w:val="364"/>
        </w:trPr>
        <w:tc>
          <w:tcPr>
            <w:tcW w:w="5426" w:type="dxa"/>
            <w:shd w:val="clear" w:color="auto" w:fill="auto"/>
          </w:tcPr>
          <w:p w14:paraId="09247DB6" w14:textId="76339DE3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7F77553" w14:textId="4AC406BB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126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(74.6)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B5CD28F" w14:textId="71688B9B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114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(88.4)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0696E2" w14:textId="45C7D1DA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&lt;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CC2009" w:rsidRPr="009A2775" w14:paraId="344F457A" w14:textId="77777777" w:rsidTr="002B4177">
        <w:trPr>
          <w:trHeight w:val="376"/>
        </w:trPr>
        <w:tc>
          <w:tcPr>
            <w:tcW w:w="5426" w:type="dxa"/>
            <w:shd w:val="clear" w:color="auto" w:fill="auto"/>
          </w:tcPr>
          <w:p w14:paraId="08E6AD40" w14:textId="17EA7C43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UC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49114AB" w14:textId="7BA22823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(25.4)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CD2A23D" w14:textId="442681DA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(10.9)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7A6C7E3" w14:textId="68300312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&lt;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CC2009" w:rsidRPr="009A2775" w14:paraId="3B895D08" w14:textId="77777777" w:rsidTr="002B4177">
        <w:trPr>
          <w:trHeight w:val="78"/>
        </w:trPr>
        <w:tc>
          <w:tcPr>
            <w:tcW w:w="5426" w:type="dxa"/>
            <w:shd w:val="clear" w:color="auto" w:fill="auto"/>
          </w:tcPr>
          <w:p w14:paraId="15375FC5" w14:textId="5E23A129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Indeterminate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861CCC1" w14:textId="414C2E88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AF8C6D4" w14:textId="39D06E23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(0.8)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4F08E21" w14:textId="247AD9B9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0.43</w:t>
            </w:r>
          </w:p>
        </w:tc>
      </w:tr>
      <w:tr w:rsidR="006767EC" w:rsidRPr="009A2775" w14:paraId="6CF449AB" w14:textId="77777777" w:rsidTr="002B4177">
        <w:trPr>
          <w:trHeight w:val="226"/>
        </w:trPr>
        <w:tc>
          <w:tcPr>
            <w:tcW w:w="5426" w:type="dxa"/>
            <w:shd w:val="clear" w:color="auto" w:fill="auto"/>
          </w:tcPr>
          <w:p w14:paraId="60D061E0" w14:textId="6EA97072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Extra-intestinal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manifestation(s)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documented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547B2EE" w14:textId="7764AAA8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(27.2)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AA82529" w14:textId="06A6B423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29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(22.5)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FA6616C" w14:textId="77777777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0.42</w:t>
            </w:r>
          </w:p>
        </w:tc>
      </w:tr>
      <w:tr w:rsidR="006767EC" w:rsidRPr="009A2775" w14:paraId="1AEC5E67" w14:textId="77777777" w:rsidTr="002B4177">
        <w:trPr>
          <w:trHeight w:val="401"/>
        </w:trPr>
        <w:tc>
          <w:tcPr>
            <w:tcW w:w="5426" w:type="dxa"/>
            <w:shd w:val="clear" w:color="auto" w:fill="auto"/>
          </w:tcPr>
          <w:p w14:paraId="72BB125D" w14:textId="5C421BD9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Psychiatric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comorbidity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documented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DBC73B2" w14:textId="18ED76D9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(14.2)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1AF3B86" w14:textId="218776C8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45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(34.9)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A8B3E94" w14:textId="3134ADC3" w:rsidR="006767EC" w:rsidRPr="009A2775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&lt;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6767EC" w:rsidRPr="009A2775" w14:paraId="2A023481" w14:textId="77777777" w:rsidTr="002B4177">
        <w:trPr>
          <w:trHeight w:val="401"/>
        </w:trPr>
        <w:tc>
          <w:tcPr>
            <w:tcW w:w="5426" w:type="dxa"/>
            <w:shd w:val="clear" w:color="auto" w:fill="auto"/>
          </w:tcPr>
          <w:p w14:paraId="38DD575A" w14:textId="4CF5F696" w:rsidR="006767EC" w:rsidRPr="009A2775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Concomitant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medications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7F9235D" w14:textId="1E0A1155" w:rsidR="006767EC" w:rsidRPr="009A2775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5D2A2D4C" w14:textId="3D6122B0" w:rsidR="006767EC" w:rsidRPr="009A2775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1105E3D6" w14:textId="5CFAEDB8" w:rsidR="006767EC" w:rsidRPr="009A2775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CC2009" w:rsidRPr="009A2775" w14:paraId="765D323D" w14:textId="77777777" w:rsidTr="002B4177">
        <w:trPr>
          <w:trHeight w:val="389"/>
        </w:trPr>
        <w:tc>
          <w:tcPr>
            <w:tcW w:w="5426" w:type="dxa"/>
            <w:shd w:val="clear" w:color="auto" w:fill="auto"/>
          </w:tcPr>
          <w:p w14:paraId="34E462F5" w14:textId="0DC13CED" w:rsidR="00CC2009" w:rsidRPr="009A2775" w:rsidRDefault="00CC2009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Corticosteroid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8B530EA" w14:textId="46A41033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(6.5)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A2247AB" w14:textId="0598DE87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(8.5)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024299D" w14:textId="552B7836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0.51</w:t>
            </w:r>
          </w:p>
        </w:tc>
      </w:tr>
      <w:tr w:rsidR="00CC2009" w:rsidRPr="009A2775" w14:paraId="7348937F" w14:textId="77777777" w:rsidTr="002B4177">
        <w:trPr>
          <w:trHeight w:val="420"/>
        </w:trPr>
        <w:tc>
          <w:tcPr>
            <w:tcW w:w="5426" w:type="dxa"/>
            <w:shd w:val="clear" w:color="auto" w:fill="auto"/>
          </w:tcPr>
          <w:p w14:paraId="76B6EF7F" w14:textId="218FF015" w:rsidR="00CC2009" w:rsidRPr="009A2775" w:rsidRDefault="00CC2009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Immunomodulator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30EC89B" w14:textId="3C4C0482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114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(67.5)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932CAAF" w14:textId="31B6C963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104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(80.6)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C967663" w14:textId="109398AE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CC2009" w:rsidRPr="009A2775" w14:paraId="789063B3" w14:textId="77777777" w:rsidTr="002B4177">
        <w:trPr>
          <w:trHeight w:val="465"/>
        </w:trPr>
        <w:tc>
          <w:tcPr>
            <w:tcW w:w="5426" w:type="dxa"/>
            <w:shd w:val="clear" w:color="auto" w:fill="auto"/>
          </w:tcPr>
          <w:p w14:paraId="7B695BF1" w14:textId="25CF6CDC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Thiopurine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3F92B7B" w14:textId="021D1483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91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(79.8)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905DC22" w14:textId="4EF3B3A0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70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(67.3)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0DAE502" w14:textId="13FDF458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0.04</w:t>
            </w:r>
          </w:p>
        </w:tc>
      </w:tr>
      <w:tr w:rsidR="00CC2009" w:rsidRPr="009A2775" w14:paraId="30BD6745" w14:textId="77777777" w:rsidTr="002B4177">
        <w:trPr>
          <w:trHeight w:val="59"/>
        </w:trPr>
        <w:tc>
          <w:tcPr>
            <w:tcW w:w="5426" w:type="dxa"/>
            <w:shd w:val="clear" w:color="auto" w:fill="auto"/>
          </w:tcPr>
          <w:p w14:paraId="615E48CA" w14:textId="65B91803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Thiopurine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ADR</w:t>
            </w:r>
          </w:p>
          <w:p w14:paraId="2BFE2E58" w14:textId="791B60C5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Methotrexate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5EF35C4" w14:textId="5689A26C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(35.2)</w:t>
            </w:r>
          </w:p>
          <w:p w14:paraId="5144B5B1" w14:textId="341179BE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(20.2)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8EDACB2" w14:textId="29DFC12B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(45.7)</w:t>
            </w:r>
          </w:p>
          <w:p w14:paraId="53FB2B54" w14:textId="5A83412F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(32.7)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15299BF" w14:textId="77777777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0.20</w:t>
            </w:r>
          </w:p>
          <w:p w14:paraId="65BA2229" w14:textId="08E12D1A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0.04</w:t>
            </w:r>
          </w:p>
        </w:tc>
      </w:tr>
      <w:tr w:rsidR="00CC2009" w:rsidRPr="009A2775" w14:paraId="47A8C000" w14:textId="77777777" w:rsidTr="002B4177">
        <w:trPr>
          <w:trHeight w:val="420"/>
        </w:trPr>
        <w:tc>
          <w:tcPr>
            <w:tcW w:w="5426" w:type="dxa"/>
            <w:shd w:val="clear" w:color="auto" w:fill="auto"/>
          </w:tcPr>
          <w:p w14:paraId="7ED25782" w14:textId="5C863D17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lastRenderedPageBreak/>
              <w:t>Methotrexate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ADR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674202B" w14:textId="239098F8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(52.2)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002FAE6" w14:textId="7B25ED2B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(29.4)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D6004E5" w14:textId="43CABBF3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0.10</w:t>
            </w:r>
          </w:p>
        </w:tc>
      </w:tr>
      <w:tr w:rsidR="00CC2009" w:rsidRPr="009A2775" w14:paraId="70226D07" w14:textId="77777777" w:rsidTr="002B4177">
        <w:trPr>
          <w:trHeight w:val="465"/>
        </w:trPr>
        <w:tc>
          <w:tcPr>
            <w:tcW w:w="5426" w:type="dxa"/>
            <w:shd w:val="clear" w:color="auto" w:fill="auto"/>
          </w:tcPr>
          <w:p w14:paraId="5626E936" w14:textId="57A013F3" w:rsidR="00CC2009" w:rsidRPr="009A2775" w:rsidRDefault="00CC2009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Prior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biologic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DCD9FC0" w14:textId="766B510C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(12.4)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4764824" w14:textId="43C3731D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(15.5)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8BA5A2F" w14:textId="113545FD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0.40</w:t>
            </w:r>
          </w:p>
        </w:tc>
      </w:tr>
      <w:tr w:rsidR="00CC2009" w:rsidRPr="009A2775" w14:paraId="65219620" w14:textId="77777777" w:rsidTr="002B4177">
        <w:trPr>
          <w:trHeight w:val="505"/>
        </w:trPr>
        <w:tc>
          <w:tcPr>
            <w:tcW w:w="5426" w:type="dxa"/>
            <w:shd w:val="clear" w:color="auto" w:fill="auto"/>
          </w:tcPr>
          <w:p w14:paraId="3F6B4115" w14:textId="4BFFFF97" w:rsidR="00CC2009" w:rsidRPr="009A2775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Other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anti-TNF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0ACA6E3" w14:textId="25C83A17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(85.7)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A8B074A" w14:textId="1BCE72AE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(90.0)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2A37DE5" w14:textId="2F3DC6A0" w:rsidR="00CC2009" w:rsidRPr="009A2775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1.00</w:t>
            </w:r>
          </w:p>
        </w:tc>
      </w:tr>
    </w:tbl>
    <w:p w14:paraId="31A4EF56" w14:textId="361CDA82" w:rsidR="006767EC" w:rsidRPr="009A2775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9A2775">
        <w:rPr>
          <w:rFonts w:ascii="Book Antiqua" w:hAnsi="Book Antiqua" w:cs="Book Antiqua"/>
        </w:rPr>
        <w:t>BMI: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Body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mass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index;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CD: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Crohn’s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UC: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Ulcerative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colitis;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ADR: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Adverse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drug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reaction;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anti-TNF: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Anti-</w:t>
      </w:r>
      <w:proofErr w:type="spellStart"/>
      <w:r w:rsidRPr="009A2775">
        <w:rPr>
          <w:rFonts w:ascii="Book Antiqua" w:hAnsi="Book Antiqua" w:cs="Book Antiqua"/>
        </w:rPr>
        <w:t>tumour</w:t>
      </w:r>
      <w:proofErr w:type="spellEnd"/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necrosis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factor.</w:t>
      </w:r>
    </w:p>
    <w:p w14:paraId="1F7E921B" w14:textId="739CB60C" w:rsidR="006767EC" w:rsidRPr="009A2775" w:rsidRDefault="00B416D1">
      <w:pPr>
        <w:spacing w:line="360" w:lineRule="auto"/>
        <w:jc w:val="both"/>
        <w:rPr>
          <w:rFonts w:ascii="Book Antiqua" w:hAnsi="Book Antiqua" w:cs="Book Antiqua"/>
          <w:b/>
        </w:rPr>
      </w:pPr>
      <w:r w:rsidRPr="009A2775">
        <w:rPr>
          <w:rFonts w:ascii="Book Antiqua" w:hAnsi="Book Antiqua" w:cs="Book Antiqua"/>
        </w:rPr>
        <w:br w:type="page"/>
      </w:r>
      <w:r w:rsidRPr="009A2775">
        <w:rPr>
          <w:rFonts w:ascii="Book Antiqua" w:hAnsi="Book Antiqua" w:cs="Book Antiqua"/>
          <w:b/>
        </w:rPr>
        <w:lastRenderedPageBreak/>
        <w:t>Table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2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Infusion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reactions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per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cohort,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type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and</w:t>
      </w:r>
      <w:r w:rsidR="00221BA4" w:rsidRPr="009A2775">
        <w:rPr>
          <w:rFonts w:ascii="Book Antiqua" w:hAnsi="Book Antiqua" w:cs="Book Antiqua"/>
          <w:b/>
        </w:rPr>
        <w:t xml:space="preserve"> </w:t>
      </w:r>
      <w:r w:rsidRPr="009A2775">
        <w:rPr>
          <w:rFonts w:ascii="Book Antiqua" w:hAnsi="Book Antiqua" w:cs="Book Antiqua"/>
          <w:b/>
        </w:rPr>
        <w:t>severity</w:t>
      </w:r>
      <w:r w:rsidR="00221BA4" w:rsidRPr="009A2775">
        <w:rPr>
          <w:rFonts w:ascii="Book Antiqua" w:hAnsi="Book Antiqua" w:cs="Book Antiqua"/>
          <w:b/>
        </w:rPr>
        <w:t xml:space="preserve"> </w:t>
      </w:r>
    </w:p>
    <w:tbl>
      <w:tblPr>
        <w:tblStyle w:val="a3"/>
        <w:tblW w:w="112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2789"/>
        <w:gridCol w:w="2945"/>
      </w:tblGrid>
      <w:tr w:rsidR="006767EC" w:rsidRPr="009A2775" w14:paraId="7AB719CD" w14:textId="77777777" w:rsidTr="00742C98">
        <w:trPr>
          <w:trHeight w:val="856"/>
        </w:trPr>
        <w:tc>
          <w:tcPr>
            <w:tcW w:w="5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B7E3CF" w14:textId="77777777" w:rsidR="006767EC" w:rsidRPr="009A2775" w:rsidRDefault="006767EC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596A" w14:textId="2F70AE39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Standard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cohort,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E97C" w14:textId="1BB5B2A8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Rapid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cohort,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</w:tr>
      <w:tr w:rsidR="006767EC" w:rsidRPr="009A2775" w14:paraId="2894C011" w14:textId="77777777" w:rsidTr="00742C98">
        <w:trPr>
          <w:trHeight w:val="377"/>
        </w:trPr>
        <w:tc>
          <w:tcPr>
            <w:tcW w:w="5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65D2EB" w14:textId="77777777" w:rsidR="006767EC" w:rsidRPr="009A2775" w:rsidRDefault="006767EC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96E8B" w14:textId="292A403C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2214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infusions/169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patients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96EC" w14:textId="04697535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1461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infusions/129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patients</w:t>
            </w:r>
          </w:p>
        </w:tc>
      </w:tr>
      <w:tr w:rsidR="006767EC" w:rsidRPr="009A2775" w14:paraId="7AA3583D" w14:textId="77777777" w:rsidTr="00742C98">
        <w:trPr>
          <w:trHeight w:val="379"/>
        </w:trPr>
        <w:tc>
          <w:tcPr>
            <w:tcW w:w="5479" w:type="dxa"/>
            <w:tcBorders>
              <w:top w:val="single" w:sz="4" w:space="0" w:color="auto"/>
            </w:tcBorders>
          </w:tcPr>
          <w:p w14:paraId="6D9907F7" w14:textId="20C9561D" w:rsidR="006767EC" w:rsidRPr="009A2775" w:rsidRDefault="00B416D1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Mild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reaction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14:paraId="22D38CFD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vAlign w:val="center"/>
          </w:tcPr>
          <w:p w14:paraId="28D47BEF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932CF7" w:rsidRPr="009A2775" w14:paraId="635A565D" w14:textId="77777777" w:rsidTr="00742C98">
        <w:trPr>
          <w:trHeight w:val="374"/>
        </w:trPr>
        <w:tc>
          <w:tcPr>
            <w:tcW w:w="5479" w:type="dxa"/>
          </w:tcPr>
          <w:p w14:paraId="677D02E3" w14:textId="620796BF" w:rsidR="00932CF7" w:rsidRPr="009A2775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infusion</w:t>
            </w:r>
          </w:p>
        </w:tc>
        <w:tc>
          <w:tcPr>
            <w:tcW w:w="2789" w:type="dxa"/>
            <w:vAlign w:val="center"/>
          </w:tcPr>
          <w:p w14:paraId="41E49981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0.8%</w:t>
            </w:r>
          </w:p>
        </w:tc>
        <w:tc>
          <w:tcPr>
            <w:tcW w:w="2945" w:type="dxa"/>
            <w:vAlign w:val="center"/>
          </w:tcPr>
          <w:p w14:paraId="79E1B7EF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0.7%</w:t>
            </w:r>
          </w:p>
        </w:tc>
      </w:tr>
      <w:tr w:rsidR="00932CF7" w:rsidRPr="009A2775" w14:paraId="54039A89" w14:textId="77777777" w:rsidTr="00742C98">
        <w:trPr>
          <w:trHeight w:val="424"/>
        </w:trPr>
        <w:tc>
          <w:tcPr>
            <w:tcW w:w="5479" w:type="dxa"/>
          </w:tcPr>
          <w:p w14:paraId="1BB02872" w14:textId="556200F8" w:rsidR="00932CF7" w:rsidRPr="009A2775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sz w:val="24"/>
                <w:szCs w:val="24"/>
                <w:lang w:eastAsia="en-AU"/>
              </w:rPr>
            </w:pP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patient</w:t>
            </w:r>
          </w:p>
        </w:tc>
        <w:tc>
          <w:tcPr>
            <w:tcW w:w="2789" w:type="dxa"/>
            <w:vAlign w:val="center"/>
          </w:tcPr>
          <w:p w14:paraId="500C5E27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10.7%</w:t>
            </w:r>
          </w:p>
        </w:tc>
        <w:tc>
          <w:tcPr>
            <w:tcW w:w="2945" w:type="dxa"/>
            <w:vAlign w:val="center"/>
          </w:tcPr>
          <w:p w14:paraId="0584D59D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7.8%</w:t>
            </w:r>
          </w:p>
        </w:tc>
      </w:tr>
      <w:tr w:rsidR="00932CF7" w:rsidRPr="009A2775" w14:paraId="4E8D09ED" w14:textId="77777777" w:rsidTr="00742C98">
        <w:trPr>
          <w:trHeight w:val="412"/>
        </w:trPr>
        <w:tc>
          <w:tcPr>
            <w:tcW w:w="5479" w:type="dxa"/>
          </w:tcPr>
          <w:p w14:paraId="294C63F2" w14:textId="4BC8849E" w:rsidR="00932CF7" w:rsidRPr="009A2775" w:rsidRDefault="00932CF7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Severe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reaction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</w:p>
        </w:tc>
        <w:tc>
          <w:tcPr>
            <w:tcW w:w="2789" w:type="dxa"/>
            <w:vAlign w:val="center"/>
          </w:tcPr>
          <w:p w14:paraId="72A2FD26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945" w:type="dxa"/>
            <w:vAlign w:val="center"/>
          </w:tcPr>
          <w:p w14:paraId="71D68A85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932CF7" w:rsidRPr="009A2775" w14:paraId="0A469604" w14:textId="77777777" w:rsidTr="00742C98">
        <w:trPr>
          <w:trHeight w:val="399"/>
        </w:trPr>
        <w:tc>
          <w:tcPr>
            <w:tcW w:w="5479" w:type="dxa"/>
          </w:tcPr>
          <w:p w14:paraId="13C29B72" w14:textId="4536A350" w:rsidR="00932CF7" w:rsidRPr="009A2775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infusion</w:t>
            </w:r>
          </w:p>
        </w:tc>
        <w:tc>
          <w:tcPr>
            <w:tcW w:w="2789" w:type="dxa"/>
            <w:vAlign w:val="center"/>
          </w:tcPr>
          <w:p w14:paraId="2BD22FCB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0.2%</w:t>
            </w:r>
          </w:p>
        </w:tc>
        <w:tc>
          <w:tcPr>
            <w:tcW w:w="2945" w:type="dxa"/>
            <w:vAlign w:val="center"/>
          </w:tcPr>
          <w:p w14:paraId="39804E3F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0.00%</w:t>
            </w:r>
          </w:p>
        </w:tc>
      </w:tr>
      <w:tr w:rsidR="00932CF7" w:rsidRPr="009A2775" w14:paraId="1F100EDC" w14:textId="77777777" w:rsidTr="00742C98">
        <w:trPr>
          <w:trHeight w:val="180"/>
        </w:trPr>
        <w:tc>
          <w:tcPr>
            <w:tcW w:w="5479" w:type="dxa"/>
          </w:tcPr>
          <w:p w14:paraId="50F5C3BC" w14:textId="7CC07790" w:rsidR="00932CF7" w:rsidRPr="009A2775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sz w:val="24"/>
                <w:szCs w:val="24"/>
                <w:lang w:eastAsia="en-AU"/>
              </w:rPr>
            </w:pP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sz w:val="24"/>
                <w:szCs w:val="24"/>
                <w:lang w:eastAsia="en-AU"/>
              </w:rPr>
              <w:t>patients</w:t>
            </w:r>
          </w:p>
        </w:tc>
        <w:tc>
          <w:tcPr>
            <w:tcW w:w="2789" w:type="dxa"/>
            <w:vAlign w:val="center"/>
          </w:tcPr>
          <w:p w14:paraId="7F62EA8B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3.0%</w:t>
            </w:r>
          </w:p>
        </w:tc>
        <w:tc>
          <w:tcPr>
            <w:tcW w:w="2945" w:type="dxa"/>
            <w:vAlign w:val="center"/>
          </w:tcPr>
          <w:p w14:paraId="10CCE23E" w14:textId="7777777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0.00%</w:t>
            </w:r>
          </w:p>
        </w:tc>
      </w:tr>
      <w:tr w:rsidR="006767EC" w:rsidRPr="009A2775" w14:paraId="4D7943D4" w14:textId="77777777" w:rsidTr="00742C98">
        <w:trPr>
          <w:trHeight w:val="412"/>
        </w:trPr>
        <w:tc>
          <w:tcPr>
            <w:tcW w:w="5479" w:type="dxa"/>
          </w:tcPr>
          <w:p w14:paraId="4616D973" w14:textId="68AFB2C3" w:rsidR="006767EC" w:rsidRPr="009A2775" w:rsidRDefault="00B416D1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Total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ADRs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to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infliximab</w:t>
            </w:r>
          </w:p>
        </w:tc>
        <w:tc>
          <w:tcPr>
            <w:tcW w:w="2789" w:type="dxa"/>
            <w:vAlign w:val="center"/>
          </w:tcPr>
          <w:p w14:paraId="75A0EE36" w14:textId="71E7C94E" w:rsidR="006767EC" w:rsidRPr="009A2775" w:rsidRDefault="00B416D1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2945" w:type="dxa"/>
            <w:vAlign w:val="center"/>
          </w:tcPr>
          <w:p w14:paraId="39DF7ADD" w14:textId="2347B91F" w:rsidR="006767EC" w:rsidRPr="009A2775" w:rsidRDefault="00B416D1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(%)</w:t>
            </w:r>
          </w:p>
        </w:tc>
      </w:tr>
      <w:tr w:rsidR="00932CF7" w:rsidRPr="009A2775" w14:paraId="546607D4" w14:textId="77777777" w:rsidTr="00742C98">
        <w:trPr>
          <w:trHeight w:val="437"/>
        </w:trPr>
        <w:tc>
          <w:tcPr>
            <w:tcW w:w="5479" w:type="dxa"/>
          </w:tcPr>
          <w:p w14:paraId="402C0A29" w14:textId="388FEF6B" w:rsidR="00932CF7" w:rsidRPr="009A2775" w:rsidRDefault="00932CF7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Mild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ADRs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(by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subtype)</w:t>
            </w:r>
          </w:p>
        </w:tc>
        <w:tc>
          <w:tcPr>
            <w:tcW w:w="2789" w:type="dxa"/>
            <w:vAlign w:val="center"/>
          </w:tcPr>
          <w:p w14:paraId="748EA12E" w14:textId="39B68F2A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(69.6)</w:t>
            </w:r>
          </w:p>
        </w:tc>
        <w:tc>
          <w:tcPr>
            <w:tcW w:w="2945" w:type="dxa"/>
            <w:vAlign w:val="center"/>
          </w:tcPr>
          <w:p w14:paraId="1ECA5D32" w14:textId="0EF6C514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(100.0)</w:t>
            </w:r>
          </w:p>
        </w:tc>
      </w:tr>
      <w:tr w:rsidR="00932CF7" w:rsidRPr="009A2775" w14:paraId="2481FB89" w14:textId="77777777" w:rsidTr="00742C98">
        <w:trPr>
          <w:trHeight w:val="355"/>
        </w:trPr>
        <w:tc>
          <w:tcPr>
            <w:tcW w:w="5479" w:type="dxa"/>
          </w:tcPr>
          <w:p w14:paraId="6947207D" w14:textId="316E9FAF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Serum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sickness</w:t>
            </w:r>
          </w:p>
        </w:tc>
        <w:tc>
          <w:tcPr>
            <w:tcW w:w="2789" w:type="dxa"/>
            <w:vAlign w:val="center"/>
          </w:tcPr>
          <w:p w14:paraId="68B63865" w14:textId="5FDA63A3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319E647E" w14:textId="5D86D02B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(25.0)</w:t>
            </w:r>
          </w:p>
        </w:tc>
      </w:tr>
      <w:tr w:rsidR="00932CF7" w:rsidRPr="009A2775" w14:paraId="4C89C1FB" w14:textId="77777777" w:rsidTr="00742C98">
        <w:trPr>
          <w:trHeight w:val="524"/>
        </w:trPr>
        <w:tc>
          <w:tcPr>
            <w:tcW w:w="5479" w:type="dxa"/>
          </w:tcPr>
          <w:p w14:paraId="299B6E5E" w14:textId="228418F1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Skin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rash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(including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psoriasis/lupus)</w:t>
            </w:r>
          </w:p>
        </w:tc>
        <w:tc>
          <w:tcPr>
            <w:tcW w:w="2789" w:type="dxa"/>
            <w:vAlign w:val="center"/>
          </w:tcPr>
          <w:p w14:paraId="4AE5DD72" w14:textId="427260E3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(26.1)</w:t>
            </w:r>
          </w:p>
        </w:tc>
        <w:tc>
          <w:tcPr>
            <w:tcW w:w="2945" w:type="dxa"/>
            <w:vAlign w:val="center"/>
          </w:tcPr>
          <w:p w14:paraId="6F6D3B53" w14:textId="2D110463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(50.0)</w:t>
            </w:r>
          </w:p>
        </w:tc>
      </w:tr>
      <w:tr w:rsidR="00932CF7" w:rsidRPr="009A2775" w14:paraId="13A3CC8D" w14:textId="77777777" w:rsidTr="00742C98">
        <w:trPr>
          <w:trHeight w:val="514"/>
        </w:trPr>
        <w:tc>
          <w:tcPr>
            <w:tcW w:w="5479" w:type="dxa"/>
          </w:tcPr>
          <w:p w14:paraId="5BE3AA80" w14:textId="7E67A8CC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Facial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flushing</w:t>
            </w:r>
          </w:p>
        </w:tc>
        <w:tc>
          <w:tcPr>
            <w:tcW w:w="2789" w:type="dxa"/>
            <w:vAlign w:val="center"/>
          </w:tcPr>
          <w:p w14:paraId="4810D50E" w14:textId="105FC83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48CA4AC9" w14:textId="55A9E2B4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932CF7" w:rsidRPr="009A2775" w14:paraId="0DA7D0D5" w14:textId="77777777" w:rsidTr="00742C98">
        <w:trPr>
          <w:trHeight w:val="497"/>
        </w:trPr>
        <w:tc>
          <w:tcPr>
            <w:tcW w:w="5479" w:type="dxa"/>
          </w:tcPr>
          <w:p w14:paraId="0DEAF44C" w14:textId="77777777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Hypoxia</w:t>
            </w:r>
          </w:p>
        </w:tc>
        <w:tc>
          <w:tcPr>
            <w:tcW w:w="2789" w:type="dxa"/>
            <w:vAlign w:val="center"/>
          </w:tcPr>
          <w:p w14:paraId="09AACE7F" w14:textId="2F4F5445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  <w:tc>
          <w:tcPr>
            <w:tcW w:w="2945" w:type="dxa"/>
            <w:vAlign w:val="center"/>
          </w:tcPr>
          <w:p w14:paraId="78C08B2A" w14:textId="43235B52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(25.0)</w:t>
            </w:r>
          </w:p>
        </w:tc>
      </w:tr>
      <w:tr w:rsidR="00932CF7" w:rsidRPr="009A2775" w14:paraId="15F35525" w14:textId="77777777" w:rsidTr="00742C98">
        <w:trPr>
          <w:trHeight w:val="445"/>
        </w:trPr>
        <w:tc>
          <w:tcPr>
            <w:tcW w:w="5479" w:type="dxa"/>
          </w:tcPr>
          <w:p w14:paraId="7A03378B" w14:textId="77777777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Nausea</w:t>
            </w:r>
          </w:p>
        </w:tc>
        <w:tc>
          <w:tcPr>
            <w:tcW w:w="2789" w:type="dxa"/>
            <w:vAlign w:val="center"/>
          </w:tcPr>
          <w:p w14:paraId="6876CA3A" w14:textId="62B52FD1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(8.7)</w:t>
            </w:r>
          </w:p>
        </w:tc>
        <w:tc>
          <w:tcPr>
            <w:tcW w:w="2945" w:type="dxa"/>
            <w:vAlign w:val="center"/>
          </w:tcPr>
          <w:p w14:paraId="3039014B" w14:textId="5F5E61EC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(12.5)</w:t>
            </w:r>
          </w:p>
        </w:tc>
      </w:tr>
      <w:tr w:rsidR="00932CF7" w:rsidRPr="009A2775" w14:paraId="6C0F7B56" w14:textId="77777777" w:rsidTr="00742C98">
        <w:trPr>
          <w:trHeight w:val="503"/>
        </w:trPr>
        <w:tc>
          <w:tcPr>
            <w:tcW w:w="5479" w:type="dxa"/>
          </w:tcPr>
          <w:p w14:paraId="33161714" w14:textId="77777777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Pruritis</w:t>
            </w:r>
          </w:p>
        </w:tc>
        <w:tc>
          <w:tcPr>
            <w:tcW w:w="2789" w:type="dxa"/>
            <w:vAlign w:val="center"/>
          </w:tcPr>
          <w:p w14:paraId="71801B4D" w14:textId="14E65648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(8.7)</w:t>
            </w:r>
          </w:p>
        </w:tc>
        <w:tc>
          <w:tcPr>
            <w:tcW w:w="2945" w:type="dxa"/>
            <w:vAlign w:val="center"/>
          </w:tcPr>
          <w:p w14:paraId="5AA44C49" w14:textId="0E34574E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932CF7" w:rsidRPr="009A2775" w14:paraId="410E46E8" w14:textId="77777777" w:rsidTr="00742C98">
        <w:trPr>
          <w:trHeight w:val="451"/>
        </w:trPr>
        <w:tc>
          <w:tcPr>
            <w:tcW w:w="5479" w:type="dxa"/>
          </w:tcPr>
          <w:p w14:paraId="28FB84E2" w14:textId="77777777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Arthralgia</w:t>
            </w:r>
          </w:p>
        </w:tc>
        <w:tc>
          <w:tcPr>
            <w:tcW w:w="2789" w:type="dxa"/>
            <w:vAlign w:val="center"/>
          </w:tcPr>
          <w:p w14:paraId="5425A8A5" w14:textId="46973D0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43C393EA" w14:textId="161CBF66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932CF7" w:rsidRPr="009A2775" w14:paraId="37D89BFC" w14:textId="77777777" w:rsidTr="00742C98">
        <w:trPr>
          <w:trHeight w:val="499"/>
        </w:trPr>
        <w:tc>
          <w:tcPr>
            <w:tcW w:w="5479" w:type="dxa"/>
          </w:tcPr>
          <w:p w14:paraId="5BC31662" w14:textId="33962714" w:rsidR="00932CF7" w:rsidRPr="009A2775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lastRenderedPageBreak/>
              <w:t>Other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(unspecified)</w:t>
            </w:r>
          </w:p>
        </w:tc>
        <w:tc>
          <w:tcPr>
            <w:tcW w:w="2789" w:type="dxa"/>
            <w:vAlign w:val="center"/>
          </w:tcPr>
          <w:p w14:paraId="663EA137" w14:textId="3C00B0C7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(13.0)</w:t>
            </w:r>
          </w:p>
        </w:tc>
        <w:tc>
          <w:tcPr>
            <w:tcW w:w="2945" w:type="dxa"/>
            <w:vAlign w:val="center"/>
          </w:tcPr>
          <w:p w14:paraId="0BBB9F3D" w14:textId="3D7D970F" w:rsidR="00932CF7" w:rsidRPr="009A2775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9A2775" w14:paraId="4391476A" w14:textId="77777777" w:rsidTr="00742C98">
        <w:trPr>
          <w:trHeight w:val="299"/>
        </w:trPr>
        <w:tc>
          <w:tcPr>
            <w:tcW w:w="5479" w:type="dxa"/>
          </w:tcPr>
          <w:p w14:paraId="0BE4EE90" w14:textId="6120CA6A" w:rsidR="0030454F" w:rsidRPr="009A2775" w:rsidRDefault="0030454F" w:rsidP="0030454F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Severe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ADRs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(by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subtype)</w:t>
            </w:r>
          </w:p>
        </w:tc>
        <w:tc>
          <w:tcPr>
            <w:tcW w:w="2789" w:type="dxa"/>
            <w:vAlign w:val="center"/>
          </w:tcPr>
          <w:p w14:paraId="68A0BFE2" w14:textId="698C08E3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7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(30.4)</w:t>
            </w:r>
          </w:p>
        </w:tc>
        <w:tc>
          <w:tcPr>
            <w:tcW w:w="2945" w:type="dxa"/>
            <w:vAlign w:val="center"/>
          </w:tcPr>
          <w:p w14:paraId="79EE3C6E" w14:textId="29D64589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9A2775" w14:paraId="093D0594" w14:textId="77777777" w:rsidTr="00742C98">
        <w:trPr>
          <w:trHeight w:val="399"/>
        </w:trPr>
        <w:tc>
          <w:tcPr>
            <w:tcW w:w="5479" w:type="dxa"/>
          </w:tcPr>
          <w:p w14:paraId="376D864C" w14:textId="7F8CFEA2" w:rsidR="0030454F" w:rsidRPr="009A2775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Anaphylactic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(incl.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angioedema)</w:t>
            </w:r>
          </w:p>
        </w:tc>
        <w:tc>
          <w:tcPr>
            <w:tcW w:w="2789" w:type="dxa"/>
            <w:vAlign w:val="center"/>
          </w:tcPr>
          <w:p w14:paraId="7FC5F4D0" w14:textId="402951A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(17.4)</w:t>
            </w:r>
          </w:p>
        </w:tc>
        <w:tc>
          <w:tcPr>
            <w:tcW w:w="2945" w:type="dxa"/>
            <w:vAlign w:val="center"/>
          </w:tcPr>
          <w:p w14:paraId="684DBC48" w14:textId="69239198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9A2775" w14:paraId="0BF62128" w14:textId="77777777" w:rsidTr="00742C98">
        <w:trPr>
          <w:trHeight w:val="424"/>
        </w:trPr>
        <w:tc>
          <w:tcPr>
            <w:tcW w:w="5479" w:type="dxa"/>
          </w:tcPr>
          <w:p w14:paraId="050BB611" w14:textId="77777777" w:rsidR="0030454F" w:rsidRPr="009A2775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Dyspnoea</w:t>
            </w:r>
          </w:p>
        </w:tc>
        <w:tc>
          <w:tcPr>
            <w:tcW w:w="2789" w:type="dxa"/>
            <w:vAlign w:val="center"/>
          </w:tcPr>
          <w:p w14:paraId="2D545F9A" w14:textId="3F957EF9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18E45DFB" w14:textId="3C3836AB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9A2775" w14:paraId="61094184" w14:textId="77777777" w:rsidTr="00742C98">
        <w:trPr>
          <w:trHeight w:val="424"/>
        </w:trPr>
        <w:tc>
          <w:tcPr>
            <w:tcW w:w="5479" w:type="dxa"/>
          </w:tcPr>
          <w:p w14:paraId="7C62AD21" w14:textId="77777777" w:rsidR="0030454F" w:rsidRPr="009A2775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Hypotension</w:t>
            </w:r>
          </w:p>
        </w:tc>
        <w:tc>
          <w:tcPr>
            <w:tcW w:w="2789" w:type="dxa"/>
            <w:vAlign w:val="center"/>
          </w:tcPr>
          <w:p w14:paraId="7098D4A1" w14:textId="3F44B3FF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32221841" w14:textId="04A1C3CC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9A2775" w14:paraId="4F895DC4" w14:textId="77777777" w:rsidTr="00742C98">
        <w:trPr>
          <w:trHeight w:val="59"/>
        </w:trPr>
        <w:tc>
          <w:tcPr>
            <w:tcW w:w="5479" w:type="dxa"/>
          </w:tcPr>
          <w:p w14:paraId="3B233EDE" w14:textId="715AABF3" w:rsidR="0030454F" w:rsidRPr="009A2775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Chest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pain</w:t>
            </w:r>
          </w:p>
        </w:tc>
        <w:tc>
          <w:tcPr>
            <w:tcW w:w="2789" w:type="dxa"/>
            <w:vAlign w:val="center"/>
          </w:tcPr>
          <w:p w14:paraId="522FA34A" w14:textId="53EE0B81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08982328" w14:textId="19979730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9A2775" w14:paraId="47C4A5FB" w14:textId="77777777" w:rsidTr="00742C98">
        <w:trPr>
          <w:trHeight w:val="59"/>
        </w:trPr>
        <w:tc>
          <w:tcPr>
            <w:tcW w:w="5479" w:type="dxa"/>
          </w:tcPr>
          <w:p w14:paraId="63DF16CC" w14:textId="14DE5659" w:rsidR="0030454F" w:rsidRPr="009A2775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Other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(unspecified)</w:t>
            </w:r>
          </w:p>
        </w:tc>
        <w:tc>
          <w:tcPr>
            <w:tcW w:w="2789" w:type="dxa"/>
            <w:vAlign w:val="center"/>
          </w:tcPr>
          <w:p w14:paraId="007A6DD9" w14:textId="06E37563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  <w:tc>
          <w:tcPr>
            <w:tcW w:w="2945" w:type="dxa"/>
            <w:vAlign w:val="center"/>
          </w:tcPr>
          <w:p w14:paraId="73D4DA39" w14:textId="2BA02065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9A2775" w14:paraId="5C87686F" w14:textId="77777777" w:rsidTr="00742C98">
        <w:trPr>
          <w:trHeight w:val="357"/>
        </w:trPr>
        <w:tc>
          <w:tcPr>
            <w:tcW w:w="5479" w:type="dxa"/>
          </w:tcPr>
          <w:p w14:paraId="5E207B81" w14:textId="745D5B74" w:rsidR="0030454F" w:rsidRPr="009A2775" w:rsidRDefault="0030454F" w:rsidP="0030454F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Retrial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outcomes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</w:p>
        </w:tc>
        <w:tc>
          <w:tcPr>
            <w:tcW w:w="2789" w:type="dxa"/>
            <w:vAlign w:val="center"/>
          </w:tcPr>
          <w:p w14:paraId="1F2EDE3B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945" w:type="dxa"/>
            <w:vAlign w:val="center"/>
          </w:tcPr>
          <w:p w14:paraId="64103328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30454F" w:rsidRPr="009A2775" w14:paraId="479E2FE8" w14:textId="77777777" w:rsidTr="00742C98">
        <w:trPr>
          <w:trHeight w:val="412"/>
        </w:trPr>
        <w:tc>
          <w:tcPr>
            <w:tcW w:w="5479" w:type="dxa"/>
          </w:tcPr>
          <w:p w14:paraId="51BE6189" w14:textId="06417A30" w:rsidR="0030454F" w:rsidRPr="009A2775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Returned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to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rapid</w:t>
            </w:r>
          </w:p>
        </w:tc>
        <w:tc>
          <w:tcPr>
            <w:tcW w:w="2789" w:type="dxa"/>
            <w:vAlign w:val="center"/>
          </w:tcPr>
          <w:p w14:paraId="0FB09E3D" w14:textId="3B03BD45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NA</w:t>
            </w:r>
          </w:p>
        </w:tc>
        <w:tc>
          <w:tcPr>
            <w:tcW w:w="2945" w:type="dxa"/>
            <w:vAlign w:val="center"/>
          </w:tcPr>
          <w:p w14:paraId="05B338FF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7</w:t>
            </w:r>
          </w:p>
        </w:tc>
      </w:tr>
      <w:tr w:rsidR="0030454F" w:rsidRPr="009A2775" w14:paraId="049584B6" w14:textId="77777777" w:rsidTr="00742C98">
        <w:trPr>
          <w:trHeight w:val="349"/>
        </w:trPr>
        <w:tc>
          <w:tcPr>
            <w:tcW w:w="5479" w:type="dxa"/>
          </w:tcPr>
          <w:p w14:paraId="1AA0A3A3" w14:textId="5ABDA08C" w:rsidR="0030454F" w:rsidRPr="009A2775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Returned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to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accelerated</w:t>
            </w:r>
          </w:p>
        </w:tc>
        <w:tc>
          <w:tcPr>
            <w:tcW w:w="2789" w:type="dxa"/>
            <w:vAlign w:val="center"/>
          </w:tcPr>
          <w:p w14:paraId="1FB25B37" w14:textId="1980DF74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NA</w:t>
            </w:r>
          </w:p>
        </w:tc>
        <w:tc>
          <w:tcPr>
            <w:tcW w:w="2945" w:type="dxa"/>
            <w:vAlign w:val="center"/>
          </w:tcPr>
          <w:p w14:paraId="18620CE6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</w:p>
        </w:tc>
      </w:tr>
      <w:tr w:rsidR="0030454F" w:rsidRPr="009A2775" w14:paraId="5F476F88" w14:textId="77777777" w:rsidTr="00742C98">
        <w:trPr>
          <w:trHeight w:val="387"/>
        </w:trPr>
        <w:tc>
          <w:tcPr>
            <w:tcW w:w="5479" w:type="dxa"/>
          </w:tcPr>
          <w:p w14:paraId="7710F396" w14:textId="448CE8E7" w:rsidR="0030454F" w:rsidRPr="009A2775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Returned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to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standard</w:t>
            </w:r>
          </w:p>
        </w:tc>
        <w:tc>
          <w:tcPr>
            <w:tcW w:w="2789" w:type="dxa"/>
            <w:vAlign w:val="center"/>
          </w:tcPr>
          <w:p w14:paraId="605DA78B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15</w:t>
            </w:r>
          </w:p>
        </w:tc>
        <w:tc>
          <w:tcPr>
            <w:tcW w:w="2945" w:type="dxa"/>
            <w:vAlign w:val="center"/>
          </w:tcPr>
          <w:p w14:paraId="03F168A0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</w:p>
        </w:tc>
      </w:tr>
      <w:tr w:rsidR="0030454F" w:rsidRPr="009A2775" w14:paraId="0158228A" w14:textId="77777777" w:rsidTr="00742C98">
        <w:trPr>
          <w:trHeight w:val="248"/>
        </w:trPr>
        <w:tc>
          <w:tcPr>
            <w:tcW w:w="5479" w:type="dxa"/>
          </w:tcPr>
          <w:p w14:paraId="528E9117" w14:textId="1400CF2B" w:rsidR="0030454F" w:rsidRPr="009A2775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ADR(s)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occurred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on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retrial</w:t>
            </w:r>
          </w:p>
        </w:tc>
        <w:tc>
          <w:tcPr>
            <w:tcW w:w="2789" w:type="dxa"/>
            <w:vAlign w:val="center"/>
          </w:tcPr>
          <w:p w14:paraId="426113A5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</w:t>
            </w:r>
          </w:p>
        </w:tc>
        <w:tc>
          <w:tcPr>
            <w:tcW w:w="2945" w:type="dxa"/>
            <w:vAlign w:val="center"/>
          </w:tcPr>
          <w:p w14:paraId="213B7730" w14:textId="77777777" w:rsidR="0030454F" w:rsidRPr="009A2775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</w:p>
        </w:tc>
      </w:tr>
    </w:tbl>
    <w:p w14:paraId="2D31C128" w14:textId="5DFBD339" w:rsidR="006767EC" w:rsidRPr="009A2775" w:rsidRDefault="00B416D1">
      <w:pPr>
        <w:spacing w:line="360" w:lineRule="auto"/>
        <w:rPr>
          <w:rFonts w:ascii="Book Antiqua" w:hAnsi="Book Antiqua" w:cs="Book Antiqua"/>
          <w:lang w:eastAsia="zh-CN"/>
        </w:rPr>
      </w:pPr>
      <w:r w:rsidRPr="009A2775">
        <w:rPr>
          <w:rFonts w:ascii="Book Antiqua" w:hAnsi="Book Antiqua" w:cs="Book Antiqua"/>
          <w:vertAlign w:val="superscript"/>
          <w:lang w:eastAsia="en-AU"/>
        </w:rPr>
        <w:t>1</w:t>
      </w:r>
      <w:r w:rsidRPr="009A2775">
        <w:rPr>
          <w:rFonts w:ascii="Book Antiqua" w:hAnsi="Book Antiqua" w:cs="Book Antiqua"/>
          <w:lang w:eastAsia="en-AU"/>
        </w:rPr>
        <w:t>As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per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Common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Toxicity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Criteria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definitions;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vertAlign w:val="superscript"/>
          <w:lang w:eastAsia="en-AU"/>
        </w:rPr>
        <w:t>2</w:t>
      </w:r>
      <w:r w:rsidRPr="009A2775">
        <w:rPr>
          <w:rFonts w:ascii="Book Antiqua" w:hAnsi="Book Antiqua" w:cs="Book Antiqua"/>
          <w:lang w:eastAsia="en-AU"/>
        </w:rPr>
        <w:t>Fastest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protocol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to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which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tolerated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on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ongoing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basis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(</w:t>
      </w:r>
      <w:r w:rsidRPr="009A2775">
        <w:rPr>
          <w:rFonts w:ascii="Book Antiqua" w:hAnsi="Book Antiqua" w:cs="Book Antiqua"/>
          <w:i/>
          <w:iCs/>
          <w:lang w:eastAsia="en-AU"/>
        </w:rPr>
        <w:t>i.e.</w:t>
      </w:r>
      <w:r w:rsidR="00E1123A" w:rsidRPr="009A2775">
        <w:rPr>
          <w:rFonts w:ascii="Book Antiqua" w:hAnsi="Book Antiqua" w:cs="Book Antiqua"/>
          <w:i/>
          <w:iCs/>
          <w:lang w:eastAsia="en-AU"/>
        </w:rPr>
        <w:t>,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≥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3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infusions).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</w:rPr>
        <w:t>RR: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Relative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risk;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ADR: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Adverse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drug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reaction</w:t>
      </w:r>
      <w:r w:rsidR="00E1123A" w:rsidRPr="009A2775">
        <w:rPr>
          <w:rFonts w:ascii="Book Antiqua" w:hAnsi="Book Antiqua" w:cs="Book Antiqua"/>
        </w:rPr>
        <w:t>; NA: N</w:t>
      </w:r>
      <w:r w:rsidR="00E1123A" w:rsidRPr="009A2775">
        <w:rPr>
          <w:rFonts w:ascii="Book Antiqua" w:hAnsi="Book Antiqua" w:cs="Book Antiqua" w:hint="eastAsia"/>
          <w:lang w:eastAsia="zh-CN"/>
        </w:rPr>
        <w:t>ot</w:t>
      </w:r>
      <w:r w:rsidR="00E1123A" w:rsidRPr="009A2775">
        <w:rPr>
          <w:rFonts w:ascii="Book Antiqua" w:hAnsi="Book Antiqua" w:cs="Book Antiqua"/>
          <w:lang w:eastAsia="zh-CN"/>
        </w:rPr>
        <w:t xml:space="preserve"> available. </w:t>
      </w:r>
    </w:p>
    <w:p w14:paraId="68CBD7C6" w14:textId="63834022" w:rsidR="006767EC" w:rsidRPr="009A2775" w:rsidRDefault="00B416D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9A2775">
        <w:rPr>
          <w:rFonts w:ascii="Book Antiqua" w:hAnsi="Book Antiqua" w:cs="Book Antiqua"/>
        </w:rPr>
        <w:br w:type="page"/>
      </w:r>
      <w:r w:rsidRPr="009A2775">
        <w:rPr>
          <w:rFonts w:ascii="Book Antiqua" w:hAnsi="Book Antiqua" w:cs="Book Antiqua"/>
          <w:b/>
          <w:bCs/>
        </w:rPr>
        <w:lastRenderedPageBreak/>
        <w:t>Table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3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Univariable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and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multivariable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logistic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regression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analyses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depicting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factors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potentially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associated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with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increased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likelihood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of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infliximab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infusion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reaction/s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with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a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rapid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infusion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protocol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this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cohort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(</w:t>
      </w:r>
      <w:r w:rsidRPr="009A2775">
        <w:rPr>
          <w:rFonts w:ascii="Book Antiqua" w:hAnsi="Book Antiqua" w:cs="Book Antiqua"/>
          <w:b/>
          <w:bCs/>
          <w:i/>
          <w:iCs/>
        </w:rPr>
        <w:t>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=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129)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093"/>
        <w:gridCol w:w="2172"/>
        <w:gridCol w:w="2413"/>
        <w:gridCol w:w="2173"/>
      </w:tblGrid>
      <w:tr w:rsidR="006767EC" w:rsidRPr="009A2775" w14:paraId="45F52581" w14:textId="77777777" w:rsidTr="00742C98">
        <w:trPr>
          <w:trHeight w:val="1305"/>
        </w:trPr>
        <w:tc>
          <w:tcPr>
            <w:tcW w:w="3304" w:type="dxa"/>
            <w:tcBorders>
              <w:bottom w:val="single" w:sz="4" w:space="0" w:color="auto"/>
            </w:tcBorders>
          </w:tcPr>
          <w:p w14:paraId="6F21ADC4" w14:textId="77777777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Variable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A1430D6" w14:textId="3C77F67E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lang w:eastAsia="en-AU"/>
              </w:rPr>
              <w:t>Univariable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odds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ratio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(95%CI)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73A26CA9" w14:textId="3FEDD133" w:rsidR="006767EC" w:rsidRPr="009A2775" w:rsidRDefault="00B416D1" w:rsidP="001739F8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i/>
                <w:iCs/>
                <w:lang w:eastAsia="en-AU"/>
              </w:rPr>
              <w:t>P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value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392F9764" w14:textId="2C4A7D5D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lang w:eastAsia="en-AU"/>
              </w:rPr>
              <w:t>Multivariable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odds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ratio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(95%CI)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71CFA4E0" w14:textId="72087D7F" w:rsidR="006767EC" w:rsidRPr="009A2775" w:rsidRDefault="00B416D1" w:rsidP="001739F8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i/>
                <w:iCs/>
                <w:lang w:eastAsia="en-AU"/>
              </w:rPr>
              <w:t>P</w:t>
            </w:r>
            <w:r w:rsidR="00221BA4" w:rsidRPr="009A2775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lang w:eastAsia="en-AU"/>
              </w:rPr>
              <w:t>value</w:t>
            </w:r>
          </w:p>
        </w:tc>
      </w:tr>
      <w:tr w:rsidR="006767EC" w:rsidRPr="009A2775" w14:paraId="3AE7B95C" w14:textId="77777777" w:rsidTr="00BB0DE6">
        <w:trPr>
          <w:trHeight w:val="205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68AC90B7" w14:textId="6091574F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Lower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BMI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(&lt;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22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kg/m</w:t>
            </w:r>
            <w:r w:rsidRPr="009A2775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  <w:r w:rsidRPr="009A2775">
              <w:rPr>
                <w:rFonts w:ascii="Book Antiqua" w:hAnsi="Book Antiqua" w:cs="Book Antiqua"/>
                <w:lang w:eastAsia="en-AU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3F38A7EE" w14:textId="417DF448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2.0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(0.7,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6.0)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7B8F1B11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0.15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3C0E5190" w14:textId="34F2951D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5.3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(1.3,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21.6)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14:paraId="0C5BDADB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0.02</w:t>
            </w:r>
          </w:p>
        </w:tc>
      </w:tr>
      <w:tr w:rsidR="006767EC" w:rsidRPr="009A2775" w14:paraId="5C5B7CFC" w14:textId="77777777" w:rsidTr="002B4177">
        <w:trPr>
          <w:trHeight w:val="888"/>
        </w:trPr>
        <w:tc>
          <w:tcPr>
            <w:tcW w:w="3304" w:type="dxa"/>
            <w:vAlign w:val="center"/>
          </w:tcPr>
          <w:p w14:paraId="66BEC1EE" w14:textId="30056F1A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Presence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of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≥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extra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intestinal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manifestation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14:paraId="3F22BA8D" w14:textId="567100F6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4.0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(1.4,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11.8)</w:t>
            </w:r>
          </w:p>
        </w:tc>
        <w:tc>
          <w:tcPr>
            <w:tcW w:w="2172" w:type="dxa"/>
            <w:vAlign w:val="center"/>
          </w:tcPr>
          <w:p w14:paraId="325B8D10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0.01</w:t>
            </w:r>
          </w:p>
        </w:tc>
        <w:tc>
          <w:tcPr>
            <w:tcW w:w="2413" w:type="dxa"/>
            <w:vAlign w:val="center"/>
          </w:tcPr>
          <w:p w14:paraId="7D3F707B" w14:textId="13A37535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8.8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(2.3,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33.5)</w:t>
            </w:r>
          </w:p>
        </w:tc>
        <w:tc>
          <w:tcPr>
            <w:tcW w:w="2173" w:type="dxa"/>
            <w:vAlign w:val="center"/>
          </w:tcPr>
          <w:p w14:paraId="05CB1E71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&lt;0.01</w:t>
            </w:r>
          </w:p>
        </w:tc>
      </w:tr>
      <w:tr w:rsidR="006767EC" w:rsidRPr="009A2775" w14:paraId="075875A6" w14:textId="77777777" w:rsidTr="00BB0DE6">
        <w:trPr>
          <w:trHeight w:val="113"/>
        </w:trPr>
        <w:tc>
          <w:tcPr>
            <w:tcW w:w="3304" w:type="dxa"/>
            <w:vAlign w:val="center"/>
          </w:tcPr>
          <w:p w14:paraId="3CD6C8A2" w14:textId="4948D4CF" w:rsidR="006767EC" w:rsidRPr="009A2775" w:rsidRDefault="00B416D1">
            <w:pPr>
              <w:spacing w:line="360" w:lineRule="auto"/>
              <w:ind w:left="120" w:hangingChars="50" w:hanging="120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Disease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duration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≥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proofErr w:type="spellStart"/>
            <w:r w:rsidRPr="009A2775">
              <w:rPr>
                <w:rFonts w:ascii="Book Antiqua" w:hAnsi="Book Antiqua" w:cs="Book Antiqua"/>
                <w:lang w:eastAsia="en-AU"/>
              </w:rPr>
              <w:t>yr</w:t>
            </w:r>
            <w:proofErr w:type="spellEnd"/>
          </w:p>
        </w:tc>
        <w:tc>
          <w:tcPr>
            <w:tcW w:w="2093" w:type="dxa"/>
            <w:vAlign w:val="center"/>
          </w:tcPr>
          <w:p w14:paraId="16DBB6B6" w14:textId="1FAD4B0A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4.8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(1.1,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20.5)</w:t>
            </w:r>
          </w:p>
        </w:tc>
        <w:tc>
          <w:tcPr>
            <w:tcW w:w="2172" w:type="dxa"/>
            <w:vAlign w:val="center"/>
          </w:tcPr>
          <w:p w14:paraId="05FD1F04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0.01</w:t>
            </w:r>
          </w:p>
        </w:tc>
        <w:tc>
          <w:tcPr>
            <w:tcW w:w="2413" w:type="dxa"/>
            <w:vAlign w:val="center"/>
          </w:tcPr>
          <w:p w14:paraId="5A9B8716" w14:textId="19C74A01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6.1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(1.1,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35.1)</w:t>
            </w:r>
          </w:p>
        </w:tc>
        <w:tc>
          <w:tcPr>
            <w:tcW w:w="2173" w:type="dxa"/>
            <w:vAlign w:val="center"/>
          </w:tcPr>
          <w:p w14:paraId="1B9A3E65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0.04</w:t>
            </w:r>
          </w:p>
        </w:tc>
      </w:tr>
      <w:tr w:rsidR="006767EC" w:rsidRPr="009A2775" w14:paraId="4C3D2CF6" w14:textId="77777777" w:rsidTr="00742C98">
        <w:trPr>
          <w:trHeight w:val="1032"/>
        </w:trPr>
        <w:tc>
          <w:tcPr>
            <w:tcW w:w="3304" w:type="dxa"/>
            <w:vAlign w:val="center"/>
          </w:tcPr>
          <w:p w14:paraId="67A60352" w14:textId="1BAA7078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Previous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infliximab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exposure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(≥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dose)</w:t>
            </w:r>
          </w:p>
        </w:tc>
        <w:tc>
          <w:tcPr>
            <w:tcW w:w="2093" w:type="dxa"/>
            <w:vAlign w:val="center"/>
          </w:tcPr>
          <w:p w14:paraId="66DA4C75" w14:textId="3CBA38C2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5.8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(1.2,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27.2)</w:t>
            </w:r>
          </w:p>
        </w:tc>
        <w:tc>
          <w:tcPr>
            <w:tcW w:w="2172" w:type="dxa"/>
            <w:vAlign w:val="center"/>
          </w:tcPr>
          <w:p w14:paraId="5FB42561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0.02</w:t>
            </w:r>
          </w:p>
        </w:tc>
        <w:tc>
          <w:tcPr>
            <w:tcW w:w="2413" w:type="dxa"/>
            <w:vAlign w:val="center"/>
          </w:tcPr>
          <w:p w14:paraId="1D0AE444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45E3B901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9A2775" w14:paraId="0A20E956" w14:textId="77777777" w:rsidTr="00BB0DE6">
        <w:trPr>
          <w:trHeight w:val="758"/>
        </w:trPr>
        <w:tc>
          <w:tcPr>
            <w:tcW w:w="3304" w:type="dxa"/>
            <w:vAlign w:val="center"/>
          </w:tcPr>
          <w:p w14:paraId="61F2ABC9" w14:textId="783AAD93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Previous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other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biologic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exposure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(any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other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agent)</w:t>
            </w:r>
          </w:p>
        </w:tc>
        <w:tc>
          <w:tcPr>
            <w:tcW w:w="2093" w:type="dxa"/>
            <w:vAlign w:val="center"/>
          </w:tcPr>
          <w:p w14:paraId="35B536BB" w14:textId="6E4C94C4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18.6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(1.6,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218.0)</w:t>
            </w:r>
          </w:p>
        </w:tc>
        <w:tc>
          <w:tcPr>
            <w:tcW w:w="2172" w:type="dxa"/>
            <w:vAlign w:val="center"/>
          </w:tcPr>
          <w:p w14:paraId="04016F51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0.03</w:t>
            </w:r>
          </w:p>
        </w:tc>
        <w:tc>
          <w:tcPr>
            <w:tcW w:w="2413" w:type="dxa"/>
            <w:vAlign w:val="center"/>
          </w:tcPr>
          <w:p w14:paraId="46181F90" w14:textId="28B63545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34.9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(2.1,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576.7)</w:t>
            </w:r>
          </w:p>
        </w:tc>
        <w:tc>
          <w:tcPr>
            <w:tcW w:w="2173" w:type="dxa"/>
            <w:vAlign w:val="center"/>
          </w:tcPr>
          <w:p w14:paraId="267FA670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6767EC" w:rsidRPr="009A2775" w14:paraId="4ED3269A" w14:textId="77777777" w:rsidTr="00742C98">
        <w:trPr>
          <w:trHeight w:val="891"/>
        </w:trPr>
        <w:tc>
          <w:tcPr>
            <w:tcW w:w="3304" w:type="dxa"/>
            <w:vAlign w:val="center"/>
          </w:tcPr>
          <w:p w14:paraId="2BA44922" w14:textId="0844A153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Previous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break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off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infliximab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(≥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m)</w:t>
            </w:r>
          </w:p>
        </w:tc>
        <w:tc>
          <w:tcPr>
            <w:tcW w:w="2093" w:type="dxa"/>
            <w:vAlign w:val="center"/>
          </w:tcPr>
          <w:p w14:paraId="58965C5D" w14:textId="57AFCE8B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5.1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(1.3,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19.4)</w:t>
            </w:r>
          </w:p>
        </w:tc>
        <w:tc>
          <w:tcPr>
            <w:tcW w:w="2172" w:type="dxa"/>
            <w:vAlign w:val="center"/>
          </w:tcPr>
          <w:p w14:paraId="1B6252C6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0.03</w:t>
            </w:r>
          </w:p>
        </w:tc>
        <w:tc>
          <w:tcPr>
            <w:tcW w:w="2413" w:type="dxa"/>
            <w:vAlign w:val="center"/>
          </w:tcPr>
          <w:p w14:paraId="260E3A7E" w14:textId="36924CA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4.8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(0.8,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28.4)</w:t>
            </w:r>
          </w:p>
        </w:tc>
        <w:tc>
          <w:tcPr>
            <w:tcW w:w="2173" w:type="dxa"/>
            <w:vAlign w:val="center"/>
          </w:tcPr>
          <w:p w14:paraId="0AE6AEF8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0.08</w:t>
            </w:r>
          </w:p>
        </w:tc>
      </w:tr>
      <w:tr w:rsidR="006767EC" w:rsidRPr="009A2775" w14:paraId="5C540C84" w14:textId="77777777" w:rsidTr="00BB0DE6">
        <w:trPr>
          <w:trHeight w:val="529"/>
        </w:trPr>
        <w:tc>
          <w:tcPr>
            <w:tcW w:w="3304" w:type="dxa"/>
            <w:vAlign w:val="center"/>
          </w:tcPr>
          <w:p w14:paraId="157CB8DD" w14:textId="1824C315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Concurrent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immunomodulator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(any)</w:t>
            </w:r>
          </w:p>
        </w:tc>
        <w:tc>
          <w:tcPr>
            <w:tcW w:w="2093" w:type="dxa"/>
            <w:vAlign w:val="center"/>
          </w:tcPr>
          <w:p w14:paraId="6CCCC4BC" w14:textId="15FD979D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(0.01,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1.1)</w:t>
            </w:r>
          </w:p>
        </w:tc>
        <w:tc>
          <w:tcPr>
            <w:tcW w:w="2172" w:type="dxa"/>
            <w:vAlign w:val="center"/>
          </w:tcPr>
          <w:p w14:paraId="06A440F5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0.06</w:t>
            </w:r>
          </w:p>
        </w:tc>
        <w:tc>
          <w:tcPr>
            <w:tcW w:w="2413" w:type="dxa"/>
            <w:vAlign w:val="center"/>
          </w:tcPr>
          <w:p w14:paraId="665CB6C4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0DDC6D26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9A2775" w14:paraId="436FFAA0" w14:textId="77777777" w:rsidTr="00BB0DE6">
        <w:trPr>
          <w:trHeight w:val="70"/>
        </w:trPr>
        <w:tc>
          <w:tcPr>
            <w:tcW w:w="3304" w:type="dxa"/>
            <w:vAlign w:val="center"/>
          </w:tcPr>
          <w:p w14:paraId="1F710942" w14:textId="00C08EA2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Concurrent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thiopurine</w:t>
            </w:r>
          </w:p>
        </w:tc>
        <w:tc>
          <w:tcPr>
            <w:tcW w:w="2093" w:type="dxa"/>
            <w:vAlign w:val="center"/>
          </w:tcPr>
          <w:p w14:paraId="4E7CF2A1" w14:textId="1257AD04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0.3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(0.1,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1.001)</w:t>
            </w:r>
          </w:p>
        </w:tc>
        <w:tc>
          <w:tcPr>
            <w:tcW w:w="2172" w:type="dxa"/>
            <w:vAlign w:val="center"/>
          </w:tcPr>
          <w:p w14:paraId="2A74F989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0.06</w:t>
            </w:r>
          </w:p>
        </w:tc>
        <w:tc>
          <w:tcPr>
            <w:tcW w:w="2413" w:type="dxa"/>
            <w:vAlign w:val="center"/>
          </w:tcPr>
          <w:p w14:paraId="6495B796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5EB0E5E2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9A2775" w14:paraId="375ABC3C" w14:textId="77777777" w:rsidTr="00742C98">
        <w:trPr>
          <w:trHeight w:val="904"/>
        </w:trPr>
        <w:tc>
          <w:tcPr>
            <w:tcW w:w="3304" w:type="dxa"/>
            <w:vAlign w:val="center"/>
          </w:tcPr>
          <w:p w14:paraId="39EE98B4" w14:textId="2414DBEB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Previous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adverse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drug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reaction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(any)</w:t>
            </w:r>
          </w:p>
        </w:tc>
        <w:tc>
          <w:tcPr>
            <w:tcW w:w="2093" w:type="dxa"/>
            <w:vAlign w:val="center"/>
          </w:tcPr>
          <w:p w14:paraId="1164FD4C" w14:textId="57D4054C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2.2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(0.7,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6.7)</w:t>
            </w:r>
          </w:p>
        </w:tc>
        <w:tc>
          <w:tcPr>
            <w:tcW w:w="2172" w:type="dxa"/>
            <w:vAlign w:val="center"/>
          </w:tcPr>
          <w:p w14:paraId="6A560028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0.12</w:t>
            </w:r>
          </w:p>
        </w:tc>
        <w:tc>
          <w:tcPr>
            <w:tcW w:w="2413" w:type="dxa"/>
            <w:vAlign w:val="center"/>
          </w:tcPr>
          <w:p w14:paraId="0050FD8A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3E1B460A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9A2775" w14:paraId="122969EF" w14:textId="77777777" w:rsidTr="00742C98">
        <w:trPr>
          <w:trHeight w:val="891"/>
        </w:trPr>
        <w:tc>
          <w:tcPr>
            <w:tcW w:w="3304" w:type="dxa"/>
            <w:vAlign w:val="center"/>
          </w:tcPr>
          <w:p w14:paraId="2EF4206A" w14:textId="0FB1A3C7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lastRenderedPageBreak/>
              <w:t>Known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psychiatric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comorbidity</w:t>
            </w:r>
          </w:p>
        </w:tc>
        <w:tc>
          <w:tcPr>
            <w:tcW w:w="2093" w:type="dxa"/>
            <w:vAlign w:val="center"/>
          </w:tcPr>
          <w:p w14:paraId="668C5B72" w14:textId="092478B0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2.4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(0.8,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6.7)</w:t>
            </w:r>
          </w:p>
        </w:tc>
        <w:tc>
          <w:tcPr>
            <w:tcW w:w="2172" w:type="dxa"/>
            <w:vAlign w:val="center"/>
          </w:tcPr>
          <w:p w14:paraId="319D158F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0.10</w:t>
            </w:r>
          </w:p>
        </w:tc>
        <w:tc>
          <w:tcPr>
            <w:tcW w:w="2413" w:type="dxa"/>
            <w:vAlign w:val="center"/>
          </w:tcPr>
          <w:p w14:paraId="7250CD10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20D7CEE8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9A2775" w14:paraId="45505A23" w14:textId="77777777" w:rsidTr="00742C98">
        <w:trPr>
          <w:trHeight w:val="70"/>
        </w:trPr>
        <w:tc>
          <w:tcPr>
            <w:tcW w:w="3304" w:type="dxa"/>
            <w:vAlign w:val="center"/>
          </w:tcPr>
          <w:p w14:paraId="59D1AC85" w14:textId="65EAE3BB" w:rsidR="006767EC" w:rsidRPr="009A2775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Pre-medication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used</w:t>
            </w:r>
          </w:p>
        </w:tc>
        <w:tc>
          <w:tcPr>
            <w:tcW w:w="2093" w:type="dxa"/>
            <w:vAlign w:val="center"/>
          </w:tcPr>
          <w:p w14:paraId="5BD45B15" w14:textId="79C50A1C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0.5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(0.3,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1.00)</w:t>
            </w:r>
          </w:p>
        </w:tc>
        <w:tc>
          <w:tcPr>
            <w:tcW w:w="2172" w:type="dxa"/>
            <w:vAlign w:val="center"/>
          </w:tcPr>
          <w:p w14:paraId="7CB71CA0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0.08</w:t>
            </w:r>
          </w:p>
        </w:tc>
        <w:tc>
          <w:tcPr>
            <w:tcW w:w="2413" w:type="dxa"/>
            <w:vAlign w:val="center"/>
          </w:tcPr>
          <w:p w14:paraId="17D22AD3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74C1AE80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</w:tbl>
    <w:p w14:paraId="369ED173" w14:textId="15C9801F" w:rsidR="006767EC" w:rsidRPr="009A2775" w:rsidRDefault="00B416D1">
      <w:pPr>
        <w:spacing w:line="360" w:lineRule="auto"/>
        <w:jc w:val="both"/>
        <w:rPr>
          <w:rFonts w:ascii="Book Antiqua" w:hAnsi="Book Antiqua" w:cs="Book Antiqua"/>
          <w:bCs/>
        </w:rPr>
      </w:pPr>
      <w:r w:rsidRPr="009A2775">
        <w:rPr>
          <w:rFonts w:ascii="Book Antiqua" w:hAnsi="Book Antiqua" w:cs="Book Antiqua"/>
          <w:lang w:eastAsia="en-AU"/>
        </w:rPr>
        <w:t>Final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multivariable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model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characteristics: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Omnibus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goodness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of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fit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chi-square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=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28.9,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i/>
          <w:iCs/>
          <w:lang w:eastAsia="en-AU"/>
        </w:rPr>
        <w:t>P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&lt;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0.001,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proofErr w:type="spellStart"/>
      <w:r w:rsidRPr="009A2775">
        <w:rPr>
          <w:rFonts w:ascii="Book Antiqua" w:hAnsi="Book Antiqua" w:cs="Book Antiqua"/>
          <w:lang w:eastAsia="en-AU"/>
        </w:rPr>
        <w:t>Nagelkerke’s</w:t>
      </w:r>
      <w:proofErr w:type="spellEnd"/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i/>
          <w:iCs/>
          <w:lang w:eastAsia="en-AU"/>
        </w:rPr>
        <w:t>R</w:t>
      </w:r>
      <w:r w:rsidRPr="009A2775">
        <w:rPr>
          <w:rFonts w:ascii="Book Antiqua" w:hAnsi="Book Antiqua" w:cs="Book Antiqua"/>
          <w:i/>
          <w:iCs/>
          <w:vertAlign w:val="superscript"/>
          <w:lang w:eastAsia="en-AU"/>
        </w:rPr>
        <w:t>2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=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lang w:eastAsia="en-AU"/>
        </w:rPr>
        <w:t>0.40.</w:t>
      </w:r>
      <w:r w:rsidR="00221BA4" w:rsidRPr="009A2775">
        <w:rPr>
          <w:rFonts w:ascii="Book Antiqua" w:hAnsi="Book Antiqua" w:cs="Book Antiqua"/>
          <w:lang w:eastAsia="en-AU"/>
        </w:rPr>
        <w:t xml:space="preserve"> </w:t>
      </w:r>
      <w:r w:rsidRPr="009A2775">
        <w:rPr>
          <w:rFonts w:ascii="Book Antiqua" w:hAnsi="Book Antiqua" w:cs="Book Antiqua"/>
          <w:bCs/>
        </w:rPr>
        <w:t>BMI:</w:t>
      </w:r>
      <w:r w:rsidR="00221BA4" w:rsidRPr="009A2775">
        <w:rPr>
          <w:rFonts w:ascii="Book Antiqua" w:hAnsi="Book Antiqua" w:cs="Book Antiqua"/>
          <w:bCs/>
        </w:rPr>
        <w:t xml:space="preserve"> </w:t>
      </w:r>
      <w:r w:rsidRPr="009A2775">
        <w:rPr>
          <w:rFonts w:ascii="Book Antiqua" w:hAnsi="Book Antiqua" w:cs="Book Antiqua"/>
          <w:bCs/>
        </w:rPr>
        <w:t>Body</w:t>
      </w:r>
      <w:r w:rsidR="00221BA4" w:rsidRPr="009A2775">
        <w:rPr>
          <w:rFonts w:ascii="Book Antiqua" w:hAnsi="Book Antiqua" w:cs="Book Antiqua"/>
          <w:bCs/>
        </w:rPr>
        <w:t xml:space="preserve"> </w:t>
      </w:r>
      <w:r w:rsidRPr="009A2775">
        <w:rPr>
          <w:rFonts w:ascii="Book Antiqua" w:hAnsi="Book Antiqua" w:cs="Book Antiqua"/>
          <w:bCs/>
        </w:rPr>
        <w:t>mass</w:t>
      </w:r>
      <w:r w:rsidR="00221BA4" w:rsidRPr="009A2775">
        <w:rPr>
          <w:rFonts w:ascii="Book Antiqua" w:hAnsi="Book Antiqua" w:cs="Book Antiqua"/>
          <w:bCs/>
        </w:rPr>
        <w:t xml:space="preserve"> </w:t>
      </w:r>
      <w:r w:rsidRPr="009A2775">
        <w:rPr>
          <w:rFonts w:ascii="Book Antiqua" w:hAnsi="Book Antiqua" w:cs="Book Antiqua"/>
          <w:bCs/>
        </w:rPr>
        <w:t>index.</w:t>
      </w:r>
    </w:p>
    <w:p w14:paraId="05D5EF5D" w14:textId="0A64F47D" w:rsidR="006767EC" w:rsidRPr="009A2775" w:rsidRDefault="00B416D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9A2775">
        <w:rPr>
          <w:rFonts w:ascii="Book Antiqua" w:hAnsi="Book Antiqua" w:cs="Book Antiqua"/>
        </w:rPr>
        <w:br w:type="page"/>
      </w:r>
      <w:r w:rsidRPr="009A2775">
        <w:rPr>
          <w:rFonts w:ascii="Book Antiqua" w:hAnsi="Book Antiqua" w:cs="Book Antiqua"/>
          <w:b/>
          <w:bCs/>
        </w:rPr>
        <w:lastRenderedPageBreak/>
        <w:t>Table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4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Cha</w:t>
      </w:r>
      <w:r w:rsidR="008E220C" w:rsidRPr="009A2775">
        <w:rPr>
          <w:rFonts w:ascii="Book Antiqua" w:hAnsi="Book Antiqua" w:cs="Book Antiqua"/>
          <w:b/>
          <w:bCs/>
        </w:rPr>
        <w:t>racteristics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="008E220C" w:rsidRPr="009A2775">
        <w:rPr>
          <w:rFonts w:ascii="Book Antiqua" w:hAnsi="Book Antiqua" w:cs="Book Antiqua"/>
          <w:b/>
          <w:bCs/>
        </w:rPr>
        <w:t>of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="008E220C" w:rsidRPr="009A2775">
        <w:rPr>
          <w:rFonts w:ascii="Book Antiqua" w:hAnsi="Book Antiqua" w:cs="Book Antiqua"/>
          <w:b/>
          <w:bCs/>
        </w:rPr>
        <w:t>home-based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proofErr w:type="spellStart"/>
      <w:r w:rsidR="008E220C" w:rsidRPr="009A2775">
        <w:rPr>
          <w:rFonts w:ascii="Book Antiqua" w:hAnsi="Book Antiqua" w:cs="Book Antiqua"/>
          <w:b/>
          <w:bCs/>
          <w:i/>
        </w:rPr>
        <w:t>v</w:t>
      </w:r>
      <w:r w:rsidRPr="009A2775">
        <w:rPr>
          <w:rFonts w:ascii="Book Antiqua" w:hAnsi="Book Antiqua" w:cs="Book Antiqua"/>
          <w:b/>
          <w:bCs/>
          <w:i/>
        </w:rPr>
        <w:t>s</w:t>
      </w:r>
      <w:proofErr w:type="spellEnd"/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infusion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proofErr w:type="spellStart"/>
      <w:r w:rsidRPr="009A2775">
        <w:rPr>
          <w:rFonts w:ascii="Book Antiqua" w:hAnsi="Book Antiqua" w:cs="Book Antiqua"/>
          <w:b/>
          <w:bCs/>
        </w:rPr>
        <w:t>centre</w:t>
      </w:r>
      <w:proofErr w:type="spellEnd"/>
      <w:r w:rsidRPr="009A2775">
        <w:rPr>
          <w:rFonts w:ascii="Book Antiqua" w:hAnsi="Book Antiqua" w:cs="Book Antiqua"/>
          <w:b/>
          <w:bCs/>
        </w:rPr>
        <w:t>-based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rapid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protocol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  <w:r w:rsidRPr="009A2775">
        <w:rPr>
          <w:rFonts w:ascii="Book Antiqua" w:hAnsi="Book Antiqua" w:cs="Book Antiqua"/>
          <w:b/>
          <w:bCs/>
        </w:rPr>
        <w:t>groups</w:t>
      </w:r>
      <w:r w:rsidR="00221BA4" w:rsidRPr="009A2775">
        <w:rPr>
          <w:rFonts w:ascii="Book Antiqua" w:hAnsi="Book Antiqua" w:cs="Book Antiqua"/>
          <w:b/>
          <w:bCs/>
        </w:rPr>
        <w:t xml:space="preserve"> </w:t>
      </w:r>
    </w:p>
    <w:tbl>
      <w:tblPr>
        <w:tblStyle w:val="a3"/>
        <w:tblW w:w="11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3117"/>
        <w:gridCol w:w="3232"/>
        <w:gridCol w:w="1731"/>
      </w:tblGrid>
      <w:tr w:rsidR="006767EC" w:rsidRPr="009A2775" w14:paraId="25233E53" w14:textId="77777777" w:rsidTr="00D40C43">
        <w:trPr>
          <w:trHeight w:val="550"/>
        </w:trPr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7A4E" w14:textId="77777777" w:rsidR="006767EC" w:rsidRPr="009A2775" w:rsidRDefault="00B416D1" w:rsidP="007679CB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Variable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CF307" w14:textId="606B0416" w:rsidR="006767EC" w:rsidRPr="009A2775" w:rsidRDefault="00B416D1" w:rsidP="00BA70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Home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based</w:t>
            </w:r>
            <w:r w:rsidR="00221BA4" w:rsidRPr="009A2775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rapid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infusion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group</w:t>
            </w:r>
            <w:r w:rsidR="00BA70EC" w:rsidRPr="009A2775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>,</w:t>
            </w:r>
            <w:r w:rsidR="00221BA4" w:rsidRPr="009A2775">
              <w:rPr>
                <w:rFonts w:ascii="Book Antiqua" w:eastAsiaTheme="minorEastAsia" w:hAnsi="Book Antiqua" w:cs="Book Antiqua"/>
                <w:b/>
                <w:bCs/>
                <w:lang w:eastAsia="zh-CN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i/>
                <w:lang w:eastAsia="en-AU"/>
              </w:rPr>
              <w:t>n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43493" w14:textId="31CD6CBF" w:rsidR="006767EC" w:rsidRPr="009A2775" w:rsidRDefault="00B416D1" w:rsidP="00851983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Infusion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centre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based</w:t>
            </w:r>
            <w:r w:rsidR="00221BA4" w:rsidRPr="009A2775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rapid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infusion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group</w:t>
            </w:r>
            <w:r w:rsidR="00851983" w:rsidRPr="009A2775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>,</w:t>
            </w:r>
            <w:r w:rsidR="00221BA4" w:rsidRPr="009A2775">
              <w:rPr>
                <w:rFonts w:ascii="Book Antiqua" w:eastAsiaTheme="minorEastAsia" w:hAnsi="Book Antiqua" w:cs="Book Antiqua"/>
                <w:b/>
                <w:bCs/>
                <w:lang w:eastAsia="zh-CN"/>
              </w:rPr>
              <w:t xml:space="preserve"> </w:t>
            </w:r>
            <w:r w:rsidR="00851983" w:rsidRPr="009A2775">
              <w:rPr>
                <w:rFonts w:ascii="Book Antiqua" w:hAnsi="Book Antiqua" w:cs="Book Antiqua"/>
                <w:b/>
                <w:bCs/>
                <w:i/>
                <w:lang w:eastAsia="en-AU"/>
              </w:rPr>
              <w:t>n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1CDDC" w14:textId="75E35D9B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9A2775">
              <w:rPr>
                <w:rFonts w:ascii="Book Antiqua" w:hAnsi="Book Antiqua" w:cs="Book Antiqua"/>
                <w:b/>
                <w:bCs/>
                <w:i/>
                <w:caps/>
                <w:lang w:eastAsia="en-AU"/>
              </w:rPr>
              <w:t>p</w:t>
            </w:r>
            <w:r w:rsidR="00221BA4" w:rsidRPr="009A2775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b/>
                <w:bCs/>
                <w:lang w:eastAsia="en-AU"/>
              </w:rPr>
              <w:t>value</w:t>
            </w:r>
          </w:p>
        </w:tc>
      </w:tr>
      <w:tr w:rsidR="006767EC" w:rsidRPr="009A2775" w14:paraId="0B29FD11" w14:textId="77777777" w:rsidTr="00742C98">
        <w:trPr>
          <w:trHeight w:val="461"/>
        </w:trPr>
        <w:tc>
          <w:tcPr>
            <w:tcW w:w="3918" w:type="dxa"/>
            <w:tcBorders>
              <w:top w:val="single" w:sz="4" w:space="0" w:color="auto"/>
            </w:tcBorders>
            <w:shd w:val="clear" w:color="auto" w:fill="auto"/>
          </w:tcPr>
          <w:p w14:paraId="541AC1FB" w14:textId="230A6D42" w:rsidR="006767EC" w:rsidRPr="009A2775" w:rsidRDefault="007679CB">
            <w:pPr>
              <w:spacing w:line="360" w:lineRule="auto"/>
              <w:rPr>
                <w:rFonts w:ascii="Book Antiqua" w:hAnsi="Book Antiqua" w:cs="Book Antiqua"/>
                <w:iCs/>
                <w:lang w:eastAsia="en-AU"/>
              </w:rPr>
            </w:pPr>
            <w:r w:rsidRPr="009A2775">
              <w:rPr>
                <w:rFonts w:ascii="Book Antiqua" w:hAnsi="Book Antiqua" w:cs="Book Antiqua"/>
                <w:iCs/>
                <w:lang w:eastAsia="en-AU"/>
              </w:rPr>
              <w:t>Total</w:t>
            </w:r>
            <w:r w:rsidR="00221BA4" w:rsidRPr="009A2775">
              <w:rPr>
                <w:rFonts w:ascii="Book Antiqua" w:hAnsi="Book Antiqua" w:cs="Book Antiqua"/>
                <w:i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iCs/>
                <w:lang w:eastAsia="en-AU"/>
              </w:rPr>
              <w:t>patients/</w:t>
            </w:r>
            <w:r w:rsidR="00B416D1" w:rsidRPr="009A2775">
              <w:rPr>
                <w:rFonts w:ascii="Book Antiqua" w:hAnsi="Book Antiqua" w:cs="Book Antiqua"/>
                <w:iCs/>
                <w:lang w:eastAsia="en-AU"/>
              </w:rPr>
              <w:t>infusions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08D22" w14:textId="5B72AFE9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iCs/>
                <w:lang w:eastAsia="en-AU"/>
              </w:rPr>
            </w:pPr>
            <w:r w:rsidRPr="009A2775">
              <w:rPr>
                <w:rFonts w:ascii="Book Antiqua" w:hAnsi="Book Antiqua" w:cs="Book Antiqua"/>
                <w:iCs/>
                <w:lang w:eastAsia="en-AU"/>
              </w:rPr>
              <w:t>32</w:t>
            </w:r>
            <w:r w:rsidR="00221BA4" w:rsidRPr="009A2775">
              <w:rPr>
                <w:rFonts w:ascii="Book Antiqua" w:hAnsi="Book Antiqua" w:cs="Book Antiqua"/>
                <w:i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iCs/>
                <w:lang w:eastAsia="en-AU"/>
              </w:rPr>
              <w:t>/</w:t>
            </w:r>
            <w:r w:rsidR="00221BA4" w:rsidRPr="009A2775">
              <w:rPr>
                <w:rFonts w:ascii="Book Antiqua" w:hAnsi="Book Antiqua" w:cs="Book Antiqua"/>
                <w:iCs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iCs/>
                <w:lang w:eastAsia="en-AU"/>
              </w:rPr>
              <w:t>405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307C0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iCs/>
                <w:lang w:eastAsia="en-AU"/>
              </w:rPr>
            </w:pPr>
            <w:r w:rsidRPr="009A2775">
              <w:rPr>
                <w:rFonts w:ascii="Book Antiqua" w:hAnsi="Book Antiqua" w:cs="Book Antiqua"/>
                <w:iCs/>
                <w:lang w:eastAsia="en-AU"/>
              </w:rPr>
              <w:t>97/1067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D25A4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-</w:t>
            </w:r>
          </w:p>
        </w:tc>
      </w:tr>
      <w:tr w:rsidR="006767EC" w:rsidRPr="009A2775" w14:paraId="759056CB" w14:textId="77777777" w:rsidTr="00742C98">
        <w:trPr>
          <w:trHeight w:val="447"/>
        </w:trPr>
        <w:tc>
          <w:tcPr>
            <w:tcW w:w="3918" w:type="dxa"/>
            <w:shd w:val="clear" w:color="auto" w:fill="auto"/>
          </w:tcPr>
          <w:p w14:paraId="64DE2BA6" w14:textId="1E794312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Male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A3D5B2B" w14:textId="2C811114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(56.2)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EDF4E9F" w14:textId="07CB953A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37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(38.1)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7D806F9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0.10</w:t>
            </w:r>
          </w:p>
        </w:tc>
      </w:tr>
      <w:tr w:rsidR="006767EC" w:rsidRPr="009A2775" w14:paraId="631EA975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3D5EAFDE" w14:textId="72CAB75E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Age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(median,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range)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48DB6E1" w14:textId="1A6C79A2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(18,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79)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BADD0C4" w14:textId="13829465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42(16,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86)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62EF94C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0.05</w:t>
            </w:r>
          </w:p>
        </w:tc>
      </w:tr>
      <w:tr w:rsidR="006767EC" w:rsidRPr="009A2775" w14:paraId="390E40B3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2A57C6F8" w14:textId="0B439DB5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BMI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&gt;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30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478ED4B" w14:textId="46E7603A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7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(21.9)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E33F784" w14:textId="4356AF51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24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(24.7)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AAB4F4F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0.82</w:t>
            </w:r>
          </w:p>
        </w:tc>
      </w:tr>
      <w:tr w:rsidR="006767EC" w:rsidRPr="009A2775" w14:paraId="70D3EC44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72D4D2F0" w14:textId="77777777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Smoker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9AD3F11" w14:textId="1543B1AD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(18.8)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6594F03" w14:textId="31B034AD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(20.6)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B38E5C8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1.00</w:t>
            </w:r>
          </w:p>
        </w:tc>
      </w:tr>
      <w:tr w:rsidR="006767EC" w:rsidRPr="009A2775" w14:paraId="77B17EF4" w14:textId="77777777" w:rsidTr="00742C98">
        <w:trPr>
          <w:trHeight w:val="345"/>
        </w:trPr>
        <w:tc>
          <w:tcPr>
            <w:tcW w:w="3918" w:type="dxa"/>
            <w:shd w:val="clear" w:color="auto" w:fill="auto"/>
          </w:tcPr>
          <w:p w14:paraId="0D1BD8E7" w14:textId="1CC5F17C" w:rsidR="006767EC" w:rsidRPr="009A2775" w:rsidRDefault="00B416D1" w:rsidP="006B56CD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Disease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="006B56CD" w:rsidRPr="009A2775">
              <w:rPr>
                <w:rFonts w:ascii="Book Antiqua" w:hAnsi="Book Antiqua" w:cs="Book Antiqua"/>
                <w:lang w:eastAsia="en-AU"/>
              </w:rPr>
              <w:t>t</w:t>
            </w:r>
            <w:r w:rsidRPr="009A2775">
              <w:rPr>
                <w:rFonts w:ascii="Book Antiqua" w:hAnsi="Book Antiqua" w:cs="Book Antiqua"/>
                <w:lang w:eastAsia="en-AU"/>
              </w:rPr>
              <w:t>ype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05CD47D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0450663A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B6E75FF" w14:textId="77777777" w:rsidR="006767EC" w:rsidRPr="009A2775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6B56CD" w:rsidRPr="009A2775" w14:paraId="15C6050C" w14:textId="77777777" w:rsidTr="00742C98">
        <w:trPr>
          <w:trHeight w:val="396"/>
        </w:trPr>
        <w:tc>
          <w:tcPr>
            <w:tcW w:w="3918" w:type="dxa"/>
            <w:shd w:val="clear" w:color="auto" w:fill="auto"/>
          </w:tcPr>
          <w:p w14:paraId="6F603CF4" w14:textId="77777777" w:rsidR="006B56CD" w:rsidRPr="009A2775" w:rsidRDefault="006B56CD" w:rsidP="006B56CD">
            <w:pPr>
              <w:spacing w:line="360" w:lineRule="auto"/>
              <w:ind w:firstLineChars="100" w:firstLine="24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CD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A0F4ADC" w14:textId="2822B233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(81.2)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7B7BB42" w14:textId="69FCBA6C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88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(90.7)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978493" w14:textId="77777777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0.20</w:t>
            </w:r>
          </w:p>
        </w:tc>
      </w:tr>
      <w:tr w:rsidR="006B56CD" w:rsidRPr="009A2775" w14:paraId="71BB7D14" w14:textId="77777777" w:rsidTr="00742C98">
        <w:trPr>
          <w:trHeight w:val="422"/>
        </w:trPr>
        <w:tc>
          <w:tcPr>
            <w:tcW w:w="3918" w:type="dxa"/>
            <w:shd w:val="clear" w:color="auto" w:fill="auto"/>
          </w:tcPr>
          <w:p w14:paraId="68BC6AC2" w14:textId="77777777" w:rsidR="006B56CD" w:rsidRPr="009A2775" w:rsidRDefault="006B56CD" w:rsidP="006B56CD">
            <w:pPr>
              <w:spacing w:line="360" w:lineRule="auto"/>
              <w:ind w:firstLineChars="100" w:firstLine="24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UC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F5886AB" w14:textId="5B46C4CF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6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(18.8)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2332112" w14:textId="2347EDB4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(8.2)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E8865F0" w14:textId="77777777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0.11</w:t>
            </w:r>
          </w:p>
        </w:tc>
      </w:tr>
      <w:tr w:rsidR="006B56CD" w:rsidRPr="009A2775" w14:paraId="58D539A9" w14:textId="77777777" w:rsidTr="00742C98">
        <w:trPr>
          <w:trHeight w:val="248"/>
        </w:trPr>
        <w:tc>
          <w:tcPr>
            <w:tcW w:w="3918" w:type="dxa"/>
            <w:shd w:val="clear" w:color="auto" w:fill="auto"/>
          </w:tcPr>
          <w:p w14:paraId="40BA60C0" w14:textId="77777777" w:rsidR="006B56CD" w:rsidRPr="009A2775" w:rsidRDefault="006B56CD" w:rsidP="006B56CD">
            <w:pPr>
              <w:spacing w:line="360" w:lineRule="auto"/>
              <w:ind w:firstLineChars="100" w:firstLine="240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Indeterminate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91E8296" w14:textId="7D9A1B6B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284905B" w14:textId="4D7B5BAA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(1.0)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2A2C110" w14:textId="77777777" w:rsidR="006B56CD" w:rsidRPr="009A2775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1.00</w:t>
            </w:r>
          </w:p>
        </w:tc>
      </w:tr>
      <w:tr w:rsidR="006767EC" w:rsidRPr="009A2775" w14:paraId="18E3524E" w14:textId="77777777" w:rsidTr="00D40C43">
        <w:trPr>
          <w:trHeight w:val="70"/>
        </w:trPr>
        <w:tc>
          <w:tcPr>
            <w:tcW w:w="3918" w:type="dxa"/>
            <w:shd w:val="clear" w:color="auto" w:fill="auto"/>
          </w:tcPr>
          <w:p w14:paraId="0711E0BD" w14:textId="778AA0CF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Extra-intestinal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manifestations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3E76C0E" w14:textId="1500E710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9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(28.1)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029342B" w14:textId="3241D1C0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20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(20.6)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7C342B7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0.46</w:t>
            </w:r>
          </w:p>
        </w:tc>
      </w:tr>
      <w:tr w:rsidR="006767EC" w:rsidRPr="009A2775" w14:paraId="3B3649D6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63D93C7F" w14:textId="1F91D42A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Psychiatric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co-morbidity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FF2BCE4" w14:textId="6333C78B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10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(31.2)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E4527C2" w14:textId="0EB8F30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35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(36.1)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130867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0.67</w:t>
            </w:r>
          </w:p>
        </w:tc>
      </w:tr>
      <w:tr w:rsidR="006767EC" w:rsidRPr="009A2775" w14:paraId="013697CB" w14:textId="77777777" w:rsidTr="00742C98">
        <w:trPr>
          <w:trHeight w:val="447"/>
        </w:trPr>
        <w:tc>
          <w:tcPr>
            <w:tcW w:w="3918" w:type="dxa"/>
            <w:shd w:val="clear" w:color="auto" w:fill="auto"/>
          </w:tcPr>
          <w:p w14:paraId="2CBB584E" w14:textId="3F783410" w:rsidR="006767EC" w:rsidRPr="009A2775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ADRs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(any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severity)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A377FB4" w14:textId="11CEBADA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(0.0%)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E2AEE4A" w14:textId="1A5F8F52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8</w:t>
            </w:r>
            <w:r w:rsidR="00221BA4" w:rsidRPr="009A2775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9A2775">
              <w:rPr>
                <w:rFonts w:ascii="Book Antiqua" w:hAnsi="Book Antiqua" w:cs="Book Antiqua"/>
                <w:lang w:eastAsia="en-AU"/>
              </w:rPr>
              <w:t>(8.2)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00454D0" w14:textId="77777777" w:rsidR="006767EC" w:rsidRPr="009A2775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9A2775">
              <w:rPr>
                <w:rFonts w:ascii="Book Antiqua" w:hAnsi="Book Antiqua" w:cs="Book Antiqua"/>
                <w:lang w:eastAsia="en-AU"/>
              </w:rPr>
              <w:t>0.20</w:t>
            </w:r>
          </w:p>
        </w:tc>
      </w:tr>
    </w:tbl>
    <w:p w14:paraId="2669ED43" w14:textId="595D4C01" w:rsidR="006767EC" w:rsidRDefault="00B416D1">
      <w:pPr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 w:rsidRPr="009A2775">
        <w:rPr>
          <w:rFonts w:ascii="Book Antiqua" w:hAnsi="Book Antiqua" w:cs="Book Antiqua"/>
        </w:rPr>
        <w:t>BMI: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Body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mass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index</w:t>
      </w:r>
      <w:r w:rsidR="00314391" w:rsidRPr="009A2775">
        <w:rPr>
          <w:rFonts w:ascii="Book Antiqua" w:hAnsi="Book Antiqua" w:cs="Book Antiqua"/>
        </w:rPr>
        <w:t>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CD</w:t>
      </w:r>
      <w:r w:rsidR="00314391"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Crohn’s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disease</w:t>
      </w:r>
      <w:r w:rsidR="00314391" w:rsidRPr="009A2775">
        <w:rPr>
          <w:rFonts w:ascii="Book Antiqua" w:hAnsi="Book Antiqua" w:cs="Book Antiqua"/>
        </w:rPr>
        <w:t>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UC</w:t>
      </w:r>
      <w:r w:rsidR="00314391"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Ulcerative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colitis</w:t>
      </w:r>
      <w:r w:rsidR="00314391" w:rsidRPr="009A2775">
        <w:rPr>
          <w:rFonts w:ascii="Book Antiqua" w:hAnsi="Book Antiqua" w:cs="Book Antiqua"/>
        </w:rPr>
        <w:t>;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ADR</w:t>
      </w:r>
      <w:r w:rsidR="00314391" w:rsidRPr="009A2775">
        <w:rPr>
          <w:rFonts w:ascii="Book Antiqua" w:hAnsi="Book Antiqua" w:cs="Book Antiqua"/>
        </w:rPr>
        <w:t>: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Adverse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drug</w:t>
      </w:r>
      <w:r w:rsidR="00221BA4" w:rsidRPr="009A2775">
        <w:rPr>
          <w:rFonts w:ascii="Book Antiqua" w:hAnsi="Book Antiqua" w:cs="Book Antiqua"/>
        </w:rPr>
        <w:t xml:space="preserve"> </w:t>
      </w:r>
      <w:r w:rsidRPr="009A2775">
        <w:rPr>
          <w:rFonts w:ascii="Book Antiqua" w:hAnsi="Book Antiqua" w:cs="Book Antiqua"/>
        </w:rPr>
        <w:t>reaction.</w:t>
      </w:r>
    </w:p>
    <w:sectPr w:rsidR="006767EC" w:rsidSect="00742C98"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5F2C4" w14:textId="77777777" w:rsidR="005E48CC" w:rsidRDefault="005E48CC" w:rsidP="00782E06">
      <w:r>
        <w:separator/>
      </w:r>
    </w:p>
  </w:endnote>
  <w:endnote w:type="continuationSeparator" w:id="0">
    <w:p w14:paraId="4695D7B4" w14:textId="77777777" w:rsidR="005E48CC" w:rsidRDefault="005E48CC" w:rsidP="0078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0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1F269A" w14:textId="685A1C21" w:rsidR="00BB0DE6" w:rsidRDefault="00221BA4" w:rsidP="00567D0C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 w:rsidR="00BB0DE6">
              <w:rPr>
                <w:b/>
                <w:bCs/>
                <w:sz w:val="24"/>
                <w:szCs w:val="24"/>
              </w:rPr>
              <w:fldChar w:fldCharType="begin"/>
            </w:r>
            <w:r w:rsidR="00BB0DE6">
              <w:rPr>
                <w:b/>
                <w:bCs/>
              </w:rPr>
              <w:instrText>PAGE</w:instrText>
            </w:r>
            <w:r w:rsidR="00BB0DE6">
              <w:rPr>
                <w:b/>
                <w:bCs/>
                <w:sz w:val="24"/>
                <w:szCs w:val="24"/>
              </w:rPr>
              <w:fldChar w:fldCharType="separate"/>
            </w:r>
            <w:r w:rsidR="009A2775">
              <w:rPr>
                <w:b/>
                <w:bCs/>
                <w:noProof/>
              </w:rPr>
              <w:t>25</w:t>
            </w:r>
            <w:r w:rsidR="00BB0D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BB0DE6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BB0DE6">
              <w:rPr>
                <w:b/>
                <w:bCs/>
                <w:sz w:val="24"/>
                <w:szCs w:val="24"/>
              </w:rPr>
              <w:fldChar w:fldCharType="begin"/>
            </w:r>
            <w:r w:rsidR="00BB0DE6">
              <w:rPr>
                <w:b/>
                <w:bCs/>
              </w:rPr>
              <w:instrText>NUMPAGES</w:instrText>
            </w:r>
            <w:r w:rsidR="00BB0DE6">
              <w:rPr>
                <w:b/>
                <w:bCs/>
                <w:sz w:val="24"/>
                <w:szCs w:val="24"/>
              </w:rPr>
              <w:fldChar w:fldCharType="separate"/>
            </w:r>
            <w:r w:rsidR="009A2775">
              <w:rPr>
                <w:b/>
                <w:bCs/>
                <w:noProof/>
              </w:rPr>
              <w:t>35</w:t>
            </w:r>
            <w:r w:rsidR="00BB0D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8DB8D" w14:textId="77777777" w:rsidR="00BB0DE6" w:rsidRDefault="00BB0D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DA1D" w14:textId="77777777" w:rsidR="005E48CC" w:rsidRDefault="005E48CC" w:rsidP="00782E06">
      <w:r>
        <w:separator/>
      </w:r>
    </w:p>
  </w:footnote>
  <w:footnote w:type="continuationSeparator" w:id="0">
    <w:p w14:paraId="0D9BD8A6" w14:textId="77777777" w:rsidR="005E48CC" w:rsidRDefault="005E48CC" w:rsidP="0078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F22"/>
    <w:rsid w:val="00000F97"/>
    <w:rsid w:val="00074AA5"/>
    <w:rsid w:val="000D7BAB"/>
    <w:rsid w:val="000E7BCC"/>
    <w:rsid w:val="000F383A"/>
    <w:rsid w:val="00131E8C"/>
    <w:rsid w:val="001739F8"/>
    <w:rsid w:val="001C33BB"/>
    <w:rsid w:val="001D1EBB"/>
    <w:rsid w:val="00205E02"/>
    <w:rsid w:val="00212D8C"/>
    <w:rsid w:val="002171AC"/>
    <w:rsid w:val="00221BA4"/>
    <w:rsid w:val="00237B82"/>
    <w:rsid w:val="00292FF1"/>
    <w:rsid w:val="002A05F9"/>
    <w:rsid w:val="002A313A"/>
    <w:rsid w:val="002B4177"/>
    <w:rsid w:val="002C2411"/>
    <w:rsid w:val="002F485A"/>
    <w:rsid w:val="0030454F"/>
    <w:rsid w:val="00314391"/>
    <w:rsid w:val="00317876"/>
    <w:rsid w:val="00337E9F"/>
    <w:rsid w:val="00341499"/>
    <w:rsid w:val="003807B1"/>
    <w:rsid w:val="003808B9"/>
    <w:rsid w:val="003A2F6E"/>
    <w:rsid w:val="003B560B"/>
    <w:rsid w:val="00421A0F"/>
    <w:rsid w:val="004467A0"/>
    <w:rsid w:val="00451BA8"/>
    <w:rsid w:val="00496415"/>
    <w:rsid w:val="004B4824"/>
    <w:rsid w:val="004E618F"/>
    <w:rsid w:val="005234A8"/>
    <w:rsid w:val="00526599"/>
    <w:rsid w:val="00527AA2"/>
    <w:rsid w:val="00535B97"/>
    <w:rsid w:val="00567D0C"/>
    <w:rsid w:val="005E48CC"/>
    <w:rsid w:val="005F22ED"/>
    <w:rsid w:val="0066335B"/>
    <w:rsid w:val="006767EC"/>
    <w:rsid w:val="006905AE"/>
    <w:rsid w:val="006B56CD"/>
    <w:rsid w:val="006C0DA3"/>
    <w:rsid w:val="006C34B6"/>
    <w:rsid w:val="007362AC"/>
    <w:rsid w:val="00742C98"/>
    <w:rsid w:val="007679CB"/>
    <w:rsid w:val="00782E06"/>
    <w:rsid w:val="007C4BC4"/>
    <w:rsid w:val="007F7AD4"/>
    <w:rsid w:val="0082536A"/>
    <w:rsid w:val="00835DD0"/>
    <w:rsid w:val="00851983"/>
    <w:rsid w:val="008B18C4"/>
    <w:rsid w:val="008C1D5C"/>
    <w:rsid w:val="008E220C"/>
    <w:rsid w:val="008E4D0E"/>
    <w:rsid w:val="00932CF7"/>
    <w:rsid w:val="009450C8"/>
    <w:rsid w:val="009727DF"/>
    <w:rsid w:val="00972D3D"/>
    <w:rsid w:val="00994689"/>
    <w:rsid w:val="009A2775"/>
    <w:rsid w:val="009B710F"/>
    <w:rsid w:val="00A76C26"/>
    <w:rsid w:val="00A77B3E"/>
    <w:rsid w:val="00AB2FC4"/>
    <w:rsid w:val="00AB3141"/>
    <w:rsid w:val="00B16BE9"/>
    <w:rsid w:val="00B336AF"/>
    <w:rsid w:val="00B416D1"/>
    <w:rsid w:val="00B44B1C"/>
    <w:rsid w:val="00B54519"/>
    <w:rsid w:val="00B548DB"/>
    <w:rsid w:val="00BA70EC"/>
    <w:rsid w:val="00BB0DE6"/>
    <w:rsid w:val="00C00294"/>
    <w:rsid w:val="00C14F2A"/>
    <w:rsid w:val="00C17BCC"/>
    <w:rsid w:val="00C23380"/>
    <w:rsid w:val="00C23A5E"/>
    <w:rsid w:val="00C60FE4"/>
    <w:rsid w:val="00C740FB"/>
    <w:rsid w:val="00C965D3"/>
    <w:rsid w:val="00CA2A55"/>
    <w:rsid w:val="00CB11B3"/>
    <w:rsid w:val="00CC2009"/>
    <w:rsid w:val="00CE422D"/>
    <w:rsid w:val="00CF0A55"/>
    <w:rsid w:val="00CF5546"/>
    <w:rsid w:val="00D0030D"/>
    <w:rsid w:val="00D133D2"/>
    <w:rsid w:val="00D147F8"/>
    <w:rsid w:val="00D16F0C"/>
    <w:rsid w:val="00D23573"/>
    <w:rsid w:val="00D3075C"/>
    <w:rsid w:val="00D40C43"/>
    <w:rsid w:val="00D43612"/>
    <w:rsid w:val="00D70977"/>
    <w:rsid w:val="00D87C24"/>
    <w:rsid w:val="00D928AB"/>
    <w:rsid w:val="00DC18BA"/>
    <w:rsid w:val="00E1123A"/>
    <w:rsid w:val="00E50CE6"/>
    <w:rsid w:val="00E75C50"/>
    <w:rsid w:val="00EA3D3D"/>
    <w:rsid w:val="00EC617F"/>
    <w:rsid w:val="00ED6215"/>
    <w:rsid w:val="00F529E5"/>
    <w:rsid w:val="00F55E14"/>
    <w:rsid w:val="00FA00D0"/>
    <w:rsid w:val="00FE0308"/>
    <w:rsid w:val="00FE3650"/>
    <w:rsid w:val="17A95D49"/>
    <w:rsid w:val="27A01561"/>
    <w:rsid w:val="62FC5708"/>
    <w:rsid w:val="7E8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AE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Times New Roman" w:eastAsia="Times New Roman" w:hAnsi="Times New Roman" w:cs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rsid w:val="0078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2E0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rsid w:val="00782E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2E0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Balloon Text"/>
    <w:basedOn w:val="a"/>
    <w:link w:val="Char1"/>
    <w:rsid w:val="00932CF7"/>
    <w:rPr>
      <w:sz w:val="18"/>
      <w:szCs w:val="18"/>
    </w:rPr>
  </w:style>
  <w:style w:type="character" w:customStyle="1" w:styleId="Char1">
    <w:name w:val="批注框文本 Char"/>
    <w:basedOn w:val="a0"/>
    <w:link w:val="a7"/>
    <w:rsid w:val="00932CF7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8">
    <w:name w:val="annotation reference"/>
    <w:basedOn w:val="a0"/>
    <w:rsid w:val="000E7BCC"/>
    <w:rPr>
      <w:sz w:val="21"/>
      <w:szCs w:val="21"/>
    </w:rPr>
  </w:style>
  <w:style w:type="paragraph" w:styleId="a9">
    <w:name w:val="annotation text"/>
    <w:basedOn w:val="a"/>
    <w:link w:val="Char2"/>
    <w:rsid w:val="000E7BCC"/>
  </w:style>
  <w:style w:type="character" w:customStyle="1" w:styleId="Char2">
    <w:name w:val="批注文字 Char"/>
    <w:basedOn w:val="a0"/>
    <w:link w:val="a9"/>
    <w:rsid w:val="000E7B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annotation subject"/>
    <w:basedOn w:val="a9"/>
    <w:next w:val="a9"/>
    <w:link w:val="Char3"/>
    <w:rsid w:val="000E7BCC"/>
    <w:rPr>
      <w:b/>
      <w:bCs/>
    </w:rPr>
  </w:style>
  <w:style w:type="character" w:customStyle="1" w:styleId="Char3">
    <w:name w:val="批注主题 Char"/>
    <w:basedOn w:val="Char2"/>
    <w:link w:val="aa"/>
    <w:rsid w:val="000E7BC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01">
    <w:name w:val="fontstyle01"/>
    <w:basedOn w:val="a0"/>
    <w:qFormat/>
    <w:rsid w:val="00205E02"/>
    <w:rPr>
      <w:rFonts w:ascii="HelveticaNeueLTStd-Lt" w:hAnsi="HelveticaNeueLTStd-Lt" w:hint="default"/>
      <w:color w:val="231F20"/>
      <w:sz w:val="20"/>
      <w:szCs w:val="20"/>
    </w:rPr>
  </w:style>
  <w:style w:type="paragraph" w:styleId="ab">
    <w:name w:val="No Spacing"/>
    <w:uiPriority w:val="1"/>
    <w:qFormat/>
    <w:rsid w:val="00205E0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Times New Roman" w:eastAsia="Times New Roman" w:hAnsi="Times New Roman" w:cs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rsid w:val="0078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2E0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rsid w:val="00782E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2E0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Balloon Text"/>
    <w:basedOn w:val="a"/>
    <w:link w:val="Char1"/>
    <w:rsid w:val="00932CF7"/>
    <w:rPr>
      <w:sz w:val="18"/>
      <w:szCs w:val="18"/>
    </w:rPr>
  </w:style>
  <w:style w:type="character" w:customStyle="1" w:styleId="Char1">
    <w:name w:val="批注框文本 Char"/>
    <w:basedOn w:val="a0"/>
    <w:link w:val="a7"/>
    <w:rsid w:val="00932CF7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8">
    <w:name w:val="annotation reference"/>
    <w:basedOn w:val="a0"/>
    <w:rsid w:val="000E7BCC"/>
    <w:rPr>
      <w:sz w:val="21"/>
      <w:szCs w:val="21"/>
    </w:rPr>
  </w:style>
  <w:style w:type="paragraph" w:styleId="a9">
    <w:name w:val="annotation text"/>
    <w:basedOn w:val="a"/>
    <w:link w:val="Char2"/>
    <w:rsid w:val="000E7BCC"/>
  </w:style>
  <w:style w:type="character" w:customStyle="1" w:styleId="Char2">
    <w:name w:val="批注文字 Char"/>
    <w:basedOn w:val="a0"/>
    <w:link w:val="a9"/>
    <w:rsid w:val="000E7B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annotation subject"/>
    <w:basedOn w:val="a9"/>
    <w:next w:val="a9"/>
    <w:link w:val="Char3"/>
    <w:rsid w:val="000E7BCC"/>
    <w:rPr>
      <w:b/>
      <w:bCs/>
    </w:rPr>
  </w:style>
  <w:style w:type="character" w:customStyle="1" w:styleId="Char3">
    <w:name w:val="批注主题 Char"/>
    <w:basedOn w:val="Char2"/>
    <w:link w:val="aa"/>
    <w:rsid w:val="000E7BC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01">
    <w:name w:val="fontstyle01"/>
    <w:basedOn w:val="a0"/>
    <w:qFormat/>
    <w:rsid w:val="00205E02"/>
    <w:rPr>
      <w:rFonts w:ascii="HelveticaNeueLTStd-Lt" w:hAnsi="HelveticaNeueLTStd-Lt" w:hint="default"/>
      <w:color w:val="231F20"/>
      <w:sz w:val="20"/>
      <w:szCs w:val="20"/>
    </w:rPr>
  </w:style>
  <w:style w:type="paragraph" w:styleId="ab">
    <w:name w:val="No Spacing"/>
    <w:uiPriority w:val="1"/>
    <w:qFormat/>
    <w:rsid w:val="00205E0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CD0C9-36B5-42E6-A50D-84574115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2020-09-05T01:21:00Z</dcterms:created>
  <dcterms:modified xsi:type="dcterms:W3CDTF">2020-09-23T07:13:00Z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