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Name of Journal: </w:t>
      </w:r>
      <w:r w:rsidRPr="00D53E19">
        <w:rPr>
          <w:rFonts w:ascii="Book Antiqua" w:eastAsia="Book Antiqua" w:hAnsi="Book Antiqua" w:cs="Book Antiqua"/>
          <w:i/>
          <w:color w:val="000000" w:themeColor="text1"/>
        </w:rPr>
        <w:t>World Journal of Orthopedics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Manuscript NO: </w:t>
      </w:r>
      <w:r w:rsidRPr="00D53E19">
        <w:rPr>
          <w:rFonts w:ascii="Book Antiqua" w:eastAsia="Book Antiqua" w:hAnsi="Book Antiqua" w:cs="Book Antiqua"/>
          <w:color w:val="000000" w:themeColor="text1"/>
        </w:rPr>
        <w:t>57294</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Manuscript Type: </w:t>
      </w:r>
      <w:r w:rsidRPr="00D53E19">
        <w:rPr>
          <w:rFonts w:ascii="Book Antiqua" w:eastAsia="Book Antiqua" w:hAnsi="Book Antiqua" w:cs="Book Antiqua"/>
          <w:color w:val="000000" w:themeColor="text1"/>
        </w:rPr>
        <w:t>CASE REPORT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Long-term effect of intrathecal baclofen treatment on bone health and body composition after spinal cord injury: A case </w:t>
      </w:r>
      <w:r w:rsidR="00460CA2" w:rsidRPr="00D53E19">
        <w:rPr>
          <w:rFonts w:ascii="Book Antiqua" w:eastAsia="Book Antiqua" w:hAnsi="Book Antiqua" w:cs="Book Antiqua"/>
          <w:b/>
          <w:bCs/>
          <w:color w:val="000000" w:themeColor="text1"/>
        </w:rPr>
        <w:t xml:space="preserve">matched </w:t>
      </w:r>
      <w:r w:rsidRPr="00D53E19">
        <w:rPr>
          <w:rFonts w:ascii="Book Antiqua" w:eastAsia="Book Antiqua" w:hAnsi="Book Antiqua" w:cs="Book Antiqua"/>
          <w:b/>
          <w:bCs/>
          <w:color w:val="000000" w:themeColor="text1"/>
        </w:rPr>
        <w:t>report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proofErr w:type="spellStart"/>
      <w:r w:rsidRPr="00D53E19">
        <w:rPr>
          <w:rFonts w:ascii="Book Antiqua" w:eastAsia="Book Antiqua" w:hAnsi="Book Antiqua" w:cs="Book Antiqua"/>
          <w:color w:val="000000" w:themeColor="text1"/>
        </w:rPr>
        <w:t>Ifon</w:t>
      </w:r>
      <w:proofErr w:type="spellEnd"/>
      <w:r w:rsidRPr="00D53E19">
        <w:rPr>
          <w:rFonts w:ascii="Book Antiqua" w:eastAsia="Book Antiqua" w:hAnsi="Book Antiqua" w:cs="Book Antiqua"/>
          <w:color w:val="000000" w:themeColor="text1"/>
        </w:rPr>
        <w:t xml:space="preserve"> DE </w:t>
      </w:r>
      <w:r w:rsidRPr="00D53E19">
        <w:rPr>
          <w:rFonts w:ascii="Book Antiqua" w:eastAsia="Book Antiqua" w:hAnsi="Book Antiqua" w:cs="Book Antiqua"/>
          <w:i/>
          <w:iCs/>
          <w:color w:val="000000" w:themeColor="text1"/>
        </w:rPr>
        <w:t>et al</w:t>
      </w:r>
      <w:r w:rsidRPr="00D53E19">
        <w:rPr>
          <w:rFonts w:ascii="Book Antiqua" w:eastAsia="Book Antiqua" w:hAnsi="Book Antiqua" w:cs="Book Antiqua"/>
          <w:color w:val="000000" w:themeColor="text1"/>
        </w:rPr>
        <w:t>. Intrathecal baclofen and bone health in SCI</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2D517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Dora </w:t>
      </w:r>
      <w:r w:rsidR="00825EE6" w:rsidRPr="00D53E19">
        <w:rPr>
          <w:rFonts w:ascii="Book Antiqua" w:eastAsia="Book Antiqua" w:hAnsi="Book Antiqua" w:cs="Book Antiqua"/>
          <w:color w:val="000000" w:themeColor="text1"/>
        </w:rPr>
        <w:t>E</w:t>
      </w:r>
      <w:r w:rsidRPr="002D5176">
        <w:rPr>
          <w:rFonts w:ascii="Book Antiqua" w:eastAsia="Book Antiqua" w:hAnsi="Book Antiqua" w:cs="Book Antiqua"/>
          <w:color w:val="000000" w:themeColor="text1"/>
        </w:rPr>
        <w:t xml:space="preserve"> </w:t>
      </w:r>
      <w:proofErr w:type="spellStart"/>
      <w:r w:rsidRPr="00D53E19">
        <w:rPr>
          <w:rFonts w:ascii="Book Antiqua" w:eastAsia="Book Antiqua" w:hAnsi="Book Antiqua" w:cs="Book Antiqua"/>
          <w:color w:val="000000" w:themeColor="text1"/>
        </w:rPr>
        <w:t>Ifon</w:t>
      </w:r>
      <w:proofErr w:type="spellEnd"/>
      <w:r w:rsidR="00825EE6" w:rsidRPr="00D53E19">
        <w:rPr>
          <w:rFonts w:ascii="Book Antiqua" w:eastAsia="Book Antiqua" w:hAnsi="Book Antiqua" w:cs="Book Antiqua"/>
          <w:color w:val="000000" w:themeColor="text1"/>
        </w:rPr>
        <w:t xml:space="preserve">, Mina P </w:t>
      </w:r>
      <w:proofErr w:type="spellStart"/>
      <w:r w:rsidR="00825EE6" w:rsidRPr="00D53E19">
        <w:rPr>
          <w:rFonts w:ascii="Book Antiqua" w:eastAsia="Book Antiqua" w:hAnsi="Book Antiqua" w:cs="Book Antiqua"/>
          <w:color w:val="000000" w:themeColor="text1"/>
        </w:rPr>
        <w:t>Ghatas</w:t>
      </w:r>
      <w:proofErr w:type="spellEnd"/>
      <w:r w:rsidR="00825EE6" w:rsidRPr="00D53E19">
        <w:rPr>
          <w:rFonts w:ascii="Book Antiqua" w:eastAsia="Book Antiqua" w:hAnsi="Book Antiqua" w:cs="Book Antiqua"/>
          <w:color w:val="000000" w:themeColor="text1"/>
        </w:rPr>
        <w:t xml:space="preserve">, John C Davis, </w:t>
      </w:r>
      <w:proofErr w:type="spellStart"/>
      <w:r w:rsidR="00825EE6" w:rsidRPr="00D53E19">
        <w:rPr>
          <w:rFonts w:ascii="Book Antiqua" w:eastAsia="Book Antiqua" w:hAnsi="Book Antiqua" w:cs="Book Antiqua"/>
          <w:color w:val="000000" w:themeColor="text1"/>
        </w:rPr>
        <w:t>Refka</w:t>
      </w:r>
      <w:proofErr w:type="spellEnd"/>
      <w:r w:rsidR="00825EE6" w:rsidRPr="00D53E19">
        <w:rPr>
          <w:rFonts w:ascii="Book Antiqua" w:eastAsia="Book Antiqua" w:hAnsi="Book Antiqua" w:cs="Book Antiqua"/>
          <w:color w:val="000000" w:themeColor="text1"/>
        </w:rPr>
        <w:t xml:space="preserve"> E Khalil, Robert A Adler, Ashraf S </w:t>
      </w:r>
      <w:proofErr w:type="spellStart"/>
      <w:r w:rsidR="00825EE6" w:rsidRPr="00D53E19">
        <w:rPr>
          <w:rFonts w:ascii="Book Antiqua" w:eastAsia="Book Antiqua" w:hAnsi="Book Antiqua" w:cs="Book Antiqua"/>
          <w:color w:val="000000" w:themeColor="text1"/>
        </w:rPr>
        <w:t>Gorgey</w:t>
      </w:r>
      <w:proofErr w:type="spellEnd"/>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E37B67" w:rsidP="00D53E19">
      <w:pPr>
        <w:adjustRightInd w:val="0"/>
        <w:snapToGrid w:val="0"/>
        <w:spacing w:line="360" w:lineRule="auto"/>
        <w:jc w:val="both"/>
        <w:rPr>
          <w:rFonts w:ascii="Book Antiqua" w:hAnsi="Book Antiqua"/>
          <w:color w:val="000000" w:themeColor="text1"/>
        </w:rPr>
      </w:pPr>
      <w:r w:rsidRPr="00E37B67">
        <w:rPr>
          <w:rFonts w:ascii="Book Antiqua" w:eastAsia="Book Antiqua" w:hAnsi="Book Antiqua" w:cs="Book Antiqua"/>
          <w:b/>
          <w:bCs/>
          <w:color w:val="000000" w:themeColor="text1"/>
        </w:rPr>
        <w:t xml:space="preserve">Dora E </w:t>
      </w:r>
      <w:proofErr w:type="spellStart"/>
      <w:r w:rsidRPr="00E37B67">
        <w:rPr>
          <w:rFonts w:ascii="Book Antiqua" w:eastAsia="Book Antiqua" w:hAnsi="Book Antiqua" w:cs="Book Antiqua"/>
          <w:b/>
          <w:bCs/>
          <w:color w:val="000000" w:themeColor="text1"/>
        </w:rPr>
        <w:t>Ifon</w:t>
      </w:r>
      <w:proofErr w:type="spellEnd"/>
      <w:r w:rsidR="00825EE6" w:rsidRPr="00D53E19">
        <w:rPr>
          <w:rFonts w:ascii="Book Antiqua" w:eastAsia="Book Antiqua" w:hAnsi="Book Antiqua" w:cs="Book Antiqua"/>
          <w:b/>
          <w:bCs/>
          <w:color w:val="000000" w:themeColor="text1"/>
        </w:rPr>
        <w:t xml:space="preserve">, Mina P </w:t>
      </w:r>
      <w:proofErr w:type="spellStart"/>
      <w:r w:rsidR="00825EE6" w:rsidRPr="00D53E19">
        <w:rPr>
          <w:rFonts w:ascii="Book Antiqua" w:eastAsia="Book Antiqua" w:hAnsi="Book Antiqua" w:cs="Book Antiqua"/>
          <w:b/>
          <w:bCs/>
          <w:color w:val="000000" w:themeColor="text1"/>
        </w:rPr>
        <w:t>Ghatas</w:t>
      </w:r>
      <w:proofErr w:type="spellEnd"/>
      <w:r w:rsidR="00825EE6" w:rsidRPr="00D53E19">
        <w:rPr>
          <w:rFonts w:ascii="Book Antiqua" w:eastAsia="Book Antiqua" w:hAnsi="Book Antiqua" w:cs="Book Antiqua"/>
          <w:b/>
          <w:bCs/>
          <w:color w:val="000000" w:themeColor="text1"/>
        </w:rPr>
        <w:t xml:space="preserve">, John C Davis, </w:t>
      </w:r>
      <w:proofErr w:type="spellStart"/>
      <w:r w:rsidR="00825EE6" w:rsidRPr="00D53E19">
        <w:rPr>
          <w:rFonts w:ascii="Book Antiqua" w:eastAsia="Book Antiqua" w:hAnsi="Book Antiqua" w:cs="Book Antiqua"/>
          <w:b/>
          <w:bCs/>
          <w:color w:val="000000" w:themeColor="text1"/>
        </w:rPr>
        <w:t>Refka</w:t>
      </w:r>
      <w:proofErr w:type="spellEnd"/>
      <w:r w:rsidR="00825EE6" w:rsidRPr="00D53E19">
        <w:rPr>
          <w:rFonts w:ascii="Book Antiqua" w:eastAsia="Book Antiqua" w:hAnsi="Book Antiqua" w:cs="Book Antiqua"/>
          <w:b/>
          <w:bCs/>
          <w:color w:val="000000" w:themeColor="text1"/>
        </w:rPr>
        <w:t xml:space="preserve"> E Khalil, Ashraf S </w:t>
      </w:r>
      <w:proofErr w:type="spellStart"/>
      <w:r w:rsidR="00825EE6" w:rsidRPr="00D53E19">
        <w:rPr>
          <w:rFonts w:ascii="Book Antiqua" w:eastAsia="Book Antiqua" w:hAnsi="Book Antiqua" w:cs="Book Antiqua"/>
          <w:b/>
          <w:bCs/>
          <w:color w:val="000000" w:themeColor="text1"/>
        </w:rPr>
        <w:t>Gorgey</w:t>
      </w:r>
      <w:proofErr w:type="spellEnd"/>
      <w:r w:rsidR="00825EE6" w:rsidRPr="00D53E19">
        <w:rPr>
          <w:rFonts w:ascii="Book Antiqua" w:eastAsia="Book Antiqua" w:hAnsi="Book Antiqua" w:cs="Book Antiqua"/>
          <w:b/>
          <w:bCs/>
          <w:color w:val="000000" w:themeColor="text1"/>
        </w:rPr>
        <w:t xml:space="preserve">, </w:t>
      </w:r>
      <w:r w:rsidR="00825EE6" w:rsidRPr="00D53E19">
        <w:rPr>
          <w:rFonts w:ascii="Book Antiqua" w:eastAsia="Book Antiqua" w:hAnsi="Book Antiqua" w:cs="Book Antiqua"/>
          <w:color w:val="000000" w:themeColor="text1"/>
        </w:rPr>
        <w:t>Spinal Cord Injury and Disorders Center, Central Virginia VA Health Care System, Richmond, VA 23249, United States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Robert A Adler, </w:t>
      </w:r>
      <w:r w:rsidRPr="00D53E19">
        <w:rPr>
          <w:rFonts w:ascii="Book Antiqua" w:eastAsia="Book Antiqua" w:hAnsi="Book Antiqua" w:cs="Book Antiqua"/>
          <w:color w:val="000000" w:themeColor="text1"/>
        </w:rPr>
        <w:t>Medical Service, Central Virginia VA Health Care System, Richmond, VA 23249, United States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Robert A Adler, </w:t>
      </w:r>
      <w:r w:rsidRPr="00D53E19">
        <w:rPr>
          <w:rFonts w:ascii="Book Antiqua" w:eastAsia="Book Antiqua" w:hAnsi="Book Antiqua" w:cs="Book Antiqua"/>
          <w:color w:val="000000" w:themeColor="text1"/>
        </w:rPr>
        <w:t>Department of Internal Medicine, Division of Endocrinology, Diabetes and Metabolism, Virginia Commonwealth University, Richmond, VA 23298, United States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Ashraf S </w:t>
      </w:r>
      <w:proofErr w:type="spellStart"/>
      <w:r w:rsidRPr="00D53E19">
        <w:rPr>
          <w:rFonts w:ascii="Book Antiqua" w:eastAsia="Book Antiqua" w:hAnsi="Book Antiqua" w:cs="Book Antiqua"/>
          <w:b/>
          <w:bCs/>
          <w:color w:val="000000" w:themeColor="text1"/>
        </w:rPr>
        <w:t>Gorgey</w:t>
      </w:r>
      <w:proofErr w:type="spellEnd"/>
      <w:r w:rsidRPr="00D53E19">
        <w:rPr>
          <w:rFonts w:ascii="Book Antiqua" w:eastAsia="Book Antiqua" w:hAnsi="Book Antiqua" w:cs="Book Antiqua"/>
          <w:b/>
          <w:bCs/>
          <w:color w:val="000000" w:themeColor="text1"/>
        </w:rPr>
        <w:t xml:space="preserve">, </w:t>
      </w:r>
      <w:r w:rsidRPr="00D53E19">
        <w:rPr>
          <w:rFonts w:ascii="Book Antiqua" w:eastAsia="Book Antiqua" w:hAnsi="Book Antiqua" w:cs="Book Antiqua"/>
          <w:color w:val="000000" w:themeColor="text1"/>
        </w:rPr>
        <w:t>Department of Physical Medicine and Rehabilitation, Virginia Commonwealth University, Richmond, VA 23298, United States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Author contributions:</w:t>
      </w:r>
      <w:r w:rsidR="00070D2A" w:rsidRPr="00D53E19">
        <w:rPr>
          <w:rFonts w:ascii="Book Antiqua" w:hAnsi="Book Antiqua" w:cs="Book Antiqua"/>
          <w:b/>
          <w:bCs/>
          <w:color w:val="000000" w:themeColor="text1"/>
          <w:lang w:eastAsia="zh-CN"/>
        </w:rPr>
        <w:t xml:space="preserve"> </w:t>
      </w:r>
      <w:r w:rsidRPr="00D53E19">
        <w:rPr>
          <w:rFonts w:ascii="Book Antiqua" w:eastAsia="Book Antiqua" w:hAnsi="Book Antiqua" w:cs="Book Antiqua"/>
          <w:color w:val="000000" w:themeColor="text1"/>
        </w:rPr>
        <w:t>All authors contributed to the writing and revising of the manuscript.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Supported by </w:t>
      </w:r>
      <w:r w:rsidRPr="00D53E19">
        <w:rPr>
          <w:rFonts w:ascii="Book Antiqua" w:eastAsia="Book Antiqua" w:hAnsi="Book Antiqua" w:cs="Book Antiqua"/>
          <w:color w:val="000000" w:themeColor="text1"/>
        </w:rPr>
        <w:t>the DoD-CDRMP, No. W81XWH-14-SCIRP-CTA.</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7E2B6C"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color w:val="000000" w:themeColor="text1"/>
        </w:rPr>
        <w:t xml:space="preserve">Corresponding author: Ashraf S </w:t>
      </w:r>
      <w:proofErr w:type="spellStart"/>
      <w:r w:rsidRPr="00D53E19">
        <w:rPr>
          <w:rFonts w:ascii="Book Antiqua" w:eastAsia="Book Antiqua" w:hAnsi="Book Antiqua" w:cs="Book Antiqua"/>
          <w:b/>
          <w:bCs/>
          <w:color w:val="000000" w:themeColor="text1"/>
        </w:rPr>
        <w:t>Gorgey</w:t>
      </w:r>
      <w:proofErr w:type="spellEnd"/>
      <w:r w:rsidRPr="00D53E19">
        <w:rPr>
          <w:rFonts w:ascii="Book Antiqua" w:eastAsia="Book Antiqua" w:hAnsi="Book Antiqua" w:cs="Book Antiqua"/>
          <w:b/>
          <w:bCs/>
          <w:color w:val="000000" w:themeColor="text1"/>
        </w:rPr>
        <w:t xml:space="preserve">, PhD, Physiotherapist, Professor, </w:t>
      </w:r>
      <w:r w:rsidRPr="00D53E19">
        <w:rPr>
          <w:rFonts w:ascii="Book Antiqua" w:eastAsia="Book Antiqua" w:hAnsi="Book Antiqua" w:cs="Book Antiqua"/>
          <w:color w:val="000000" w:themeColor="text1"/>
        </w:rPr>
        <w:t xml:space="preserve">Spinal Cord Injury and Disorders Center, Central Virginia VA Health Care System, 1201 Broad Rock Boulevard, Richmond, VA 23249, United States. </w:t>
      </w:r>
      <w:hyperlink r:id="rId6" w:history="1">
        <w:r w:rsidR="007E2B6C" w:rsidRPr="00BF1FC5">
          <w:rPr>
            <w:rStyle w:val="Hyperlink"/>
            <w:rFonts w:ascii="Book Antiqua" w:eastAsia="Book Antiqua" w:hAnsi="Book Antiqua" w:cs="Book Antiqua"/>
          </w:rPr>
          <w:t>ashraf.gorgey@va.gov</w:t>
        </w:r>
      </w:hyperlink>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Received: </w:t>
      </w:r>
      <w:r w:rsidRPr="00D53E19">
        <w:rPr>
          <w:rFonts w:ascii="Book Antiqua" w:eastAsia="Book Antiqua" w:hAnsi="Book Antiqua" w:cs="Book Antiqua"/>
          <w:color w:val="000000" w:themeColor="text1"/>
        </w:rPr>
        <w:t>June 2, 2020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Revised: </w:t>
      </w:r>
      <w:r w:rsidRPr="00D53E19">
        <w:rPr>
          <w:rFonts w:ascii="Book Antiqua" w:eastAsia="Book Antiqua" w:hAnsi="Book Antiqua" w:cs="Book Antiqua"/>
          <w:color w:val="000000" w:themeColor="text1"/>
        </w:rPr>
        <w:t>July 15, 2020</w:t>
      </w:r>
    </w:p>
    <w:p w:rsidR="000C45C9" w:rsidRPr="000C45C9" w:rsidRDefault="00825EE6" w:rsidP="00D53E19">
      <w:pPr>
        <w:adjustRightInd w:val="0"/>
        <w:snapToGrid w:val="0"/>
        <w:spacing w:line="360" w:lineRule="auto"/>
        <w:jc w:val="both"/>
        <w:rPr>
          <w:rFonts w:ascii="Book Antiqua" w:eastAsia="Book Antiqua" w:hAnsi="Book Antiqua" w:cs="Book Antiqua"/>
          <w:b/>
          <w:bCs/>
          <w:color w:val="000000" w:themeColor="text1"/>
        </w:rPr>
      </w:pPr>
      <w:r w:rsidRPr="00D53E19">
        <w:rPr>
          <w:rFonts w:ascii="Book Antiqua" w:eastAsia="Book Antiqua" w:hAnsi="Book Antiqua" w:cs="Book Antiqua"/>
          <w:b/>
          <w:bCs/>
          <w:color w:val="000000" w:themeColor="text1"/>
        </w:rPr>
        <w:t xml:space="preserve">Accepted: </w:t>
      </w:r>
      <w:r w:rsidR="000C45C9" w:rsidRPr="000C45C9">
        <w:rPr>
          <w:rFonts w:ascii="Book Antiqua" w:eastAsia="Book Antiqua" w:hAnsi="Book Antiqua" w:cs="Book Antiqua"/>
          <w:bCs/>
          <w:color w:val="000000" w:themeColor="text1"/>
        </w:rPr>
        <w:t>September 10, 2020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Published online: </w:t>
      </w:r>
    </w:p>
    <w:p w:rsidR="00A77B3E" w:rsidRPr="00D53E19" w:rsidRDefault="00A77B3E" w:rsidP="00D53E19">
      <w:pPr>
        <w:adjustRightInd w:val="0"/>
        <w:snapToGrid w:val="0"/>
        <w:spacing w:line="360" w:lineRule="auto"/>
        <w:jc w:val="both"/>
        <w:rPr>
          <w:rFonts w:ascii="Book Antiqua" w:hAnsi="Book Antiqua"/>
          <w:color w:val="000000" w:themeColor="text1"/>
        </w:rPr>
        <w:sectPr w:rsidR="00A77B3E" w:rsidRPr="00D53E19">
          <w:footerReference w:type="default" r:id="rId7"/>
          <w:pgSz w:w="12240" w:h="15840"/>
          <w:pgMar w:top="1440" w:right="1440" w:bottom="1440" w:left="1440" w:header="720" w:footer="720" w:gutter="0"/>
          <w:cols w:space="720"/>
          <w:docGrid w:linePitch="360"/>
        </w:sect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lastRenderedPageBreak/>
        <w:t>Abstract</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BACKGROUND</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Severe spasticity may negatively impact functionality and quality of life after </w:t>
      </w:r>
      <w:r w:rsidR="00070D2A" w:rsidRPr="00D53E19">
        <w:rPr>
          <w:rFonts w:ascii="Book Antiqua" w:eastAsia="Book Antiqua" w:hAnsi="Book Antiqua" w:cs="Book Antiqua"/>
          <w:color w:val="000000" w:themeColor="text1"/>
        </w:rPr>
        <w:t xml:space="preserve">spinal cord injury </w:t>
      </w:r>
      <w:r w:rsidR="00070D2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SCI</w:t>
      </w:r>
      <w:r w:rsidR="00070D2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Intrathecal baclofen treatment (IBT) is effectively used to manage severe spasticity and reduce comorbidities. However, long-term IBT may have a negative effect on bone mineral content (BMC), bone mineral density (BMD) and body composition (such as percentage fat mass and lean body mass). We demonstrated the negative effects of long-term IBT use in a single case compared with two non-IBT users.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CASE SUMMARY</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A 46-year old Caucasian male Veteran (case) with a 21 year history of complete tetraplegia (complete C6 SCI) was implanted with IBT for 20 years. The case was matched to two participants with different ti</w:t>
      </w:r>
      <w:r w:rsidR="00FD2F57" w:rsidRPr="00D53E19">
        <w:rPr>
          <w:rFonts w:ascii="Book Antiqua" w:eastAsia="Book Antiqua" w:hAnsi="Book Antiqua" w:cs="Book Antiqua"/>
          <w:color w:val="000000" w:themeColor="text1"/>
        </w:rPr>
        <w:t xml:space="preserve">me since injuries [2 (match 1) </w:t>
      </w:r>
      <w:r w:rsidR="00FD2F57" w:rsidRPr="00D53E19">
        <w:rPr>
          <w:rFonts w:ascii="Book Antiqua" w:hAnsi="Book Antiqua" w:cs="Book Antiqua"/>
          <w:color w:val="000000" w:themeColor="text1"/>
          <w:lang w:eastAsia="zh-CN"/>
        </w:rPr>
        <w:t xml:space="preserve">and </w:t>
      </w:r>
      <w:r w:rsidRPr="00D53E19">
        <w:rPr>
          <w:rFonts w:ascii="Book Antiqua" w:eastAsia="Book Antiqua" w:hAnsi="Book Antiqua" w:cs="Book Antiqua"/>
          <w:color w:val="000000" w:themeColor="text1"/>
        </w:rPr>
        <w:t>13 (match 2) years] without IBT.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Knee BMC and BMD at the epiphysis and metaphysis of the distal femur and proximal tibia were evaluated using dual knee and the dual femur modules of GE Lunar </w:t>
      </w:r>
      <w:proofErr w:type="spellStart"/>
      <w:r w:rsidRPr="00D53E19">
        <w:rPr>
          <w:rFonts w:ascii="Book Antiqua" w:eastAsia="Book Antiqua" w:hAnsi="Book Antiqua" w:cs="Book Antiqua"/>
          <w:color w:val="000000" w:themeColor="text1"/>
        </w:rPr>
        <w:t>iDXA</w:t>
      </w:r>
      <w:proofErr w:type="spellEnd"/>
      <w:r w:rsidRPr="00D53E19">
        <w:rPr>
          <w:rFonts w:ascii="Book Antiqua" w:eastAsia="Book Antiqua" w:hAnsi="Book Antiqua" w:cs="Book Antiqua"/>
          <w:color w:val="000000" w:themeColor="text1"/>
        </w:rPr>
        <w:t xml:space="preserve"> software. Total and leg body composition assessments were also conducted for the three participants. Potential effect of long-term IBT was demonstrated by changes in BMD, consistent with bone demineralization, at the distal femur and proximal tibia and changes in percentage fat mass and lean mass of legs. The case showed 113% lower BMD at the distal femur, and 78.1% lower at the proximal tibia compared to match 1, moreover the case showed 45% lower BMD at the distal femur, and no observed changes at the proximal tibia compared to match 2. The case had 27.1% and 16.5% greater leg %fat mass compared to match 1 and</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match 2</w:t>
      </w:r>
      <w:r w:rsidR="0024504F">
        <w:rPr>
          <w:rFonts w:ascii="Book Antiqua" w:hAnsi="Book Antiqua" w:cs="Book Antiqua" w:hint="eastAsia"/>
          <w:color w:val="000000" w:themeColor="text1"/>
          <w:lang w:eastAsia="zh-CN"/>
        </w:rPr>
        <w:t>,</w:t>
      </w:r>
      <w:r w:rsidRPr="00D53E19">
        <w:rPr>
          <w:rFonts w:ascii="Book Antiqua" w:eastAsia="Book Antiqua" w:hAnsi="Book Antiqua" w:cs="Book Antiqua"/>
          <w:color w:val="000000" w:themeColor="text1"/>
        </w:rPr>
        <w:t xml:space="preserve"> respectively. Furthermore, the case had 17.4% and 11.8%</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lower % leg lean mass compared to match 1 and match 2, respectively.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CONCLUSION</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Long-term IBT may impact bone health and body composition parameters in persons with complete SCI. It may be prudent to encourage regular screening of individuals on </w:t>
      </w:r>
      <w:r w:rsidRPr="00D53E19">
        <w:rPr>
          <w:rFonts w:ascii="Book Antiqua" w:eastAsia="Book Antiqua" w:hAnsi="Book Antiqua" w:cs="Book Antiqua"/>
          <w:color w:val="000000" w:themeColor="text1"/>
        </w:rPr>
        <w:lastRenderedPageBreak/>
        <w:t>long-term IBT considering the prevalence of osteoporosis related fractures, cardiovascular diseases, and metabolic disorders in this population.</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color w:val="000000" w:themeColor="text1"/>
        </w:rPr>
        <w:t xml:space="preserve">Key Words: </w:t>
      </w:r>
      <w:r w:rsidRPr="00D53E19">
        <w:rPr>
          <w:rFonts w:ascii="Book Antiqua" w:eastAsia="Book Antiqua" w:hAnsi="Book Antiqua" w:cs="Book Antiqua"/>
          <w:color w:val="000000" w:themeColor="text1"/>
        </w:rPr>
        <w:t>Intrathecal baclofen; Spasticity; Bone mineral density; Epiphysis; Metaphysis; Spinal cord injury</w:t>
      </w:r>
      <w:r w:rsidR="00FA1AD4" w:rsidRPr="00D53E19">
        <w:rPr>
          <w:rFonts w:ascii="Book Antiqua" w:hAnsi="Book Antiqua" w:cs="Book Antiqua"/>
          <w:color w:val="000000" w:themeColor="text1"/>
          <w:lang w:eastAsia="zh-CN"/>
        </w:rPr>
        <w:t>; Case report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1E1F62" w:rsidP="00D53E19">
      <w:pPr>
        <w:adjustRightInd w:val="0"/>
        <w:snapToGrid w:val="0"/>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Ifon</w:t>
      </w:r>
      <w:proofErr w:type="spellEnd"/>
      <w:r w:rsidRPr="00D53E19">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D</w:t>
      </w:r>
      <w:r w:rsidRPr="00D53E19">
        <w:rPr>
          <w:rFonts w:ascii="Book Antiqua" w:eastAsia="Book Antiqua" w:hAnsi="Book Antiqua" w:cs="Book Antiqua"/>
          <w:color w:val="000000" w:themeColor="text1"/>
        </w:rPr>
        <w:t>E</w:t>
      </w:r>
      <w:r w:rsidR="00825EE6" w:rsidRPr="00D53E19">
        <w:rPr>
          <w:rFonts w:ascii="Book Antiqua" w:eastAsia="Book Antiqua" w:hAnsi="Book Antiqua" w:cs="Book Antiqua"/>
          <w:color w:val="000000" w:themeColor="text1"/>
        </w:rPr>
        <w:t xml:space="preserve"> </w:t>
      </w:r>
      <w:proofErr w:type="spellStart"/>
      <w:r w:rsidR="00825EE6" w:rsidRPr="00D53E19">
        <w:rPr>
          <w:rFonts w:ascii="Book Antiqua" w:eastAsia="Book Antiqua" w:hAnsi="Book Antiqua" w:cs="Book Antiqua"/>
          <w:color w:val="000000" w:themeColor="text1"/>
        </w:rPr>
        <w:t>Ghatas</w:t>
      </w:r>
      <w:proofErr w:type="spellEnd"/>
      <w:r w:rsidR="00825EE6" w:rsidRPr="00D53E19">
        <w:rPr>
          <w:rFonts w:ascii="Book Antiqua" w:eastAsia="Book Antiqua" w:hAnsi="Book Antiqua" w:cs="Book Antiqua"/>
          <w:color w:val="000000" w:themeColor="text1"/>
        </w:rPr>
        <w:t xml:space="preserve"> MP, Davis JC, Khalil RE, Adler RA, </w:t>
      </w:r>
      <w:proofErr w:type="spellStart"/>
      <w:r w:rsidR="00825EE6" w:rsidRPr="00D53E19">
        <w:rPr>
          <w:rFonts w:ascii="Book Antiqua" w:eastAsia="Book Antiqua" w:hAnsi="Book Antiqua" w:cs="Book Antiqua"/>
          <w:color w:val="000000" w:themeColor="text1"/>
        </w:rPr>
        <w:t>Gorgey</w:t>
      </w:r>
      <w:proofErr w:type="spellEnd"/>
      <w:r w:rsidR="00825EE6" w:rsidRPr="00D53E19">
        <w:rPr>
          <w:rFonts w:ascii="Book Antiqua" w:eastAsia="Book Antiqua" w:hAnsi="Book Antiqua" w:cs="Book Antiqua"/>
          <w:color w:val="000000" w:themeColor="text1"/>
        </w:rPr>
        <w:t xml:space="preserve"> AS. Long-term effect of intrathecal baclofen treatment on bone health and body composition after spinal cord injury: A case </w:t>
      </w:r>
      <w:r w:rsidR="00460CA2" w:rsidRPr="00D53E19">
        <w:rPr>
          <w:rFonts w:ascii="Book Antiqua" w:eastAsia="Book Antiqua" w:hAnsi="Book Antiqua" w:cs="Book Antiqua"/>
          <w:color w:val="000000" w:themeColor="text1"/>
        </w:rPr>
        <w:t xml:space="preserve">matched </w:t>
      </w:r>
      <w:r w:rsidR="00825EE6" w:rsidRPr="00D53E19">
        <w:rPr>
          <w:rFonts w:ascii="Book Antiqua" w:eastAsia="Book Antiqua" w:hAnsi="Book Antiqua" w:cs="Book Antiqua"/>
          <w:color w:val="000000" w:themeColor="text1"/>
        </w:rPr>
        <w:t xml:space="preserve">report. </w:t>
      </w:r>
      <w:r w:rsidR="00825EE6" w:rsidRPr="00D53E19">
        <w:rPr>
          <w:rFonts w:ascii="Book Antiqua" w:eastAsia="Book Antiqua" w:hAnsi="Book Antiqua" w:cs="Book Antiqua"/>
          <w:i/>
          <w:iCs/>
          <w:color w:val="000000" w:themeColor="text1"/>
        </w:rPr>
        <w:t xml:space="preserve">World J </w:t>
      </w:r>
      <w:proofErr w:type="spellStart"/>
      <w:r w:rsidR="00825EE6" w:rsidRPr="00D53E19">
        <w:rPr>
          <w:rFonts w:ascii="Book Antiqua" w:eastAsia="Book Antiqua" w:hAnsi="Book Antiqua" w:cs="Book Antiqua"/>
          <w:i/>
          <w:iCs/>
          <w:color w:val="000000" w:themeColor="text1"/>
        </w:rPr>
        <w:t>Orthop</w:t>
      </w:r>
      <w:proofErr w:type="spellEnd"/>
      <w:r w:rsidR="00825EE6" w:rsidRPr="00D53E19">
        <w:rPr>
          <w:rFonts w:ascii="Book Antiqua" w:eastAsia="Book Antiqua" w:hAnsi="Book Antiqua" w:cs="Book Antiqua"/>
          <w:color w:val="000000" w:themeColor="text1"/>
        </w:rPr>
        <w:t xml:space="preserve"> 2020; In press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Core Tip: </w:t>
      </w:r>
      <w:r w:rsidRPr="00D53E19">
        <w:rPr>
          <w:rFonts w:ascii="Book Antiqua" w:eastAsia="Book Antiqua" w:hAnsi="Book Antiqua" w:cs="Book Antiqua"/>
          <w:color w:val="000000" w:themeColor="text1"/>
        </w:rPr>
        <w:t>The long-term effects of intrathecal baclofen treatment (IBT) on bone mineral density and body composition profile were investigated in a man with spinal cord injury compared to two matched participants with different age and time since injury. Bone mineral density loss was greater at the distal femur and proximal tibia compared to the matches without IBT.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Furthermore, the case had greater percentage leg fat mass and lower percentage lean mass compared to both matches. The negative side effects of IBT implantation warrant further studies considering the prevalence of osteoporosis related fractures, cardiovascular diseases, and metabolic disorders in this population.</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A4296A"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br w:type="page"/>
      </w:r>
      <w:r w:rsidR="00825EE6" w:rsidRPr="00D53E19">
        <w:rPr>
          <w:rFonts w:ascii="Book Antiqua" w:eastAsia="Book Antiqua" w:hAnsi="Book Antiqua" w:cs="Book Antiqua"/>
          <w:b/>
          <w:caps/>
          <w:color w:val="000000" w:themeColor="text1"/>
          <w:u w:val="single"/>
        </w:rPr>
        <w:lastRenderedPageBreak/>
        <w:t>INTRODUCTION</w:t>
      </w:r>
    </w:p>
    <w:p w:rsidR="00A4296A"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Spasticity is a sequela of spinal cord injury (SCI) associated with upper motor neuron disorder</w:t>
      </w:r>
      <w:r w:rsidR="00A4296A" w:rsidRPr="00D53E19">
        <w:rPr>
          <w:rFonts w:ascii="Book Antiqua" w:eastAsia="Book Antiqua" w:hAnsi="Book Antiqua" w:cs="Book Antiqua"/>
          <w:color w:val="000000" w:themeColor="text1"/>
          <w:vertAlign w:val="superscript"/>
        </w:rPr>
        <w:t>[1</w:t>
      </w:r>
      <w:r w:rsidR="00A4296A"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3]</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Seventy percent or more of individuals with chronic SCI experience spasticity</w:t>
      </w:r>
      <w:r w:rsidR="006673D8" w:rsidRPr="00D53E19">
        <w:rPr>
          <w:rFonts w:ascii="Book Antiqua" w:eastAsia="Book Antiqua" w:hAnsi="Book Antiqua" w:cs="Book Antiqua"/>
          <w:color w:val="000000" w:themeColor="text1"/>
          <w:vertAlign w:val="superscript"/>
        </w:rPr>
        <w:t>[1</w:t>
      </w:r>
      <w:r w:rsidR="006673D8"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3]</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Spasticity is more prevalent in individuals with motor complete or incomplete injury of cervicothoracic origin</w:t>
      </w:r>
      <w:r w:rsidRPr="00D53E19">
        <w:rPr>
          <w:rFonts w:ascii="Book Antiqua" w:eastAsia="Book Antiqua" w:hAnsi="Book Antiqua" w:cs="Book Antiqua"/>
          <w:color w:val="000000" w:themeColor="text1"/>
          <w:vertAlign w:val="superscript"/>
        </w:rPr>
        <w:t>[3-6]</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vertAlign w:val="superscript"/>
        </w:rPr>
        <w:t xml:space="preserve"> </w:t>
      </w:r>
      <w:r w:rsidRPr="00D53E19">
        <w:rPr>
          <w:rFonts w:ascii="Book Antiqua" w:eastAsia="Book Antiqua" w:hAnsi="Book Antiqua" w:cs="Book Antiqua"/>
          <w:color w:val="000000" w:themeColor="text1"/>
        </w:rPr>
        <w:t>The most commonly cited definition of spasticity was proposed by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Lance in 1980</w:t>
      </w:r>
      <w:r w:rsidRPr="00D53E19">
        <w:rPr>
          <w:rFonts w:ascii="Book Antiqua" w:eastAsia="Book Antiqua" w:hAnsi="Book Antiqua" w:cs="Book Antiqua"/>
          <w:color w:val="000000" w:themeColor="text1"/>
          <w:vertAlign w:val="superscript"/>
        </w:rPr>
        <w:t>[</w:t>
      </w:r>
      <w:r w:rsidR="00A4296A" w:rsidRPr="00D53E19">
        <w:rPr>
          <w:rFonts w:ascii="Book Antiqua" w:eastAsia="Book Antiqua" w:hAnsi="Book Antiqua" w:cs="Book Antiqua"/>
          <w:color w:val="000000" w:themeColor="text1"/>
          <w:vertAlign w:val="superscript"/>
        </w:rPr>
        <w:t>3</w:t>
      </w:r>
      <w:r w:rsidR="00A4296A"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4]</w:t>
      </w:r>
      <w:r w:rsidRPr="00D53E19">
        <w:rPr>
          <w:rFonts w:ascii="Book Antiqua" w:eastAsia="Book Antiqua" w:hAnsi="Book Antiqua" w:cs="Book Antiqua"/>
          <w:color w:val="000000" w:themeColor="text1"/>
        </w:rPr>
        <w:t xml:space="preserve"> and it is defined as, “a motor disorder characterized by velocity-dependent increase in the tonic stretch reflexes (muscle tone) with exaggerated tendon jerks, resulting from hyperexcitability of the stretch reflexes as one component of the upper motor neuron syndrome”</w:t>
      </w:r>
      <w:r w:rsidRPr="00D53E19">
        <w:rPr>
          <w:rFonts w:ascii="Book Antiqua" w:eastAsia="Book Antiqua" w:hAnsi="Book Antiqua" w:cs="Book Antiqua"/>
          <w:color w:val="000000" w:themeColor="text1"/>
          <w:vertAlign w:val="superscript"/>
        </w:rPr>
        <w:t>[1-3]</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p>
    <w:p w:rsidR="006673D8"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Spasticity is recognized for its deleterious as well as beneficial effects on health outcomes after SCI</w:t>
      </w:r>
      <w:r w:rsidR="006673D8" w:rsidRPr="00D53E19">
        <w:rPr>
          <w:rFonts w:ascii="Book Antiqua" w:eastAsia="Book Antiqua" w:hAnsi="Book Antiqua" w:cs="Book Antiqua"/>
          <w:color w:val="000000" w:themeColor="text1"/>
          <w:vertAlign w:val="superscript"/>
        </w:rPr>
        <w:t>[5</w:t>
      </w:r>
      <w:r w:rsidRPr="00D53E19">
        <w:rPr>
          <w:rFonts w:ascii="Book Antiqua" w:eastAsia="Book Antiqua" w:hAnsi="Book Antiqua" w:cs="Book Antiqua"/>
          <w:color w:val="000000" w:themeColor="text1"/>
          <w:vertAlign w:val="superscript"/>
        </w:rPr>
        <w:t>]</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 mild or moderate spasticity may provide stability for sitting, bed mobility, transfers, standing for assistance with self-care, walking, and grip on assistive devices for self-care or feeding</w:t>
      </w:r>
      <w:r w:rsidRPr="00D53E19">
        <w:rPr>
          <w:rFonts w:ascii="Book Antiqua" w:eastAsia="Book Antiqua" w:hAnsi="Book Antiqua" w:cs="Book Antiqua"/>
          <w:color w:val="000000" w:themeColor="text1"/>
          <w:vertAlign w:val="superscript"/>
        </w:rPr>
        <w:t>[3,5]</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Furthermore, spasticity has been reported to have a positive influence on muscle mass and body composition in persons with SCI</w:t>
      </w:r>
      <w:r w:rsidRPr="00D53E19">
        <w:rPr>
          <w:rFonts w:ascii="Book Antiqua" w:eastAsia="Book Antiqua" w:hAnsi="Book Antiqua" w:cs="Book Antiqua"/>
          <w:color w:val="000000" w:themeColor="text1"/>
          <w:vertAlign w:val="superscript"/>
        </w:rPr>
        <w:t>[6,7]</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Two studies reported preservation of skeletal muscle size, fat-free mass (FFM) and increased resting energy expenditure</w:t>
      </w:r>
      <w:r w:rsidRPr="00D53E19">
        <w:rPr>
          <w:rFonts w:ascii="Book Antiqua" w:eastAsia="Book Antiqua" w:hAnsi="Book Antiqua" w:cs="Book Antiqua"/>
          <w:color w:val="000000" w:themeColor="text1"/>
          <w:vertAlign w:val="superscript"/>
        </w:rPr>
        <w:t>[6,7]</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proofErr w:type="spellStart"/>
      <w:r w:rsidRPr="00D53E19">
        <w:rPr>
          <w:rFonts w:ascii="Book Antiqua" w:eastAsia="Book Antiqua" w:hAnsi="Book Antiqua" w:cs="Book Antiqua"/>
          <w:color w:val="000000" w:themeColor="text1"/>
        </w:rPr>
        <w:t>Gorgey</w:t>
      </w:r>
      <w:proofErr w:type="spellEnd"/>
      <w:r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i/>
          <w:iCs/>
          <w:color w:val="000000" w:themeColor="text1"/>
        </w:rPr>
        <w:t>et al</w:t>
      </w:r>
      <w:r w:rsidR="006673D8" w:rsidRPr="00D53E19">
        <w:rPr>
          <w:rFonts w:ascii="Book Antiqua" w:eastAsia="Book Antiqua" w:hAnsi="Book Antiqua" w:cs="Book Antiqua"/>
          <w:color w:val="000000" w:themeColor="text1"/>
          <w:vertAlign w:val="superscript"/>
        </w:rPr>
        <w:t>[7]</w:t>
      </w:r>
      <w:r w:rsidRPr="00D53E19">
        <w:rPr>
          <w:rFonts w:ascii="Book Antiqua" w:eastAsia="Book Antiqua" w:hAnsi="Book Antiqua" w:cs="Book Antiqua"/>
          <w:color w:val="000000" w:themeColor="text1"/>
        </w:rPr>
        <w:t xml:space="preserve"> suggested that spasticity maintained FFM and decreased fat mass (FM) in persons with motor complete SCI. Increased FFM has been associated with cardiovascular benefits, improved metabolism, improved muscle strength, and healthier physique</w:t>
      </w:r>
      <w:r w:rsidRPr="00D53E19">
        <w:rPr>
          <w:rFonts w:ascii="Book Antiqua" w:eastAsia="Book Antiqua" w:hAnsi="Book Antiqua" w:cs="Book Antiqua"/>
          <w:color w:val="000000" w:themeColor="text1"/>
          <w:vertAlign w:val="superscript"/>
        </w:rPr>
        <w:t>[2]</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Another study noted that severe spasticity lowered fasting plasma glucose</w:t>
      </w:r>
      <w:r w:rsidRPr="00D53E19">
        <w:rPr>
          <w:rFonts w:ascii="Book Antiqua" w:eastAsia="Book Antiqua" w:hAnsi="Book Antiqua" w:cs="Book Antiqua"/>
          <w:color w:val="000000" w:themeColor="text1"/>
          <w:vertAlign w:val="superscript"/>
        </w:rPr>
        <w:t>[8]</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However, the findings are still not universal and additional studies with large sample size are required to elucidate the role of spasticity on obesity and cardiovascular disease after SCI.</w:t>
      </w:r>
      <w:r w:rsidR="00766CE2" w:rsidRPr="00D53E19">
        <w:rPr>
          <w:rFonts w:ascii="Book Antiqua" w:eastAsia="Book Antiqua" w:hAnsi="Book Antiqua" w:cs="Book Antiqua"/>
          <w:color w:val="000000" w:themeColor="text1"/>
        </w:rPr>
        <w:t xml:space="preserve"> </w:t>
      </w:r>
    </w:p>
    <w:p w:rsidR="006673D8"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On the contrary, severe spasticity may result in negative consequences on several health variables including functional mobility, quality of life, and it may accentuate lower extremity pain</w:t>
      </w:r>
      <w:r w:rsidRPr="00D53E19">
        <w:rPr>
          <w:rFonts w:ascii="Book Antiqua" w:eastAsia="Book Antiqua" w:hAnsi="Book Antiqua" w:cs="Book Antiqua"/>
          <w:color w:val="000000" w:themeColor="text1"/>
          <w:vertAlign w:val="superscript"/>
        </w:rPr>
        <w:t>[3,5]</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Also, functional limitations from spasticity can increase the risk of contractures, pressure injuries, infections, and falls</w:t>
      </w:r>
      <w:r w:rsidRPr="00D53E19">
        <w:rPr>
          <w:rFonts w:ascii="Book Antiqua" w:eastAsia="Book Antiqua" w:hAnsi="Book Antiqua" w:cs="Book Antiqua"/>
          <w:color w:val="000000" w:themeColor="text1"/>
          <w:vertAlign w:val="superscript"/>
        </w:rPr>
        <w:t xml:space="preserve">[3,5] </w:t>
      </w:r>
      <w:r w:rsidRPr="00D53E19">
        <w:rPr>
          <w:rFonts w:ascii="Book Antiqua" w:eastAsia="Book Antiqua" w:hAnsi="Book Antiqua" w:cs="Book Antiqua"/>
          <w:color w:val="000000" w:themeColor="text1"/>
        </w:rPr>
        <w:t>thereby impacting quality of life and may result in social isolation for persons with SCI.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 variety of pharmacological and non-pharmacological treatments are available for the control of severe spasticity</w:t>
      </w:r>
      <w:r w:rsidRPr="00D53E19">
        <w:rPr>
          <w:rFonts w:ascii="Book Antiqua" w:eastAsia="Book Antiqua" w:hAnsi="Book Antiqua" w:cs="Book Antiqua"/>
          <w:color w:val="000000" w:themeColor="text1"/>
          <w:vertAlign w:val="superscript"/>
        </w:rPr>
        <w:t>[9]</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However, there is no high-quality evidence for non-pharmacological treatments; hence, pharmacological treatment is favored over non-pharmacological </w:t>
      </w:r>
      <w:r w:rsidRPr="00D53E19">
        <w:rPr>
          <w:rFonts w:ascii="Book Antiqua" w:eastAsia="Book Antiqua" w:hAnsi="Book Antiqua" w:cs="Book Antiqua"/>
          <w:color w:val="000000" w:themeColor="text1"/>
        </w:rPr>
        <w:lastRenderedPageBreak/>
        <w:t>treatment</w:t>
      </w:r>
      <w:r w:rsidRPr="00D53E19">
        <w:rPr>
          <w:rFonts w:ascii="Book Antiqua" w:eastAsia="Book Antiqua" w:hAnsi="Book Antiqua" w:cs="Book Antiqua"/>
          <w:color w:val="000000" w:themeColor="text1"/>
          <w:vertAlign w:val="superscript"/>
        </w:rPr>
        <w:t>[9,10]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Oral baclofen is generally recommended as first line treatment for spasticity in individuals with SCI</w:t>
      </w:r>
      <w:r w:rsidRPr="00D53E19">
        <w:rPr>
          <w:rFonts w:ascii="Book Antiqua" w:eastAsia="Book Antiqua" w:hAnsi="Book Antiqua" w:cs="Book Antiqua"/>
          <w:color w:val="000000" w:themeColor="text1"/>
          <w:vertAlign w:val="superscript"/>
        </w:rPr>
        <w:t>[9,10]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However, the relatively high oral doses of baclofen have been associated with undesirable side effects such as dizziness, fatigue, liver toxicity and excessive sedation, which can impair problem solving and intellectual judgement</w:t>
      </w:r>
      <w:r w:rsidRPr="00D53E19">
        <w:rPr>
          <w:rFonts w:ascii="Book Antiqua" w:eastAsia="Book Antiqua" w:hAnsi="Book Antiqua" w:cs="Book Antiqua"/>
          <w:color w:val="000000" w:themeColor="text1"/>
          <w:vertAlign w:val="superscript"/>
        </w:rPr>
        <w:t>[9,10]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p>
    <w:p w:rsidR="00F34790"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To mitigate these side effects, use of intrathecal baclofen treatment (IBT) has steadily improved over the last four decades and has become a preferred method of managing severe spasticity that is refractory to oral spasmolytic agents. IBT has been associated with fewer side effects compared to oral baclofen, especially when only a small concentrated dose is pumped into the intrathecal space to effectively manage spasticity</w:t>
      </w:r>
      <w:r w:rsidR="00F34790" w:rsidRPr="00D53E19">
        <w:rPr>
          <w:rFonts w:ascii="Book Antiqua" w:eastAsia="Book Antiqua" w:hAnsi="Book Antiqua" w:cs="Book Antiqua"/>
          <w:color w:val="000000" w:themeColor="text1"/>
          <w:vertAlign w:val="superscript"/>
        </w:rPr>
        <w:t>[10</w:t>
      </w:r>
      <w:r w:rsidR="00F34790"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11]</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Intrathecal baclofen treatment requires surgical implantation of a metallic disc (pump) and a catheter under the skin of the abdomen near the waistline. The disc (pump) holds liquid baclofen and a catheter exiting the pump carries the liquid baclofen into the intrathecal space where the other end of the catheter terminates</w:t>
      </w:r>
      <w:r w:rsidRPr="00D53E19">
        <w:rPr>
          <w:rFonts w:ascii="Book Antiqua" w:eastAsia="Book Antiqua" w:hAnsi="Book Antiqua" w:cs="Book Antiqua"/>
          <w:color w:val="000000" w:themeColor="text1"/>
          <w:vertAlign w:val="superscript"/>
        </w:rPr>
        <w:t>[10]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Numerous studies have reported the efficacy of IBT in relieving symptoms of severe spasticity and improving quality of life after SCI</w:t>
      </w:r>
      <w:r w:rsidRPr="00D53E19">
        <w:rPr>
          <w:rFonts w:ascii="Book Antiqua" w:eastAsia="Book Antiqua" w:hAnsi="Book Antiqua" w:cs="Book Antiqua"/>
          <w:color w:val="000000" w:themeColor="text1"/>
          <w:vertAlign w:val="superscript"/>
        </w:rPr>
        <w:t>[9-13]</w:t>
      </w:r>
      <w:r w:rsidRPr="00D53E19">
        <w:rPr>
          <w:rFonts w:ascii="Book Antiqua" w:eastAsia="Book Antiqua" w:hAnsi="Book Antiqua" w:cs="Book Antiqua"/>
          <w:color w:val="000000" w:themeColor="text1"/>
        </w:rPr>
        <w:t>. Some have pointed out negative consequences of IBT on body composition.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In one prospective longitudinal trial, participants experienced increases in fat mass after 12 </w:t>
      </w:r>
      <w:proofErr w:type="spellStart"/>
      <w:r w:rsidRPr="00D53E19">
        <w:rPr>
          <w:rFonts w:ascii="Book Antiqua" w:eastAsia="Book Antiqua" w:hAnsi="Book Antiqua" w:cs="Book Antiqua"/>
          <w:color w:val="000000" w:themeColor="text1"/>
        </w:rPr>
        <w:t>mo</w:t>
      </w:r>
      <w:proofErr w:type="spellEnd"/>
      <w:r w:rsidRPr="00D53E19">
        <w:rPr>
          <w:rFonts w:ascii="Book Antiqua" w:eastAsia="Book Antiqua" w:hAnsi="Book Antiqua" w:cs="Book Antiqua"/>
          <w:color w:val="000000" w:themeColor="text1"/>
        </w:rPr>
        <w:t xml:space="preserve"> of IBT</w:t>
      </w:r>
      <w:r w:rsidRPr="00D53E19">
        <w:rPr>
          <w:rFonts w:ascii="Book Antiqua" w:eastAsia="Book Antiqua" w:hAnsi="Book Antiqua" w:cs="Book Antiqua"/>
          <w:color w:val="000000" w:themeColor="text1"/>
          <w:vertAlign w:val="superscript"/>
        </w:rPr>
        <w:t>[8]</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In a case report, </w:t>
      </w:r>
      <w:proofErr w:type="spellStart"/>
      <w:r w:rsidRPr="00D53E19">
        <w:rPr>
          <w:rFonts w:ascii="Book Antiqua" w:eastAsia="Book Antiqua" w:hAnsi="Book Antiqua" w:cs="Book Antiqua"/>
          <w:color w:val="000000" w:themeColor="text1"/>
        </w:rPr>
        <w:t>Nevin</w:t>
      </w:r>
      <w:proofErr w:type="spellEnd"/>
      <w:r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i/>
          <w:iCs/>
          <w:color w:val="000000" w:themeColor="text1"/>
        </w:rPr>
        <w:t>et al</w:t>
      </w:r>
      <w:r w:rsidR="00F34790" w:rsidRPr="00D53E19">
        <w:rPr>
          <w:rFonts w:ascii="Book Antiqua" w:eastAsia="Book Antiqua" w:hAnsi="Book Antiqua" w:cs="Book Antiqua"/>
          <w:color w:val="000000" w:themeColor="text1"/>
          <w:vertAlign w:val="superscript"/>
        </w:rPr>
        <w:t>[11]</w:t>
      </w:r>
      <w:r w:rsidRPr="00D53E19">
        <w:rPr>
          <w:rFonts w:ascii="Book Antiqua" w:eastAsia="Book Antiqua" w:hAnsi="Book Antiqua" w:cs="Book Antiqua"/>
          <w:color w:val="000000" w:themeColor="text1"/>
        </w:rPr>
        <w:t xml:space="preserve"> noted that a 36-year-old woman, who previously lost weight, gained an additional 6 kg within 27 </w:t>
      </w:r>
      <w:proofErr w:type="spellStart"/>
      <w:r w:rsidRPr="00D53E19">
        <w:rPr>
          <w:rFonts w:ascii="Book Antiqua" w:eastAsia="Book Antiqua" w:hAnsi="Book Antiqua" w:cs="Book Antiqua"/>
          <w:color w:val="000000" w:themeColor="text1"/>
        </w:rPr>
        <w:t>mo</w:t>
      </w:r>
      <w:proofErr w:type="spellEnd"/>
      <w:r w:rsidRPr="00D53E19">
        <w:rPr>
          <w:rFonts w:ascii="Book Antiqua" w:eastAsia="Book Antiqua" w:hAnsi="Book Antiqua" w:cs="Book Antiqua"/>
          <w:color w:val="000000" w:themeColor="text1"/>
        </w:rPr>
        <w:t xml:space="preserve"> of commencement of IBT.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This suggests that IBT may predispose an individual to changes in body composition</w:t>
      </w:r>
      <w:r w:rsidRPr="00D53E19">
        <w:rPr>
          <w:rFonts w:ascii="Book Antiqua" w:eastAsia="Book Antiqua" w:hAnsi="Book Antiqua" w:cs="Book Antiqua"/>
          <w:color w:val="000000" w:themeColor="text1"/>
          <w:vertAlign w:val="superscript"/>
        </w:rPr>
        <w:t>[13]</w:t>
      </w:r>
      <w:r w:rsidRPr="00D53E19">
        <w:rPr>
          <w:rFonts w:ascii="Book Antiqua" w:eastAsia="Book Antiqua" w:hAnsi="Book Antiqua" w:cs="Book Antiqua"/>
          <w:color w:val="000000" w:themeColor="text1"/>
        </w:rPr>
        <w:t xml:space="preserve">, cardiovascular disease and metabolic syndrome, even as early as 12 </w:t>
      </w:r>
      <w:proofErr w:type="spellStart"/>
      <w:r w:rsidRPr="00D53E19">
        <w:rPr>
          <w:rFonts w:ascii="Book Antiqua" w:eastAsia="Book Antiqua" w:hAnsi="Book Antiqua" w:cs="Book Antiqua"/>
          <w:color w:val="000000" w:themeColor="text1"/>
        </w:rPr>
        <w:t>mo</w:t>
      </w:r>
      <w:proofErr w:type="spellEnd"/>
      <w:r w:rsidRPr="00D53E19">
        <w:rPr>
          <w:rFonts w:ascii="Book Antiqua" w:eastAsia="Book Antiqua" w:hAnsi="Book Antiqua" w:cs="Book Antiqua"/>
          <w:color w:val="000000" w:themeColor="text1"/>
        </w:rPr>
        <w:t xml:space="preserve"> into treatment.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color w:val="000000" w:themeColor="text1"/>
        </w:rPr>
        <w:t>Osteoporosis represents a significant social and economic problem in the SCI population because of the propensity for osteoporosis-related low impact fractures.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It is estimated that more than 50% of individuals with SCI will develop low impact fracture during their lifetime</w:t>
      </w:r>
      <w:r w:rsidRPr="00D53E19">
        <w:rPr>
          <w:rFonts w:ascii="Book Antiqua" w:eastAsia="Book Antiqua" w:hAnsi="Book Antiqua" w:cs="Book Antiqua"/>
          <w:color w:val="000000" w:themeColor="text1"/>
          <w:vertAlign w:val="superscript"/>
        </w:rPr>
        <w:t>[14]</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These fractures commonly occur at the distal femur and proximal tibia.</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Advances in imaging techniques, including upgraded dual-energy </w:t>
      </w:r>
      <w:r w:rsidR="00B13ADA" w:rsidRPr="00D53E19">
        <w:rPr>
          <w:rFonts w:ascii="Book Antiqua" w:eastAsia="Book Antiqua" w:hAnsi="Book Antiqua" w:cs="Book Antiqua"/>
          <w:color w:val="000000" w:themeColor="text1"/>
        </w:rPr>
        <w:t>X</w:t>
      </w:r>
      <w:r w:rsidRPr="00D53E19">
        <w:rPr>
          <w:rFonts w:ascii="Book Antiqua" w:eastAsia="Book Antiqua" w:hAnsi="Book Antiqua" w:cs="Book Antiqua"/>
          <w:color w:val="000000" w:themeColor="text1"/>
        </w:rPr>
        <w:t>-ray (DXA) software, provide the opportunity to easily study bone mineral content (BMC) and bone mineral density (BMD) at the potential fracture sites.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The relatively high prevalence of fractures in persons with SCI, necessitates further scrutiny of potential </w:t>
      </w:r>
      <w:r w:rsidRPr="00D53E19">
        <w:rPr>
          <w:rFonts w:ascii="Book Antiqua" w:eastAsia="Book Antiqua" w:hAnsi="Book Antiqua" w:cs="Book Antiqua"/>
          <w:color w:val="000000" w:themeColor="text1"/>
        </w:rPr>
        <w:lastRenderedPageBreak/>
        <w:t>side effect of long-term IBT on BMC and BMD in that population.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This report seeks to aid that process by measuring BMC, BMD and body composition parameters in a long-term IBT user (case) compared to two matched participants.</w:t>
      </w:r>
      <w:r w:rsidR="00766CE2" w:rsidRPr="00D53E19">
        <w:rPr>
          <w:rFonts w:ascii="Book Antiqua" w:eastAsia="Book Antiqua" w:hAnsi="Book Antiqua" w:cs="Book Antiqua"/>
          <w:color w:val="000000" w:themeColor="text1"/>
        </w:rPr>
        <w:t xml:space="preserve"> </w:t>
      </w:r>
    </w:p>
    <w:p w:rsidR="00A77B3E" w:rsidRPr="00D53E19" w:rsidRDefault="00A77B3E" w:rsidP="001F5840">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CASE PRESENTATION</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Chief complaints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A 46-year old Caucasian male with C6 SCI </w:t>
      </w:r>
      <w:r w:rsidR="0043723C" w:rsidRPr="00D53E19">
        <w:rPr>
          <w:rFonts w:ascii="Book Antiqua" w:hAnsi="Book Antiqua"/>
        </w:rPr>
        <w:t>American Spinal Injury Association impairment scale</w:t>
      </w:r>
      <w:r w:rsidR="0043723C" w:rsidRPr="00D53E19">
        <w:rPr>
          <w:rFonts w:ascii="Book Antiqua" w:eastAsia="Book Antiqua" w:hAnsi="Book Antiqua" w:cs="Book Antiqua"/>
          <w:color w:val="000000" w:themeColor="text1"/>
        </w:rPr>
        <w:t xml:space="preserve"> </w:t>
      </w:r>
      <w:r w:rsidR="0043723C"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AIS</w:t>
      </w:r>
      <w:r w:rsidR="0043723C"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A presented with inability to walk and lack of use of his arms.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History of present illness</w:t>
      </w:r>
    </w:p>
    <w:p w:rsidR="00B13ADA"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The case has complete tetraplegia as a result of SCI sustained in 1999 from a motor vehicle accident.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He had sustained multiple cervical vertebrae (C5-C7) fractures and was classified as having a C6 Level of injury according to the International Standards for Neurological Classification of SCI. An AIS A classification indicates that there is no motor or sensory preservation in the sacral segment S4-S5</w:t>
      </w:r>
      <w:r w:rsidRPr="00D53E19">
        <w:rPr>
          <w:rFonts w:ascii="Book Antiqua" w:eastAsia="Book Antiqua" w:hAnsi="Book Antiqua" w:cs="Book Antiqua"/>
          <w:color w:val="000000" w:themeColor="text1"/>
          <w:vertAlign w:val="superscript"/>
        </w:rPr>
        <w:t>[15]</w:t>
      </w:r>
      <w:r w:rsidRPr="00D53E19">
        <w:rPr>
          <w:rFonts w:ascii="Book Antiqua" w:eastAsia="Book Antiqua" w:hAnsi="Book Antiqua" w:cs="Book Antiqua"/>
          <w:color w:val="000000" w:themeColor="text1"/>
        </w:rPr>
        <w:t>, suggesting no voluntary movement or feeling below the level of injury.</w:t>
      </w:r>
      <w:r w:rsidR="00766CE2" w:rsidRPr="00D53E19">
        <w:rPr>
          <w:rFonts w:ascii="Book Antiqua" w:eastAsia="Book Antiqua" w:hAnsi="Book Antiqua" w:cs="Book Antiqua"/>
          <w:color w:val="000000" w:themeColor="text1"/>
        </w:rPr>
        <w:t xml:space="preserve">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color w:val="000000" w:themeColor="text1"/>
        </w:rPr>
        <w:t>The injury was complicated by severe lower extremities spasticity and neuropathic pain.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In 2000, the case was implanted with a Medtronic pump, which allowed the delivery of liquid medication directly into his intrathecal space for management of his spasticity and pain.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pump contains a liquid mixture of Baclofen (for IBT), Bupivacaine and Morphine for pain management.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Since commencement of IBT, the case has undergone 6 pumps changes, including one exchange due to a mechanical failure and has refills every 90 </w:t>
      </w:r>
      <w:r w:rsidR="005A41E7" w:rsidRPr="00D53E19">
        <w:rPr>
          <w:rFonts w:ascii="Book Antiqua" w:hAnsi="Book Antiqua" w:cs="Book Antiqua"/>
          <w:color w:val="000000" w:themeColor="text1"/>
          <w:lang w:eastAsia="zh-CN"/>
        </w:rPr>
        <w:t>d</w:t>
      </w:r>
      <w:r w:rsidRPr="00D53E19">
        <w:rPr>
          <w:rFonts w:ascii="Book Antiqua" w:eastAsia="Book Antiqua" w:hAnsi="Book Antiqua" w:cs="Book Antiqua"/>
          <w:color w:val="000000" w:themeColor="text1"/>
        </w:rPr>
        <w:t xml:space="preserve">.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History of past illness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No significant past medical history prior to his accident. </w:t>
      </w:r>
    </w:p>
    <w:p w:rsidR="007E2B6C" w:rsidRDefault="007E2B6C" w:rsidP="00D53E19">
      <w:pPr>
        <w:adjustRightInd w:val="0"/>
        <w:snapToGrid w:val="0"/>
        <w:spacing w:line="360" w:lineRule="auto"/>
        <w:jc w:val="both"/>
        <w:rPr>
          <w:rStyle w:val="dxdefaultcursor"/>
          <w:lang w:eastAsia="zh-CN"/>
        </w:rPr>
      </w:pPr>
    </w:p>
    <w:p w:rsidR="007E2B6C" w:rsidRPr="007E2B6C" w:rsidRDefault="007E2B6C" w:rsidP="00D53E19">
      <w:pPr>
        <w:adjustRightInd w:val="0"/>
        <w:snapToGrid w:val="0"/>
        <w:spacing w:line="360" w:lineRule="auto"/>
        <w:jc w:val="both"/>
        <w:rPr>
          <w:rStyle w:val="dxdefaultcursor"/>
          <w:rFonts w:ascii="Book Antiqua" w:hAnsi="Book Antiqua"/>
          <w:b/>
          <w:i/>
          <w:lang w:eastAsia="zh-CN"/>
        </w:rPr>
      </w:pPr>
      <w:r w:rsidRPr="007E2B6C">
        <w:rPr>
          <w:rStyle w:val="dxdefaultcursor"/>
          <w:rFonts w:ascii="Book Antiqua" w:hAnsi="Book Antiqua"/>
          <w:b/>
          <w:i/>
        </w:rPr>
        <w:t>Personal and family history</w:t>
      </w:r>
    </w:p>
    <w:p w:rsidR="007E2B6C" w:rsidRPr="007E2B6C" w:rsidRDefault="007E2B6C" w:rsidP="007E2B6C">
      <w:pPr>
        <w:adjustRightInd w:val="0"/>
        <w:snapToGrid w:val="0"/>
        <w:spacing w:line="360" w:lineRule="auto"/>
        <w:jc w:val="both"/>
        <w:rPr>
          <w:rFonts w:ascii="Book Antiqua" w:hAnsi="Book Antiqua"/>
          <w:color w:val="000000" w:themeColor="text1"/>
        </w:rPr>
      </w:pPr>
      <w:r w:rsidRPr="007E2B6C">
        <w:rPr>
          <w:rFonts w:ascii="Book Antiqua" w:eastAsia="Book Antiqua" w:hAnsi="Book Antiqua" w:cs="Book Antiqua"/>
          <w:color w:val="000000" w:themeColor="text1"/>
        </w:rPr>
        <w:t>No relevant family history.</w:t>
      </w:r>
    </w:p>
    <w:p w:rsidR="007E2B6C" w:rsidRDefault="007E2B6C" w:rsidP="00D53E19">
      <w:pPr>
        <w:adjustRightInd w:val="0"/>
        <w:snapToGrid w:val="0"/>
        <w:spacing w:line="360" w:lineRule="auto"/>
        <w:jc w:val="both"/>
        <w:rPr>
          <w:rStyle w:val="dxdefaultcursor"/>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lastRenderedPageBreak/>
        <w:t>Physical examination</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At the time of presentation, he weighed 45 kg, measured 1.6m in height and his body mass index (BMI) was 17.5.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Laboratory examinations</w:t>
      </w:r>
    </w:p>
    <w:p w:rsidR="00A77B3E"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Serum 25 hydroxyvitamin D [25(OH)D] was 25.1</w:t>
      </w:r>
      <w:r w:rsidR="00251940"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ng/</w:t>
      </w:r>
      <w:proofErr w:type="spellStart"/>
      <w:r w:rsidRPr="00D53E19">
        <w:rPr>
          <w:rFonts w:ascii="Book Antiqua" w:eastAsia="Book Antiqua" w:hAnsi="Book Antiqua" w:cs="Book Antiqua"/>
          <w:color w:val="000000" w:themeColor="text1"/>
        </w:rPr>
        <w:t>mL</w:t>
      </w:r>
      <w:r w:rsidR="00460CA2" w:rsidRPr="00D53E19">
        <w:rPr>
          <w:rFonts w:ascii="Book Antiqua" w:hAnsi="Book Antiqua" w:cs="Book Antiqua"/>
          <w:color w:val="000000" w:themeColor="text1"/>
          <w:lang w:eastAsia="zh-CN"/>
        </w:rPr>
        <w:t>.</w:t>
      </w:r>
      <w:proofErr w:type="spellEnd"/>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Imaging examinations</w:t>
      </w:r>
    </w:p>
    <w:p w:rsidR="00A77B3E" w:rsidRPr="00D53E19" w:rsidRDefault="00251940"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shd w:val="clear" w:color="auto" w:fill="FFFFFF"/>
        </w:rPr>
        <w:t>DXA</w:t>
      </w:r>
      <w:r w:rsidR="00825EE6" w:rsidRPr="00D53E19">
        <w:rPr>
          <w:rFonts w:ascii="Book Antiqua" w:eastAsia="Book Antiqua" w:hAnsi="Book Antiqua" w:cs="Book Antiqua"/>
          <w:color w:val="000000" w:themeColor="text1"/>
          <w:shd w:val="clear" w:color="auto" w:fill="FFFFFF"/>
        </w:rPr>
        <w:t xml:space="preserve"> imaging were obtained for BMD and body composition parameters.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FINAL DIAGNOSIS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shd w:val="clear" w:color="auto" w:fill="FFFFFF"/>
        </w:rPr>
        <w:t>Tetraplegia with severe osteopenia.</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TREATMENT</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The case continued to receive IBT for management of spasticity. There was no interruption in his treatment regimen.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We compared the radiological findings of the case with those of two other participants with SCI, with similar levels of injury, who had never received IBT.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OUTCOME AND FOLLOW-UP</w:t>
      </w:r>
    </w:p>
    <w:p w:rsidR="00387AD3"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Two matched participants with chronic SCI were identified to determine the effects of long-term IBT on BMC, BMD and leg body composition parameters after SCI.</w:t>
      </w:r>
      <w:r w:rsidR="00766CE2" w:rsidRPr="00D53E19">
        <w:rPr>
          <w:rFonts w:ascii="Book Antiqua" w:eastAsia="Book Antiqua" w:hAnsi="Book Antiqua" w:cs="Book Antiqua"/>
          <w:color w:val="000000" w:themeColor="text1"/>
        </w:rPr>
        <w:t xml:space="preserve"> </w:t>
      </w:r>
    </w:p>
    <w:p w:rsidR="00FC0F35"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 xml:space="preserve">Matched </w:t>
      </w:r>
      <w:r w:rsidR="00387AD3" w:rsidRPr="00D53E19">
        <w:rPr>
          <w:rFonts w:ascii="Book Antiqua" w:eastAsia="Book Antiqua" w:hAnsi="Book Antiqua" w:cs="Book Antiqua"/>
          <w:color w:val="000000" w:themeColor="text1"/>
        </w:rPr>
        <w:t xml:space="preserve">participant </w:t>
      </w:r>
      <w:r w:rsidRPr="00D53E19">
        <w:rPr>
          <w:rFonts w:ascii="Book Antiqua" w:eastAsia="Book Antiqua" w:hAnsi="Book Antiqua" w:cs="Book Antiqua"/>
          <w:color w:val="000000" w:themeColor="text1"/>
        </w:rPr>
        <w:t>(1); male with C7 AIS B (sensory but no motor function preserved below the level of injury, including sacral segment S4-S5)</w:t>
      </w:r>
      <w:r w:rsidRPr="00D53E19">
        <w:rPr>
          <w:rFonts w:ascii="Book Antiqua" w:eastAsia="Book Antiqua" w:hAnsi="Book Antiqua" w:cs="Book Antiqua"/>
          <w:color w:val="000000" w:themeColor="text1"/>
          <w:vertAlign w:val="superscript"/>
        </w:rPr>
        <w:t>[15]</w:t>
      </w:r>
      <w:r w:rsidRPr="00D53E19">
        <w:rPr>
          <w:rFonts w:ascii="Book Antiqua" w:eastAsia="Book Antiqua" w:hAnsi="Book Antiqua" w:cs="Book Antiqua"/>
          <w:color w:val="000000" w:themeColor="text1"/>
        </w:rPr>
        <w:t xml:space="preserve"> and with only 2 years since injury. Match (1) was identified to serve as a control to account for the lack of an initial DXA scan for the case report, on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assumption that the match participant (1) would have had similar knee BMD to that of the case</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at the time of commencement of IBT. </w:t>
      </w:r>
    </w:p>
    <w:p w:rsidR="00135FC2"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Match Participant (2); male with C7 AIS A (no motor or sensory function preserved below the level of injury, including sacral segments S4-S5), with 13 years since injury.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lastRenderedPageBreak/>
        <w:t xml:space="preserve">The general consensus is that bone loss accelerates in the first 6 </w:t>
      </w:r>
      <w:proofErr w:type="spellStart"/>
      <w:r w:rsidRPr="00D53E19">
        <w:rPr>
          <w:rFonts w:ascii="Book Antiqua" w:eastAsia="Book Antiqua" w:hAnsi="Book Antiqua" w:cs="Book Antiqua"/>
          <w:color w:val="000000" w:themeColor="text1"/>
        </w:rPr>
        <w:t>mo</w:t>
      </w:r>
      <w:proofErr w:type="spellEnd"/>
      <w:r w:rsidRPr="00D53E19">
        <w:rPr>
          <w:rFonts w:ascii="Book Antiqua" w:eastAsia="Book Antiqua" w:hAnsi="Book Antiqua" w:cs="Book Antiqua"/>
          <w:color w:val="000000" w:themeColor="text1"/>
        </w:rPr>
        <w:t xml:space="preserve"> after SCI, slows down in 2 years and reaches steady state in 5-8 years</w:t>
      </w:r>
      <w:r w:rsidRPr="00D53E19">
        <w:rPr>
          <w:rFonts w:ascii="Book Antiqua" w:eastAsia="Book Antiqua" w:hAnsi="Book Antiqua" w:cs="Book Antiqua"/>
          <w:color w:val="000000" w:themeColor="text1"/>
          <w:vertAlign w:val="superscript"/>
        </w:rPr>
        <w:t>[</w:t>
      </w:r>
      <w:r w:rsidR="00317E0A" w:rsidRPr="00D53E19">
        <w:rPr>
          <w:rFonts w:ascii="Book Antiqua" w:eastAsia="Book Antiqua" w:hAnsi="Book Antiqua" w:cs="Book Antiqua"/>
          <w:color w:val="000000" w:themeColor="text1"/>
          <w:vertAlign w:val="superscript"/>
        </w:rPr>
        <w:t>14,</w:t>
      </w:r>
      <w:r w:rsidRPr="00D53E19">
        <w:rPr>
          <w:rFonts w:ascii="Book Antiqua" w:eastAsia="Book Antiqua" w:hAnsi="Book Antiqua" w:cs="Book Antiqua"/>
          <w:color w:val="000000" w:themeColor="text1"/>
          <w:vertAlign w:val="superscript"/>
        </w:rPr>
        <w:t>16]</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case and matches were matched on the basis of neurological levels of injury (plus or minus one level), approximate age, weight in kg, height in meter and BMI in kg/m</w:t>
      </w:r>
      <w:r w:rsidRPr="00D53E19">
        <w:rPr>
          <w:rFonts w:ascii="Book Antiqua" w:eastAsia="Book Antiqua" w:hAnsi="Book Antiqua" w:cs="Book Antiqua"/>
          <w:color w:val="000000" w:themeColor="text1"/>
          <w:vertAlign w:val="superscript"/>
        </w:rPr>
        <w:t>2</w:t>
      </w:r>
      <w:r w:rsidRPr="00D53E19">
        <w:rPr>
          <w:rFonts w:ascii="Book Antiqua" w:eastAsia="Book Antiqua" w:hAnsi="Book Antiqua" w:cs="Book Antiqua"/>
          <w:b/>
          <w:bCs/>
          <w:color w:val="000000" w:themeColor="text1"/>
        </w:rPr>
        <w:t>.</w:t>
      </w:r>
      <w:r w:rsidR="00766CE2" w:rsidRPr="00D53E19">
        <w:rPr>
          <w:rFonts w:ascii="Book Antiqua" w:eastAsia="Book Antiqua" w:hAnsi="Book Antiqua" w:cs="Book Antiqua"/>
          <w:b/>
          <w:bCs/>
          <w:color w:val="000000" w:themeColor="text1"/>
        </w:rPr>
        <w:t xml:space="preserve">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bCs/>
          <w:color w:val="000000" w:themeColor="text1"/>
        </w:rPr>
        <w:t>Table 1</w:t>
      </w:r>
      <w:r w:rsidRPr="00D53E19">
        <w:rPr>
          <w:rFonts w:ascii="Book Antiqua" w:eastAsia="Book Antiqua" w:hAnsi="Book Antiqua" w:cs="Book Antiqua"/>
          <w:b/>
          <w:bCs/>
          <w:color w:val="000000" w:themeColor="text1"/>
        </w:rPr>
        <w:t xml:space="preserve"> </w:t>
      </w:r>
      <w:r w:rsidRPr="00D53E19">
        <w:rPr>
          <w:rFonts w:ascii="Book Antiqua" w:eastAsia="Book Antiqua" w:hAnsi="Book Antiqua" w:cs="Book Antiqua"/>
          <w:color w:val="000000" w:themeColor="text1"/>
        </w:rPr>
        <w:t>shows demographics, neurological characteristics, and treatment for the three participants (case and matches).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three participants were recruited from a convenience pool as a part of a parent clinical trial registered at clinicaltrials.gov (NCT01652040)</w:t>
      </w:r>
      <w:r w:rsidRPr="00D53E19">
        <w:rPr>
          <w:rFonts w:ascii="Book Antiqua" w:eastAsia="Book Antiqua" w:hAnsi="Book Antiqua" w:cs="Book Antiqua"/>
          <w:color w:val="000000" w:themeColor="text1"/>
          <w:vertAlign w:val="superscript"/>
        </w:rPr>
        <w:t>[17]</w:t>
      </w:r>
      <w:r w:rsidRPr="00D53E19">
        <w:rPr>
          <w:rFonts w:ascii="Book Antiqua" w:eastAsia="Book Antiqua" w:hAnsi="Book Antiqua" w:cs="Book Antiqua"/>
          <w:color w:val="000000" w:themeColor="text1"/>
        </w:rPr>
        <w:t>.</w:t>
      </w:r>
    </w:p>
    <w:p w:rsidR="00135FC2" w:rsidRPr="00D53E19" w:rsidRDefault="00135FC2" w:rsidP="00D53E19">
      <w:pPr>
        <w:adjustRightInd w:val="0"/>
        <w:snapToGrid w:val="0"/>
        <w:spacing w:line="360" w:lineRule="auto"/>
        <w:jc w:val="both"/>
        <w:rPr>
          <w:rFonts w:ascii="Book Antiqua" w:hAnsi="Book Antiqua" w:cs="Book Antiqua"/>
          <w:b/>
          <w:bCs/>
          <w:i/>
          <w:iCs/>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i/>
          <w:iCs/>
          <w:color w:val="000000" w:themeColor="text1"/>
        </w:rPr>
        <w:t>Procedure</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Cs/>
          <w:color w:val="000000" w:themeColor="text1"/>
        </w:rPr>
        <w:t>DXA scans</w:t>
      </w:r>
      <w:r w:rsidR="00135FC2" w:rsidRPr="00D53E19">
        <w:rPr>
          <w:rFonts w:ascii="Book Antiqua" w:hAnsi="Book Antiqua"/>
          <w:b/>
          <w:color w:val="000000" w:themeColor="text1"/>
          <w:lang w:eastAsia="zh-CN"/>
        </w:rPr>
        <w:t>:</w:t>
      </w:r>
      <w:r w:rsidR="00135FC2" w:rsidRPr="00D53E19">
        <w:rPr>
          <w:rFonts w:ascii="Book Antiqua" w:hAnsi="Book Antiqua"/>
          <w:color w:val="000000" w:themeColor="text1"/>
          <w:lang w:eastAsia="zh-CN"/>
        </w:rPr>
        <w:t xml:space="preserve"> </w:t>
      </w:r>
      <w:r w:rsidRPr="00D53E19">
        <w:rPr>
          <w:rFonts w:ascii="Book Antiqua" w:eastAsia="Book Antiqua" w:hAnsi="Book Antiqua" w:cs="Book Antiqua"/>
          <w:color w:val="000000" w:themeColor="text1"/>
        </w:rPr>
        <w:t xml:space="preserve">DXA scans were conducted by a trained investigator using the total body and dual knee modules of GE Lunar </w:t>
      </w:r>
      <w:proofErr w:type="spellStart"/>
      <w:r w:rsidRPr="00D53E19">
        <w:rPr>
          <w:rFonts w:ascii="Book Antiqua" w:eastAsia="Book Antiqua" w:hAnsi="Book Antiqua" w:cs="Book Antiqua"/>
          <w:color w:val="000000" w:themeColor="text1"/>
        </w:rPr>
        <w:t>iDXA</w:t>
      </w:r>
      <w:proofErr w:type="spellEnd"/>
      <w:r w:rsidRPr="00D53E19">
        <w:rPr>
          <w:rFonts w:ascii="Book Antiqua" w:eastAsia="Book Antiqua" w:hAnsi="Book Antiqua" w:cs="Book Antiqua"/>
          <w:color w:val="000000" w:themeColor="text1"/>
        </w:rPr>
        <w:t xml:space="preserve"> system (GE Healthcare Lunar, platform WI).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These scan modules were used to capture BMC and BMD data for total body, legs, distal femur, and proximal tibia.</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Calibration was performed using a phantom calibration box, simulating human tissues to certify scan reliability and precision. All metals were removed from all participants (case and matches) before placement in a supine position on the scanning table.</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Arms were internally rotated in with the palms facing medially.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 trapezoidal foot positioner was used to hold the feet in place during knee scans. The trapezoidal foot positioner kept the legs internally rotated to ensure minimal overlap between the tibia and fibula.</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A foam block was placed underneath each knee joint to increase stability during scanning. The scan starting point was identified by placing the DXA laser pointer four fingers breadths (10 cm) from the distal border of the patella.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i/>
          <w:iCs/>
          <w:color w:val="000000" w:themeColor="text1"/>
        </w:rPr>
        <w:t xml:space="preserve">Knee </w:t>
      </w:r>
      <w:r w:rsidR="00135FC2" w:rsidRPr="00D53E19">
        <w:rPr>
          <w:rFonts w:ascii="Book Antiqua" w:eastAsia="Book Antiqua" w:hAnsi="Book Antiqua" w:cs="Book Antiqua"/>
          <w:b/>
          <w:bCs/>
          <w:i/>
          <w:iCs/>
          <w:color w:val="000000" w:themeColor="text1"/>
        </w:rPr>
        <w:t>images analysis</w:t>
      </w:r>
    </w:p>
    <w:p w:rsidR="00EC3F8C"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Bone mineral content (BMC) and bone mineral densit</w:t>
      </w:r>
      <w:r w:rsidR="006C10AD" w:rsidRPr="00D53E19">
        <w:rPr>
          <w:rFonts w:ascii="Book Antiqua" w:eastAsia="Book Antiqua" w:hAnsi="Book Antiqua" w:cs="Book Antiqua"/>
          <w:color w:val="000000" w:themeColor="text1"/>
        </w:rPr>
        <w:t>y (BMD) values were computed at</w:t>
      </w:r>
      <w:r w:rsidR="006C10AD"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regional knee areas which correspond to anatomical sites of knee fractures in persons with SCI, using the manufacturer software Lunar </w:t>
      </w:r>
      <w:proofErr w:type="spellStart"/>
      <w:r w:rsidRPr="00D53E19">
        <w:rPr>
          <w:rFonts w:ascii="Book Antiqua" w:eastAsia="Book Antiqua" w:hAnsi="Book Antiqua" w:cs="Book Antiqua"/>
          <w:color w:val="000000" w:themeColor="text1"/>
        </w:rPr>
        <w:t>EnCore</w:t>
      </w:r>
      <w:proofErr w:type="spellEnd"/>
      <w:r w:rsidRPr="00D53E19">
        <w:rPr>
          <w:rFonts w:ascii="Book Antiqua" w:eastAsia="Book Antiqua" w:hAnsi="Book Antiqua" w:cs="Book Antiqua"/>
          <w:color w:val="000000" w:themeColor="text1"/>
        </w:rPr>
        <w:t xml:space="preserve"> version 16 (GE Healthcare, Madison, WI)</w:t>
      </w:r>
      <w:r w:rsidRPr="00D53E19">
        <w:rPr>
          <w:rFonts w:ascii="Book Antiqua" w:eastAsia="Book Antiqua" w:hAnsi="Book Antiqua" w:cs="Book Antiqua"/>
          <w:color w:val="000000" w:themeColor="text1"/>
          <w:vertAlign w:val="superscript"/>
        </w:rPr>
        <w:t>[</w:t>
      </w:r>
      <w:r w:rsidR="006C10AD" w:rsidRPr="00D53E19">
        <w:rPr>
          <w:rFonts w:ascii="Book Antiqua" w:hAnsi="Book Antiqua" w:cs="Book Antiqua"/>
          <w:color w:val="000000" w:themeColor="text1"/>
          <w:vertAlign w:val="superscript"/>
          <w:lang w:eastAsia="zh-CN"/>
        </w:rPr>
        <w:t>1</w:t>
      </w:r>
      <w:r w:rsidRPr="00D53E19">
        <w:rPr>
          <w:rFonts w:ascii="Book Antiqua" w:eastAsia="Book Antiqua" w:hAnsi="Book Antiqua" w:cs="Book Antiqua"/>
          <w:color w:val="000000" w:themeColor="text1"/>
          <w:vertAlign w:val="superscript"/>
        </w:rPr>
        <w:t>8]</w:t>
      </w:r>
      <w:r w:rsidRPr="00D53E19">
        <w:rPr>
          <w:rFonts w:ascii="Book Antiqua" w:eastAsia="Book Antiqua" w:hAnsi="Book Antiqua" w:cs="Book Antiqua"/>
          <w:color w:val="000000" w:themeColor="text1"/>
        </w:rPr>
        <w:t>. Previously published work showed controversies about anatomical sites that are likely to contribute to knee fractures after SCI.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To obviate such </w:t>
      </w:r>
      <w:r w:rsidRPr="00D53E19">
        <w:rPr>
          <w:rFonts w:ascii="Book Antiqua" w:eastAsia="Book Antiqua" w:hAnsi="Book Antiqua" w:cs="Book Antiqua"/>
          <w:color w:val="000000" w:themeColor="text1"/>
        </w:rPr>
        <w:lastRenderedPageBreak/>
        <w:t>controversies, we have decided to assess bone at metaphysis</w:t>
      </w:r>
      <w:r w:rsidR="006C10AD"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19]</w:t>
      </w:r>
      <w:r w:rsidRPr="00D53E19">
        <w:rPr>
          <w:rFonts w:ascii="Book Antiqua" w:eastAsia="Book Antiqua" w:hAnsi="Book Antiqua" w:cs="Book Antiqua"/>
          <w:color w:val="000000" w:themeColor="text1"/>
        </w:rPr>
        <w:t xml:space="preserve"> and epiphysis</w:t>
      </w:r>
      <w:r w:rsidRPr="00D53E19">
        <w:rPr>
          <w:rFonts w:ascii="Book Antiqua" w:eastAsia="Book Antiqua" w:hAnsi="Book Antiqua" w:cs="Book Antiqua"/>
          <w:color w:val="000000" w:themeColor="text1"/>
          <w:vertAlign w:val="superscript"/>
        </w:rPr>
        <w:t>[20]</w:t>
      </w:r>
      <w:r w:rsidRPr="00D53E19">
        <w:rPr>
          <w:rFonts w:ascii="Book Antiqua" w:eastAsia="Book Antiqua" w:hAnsi="Book Antiqua" w:cs="Book Antiqua"/>
          <w:color w:val="000000" w:themeColor="text1"/>
        </w:rPr>
        <w:t xml:space="preserve"> of the distal femur and proximal tibia. </w:t>
      </w:r>
    </w:p>
    <w:p w:rsidR="00EC455F"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The calculations of BMC and BMD were performed for the distal femur metaphysis, distal femur epiphysis, proximal tibia metaphysis and proximal tibia epiphysis (</w:t>
      </w:r>
      <w:r w:rsidRPr="00D53E19">
        <w:rPr>
          <w:rFonts w:ascii="Book Antiqua" w:eastAsia="Book Antiqua" w:hAnsi="Book Antiqua" w:cs="Book Antiqua"/>
          <w:bCs/>
          <w:color w:val="000000" w:themeColor="text1"/>
        </w:rPr>
        <w:t>Fig</w:t>
      </w:r>
      <w:r w:rsidR="007F6F62" w:rsidRPr="00D53E19">
        <w:rPr>
          <w:rFonts w:ascii="Book Antiqua" w:eastAsia="Book Antiqua" w:hAnsi="Book Antiqua" w:cs="Book Antiqua"/>
          <w:bCs/>
          <w:color w:val="000000" w:themeColor="text1"/>
        </w:rPr>
        <w:t>ure</w:t>
      </w:r>
      <w:r w:rsidRPr="00D53E19">
        <w:rPr>
          <w:rFonts w:ascii="Book Antiqua" w:eastAsia="Book Antiqua" w:hAnsi="Book Antiqua" w:cs="Book Antiqua"/>
          <w:bCs/>
          <w:color w:val="000000" w:themeColor="text1"/>
        </w:rPr>
        <w:t xml:space="preserve"> 1</w:t>
      </w:r>
      <w:r w:rsidR="00EC455F" w:rsidRPr="00D53E19">
        <w:rPr>
          <w:rFonts w:ascii="Book Antiqua" w:hAnsi="Book Antiqua" w:cs="Book Antiqua"/>
          <w:bCs/>
          <w:color w:val="000000" w:themeColor="text1"/>
          <w:lang w:eastAsia="zh-CN"/>
        </w:rPr>
        <w:t>B</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For the proximal tibia metaphysis,</w:t>
      </w:r>
      <w:r w:rsidRPr="00D53E19">
        <w:rPr>
          <w:rFonts w:ascii="Book Antiqua" w:eastAsia="Book Antiqua" w:hAnsi="Book Antiqua" w:cs="Book Antiqua"/>
          <w:color w:val="000000" w:themeColor="text1"/>
          <w:vertAlign w:val="subscript"/>
        </w:rPr>
        <w:t xml:space="preserve"> </w:t>
      </w:r>
      <w:r w:rsidRPr="00D53E19">
        <w:rPr>
          <w:rFonts w:ascii="Book Antiqua" w:eastAsia="Book Antiqua" w:hAnsi="Book Antiqua" w:cs="Book Antiqua"/>
          <w:color w:val="000000" w:themeColor="text1"/>
        </w:rPr>
        <w:t>a rectangular region of interest was drawn with its height set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at 7% of femur length, width set to include only tibial bone (excluding fibula) and its proximal edge positioned at the uppermost point of contact between the fibular head and the tibia (</w:t>
      </w:r>
      <w:r w:rsidRPr="00D53E19">
        <w:rPr>
          <w:rFonts w:ascii="Book Antiqua" w:eastAsia="Book Antiqua" w:hAnsi="Book Antiqua" w:cs="Book Antiqua"/>
          <w:bCs/>
          <w:color w:val="000000" w:themeColor="text1"/>
        </w:rPr>
        <w:t>Fig</w:t>
      </w:r>
      <w:r w:rsidR="007F6F62" w:rsidRPr="00D53E19">
        <w:rPr>
          <w:rFonts w:ascii="Book Antiqua" w:hAnsi="Book Antiqua" w:cs="Book Antiqua"/>
          <w:bCs/>
          <w:color w:val="000000" w:themeColor="text1"/>
          <w:lang w:eastAsia="zh-CN"/>
        </w:rPr>
        <w:t>ure</w:t>
      </w:r>
      <w:r w:rsidRPr="00D53E19">
        <w:rPr>
          <w:rFonts w:ascii="Book Antiqua" w:eastAsia="Book Antiqua" w:hAnsi="Book Antiqua" w:cs="Book Antiqua"/>
          <w:bCs/>
          <w:color w:val="000000" w:themeColor="text1"/>
        </w:rPr>
        <w:t xml:space="preserve"> 1</w:t>
      </w:r>
      <w:r w:rsidR="007F6F62" w:rsidRPr="00D53E19">
        <w:rPr>
          <w:rFonts w:ascii="Book Antiqua" w:eastAsia="Book Antiqua" w:hAnsi="Book Antiqua" w:cs="Book Antiqua"/>
          <w:bCs/>
          <w:color w:val="000000" w:themeColor="text1"/>
        </w:rPr>
        <w:t>B</w:t>
      </w:r>
      <w:r w:rsidRPr="00D53E19">
        <w:rPr>
          <w:rFonts w:ascii="Book Antiqua" w:eastAsia="Book Antiqua" w:hAnsi="Book Antiqua" w:cs="Book Antiqua"/>
          <w:color w:val="000000" w:themeColor="text1"/>
        </w:rPr>
        <w:t>).</w:t>
      </w:r>
      <w:r w:rsidRPr="00D53E19">
        <w:rPr>
          <w:rFonts w:ascii="Book Antiqua" w:eastAsia="Book Antiqua" w:hAnsi="Book Antiqua" w:cs="Book Antiqua"/>
          <w:i/>
          <w:iCs/>
          <w:color w:val="000000" w:themeColor="text1"/>
        </w:rPr>
        <w:t xml:space="preserve"> </w:t>
      </w:r>
      <w:r w:rsidRPr="00D53E19">
        <w:rPr>
          <w:rFonts w:ascii="Book Antiqua" w:eastAsia="Book Antiqua" w:hAnsi="Book Antiqua" w:cs="Book Antiqua"/>
          <w:color w:val="000000" w:themeColor="text1"/>
        </w:rPr>
        <w:t>For proximal tibia epiphysis, a rectangular region of interest was drawn with its height set at 10% of tibial length, width to include bone at tibial and fibular heads with its lateral edge located at the tibial plateau.</w:t>
      </w:r>
    </w:p>
    <w:p w:rsidR="00C844FA"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For the distal femur metaphysis, a rectangular region of interest was drawn with its height set to match the proximal tibia metaphysis, width to include femoral bone and its lateral end positioned at a distance of 13% of femoral length extended up from the lateral condyle. For distal femur epiphysis</w:t>
      </w:r>
      <w:r w:rsidRPr="00D53E19">
        <w:rPr>
          <w:rFonts w:ascii="Book Antiqua" w:eastAsia="Book Antiqua" w:hAnsi="Book Antiqua" w:cs="Book Antiqua"/>
          <w:color w:val="000000" w:themeColor="text1"/>
          <w:vertAlign w:val="subscript"/>
        </w:rPr>
        <w:t>,</w:t>
      </w:r>
      <w:r w:rsidRPr="00D53E19">
        <w:rPr>
          <w:rFonts w:ascii="Book Antiqua" w:eastAsia="Book Antiqua" w:hAnsi="Book Antiqua" w:cs="Book Antiqua"/>
          <w:color w:val="000000" w:themeColor="text1"/>
        </w:rPr>
        <w:t xml:space="preserve"> the rectangular region of interest was drawn with its height set at 10% of femoral length. The width included the femoral epiphysial bone with its lateral edge positioned at the tibial groove (</w:t>
      </w:r>
      <w:r w:rsidRPr="00D53E19">
        <w:rPr>
          <w:rFonts w:ascii="Book Antiqua" w:eastAsia="Book Antiqua" w:hAnsi="Book Antiqua" w:cs="Book Antiqua"/>
          <w:bCs/>
          <w:color w:val="000000" w:themeColor="text1"/>
        </w:rPr>
        <w:t>Fig</w:t>
      </w:r>
      <w:r w:rsidR="00EC455F" w:rsidRPr="00D53E19">
        <w:rPr>
          <w:rFonts w:ascii="Book Antiqua" w:hAnsi="Book Antiqua" w:cs="Book Antiqua"/>
          <w:bCs/>
          <w:color w:val="000000" w:themeColor="text1"/>
          <w:lang w:eastAsia="zh-CN"/>
        </w:rPr>
        <w:t>ure</w:t>
      </w:r>
      <w:r w:rsidRPr="00D53E19">
        <w:rPr>
          <w:rFonts w:ascii="Book Antiqua" w:eastAsia="Book Antiqua" w:hAnsi="Book Antiqua" w:cs="Book Antiqua"/>
          <w:bCs/>
          <w:color w:val="000000" w:themeColor="text1"/>
        </w:rPr>
        <w:t xml:space="preserve"> 1</w:t>
      </w:r>
      <w:r w:rsidR="00EC455F" w:rsidRPr="00D53E19">
        <w:rPr>
          <w:rFonts w:ascii="Book Antiqua" w:eastAsia="Book Antiqua" w:hAnsi="Book Antiqua" w:cs="Book Antiqua"/>
          <w:bCs/>
          <w:color w:val="000000" w:themeColor="text1"/>
        </w:rPr>
        <w:t>B</w:t>
      </w:r>
      <w:r w:rsidRPr="00D53E19">
        <w:rPr>
          <w:rFonts w:ascii="Book Antiqua" w:eastAsia="Book Antiqua" w:hAnsi="Book Antiqua" w:cs="Book Antiqua"/>
          <w:color w:val="000000" w:themeColor="text1"/>
        </w:rPr>
        <w:t xml:space="preserve">).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color w:val="000000" w:themeColor="text1"/>
        </w:rPr>
        <w:t>Manual correction, using a brushing tool within the software was used to assign bone pixels that were not automatically detected by the software (</w:t>
      </w:r>
      <w:r w:rsidRPr="00D53E19">
        <w:rPr>
          <w:rFonts w:ascii="Book Antiqua" w:eastAsia="Book Antiqua" w:hAnsi="Book Antiqua" w:cs="Book Antiqua"/>
          <w:bCs/>
          <w:color w:val="000000" w:themeColor="text1"/>
        </w:rPr>
        <w:t>Fig</w:t>
      </w:r>
      <w:r w:rsidR="00EC455F" w:rsidRPr="00D53E19">
        <w:rPr>
          <w:rFonts w:ascii="Book Antiqua" w:hAnsi="Book Antiqua" w:cs="Book Antiqua"/>
          <w:bCs/>
          <w:color w:val="000000" w:themeColor="text1"/>
          <w:lang w:eastAsia="zh-CN"/>
        </w:rPr>
        <w:t>ure</w:t>
      </w:r>
      <w:r w:rsidRPr="00D53E19">
        <w:rPr>
          <w:rFonts w:ascii="Book Antiqua" w:eastAsia="Book Antiqua" w:hAnsi="Book Antiqua" w:cs="Book Antiqua"/>
          <w:bCs/>
          <w:color w:val="000000" w:themeColor="text1"/>
        </w:rPr>
        <w:t xml:space="preserve"> 1</w:t>
      </w:r>
      <w:r w:rsidR="00EC455F" w:rsidRPr="00D53E19">
        <w:rPr>
          <w:rFonts w:ascii="Book Antiqua" w:eastAsia="Book Antiqua" w:hAnsi="Book Antiqua" w:cs="Book Antiqua"/>
          <w:bCs/>
          <w:color w:val="000000" w:themeColor="text1"/>
        </w:rPr>
        <w:t>A</w:t>
      </w:r>
      <w:r w:rsidRPr="00D53E19">
        <w:rPr>
          <w:rFonts w:ascii="Book Antiqua" w:eastAsia="Book Antiqua" w:hAnsi="Book Antiqua" w:cs="Book Antiqua"/>
          <w:color w:val="000000" w:themeColor="text1"/>
        </w:rPr>
        <w:t>).</w:t>
      </w:r>
      <w:r w:rsidR="000F062A"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Previous work showed that in chronic SCI group, the root-mean-square coefficient of variation (RMS-CV) values for BMD were 3.12, 4.70 and 3.40%, for the distal femur epiphysis, distal femur metaphysis and proximal tibia epiphysis, respectively</w:t>
      </w:r>
      <w:r w:rsidR="00B26747"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21]</w:t>
      </w:r>
      <w:r w:rsidRPr="00D53E19">
        <w:rPr>
          <w:rFonts w:ascii="Book Antiqua" w:eastAsia="Book Antiqua" w:hAnsi="Book Antiqua" w:cs="Book Antiqua"/>
          <w:color w:val="000000" w:themeColor="text1"/>
        </w:rPr>
        <w:t>. The RMS-CV values were determined for the three knee regions using an existing DXA forearm acquisition algorithm against quantitative computed tomog</w:t>
      </w:r>
      <w:r w:rsidR="00031348" w:rsidRPr="00D53E19">
        <w:rPr>
          <w:rFonts w:ascii="Book Antiqua" w:eastAsia="Book Antiqua" w:hAnsi="Book Antiqua" w:cs="Book Antiqua"/>
          <w:color w:val="000000" w:themeColor="text1"/>
        </w:rPr>
        <w:t>raphy</w:t>
      </w:r>
      <w:r w:rsidRPr="00D53E19">
        <w:rPr>
          <w:rFonts w:ascii="Book Antiqua" w:eastAsia="Book Antiqua" w:hAnsi="Book Antiqua" w:cs="Book Antiqua"/>
          <w:color w:val="000000" w:themeColor="text1"/>
        </w:rPr>
        <w:t>-derived volumetric BMD. In the current case report, we have applied the above thresholds to determine whether the magnitude of the changes in BMD are clinically meaningful or not following IBT.</w:t>
      </w:r>
    </w:p>
    <w:p w:rsidR="0099660F" w:rsidRPr="00D53E19" w:rsidRDefault="0099660F" w:rsidP="00D53E19">
      <w:pPr>
        <w:adjustRightInd w:val="0"/>
        <w:snapToGrid w:val="0"/>
        <w:spacing w:line="360" w:lineRule="auto"/>
        <w:jc w:val="both"/>
        <w:rPr>
          <w:rFonts w:ascii="Book Antiqua" w:hAnsi="Book Antiqua"/>
          <w:color w:val="000000" w:themeColor="text1"/>
          <w:lang w:eastAsia="zh-CN"/>
        </w:rPr>
      </w:pPr>
    </w:p>
    <w:p w:rsidR="0099660F" w:rsidRPr="00D53E19" w:rsidRDefault="0099660F" w:rsidP="00D53E19">
      <w:pPr>
        <w:adjustRightInd w:val="0"/>
        <w:snapToGrid w:val="0"/>
        <w:spacing w:line="360" w:lineRule="auto"/>
        <w:jc w:val="both"/>
        <w:rPr>
          <w:rFonts w:ascii="Book Antiqua" w:hAnsi="Book Antiqua" w:cs="Book Antiqua"/>
          <w:b/>
          <w:bCs/>
          <w:i/>
          <w:color w:val="000000" w:themeColor="text1"/>
          <w:lang w:eastAsia="zh-CN"/>
        </w:rPr>
      </w:pPr>
      <w:r w:rsidRPr="00D53E19">
        <w:rPr>
          <w:rFonts w:ascii="Book Antiqua" w:eastAsia="Book Antiqua" w:hAnsi="Book Antiqua" w:cs="Book Antiqua"/>
          <w:b/>
          <w:bCs/>
          <w:i/>
          <w:color w:val="000000" w:themeColor="text1"/>
        </w:rPr>
        <w:t>Results</w:t>
      </w:r>
    </w:p>
    <w:p w:rsidR="00A77B3E" w:rsidRPr="00D53E19" w:rsidRDefault="00825EE6" w:rsidP="00D53E19">
      <w:pPr>
        <w:adjustRightInd w:val="0"/>
        <w:snapToGrid w:val="0"/>
        <w:spacing w:line="360" w:lineRule="auto"/>
        <w:jc w:val="both"/>
        <w:rPr>
          <w:rFonts w:ascii="Book Antiqua" w:hAnsi="Book Antiqua" w:cs="Book Antiqua"/>
          <w:color w:val="000000" w:themeColor="text1"/>
          <w:lang w:eastAsia="zh-CN"/>
        </w:rPr>
      </w:pPr>
      <w:r w:rsidRPr="00D53E19">
        <w:rPr>
          <w:rFonts w:ascii="Book Antiqua" w:eastAsia="Book Antiqua" w:hAnsi="Book Antiqua" w:cs="Book Antiqua"/>
          <w:color w:val="000000" w:themeColor="text1"/>
        </w:rPr>
        <w:t xml:space="preserve">The physical and SCI characteristics of the case, and the matched controls are presented in </w:t>
      </w:r>
      <w:r w:rsidRPr="00D53E19">
        <w:rPr>
          <w:rFonts w:ascii="Book Antiqua" w:eastAsia="Book Antiqua" w:hAnsi="Book Antiqua" w:cs="Book Antiqua"/>
          <w:bCs/>
          <w:color w:val="000000" w:themeColor="text1"/>
        </w:rPr>
        <w:t>Table 1</w:t>
      </w:r>
      <w:r w:rsidRPr="00D53E19">
        <w:rPr>
          <w:rFonts w:ascii="Book Antiqua" w:eastAsia="Book Antiqua" w:hAnsi="Book Antiqua" w:cs="Book Antiqua"/>
          <w:color w:val="000000" w:themeColor="text1"/>
        </w:rPr>
        <w:t xml:space="preserve">. There were no remarkable differences in physical characteristics among the three participants, except for the age of one of the two matched participants based on </w:t>
      </w:r>
      <w:r w:rsidRPr="00D53E19">
        <w:rPr>
          <w:rFonts w:ascii="Book Antiqua" w:eastAsia="Book Antiqua" w:hAnsi="Book Antiqua" w:cs="Book Antiqua"/>
          <w:color w:val="000000" w:themeColor="text1"/>
        </w:rPr>
        <w:lastRenderedPageBreak/>
        <w:t>the design of the study.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All participants were of approximate level of injury and similar ethnicity. The case was matched to two participants with different times since injury (2 and 13 years) and similar neurological level of injury. Serum 25 hydroxyvitamin D [25(OH)D] was 25.1 and 50.2 ng/mL for the case and matched 2, respectively, before enrollment in the study. </w:t>
      </w:r>
    </w:p>
    <w:p w:rsidR="0099660F" w:rsidRPr="00D53E19" w:rsidRDefault="0099660F" w:rsidP="00D53E19">
      <w:pPr>
        <w:adjustRightInd w:val="0"/>
        <w:snapToGrid w:val="0"/>
        <w:spacing w:line="360" w:lineRule="auto"/>
        <w:jc w:val="both"/>
        <w:rPr>
          <w:rFonts w:ascii="Book Antiqua" w:hAnsi="Book Antiqua"/>
          <w:i/>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i/>
          <w:iCs/>
          <w:color w:val="000000" w:themeColor="text1"/>
        </w:rPr>
        <w:t>Knee BMC and BMD</w:t>
      </w:r>
    </w:p>
    <w:p w:rsidR="00E720BF"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 xml:space="preserve">DXA-based BMC and BMD values of the three participants (case and matches) are presented in </w:t>
      </w:r>
      <w:r w:rsidRPr="00D53E19">
        <w:rPr>
          <w:rFonts w:ascii="Book Antiqua" w:eastAsia="Book Antiqua" w:hAnsi="Book Antiqua" w:cs="Book Antiqua"/>
          <w:bCs/>
          <w:color w:val="000000" w:themeColor="text1"/>
        </w:rPr>
        <w:t>Table 2</w:t>
      </w:r>
      <w:r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bCs/>
          <w:color w:val="000000" w:themeColor="text1"/>
        </w:rPr>
        <w:t>Figures 2</w:t>
      </w:r>
      <w:r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bCs/>
          <w:color w:val="000000" w:themeColor="text1"/>
        </w:rPr>
        <w:t>and 3</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Figure 2</w:t>
      </w:r>
      <w:r w:rsidR="00E720BF" w:rsidRPr="00D53E19">
        <w:rPr>
          <w:rFonts w:ascii="Book Antiqua" w:hAnsi="Book Antiqua" w:cs="Book Antiqua"/>
          <w:color w:val="000000" w:themeColor="text1"/>
          <w:lang w:eastAsia="zh-CN"/>
        </w:rPr>
        <w:t>A and B</w:t>
      </w:r>
      <w:r w:rsidRPr="00D53E19">
        <w:rPr>
          <w:rFonts w:ascii="Book Antiqua" w:eastAsia="Book Antiqua" w:hAnsi="Book Antiqua" w:cs="Book Antiqua"/>
          <w:color w:val="000000" w:themeColor="text1"/>
        </w:rPr>
        <w:t xml:space="preserve"> displays the DXA-based BMC </w:t>
      </w:r>
      <w:bookmarkStart w:id="0" w:name="_GoBack"/>
      <w:bookmarkEnd w:id="0"/>
      <w:r w:rsidRPr="00D53E19">
        <w:rPr>
          <w:rFonts w:ascii="Book Antiqua" w:eastAsia="Book Antiqua" w:hAnsi="Book Antiqua" w:cs="Book Antiqua"/>
          <w:color w:val="000000" w:themeColor="text1"/>
        </w:rPr>
        <w:t>and BMD of the right and left distal femur metaphysis and epiphys</w:t>
      </w:r>
      <w:r w:rsidR="00E720BF" w:rsidRPr="00D53E19">
        <w:rPr>
          <w:rFonts w:ascii="Book Antiqua" w:eastAsia="Book Antiqua" w:hAnsi="Book Antiqua" w:cs="Book Antiqua"/>
          <w:color w:val="000000" w:themeColor="text1"/>
        </w:rPr>
        <w:t>is, respectively.</w:t>
      </w:r>
      <w:r w:rsidR="00766CE2" w:rsidRPr="00D53E19">
        <w:rPr>
          <w:rFonts w:ascii="Book Antiqua" w:eastAsia="Book Antiqua" w:hAnsi="Book Antiqua" w:cs="Book Antiqua"/>
          <w:color w:val="000000" w:themeColor="text1"/>
        </w:rPr>
        <w:t xml:space="preserve"> </w:t>
      </w:r>
      <w:r w:rsidR="00E720BF" w:rsidRPr="00D53E19">
        <w:rPr>
          <w:rFonts w:ascii="Book Antiqua" w:eastAsia="Book Antiqua" w:hAnsi="Book Antiqua" w:cs="Book Antiqua"/>
          <w:color w:val="000000" w:themeColor="text1"/>
        </w:rPr>
        <w:t xml:space="preserve">Figure 3A </w:t>
      </w:r>
      <w:r w:rsidR="00E720BF" w:rsidRPr="00D53E19">
        <w:rPr>
          <w:rFonts w:ascii="Book Antiqua" w:hAnsi="Book Antiqua" w:cs="Book Antiqua"/>
          <w:color w:val="000000" w:themeColor="text1"/>
          <w:lang w:eastAsia="zh-CN"/>
        </w:rPr>
        <w:t>and</w:t>
      </w:r>
      <w:r w:rsidR="00E720BF" w:rsidRPr="00D53E19">
        <w:rPr>
          <w:rFonts w:ascii="Book Antiqua" w:eastAsia="Book Antiqua" w:hAnsi="Book Antiqua" w:cs="Book Antiqua"/>
          <w:color w:val="000000" w:themeColor="text1"/>
        </w:rPr>
        <w:t xml:space="preserve"> B</w:t>
      </w:r>
      <w:r w:rsidRPr="00D53E19">
        <w:rPr>
          <w:rFonts w:ascii="Book Antiqua" w:eastAsia="Book Antiqua" w:hAnsi="Book Antiqua" w:cs="Book Antiqua"/>
          <w:color w:val="000000" w:themeColor="text1"/>
        </w:rPr>
        <w:t xml:space="preserve"> displays the DXA-based BMC and BMD for the right and left proximal tibia metaphysis and epiphysis, respectively. </w:t>
      </w:r>
    </w:p>
    <w:p w:rsidR="00E720BF"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The case showed a remarkably lower BMD as compared to match 1 for</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the distal femur, with average percentage difference of 113% for both legs epiphyses and </w:t>
      </w:r>
      <w:proofErr w:type="spellStart"/>
      <w:r w:rsidRPr="00D53E19">
        <w:rPr>
          <w:rFonts w:ascii="Book Antiqua" w:eastAsia="Book Antiqua" w:hAnsi="Book Antiqua" w:cs="Book Antiqua"/>
          <w:color w:val="000000" w:themeColor="text1"/>
        </w:rPr>
        <w:t>metaphyses</w:t>
      </w:r>
      <w:proofErr w:type="spellEnd"/>
      <w:r w:rsidRPr="00D53E19">
        <w:rPr>
          <w:rFonts w:ascii="Book Antiqua" w:eastAsia="Book Antiqua" w:hAnsi="Book Antiqua" w:cs="Book Antiqua"/>
          <w:color w:val="000000" w:themeColor="text1"/>
        </w:rPr>
        <w:t>; moreover the case showed lower BMD as compared to match 1 for</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proximal tibia, with average percentage difference of</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78.1% for both legs epiphyses and </w:t>
      </w:r>
      <w:proofErr w:type="spellStart"/>
      <w:r w:rsidRPr="00D53E19">
        <w:rPr>
          <w:rFonts w:ascii="Book Antiqua" w:eastAsia="Book Antiqua" w:hAnsi="Book Antiqua" w:cs="Book Antiqua"/>
          <w:color w:val="000000" w:themeColor="text1"/>
        </w:rPr>
        <w:t>metaphyses</w:t>
      </w:r>
      <w:proofErr w:type="spellEnd"/>
      <w:r w:rsidRPr="00D53E19">
        <w:rPr>
          <w:rFonts w:ascii="Book Antiqua" w:eastAsia="Book Antiqua" w:hAnsi="Book Antiqua" w:cs="Book Antiqua"/>
          <w:color w:val="000000" w:themeColor="text1"/>
        </w:rPr>
        <w:t>.</w:t>
      </w:r>
    </w:p>
    <w:p w:rsidR="00A77B3E" w:rsidRPr="00D53E19" w:rsidRDefault="00825EE6" w:rsidP="00D53E19">
      <w:pPr>
        <w:adjustRightInd w:val="0"/>
        <w:snapToGrid w:val="0"/>
        <w:spacing w:line="360" w:lineRule="auto"/>
        <w:ind w:firstLineChars="100" w:firstLine="240"/>
        <w:jc w:val="both"/>
        <w:rPr>
          <w:rFonts w:ascii="Book Antiqua" w:hAnsi="Book Antiqua" w:cs="Book Antiqua"/>
          <w:color w:val="000000" w:themeColor="text1"/>
          <w:lang w:eastAsia="zh-CN"/>
        </w:rPr>
      </w:pPr>
      <w:r w:rsidRPr="00D53E19">
        <w:rPr>
          <w:rFonts w:ascii="Book Antiqua" w:eastAsia="Book Antiqua" w:hAnsi="Book Antiqua" w:cs="Book Antiqua"/>
          <w:color w:val="000000" w:themeColor="text1"/>
        </w:rPr>
        <w:t xml:space="preserve">Furthermore, the case showed lower BMD as compared to match 2 for the distal femur, with average percentage difference of 45% for both legs epiphyses and </w:t>
      </w:r>
      <w:proofErr w:type="spellStart"/>
      <w:r w:rsidRPr="00D53E19">
        <w:rPr>
          <w:rFonts w:ascii="Book Antiqua" w:eastAsia="Book Antiqua" w:hAnsi="Book Antiqua" w:cs="Book Antiqua"/>
          <w:color w:val="000000" w:themeColor="text1"/>
        </w:rPr>
        <w:t>metaphyses</w:t>
      </w:r>
      <w:proofErr w:type="spellEnd"/>
      <w:r w:rsidRPr="00D53E19">
        <w:rPr>
          <w:rFonts w:ascii="Book Antiqua" w:eastAsia="Book Antiqua" w:hAnsi="Book Antiqua" w:cs="Book Antiqua"/>
          <w:color w:val="000000" w:themeColor="text1"/>
        </w:rPr>
        <w:t>, with no noticeable change in proximal tibia BMD.</w:t>
      </w:r>
    </w:p>
    <w:p w:rsidR="00E720BF" w:rsidRPr="00D53E19" w:rsidRDefault="00E720BF" w:rsidP="00D53E19">
      <w:pPr>
        <w:adjustRightInd w:val="0"/>
        <w:snapToGrid w:val="0"/>
        <w:spacing w:line="360" w:lineRule="auto"/>
        <w:ind w:firstLineChars="100" w:firstLine="240"/>
        <w:jc w:val="both"/>
        <w:rPr>
          <w:rFonts w:ascii="Book Antiqua" w:hAnsi="Book Antiqua"/>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i/>
          <w:iCs/>
          <w:color w:val="000000" w:themeColor="text1"/>
        </w:rPr>
        <w:t>Total body and leg composition assessments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Leg and total body BMC, le</w:t>
      </w:r>
      <w:r w:rsidR="00FC67F6" w:rsidRPr="00D53E19">
        <w:rPr>
          <w:rFonts w:ascii="Book Antiqua" w:eastAsia="Book Antiqua" w:hAnsi="Book Antiqua" w:cs="Book Antiqua"/>
          <w:color w:val="000000" w:themeColor="text1"/>
        </w:rPr>
        <w:t>an mass and fat percentage for </w:t>
      </w:r>
      <w:r w:rsidRPr="00D53E19">
        <w:rPr>
          <w:rFonts w:ascii="Book Antiqua" w:eastAsia="Book Antiqua" w:hAnsi="Book Antiqua" w:cs="Book Antiqua"/>
          <w:color w:val="000000" w:themeColor="text1"/>
        </w:rPr>
        <w:t xml:space="preserve">the </w:t>
      </w:r>
      <w:r w:rsidR="00FC67F6" w:rsidRPr="00D53E19">
        <w:rPr>
          <w:rFonts w:ascii="Book Antiqua" w:eastAsia="Book Antiqua" w:hAnsi="Book Antiqua" w:cs="Book Antiqua"/>
          <w:color w:val="000000" w:themeColor="text1"/>
        </w:rPr>
        <w:t xml:space="preserve">case and matches are presented </w:t>
      </w:r>
      <w:r w:rsidRPr="00D53E19">
        <w:rPr>
          <w:rFonts w:ascii="Book Antiqua" w:eastAsia="Book Antiqua" w:hAnsi="Book Antiqua" w:cs="Book Antiqua"/>
          <w:color w:val="000000" w:themeColor="text1"/>
        </w:rPr>
        <w:t xml:space="preserve">in </w:t>
      </w:r>
      <w:r w:rsidR="00167B02" w:rsidRPr="00D53E19">
        <w:rPr>
          <w:rFonts w:ascii="Book Antiqua" w:eastAsia="Book Antiqua" w:hAnsi="Book Antiqua" w:cs="Book Antiqua"/>
          <w:bCs/>
          <w:color w:val="000000" w:themeColor="text1"/>
        </w:rPr>
        <w:t xml:space="preserve">Figure </w:t>
      </w:r>
      <w:r w:rsidRPr="00D53E19">
        <w:rPr>
          <w:rFonts w:ascii="Book Antiqua" w:eastAsia="Book Antiqua" w:hAnsi="Book Antiqua" w:cs="Book Antiqua"/>
          <w:bCs/>
          <w:color w:val="000000" w:themeColor="text1"/>
        </w:rPr>
        <w:t>4</w:t>
      </w:r>
      <w:r w:rsidRPr="00D53E19">
        <w:rPr>
          <w:rFonts w:ascii="Book Antiqua" w:eastAsia="Book Antiqua" w:hAnsi="Book Antiqua" w:cs="Book Antiqua"/>
          <w:color w:val="000000" w:themeColor="text1"/>
        </w:rPr>
        <w:t xml:space="preserve"> respectively. </w:t>
      </w:r>
      <w:r w:rsidRPr="00D53E19">
        <w:rPr>
          <w:rFonts w:ascii="Book Antiqua" w:eastAsia="Book Antiqua" w:hAnsi="Book Antiqua" w:cs="Book Antiqua"/>
          <w:bCs/>
          <w:color w:val="000000" w:themeColor="text1"/>
        </w:rPr>
        <w:t>Table 3</w:t>
      </w:r>
      <w:r w:rsidRPr="00D53E19">
        <w:rPr>
          <w:rFonts w:ascii="Book Antiqua" w:eastAsia="Book Antiqua" w:hAnsi="Book Antiqua" w:cs="Book Antiqua"/>
          <w:color w:val="000000" w:themeColor="text1"/>
        </w:rPr>
        <w:t xml:space="preserve"> presents </w:t>
      </w:r>
      <w:r w:rsidR="00384FE8" w:rsidRPr="00D53E19">
        <w:rPr>
          <w:rFonts w:ascii="Book Antiqua" w:eastAsia="Book Antiqua" w:hAnsi="Book Antiqua" w:cs="Book Antiqua"/>
          <w:color w:val="000000" w:themeColor="text1"/>
        </w:rPr>
        <w:t>total</w:t>
      </w:r>
      <w:r w:rsidRPr="00D53E19">
        <w:rPr>
          <w:rFonts w:ascii="Book Antiqua" w:eastAsia="Book Antiqua" w:hAnsi="Book Antiqua" w:cs="Book Antiqua"/>
          <w:color w:val="000000" w:themeColor="text1"/>
        </w:rPr>
        <w:t xml:space="preserve"> body and leg composition assessment for the case compared to the matched </w:t>
      </w:r>
      <w:r w:rsidR="00121D84" w:rsidRPr="00D53E19">
        <w:rPr>
          <w:rFonts w:ascii="Book Antiqua" w:eastAsia="Book Antiqua" w:hAnsi="Book Antiqua" w:cs="Book Antiqua"/>
          <w:color w:val="000000" w:themeColor="text1"/>
        </w:rPr>
        <w:t>participants</w:t>
      </w:r>
      <w:r w:rsidRPr="00D53E19">
        <w:rPr>
          <w:rFonts w:ascii="Book Antiqua" w:eastAsia="Book Antiqua" w:hAnsi="Book Antiqua" w:cs="Book Antiqua"/>
          <w:color w:val="000000" w:themeColor="text1"/>
        </w:rPr>
        <w:t xml:space="preserve"> with complete SCI. There were remarkable differences in leg and total body composition between the case and both matches, clearly in legs % fat where the case was 27.1% and 16.5% higher compared to match 1 and match 2 respectively.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Moreover, the case was 17.4% and 11.8% lower in leg %lean mass compared to match 1 and match 2, respectively.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lastRenderedPageBreak/>
        <w:t>DISCUSSION</w:t>
      </w:r>
    </w:p>
    <w:p w:rsidR="00FC67F6"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Knee BMC, BMD and body composition parameters were evaluated in a 46-year-old male with a C6 AIS A SCI, who had IBT implantation for approximately 20 years for management of severe spasticity.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The case was matched to other two male participants with similar neurological level of injury and different times since injuries for the purpose of comparison. The first match with 2 years post-injury was selected with similar age and time since injury, to the case at the time of IBT implantation. This approach was adopted to account for the lack of initial DXA scan at the time of IBT implantation in the case. In addition, it presumably provides a reference for longitudinal changes in knee bone and body composition parameters compared to the case and match 1.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color w:val="000000" w:themeColor="text1"/>
        </w:rPr>
        <w:t xml:space="preserve">Despite the differences in the time since injury between the case and match 2 (20 </w:t>
      </w:r>
      <w:r w:rsidRPr="00D53E19">
        <w:rPr>
          <w:rFonts w:ascii="Book Antiqua" w:eastAsia="Book Antiqua" w:hAnsi="Book Antiqua" w:cs="Book Antiqua"/>
          <w:i/>
          <w:color w:val="000000" w:themeColor="text1"/>
        </w:rPr>
        <w:t>vs</w:t>
      </w:r>
      <w:r w:rsidRPr="00D53E19">
        <w:rPr>
          <w:rFonts w:ascii="Book Antiqua" w:eastAsia="Book Antiqua" w:hAnsi="Book Antiqua" w:cs="Book Antiqua"/>
          <w:color w:val="000000" w:themeColor="text1"/>
        </w:rPr>
        <w:t xml:space="preserve"> 13), the observed changes in BMD and body composition support our hypothesis that long-term IBT may negatively influence bone and body composition parameters in persons with SCI.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Bone tissue has dynamic turnover as determined by a delicate balance between osteoblastic and osteoclastic cells activities.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This dynamic balance is disrupted following SCI and is likely to reach a steady state from 5-8 years post-injury</w:t>
      </w:r>
      <w:r w:rsidRPr="00D53E19">
        <w:rPr>
          <w:rFonts w:ascii="Book Antiqua" w:eastAsia="Book Antiqua" w:hAnsi="Book Antiqua" w:cs="Book Antiqua"/>
          <w:color w:val="000000" w:themeColor="text1"/>
          <w:vertAlign w:val="superscript"/>
        </w:rPr>
        <w:t>[20]</w:t>
      </w:r>
      <w:r w:rsidRPr="00D53E19">
        <w:rPr>
          <w:rFonts w:ascii="Book Antiqua" w:eastAsia="Book Antiqua" w:hAnsi="Book Antiqua" w:cs="Book Antiqua"/>
          <w:color w:val="000000" w:themeColor="text1"/>
        </w:rPr>
        <w:t xml:space="preserve">. Following the first 2 years of injury, bone loss continues with both cortical and trabecular bones reacting differently to injury, and probably contributing to low impact fracture risk at the distal femur or proximal tibia. Since the changes are speculated to reach a steady state at 5-8 years post injury, the rate of bone loss at 13 years compared to 20years post-injury should be reasonably comparable between the case and match 2.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793029"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i/>
          <w:iCs/>
          <w:color w:val="000000" w:themeColor="text1"/>
        </w:rPr>
        <w:t>Major findings of the study</w:t>
      </w:r>
    </w:p>
    <w:p w:rsidR="00A77B3E" w:rsidRPr="00D53E19" w:rsidRDefault="00825EE6" w:rsidP="00D53E19">
      <w:pPr>
        <w:adjustRightInd w:val="0"/>
        <w:snapToGrid w:val="0"/>
        <w:spacing w:line="360" w:lineRule="auto"/>
        <w:jc w:val="both"/>
        <w:rPr>
          <w:rFonts w:ascii="Book Antiqua" w:hAnsi="Book Antiqua" w:cs="Book Antiqua"/>
          <w:color w:val="000000" w:themeColor="text1"/>
          <w:lang w:eastAsia="zh-CN"/>
        </w:rPr>
      </w:pPr>
      <w:r w:rsidRPr="00D53E19">
        <w:rPr>
          <w:rFonts w:ascii="Book Antiqua" w:eastAsia="Book Antiqua" w:hAnsi="Book Antiqua" w:cs="Book Antiqua"/>
          <w:color w:val="000000" w:themeColor="text1"/>
        </w:rPr>
        <w:t>The major findings suggest that long-term IBT may have accelerated bone loss in the case as compared to the matched participants.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Knee BMC and BMD were remarkably lower at the distal femur, with no observable changes in BMC in the proximal tibia. We have chosen to present BMC because the areas of the encompassed regions are extremely different between the case and the matches (</w:t>
      </w:r>
      <w:r w:rsidR="00793029" w:rsidRPr="00D53E19">
        <w:rPr>
          <w:rFonts w:ascii="Book Antiqua" w:eastAsia="Book Antiqua" w:hAnsi="Book Antiqua" w:cs="Book Antiqua"/>
          <w:bCs/>
          <w:color w:val="000000" w:themeColor="text1"/>
        </w:rPr>
        <w:t xml:space="preserve">Figure </w:t>
      </w:r>
      <w:r w:rsidRPr="00D53E19">
        <w:rPr>
          <w:rFonts w:ascii="Book Antiqua" w:eastAsia="Book Antiqua" w:hAnsi="Book Antiqua" w:cs="Book Antiqua"/>
          <w:bCs/>
          <w:color w:val="000000" w:themeColor="text1"/>
        </w:rPr>
        <w:t>1</w:t>
      </w:r>
      <w:r w:rsidR="00793029" w:rsidRPr="00D53E19">
        <w:rPr>
          <w:rFonts w:ascii="Book Antiqua" w:eastAsia="Book Antiqua" w:hAnsi="Book Antiqua" w:cs="Book Antiqua"/>
          <w:bCs/>
          <w:color w:val="000000" w:themeColor="text1"/>
        </w:rPr>
        <w:t>A</w:t>
      </w:r>
      <w:r w:rsidRPr="00D53E19">
        <w:rPr>
          <w:rFonts w:ascii="Book Antiqua" w:eastAsia="Book Antiqua" w:hAnsi="Book Antiqua" w:cs="Book Antiqua"/>
          <w:color w:val="000000" w:themeColor="text1"/>
        </w:rPr>
        <w:t xml:space="preserve">). Despite the use of DXA-brushing tool, BMC was still lower in the case compared to the matched </w:t>
      </w:r>
      <w:r w:rsidRPr="00D53E19">
        <w:rPr>
          <w:rFonts w:ascii="Book Antiqua" w:eastAsia="Book Antiqua" w:hAnsi="Book Antiqua" w:cs="Book Antiqua"/>
          <w:color w:val="000000" w:themeColor="text1"/>
        </w:rPr>
        <w:lastRenderedPageBreak/>
        <w:t>participants (</w:t>
      </w:r>
      <w:r w:rsidRPr="00D53E19">
        <w:rPr>
          <w:rFonts w:ascii="Book Antiqua" w:eastAsia="Book Antiqua" w:hAnsi="Book Antiqua" w:cs="Book Antiqua"/>
          <w:bCs/>
          <w:color w:val="000000" w:themeColor="text1"/>
        </w:rPr>
        <w:t>Table</w:t>
      </w:r>
      <w:r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bCs/>
          <w:color w:val="000000" w:themeColor="text1"/>
        </w:rPr>
        <w:t>2</w:t>
      </w:r>
      <w:r w:rsidRPr="00D53E19">
        <w:rPr>
          <w:rFonts w:ascii="Book Antiqua" w:eastAsia="Book Antiqua" w:hAnsi="Book Antiqua" w:cs="Book Antiqua"/>
          <w:color w:val="000000" w:themeColor="text1"/>
        </w:rPr>
        <w:t>). This may explain the unexpected results in BMD of proximal tibia in the case compared to the matches. The unexpected results in the tibial BMD are attributed to lower area of bone in the rectangular region of interest in the case and to his lower body weight.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Furthermore, both legs and total body had greater % fat mass as well as lower absolute lean mass in the case compared to the matched participants. </w:t>
      </w:r>
    </w:p>
    <w:p w:rsidR="00793029" w:rsidRPr="00D53E19" w:rsidRDefault="00793029" w:rsidP="00D53E19">
      <w:pPr>
        <w:adjustRightInd w:val="0"/>
        <w:snapToGrid w:val="0"/>
        <w:spacing w:line="360" w:lineRule="auto"/>
        <w:jc w:val="both"/>
        <w:rPr>
          <w:rFonts w:ascii="Book Antiqua" w:hAnsi="Book Antiqua"/>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i/>
          <w:iCs/>
          <w:color w:val="000000" w:themeColor="text1"/>
        </w:rPr>
        <w:t>The use of IBT in spasticity</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Spasticity impacts about 70% of the entire SCI population</w:t>
      </w:r>
      <w:r w:rsidRPr="00D53E19">
        <w:rPr>
          <w:rFonts w:ascii="Book Antiqua" w:eastAsia="Book Antiqua" w:hAnsi="Book Antiqua" w:cs="Book Antiqua"/>
          <w:color w:val="000000" w:themeColor="text1"/>
          <w:vertAlign w:val="superscript"/>
        </w:rPr>
        <w:t>[2]</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vertAlign w:val="superscript"/>
        </w:rPr>
        <w:t xml:space="preserve"> </w:t>
      </w:r>
      <w:r w:rsidRPr="00D53E19">
        <w:rPr>
          <w:rFonts w:ascii="Book Antiqua" w:eastAsia="Book Antiqua" w:hAnsi="Book Antiqua" w:cs="Book Antiqua"/>
          <w:color w:val="000000" w:themeColor="text1"/>
        </w:rPr>
        <w:t>The negative sequelae of spasticity are well recognized by clinicians, researchers and caregivers.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In severe cases of SCI related spasticity, IBT has been recommended as a viable therapeutic approach to mitigate the negative consequences of spasticity, especially, in those who failed to respond to standard treatment</w:t>
      </w:r>
      <w:r w:rsidR="000A2F30" w:rsidRPr="00D53E19">
        <w:rPr>
          <w:rFonts w:ascii="Book Antiqua" w:eastAsia="Book Antiqua" w:hAnsi="Book Antiqua" w:cs="Book Antiqua"/>
          <w:color w:val="000000" w:themeColor="text1"/>
          <w:vertAlign w:val="superscript"/>
        </w:rPr>
        <w:t>[9,</w:t>
      </w:r>
      <w:r w:rsidRPr="00D53E19">
        <w:rPr>
          <w:rFonts w:ascii="Book Antiqua" w:eastAsia="Book Antiqua" w:hAnsi="Book Antiqua" w:cs="Book Antiqua"/>
          <w:color w:val="000000" w:themeColor="text1"/>
          <w:vertAlign w:val="superscript"/>
        </w:rPr>
        <w:t>10]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shd w:val="clear" w:color="auto" w:fill="FFFFFF"/>
        </w:rPr>
        <w:t>In one study, participants treated for spasticity with IBT reported less frequent and milder spasticity compared to those treated with oral baclofen</w:t>
      </w:r>
      <w:r w:rsidRPr="00D53E19">
        <w:rPr>
          <w:rFonts w:ascii="Book Antiqua" w:eastAsia="Book Antiqua" w:hAnsi="Book Antiqua" w:cs="Book Antiqua"/>
          <w:color w:val="000000" w:themeColor="text1"/>
          <w:shd w:val="clear" w:color="auto" w:fill="FFFFFF"/>
          <w:vertAlign w:val="superscript"/>
        </w:rPr>
        <w:t>[21]</w:t>
      </w:r>
      <w:r w:rsidRPr="00D53E19">
        <w:rPr>
          <w:rFonts w:ascii="Book Antiqua" w:eastAsia="Book Antiqua" w:hAnsi="Book Antiqua" w:cs="Book Antiqua"/>
          <w:color w:val="000000" w:themeColor="text1"/>
          <w:shd w:val="clear" w:color="auto" w:fill="FFFFFF"/>
        </w:rPr>
        <w:t xml:space="preserve">. </w:t>
      </w:r>
      <w:r w:rsidRPr="00D53E19">
        <w:rPr>
          <w:rFonts w:ascii="Book Antiqua" w:eastAsia="Book Antiqua" w:hAnsi="Book Antiqua" w:cs="Book Antiqua"/>
          <w:color w:val="000000" w:themeColor="text1"/>
        </w:rPr>
        <w:t>Another systematic review of 8 studies sugges</w:t>
      </w:r>
      <w:r w:rsidR="000A2F30" w:rsidRPr="00D53E19">
        <w:rPr>
          <w:rFonts w:ascii="Book Antiqua" w:eastAsia="Book Antiqua" w:hAnsi="Book Antiqua" w:cs="Book Antiqua"/>
          <w:color w:val="000000" w:themeColor="text1"/>
        </w:rPr>
        <w:t xml:space="preserve">ted that a recognizable number </w:t>
      </w:r>
      <w:r w:rsidR="000A2F30"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162 individuals with a range o</w:t>
      </w:r>
      <w:r w:rsidR="000A2F30" w:rsidRPr="00D53E19">
        <w:rPr>
          <w:rFonts w:ascii="Book Antiqua" w:eastAsia="Book Antiqua" w:hAnsi="Book Antiqua" w:cs="Book Antiqua"/>
          <w:color w:val="000000" w:themeColor="text1"/>
        </w:rPr>
        <w:t>f 7 to 75 persons in each study</w:t>
      </w:r>
      <w:r w:rsidR="000A2F30"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are possibly using IBT for management of spasticity in the SCI population</w:t>
      </w:r>
      <w:r w:rsidRPr="00D53E19">
        <w:rPr>
          <w:rFonts w:ascii="Book Antiqua" w:eastAsia="Book Antiqua" w:hAnsi="Book Antiqua" w:cs="Book Antiqua"/>
          <w:color w:val="000000" w:themeColor="text1"/>
          <w:vertAlign w:val="superscript"/>
        </w:rPr>
        <w:t>[22]</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Nevertheless, the negative side effects of IBT on bone mass and body composition are not well recognized.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i/>
          <w:iCs/>
          <w:color w:val="000000" w:themeColor="text1"/>
        </w:rPr>
        <w:t xml:space="preserve">Positive effects of </w:t>
      </w:r>
      <w:r w:rsidR="00107E7D" w:rsidRPr="00D53E19">
        <w:rPr>
          <w:rFonts w:ascii="Book Antiqua" w:eastAsia="Book Antiqua" w:hAnsi="Book Antiqua" w:cs="Book Antiqua"/>
          <w:b/>
          <w:bCs/>
          <w:i/>
          <w:iCs/>
          <w:color w:val="000000" w:themeColor="text1"/>
        </w:rPr>
        <w:t>spasticity</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Over the years, researchers have identified positive aspects of maintaining spasticity on muscle mass, bone mass and body composition in persons with SCI. </w:t>
      </w:r>
      <w:proofErr w:type="spellStart"/>
      <w:r w:rsidRPr="00D53E19">
        <w:rPr>
          <w:rFonts w:ascii="Book Antiqua" w:eastAsia="Book Antiqua" w:hAnsi="Book Antiqua" w:cs="Book Antiqua"/>
          <w:color w:val="000000" w:themeColor="text1"/>
        </w:rPr>
        <w:t>Gorgey</w:t>
      </w:r>
      <w:proofErr w:type="spellEnd"/>
      <w:r w:rsidR="001142E9" w:rsidRPr="00D53E19">
        <w:rPr>
          <w:rFonts w:ascii="Book Antiqua" w:hAnsi="Book Antiqua" w:cs="Book Antiqua"/>
          <w:color w:val="000000" w:themeColor="text1"/>
          <w:lang w:eastAsia="zh-CN"/>
        </w:rPr>
        <w:t xml:space="preserve"> </w:t>
      </w:r>
      <w:r w:rsidR="001142E9" w:rsidRPr="00D53E19">
        <w:rPr>
          <w:rFonts w:ascii="Book Antiqua" w:hAnsi="Book Antiqua" w:cs="Book Antiqua"/>
          <w:i/>
          <w:color w:val="000000" w:themeColor="text1"/>
          <w:lang w:eastAsia="zh-CN"/>
        </w:rPr>
        <w:t>et al</w:t>
      </w:r>
      <w:r w:rsidR="001142E9" w:rsidRPr="00D53E19">
        <w:rPr>
          <w:rFonts w:ascii="Book Antiqua" w:eastAsia="Book Antiqua" w:hAnsi="Book Antiqua" w:cs="Book Antiqua"/>
          <w:color w:val="000000" w:themeColor="text1"/>
          <w:vertAlign w:val="superscript"/>
        </w:rPr>
        <w:t>[6]</w:t>
      </w:r>
      <w:r w:rsidR="001142E9"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noted that thigh muscle cross-sectional area as measured by magnetic resonance imaging was 22% greater in spastic individuals compared to non-spastic ones just six weeks post-injury. Furthermore, spasticity explained 54% of the variance in muscle size among individuals with incomplete SCI</w:t>
      </w:r>
      <w:r w:rsidRPr="00D53E19">
        <w:rPr>
          <w:rFonts w:ascii="Book Antiqua" w:eastAsia="Book Antiqua" w:hAnsi="Book Antiqua" w:cs="Book Antiqua"/>
          <w:color w:val="000000" w:themeColor="text1"/>
          <w:vertAlign w:val="superscript"/>
        </w:rPr>
        <w:t>[6]</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Another study demonstrated remarkable relationships between spasticity and parameters of body composition in persons with complete SCI</w:t>
      </w:r>
      <w:r w:rsidRPr="00D53E19">
        <w:rPr>
          <w:rFonts w:ascii="Book Antiqua" w:eastAsia="Book Antiqua" w:hAnsi="Book Antiqua" w:cs="Book Antiqua"/>
          <w:color w:val="000000" w:themeColor="text1"/>
          <w:vertAlign w:val="superscript"/>
        </w:rPr>
        <w:t>[7]</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K</w:t>
      </w:r>
      <w:r w:rsidRPr="00D53E19">
        <w:rPr>
          <w:rFonts w:ascii="Book Antiqua" w:eastAsia="Book Antiqua" w:hAnsi="Book Antiqua" w:cs="Book Antiqua"/>
          <w:color w:val="000000" w:themeColor="text1"/>
          <w:shd w:val="clear" w:color="auto" w:fill="FFFFFF"/>
        </w:rPr>
        <w:t>nee extensor spasticity was negatively related to abdominal circumferences and positively related to both total % fat-free mass and lower FM to FFM ratio</w:t>
      </w:r>
      <w:r w:rsidRPr="00D53E19">
        <w:rPr>
          <w:rFonts w:ascii="Book Antiqua" w:eastAsia="Book Antiqua" w:hAnsi="Book Antiqua" w:cs="Book Antiqua"/>
          <w:color w:val="000000" w:themeColor="text1"/>
          <w:vertAlign w:val="superscript"/>
        </w:rPr>
        <w:t>[7]</w:t>
      </w:r>
      <w:r w:rsidRPr="00D53E19">
        <w:rPr>
          <w:rFonts w:ascii="Book Antiqua" w:eastAsia="Book Antiqua" w:hAnsi="Book Antiqua" w:cs="Book Antiqua"/>
          <w:color w:val="000000" w:themeColor="text1"/>
          <w:shd w:val="clear" w:color="auto" w:fill="FFFFFF"/>
        </w:rPr>
        <w:t>.</w:t>
      </w:r>
      <w:r w:rsidR="00766CE2" w:rsidRPr="00D53E19">
        <w:rPr>
          <w:rFonts w:ascii="Book Antiqua" w:eastAsia="Book Antiqua" w:hAnsi="Book Antiqua" w:cs="Book Antiqua"/>
          <w:color w:val="000000" w:themeColor="text1"/>
          <w:shd w:val="clear" w:color="auto" w:fill="FFFFFF"/>
        </w:rPr>
        <w:t xml:space="preserve"> </w:t>
      </w:r>
      <w:r w:rsidRPr="00D53E19">
        <w:rPr>
          <w:rFonts w:ascii="Book Antiqua" w:eastAsia="Book Antiqua" w:hAnsi="Book Antiqua" w:cs="Book Antiqua"/>
          <w:color w:val="000000" w:themeColor="text1"/>
          <w:shd w:val="clear" w:color="auto" w:fill="FFFFFF"/>
        </w:rPr>
        <w:t xml:space="preserve">Finally, spasticity may indirectly influence glucose homeostasis, lipid </w:t>
      </w:r>
      <w:r w:rsidRPr="00D53E19">
        <w:rPr>
          <w:rFonts w:ascii="Book Antiqua" w:eastAsia="Book Antiqua" w:hAnsi="Book Antiqua" w:cs="Book Antiqua"/>
          <w:color w:val="000000" w:themeColor="text1"/>
          <w:shd w:val="clear" w:color="auto" w:fill="FFFFFF"/>
        </w:rPr>
        <w:lastRenderedPageBreak/>
        <w:t>profile and basal metabolic rate by maintaining FFM</w:t>
      </w:r>
      <w:r w:rsidRPr="00D53E19">
        <w:rPr>
          <w:rFonts w:ascii="Book Antiqua" w:eastAsia="Book Antiqua" w:hAnsi="Book Antiqua" w:cs="Book Antiqua"/>
          <w:color w:val="000000" w:themeColor="text1"/>
          <w:shd w:val="clear" w:color="auto" w:fill="FFFFFF"/>
          <w:vertAlign w:val="superscript"/>
        </w:rPr>
        <w:t>[7]</w:t>
      </w:r>
      <w:r w:rsidRPr="00D53E19">
        <w:rPr>
          <w:rFonts w:ascii="Book Antiqua" w:eastAsia="Book Antiqua" w:hAnsi="Book Antiqua" w:cs="Book Antiqua"/>
          <w:color w:val="000000" w:themeColor="text1"/>
          <w:shd w:val="clear" w:color="auto" w:fill="FFFFFF"/>
        </w:rPr>
        <w:t>.</w:t>
      </w:r>
      <w:r w:rsidRPr="00D53E19">
        <w:rPr>
          <w:rFonts w:ascii="Book Antiqua" w:eastAsia="Book Antiqua" w:hAnsi="Book Antiqua" w:cs="Book Antiqua"/>
          <w:color w:val="000000" w:themeColor="text1"/>
        </w:rPr>
        <w:t xml:space="preserve"> It is worth noting that long-term administration of oral baclofen does not appear to attenuate </w:t>
      </w:r>
      <w:r w:rsidRPr="00D53E19">
        <w:rPr>
          <w:rFonts w:ascii="Book Antiqua" w:eastAsia="Book Antiqua" w:hAnsi="Book Antiqua" w:cs="Book Antiqua"/>
          <w:color w:val="000000" w:themeColor="text1"/>
          <w:shd w:val="clear" w:color="auto" w:fill="FFFFFF"/>
        </w:rPr>
        <w:t>the protective effects of spasticity on body composition and metabolic profile after SCI</w:t>
      </w:r>
      <w:r w:rsidRPr="00D53E19">
        <w:rPr>
          <w:rFonts w:ascii="Book Antiqua" w:eastAsia="Book Antiqua" w:hAnsi="Book Antiqua" w:cs="Book Antiqua"/>
          <w:color w:val="000000" w:themeColor="text1"/>
          <w:shd w:val="clear" w:color="auto" w:fill="FFFFFF"/>
          <w:vertAlign w:val="superscript"/>
        </w:rPr>
        <w:t>[23]</w:t>
      </w:r>
      <w:r w:rsidRPr="00D53E19">
        <w:rPr>
          <w:rFonts w:ascii="Book Antiqua" w:eastAsia="Book Antiqua" w:hAnsi="Book Antiqua" w:cs="Book Antiqua"/>
          <w:color w:val="000000" w:themeColor="text1"/>
          <w:shd w:val="clear" w:color="auto" w:fill="FFFFFF"/>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Researchers have suggested that spasticity possibly exerted positive effects on muscle mass and body composition via increasing level of circulating insulin-like growth factors (IGF)</w:t>
      </w:r>
      <w:r w:rsidRPr="00D53E19">
        <w:rPr>
          <w:rFonts w:ascii="Book Antiqua" w:eastAsia="Book Antiqua" w:hAnsi="Book Antiqua" w:cs="Book Antiqua"/>
          <w:color w:val="000000" w:themeColor="text1"/>
          <w:vertAlign w:val="superscript"/>
        </w:rPr>
        <w:t>[24]</w:t>
      </w:r>
      <w:r w:rsidRPr="00D53E19">
        <w:rPr>
          <w:rFonts w:ascii="Book Antiqua" w:eastAsia="Book Antiqua" w:hAnsi="Book Antiqua" w:cs="Book Antiqua"/>
          <w:color w:val="000000" w:themeColor="text1"/>
        </w:rPr>
        <w:t>. Persons with modified Ashworth score greater than 2 had 44% greater plasma IGF-1 compared to those with lower scores</w:t>
      </w:r>
      <w:r w:rsidRPr="00D53E19">
        <w:rPr>
          <w:rFonts w:ascii="Book Antiqua" w:eastAsia="Book Antiqua" w:hAnsi="Book Antiqua" w:cs="Book Antiqua"/>
          <w:color w:val="000000" w:themeColor="text1"/>
          <w:vertAlign w:val="superscript"/>
        </w:rPr>
        <w:t>[24]</w:t>
      </w:r>
      <w:r w:rsidRPr="00D53E19">
        <w:rPr>
          <w:rFonts w:ascii="Book Antiqua" w:eastAsia="Book Antiqua" w:hAnsi="Book Antiqua" w:cs="Book Antiqua"/>
          <w:color w:val="000000" w:themeColor="text1"/>
        </w:rPr>
        <w:t>.</w:t>
      </w:r>
    </w:p>
    <w:p w:rsidR="001142E9" w:rsidRPr="00D53E19" w:rsidRDefault="001142E9" w:rsidP="00D53E19">
      <w:pPr>
        <w:adjustRightInd w:val="0"/>
        <w:snapToGrid w:val="0"/>
        <w:spacing w:line="360" w:lineRule="auto"/>
        <w:jc w:val="both"/>
        <w:rPr>
          <w:rFonts w:ascii="Book Antiqua" w:hAnsi="Book Antiqua" w:cs="Book Antiqua"/>
          <w:b/>
          <w:bCs/>
          <w:i/>
          <w:iCs/>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i/>
          <w:iCs/>
          <w:color w:val="000000" w:themeColor="text1"/>
        </w:rPr>
        <w:t>Effects of long-term IBT on bone and body composition parameters</w:t>
      </w:r>
    </w:p>
    <w:p w:rsidR="001142E9"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There is currently a dearth of knowledge regarding the long-term effects of IBT on bone health in persons with SCI.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It is estimated that 50 to 70% of individuals with SCI will sustain low impact fracture during their lifetime</w:t>
      </w:r>
      <w:r w:rsidR="001142E9" w:rsidRPr="00D53E19">
        <w:rPr>
          <w:rFonts w:ascii="Book Antiqua" w:eastAsia="Book Antiqua" w:hAnsi="Book Antiqua" w:cs="Book Antiqua"/>
          <w:color w:val="000000" w:themeColor="text1"/>
          <w:vertAlign w:val="superscript"/>
        </w:rPr>
        <w:t>[25,</w:t>
      </w:r>
      <w:r w:rsidRPr="00D53E19">
        <w:rPr>
          <w:rFonts w:ascii="Book Antiqua" w:eastAsia="Book Antiqua" w:hAnsi="Book Antiqua" w:cs="Book Antiqua"/>
          <w:color w:val="000000" w:themeColor="text1"/>
          <w:vertAlign w:val="superscript"/>
        </w:rPr>
        <w:t>26]</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If the current findings hold true, then, the number of persons with SCI at risk of sustaining low impact fracture will naturally increase following IBT. The onset of scoliosis or worsening of pre-existing scoliosis as a side effect of </w:t>
      </w:r>
      <w:proofErr w:type="spellStart"/>
      <w:r w:rsidRPr="00D53E19">
        <w:rPr>
          <w:rFonts w:ascii="Book Antiqua" w:eastAsia="Book Antiqua" w:hAnsi="Book Antiqua" w:cs="Book Antiqua"/>
          <w:color w:val="000000" w:themeColor="text1"/>
        </w:rPr>
        <w:t>Lioresal</w:t>
      </w:r>
      <w:proofErr w:type="spellEnd"/>
      <w:r w:rsidRPr="00D53E19">
        <w:rPr>
          <w:rFonts w:ascii="Book Antiqua" w:eastAsia="Book Antiqua" w:hAnsi="Book Antiqua" w:cs="Book Antiqua"/>
          <w:color w:val="000000" w:themeColor="text1"/>
        </w:rPr>
        <w:t xml:space="preserve"> intrathecal baclofen has been reported</w:t>
      </w:r>
      <w:r w:rsidRPr="00D53E19">
        <w:rPr>
          <w:rFonts w:ascii="Book Antiqua" w:eastAsia="Book Antiqua" w:hAnsi="Book Antiqua" w:cs="Book Antiqua"/>
          <w:color w:val="000000" w:themeColor="text1"/>
          <w:vertAlign w:val="superscript"/>
        </w:rPr>
        <w:t>[27-29]</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It has also been reported that BMD is lower in persons with scoliosis compared to controls of similar age group</w:t>
      </w:r>
      <w:r w:rsidRPr="00D53E19">
        <w:rPr>
          <w:rFonts w:ascii="Book Antiqua" w:eastAsia="Book Antiqua" w:hAnsi="Book Antiqua" w:cs="Book Antiqua"/>
          <w:color w:val="000000" w:themeColor="text1"/>
          <w:vertAlign w:val="superscript"/>
        </w:rPr>
        <w:t>[30]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Therefore, it is possible to assume that IBT may contribute to worsening of BMD of the spine or long bones. However, additional studies are warranted to objectively determine the effect of long-term IBT on bone mass and body composition in persons with SCI.</w:t>
      </w:r>
    </w:p>
    <w:p w:rsidR="00367130"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Finally, recent work identified controversies about the anatomical sites that are likely to contribute to bone fractures in persons with SCI</w:t>
      </w:r>
      <w:r w:rsidR="00367130" w:rsidRPr="00D53E19">
        <w:rPr>
          <w:rFonts w:ascii="Book Antiqua" w:eastAsia="Book Antiqua" w:hAnsi="Book Antiqua" w:cs="Book Antiqua"/>
          <w:color w:val="000000" w:themeColor="text1"/>
          <w:vertAlign w:val="superscript"/>
        </w:rPr>
        <w:t>[19,</w:t>
      </w:r>
      <w:r w:rsidRPr="00D53E19">
        <w:rPr>
          <w:rFonts w:ascii="Book Antiqua" w:eastAsia="Book Antiqua" w:hAnsi="Book Antiqua" w:cs="Book Antiqua"/>
          <w:color w:val="000000" w:themeColor="text1"/>
          <w:vertAlign w:val="superscript"/>
        </w:rPr>
        <w:t>20]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Cognizant of such controversies, we chose to measure BMD at both metaphysis and epiphysis of the distal femur and the proximal tibia.</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However, both epiphysis and metaphysis measurements of BMD at the distal femur indicated similar findings in the two participants (case and match).</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Persons with SCI suffer dramatic changes in the parameters of body composition as characterized by decreasing lean mass and increasing fat mass</w:t>
      </w:r>
      <w:r w:rsidRPr="00D53E19">
        <w:rPr>
          <w:rFonts w:ascii="Book Antiqua" w:eastAsia="Book Antiqua" w:hAnsi="Book Antiqua" w:cs="Book Antiqua"/>
          <w:color w:val="000000" w:themeColor="text1"/>
          <w:vertAlign w:val="superscript"/>
        </w:rPr>
        <w:t>[7]</w:t>
      </w:r>
      <w:r w:rsidRPr="00D53E19">
        <w:rPr>
          <w:rFonts w:ascii="Book Antiqua" w:eastAsia="Book Antiqua" w:hAnsi="Book Antiqua" w:cs="Book Antiqua"/>
          <w:color w:val="000000" w:themeColor="text1"/>
        </w:rPr>
        <w:t>. In fact, the long-term consequences of altered body composition on metabolic profile is well recognized</w:t>
      </w:r>
      <w:r w:rsidRPr="00D53E19">
        <w:rPr>
          <w:rFonts w:ascii="Book Antiqua" w:eastAsia="Book Antiqua" w:hAnsi="Book Antiqua" w:cs="Book Antiqua"/>
          <w:color w:val="000000" w:themeColor="text1"/>
          <w:vertAlign w:val="superscript"/>
        </w:rPr>
        <w:t>[17]</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In the current study, long-term use of IBT may have negatively influenced body </w:t>
      </w:r>
      <w:r w:rsidRPr="00D53E19">
        <w:rPr>
          <w:rFonts w:ascii="Book Antiqua" w:eastAsia="Book Antiqua" w:hAnsi="Book Antiqua" w:cs="Book Antiqua"/>
          <w:color w:val="000000" w:themeColor="text1"/>
        </w:rPr>
        <w:lastRenderedPageBreak/>
        <w:t>composition parameters in the case compared to the matched participants.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It is apparent that the case has a remarkable decrease in total body and leg lean masses and increase in percentage fat mass compared to the matched participants. To determine whether these changes are of clinical relevance, we have contrasted these changes against the reported precision of the regional and whole-body composition of using DXA in persons with SCI</w:t>
      </w:r>
      <w:r w:rsidRPr="00D53E19">
        <w:rPr>
          <w:rFonts w:ascii="Book Antiqua" w:eastAsia="Book Antiqua" w:hAnsi="Book Antiqua" w:cs="Book Antiqua"/>
          <w:color w:val="000000" w:themeColor="text1"/>
          <w:vertAlign w:val="superscript"/>
        </w:rPr>
        <w:t>[18]</w:t>
      </w:r>
      <w:r w:rsidRPr="00D53E19">
        <w:rPr>
          <w:rFonts w:ascii="Book Antiqua" w:eastAsia="Book Antiqua" w:hAnsi="Book Antiqua" w:cs="Book Antiqua"/>
          <w:color w:val="000000" w:themeColor="text1"/>
        </w:rPr>
        <w:t>. Our findings suggested that the changes in body composition are of clinical relevance and may lead to serious cardio-metabolic comorbidities with aging in the case. Therefore, it is reasonable to speculate that long-term use of IBT may represent a potential risk factor for cardiovascular disease in the SCI population. </w:t>
      </w:r>
    </w:p>
    <w:p w:rsidR="00367130" w:rsidRPr="00D53E19" w:rsidRDefault="00367130" w:rsidP="00D53E19">
      <w:pPr>
        <w:adjustRightInd w:val="0"/>
        <w:snapToGrid w:val="0"/>
        <w:spacing w:line="360" w:lineRule="auto"/>
        <w:jc w:val="both"/>
        <w:rPr>
          <w:rFonts w:ascii="Book Antiqua" w:hAnsi="Book Antiqua" w:cs="Book Antiqua"/>
          <w:b/>
          <w:bCs/>
          <w:i/>
          <w:iCs/>
          <w:color w:val="000000" w:themeColor="text1"/>
          <w:lang w:eastAsia="zh-CN"/>
        </w:rPr>
      </w:pPr>
    </w:p>
    <w:p w:rsidR="00367130"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i/>
          <w:iCs/>
          <w:color w:val="000000" w:themeColor="text1"/>
        </w:rPr>
        <w:t>Limitations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Several limitations of this study should be highlighted.</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Firstly, this is a single matched case report; thus, findings should be treated with caution.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Secondly, the study participants (case and matches) were all males and there may be gender differences in response to IBT. All efforts were made to match the case and other two participants as closely as possible in all demographics and level of injury, however we were limited to the participants previously enrolled in the parent clinical trial. The findings in this study may be considered a pilot study providing preliminary data for future robust studies to investigate the impact of long-term IBT on bone health and body composition parameters in persons with SCI.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Therefore, large cohort prospective studies are warranted to monitor participants, prior to initiation of IBT, and to provide a reasonable follow-up period to objectively assess and further evaluate the changes that were observed in the current case report. Finally, the case was administered baclofen in conjunction with an opioid analgesic to treat aggravating neuropathic pain. The current case report cannot exclude the possible side effects of long-term use of opioid medications on bone health and body composition in persons with SCI.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CONCLUSION</w:t>
      </w:r>
    </w:p>
    <w:p w:rsidR="00923F76"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lastRenderedPageBreak/>
        <w:t xml:space="preserve">The current case report clearly suggests that long-term use of IBT may affect bone health and body composition parameters in persons with complete SCI compared to matched controls. Compared to match 1, we were able to show longitudinal changes in knee BMD and body composition parameters of the case as well as lower knee BMD and worsened body composition profile compared to match 2.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color w:val="000000" w:themeColor="text1"/>
        </w:rPr>
        <w:t>This observation, though anecdotal, points to the need for larger prospective studies to objectively determine the long-term effect of IBT on bone health and body composition parameters.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Recognizing the positive benefits of IBT for severe spasticity, clinicians may need to balance the potential benefits to the risk ratio, especially in young individuals who are likely to use IBT for an extended period of time.</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Clinicians need to be cautious in management </w:t>
      </w:r>
      <w:r w:rsidR="005E454D">
        <w:rPr>
          <w:rFonts w:ascii="Book Antiqua" w:hAnsi="Book Antiqua" w:cs="Book Antiqua"/>
          <w:color w:val="000000" w:themeColor="text1"/>
          <w:lang w:eastAsia="zh-CN"/>
        </w:rPr>
        <w:t xml:space="preserve">of </w:t>
      </w:r>
      <w:r w:rsidRPr="00D53E19">
        <w:rPr>
          <w:rFonts w:ascii="Book Antiqua" w:eastAsia="Book Antiqua" w:hAnsi="Book Antiqua" w:cs="Book Antiqua"/>
          <w:color w:val="000000" w:themeColor="text1"/>
        </w:rPr>
        <w:t>severe spasticity with IBT before exhausting other rehabilitation modalities; especially in young individuals with SCI. Regular screening of individuals on IBT for cardiovascular and metabolic diseases should be encouraged. Furthermore, it may be possible to consider modulating or titrating the dose of IBT to mitigate such negative consequences among IBT users.</w:t>
      </w:r>
      <w:r w:rsidR="00766CE2" w:rsidRPr="00D53E19">
        <w:rPr>
          <w:rFonts w:ascii="Book Antiqua" w:eastAsia="Book Antiqua" w:hAnsi="Book Antiqua" w:cs="Book Antiqua"/>
          <w:color w:val="000000" w:themeColor="text1"/>
        </w:rPr>
        <w:t xml:space="preserve">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color w:val="000000" w:themeColor="text1"/>
        </w:rPr>
        <w:t>REFERENCES</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 </w:t>
      </w:r>
      <w:proofErr w:type="spellStart"/>
      <w:r w:rsidRPr="00D53E19">
        <w:rPr>
          <w:rFonts w:ascii="Book Antiqua" w:hAnsi="Book Antiqua"/>
          <w:b/>
          <w:color w:val="000000" w:themeColor="text1"/>
        </w:rPr>
        <w:t>Pandyan</w:t>
      </w:r>
      <w:proofErr w:type="spellEnd"/>
      <w:r w:rsidRPr="00D53E19">
        <w:rPr>
          <w:rFonts w:ascii="Book Antiqua" w:hAnsi="Book Antiqua"/>
          <w:b/>
          <w:color w:val="000000" w:themeColor="text1"/>
        </w:rPr>
        <w:t xml:space="preserve"> AD</w:t>
      </w:r>
      <w:r w:rsidRPr="00D53E19">
        <w:rPr>
          <w:rFonts w:ascii="Book Antiqua" w:hAnsi="Book Antiqua"/>
          <w:color w:val="000000" w:themeColor="text1"/>
        </w:rPr>
        <w:t xml:space="preserve">, </w:t>
      </w:r>
      <w:proofErr w:type="spellStart"/>
      <w:r w:rsidRPr="00D53E19">
        <w:rPr>
          <w:rFonts w:ascii="Book Antiqua" w:hAnsi="Book Antiqua"/>
          <w:color w:val="000000" w:themeColor="text1"/>
        </w:rPr>
        <w:t>Gregoric</w:t>
      </w:r>
      <w:proofErr w:type="spellEnd"/>
      <w:r w:rsidRPr="00D53E19">
        <w:rPr>
          <w:rFonts w:ascii="Book Antiqua" w:hAnsi="Book Antiqua"/>
          <w:color w:val="000000" w:themeColor="text1"/>
        </w:rPr>
        <w:t xml:space="preserve"> M, Barnes MP, Wood D, Van </w:t>
      </w:r>
      <w:proofErr w:type="spellStart"/>
      <w:r w:rsidRPr="00D53E19">
        <w:rPr>
          <w:rFonts w:ascii="Book Antiqua" w:hAnsi="Book Antiqua"/>
          <w:color w:val="000000" w:themeColor="text1"/>
        </w:rPr>
        <w:t>Wijck</w:t>
      </w:r>
      <w:proofErr w:type="spellEnd"/>
      <w:r w:rsidRPr="00D53E19">
        <w:rPr>
          <w:rFonts w:ascii="Book Antiqua" w:hAnsi="Book Antiqua"/>
          <w:color w:val="000000" w:themeColor="text1"/>
        </w:rPr>
        <w:t xml:space="preserve"> F, Burridge J, </w:t>
      </w:r>
      <w:proofErr w:type="spellStart"/>
      <w:r w:rsidRPr="00D53E19">
        <w:rPr>
          <w:rFonts w:ascii="Book Antiqua" w:hAnsi="Book Antiqua"/>
          <w:color w:val="000000" w:themeColor="text1"/>
        </w:rPr>
        <w:t>Hermens</w:t>
      </w:r>
      <w:proofErr w:type="spellEnd"/>
      <w:r w:rsidRPr="00D53E19">
        <w:rPr>
          <w:rFonts w:ascii="Book Antiqua" w:hAnsi="Book Antiqua"/>
          <w:color w:val="000000" w:themeColor="text1"/>
        </w:rPr>
        <w:t xml:space="preserve"> H, Johnson GR. Spasticity: clinical perceptions, neurological realities and meaningful measurement. </w:t>
      </w:r>
      <w:proofErr w:type="spellStart"/>
      <w:r w:rsidRPr="00D53E19">
        <w:rPr>
          <w:rFonts w:ascii="Book Antiqua" w:hAnsi="Book Antiqua"/>
          <w:i/>
          <w:color w:val="000000" w:themeColor="text1"/>
        </w:rPr>
        <w:t>Disabil</w:t>
      </w:r>
      <w:proofErr w:type="spellEnd"/>
      <w:r w:rsidRPr="00D53E19">
        <w:rPr>
          <w:rFonts w:ascii="Book Antiqua" w:hAnsi="Book Antiqua"/>
          <w:i/>
          <w:color w:val="000000" w:themeColor="text1"/>
        </w:rPr>
        <w:t xml:space="preserve"> </w:t>
      </w:r>
      <w:proofErr w:type="spellStart"/>
      <w:r w:rsidRPr="00D53E19">
        <w:rPr>
          <w:rFonts w:ascii="Book Antiqua" w:hAnsi="Book Antiqua"/>
          <w:i/>
          <w:color w:val="000000" w:themeColor="text1"/>
        </w:rPr>
        <w:t>Rehabil</w:t>
      </w:r>
      <w:proofErr w:type="spellEnd"/>
      <w:r w:rsidRPr="00D53E19">
        <w:rPr>
          <w:rFonts w:ascii="Book Antiqua" w:hAnsi="Book Antiqua"/>
          <w:color w:val="000000" w:themeColor="text1"/>
        </w:rPr>
        <w:t xml:space="preserve"> 2005; </w:t>
      </w:r>
      <w:r w:rsidRPr="00D53E19">
        <w:rPr>
          <w:rFonts w:ascii="Book Antiqua" w:hAnsi="Book Antiqua"/>
          <w:b/>
          <w:color w:val="000000" w:themeColor="text1"/>
        </w:rPr>
        <w:t>27</w:t>
      </w:r>
      <w:r w:rsidRPr="00D53E19">
        <w:rPr>
          <w:rFonts w:ascii="Book Antiqua" w:hAnsi="Book Antiqua"/>
          <w:color w:val="000000" w:themeColor="text1"/>
        </w:rPr>
        <w:t>: 2-6 [PMID: 15799140 DOI: 10.1080/09638280400014576]</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 </w:t>
      </w:r>
      <w:proofErr w:type="spellStart"/>
      <w:r w:rsidRPr="00D53E19">
        <w:rPr>
          <w:rFonts w:ascii="Book Antiqua" w:hAnsi="Book Antiqua"/>
          <w:b/>
          <w:color w:val="000000" w:themeColor="text1"/>
        </w:rPr>
        <w:t>Rekand</w:t>
      </w:r>
      <w:proofErr w:type="spellEnd"/>
      <w:r w:rsidRPr="00D53E19">
        <w:rPr>
          <w:rFonts w:ascii="Book Antiqua" w:hAnsi="Book Antiqua"/>
          <w:b/>
          <w:color w:val="000000" w:themeColor="text1"/>
        </w:rPr>
        <w:t xml:space="preserve"> T</w:t>
      </w:r>
      <w:r w:rsidRPr="00D53E19">
        <w:rPr>
          <w:rFonts w:ascii="Book Antiqua" w:hAnsi="Book Antiqua"/>
          <w:color w:val="000000" w:themeColor="text1"/>
        </w:rPr>
        <w:t xml:space="preserve">, Hagen EM, </w:t>
      </w:r>
      <w:proofErr w:type="spellStart"/>
      <w:r w:rsidRPr="00D53E19">
        <w:rPr>
          <w:rFonts w:ascii="Book Antiqua" w:hAnsi="Book Antiqua"/>
          <w:color w:val="000000" w:themeColor="text1"/>
        </w:rPr>
        <w:t>Grønning</w:t>
      </w:r>
      <w:proofErr w:type="spellEnd"/>
      <w:r w:rsidRPr="00D53E19">
        <w:rPr>
          <w:rFonts w:ascii="Book Antiqua" w:hAnsi="Book Antiqua"/>
          <w:color w:val="000000" w:themeColor="text1"/>
        </w:rPr>
        <w:t xml:space="preserve"> M. Spasticity following spinal cord injury. </w:t>
      </w:r>
      <w:proofErr w:type="spellStart"/>
      <w:r w:rsidRPr="00D53E19">
        <w:rPr>
          <w:rFonts w:ascii="Book Antiqua" w:hAnsi="Book Antiqua"/>
          <w:i/>
          <w:color w:val="000000" w:themeColor="text1"/>
        </w:rPr>
        <w:t>Tidsskr</w:t>
      </w:r>
      <w:proofErr w:type="spellEnd"/>
      <w:r w:rsidRPr="00D53E19">
        <w:rPr>
          <w:rFonts w:ascii="Book Antiqua" w:hAnsi="Book Antiqua"/>
          <w:i/>
          <w:color w:val="000000" w:themeColor="text1"/>
        </w:rPr>
        <w:t xml:space="preserve"> Nor </w:t>
      </w:r>
      <w:proofErr w:type="spellStart"/>
      <w:r w:rsidRPr="00D53E19">
        <w:rPr>
          <w:rFonts w:ascii="Book Antiqua" w:hAnsi="Book Antiqua"/>
          <w:i/>
          <w:color w:val="000000" w:themeColor="text1"/>
        </w:rPr>
        <w:t>Laegeforen</w:t>
      </w:r>
      <w:proofErr w:type="spellEnd"/>
      <w:r w:rsidRPr="00D53E19">
        <w:rPr>
          <w:rFonts w:ascii="Book Antiqua" w:hAnsi="Book Antiqua"/>
          <w:color w:val="000000" w:themeColor="text1"/>
        </w:rPr>
        <w:t xml:space="preserve"> 2012; </w:t>
      </w:r>
      <w:r w:rsidRPr="00D53E19">
        <w:rPr>
          <w:rFonts w:ascii="Book Antiqua" w:hAnsi="Book Antiqua"/>
          <w:b/>
          <w:color w:val="000000" w:themeColor="text1"/>
        </w:rPr>
        <w:t>132</w:t>
      </w:r>
      <w:r w:rsidRPr="00D53E19">
        <w:rPr>
          <w:rFonts w:ascii="Book Antiqua" w:hAnsi="Book Antiqua"/>
          <w:color w:val="000000" w:themeColor="text1"/>
        </w:rPr>
        <w:t>: 970-973 [PMID: 22562332 DOI: 10.4045/tidsskr.10.0872]</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3 </w:t>
      </w:r>
      <w:proofErr w:type="spellStart"/>
      <w:r w:rsidRPr="00D53E19">
        <w:rPr>
          <w:rFonts w:ascii="Book Antiqua" w:hAnsi="Book Antiqua"/>
          <w:b/>
          <w:color w:val="000000" w:themeColor="text1"/>
        </w:rPr>
        <w:t>Çulha</w:t>
      </w:r>
      <w:proofErr w:type="spellEnd"/>
      <w:r w:rsidRPr="00D53E19">
        <w:rPr>
          <w:rFonts w:ascii="Book Antiqua" w:hAnsi="Book Antiqua"/>
          <w:b/>
          <w:color w:val="000000" w:themeColor="text1"/>
        </w:rPr>
        <w:t xml:space="preserve"> C,</w:t>
      </w:r>
      <w:r w:rsidRPr="00D53E19">
        <w:rPr>
          <w:rFonts w:ascii="Book Antiqua" w:hAnsi="Book Antiqua"/>
          <w:color w:val="000000" w:themeColor="text1"/>
        </w:rPr>
        <w:t xml:space="preserve"> </w:t>
      </w:r>
      <w:proofErr w:type="spellStart"/>
      <w:r w:rsidRPr="00D53E19">
        <w:rPr>
          <w:rFonts w:ascii="Book Antiqua" w:hAnsi="Book Antiqua"/>
          <w:color w:val="000000" w:themeColor="text1"/>
        </w:rPr>
        <w:t>Ünsal-Delialioğlu</w:t>
      </w:r>
      <w:proofErr w:type="spellEnd"/>
      <w:r w:rsidRPr="00D53E19">
        <w:rPr>
          <w:rFonts w:ascii="Book Antiqua" w:hAnsi="Book Antiqua"/>
          <w:color w:val="000000" w:themeColor="text1"/>
        </w:rPr>
        <w:t xml:space="preserve"> S, </w:t>
      </w:r>
      <w:proofErr w:type="spellStart"/>
      <w:r w:rsidRPr="00D53E19">
        <w:rPr>
          <w:rFonts w:ascii="Book Antiqua" w:hAnsi="Book Antiqua"/>
          <w:color w:val="000000" w:themeColor="text1"/>
        </w:rPr>
        <w:t>Egüz</w:t>
      </w:r>
      <w:proofErr w:type="spellEnd"/>
      <w:r w:rsidRPr="00D53E19">
        <w:rPr>
          <w:rFonts w:ascii="Book Antiqua" w:hAnsi="Book Antiqua"/>
          <w:color w:val="000000" w:themeColor="text1"/>
        </w:rPr>
        <w:t xml:space="preserve"> P, </w:t>
      </w:r>
      <w:proofErr w:type="spellStart"/>
      <w:r w:rsidRPr="00D53E19">
        <w:rPr>
          <w:rFonts w:ascii="Book Antiqua" w:hAnsi="Book Antiqua"/>
          <w:color w:val="000000" w:themeColor="text1"/>
        </w:rPr>
        <w:t>Kulaklı</w:t>
      </w:r>
      <w:proofErr w:type="spellEnd"/>
      <w:r w:rsidRPr="00D53E19">
        <w:rPr>
          <w:rFonts w:ascii="Book Antiqua" w:hAnsi="Book Antiqua"/>
          <w:color w:val="000000" w:themeColor="text1"/>
        </w:rPr>
        <w:t xml:space="preserve"> F, </w:t>
      </w:r>
      <w:proofErr w:type="spellStart"/>
      <w:r w:rsidRPr="00D53E19">
        <w:rPr>
          <w:rFonts w:ascii="Book Antiqua" w:hAnsi="Book Antiqua"/>
          <w:color w:val="000000" w:themeColor="text1"/>
        </w:rPr>
        <w:t>Özel</w:t>
      </w:r>
      <w:proofErr w:type="spellEnd"/>
      <w:r w:rsidRPr="00D53E19">
        <w:rPr>
          <w:rFonts w:ascii="Book Antiqua" w:hAnsi="Book Antiqua"/>
          <w:color w:val="000000" w:themeColor="text1"/>
        </w:rPr>
        <w:t xml:space="preserve"> S. Spasticity in patients with traumatic spinal cord injury: from the patients’ and physicians’ perspective. </w:t>
      </w:r>
      <w:r w:rsidRPr="00D53E19">
        <w:rPr>
          <w:rFonts w:ascii="Book Antiqua" w:hAnsi="Book Antiqua"/>
          <w:i/>
          <w:color w:val="000000" w:themeColor="text1"/>
        </w:rPr>
        <w:t>Turk J Phys Med Rehab</w:t>
      </w:r>
      <w:r w:rsidRPr="00D53E19">
        <w:rPr>
          <w:rFonts w:ascii="Book Antiqua" w:hAnsi="Book Antiqua"/>
          <w:color w:val="000000" w:themeColor="text1"/>
        </w:rPr>
        <w:t xml:space="preserve"> 2017; </w:t>
      </w:r>
      <w:r w:rsidRPr="00D53E19">
        <w:rPr>
          <w:rFonts w:ascii="Book Antiqua" w:hAnsi="Book Antiqua"/>
          <w:b/>
          <w:color w:val="000000" w:themeColor="text1"/>
        </w:rPr>
        <w:t>63</w:t>
      </w:r>
      <w:r w:rsidRPr="00D53E19">
        <w:rPr>
          <w:rFonts w:ascii="Book Antiqua" w:hAnsi="Book Antiqua"/>
          <w:color w:val="000000" w:themeColor="text1"/>
        </w:rPr>
        <w:t>: 23-30 [DOI: 10.5606/tftrd.2017.08634]</w:t>
      </w:r>
    </w:p>
    <w:p w:rsidR="00766CE2" w:rsidRPr="00D53E19" w:rsidRDefault="00766CE2" w:rsidP="00D53E19">
      <w:pPr>
        <w:adjustRightInd w:val="0"/>
        <w:snapToGrid w:val="0"/>
        <w:spacing w:line="360" w:lineRule="auto"/>
        <w:jc w:val="both"/>
        <w:rPr>
          <w:rFonts w:ascii="Book Antiqua" w:hAnsi="Book Antiqua"/>
          <w:color w:val="000000" w:themeColor="text1"/>
          <w:lang w:eastAsia="zh-CN"/>
        </w:rPr>
      </w:pPr>
      <w:r w:rsidRPr="00D53E19">
        <w:rPr>
          <w:rFonts w:ascii="Book Antiqua" w:hAnsi="Book Antiqua"/>
          <w:color w:val="000000" w:themeColor="text1"/>
        </w:rPr>
        <w:t xml:space="preserve">4 </w:t>
      </w:r>
      <w:proofErr w:type="spellStart"/>
      <w:r w:rsidRPr="00D53E19">
        <w:rPr>
          <w:rFonts w:ascii="Book Antiqua" w:hAnsi="Book Antiqua"/>
          <w:b/>
          <w:color w:val="000000" w:themeColor="text1"/>
        </w:rPr>
        <w:t>Balci</w:t>
      </w:r>
      <w:proofErr w:type="spellEnd"/>
      <w:r w:rsidRPr="00D53E19">
        <w:rPr>
          <w:rFonts w:ascii="Book Antiqua" w:hAnsi="Book Antiqua"/>
          <w:b/>
          <w:color w:val="000000" w:themeColor="text1"/>
        </w:rPr>
        <w:t xml:space="preserve"> BP</w:t>
      </w:r>
      <w:r w:rsidRPr="00D53E19">
        <w:rPr>
          <w:rFonts w:ascii="Book Antiqua" w:hAnsi="Book Antiqua"/>
          <w:color w:val="000000" w:themeColor="text1"/>
        </w:rPr>
        <w:t xml:space="preserve">. Spasticity Measurement. </w:t>
      </w:r>
      <w:r w:rsidRPr="00D53E19">
        <w:rPr>
          <w:rFonts w:ascii="Book Antiqua" w:hAnsi="Book Antiqua"/>
          <w:i/>
          <w:color w:val="000000" w:themeColor="text1"/>
        </w:rPr>
        <w:t xml:space="preserve">Noro </w:t>
      </w:r>
      <w:proofErr w:type="spellStart"/>
      <w:r w:rsidRPr="00D53E19">
        <w:rPr>
          <w:rFonts w:ascii="Book Antiqua" w:hAnsi="Book Antiqua"/>
          <w:i/>
          <w:color w:val="000000" w:themeColor="text1"/>
        </w:rPr>
        <w:t>Psikiyatr</w:t>
      </w:r>
      <w:proofErr w:type="spellEnd"/>
      <w:r w:rsidRPr="00D53E19">
        <w:rPr>
          <w:rFonts w:ascii="Book Antiqua" w:hAnsi="Book Antiqua"/>
          <w:i/>
          <w:color w:val="000000" w:themeColor="text1"/>
        </w:rPr>
        <w:t xml:space="preserve"> Ars</w:t>
      </w:r>
      <w:r w:rsidRPr="00D53E19">
        <w:rPr>
          <w:rFonts w:ascii="Book Antiqua" w:hAnsi="Book Antiqua"/>
          <w:color w:val="000000" w:themeColor="text1"/>
        </w:rPr>
        <w:t xml:space="preserve"> 2018; </w:t>
      </w:r>
      <w:r w:rsidRPr="00D53E19">
        <w:rPr>
          <w:rFonts w:ascii="Book Antiqua" w:hAnsi="Book Antiqua"/>
          <w:b/>
          <w:color w:val="000000" w:themeColor="text1"/>
        </w:rPr>
        <w:t>55</w:t>
      </w:r>
      <w:r w:rsidRPr="00D53E19">
        <w:rPr>
          <w:rFonts w:ascii="Book Antiqua" w:hAnsi="Book Antiqua"/>
          <w:color w:val="000000" w:themeColor="text1"/>
        </w:rPr>
        <w:t>: S49-S53 [PMID: 30692856 DOI: 1029399/npa.2339]</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lastRenderedPageBreak/>
        <w:t xml:space="preserve">5 </w:t>
      </w:r>
      <w:proofErr w:type="spellStart"/>
      <w:r w:rsidRPr="00D53E19">
        <w:rPr>
          <w:rFonts w:ascii="Book Antiqua" w:hAnsi="Book Antiqua"/>
          <w:b/>
          <w:color w:val="000000" w:themeColor="text1"/>
        </w:rPr>
        <w:t>Bhimani</w:t>
      </w:r>
      <w:proofErr w:type="spellEnd"/>
      <w:r w:rsidRPr="00D53E19">
        <w:rPr>
          <w:rFonts w:ascii="Book Antiqua" w:hAnsi="Book Antiqua"/>
          <w:b/>
          <w:color w:val="000000" w:themeColor="text1"/>
        </w:rPr>
        <w:t xml:space="preserve"> R</w:t>
      </w:r>
      <w:r w:rsidRPr="00D53E19">
        <w:rPr>
          <w:rFonts w:ascii="Book Antiqua" w:hAnsi="Book Antiqua"/>
          <w:color w:val="000000" w:themeColor="text1"/>
        </w:rPr>
        <w:t xml:space="preserve">, Anderson L. Clinical understanding of spasticity: implications for practice. </w:t>
      </w:r>
      <w:proofErr w:type="spellStart"/>
      <w:r w:rsidRPr="00D53E19">
        <w:rPr>
          <w:rFonts w:ascii="Book Antiqua" w:hAnsi="Book Antiqua"/>
          <w:i/>
          <w:color w:val="000000" w:themeColor="text1"/>
        </w:rPr>
        <w:t>Rehabil</w:t>
      </w:r>
      <w:proofErr w:type="spellEnd"/>
      <w:r w:rsidRPr="00D53E19">
        <w:rPr>
          <w:rFonts w:ascii="Book Antiqua" w:hAnsi="Book Antiqua"/>
          <w:i/>
          <w:color w:val="000000" w:themeColor="text1"/>
        </w:rPr>
        <w:t xml:space="preserve"> Res </w:t>
      </w:r>
      <w:proofErr w:type="spellStart"/>
      <w:r w:rsidRPr="00D53E19">
        <w:rPr>
          <w:rFonts w:ascii="Book Antiqua" w:hAnsi="Book Antiqua"/>
          <w:i/>
          <w:color w:val="000000" w:themeColor="text1"/>
        </w:rPr>
        <w:t>Pract</w:t>
      </w:r>
      <w:proofErr w:type="spellEnd"/>
      <w:r w:rsidRPr="00D53E19">
        <w:rPr>
          <w:rFonts w:ascii="Book Antiqua" w:hAnsi="Book Antiqua"/>
          <w:color w:val="000000" w:themeColor="text1"/>
        </w:rPr>
        <w:t xml:space="preserve"> 2014; </w:t>
      </w:r>
      <w:r w:rsidRPr="00D53E19">
        <w:rPr>
          <w:rFonts w:ascii="Book Antiqua" w:hAnsi="Book Antiqua"/>
          <w:b/>
          <w:color w:val="000000" w:themeColor="text1"/>
        </w:rPr>
        <w:t>2014</w:t>
      </w:r>
      <w:r w:rsidRPr="00D53E19">
        <w:rPr>
          <w:rFonts w:ascii="Book Antiqua" w:hAnsi="Book Antiqua"/>
          <w:color w:val="000000" w:themeColor="text1"/>
        </w:rPr>
        <w:t>: 279175 [PMID: 25276432 DOI: 10.1155/2014/279175]</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6 </w:t>
      </w:r>
      <w:proofErr w:type="spellStart"/>
      <w:r w:rsidRPr="00D53E19">
        <w:rPr>
          <w:rFonts w:ascii="Book Antiqua" w:hAnsi="Book Antiqua"/>
          <w:b/>
          <w:color w:val="000000" w:themeColor="text1"/>
        </w:rPr>
        <w:t>Gorgey</w:t>
      </w:r>
      <w:proofErr w:type="spellEnd"/>
      <w:r w:rsidRPr="00D53E19">
        <w:rPr>
          <w:rFonts w:ascii="Book Antiqua" w:hAnsi="Book Antiqua"/>
          <w:b/>
          <w:color w:val="000000" w:themeColor="text1"/>
        </w:rPr>
        <w:t xml:space="preserve"> AS</w:t>
      </w:r>
      <w:r w:rsidRPr="00D53E19">
        <w:rPr>
          <w:rFonts w:ascii="Book Antiqua" w:hAnsi="Book Antiqua"/>
          <w:color w:val="000000" w:themeColor="text1"/>
        </w:rPr>
        <w:t xml:space="preserve">, Dudley GA. Spasticity may defend skeletal muscle size and composition after incomplete spinal cord injury. </w:t>
      </w:r>
      <w:r w:rsidRPr="00D53E19">
        <w:rPr>
          <w:rFonts w:ascii="Book Antiqua" w:hAnsi="Book Antiqua"/>
          <w:i/>
          <w:color w:val="000000" w:themeColor="text1"/>
        </w:rPr>
        <w:t>Spinal Cord</w:t>
      </w:r>
      <w:r w:rsidRPr="00D53E19">
        <w:rPr>
          <w:rFonts w:ascii="Book Antiqua" w:hAnsi="Book Antiqua"/>
          <w:color w:val="000000" w:themeColor="text1"/>
        </w:rPr>
        <w:t xml:space="preserve"> 2008; </w:t>
      </w:r>
      <w:r w:rsidRPr="00D53E19">
        <w:rPr>
          <w:rFonts w:ascii="Book Antiqua" w:hAnsi="Book Antiqua"/>
          <w:b/>
          <w:color w:val="000000" w:themeColor="text1"/>
        </w:rPr>
        <w:t>46</w:t>
      </w:r>
      <w:r w:rsidRPr="00D53E19">
        <w:rPr>
          <w:rFonts w:ascii="Book Antiqua" w:hAnsi="Book Antiqua"/>
          <w:color w:val="000000" w:themeColor="text1"/>
        </w:rPr>
        <w:t>: 96-102 [PMID: 17637764 DOI: 10.1038/sj.sc.3102087]</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7 </w:t>
      </w:r>
      <w:proofErr w:type="spellStart"/>
      <w:r w:rsidRPr="00D53E19">
        <w:rPr>
          <w:rFonts w:ascii="Book Antiqua" w:hAnsi="Book Antiqua"/>
          <w:b/>
          <w:color w:val="000000" w:themeColor="text1"/>
        </w:rPr>
        <w:t>Gorgey</w:t>
      </w:r>
      <w:proofErr w:type="spellEnd"/>
      <w:r w:rsidRPr="00D53E19">
        <w:rPr>
          <w:rFonts w:ascii="Book Antiqua" w:hAnsi="Book Antiqua"/>
          <w:b/>
          <w:color w:val="000000" w:themeColor="text1"/>
        </w:rPr>
        <w:t xml:space="preserve"> AS</w:t>
      </w:r>
      <w:r w:rsidRPr="00D53E19">
        <w:rPr>
          <w:rFonts w:ascii="Book Antiqua" w:hAnsi="Book Antiqua"/>
          <w:color w:val="000000" w:themeColor="text1"/>
        </w:rPr>
        <w:t xml:space="preserve">, Chiodo AE, </w:t>
      </w:r>
      <w:proofErr w:type="spellStart"/>
      <w:r w:rsidRPr="00D53E19">
        <w:rPr>
          <w:rFonts w:ascii="Book Antiqua" w:hAnsi="Book Antiqua"/>
          <w:color w:val="000000" w:themeColor="text1"/>
        </w:rPr>
        <w:t>Zemper</w:t>
      </w:r>
      <w:proofErr w:type="spellEnd"/>
      <w:r w:rsidRPr="00D53E19">
        <w:rPr>
          <w:rFonts w:ascii="Book Antiqua" w:hAnsi="Book Antiqua"/>
          <w:color w:val="000000" w:themeColor="text1"/>
        </w:rPr>
        <w:t xml:space="preserve"> ED, </w:t>
      </w:r>
      <w:proofErr w:type="spellStart"/>
      <w:r w:rsidRPr="00D53E19">
        <w:rPr>
          <w:rFonts w:ascii="Book Antiqua" w:hAnsi="Book Antiqua"/>
          <w:color w:val="000000" w:themeColor="text1"/>
        </w:rPr>
        <w:t>Hornyak</w:t>
      </w:r>
      <w:proofErr w:type="spellEnd"/>
      <w:r w:rsidRPr="00D53E19">
        <w:rPr>
          <w:rFonts w:ascii="Book Antiqua" w:hAnsi="Book Antiqua"/>
          <w:color w:val="000000" w:themeColor="text1"/>
        </w:rPr>
        <w:t xml:space="preserve"> JE, Rodriguez GM, </w:t>
      </w:r>
      <w:proofErr w:type="spellStart"/>
      <w:r w:rsidRPr="00D53E19">
        <w:rPr>
          <w:rFonts w:ascii="Book Antiqua" w:hAnsi="Book Antiqua"/>
          <w:color w:val="000000" w:themeColor="text1"/>
        </w:rPr>
        <w:t>Gater</w:t>
      </w:r>
      <w:proofErr w:type="spellEnd"/>
      <w:r w:rsidRPr="00D53E19">
        <w:rPr>
          <w:rFonts w:ascii="Book Antiqua" w:hAnsi="Book Antiqua"/>
          <w:color w:val="000000" w:themeColor="text1"/>
        </w:rPr>
        <w:t xml:space="preserve"> DR. Relationship of spasticity to soft tissue body composition and the metabolic profile in persons with chronic motor complete spinal cord injury. </w:t>
      </w:r>
      <w:r w:rsidRPr="00D53E19">
        <w:rPr>
          <w:rFonts w:ascii="Book Antiqua" w:hAnsi="Book Antiqua"/>
          <w:i/>
          <w:color w:val="000000" w:themeColor="text1"/>
        </w:rPr>
        <w:t>J Spinal Cord Med</w:t>
      </w:r>
      <w:r w:rsidRPr="00D53E19">
        <w:rPr>
          <w:rFonts w:ascii="Book Antiqua" w:hAnsi="Book Antiqua"/>
          <w:color w:val="000000" w:themeColor="text1"/>
        </w:rPr>
        <w:t xml:space="preserve"> 2010; </w:t>
      </w:r>
      <w:r w:rsidRPr="00D53E19">
        <w:rPr>
          <w:rFonts w:ascii="Book Antiqua" w:hAnsi="Book Antiqua"/>
          <w:b/>
          <w:color w:val="000000" w:themeColor="text1"/>
        </w:rPr>
        <w:t>33</w:t>
      </w:r>
      <w:r w:rsidRPr="00D53E19">
        <w:rPr>
          <w:rFonts w:ascii="Book Antiqua" w:hAnsi="Book Antiqua"/>
          <w:color w:val="000000" w:themeColor="text1"/>
        </w:rPr>
        <w:t>: 6-15 [PMID: 20397439 DOI: 10.1080/10790268.2010.11689669]</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8 </w:t>
      </w:r>
      <w:r w:rsidRPr="00D53E19">
        <w:rPr>
          <w:rFonts w:ascii="Book Antiqua" w:hAnsi="Book Antiqua"/>
          <w:b/>
          <w:color w:val="000000" w:themeColor="text1"/>
        </w:rPr>
        <w:t>Jung IY</w:t>
      </w:r>
      <w:r w:rsidRPr="00D53E19">
        <w:rPr>
          <w:rFonts w:ascii="Book Antiqua" w:hAnsi="Book Antiqua"/>
          <w:color w:val="000000" w:themeColor="text1"/>
        </w:rPr>
        <w:t xml:space="preserve">, Kim HR, Chun SM, Leigh JH, Shin HI. Severe spasticity in lower extremities is associated with reduced adiposity and lower fasting plasma glucose level in persons with spinal cord injury. </w:t>
      </w:r>
      <w:r w:rsidRPr="00D53E19">
        <w:rPr>
          <w:rFonts w:ascii="Book Antiqua" w:hAnsi="Book Antiqua"/>
          <w:i/>
          <w:color w:val="000000" w:themeColor="text1"/>
        </w:rPr>
        <w:t>Spinal Cord</w:t>
      </w:r>
      <w:r w:rsidRPr="00D53E19">
        <w:rPr>
          <w:rFonts w:ascii="Book Antiqua" w:hAnsi="Book Antiqua"/>
          <w:color w:val="000000" w:themeColor="text1"/>
        </w:rPr>
        <w:t xml:space="preserve"> 2017; </w:t>
      </w:r>
      <w:r w:rsidRPr="00D53E19">
        <w:rPr>
          <w:rFonts w:ascii="Book Antiqua" w:hAnsi="Book Antiqua"/>
          <w:b/>
          <w:color w:val="000000" w:themeColor="text1"/>
        </w:rPr>
        <w:t>55</w:t>
      </w:r>
      <w:r w:rsidRPr="00D53E19">
        <w:rPr>
          <w:rFonts w:ascii="Book Antiqua" w:hAnsi="Book Antiqua"/>
          <w:color w:val="000000" w:themeColor="text1"/>
        </w:rPr>
        <w:t>: 378-382 [PMID: 27618974 DOI: 10.1038/sc.2016.132]</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9 </w:t>
      </w:r>
      <w:r w:rsidRPr="00D53E19">
        <w:rPr>
          <w:rFonts w:ascii="Book Antiqua" w:hAnsi="Book Antiqua"/>
          <w:b/>
          <w:color w:val="000000" w:themeColor="text1"/>
        </w:rPr>
        <w:t>Chang E</w:t>
      </w:r>
      <w:r w:rsidRPr="00D53E19">
        <w:rPr>
          <w:rFonts w:ascii="Book Antiqua" w:hAnsi="Book Antiqua"/>
          <w:color w:val="000000" w:themeColor="text1"/>
        </w:rPr>
        <w:t xml:space="preserve">, Ghosh N, Yanni D, Lee S, </w:t>
      </w:r>
      <w:proofErr w:type="spellStart"/>
      <w:r w:rsidRPr="00D53E19">
        <w:rPr>
          <w:rFonts w:ascii="Book Antiqua" w:hAnsi="Book Antiqua"/>
          <w:color w:val="000000" w:themeColor="text1"/>
        </w:rPr>
        <w:t>Alexandru</w:t>
      </w:r>
      <w:proofErr w:type="spellEnd"/>
      <w:r w:rsidRPr="00D53E19">
        <w:rPr>
          <w:rFonts w:ascii="Book Antiqua" w:hAnsi="Book Antiqua"/>
          <w:color w:val="000000" w:themeColor="text1"/>
        </w:rPr>
        <w:t xml:space="preserve"> D, </w:t>
      </w:r>
      <w:proofErr w:type="spellStart"/>
      <w:r w:rsidRPr="00D53E19">
        <w:rPr>
          <w:rFonts w:ascii="Book Antiqua" w:hAnsi="Book Antiqua"/>
          <w:color w:val="000000" w:themeColor="text1"/>
        </w:rPr>
        <w:t>Mozaffar</w:t>
      </w:r>
      <w:proofErr w:type="spellEnd"/>
      <w:r w:rsidRPr="00D53E19">
        <w:rPr>
          <w:rFonts w:ascii="Book Antiqua" w:hAnsi="Book Antiqua"/>
          <w:color w:val="000000" w:themeColor="text1"/>
        </w:rPr>
        <w:t xml:space="preserve"> T. A Review of Spasticity Treatments: Pharmacological and Interventional Approaches. </w:t>
      </w:r>
      <w:proofErr w:type="spellStart"/>
      <w:r w:rsidRPr="00D53E19">
        <w:rPr>
          <w:rFonts w:ascii="Book Antiqua" w:hAnsi="Book Antiqua"/>
          <w:i/>
          <w:color w:val="000000" w:themeColor="text1"/>
        </w:rPr>
        <w:t>Crit</w:t>
      </w:r>
      <w:proofErr w:type="spellEnd"/>
      <w:r w:rsidRPr="00D53E19">
        <w:rPr>
          <w:rFonts w:ascii="Book Antiqua" w:hAnsi="Book Antiqua"/>
          <w:i/>
          <w:color w:val="000000" w:themeColor="text1"/>
        </w:rPr>
        <w:t xml:space="preserve"> Rev Phys </w:t>
      </w:r>
      <w:proofErr w:type="spellStart"/>
      <w:r w:rsidRPr="00D53E19">
        <w:rPr>
          <w:rFonts w:ascii="Book Antiqua" w:hAnsi="Book Antiqua"/>
          <w:i/>
          <w:color w:val="000000" w:themeColor="text1"/>
        </w:rPr>
        <w:t>Rehabil</w:t>
      </w:r>
      <w:proofErr w:type="spellEnd"/>
      <w:r w:rsidRPr="00D53E19">
        <w:rPr>
          <w:rFonts w:ascii="Book Antiqua" w:hAnsi="Book Antiqua"/>
          <w:i/>
          <w:color w:val="000000" w:themeColor="text1"/>
        </w:rPr>
        <w:t xml:space="preserve"> Med</w:t>
      </w:r>
      <w:r w:rsidRPr="00D53E19">
        <w:rPr>
          <w:rFonts w:ascii="Book Antiqua" w:hAnsi="Book Antiqua"/>
          <w:color w:val="000000" w:themeColor="text1"/>
        </w:rPr>
        <w:t xml:space="preserve"> 2013; </w:t>
      </w:r>
      <w:r w:rsidRPr="00D53E19">
        <w:rPr>
          <w:rFonts w:ascii="Book Antiqua" w:hAnsi="Book Antiqua"/>
          <w:b/>
          <w:color w:val="000000" w:themeColor="text1"/>
        </w:rPr>
        <w:t>25</w:t>
      </w:r>
      <w:r w:rsidRPr="00D53E19">
        <w:rPr>
          <w:rFonts w:ascii="Book Antiqua" w:hAnsi="Book Antiqua"/>
          <w:color w:val="000000" w:themeColor="text1"/>
        </w:rPr>
        <w:t>: 11-22 [PMID: 25750484 DOI: 10.1615/CritRevPhysRehabilMed.2013007945]</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10 </w:t>
      </w:r>
      <w:r w:rsidRPr="00D53E19">
        <w:rPr>
          <w:rFonts w:ascii="Book Antiqua" w:hAnsi="Book Antiqua"/>
          <w:b/>
          <w:color w:val="000000" w:themeColor="text1"/>
        </w:rPr>
        <w:t>Khan F</w:t>
      </w:r>
      <w:r w:rsidRPr="00D53E19">
        <w:rPr>
          <w:rFonts w:ascii="Book Antiqua" w:hAnsi="Book Antiqua"/>
          <w:color w:val="000000" w:themeColor="text1"/>
        </w:rPr>
        <w:t xml:space="preserve">, </w:t>
      </w:r>
      <w:proofErr w:type="spellStart"/>
      <w:r w:rsidRPr="00D53E19">
        <w:rPr>
          <w:rFonts w:ascii="Book Antiqua" w:hAnsi="Book Antiqua"/>
          <w:color w:val="000000" w:themeColor="text1"/>
        </w:rPr>
        <w:t>Amatya</w:t>
      </w:r>
      <w:proofErr w:type="spellEnd"/>
      <w:r w:rsidRPr="00D53E19">
        <w:rPr>
          <w:rFonts w:ascii="Book Antiqua" w:hAnsi="Book Antiqua"/>
          <w:color w:val="000000" w:themeColor="text1"/>
        </w:rPr>
        <w:t xml:space="preserve"> B, </w:t>
      </w:r>
      <w:proofErr w:type="spellStart"/>
      <w:r w:rsidRPr="00D53E19">
        <w:rPr>
          <w:rFonts w:ascii="Book Antiqua" w:hAnsi="Book Antiqua"/>
          <w:color w:val="000000" w:themeColor="text1"/>
        </w:rPr>
        <w:t>Bensmail</w:t>
      </w:r>
      <w:proofErr w:type="spellEnd"/>
      <w:r w:rsidRPr="00D53E19">
        <w:rPr>
          <w:rFonts w:ascii="Book Antiqua" w:hAnsi="Book Antiqua"/>
          <w:color w:val="000000" w:themeColor="text1"/>
        </w:rPr>
        <w:t xml:space="preserve"> D, </w:t>
      </w:r>
      <w:proofErr w:type="spellStart"/>
      <w:r w:rsidRPr="00D53E19">
        <w:rPr>
          <w:rFonts w:ascii="Book Antiqua" w:hAnsi="Book Antiqua"/>
          <w:color w:val="000000" w:themeColor="text1"/>
        </w:rPr>
        <w:t>Yelnik</w:t>
      </w:r>
      <w:proofErr w:type="spellEnd"/>
      <w:r w:rsidRPr="00D53E19">
        <w:rPr>
          <w:rFonts w:ascii="Book Antiqua" w:hAnsi="Book Antiqua"/>
          <w:color w:val="000000" w:themeColor="text1"/>
        </w:rPr>
        <w:t xml:space="preserve"> A. Non-pharmacological interventions for spasticity in adults: An overview of systematic reviews. </w:t>
      </w:r>
      <w:r w:rsidRPr="00D53E19">
        <w:rPr>
          <w:rFonts w:ascii="Book Antiqua" w:hAnsi="Book Antiqua"/>
          <w:i/>
          <w:color w:val="000000" w:themeColor="text1"/>
        </w:rPr>
        <w:t xml:space="preserve">Ann Phys </w:t>
      </w:r>
      <w:proofErr w:type="spellStart"/>
      <w:r w:rsidRPr="00D53E19">
        <w:rPr>
          <w:rFonts w:ascii="Book Antiqua" w:hAnsi="Book Antiqua"/>
          <w:i/>
          <w:color w:val="000000" w:themeColor="text1"/>
        </w:rPr>
        <w:t>Rehabil</w:t>
      </w:r>
      <w:proofErr w:type="spellEnd"/>
      <w:r w:rsidRPr="00D53E19">
        <w:rPr>
          <w:rFonts w:ascii="Book Antiqua" w:hAnsi="Book Antiqua"/>
          <w:i/>
          <w:color w:val="000000" w:themeColor="text1"/>
        </w:rPr>
        <w:t xml:space="preserve"> Med</w:t>
      </w:r>
      <w:r w:rsidRPr="00D53E19">
        <w:rPr>
          <w:rFonts w:ascii="Book Antiqua" w:hAnsi="Book Antiqua"/>
          <w:color w:val="000000" w:themeColor="text1"/>
        </w:rPr>
        <w:t xml:space="preserve"> 2019; </w:t>
      </w:r>
      <w:r w:rsidRPr="00D53E19">
        <w:rPr>
          <w:rFonts w:ascii="Book Antiqua" w:hAnsi="Book Antiqua"/>
          <w:b/>
          <w:color w:val="000000" w:themeColor="text1"/>
        </w:rPr>
        <w:t>62</w:t>
      </w:r>
      <w:r w:rsidRPr="00D53E19">
        <w:rPr>
          <w:rFonts w:ascii="Book Antiqua" w:hAnsi="Book Antiqua"/>
          <w:color w:val="000000" w:themeColor="text1"/>
        </w:rPr>
        <w:t>: 265-273 [PMID: 29042299 DOI: 10.1016/j.rehab.2017.10.001]</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11 </w:t>
      </w:r>
      <w:proofErr w:type="spellStart"/>
      <w:r w:rsidRPr="00D53E19">
        <w:rPr>
          <w:rFonts w:ascii="Book Antiqua" w:hAnsi="Book Antiqua"/>
          <w:b/>
          <w:color w:val="000000" w:themeColor="text1"/>
        </w:rPr>
        <w:t>Nevin</w:t>
      </w:r>
      <w:proofErr w:type="spellEnd"/>
      <w:r w:rsidRPr="00D53E19">
        <w:rPr>
          <w:rFonts w:ascii="Book Antiqua" w:hAnsi="Book Antiqua"/>
          <w:b/>
          <w:color w:val="000000" w:themeColor="text1"/>
        </w:rPr>
        <w:t xml:space="preserve"> AN</w:t>
      </w:r>
      <w:r w:rsidRPr="00D53E19">
        <w:rPr>
          <w:rFonts w:ascii="Book Antiqua" w:hAnsi="Book Antiqua"/>
          <w:color w:val="000000" w:themeColor="text1"/>
        </w:rPr>
        <w:t xml:space="preserve">, Nguyen K, </w:t>
      </w:r>
      <w:proofErr w:type="spellStart"/>
      <w:r w:rsidRPr="00D53E19">
        <w:rPr>
          <w:rFonts w:ascii="Book Antiqua" w:hAnsi="Book Antiqua"/>
          <w:color w:val="000000" w:themeColor="text1"/>
        </w:rPr>
        <w:t>Atresh</w:t>
      </w:r>
      <w:proofErr w:type="spellEnd"/>
      <w:r w:rsidRPr="00D53E19">
        <w:rPr>
          <w:rFonts w:ascii="Book Antiqua" w:hAnsi="Book Antiqua"/>
          <w:color w:val="000000" w:themeColor="text1"/>
        </w:rPr>
        <w:t xml:space="preserve"> S, </w:t>
      </w:r>
      <w:proofErr w:type="spellStart"/>
      <w:r w:rsidRPr="00D53E19">
        <w:rPr>
          <w:rFonts w:ascii="Book Antiqua" w:hAnsi="Book Antiqua"/>
          <w:color w:val="000000" w:themeColor="text1"/>
        </w:rPr>
        <w:t>Vivanti</w:t>
      </w:r>
      <w:proofErr w:type="spellEnd"/>
      <w:r w:rsidRPr="00D53E19">
        <w:rPr>
          <w:rFonts w:ascii="Book Antiqua" w:hAnsi="Book Antiqua"/>
          <w:color w:val="000000" w:themeColor="text1"/>
        </w:rPr>
        <w:t xml:space="preserve"> A, Hickman IJ. Effective management of spasticity and impacts on weight change and resting energy expenditure in a female with spinal cord injury: a case report. </w:t>
      </w:r>
      <w:r w:rsidRPr="00D53E19">
        <w:rPr>
          <w:rFonts w:ascii="Book Antiqua" w:hAnsi="Book Antiqua"/>
          <w:i/>
          <w:color w:val="000000" w:themeColor="text1"/>
        </w:rPr>
        <w:t>Spinal Cord Ser Cases</w:t>
      </w:r>
      <w:r w:rsidRPr="00D53E19">
        <w:rPr>
          <w:rFonts w:ascii="Book Antiqua" w:hAnsi="Book Antiqua"/>
          <w:color w:val="000000" w:themeColor="text1"/>
        </w:rPr>
        <w:t xml:space="preserve"> 2017; </w:t>
      </w:r>
      <w:r w:rsidRPr="00D53E19">
        <w:rPr>
          <w:rFonts w:ascii="Book Antiqua" w:hAnsi="Book Antiqua"/>
          <w:b/>
          <w:color w:val="000000" w:themeColor="text1"/>
        </w:rPr>
        <w:t>3</w:t>
      </w:r>
      <w:r w:rsidRPr="00D53E19">
        <w:rPr>
          <w:rFonts w:ascii="Book Antiqua" w:hAnsi="Book Antiqua"/>
          <w:color w:val="000000" w:themeColor="text1"/>
        </w:rPr>
        <w:t>: 17057 [PMID: 28919982 DOI: 10.1038/scsandc.2017.57]</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12 </w:t>
      </w:r>
      <w:r w:rsidRPr="00D53E19">
        <w:rPr>
          <w:rFonts w:ascii="Book Antiqua" w:hAnsi="Book Antiqua"/>
          <w:b/>
          <w:color w:val="000000" w:themeColor="text1"/>
        </w:rPr>
        <w:t>Medical Advisory Secretariat</w:t>
      </w:r>
      <w:r w:rsidRPr="00D53E19">
        <w:rPr>
          <w:rFonts w:ascii="Book Antiqua" w:hAnsi="Book Antiqua"/>
          <w:color w:val="000000" w:themeColor="text1"/>
        </w:rPr>
        <w:t xml:space="preserve">. Intrathecal baclofen pump for spasticity: an evidence-based analysis. </w:t>
      </w:r>
      <w:proofErr w:type="spellStart"/>
      <w:r w:rsidRPr="00D53E19">
        <w:rPr>
          <w:rFonts w:ascii="Book Antiqua" w:hAnsi="Book Antiqua"/>
          <w:i/>
          <w:color w:val="000000" w:themeColor="text1"/>
        </w:rPr>
        <w:t>Ont</w:t>
      </w:r>
      <w:proofErr w:type="spellEnd"/>
      <w:r w:rsidRPr="00D53E19">
        <w:rPr>
          <w:rFonts w:ascii="Book Antiqua" w:hAnsi="Book Antiqua"/>
          <w:i/>
          <w:color w:val="000000" w:themeColor="text1"/>
        </w:rPr>
        <w:t xml:space="preserve"> Health Technol Assess Ser</w:t>
      </w:r>
      <w:r w:rsidRPr="00D53E19">
        <w:rPr>
          <w:rFonts w:ascii="Book Antiqua" w:hAnsi="Book Antiqua"/>
          <w:color w:val="000000" w:themeColor="text1"/>
        </w:rPr>
        <w:t xml:space="preserve"> 2005; </w:t>
      </w:r>
      <w:r w:rsidRPr="00D53E19">
        <w:rPr>
          <w:rFonts w:ascii="Book Antiqua" w:hAnsi="Book Antiqua"/>
          <w:b/>
          <w:color w:val="000000" w:themeColor="text1"/>
        </w:rPr>
        <w:t>5</w:t>
      </w:r>
      <w:r w:rsidRPr="00D53E19">
        <w:rPr>
          <w:rFonts w:ascii="Book Antiqua" w:hAnsi="Book Antiqua"/>
          <w:color w:val="000000" w:themeColor="text1"/>
        </w:rPr>
        <w:t>: 1-93 [PMID: 23074476]</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13 </w:t>
      </w:r>
      <w:proofErr w:type="spellStart"/>
      <w:r w:rsidRPr="00D53E19">
        <w:rPr>
          <w:rFonts w:ascii="Book Antiqua" w:hAnsi="Book Antiqua"/>
          <w:b/>
          <w:color w:val="000000" w:themeColor="text1"/>
        </w:rPr>
        <w:t>Skogberg</w:t>
      </w:r>
      <w:proofErr w:type="spellEnd"/>
      <w:r w:rsidRPr="00D53E19">
        <w:rPr>
          <w:rFonts w:ascii="Book Antiqua" w:hAnsi="Book Antiqua"/>
          <w:b/>
          <w:color w:val="000000" w:themeColor="text1"/>
        </w:rPr>
        <w:t xml:space="preserve"> O</w:t>
      </w:r>
      <w:r w:rsidRPr="00D53E19">
        <w:rPr>
          <w:rFonts w:ascii="Book Antiqua" w:hAnsi="Book Antiqua"/>
          <w:color w:val="000000" w:themeColor="text1"/>
        </w:rPr>
        <w:t xml:space="preserve">, Samuelsson K, </w:t>
      </w:r>
      <w:proofErr w:type="spellStart"/>
      <w:r w:rsidRPr="00D53E19">
        <w:rPr>
          <w:rFonts w:ascii="Book Antiqua" w:hAnsi="Book Antiqua"/>
          <w:color w:val="000000" w:themeColor="text1"/>
        </w:rPr>
        <w:t>Ertzgaard</w:t>
      </w:r>
      <w:proofErr w:type="spellEnd"/>
      <w:r w:rsidRPr="00D53E19">
        <w:rPr>
          <w:rFonts w:ascii="Book Antiqua" w:hAnsi="Book Antiqua"/>
          <w:color w:val="000000" w:themeColor="text1"/>
        </w:rPr>
        <w:t xml:space="preserve"> P, Levi R. Changes in body composition after spasticity treatment with intrathecal baclofen. </w:t>
      </w:r>
      <w:r w:rsidRPr="00D53E19">
        <w:rPr>
          <w:rFonts w:ascii="Book Antiqua" w:hAnsi="Book Antiqua"/>
          <w:i/>
          <w:color w:val="000000" w:themeColor="text1"/>
        </w:rPr>
        <w:t xml:space="preserve">J </w:t>
      </w:r>
      <w:proofErr w:type="spellStart"/>
      <w:r w:rsidRPr="00D53E19">
        <w:rPr>
          <w:rFonts w:ascii="Book Antiqua" w:hAnsi="Book Antiqua"/>
          <w:i/>
          <w:color w:val="000000" w:themeColor="text1"/>
        </w:rPr>
        <w:t>Rehabil</w:t>
      </w:r>
      <w:proofErr w:type="spellEnd"/>
      <w:r w:rsidRPr="00D53E19">
        <w:rPr>
          <w:rFonts w:ascii="Book Antiqua" w:hAnsi="Book Antiqua"/>
          <w:i/>
          <w:color w:val="000000" w:themeColor="text1"/>
        </w:rPr>
        <w:t xml:space="preserve"> Med</w:t>
      </w:r>
      <w:r w:rsidRPr="00D53E19">
        <w:rPr>
          <w:rFonts w:ascii="Book Antiqua" w:hAnsi="Book Antiqua"/>
          <w:color w:val="000000" w:themeColor="text1"/>
        </w:rPr>
        <w:t xml:space="preserve"> 2017; </w:t>
      </w:r>
      <w:r w:rsidRPr="00D53E19">
        <w:rPr>
          <w:rFonts w:ascii="Book Antiqua" w:hAnsi="Book Antiqua"/>
          <w:b/>
          <w:color w:val="000000" w:themeColor="text1"/>
        </w:rPr>
        <w:t>49</w:t>
      </w:r>
      <w:r w:rsidRPr="00D53E19">
        <w:rPr>
          <w:rFonts w:ascii="Book Antiqua" w:hAnsi="Book Antiqua"/>
          <w:color w:val="000000" w:themeColor="text1"/>
        </w:rPr>
        <w:t>: 36-39 [PMID: 28101564 DOI: 10.2340/16501977-2169]</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lastRenderedPageBreak/>
        <w:t xml:space="preserve">14 </w:t>
      </w:r>
      <w:r w:rsidRPr="00D53E19">
        <w:rPr>
          <w:rFonts w:ascii="Book Antiqua" w:hAnsi="Book Antiqua"/>
          <w:b/>
          <w:color w:val="000000" w:themeColor="text1"/>
        </w:rPr>
        <w:t>Morse LR</w:t>
      </w:r>
      <w:r w:rsidRPr="00D53E19">
        <w:rPr>
          <w:rFonts w:ascii="Book Antiqua" w:hAnsi="Book Antiqua"/>
          <w:color w:val="000000" w:themeColor="text1"/>
        </w:rPr>
        <w:t xml:space="preserve">, </w:t>
      </w:r>
      <w:proofErr w:type="spellStart"/>
      <w:r w:rsidRPr="00D53E19">
        <w:rPr>
          <w:rFonts w:ascii="Book Antiqua" w:hAnsi="Book Antiqua"/>
          <w:color w:val="000000" w:themeColor="text1"/>
        </w:rPr>
        <w:t>Battaglino</w:t>
      </w:r>
      <w:proofErr w:type="spellEnd"/>
      <w:r w:rsidRPr="00D53E19">
        <w:rPr>
          <w:rFonts w:ascii="Book Antiqua" w:hAnsi="Book Antiqua"/>
          <w:color w:val="000000" w:themeColor="text1"/>
        </w:rPr>
        <w:t xml:space="preserve"> RA, </w:t>
      </w:r>
      <w:proofErr w:type="spellStart"/>
      <w:r w:rsidRPr="00D53E19">
        <w:rPr>
          <w:rFonts w:ascii="Book Antiqua" w:hAnsi="Book Antiqua"/>
          <w:color w:val="000000" w:themeColor="text1"/>
        </w:rPr>
        <w:t>Stolzmann</w:t>
      </w:r>
      <w:proofErr w:type="spellEnd"/>
      <w:r w:rsidRPr="00D53E19">
        <w:rPr>
          <w:rFonts w:ascii="Book Antiqua" w:hAnsi="Book Antiqua"/>
          <w:color w:val="000000" w:themeColor="text1"/>
        </w:rPr>
        <w:t xml:space="preserve"> KL, Hallett LD, </w:t>
      </w:r>
      <w:proofErr w:type="spellStart"/>
      <w:r w:rsidRPr="00D53E19">
        <w:rPr>
          <w:rFonts w:ascii="Book Antiqua" w:hAnsi="Book Antiqua"/>
          <w:color w:val="000000" w:themeColor="text1"/>
        </w:rPr>
        <w:t>Waddimba</w:t>
      </w:r>
      <w:proofErr w:type="spellEnd"/>
      <w:r w:rsidRPr="00D53E19">
        <w:rPr>
          <w:rFonts w:ascii="Book Antiqua" w:hAnsi="Book Antiqua"/>
          <w:color w:val="000000" w:themeColor="text1"/>
        </w:rPr>
        <w:t xml:space="preserve"> A, Gagnon D, </w:t>
      </w:r>
      <w:proofErr w:type="spellStart"/>
      <w:r w:rsidRPr="00D53E19">
        <w:rPr>
          <w:rFonts w:ascii="Book Antiqua" w:hAnsi="Book Antiqua"/>
          <w:color w:val="000000" w:themeColor="text1"/>
        </w:rPr>
        <w:t>Lazzari</w:t>
      </w:r>
      <w:proofErr w:type="spellEnd"/>
      <w:r w:rsidRPr="00D53E19">
        <w:rPr>
          <w:rFonts w:ascii="Book Antiqua" w:hAnsi="Book Antiqua"/>
          <w:color w:val="000000" w:themeColor="text1"/>
        </w:rPr>
        <w:t xml:space="preserve"> AA, </w:t>
      </w:r>
      <w:proofErr w:type="spellStart"/>
      <w:r w:rsidRPr="00D53E19">
        <w:rPr>
          <w:rFonts w:ascii="Book Antiqua" w:hAnsi="Book Antiqua"/>
          <w:color w:val="000000" w:themeColor="text1"/>
        </w:rPr>
        <w:t>Garshick</w:t>
      </w:r>
      <w:proofErr w:type="spellEnd"/>
      <w:r w:rsidRPr="00D53E19">
        <w:rPr>
          <w:rFonts w:ascii="Book Antiqua" w:hAnsi="Book Antiqua"/>
          <w:color w:val="000000" w:themeColor="text1"/>
        </w:rPr>
        <w:t xml:space="preserve"> E. Osteoporotic fractures and hospitalization risk in chronic spinal cord injury. </w:t>
      </w:r>
      <w:proofErr w:type="spellStart"/>
      <w:r w:rsidRPr="00D53E19">
        <w:rPr>
          <w:rFonts w:ascii="Book Antiqua" w:hAnsi="Book Antiqua"/>
          <w:i/>
          <w:color w:val="000000" w:themeColor="text1"/>
        </w:rPr>
        <w:t>Osteoporos</w:t>
      </w:r>
      <w:proofErr w:type="spellEnd"/>
      <w:r w:rsidRPr="00D53E19">
        <w:rPr>
          <w:rFonts w:ascii="Book Antiqua" w:hAnsi="Book Antiqua"/>
          <w:i/>
          <w:color w:val="000000" w:themeColor="text1"/>
        </w:rPr>
        <w:t xml:space="preserve"> </w:t>
      </w:r>
      <w:proofErr w:type="spellStart"/>
      <w:r w:rsidRPr="00D53E19">
        <w:rPr>
          <w:rFonts w:ascii="Book Antiqua" w:hAnsi="Book Antiqua"/>
          <w:i/>
          <w:color w:val="000000" w:themeColor="text1"/>
        </w:rPr>
        <w:t>Int</w:t>
      </w:r>
      <w:proofErr w:type="spellEnd"/>
      <w:r w:rsidRPr="00D53E19">
        <w:rPr>
          <w:rFonts w:ascii="Book Antiqua" w:hAnsi="Book Antiqua"/>
          <w:color w:val="000000" w:themeColor="text1"/>
        </w:rPr>
        <w:t xml:space="preserve"> 2009; </w:t>
      </w:r>
      <w:r w:rsidRPr="00D53E19">
        <w:rPr>
          <w:rFonts w:ascii="Book Antiqua" w:hAnsi="Book Antiqua"/>
          <w:b/>
          <w:color w:val="000000" w:themeColor="text1"/>
        </w:rPr>
        <w:t>20</w:t>
      </w:r>
      <w:r w:rsidRPr="00D53E19">
        <w:rPr>
          <w:rFonts w:ascii="Book Antiqua" w:hAnsi="Book Antiqua"/>
          <w:color w:val="000000" w:themeColor="text1"/>
        </w:rPr>
        <w:t>: 385-392 [PMID: 18581033 DOI: 10.1007/s00198-008-0671-6]</w:t>
      </w:r>
    </w:p>
    <w:p w:rsidR="00766CE2" w:rsidRPr="005E454D" w:rsidRDefault="00766CE2" w:rsidP="00D53E19">
      <w:pPr>
        <w:adjustRightInd w:val="0"/>
        <w:snapToGrid w:val="0"/>
        <w:spacing w:line="360" w:lineRule="auto"/>
        <w:jc w:val="both"/>
        <w:rPr>
          <w:rFonts w:ascii="Book Antiqua" w:hAnsi="Book Antiqua"/>
          <w:color w:val="000000" w:themeColor="text1"/>
        </w:rPr>
      </w:pPr>
      <w:r w:rsidRPr="00E51216">
        <w:rPr>
          <w:rFonts w:ascii="Book Antiqua" w:hAnsi="Book Antiqua"/>
          <w:color w:val="000000" w:themeColor="text1"/>
        </w:rPr>
        <w:t xml:space="preserve">15 </w:t>
      </w:r>
      <w:r w:rsidR="005E454D" w:rsidRPr="00E51216">
        <w:rPr>
          <w:rFonts w:ascii="Book Antiqua" w:hAnsi="Book Antiqua"/>
          <w:b/>
          <w:bCs/>
          <w:color w:val="000000" w:themeColor="text1"/>
        </w:rPr>
        <w:t>Waring WP 3rd</w:t>
      </w:r>
      <w:r w:rsidR="005E454D" w:rsidRPr="00E51216">
        <w:rPr>
          <w:rFonts w:ascii="Book Antiqua" w:hAnsi="Book Antiqua"/>
          <w:color w:val="000000" w:themeColor="text1"/>
        </w:rPr>
        <w:t xml:space="preserve">, </w:t>
      </w:r>
      <w:proofErr w:type="spellStart"/>
      <w:r w:rsidR="005E454D" w:rsidRPr="00E51216">
        <w:rPr>
          <w:rFonts w:ascii="Book Antiqua" w:hAnsi="Book Antiqua"/>
          <w:color w:val="000000" w:themeColor="text1"/>
        </w:rPr>
        <w:t>Biering</w:t>
      </w:r>
      <w:proofErr w:type="spellEnd"/>
      <w:r w:rsidR="005E454D" w:rsidRPr="00E51216">
        <w:rPr>
          <w:rFonts w:ascii="Book Antiqua" w:hAnsi="Book Antiqua"/>
          <w:color w:val="000000" w:themeColor="text1"/>
        </w:rPr>
        <w:t xml:space="preserve">-Sorensen F, </w:t>
      </w:r>
      <w:proofErr w:type="spellStart"/>
      <w:r w:rsidR="005E454D" w:rsidRPr="00E51216">
        <w:rPr>
          <w:rFonts w:ascii="Book Antiqua" w:hAnsi="Book Antiqua"/>
          <w:color w:val="000000" w:themeColor="text1"/>
        </w:rPr>
        <w:t>Burns</w:t>
      </w:r>
      <w:proofErr w:type="spellEnd"/>
      <w:r w:rsidR="005E454D" w:rsidRPr="00E51216">
        <w:rPr>
          <w:rFonts w:ascii="Book Antiqua" w:hAnsi="Book Antiqua"/>
          <w:color w:val="000000" w:themeColor="text1"/>
        </w:rPr>
        <w:t xml:space="preserve"> S, Donovan W, Graves D, Jha A, Jones L, </w:t>
      </w:r>
      <w:proofErr w:type="spellStart"/>
      <w:r w:rsidR="005E454D" w:rsidRPr="00E51216">
        <w:rPr>
          <w:rFonts w:ascii="Book Antiqua" w:hAnsi="Book Antiqua"/>
          <w:color w:val="000000" w:themeColor="text1"/>
        </w:rPr>
        <w:t>Kirshblum</w:t>
      </w:r>
      <w:proofErr w:type="spellEnd"/>
      <w:r w:rsidR="005E454D" w:rsidRPr="00E51216">
        <w:rPr>
          <w:rFonts w:ascii="Book Antiqua" w:hAnsi="Book Antiqua"/>
          <w:color w:val="000000" w:themeColor="text1"/>
        </w:rPr>
        <w:t xml:space="preserve"> S, Marino R, </w:t>
      </w:r>
      <w:proofErr w:type="spellStart"/>
      <w:r w:rsidR="005E454D" w:rsidRPr="00E51216">
        <w:rPr>
          <w:rFonts w:ascii="Book Antiqua" w:hAnsi="Book Antiqua"/>
          <w:color w:val="000000" w:themeColor="text1"/>
        </w:rPr>
        <w:t>Mulcahey</w:t>
      </w:r>
      <w:proofErr w:type="spellEnd"/>
      <w:r w:rsidR="005E454D" w:rsidRPr="00E51216">
        <w:rPr>
          <w:rFonts w:ascii="Book Antiqua" w:hAnsi="Book Antiqua"/>
          <w:color w:val="000000" w:themeColor="text1"/>
        </w:rPr>
        <w:t xml:space="preserve"> MJ, Reeves R, </w:t>
      </w:r>
      <w:proofErr w:type="spellStart"/>
      <w:r w:rsidR="005E454D" w:rsidRPr="00E51216">
        <w:rPr>
          <w:rFonts w:ascii="Book Antiqua" w:hAnsi="Book Antiqua"/>
          <w:color w:val="000000" w:themeColor="text1"/>
        </w:rPr>
        <w:t>Scelza</w:t>
      </w:r>
      <w:proofErr w:type="spellEnd"/>
      <w:r w:rsidR="005E454D" w:rsidRPr="00E51216">
        <w:rPr>
          <w:rFonts w:ascii="Book Antiqua" w:hAnsi="Book Antiqua"/>
          <w:color w:val="000000" w:themeColor="text1"/>
        </w:rPr>
        <w:t xml:space="preserve"> WM, Schmidt-Read M, Stein A. _ 2009 review and revisions of the international standards for the neurological classification of spinal cord injury. </w:t>
      </w:r>
      <w:r w:rsidR="005E454D" w:rsidRPr="00E51216">
        <w:rPr>
          <w:rFonts w:ascii="Book Antiqua" w:hAnsi="Book Antiqua"/>
          <w:i/>
          <w:iCs/>
          <w:color w:val="000000" w:themeColor="text1"/>
        </w:rPr>
        <w:t>J Spinal Cord Med</w:t>
      </w:r>
      <w:r w:rsidR="005E454D" w:rsidRPr="00E51216">
        <w:rPr>
          <w:rFonts w:ascii="Book Antiqua" w:hAnsi="Book Antiqua"/>
          <w:color w:val="000000" w:themeColor="text1"/>
        </w:rPr>
        <w:t xml:space="preserve"> 2010; </w:t>
      </w:r>
      <w:r w:rsidR="005E454D" w:rsidRPr="00E51216">
        <w:rPr>
          <w:rFonts w:ascii="Book Antiqua" w:hAnsi="Book Antiqua"/>
          <w:b/>
          <w:bCs/>
          <w:color w:val="000000" w:themeColor="text1"/>
        </w:rPr>
        <w:t>33</w:t>
      </w:r>
      <w:r w:rsidR="005E454D" w:rsidRPr="00E51216">
        <w:rPr>
          <w:rFonts w:ascii="Book Antiqua" w:hAnsi="Book Antiqua"/>
          <w:color w:val="000000" w:themeColor="text1"/>
        </w:rPr>
        <w:t>: 346-352 [PMID: 21061894 DOI: 10.1080/10790268.2010.11689712]</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16 </w:t>
      </w:r>
      <w:proofErr w:type="spellStart"/>
      <w:r w:rsidRPr="00D53E19">
        <w:rPr>
          <w:rFonts w:ascii="Book Antiqua" w:hAnsi="Book Antiqua"/>
          <w:b/>
          <w:color w:val="000000" w:themeColor="text1"/>
        </w:rPr>
        <w:t>Otom</w:t>
      </w:r>
      <w:proofErr w:type="spellEnd"/>
      <w:r w:rsidRPr="00D53E19">
        <w:rPr>
          <w:rFonts w:ascii="Book Antiqua" w:hAnsi="Book Antiqua"/>
          <w:b/>
          <w:color w:val="000000" w:themeColor="text1"/>
        </w:rPr>
        <w:t xml:space="preserve"> A,</w:t>
      </w:r>
      <w:r w:rsidRPr="00D53E19">
        <w:rPr>
          <w:rFonts w:ascii="Book Antiqua" w:hAnsi="Book Antiqua"/>
          <w:color w:val="000000" w:themeColor="text1"/>
        </w:rPr>
        <w:t xml:space="preserve"> Al-Ahmar MR. Bone loss following spinal cord injury. </w:t>
      </w:r>
      <w:r w:rsidRPr="00D53E19">
        <w:rPr>
          <w:rFonts w:ascii="Book Antiqua" w:hAnsi="Book Antiqua"/>
          <w:i/>
          <w:color w:val="000000" w:themeColor="text1"/>
        </w:rPr>
        <w:t xml:space="preserve">J </w:t>
      </w:r>
      <w:proofErr w:type="spellStart"/>
      <w:r w:rsidRPr="00D53E19">
        <w:rPr>
          <w:rFonts w:ascii="Book Antiqua" w:hAnsi="Book Antiqua"/>
          <w:i/>
          <w:color w:val="000000" w:themeColor="text1"/>
        </w:rPr>
        <w:t>Neurorestoratol</w:t>
      </w:r>
      <w:proofErr w:type="spellEnd"/>
      <w:r w:rsidR="001F5840">
        <w:rPr>
          <w:rFonts w:ascii="Book Antiqua" w:hAnsi="Book Antiqua"/>
          <w:i/>
          <w:color w:val="000000" w:themeColor="text1"/>
        </w:rPr>
        <w:t xml:space="preserve"> </w:t>
      </w:r>
      <w:r w:rsidRPr="00D53E19">
        <w:rPr>
          <w:rFonts w:ascii="Book Antiqua" w:hAnsi="Book Antiqua"/>
          <w:color w:val="000000" w:themeColor="text1"/>
        </w:rPr>
        <w:t xml:space="preserve">2014; </w:t>
      </w:r>
      <w:r w:rsidRPr="00D53E19">
        <w:rPr>
          <w:rFonts w:ascii="Book Antiqua" w:hAnsi="Book Antiqua"/>
          <w:b/>
          <w:color w:val="000000" w:themeColor="text1"/>
        </w:rPr>
        <w:t>2</w:t>
      </w:r>
      <w:r w:rsidRPr="00D53E19">
        <w:rPr>
          <w:rFonts w:ascii="Book Antiqua" w:hAnsi="Book Antiqua"/>
          <w:color w:val="000000" w:themeColor="text1"/>
        </w:rPr>
        <w:t>: 81-84 [DOI: 10.2147/JN.S49438]</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17 </w:t>
      </w:r>
      <w:proofErr w:type="spellStart"/>
      <w:r w:rsidRPr="00D53E19">
        <w:rPr>
          <w:rFonts w:ascii="Book Antiqua" w:hAnsi="Book Antiqua"/>
          <w:b/>
          <w:color w:val="000000" w:themeColor="text1"/>
        </w:rPr>
        <w:t>Gorgey</w:t>
      </w:r>
      <w:proofErr w:type="spellEnd"/>
      <w:r w:rsidRPr="00D53E19">
        <w:rPr>
          <w:rFonts w:ascii="Book Antiqua" w:hAnsi="Book Antiqua"/>
          <w:b/>
          <w:color w:val="000000" w:themeColor="text1"/>
        </w:rPr>
        <w:t xml:space="preserve"> AS</w:t>
      </w:r>
      <w:r w:rsidRPr="00D53E19">
        <w:rPr>
          <w:rFonts w:ascii="Book Antiqua" w:hAnsi="Book Antiqua"/>
          <w:color w:val="000000" w:themeColor="text1"/>
        </w:rPr>
        <w:t xml:space="preserve">, Khalil RE, Davis JC, Carter W, Gill R, Rivers J, Khan R, Goetz LL, Castillo T, </w:t>
      </w:r>
      <w:proofErr w:type="spellStart"/>
      <w:r w:rsidRPr="00D53E19">
        <w:rPr>
          <w:rFonts w:ascii="Book Antiqua" w:hAnsi="Book Antiqua"/>
          <w:color w:val="000000" w:themeColor="text1"/>
        </w:rPr>
        <w:t>Lavis</w:t>
      </w:r>
      <w:proofErr w:type="spellEnd"/>
      <w:r w:rsidRPr="00D53E19">
        <w:rPr>
          <w:rFonts w:ascii="Book Antiqua" w:hAnsi="Book Antiqua"/>
          <w:color w:val="000000" w:themeColor="text1"/>
        </w:rPr>
        <w:t xml:space="preserve"> T, </w:t>
      </w:r>
      <w:proofErr w:type="spellStart"/>
      <w:r w:rsidRPr="00D53E19">
        <w:rPr>
          <w:rFonts w:ascii="Book Antiqua" w:hAnsi="Book Antiqua"/>
          <w:color w:val="000000" w:themeColor="text1"/>
        </w:rPr>
        <w:t>Sima</w:t>
      </w:r>
      <w:proofErr w:type="spellEnd"/>
      <w:r w:rsidRPr="00D53E19">
        <w:rPr>
          <w:rFonts w:ascii="Book Antiqua" w:hAnsi="Book Antiqua"/>
          <w:color w:val="000000" w:themeColor="text1"/>
        </w:rPr>
        <w:t xml:space="preserve"> AP, </w:t>
      </w:r>
      <w:proofErr w:type="spellStart"/>
      <w:r w:rsidRPr="00D53E19">
        <w:rPr>
          <w:rFonts w:ascii="Book Antiqua" w:hAnsi="Book Antiqua"/>
          <w:color w:val="000000" w:themeColor="text1"/>
        </w:rPr>
        <w:t>Lesnefsky</w:t>
      </w:r>
      <w:proofErr w:type="spellEnd"/>
      <w:r w:rsidRPr="00D53E19">
        <w:rPr>
          <w:rFonts w:ascii="Book Antiqua" w:hAnsi="Book Antiqua"/>
          <w:color w:val="000000" w:themeColor="text1"/>
        </w:rPr>
        <w:t xml:space="preserve"> EJ, Cardozo CC, Adler RA. Skeletal muscle hypertrophy and attenuation of cardio-metabolic risk factors (SHARC) using functional electrical stimulation-lower extremity cycling in persons with spinal cord injury: study protocol for a randomized clinical trial. </w:t>
      </w:r>
      <w:r w:rsidRPr="00D53E19">
        <w:rPr>
          <w:rFonts w:ascii="Book Antiqua" w:hAnsi="Book Antiqua"/>
          <w:i/>
          <w:color w:val="000000" w:themeColor="text1"/>
        </w:rPr>
        <w:t>Trials</w:t>
      </w:r>
      <w:r w:rsidRPr="00D53E19">
        <w:rPr>
          <w:rFonts w:ascii="Book Antiqua" w:hAnsi="Book Antiqua"/>
          <w:color w:val="000000" w:themeColor="text1"/>
        </w:rPr>
        <w:t xml:space="preserve"> 2019; </w:t>
      </w:r>
      <w:r w:rsidRPr="00D53E19">
        <w:rPr>
          <w:rFonts w:ascii="Book Antiqua" w:hAnsi="Book Antiqua"/>
          <w:b/>
          <w:color w:val="000000" w:themeColor="text1"/>
        </w:rPr>
        <w:t>20</w:t>
      </w:r>
      <w:r w:rsidRPr="00D53E19">
        <w:rPr>
          <w:rFonts w:ascii="Book Antiqua" w:hAnsi="Book Antiqua"/>
          <w:color w:val="000000" w:themeColor="text1"/>
        </w:rPr>
        <w:t>: 526 [PMID: 31443727 DOI: 10.1186/s13063-019-3560-8]</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18 </w:t>
      </w:r>
      <w:proofErr w:type="spellStart"/>
      <w:r w:rsidRPr="00D53E19">
        <w:rPr>
          <w:rFonts w:ascii="Book Antiqua" w:hAnsi="Book Antiqua"/>
          <w:b/>
          <w:color w:val="000000" w:themeColor="text1"/>
        </w:rPr>
        <w:t>Gorgey</w:t>
      </w:r>
      <w:proofErr w:type="spellEnd"/>
      <w:r w:rsidRPr="00D53E19">
        <w:rPr>
          <w:rFonts w:ascii="Book Antiqua" w:hAnsi="Book Antiqua"/>
          <w:b/>
          <w:color w:val="000000" w:themeColor="text1"/>
        </w:rPr>
        <w:t xml:space="preserve"> AS</w:t>
      </w:r>
      <w:r w:rsidRPr="00D53E19">
        <w:rPr>
          <w:rFonts w:ascii="Book Antiqua" w:hAnsi="Book Antiqua"/>
          <w:color w:val="000000" w:themeColor="text1"/>
        </w:rPr>
        <w:t xml:space="preserve">, </w:t>
      </w:r>
      <w:proofErr w:type="spellStart"/>
      <w:r w:rsidRPr="00D53E19">
        <w:rPr>
          <w:rFonts w:ascii="Book Antiqua" w:hAnsi="Book Antiqua"/>
          <w:color w:val="000000" w:themeColor="text1"/>
        </w:rPr>
        <w:t>Cirnigliaro</w:t>
      </w:r>
      <w:proofErr w:type="spellEnd"/>
      <w:r w:rsidRPr="00D53E19">
        <w:rPr>
          <w:rFonts w:ascii="Book Antiqua" w:hAnsi="Book Antiqua"/>
          <w:color w:val="000000" w:themeColor="text1"/>
        </w:rPr>
        <w:t xml:space="preserve"> CM, Bauman WA, Adler RA. Estimates of the precision of regional and whole body composition by dual-energy x-ray absorptiometry in persons with chronic spinal cord injury. </w:t>
      </w:r>
      <w:r w:rsidRPr="00D53E19">
        <w:rPr>
          <w:rFonts w:ascii="Book Antiqua" w:hAnsi="Book Antiqua"/>
          <w:i/>
          <w:color w:val="000000" w:themeColor="text1"/>
        </w:rPr>
        <w:t>Spinal Cord</w:t>
      </w:r>
      <w:r w:rsidRPr="00D53E19">
        <w:rPr>
          <w:rFonts w:ascii="Book Antiqua" w:hAnsi="Book Antiqua"/>
          <w:color w:val="000000" w:themeColor="text1"/>
        </w:rPr>
        <w:t xml:space="preserve"> 2018; </w:t>
      </w:r>
      <w:r w:rsidRPr="00D53E19">
        <w:rPr>
          <w:rFonts w:ascii="Book Antiqua" w:hAnsi="Book Antiqua"/>
          <w:b/>
          <w:color w:val="000000" w:themeColor="text1"/>
        </w:rPr>
        <w:t>56</w:t>
      </w:r>
      <w:r w:rsidRPr="00D53E19">
        <w:rPr>
          <w:rFonts w:ascii="Book Antiqua" w:hAnsi="Book Antiqua"/>
          <w:color w:val="000000" w:themeColor="text1"/>
        </w:rPr>
        <w:t>: 987-995 [PMID: 29511310 DOI: 10.1038/s41393-018-0079-x]</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19 </w:t>
      </w:r>
      <w:r w:rsidRPr="00D53E19">
        <w:rPr>
          <w:rFonts w:ascii="Book Antiqua" w:hAnsi="Book Antiqua"/>
          <w:b/>
          <w:color w:val="000000" w:themeColor="text1"/>
        </w:rPr>
        <w:t>Shields RK</w:t>
      </w:r>
      <w:r w:rsidRPr="00D53E19">
        <w:rPr>
          <w:rFonts w:ascii="Book Antiqua" w:hAnsi="Book Antiqua"/>
          <w:color w:val="000000" w:themeColor="text1"/>
        </w:rPr>
        <w:t xml:space="preserve">, </w:t>
      </w:r>
      <w:proofErr w:type="spellStart"/>
      <w:r w:rsidRPr="00D53E19">
        <w:rPr>
          <w:rFonts w:ascii="Book Antiqua" w:hAnsi="Book Antiqua"/>
          <w:color w:val="000000" w:themeColor="text1"/>
        </w:rPr>
        <w:t>Schlechte</w:t>
      </w:r>
      <w:proofErr w:type="spellEnd"/>
      <w:r w:rsidRPr="00D53E19">
        <w:rPr>
          <w:rFonts w:ascii="Book Antiqua" w:hAnsi="Book Antiqua"/>
          <w:color w:val="000000" w:themeColor="text1"/>
        </w:rPr>
        <w:t xml:space="preserve"> J, Dudley-</w:t>
      </w:r>
      <w:proofErr w:type="spellStart"/>
      <w:r w:rsidRPr="00D53E19">
        <w:rPr>
          <w:rFonts w:ascii="Book Antiqua" w:hAnsi="Book Antiqua"/>
          <w:color w:val="000000" w:themeColor="text1"/>
        </w:rPr>
        <w:t>Javoroski</w:t>
      </w:r>
      <w:proofErr w:type="spellEnd"/>
      <w:r w:rsidRPr="00D53E19">
        <w:rPr>
          <w:rFonts w:ascii="Book Antiqua" w:hAnsi="Book Antiqua"/>
          <w:color w:val="000000" w:themeColor="text1"/>
        </w:rPr>
        <w:t xml:space="preserve"> S, Zwart BD, Clark SD, Grant SA, </w:t>
      </w:r>
      <w:proofErr w:type="spellStart"/>
      <w:r w:rsidRPr="00D53E19">
        <w:rPr>
          <w:rFonts w:ascii="Book Antiqua" w:hAnsi="Book Antiqua"/>
          <w:color w:val="000000" w:themeColor="text1"/>
        </w:rPr>
        <w:t>Mattiace</w:t>
      </w:r>
      <w:proofErr w:type="spellEnd"/>
      <w:r w:rsidRPr="00D53E19">
        <w:rPr>
          <w:rFonts w:ascii="Book Antiqua" w:hAnsi="Book Antiqua"/>
          <w:color w:val="000000" w:themeColor="text1"/>
        </w:rPr>
        <w:t xml:space="preserve"> VM. Bone mineral density after spinal cord injury: a reliable method for knee measurement. </w:t>
      </w:r>
      <w:r w:rsidRPr="00D53E19">
        <w:rPr>
          <w:rFonts w:ascii="Book Antiqua" w:hAnsi="Book Antiqua"/>
          <w:i/>
          <w:color w:val="000000" w:themeColor="text1"/>
        </w:rPr>
        <w:t xml:space="preserve">Arch Phys Med </w:t>
      </w:r>
      <w:proofErr w:type="spellStart"/>
      <w:r w:rsidRPr="00D53E19">
        <w:rPr>
          <w:rFonts w:ascii="Book Antiqua" w:hAnsi="Book Antiqua"/>
          <w:i/>
          <w:color w:val="000000" w:themeColor="text1"/>
        </w:rPr>
        <w:t>Rehabil</w:t>
      </w:r>
      <w:proofErr w:type="spellEnd"/>
      <w:r w:rsidRPr="00D53E19">
        <w:rPr>
          <w:rFonts w:ascii="Book Antiqua" w:hAnsi="Book Antiqua"/>
          <w:color w:val="000000" w:themeColor="text1"/>
        </w:rPr>
        <w:t xml:space="preserve"> 2005; </w:t>
      </w:r>
      <w:r w:rsidRPr="00D53E19">
        <w:rPr>
          <w:rFonts w:ascii="Book Antiqua" w:hAnsi="Book Antiqua"/>
          <w:b/>
          <w:color w:val="000000" w:themeColor="text1"/>
        </w:rPr>
        <w:t>86</w:t>
      </w:r>
      <w:r w:rsidRPr="00D53E19">
        <w:rPr>
          <w:rFonts w:ascii="Book Antiqua" w:hAnsi="Book Antiqua"/>
          <w:color w:val="000000" w:themeColor="text1"/>
        </w:rPr>
        <w:t>: 1969-1973 [PMID: 16213240 DOI: 10.1016/j.apmr.2005.06.001]</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20 </w:t>
      </w:r>
      <w:r w:rsidRPr="00D53E19">
        <w:rPr>
          <w:rFonts w:ascii="Book Antiqua" w:hAnsi="Book Antiqua"/>
          <w:b/>
          <w:color w:val="000000" w:themeColor="text1"/>
        </w:rPr>
        <w:t>McPherson JG</w:t>
      </w:r>
      <w:r w:rsidRPr="00D53E19">
        <w:rPr>
          <w:rFonts w:ascii="Book Antiqua" w:hAnsi="Book Antiqua"/>
          <w:color w:val="000000" w:themeColor="text1"/>
        </w:rPr>
        <w:t xml:space="preserve">, Edwards WB, Prasad A, Troy KL, Griffith JW, Schnitzer TJ. Dual energy X-ray absorptiometry of the knee in spinal cord injury: methodology and correlation with quantitative computed tomography. </w:t>
      </w:r>
      <w:r w:rsidRPr="00D53E19">
        <w:rPr>
          <w:rFonts w:ascii="Book Antiqua" w:hAnsi="Book Antiqua"/>
          <w:i/>
          <w:color w:val="000000" w:themeColor="text1"/>
        </w:rPr>
        <w:t>Spinal Cord</w:t>
      </w:r>
      <w:r w:rsidRPr="00D53E19">
        <w:rPr>
          <w:rFonts w:ascii="Book Antiqua" w:hAnsi="Book Antiqua"/>
          <w:color w:val="000000" w:themeColor="text1"/>
        </w:rPr>
        <w:t xml:space="preserve"> 2014; </w:t>
      </w:r>
      <w:r w:rsidRPr="00D53E19">
        <w:rPr>
          <w:rFonts w:ascii="Book Antiqua" w:hAnsi="Book Antiqua"/>
          <w:b/>
          <w:color w:val="000000" w:themeColor="text1"/>
        </w:rPr>
        <w:t>52</w:t>
      </w:r>
      <w:r w:rsidRPr="00D53E19">
        <w:rPr>
          <w:rFonts w:ascii="Book Antiqua" w:hAnsi="Book Antiqua"/>
          <w:color w:val="000000" w:themeColor="text1"/>
        </w:rPr>
        <w:t>: 821-825 [PMID: 25023861 DOI: 10.1038/sc.2014.122]</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lastRenderedPageBreak/>
        <w:t xml:space="preserve">21 </w:t>
      </w:r>
      <w:r w:rsidRPr="00D53E19">
        <w:rPr>
          <w:rFonts w:ascii="Book Antiqua" w:hAnsi="Book Antiqua"/>
          <w:b/>
          <w:color w:val="000000" w:themeColor="text1"/>
        </w:rPr>
        <w:t>McCormick ZL</w:t>
      </w:r>
      <w:r w:rsidRPr="00D53E19">
        <w:rPr>
          <w:rFonts w:ascii="Book Antiqua" w:hAnsi="Book Antiqua"/>
          <w:color w:val="000000" w:themeColor="text1"/>
        </w:rPr>
        <w:t xml:space="preserve">, Chu SK, </w:t>
      </w:r>
      <w:proofErr w:type="spellStart"/>
      <w:r w:rsidRPr="00D53E19">
        <w:rPr>
          <w:rFonts w:ascii="Book Antiqua" w:hAnsi="Book Antiqua"/>
          <w:color w:val="000000" w:themeColor="text1"/>
        </w:rPr>
        <w:t>Binler</w:t>
      </w:r>
      <w:proofErr w:type="spellEnd"/>
      <w:r w:rsidRPr="00D53E19">
        <w:rPr>
          <w:rFonts w:ascii="Book Antiqua" w:hAnsi="Book Antiqua"/>
          <w:color w:val="000000" w:themeColor="text1"/>
        </w:rPr>
        <w:t xml:space="preserve"> D, Neudorf D, Mathur SN, Lee J, Marciniak C. Intrathecal Versus Oral Baclofen: A Matched Cohort Study of Spasticity, Pain, Sleep, Fatigue, and Quality of Life. </w:t>
      </w:r>
      <w:r w:rsidRPr="00D53E19">
        <w:rPr>
          <w:rFonts w:ascii="Book Antiqua" w:hAnsi="Book Antiqua"/>
          <w:i/>
          <w:color w:val="000000" w:themeColor="text1"/>
        </w:rPr>
        <w:t>PM R</w:t>
      </w:r>
      <w:r w:rsidRPr="00D53E19">
        <w:rPr>
          <w:rFonts w:ascii="Book Antiqua" w:hAnsi="Book Antiqua"/>
          <w:color w:val="000000" w:themeColor="text1"/>
        </w:rPr>
        <w:t xml:space="preserve"> 2016; </w:t>
      </w:r>
      <w:r w:rsidRPr="00D53E19">
        <w:rPr>
          <w:rFonts w:ascii="Book Antiqua" w:hAnsi="Book Antiqua"/>
          <w:b/>
          <w:color w:val="000000" w:themeColor="text1"/>
        </w:rPr>
        <w:t>8</w:t>
      </w:r>
      <w:r w:rsidRPr="00D53E19">
        <w:rPr>
          <w:rFonts w:ascii="Book Antiqua" w:hAnsi="Book Antiqua"/>
          <w:color w:val="000000" w:themeColor="text1"/>
        </w:rPr>
        <w:t>: 553-562 [PMID: 26498518 DOI: 10.1016/j.pmrj.2015.10.005]</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22 </w:t>
      </w:r>
      <w:r w:rsidRPr="00D53E19">
        <w:rPr>
          <w:rFonts w:ascii="Book Antiqua" w:hAnsi="Book Antiqua"/>
          <w:b/>
          <w:color w:val="000000" w:themeColor="text1"/>
        </w:rPr>
        <w:t>McIntyre A</w:t>
      </w:r>
      <w:r w:rsidRPr="00D53E19">
        <w:rPr>
          <w:rFonts w:ascii="Book Antiqua" w:hAnsi="Book Antiqua"/>
          <w:color w:val="000000" w:themeColor="text1"/>
        </w:rPr>
        <w:t xml:space="preserve">, Mays R, Mehta S, Janzen S, Townson A, Hsieh J, Wolfe D, </w:t>
      </w:r>
      <w:proofErr w:type="spellStart"/>
      <w:r w:rsidRPr="00D53E19">
        <w:rPr>
          <w:rFonts w:ascii="Book Antiqua" w:hAnsi="Book Antiqua"/>
          <w:color w:val="000000" w:themeColor="text1"/>
        </w:rPr>
        <w:t>Teasell</w:t>
      </w:r>
      <w:proofErr w:type="spellEnd"/>
      <w:r w:rsidRPr="00D53E19">
        <w:rPr>
          <w:rFonts w:ascii="Book Antiqua" w:hAnsi="Book Antiqua"/>
          <w:color w:val="000000" w:themeColor="text1"/>
        </w:rPr>
        <w:t xml:space="preserve"> R. Examining the effectiveness of intrathecal baclofen on spasticity in individuals with chronic spinal cord injury: a systematic review. </w:t>
      </w:r>
      <w:r w:rsidRPr="00D53E19">
        <w:rPr>
          <w:rFonts w:ascii="Book Antiqua" w:hAnsi="Book Antiqua"/>
          <w:i/>
          <w:color w:val="000000" w:themeColor="text1"/>
        </w:rPr>
        <w:t>J Spinal Cord Med</w:t>
      </w:r>
      <w:r w:rsidRPr="00D53E19">
        <w:rPr>
          <w:rFonts w:ascii="Book Antiqua" w:hAnsi="Book Antiqua"/>
          <w:color w:val="000000" w:themeColor="text1"/>
        </w:rPr>
        <w:t xml:space="preserve"> 2014; </w:t>
      </w:r>
      <w:r w:rsidRPr="00D53E19">
        <w:rPr>
          <w:rFonts w:ascii="Book Antiqua" w:hAnsi="Book Antiqua"/>
          <w:b/>
          <w:color w:val="000000" w:themeColor="text1"/>
        </w:rPr>
        <w:t>37</w:t>
      </w:r>
      <w:r w:rsidRPr="00D53E19">
        <w:rPr>
          <w:rFonts w:ascii="Book Antiqua" w:hAnsi="Book Antiqua"/>
          <w:color w:val="000000" w:themeColor="text1"/>
        </w:rPr>
        <w:t>: 11-18 [PMID: 24089997 DOI: 10.1179/2045772313Y.0000000102]</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23 </w:t>
      </w:r>
      <w:proofErr w:type="spellStart"/>
      <w:r w:rsidRPr="00D53E19">
        <w:rPr>
          <w:rFonts w:ascii="Book Antiqua" w:hAnsi="Book Antiqua"/>
          <w:b/>
          <w:color w:val="000000" w:themeColor="text1"/>
        </w:rPr>
        <w:t>Gorgey</w:t>
      </w:r>
      <w:proofErr w:type="spellEnd"/>
      <w:r w:rsidRPr="00D53E19">
        <w:rPr>
          <w:rFonts w:ascii="Book Antiqua" w:hAnsi="Book Antiqua"/>
          <w:b/>
          <w:color w:val="000000" w:themeColor="text1"/>
        </w:rPr>
        <w:t xml:space="preserve"> AS</w:t>
      </w:r>
      <w:r w:rsidRPr="00D53E19">
        <w:rPr>
          <w:rFonts w:ascii="Book Antiqua" w:hAnsi="Book Antiqua"/>
          <w:color w:val="000000" w:themeColor="text1"/>
        </w:rPr>
        <w:t xml:space="preserve">, Chiodo AE, </w:t>
      </w:r>
      <w:proofErr w:type="spellStart"/>
      <w:r w:rsidRPr="00D53E19">
        <w:rPr>
          <w:rFonts w:ascii="Book Antiqua" w:hAnsi="Book Antiqua"/>
          <w:color w:val="000000" w:themeColor="text1"/>
        </w:rPr>
        <w:t>Gater</w:t>
      </w:r>
      <w:proofErr w:type="spellEnd"/>
      <w:r w:rsidRPr="00D53E19">
        <w:rPr>
          <w:rFonts w:ascii="Book Antiqua" w:hAnsi="Book Antiqua"/>
          <w:color w:val="000000" w:themeColor="text1"/>
        </w:rPr>
        <w:t xml:space="preserve"> DR. Oral baclofen administration in persons with chronic spinal cord injury does not prevent the protective effects of spasticity on body composition and glucose homeostasis. </w:t>
      </w:r>
      <w:r w:rsidRPr="00D53E19">
        <w:rPr>
          <w:rFonts w:ascii="Book Antiqua" w:hAnsi="Book Antiqua"/>
          <w:i/>
          <w:color w:val="000000" w:themeColor="text1"/>
        </w:rPr>
        <w:t>Spinal Cord</w:t>
      </w:r>
      <w:r w:rsidRPr="00D53E19">
        <w:rPr>
          <w:rFonts w:ascii="Book Antiqua" w:hAnsi="Book Antiqua"/>
          <w:color w:val="000000" w:themeColor="text1"/>
        </w:rPr>
        <w:t xml:space="preserve"> 2010; </w:t>
      </w:r>
      <w:r w:rsidRPr="00D53E19">
        <w:rPr>
          <w:rFonts w:ascii="Book Antiqua" w:hAnsi="Book Antiqua"/>
          <w:b/>
          <w:color w:val="000000" w:themeColor="text1"/>
        </w:rPr>
        <w:t>48</w:t>
      </w:r>
      <w:r w:rsidRPr="00D53E19">
        <w:rPr>
          <w:rFonts w:ascii="Book Antiqua" w:hAnsi="Book Antiqua"/>
          <w:color w:val="000000" w:themeColor="text1"/>
        </w:rPr>
        <w:t>: 160-165 [PMID: 19687797 DOI: 10.1038/sc.2009.105]</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24 </w:t>
      </w:r>
      <w:proofErr w:type="spellStart"/>
      <w:r w:rsidRPr="00D53E19">
        <w:rPr>
          <w:rFonts w:ascii="Book Antiqua" w:hAnsi="Book Antiqua"/>
          <w:b/>
          <w:color w:val="000000" w:themeColor="text1"/>
        </w:rPr>
        <w:t>Gorgey</w:t>
      </w:r>
      <w:proofErr w:type="spellEnd"/>
      <w:r w:rsidRPr="00D53E19">
        <w:rPr>
          <w:rFonts w:ascii="Book Antiqua" w:hAnsi="Book Antiqua"/>
          <w:b/>
          <w:color w:val="000000" w:themeColor="text1"/>
        </w:rPr>
        <w:t xml:space="preserve"> AS</w:t>
      </w:r>
      <w:r w:rsidRPr="00D53E19">
        <w:rPr>
          <w:rFonts w:ascii="Book Antiqua" w:hAnsi="Book Antiqua"/>
          <w:color w:val="000000" w:themeColor="text1"/>
        </w:rPr>
        <w:t xml:space="preserve">, </w:t>
      </w:r>
      <w:proofErr w:type="spellStart"/>
      <w:r w:rsidRPr="00D53E19">
        <w:rPr>
          <w:rFonts w:ascii="Book Antiqua" w:hAnsi="Book Antiqua"/>
          <w:color w:val="000000" w:themeColor="text1"/>
        </w:rPr>
        <w:t>Gater</w:t>
      </w:r>
      <w:proofErr w:type="spellEnd"/>
      <w:r w:rsidRPr="00D53E19">
        <w:rPr>
          <w:rFonts w:ascii="Book Antiqua" w:hAnsi="Book Antiqua"/>
          <w:color w:val="000000" w:themeColor="text1"/>
        </w:rPr>
        <w:t xml:space="preserve"> DR. Insulin growth factors may explain relationship between spasticity and skeletal muscle size in men with spinal cord injury. </w:t>
      </w:r>
      <w:r w:rsidRPr="00D53E19">
        <w:rPr>
          <w:rFonts w:ascii="Book Antiqua" w:hAnsi="Book Antiqua"/>
          <w:i/>
          <w:color w:val="000000" w:themeColor="text1"/>
        </w:rPr>
        <w:t xml:space="preserve">J </w:t>
      </w:r>
      <w:proofErr w:type="spellStart"/>
      <w:r w:rsidRPr="00D53E19">
        <w:rPr>
          <w:rFonts w:ascii="Book Antiqua" w:hAnsi="Book Antiqua"/>
          <w:i/>
          <w:color w:val="000000" w:themeColor="text1"/>
        </w:rPr>
        <w:t>Rehabil</w:t>
      </w:r>
      <w:proofErr w:type="spellEnd"/>
      <w:r w:rsidRPr="00D53E19">
        <w:rPr>
          <w:rFonts w:ascii="Book Antiqua" w:hAnsi="Book Antiqua"/>
          <w:i/>
          <w:color w:val="000000" w:themeColor="text1"/>
        </w:rPr>
        <w:t xml:space="preserve"> Res Dev</w:t>
      </w:r>
      <w:r w:rsidRPr="00D53E19">
        <w:rPr>
          <w:rFonts w:ascii="Book Antiqua" w:hAnsi="Book Antiqua"/>
          <w:color w:val="000000" w:themeColor="text1"/>
        </w:rPr>
        <w:t xml:space="preserve"> 2012; </w:t>
      </w:r>
      <w:r w:rsidRPr="00D53E19">
        <w:rPr>
          <w:rFonts w:ascii="Book Antiqua" w:hAnsi="Book Antiqua"/>
          <w:b/>
          <w:color w:val="000000" w:themeColor="text1"/>
        </w:rPr>
        <w:t>49</w:t>
      </w:r>
      <w:r w:rsidRPr="00D53E19">
        <w:rPr>
          <w:rFonts w:ascii="Book Antiqua" w:hAnsi="Book Antiqua"/>
          <w:color w:val="000000" w:themeColor="text1"/>
        </w:rPr>
        <w:t>: 373-380 [PMID: 22773197 DOI: 10.1682/jrrd.2011.04.0076]</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25 </w:t>
      </w:r>
      <w:proofErr w:type="spellStart"/>
      <w:r w:rsidRPr="00D53E19">
        <w:rPr>
          <w:rFonts w:ascii="Book Antiqua" w:hAnsi="Book Antiqua"/>
          <w:b/>
          <w:color w:val="000000" w:themeColor="text1"/>
        </w:rPr>
        <w:t>Gifre</w:t>
      </w:r>
      <w:proofErr w:type="spellEnd"/>
      <w:r w:rsidRPr="00D53E19">
        <w:rPr>
          <w:rFonts w:ascii="Book Antiqua" w:hAnsi="Book Antiqua"/>
          <w:b/>
          <w:color w:val="000000" w:themeColor="text1"/>
        </w:rPr>
        <w:t xml:space="preserve"> L</w:t>
      </w:r>
      <w:r w:rsidRPr="00D53E19">
        <w:rPr>
          <w:rFonts w:ascii="Book Antiqua" w:hAnsi="Book Antiqua"/>
          <w:color w:val="000000" w:themeColor="text1"/>
        </w:rPr>
        <w:t xml:space="preserve">, Vidal J, Carrasco J, </w:t>
      </w:r>
      <w:proofErr w:type="spellStart"/>
      <w:r w:rsidRPr="00D53E19">
        <w:rPr>
          <w:rFonts w:ascii="Book Antiqua" w:hAnsi="Book Antiqua"/>
          <w:color w:val="000000" w:themeColor="text1"/>
        </w:rPr>
        <w:t>Portell</w:t>
      </w:r>
      <w:proofErr w:type="spellEnd"/>
      <w:r w:rsidRPr="00D53E19">
        <w:rPr>
          <w:rFonts w:ascii="Book Antiqua" w:hAnsi="Book Antiqua"/>
          <w:color w:val="000000" w:themeColor="text1"/>
        </w:rPr>
        <w:t xml:space="preserve"> E, Puig J, </w:t>
      </w:r>
      <w:proofErr w:type="spellStart"/>
      <w:r w:rsidRPr="00D53E19">
        <w:rPr>
          <w:rFonts w:ascii="Book Antiqua" w:hAnsi="Book Antiqua"/>
          <w:color w:val="000000" w:themeColor="text1"/>
        </w:rPr>
        <w:t>Monegal</w:t>
      </w:r>
      <w:proofErr w:type="spellEnd"/>
      <w:r w:rsidRPr="00D53E19">
        <w:rPr>
          <w:rFonts w:ascii="Book Antiqua" w:hAnsi="Book Antiqua"/>
          <w:color w:val="000000" w:themeColor="text1"/>
        </w:rPr>
        <w:t xml:space="preserve"> A, </w:t>
      </w:r>
      <w:proofErr w:type="spellStart"/>
      <w:r w:rsidRPr="00D53E19">
        <w:rPr>
          <w:rFonts w:ascii="Book Antiqua" w:hAnsi="Book Antiqua"/>
          <w:color w:val="000000" w:themeColor="text1"/>
        </w:rPr>
        <w:t>Guañabens</w:t>
      </w:r>
      <w:proofErr w:type="spellEnd"/>
      <w:r w:rsidRPr="00D53E19">
        <w:rPr>
          <w:rFonts w:ascii="Book Antiqua" w:hAnsi="Book Antiqua"/>
          <w:color w:val="000000" w:themeColor="text1"/>
        </w:rPr>
        <w:t xml:space="preserve"> N, Peris P. Incidence of skeletal fractures after traumatic spinal cord injury: a 10-year follow-up study. </w:t>
      </w:r>
      <w:proofErr w:type="spellStart"/>
      <w:r w:rsidRPr="00D53E19">
        <w:rPr>
          <w:rFonts w:ascii="Book Antiqua" w:hAnsi="Book Antiqua"/>
          <w:i/>
          <w:color w:val="000000" w:themeColor="text1"/>
        </w:rPr>
        <w:t>Clin</w:t>
      </w:r>
      <w:proofErr w:type="spellEnd"/>
      <w:r w:rsidRPr="00D53E19">
        <w:rPr>
          <w:rFonts w:ascii="Book Antiqua" w:hAnsi="Book Antiqua"/>
          <w:i/>
          <w:color w:val="000000" w:themeColor="text1"/>
        </w:rPr>
        <w:t xml:space="preserve"> </w:t>
      </w:r>
      <w:proofErr w:type="spellStart"/>
      <w:r w:rsidRPr="00D53E19">
        <w:rPr>
          <w:rFonts w:ascii="Book Antiqua" w:hAnsi="Book Antiqua"/>
          <w:i/>
          <w:color w:val="000000" w:themeColor="text1"/>
        </w:rPr>
        <w:t>Rehabil</w:t>
      </w:r>
      <w:proofErr w:type="spellEnd"/>
      <w:r w:rsidRPr="00D53E19">
        <w:rPr>
          <w:rFonts w:ascii="Book Antiqua" w:hAnsi="Book Antiqua"/>
          <w:color w:val="000000" w:themeColor="text1"/>
        </w:rPr>
        <w:t xml:space="preserve"> 2014; </w:t>
      </w:r>
      <w:r w:rsidRPr="00D53E19">
        <w:rPr>
          <w:rFonts w:ascii="Book Antiqua" w:hAnsi="Book Antiqua"/>
          <w:b/>
          <w:color w:val="000000" w:themeColor="text1"/>
        </w:rPr>
        <w:t>28</w:t>
      </w:r>
      <w:r w:rsidRPr="00D53E19">
        <w:rPr>
          <w:rFonts w:ascii="Book Antiqua" w:hAnsi="Book Antiqua"/>
          <w:color w:val="000000" w:themeColor="text1"/>
        </w:rPr>
        <w:t>: 361-369 [PMID: 24096543 DOI: 10.1177/0269215513501905]</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26 </w:t>
      </w:r>
      <w:proofErr w:type="spellStart"/>
      <w:r w:rsidRPr="00D53E19">
        <w:rPr>
          <w:rFonts w:ascii="Book Antiqua" w:hAnsi="Book Antiqua"/>
          <w:b/>
          <w:color w:val="000000" w:themeColor="text1"/>
        </w:rPr>
        <w:t>Frotzler</w:t>
      </w:r>
      <w:proofErr w:type="spellEnd"/>
      <w:r w:rsidRPr="00D53E19">
        <w:rPr>
          <w:rFonts w:ascii="Book Antiqua" w:hAnsi="Book Antiqua"/>
          <w:b/>
          <w:color w:val="000000" w:themeColor="text1"/>
        </w:rPr>
        <w:t xml:space="preserve"> A</w:t>
      </w:r>
      <w:r w:rsidRPr="00D53E19">
        <w:rPr>
          <w:rFonts w:ascii="Book Antiqua" w:hAnsi="Book Antiqua"/>
          <w:color w:val="000000" w:themeColor="text1"/>
        </w:rPr>
        <w:t xml:space="preserve">, </w:t>
      </w:r>
      <w:proofErr w:type="spellStart"/>
      <w:r w:rsidRPr="00D53E19">
        <w:rPr>
          <w:rFonts w:ascii="Book Antiqua" w:hAnsi="Book Antiqua"/>
          <w:color w:val="000000" w:themeColor="text1"/>
        </w:rPr>
        <w:t>Cheikh-Sarraf</w:t>
      </w:r>
      <w:proofErr w:type="spellEnd"/>
      <w:r w:rsidRPr="00D53E19">
        <w:rPr>
          <w:rFonts w:ascii="Book Antiqua" w:hAnsi="Book Antiqua"/>
          <w:color w:val="000000" w:themeColor="text1"/>
        </w:rPr>
        <w:t xml:space="preserve"> B, </w:t>
      </w:r>
      <w:proofErr w:type="spellStart"/>
      <w:r w:rsidRPr="00D53E19">
        <w:rPr>
          <w:rFonts w:ascii="Book Antiqua" w:hAnsi="Book Antiqua"/>
          <w:color w:val="000000" w:themeColor="text1"/>
        </w:rPr>
        <w:t>Pourtehrani</w:t>
      </w:r>
      <w:proofErr w:type="spellEnd"/>
      <w:r w:rsidRPr="00D53E19">
        <w:rPr>
          <w:rFonts w:ascii="Book Antiqua" w:hAnsi="Book Antiqua"/>
          <w:color w:val="000000" w:themeColor="text1"/>
        </w:rPr>
        <w:t xml:space="preserve"> M, Krebs J, </w:t>
      </w:r>
      <w:proofErr w:type="spellStart"/>
      <w:r w:rsidRPr="00D53E19">
        <w:rPr>
          <w:rFonts w:ascii="Book Antiqua" w:hAnsi="Book Antiqua"/>
          <w:color w:val="000000" w:themeColor="text1"/>
        </w:rPr>
        <w:t>Lippuner</w:t>
      </w:r>
      <w:proofErr w:type="spellEnd"/>
      <w:r w:rsidRPr="00D53E19">
        <w:rPr>
          <w:rFonts w:ascii="Book Antiqua" w:hAnsi="Book Antiqua"/>
          <w:color w:val="000000" w:themeColor="text1"/>
        </w:rPr>
        <w:t xml:space="preserve"> K. Long-bone fractures in persons with spinal cord injury. </w:t>
      </w:r>
      <w:r w:rsidRPr="00D53E19">
        <w:rPr>
          <w:rFonts w:ascii="Book Antiqua" w:hAnsi="Book Antiqua"/>
          <w:i/>
          <w:color w:val="000000" w:themeColor="text1"/>
        </w:rPr>
        <w:t>Spinal Cord</w:t>
      </w:r>
      <w:r w:rsidRPr="00D53E19">
        <w:rPr>
          <w:rFonts w:ascii="Book Antiqua" w:hAnsi="Book Antiqua"/>
          <w:color w:val="000000" w:themeColor="text1"/>
        </w:rPr>
        <w:t xml:space="preserve"> 2015; </w:t>
      </w:r>
      <w:r w:rsidRPr="00D53E19">
        <w:rPr>
          <w:rFonts w:ascii="Book Antiqua" w:hAnsi="Book Antiqua"/>
          <w:b/>
          <w:color w:val="000000" w:themeColor="text1"/>
        </w:rPr>
        <w:t>53</w:t>
      </w:r>
      <w:r w:rsidRPr="00D53E19">
        <w:rPr>
          <w:rFonts w:ascii="Book Antiqua" w:hAnsi="Book Antiqua"/>
          <w:color w:val="000000" w:themeColor="text1"/>
        </w:rPr>
        <w:t>: 701-704 [PMID: 25987003 DOI: 10.1038/sc.2015.74]</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27 </w:t>
      </w:r>
      <w:r w:rsidRPr="00D53E19">
        <w:rPr>
          <w:rFonts w:ascii="Book Antiqua" w:hAnsi="Book Antiqua"/>
          <w:b/>
          <w:color w:val="000000" w:themeColor="text1"/>
        </w:rPr>
        <w:t>Sansone JM</w:t>
      </w:r>
      <w:r w:rsidRPr="00D53E19">
        <w:rPr>
          <w:rFonts w:ascii="Book Antiqua" w:hAnsi="Book Antiqua"/>
          <w:color w:val="000000" w:themeColor="text1"/>
        </w:rPr>
        <w:t xml:space="preserve">, Mann D, Noonan K, </w:t>
      </w:r>
      <w:proofErr w:type="spellStart"/>
      <w:r w:rsidRPr="00D53E19">
        <w:rPr>
          <w:rFonts w:ascii="Book Antiqua" w:hAnsi="Book Antiqua"/>
          <w:color w:val="000000" w:themeColor="text1"/>
        </w:rPr>
        <w:t>Mcleish</w:t>
      </w:r>
      <w:proofErr w:type="spellEnd"/>
      <w:r w:rsidRPr="00D53E19">
        <w:rPr>
          <w:rFonts w:ascii="Book Antiqua" w:hAnsi="Book Antiqua"/>
          <w:color w:val="000000" w:themeColor="text1"/>
        </w:rPr>
        <w:t xml:space="preserve"> D, Ward M, Iskandar BJ. Rapid progression of scoliosis following insertion of intrathecal baclofen pump. </w:t>
      </w:r>
      <w:r w:rsidRPr="00D53E19">
        <w:rPr>
          <w:rFonts w:ascii="Book Antiqua" w:hAnsi="Book Antiqua"/>
          <w:i/>
          <w:color w:val="000000" w:themeColor="text1"/>
        </w:rPr>
        <w:t xml:space="preserve">J </w:t>
      </w:r>
      <w:proofErr w:type="spellStart"/>
      <w:r w:rsidRPr="00D53E19">
        <w:rPr>
          <w:rFonts w:ascii="Book Antiqua" w:hAnsi="Book Antiqua"/>
          <w:i/>
          <w:color w:val="000000" w:themeColor="text1"/>
        </w:rPr>
        <w:t>Pediatr</w:t>
      </w:r>
      <w:proofErr w:type="spellEnd"/>
      <w:r w:rsidRPr="00D53E19">
        <w:rPr>
          <w:rFonts w:ascii="Book Antiqua" w:hAnsi="Book Antiqua"/>
          <w:i/>
          <w:color w:val="000000" w:themeColor="text1"/>
        </w:rPr>
        <w:t xml:space="preserve"> </w:t>
      </w:r>
      <w:proofErr w:type="spellStart"/>
      <w:r w:rsidRPr="00D53E19">
        <w:rPr>
          <w:rFonts w:ascii="Book Antiqua" w:hAnsi="Book Antiqua"/>
          <w:i/>
          <w:color w:val="000000" w:themeColor="text1"/>
        </w:rPr>
        <w:t>Orthop</w:t>
      </w:r>
      <w:proofErr w:type="spellEnd"/>
      <w:r w:rsidRPr="00D53E19">
        <w:rPr>
          <w:rFonts w:ascii="Book Antiqua" w:hAnsi="Book Antiqua"/>
          <w:color w:val="000000" w:themeColor="text1"/>
        </w:rPr>
        <w:t xml:space="preserve"> 2006; </w:t>
      </w:r>
      <w:r w:rsidRPr="00D53E19">
        <w:rPr>
          <w:rFonts w:ascii="Book Antiqua" w:hAnsi="Book Antiqua"/>
          <w:b/>
          <w:color w:val="000000" w:themeColor="text1"/>
        </w:rPr>
        <w:t>26</w:t>
      </w:r>
      <w:r w:rsidRPr="00D53E19">
        <w:rPr>
          <w:rFonts w:ascii="Book Antiqua" w:hAnsi="Book Antiqua"/>
          <w:color w:val="000000" w:themeColor="text1"/>
        </w:rPr>
        <w:t>: 125-128 [PMID: 16439916 DOI: 10.1097/01.bpo.0000191555.11326.bd]</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28 </w:t>
      </w:r>
      <w:r w:rsidRPr="00D53E19">
        <w:rPr>
          <w:rFonts w:ascii="Book Antiqua" w:hAnsi="Book Antiqua"/>
          <w:b/>
          <w:color w:val="000000" w:themeColor="text1"/>
        </w:rPr>
        <w:t>Burn SC</w:t>
      </w:r>
      <w:r w:rsidRPr="00D53E19">
        <w:rPr>
          <w:rFonts w:ascii="Book Antiqua" w:hAnsi="Book Antiqua"/>
          <w:color w:val="000000" w:themeColor="text1"/>
        </w:rPr>
        <w:t xml:space="preserve">, Zeller R, Drake JM. Do baclofen pumps influence the development of scoliosis in children? </w:t>
      </w:r>
      <w:r w:rsidRPr="00D53E19">
        <w:rPr>
          <w:rFonts w:ascii="Book Antiqua" w:hAnsi="Book Antiqua"/>
          <w:i/>
          <w:color w:val="000000" w:themeColor="text1"/>
        </w:rPr>
        <w:t xml:space="preserve">J </w:t>
      </w:r>
      <w:proofErr w:type="spellStart"/>
      <w:r w:rsidRPr="00D53E19">
        <w:rPr>
          <w:rFonts w:ascii="Book Antiqua" w:hAnsi="Book Antiqua"/>
          <w:i/>
          <w:color w:val="000000" w:themeColor="text1"/>
        </w:rPr>
        <w:t>Neurosurg</w:t>
      </w:r>
      <w:proofErr w:type="spellEnd"/>
      <w:r w:rsidRPr="00D53E19">
        <w:rPr>
          <w:rFonts w:ascii="Book Antiqua" w:hAnsi="Book Antiqua"/>
          <w:i/>
          <w:color w:val="000000" w:themeColor="text1"/>
        </w:rPr>
        <w:t xml:space="preserve"> </w:t>
      </w:r>
      <w:proofErr w:type="spellStart"/>
      <w:r w:rsidRPr="00D53E19">
        <w:rPr>
          <w:rFonts w:ascii="Book Antiqua" w:hAnsi="Book Antiqua"/>
          <w:i/>
          <w:color w:val="000000" w:themeColor="text1"/>
        </w:rPr>
        <w:t>Pediatr</w:t>
      </w:r>
      <w:proofErr w:type="spellEnd"/>
      <w:r w:rsidRPr="00D53E19">
        <w:rPr>
          <w:rFonts w:ascii="Book Antiqua" w:hAnsi="Book Antiqua"/>
          <w:color w:val="000000" w:themeColor="text1"/>
        </w:rPr>
        <w:t xml:space="preserve"> 2010; </w:t>
      </w:r>
      <w:r w:rsidRPr="00D53E19">
        <w:rPr>
          <w:rFonts w:ascii="Book Antiqua" w:hAnsi="Book Antiqua"/>
          <w:b/>
          <w:color w:val="000000" w:themeColor="text1"/>
        </w:rPr>
        <w:t>5</w:t>
      </w:r>
      <w:r w:rsidRPr="00D53E19">
        <w:rPr>
          <w:rFonts w:ascii="Book Antiqua" w:hAnsi="Book Antiqua"/>
          <w:color w:val="000000" w:themeColor="text1"/>
        </w:rPr>
        <w:t>: 195-199 [PMID: 20121371 DOI: 10.3171/2009.9.PEDS08460]</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29 </w:t>
      </w:r>
      <w:r w:rsidRPr="00D53E19">
        <w:rPr>
          <w:rFonts w:ascii="Book Antiqua" w:hAnsi="Book Antiqua"/>
          <w:b/>
          <w:color w:val="000000" w:themeColor="text1"/>
        </w:rPr>
        <w:t>Panagopoulos D</w:t>
      </w:r>
      <w:r w:rsidRPr="00D53E19">
        <w:rPr>
          <w:rFonts w:ascii="Book Antiqua" w:hAnsi="Book Antiqua"/>
          <w:color w:val="000000" w:themeColor="text1"/>
        </w:rPr>
        <w:t xml:space="preserve">, </w:t>
      </w:r>
      <w:proofErr w:type="spellStart"/>
      <w:r w:rsidRPr="00D53E19">
        <w:rPr>
          <w:rFonts w:ascii="Book Antiqua" w:hAnsi="Book Antiqua"/>
          <w:color w:val="000000" w:themeColor="text1"/>
        </w:rPr>
        <w:t>Apostolopoulou</w:t>
      </w:r>
      <w:proofErr w:type="spellEnd"/>
      <w:r w:rsidRPr="00D53E19">
        <w:rPr>
          <w:rFonts w:ascii="Book Antiqua" w:hAnsi="Book Antiqua"/>
          <w:color w:val="000000" w:themeColor="text1"/>
        </w:rPr>
        <w:t xml:space="preserve"> K, </w:t>
      </w:r>
      <w:proofErr w:type="spellStart"/>
      <w:r w:rsidRPr="00D53E19">
        <w:rPr>
          <w:rFonts w:ascii="Book Antiqua" w:hAnsi="Book Antiqua"/>
          <w:color w:val="000000" w:themeColor="text1"/>
        </w:rPr>
        <w:t>Themistocleous</w:t>
      </w:r>
      <w:proofErr w:type="spellEnd"/>
      <w:r w:rsidRPr="00D53E19">
        <w:rPr>
          <w:rFonts w:ascii="Book Antiqua" w:hAnsi="Book Antiqua"/>
          <w:color w:val="000000" w:themeColor="text1"/>
        </w:rPr>
        <w:t xml:space="preserve"> M. Severe Neuromuscular Scoliosis Implicated by Dysfunction of Intrathecal Baclofen Pump: Case Report and </w:t>
      </w:r>
      <w:r w:rsidRPr="00D53E19">
        <w:rPr>
          <w:rFonts w:ascii="Book Antiqua" w:hAnsi="Book Antiqua"/>
          <w:color w:val="000000" w:themeColor="text1"/>
        </w:rPr>
        <w:lastRenderedPageBreak/>
        <w:t xml:space="preserve">Review of the Literature. </w:t>
      </w:r>
      <w:r w:rsidRPr="00D53E19">
        <w:rPr>
          <w:rFonts w:ascii="Book Antiqua" w:hAnsi="Book Antiqua"/>
          <w:i/>
          <w:color w:val="000000" w:themeColor="text1"/>
        </w:rPr>
        <w:t xml:space="preserve">World </w:t>
      </w:r>
      <w:proofErr w:type="spellStart"/>
      <w:r w:rsidRPr="00D53E19">
        <w:rPr>
          <w:rFonts w:ascii="Book Antiqua" w:hAnsi="Book Antiqua"/>
          <w:i/>
          <w:color w:val="000000" w:themeColor="text1"/>
        </w:rPr>
        <w:t>Neurosurg</w:t>
      </w:r>
      <w:proofErr w:type="spellEnd"/>
      <w:r w:rsidRPr="00D53E19">
        <w:rPr>
          <w:rFonts w:ascii="Book Antiqua" w:hAnsi="Book Antiqua"/>
          <w:color w:val="000000" w:themeColor="text1"/>
        </w:rPr>
        <w:t xml:space="preserve"> 2020; </w:t>
      </w:r>
      <w:r w:rsidRPr="00D53E19">
        <w:rPr>
          <w:rFonts w:ascii="Book Antiqua" w:hAnsi="Book Antiqua"/>
          <w:b/>
          <w:color w:val="000000" w:themeColor="text1"/>
        </w:rPr>
        <w:t>134</w:t>
      </w:r>
      <w:r w:rsidRPr="00D53E19">
        <w:rPr>
          <w:rFonts w:ascii="Book Antiqua" w:hAnsi="Book Antiqua"/>
          <w:color w:val="000000" w:themeColor="text1"/>
        </w:rPr>
        <w:t>: 390-395 [PMID: 31733394 DOI: 10.1016/j.wneu.2019.11.027]</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30 </w:t>
      </w:r>
      <w:proofErr w:type="spellStart"/>
      <w:r w:rsidRPr="00D53E19">
        <w:rPr>
          <w:rFonts w:ascii="Book Antiqua" w:hAnsi="Book Antiqua"/>
          <w:b/>
          <w:color w:val="000000" w:themeColor="text1"/>
        </w:rPr>
        <w:t>Sarioglu</w:t>
      </w:r>
      <w:proofErr w:type="spellEnd"/>
      <w:r w:rsidRPr="00D53E19">
        <w:rPr>
          <w:rFonts w:ascii="Book Antiqua" w:hAnsi="Book Antiqua"/>
          <w:b/>
          <w:color w:val="000000" w:themeColor="text1"/>
        </w:rPr>
        <w:t xml:space="preserve"> O</w:t>
      </w:r>
      <w:r w:rsidRPr="00D53E19">
        <w:rPr>
          <w:rFonts w:ascii="Book Antiqua" w:hAnsi="Book Antiqua"/>
          <w:color w:val="000000" w:themeColor="text1"/>
        </w:rPr>
        <w:t xml:space="preserve">, Gezer S, </w:t>
      </w:r>
      <w:proofErr w:type="spellStart"/>
      <w:r w:rsidRPr="00D53E19">
        <w:rPr>
          <w:rFonts w:ascii="Book Antiqua" w:hAnsi="Book Antiqua"/>
          <w:color w:val="000000" w:themeColor="text1"/>
        </w:rPr>
        <w:t>Sarioglu</w:t>
      </w:r>
      <w:proofErr w:type="spellEnd"/>
      <w:r w:rsidRPr="00D53E19">
        <w:rPr>
          <w:rFonts w:ascii="Book Antiqua" w:hAnsi="Book Antiqua"/>
          <w:color w:val="000000" w:themeColor="text1"/>
        </w:rPr>
        <w:t xml:space="preserve"> FC, </w:t>
      </w:r>
      <w:proofErr w:type="spellStart"/>
      <w:r w:rsidRPr="00D53E19">
        <w:rPr>
          <w:rFonts w:ascii="Book Antiqua" w:hAnsi="Book Antiqua"/>
          <w:color w:val="000000" w:themeColor="text1"/>
        </w:rPr>
        <w:t>Koremezli</w:t>
      </w:r>
      <w:proofErr w:type="spellEnd"/>
      <w:r w:rsidRPr="00D53E19">
        <w:rPr>
          <w:rFonts w:ascii="Book Antiqua" w:hAnsi="Book Antiqua"/>
          <w:color w:val="000000" w:themeColor="text1"/>
        </w:rPr>
        <w:t xml:space="preserve"> N, Kara T, </w:t>
      </w:r>
      <w:proofErr w:type="spellStart"/>
      <w:r w:rsidRPr="00D53E19">
        <w:rPr>
          <w:rFonts w:ascii="Book Antiqua" w:hAnsi="Book Antiqua"/>
          <w:color w:val="000000" w:themeColor="text1"/>
        </w:rPr>
        <w:t>Akcali</w:t>
      </w:r>
      <w:proofErr w:type="spellEnd"/>
      <w:r w:rsidRPr="00D53E19">
        <w:rPr>
          <w:rFonts w:ascii="Book Antiqua" w:hAnsi="Book Antiqua"/>
          <w:color w:val="000000" w:themeColor="text1"/>
        </w:rPr>
        <w:t xml:space="preserve"> O, </w:t>
      </w:r>
      <w:proofErr w:type="spellStart"/>
      <w:r w:rsidRPr="00D53E19">
        <w:rPr>
          <w:rFonts w:ascii="Book Antiqua" w:hAnsi="Book Antiqua"/>
          <w:color w:val="000000" w:themeColor="text1"/>
        </w:rPr>
        <w:t>Ozaksoy</w:t>
      </w:r>
      <w:proofErr w:type="spellEnd"/>
      <w:r w:rsidRPr="00D53E19">
        <w:rPr>
          <w:rFonts w:ascii="Book Antiqua" w:hAnsi="Book Antiqua"/>
          <w:color w:val="000000" w:themeColor="text1"/>
        </w:rPr>
        <w:t xml:space="preserve"> D, </w:t>
      </w:r>
      <w:proofErr w:type="spellStart"/>
      <w:r w:rsidRPr="00D53E19">
        <w:rPr>
          <w:rFonts w:ascii="Book Antiqua" w:hAnsi="Book Antiqua"/>
          <w:color w:val="000000" w:themeColor="text1"/>
        </w:rPr>
        <w:t>Balci</w:t>
      </w:r>
      <w:proofErr w:type="spellEnd"/>
      <w:r w:rsidRPr="00D53E19">
        <w:rPr>
          <w:rFonts w:ascii="Book Antiqua" w:hAnsi="Book Antiqua"/>
          <w:color w:val="000000" w:themeColor="text1"/>
        </w:rPr>
        <w:t xml:space="preserve"> A. Evaluation of vertebral bone mineral density in scoliosis by using quantitative computed tomography. </w:t>
      </w:r>
      <w:r w:rsidRPr="00D53E19">
        <w:rPr>
          <w:rFonts w:ascii="Book Antiqua" w:hAnsi="Book Antiqua"/>
          <w:i/>
          <w:color w:val="000000" w:themeColor="text1"/>
        </w:rPr>
        <w:t xml:space="preserve">Pol J </w:t>
      </w:r>
      <w:proofErr w:type="spellStart"/>
      <w:r w:rsidRPr="00D53E19">
        <w:rPr>
          <w:rFonts w:ascii="Book Antiqua" w:hAnsi="Book Antiqua"/>
          <w:i/>
          <w:color w:val="000000" w:themeColor="text1"/>
        </w:rPr>
        <w:t>Radiol</w:t>
      </w:r>
      <w:proofErr w:type="spellEnd"/>
      <w:r w:rsidRPr="00D53E19">
        <w:rPr>
          <w:rFonts w:ascii="Book Antiqua" w:hAnsi="Book Antiqua"/>
          <w:color w:val="000000" w:themeColor="text1"/>
        </w:rPr>
        <w:t xml:space="preserve"> 2019; </w:t>
      </w:r>
      <w:r w:rsidRPr="00D53E19">
        <w:rPr>
          <w:rFonts w:ascii="Book Antiqua" w:hAnsi="Book Antiqua"/>
          <w:b/>
          <w:color w:val="000000" w:themeColor="text1"/>
        </w:rPr>
        <w:t>84</w:t>
      </w:r>
      <w:r w:rsidRPr="00D53E19">
        <w:rPr>
          <w:rFonts w:ascii="Book Antiqua" w:hAnsi="Book Antiqua"/>
          <w:color w:val="000000" w:themeColor="text1"/>
        </w:rPr>
        <w:t>: e131-e135 [PMID: 31019606 DOI: 10.5114/pjr.2019.84060]</w:t>
      </w:r>
    </w:p>
    <w:p w:rsidR="00766CE2" w:rsidRPr="00D53E19" w:rsidRDefault="00766CE2" w:rsidP="00D53E19">
      <w:pPr>
        <w:adjustRightInd w:val="0"/>
        <w:snapToGrid w:val="0"/>
        <w:spacing w:line="360" w:lineRule="auto"/>
        <w:jc w:val="both"/>
        <w:rPr>
          <w:rFonts w:ascii="Book Antiqua" w:hAnsi="Book Antiqua"/>
          <w:color w:val="000000" w:themeColor="text1"/>
          <w:lang w:eastAsia="zh-CN"/>
        </w:rPr>
        <w:sectPr w:rsidR="00766CE2" w:rsidRPr="00D53E19">
          <w:pgSz w:w="12240" w:h="15840"/>
          <w:pgMar w:top="1440" w:right="1440" w:bottom="1440" w:left="1440" w:header="720" w:footer="720" w:gutter="0"/>
          <w:cols w:space="720"/>
          <w:docGrid w:linePitch="360"/>
        </w:sect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lastRenderedPageBreak/>
        <w:t>Footnotes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Informed consent statement: </w:t>
      </w:r>
      <w:r w:rsidRPr="00D53E19">
        <w:rPr>
          <w:rFonts w:ascii="Book Antiqua" w:eastAsia="Book Antiqua" w:hAnsi="Book Antiqua" w:cs="Book Antiqua"/>
          <w:color w:val="000000" w:themeColor="text1"/>
        </w:rPr>
        <w:t xml:space="preserve">Informed written consent was </w:t>
      </w:r>
      <w:r w:rsidR="00916971" w:rsidRPr="00D53E19">
        <w:rPr>
          <w:rFonts w:ascii="Book Antiqua" w:eastAsia="Book Antiqua" w:hAnsi="Book Antiqua" w:cs="Book Antiqua"/>
          <w:color w:val="000000" w:themeColor="text1"/>
        </w:rPr>
        <w:t>obtained</w:t>
      </w:r>
      <w:r w:rsidRPr="00D53E19">
        <w:rPr>
          <w:rFonts w:ascii="Book Antiqua" w:eastAsia="Book Antiqua" w:hAnsi="Book Antiqua" w:cs="Book Antiqua"/>
          <w:color w:val="000000" w:themeColor="text1"/>
        </w:rPr>
        <w: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Conflict-of-interest statement:</w:t>
      </w:r>
      <w:r w:rsidR="00766CE2" w:rsidRPr="00D53E19">
        <w:rPr>
          <w:rFonts w:ascii="Book Antiqua" w:eastAsia="Book Antiqua" w:hAnsi="Book Antiqua" w:cs="Book Antiqua"/>
          <w:b/>
          <w:bCs/>
          <w:color w:val="000000" w:themeColor="text1"/>
        </w:rPr>
        <w:t xml:space="preserve"> </w:t>
      </w:r>
      <w:r w:rsidRPr="00D53E19">
        <w:rPr>
          <w:rFonts w:ascii="Book Antiqua" w:eastAsia="Book Antiqua" w:hAnsi="Book Antiqua" w:cs="Book Antiqua"/>
          <w:color w:val="000000" w:themeColor="text1"/>
        </w:rPr>
        <w:t>No conflict of interest.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CARE Checklist (2016) statement: </w:t>
      </w:r>
      <w:r w:rsidRPr="00D53E19">
        <w:rPr>
          <w:rFonts w:ascii="Book Antiqua" w:eastAsia="Book Antiqua" w:hAnsi="Book Antiqua" w:cs="Book Antiqua"/>
          <w:color w:val="000000" w:themeColor="text1"/>
        </w:rPr>
        <w:t>The authors have read the CARE Checklist (2016), and the manuscript was prepared and revised according to the CARE Checklist (2016).</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Open-Access: </w:t>
      </w:r>
      <w:r w:rsidRPr="00D53E1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53E19">
        <w:rPr>
          <w:rFonts w:ascii="Book Antiqua" w:eastAsia="Book Antiqua" w:hAnsi="Book Antiqua" w:cs="Book Antiqua"/>
          <w:color w:val="000000" w:themeColor="text1"/>
        </w:rPr>
        <w:t>NonCommercial</w:t>
      </w:r>
      <w:proofErr w:type="spellEnd"/>
      <w:r w:rsidRPr="00D53E1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Manuscript source: </w:t>
      </w:r>
      <w:r w:rsidRPr="00D53E19">
        <w:rPr>
          <w:rFonts w:ascii="Book Antiqua" w:eastAsia="Book Antiqua" w:hAnsi="Book Antiqua" w:cs="Book Antiqua"/>
          <w:color w:val="000000" w:themeColor="text1"/>
        </w:rPr>
        <w:t xml:space="preserve">Unsolicited </w:t>
      </w:r>
      <w:r w:rsidR="00A66B9D" w:rsidRPr="00D53E19">
        <w:rPr>
          <w:rFonts w:ascii="Book Antiqua" w:eastAsia="Book Antiqua" w:hAnsi="Book Antiqua" w:cs="Book Antiqua"/>
          <w:color w:val="000000" w:themeColor="text1"/>
        </w:rPr>
        <w:t>m</w:t>
      </w:r>
      <w:r w:rsidRPr="00D53E19">
        <w:rPr>
          <w:rFonts w:ascii="Book Antiqua" w:eastAsia="Book Antiqua" w:hAnsi="Book Antiqua" w:cs="Book Antiqua"/>
          <w:color w:val="000000" w:themeColor="text1"/>
        </w:rPr>
        <w:t>anuscript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Peer-review started: </w:t>
      </w:r>
      <w:r w:rsidRPr="00D53E19">
        <w:rPr>
          <w:rFonts w:ascii="Book Antiqua" w:eastAsia="Book Antiqua" w:hAnsi="Book Antiqua" w:cs="Book Antiqua"/>
          <w:color w:val="000000" w:themeColor="text1"/>
        </w:rPr>
        <w:t>June 2, 2020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First decision: </w:t>
      </w:r>
      <w:r w:rsidRPr="00D53E19">
        <w:rPr>
          <w:rFonts w:ascii="Book Antiqua" w:eastAsia="Book Antiqua" w:hAnsi="Book Antiqua" w:cs="Book Antiqua"/>
          <w:color w:val="000000" w:themeColor="text1"/>
        </w:rPr>
        <w:t>July 4, 2020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Article in press: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Specialty type: </w:t>
      </w:r>
      <w:r w:rsidRPr="00D53E19">
        <w:rPr>
          <w:rFonts w:ascii="Book Antiqua" w:eastAsia="Book Antiqua" w:hAnsi="Book Antiqua" w:cs="Book Antiqua"/>
          <w:color w:val="000000" w:themeColor="text1"/>
        </w:rPr>
        <w:t xml:space="preserve">Clinical </w:t>
      </w:r>
      <w:r w:rsidR="00A66B9D" w:rsidRPr="00D53E19">
        <w:rPr>
          <w:rFonts w:ascii="Book Antiqua" w:eastAsia="Book Antiqua" w:hAnsi="Book Antiqua" w:cs="Book Antiqua"/>
          <w:color w:val="000000" w:themeColor="text1"/>
        </w:rPr>
        <w:t>n</w:t>
      </w:r>
      <w:r w:rsidRPr="00D53E19">
        <w:rPr>
          <w:rFonts w:ascii="Book Antiqua" w:eastAsia="Book Antiqua" w:hAnsi="Book Antiqua" w:cs="Book Antiqua"/>
          <w:color w:val="000000" w:themeColor="text1"/>
        </w:rPr>
        <w:t>eurology</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Country/Territory of origin: </w:t>
      </w:r>
      <w:r w:rsidRPr="00D53E19">
        <w:rPr>
          <w:rFonts w:ascii="Book Antiqua" w:eastAsia="Book Antiqua" w:hAnsi="Book Antiqua" w:cs="Book Antiqua"/>
          <w:color w:val="000000" w:themeColor="text1"/>
        </w:rPr>
        <w:t>United States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Peer-review report’s scientific quality classification</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Grade A (Excellent): A</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Grade B (Very good): B</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Grade C (Good): 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Grade D (Fair): 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Grade E (Poor): 0</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0B4FA9" w:rsidRPr="00D53E19" w:rsidRDefault="00825EE6" w:rsidP="00D53E19">
      <w:pPr>
        <w:adjustRightInd w:val="0"/>
        <w:snapToGrid w:val="0"/>
        <w:spacing w:line="360" w:lineRule="auto"/>
        <w:jc w:val="both"/>
        <w:rPr>
          <w:rFonts w:ascii="Book Antiqua" w:hAnsi="Book Antiqua" w:cs="Book Antiqua"/>
          <w:b/>
          <w:color w:val="000000" w:themeColor="text1"/>
          <w:lang w:eastAsia="zh-CN"/>
        </w:rPr>
      </w:pPr>
      <w:r w:rsidRPr="00D53E19">
        <w:rPr>
          <w:rFonts w:ascii="Book Antiqua" w:eastAsia="Book Antiqua" w:hAnsi="Book Antiqua" w:cs="Book Antiqua"/>
          <w:b/>
          <w:color w:val="000000" w:themeColor="text1"/>
        </w:rPr>
        <w:t xml:space="preserve">P-Reviewer: </w:t>
      </w:r>
      <w:r w:rsidRPr="00D53E19">
        <w:rPr>
          <w:rFonts w:ascii="Book Antiqua" w:eastAsia="Book Antiqua" w:hAnsi="Book Antiqua" w:cs="Book Antiqua"/>
          <w:color w:val="000000" w:themeColor="text1"/>
        </w:rPr>
        <w:t>Ding JX</w:t>
      </w:r>
      <w:r w:rsidRPr="00D53E19">
        <w:rPr>
          <w:rFonts w:ascii="Book Antiqua" w:eastAsia="Book Antiqua" w:hAnsi="Book Antiqua" w:cs="Book Antiqua"/>
          <w:b/>
          <w:color w:val="000000" w:themeColor="text1"/>
        </w:rPr>
        <w:t xml:space="preserve"> S-Editor: </w:t>
      </w:r>
      <w:r w:rsidRPr="00D53E19">
        <w:rPr>
          <w:rFonts w:ascii="Book Antiqua" w:eastAsia="Book Antiqua" w:hAnsi="Book Antiqua" w:cs="Book Antiqua"/>
          <w:color w:val="000000" w:themeColor="text1"/>
        </w:rPr>
        <w:t>Wang JL</w:t>
      </w:r>
      <w:r w:rsidRPr="00D53E19">
        <w:rPr>
          <w:rFonts w:ascii="Book Antiqua" w:eastAsia="Book Antiqua" w:hAnsi="Book Antiqua" w:cs="Book Antiqua"/>
          <w:b/>
          <w:color w:val="000000" w:themeColor="text1"/>
        </w:rPr>
        <w:t xml:space="preserve"> L-Editor:</w:t>
      </w:r>
      <w:r w:rsidR="00766CE2" w:rsidRPr="00D53E19">
        <w:rPr>
          <w:rFonts w:ascii="Book Antiqua" w:eastAsia="Book Antiqua" w:hAnsi="Book Antiqua" w:cs="Book Antiqua"/>
          <w:b/>
          <w:color w:val="000000" w:themeColor="text1"/>
        </w:rPr>
        <w:t xml:space="preserve"> </w:t>
      </w:r>
      <w:r w:rsidRPr="00D53E19">
        <w:rPr>
          <w:rFonts w:ascii="Book Antiqua" w:eastAsia="Book Antiqua" w:hAnsi="Book Antiqua" w:cs="Book Antiqua"/>
          <w:b/>
          <w:color w:val="000000" w:themeColor="text1"/>
        </w:rPr>
        <w:t xml:space="preserve">P-Editor: </w:t>
      </w:r>
    </w:p>
    <w:p w:rsidR="008E419F" w:rsidRPr="00D53E19" w:rsidRDefault="008E419F" w:rsidP="00D53E19">
      <w:pPr>
        <w:adjustRightInd w:val="0"/>
        <w:snapToGrid w:val="0"/>
        <w:spacing w:line="360" w:lineRule="auto"/>
        <w:jc w:val="both"/>
        <w:rPr>
          <w:rFonts w:ascii="Book Antiqua" w:hAnsi="Book Antiqua" w:cs="Book Antiqua"/>
          <w:b/>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Figure Legends</w:t>
      </w:r>
    </w:p>
    <w:p w:rsidR="000B4FA9" w:rsidRPr="00D53E19" w:rsidRDefault="000B4FA9" w:rsidP="00D53E19">
      <w:pPr>
        <w:adjustRightInd w:val="0"/>
        <w:snapToGrid w:val="0"/>
        <w:spacing w:line="360" w:lineRule="auto"/>
        <w:jc w:val="both"/>
        <w:rPr>
          <w:rFonts w:ascii="Book Antiqua" w:hAnsi="Book Antiqua" w:cs="Book Antiqua"/>
          <w:b/>
          <w:bCs/>
          <w:color w:val="000000" w:themeColor="text1"/>
          <w:lang w:eastAsia="zh-CN"/>
        </w:rPr>
      </w:pPr>
      <w:r w:rsidRPr="00D53E19">
        <w:rPr>
          <w:rFonts w:ascii="Book Antiqua" w:hAnsi="Book Antiqua"/>
          <w:noProof/>
          <w:lang w:eastAsia="zh-CN"/>
        </w:rPr>
        <w:drawing>
          <wp:inline distT="0" distB="0" distL="0" distR="0" wp14:anchorId="0FDE16B2" wp14:editId="561951A0">
            <wp:extent cx="5285714" cy="31523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85714" cy="3152381"/>
                    </a:xfrm>
                    <a:prstGeom prst="rect">
                      <a:avLst/>
                    </a:prstGeom>
                  </pic:spPr>
                </pic:pic>
              </a:graphicData>
            </a:graphic>
          </wp:inline>
        </w:drawing>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Figure 1</w:t>
      </w:r>
      <w:r w:rsidR="000B4FA9" w:rsidRPr="00D53E19">
        <w:rPr>
          <w:rFonts w:ascii="Book Antiqua" w:hAnsi="Book Antiqua" w:cs="Book Antiqua"/>
          <w:b/>
          <w:bCs/>
          <w:color w:val="000000" w:themeColor="text1"/>
          <w:lang w:eastAsia="zh-CN"/>
        </w:rPr>
        <w:t xml:space="preserve"> </w:t>
      </w:r>
      <w:r w:rsidRPr="00D53E19">
        <w:rPr>
          <w:rFonts w:ascii="Book Antiqua" w:eastAsia="Book Antiqua" w:hAnsi="Book Antiqua" w:cs="Book Antiqua"/>
          <w:b/>
          <w:color w:val="000000" w:themeColor="text1"/>
        </w:rPr>
        <w:t>Regional right knee scan for case using GE software (Encore v.16)</w:t>
      </w:r>
      <w:r w:rsidR="000B4FA9" w:rsidRPr="00D53E19">
        <w:rPr>
          <w:rFonts w:ascii="Book Antiqua" w:hAnsi="Book Antiqua" w:cs="Book Antiqua"/>
          <w:b/>
          <w:color w:val="000000" w:themeColor="text1"/>
          <w:lang w:eastAsia="zh-CN"/>
        </w:rPr>
        <w:t>.</w:t>
      </w:r>
      <w:r w:rsidRPr="00D53E19">
        <w:rPr>
          <w:rFonts w:ascii="Book Antiqua" w:eastAsia="Book Antiqua" w:hAnsi="Book Antiqua" w:cs="Book Antiqua"/>
          <w:color w:val="000000" w:themeColor="text1"/>
        </w:rPr>
        <w:t xml:space="preserve"> </w:t>
      </w:r>
      <w:r w:rsidR="00E5469C" w:rsidRPr="00D53E19">
        <w:rPr>
          <w:rFonts w:ascii="Book Antiqua" w:hAnsi="Book Antiqua" w:cs="Book Antiqua"/>
          <w:color w:val="000000" w:themeColor="text1"/>
          <w:lang w:eastAsia="zh-CN"/>
        </w:rPr>
        <w:t>A:</w:t>
      </w:r>
      <w:r w:rsidRPr="00D53E19">
        <w:rPr>
          <w:rFonts w:ascii="Book Antiqua" w:eastAsia="Book Antiqua" w:hAnsi="Book Antiqua" w:cs="Book Antiqua"/>
          <w:color w:val="000000" w:themeColor="text1"/>
        </w:rPr>
        <w:t xml:space="preserve"> </w:t>
      </w:r>
      <w:r w:rsidR="00E5469C" w:rsidRPr="00D53E19">
        <w:rPr>
          <w:rFonts w:ascii="Book Antiqua" w:eastAsia="Book Antiqua" w:hAnsi="Book Antiqua" w:cs="Book Antiqua"/>
          <w:color w:val="000000" w:themeColor="text1"/>
        </w:rPr>
        <w:t xml:space="preserve">Initially </w:t>
      </w:r>
      <w:r w:rsidRPr="00D53E19">
        <w:rPr>
          <w:rFonts w:ascii="Book Antiqua" w:eastAsia="Book Antiqua" w:hAnsi="Book Antiqua" w:cs="Book Antiqua"/>
          <w:color w:val="000000" w:themeColor="text1"/>
        </w:rPr>
        <w:t>detected knee (un-brushed) wit</w:t>
      </w:r>
      <w:r w:rsidR="00E5469C" w:rsidRPr="00D53E19">
        <w:rPr>
          <w:rFonts w:ascii="Book Antiqua" w:eastAsia="Book Antiqua" w:hAnsi="Book Antiqua" w:cs="Book Antiqua"/>
          <w:color w:val="000000" w:themeColor="text1"/>
        </w:rPr>
        <w:t>h many un-assigned bone pixels</w:t>
      </w:r>
      <w:r w:rsidR="00E5469C" w:rsidRPr="00D53E19">
        <w:rPr>
          <w:rFonts w:ascii="Book Antiqua" w:hAnsi="Book Antiqua" w:cs="Book Antiqua"/>
          <w:color w:val="000000" w:themeColor="text1"/>
          <w:lang w:eastAsia="zh-CN"/>
        </w:rPr>
        <w:t xml:space="preserve">; </w:t>
      </w:r>
      <w:r w:rsidR="00E5469C" w:rsidRPr="00D53E19">
        <w:rPr>
          <w:rFonts w:ascii="Book Antiqua" w:eastAsia="Book Antiqua" w:hAnsi="Book Antiqua" w:cs="Book Antiqua"/>
          <w:color w:val="000000" w:themeColor="text1"/>
        </w:rPr>
        <w:t>B</w:t>
      </w:r>
      <w:r w:rsidR="00E5469C"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E5469C" w:rsidRPr="00D53E19">
        <w:rPr>
          <w:rFonts w:ascii="Book Antiqua" w:eastAsia="Book Antiqua" w:hAnsi="Book Antiqua" w:cs="Book Antiqua"/>
          <w:color w:val="000000" w:themeColor="text1"/>
        </w:rPr>
        <w:t xml:space="preserve">Corrected </w:t>
      </w:r>
      <w:r w:rsidRPr="00D53E19">
        <w:rPr>
          <w:rFonts w:ascii="Book Antiqua" w:eastAsia="Book Antiqua" w:hAnsi="Book Antiqua" w:cs="Book Antiqua"/>
          <w:color w:val="000000" w:themeColor="text1"/>
        </w:rPr>
        <w:t>(brushed) image of the knee scan</w:t>
      </w:r>
      <w:r w:rsidR="00376DC6" w:rsidRPr="00D53E19">
        <w:rPr>
          <w:rFonts w:ascii="Book Antiqua" w:eastAsia="Book Antiqua" w:hAnsi="Book Antiqua" w:cs="Book Antiqua"/>
          <w:color w:val="000000" w:themeColor="text1"/>
        </w:rPr>
        <w:t xml:space="preserve"> with four regions of interest</w:t>
      </w:r>
      <w:r w:rsidR="00376DC6"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DFM</w:t>
      </w:r>
      <w:r w:rsidR="00D524ED" w:rsidRPr="00D53E19">
        <w:rPr>
          <w:rFonts w:ascii="Book Antiqua" w:hAnsi="Book Antiqua" w:cs="Book Antiqua"/>
          <w:color w:val="000000" w:themeColor="text1"/>
          <w:lang w:eastAsia="zh-CN"/>
        </w:rPr>
        <w:t>:</w:t>
      </w:r>
      <w:r w:rsidR="00D524ED"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Distal </w:t>
      </w:r>
      <w:r w:rsidR="00D524ED" w:rsidRPr="00D53E19">
        <w:rPr>
          <w:rFonts w:ascii="Book Antiqua" w:eastAsia="Book Antiqua" w:hAnsi="Book Antiqua" w:cs="Book Antiqua"/>
          <w:color w:val="000000" w:themeColor="text1"/>
        </w:rPr>
        <w:t>femur metaphysis</w:t>
      </w:r>
      <w:r w:rsidR="00D524ED"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DFE</w:t>
      </w:r>
      <w:r w:rsidR="00D524ED"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Distal </w:t>
      </w:r>
      <w:r w:rsidR="00D524ED" w:rsidRPr="00D53E19">
        <w:rPr>
          <w:rFonts w:ascii="Book Antiqua" w:eastAsia="Book Antiqua" w:hAnsi="Book Antiqua" w:cs="Book Antiqua"/>
          <w:color w:val="000000" w:themeColor="text1"/>
        </w:rPr>
        <w:t>femur epiphysis</w:t>
      </w:r>
      <w:r w:rsidR="00D524ED"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PTE</w:t>
      </w:r>
      <w:r w:rsidR="00D524ED"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Proximal </w:t>
      </w:r>
      <w:r w:rsidR="00D524ED" w:rsidRPr="00D53E19">
        <w:rPr>
          <w:rFonts w:ascii="Book Antiqua" w:eastAsia="Book Antiqua" w:hAnsi="Book Antiqua" w:cs="Book Antiqua"/>
          <w:color w:val="000000" w:themeColor="text1"/>
        </w:rPr>
        <w:t>tibia epiphysis</w:t>
      </w:r>
      <w:r w:rsidR="00D524ED"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524ED" w:rsidRPr="00D53E19">
        <w:rPr>
          <w:rFonts w:ascii="Book Antiqua" w:eastAsia="Book Antiqua" w:hAnsi="Book Antiqua" w:cs="Book Antiqua"/>
          <w:color w:val="000000" w:themeColor="text1"/>
        </w:rPr>
        <w:t>PTM</w:t>
      </w:r>
      <w:r w:rsidR="00D524ED"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Proximal </w:t>
      </w:r>
      <w:r w:rsidR="00D524ED" w:rsidRPr="00D53E19">
        <w:rPr>
          <w:rFonts w:ascii="Book Antiqua" w:eastAsia="Book Antiqua" w:hAnsi="Book Antiqua" w:cs="Book Antiqua"/>
          <w:color w:val="000000" w:themeColor="text1"/>
        </w:rPr>
        <w:t>tibia metaphysis</w:t>
      </w:r>
      <w:r w:rsidRPr="00D53E19">
        <w:rPr>
          <w:rFonts w:ascii="Book Antiqua" w:eastAsia="Book Antiqua" w:hAnsi="Book Antiqua" w:cs="Book Antiqua"/>
          <w:color w:val="000000" w:themeColor="text1"/>
        </w:rPr>
        <w:t xml:space="preserve">.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096D5F" w:rsidRPr="00D53E19" w:rsidRDefault="00096D5F" w:rsidP="00D53E19">
      <w:pPr>
        <w:adjustRightInd w:val="0"/>
        <w:snapToGrid w:val="0"/>
        <w:spacing w:line="360" w:lineRule="auto"/>
        <w:jc w:val="both"/>
        <w:rPr>
          <w:rFonts w:ascii="Book Antiqua" w:hAnsi="Book Antiqua" w:cs="Book Antiqua"/>
          <w:b/>
          <w:bCs/>
          <w:color w:val="000000" w:themeColor="text1"/>
          <w:lang w:eastAsia="zh-CN"/>
        </w:rPr>
      </w:pPr>
      <w:r w:rsidRPr="00D53E19">
        <w:rPr>
          <w:rFonts w:ascii="Book Antiqua" w:hAnsi="Book Antiqua"/>
          <w:noProof/>
          <w:lang w:eastAsia="zh-CN"/>
        </w:rPr>
        <w:lastRenderedPageBreak/>
        <w:drawing>
          <wp:inline distT="0" distB="0" distL="0" distR="0" wp14:anchorId="245D5259" wp14:editId="2B2CF766">
            <wp:extent cx="5486400" cy="381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810000"/>
                    </a:xfrm>
                    <a:prstGeom prst="rect">
                      <a:avLst/>
                    </a:prstGeom>
                  </pic:spPr>
                </pic:pic>
              </a:graphicData>
            </a:graphic>
          </wp:inline>
        </w:drawing>
      </w:r>
    </w:p>
    <w:p w:rsidR="00A11D54"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color w:val="000000" w:themeColor="text1"/>
        </w:rPr>
        <w:t>Figure 2</w:t>
      </w:r>
      <w:r w:rsidR="000B4FA9" w:rsidRPr="00D53E19">
        <w:rPr>
          <w:rFonts w:ascii="Book Antiqua" w:hAnsi="Book Antiqua" w:cs="Book Antiqua"/>
          <w:b/>
          <w:color w:val="000000" w:themeColor="text1"/>
          <w:lang w:eastAsia="zh-CN"/>
        </w:rPr>
        <w:t xml:space="preserve"> </w:t>
      </w:r>
      <w:r w:rsidRPr="00D53E19">
        <w:rPr>
          <w:rFonts w:ascii="Book Antiqua" w:eastAsia="Book Antiqua" w:hAnsi="Book Antiqua" w:cs="Book Antiqua"/>
          <w:b/>
          <w:color w:val="000000" w:themeColor="text1"/>
        </w:rPr>
        <w:t xml:space="preserve">Bar plot for </w:t>
      </w:r>
      <w:r w:rsidR="00A11D54" w:rsidRPr="00D53E19">
        <w:rPr>
          <w:rFonts w:ascii="Book Antiqua" w:eastAsia="Book Antiqua" w:hAnsi="Book Antiqua" w:cs="Book Antiqua"/>
          <w:b/>
          <w:color w:val="000000" w:themeColor="text1"/>
        </w:rPr>
        <w:t xml:space="preserve">bone mineral density </w:t>
      </w:r>
      <w:r w:rsidRPr="00D53E19">
        <w:rPr>
          <w:rFonts w:ascii="Book Antiqua" w:eastAsia="Book Antiqua" w:hAnsi="Book Antiqua" w:cs="Book Antiqua"/>
          <w:b/>
          <w:color w:val="000000" w:themeColor="text1"/>
        </w:rPr>
        <w:t>(g/cm</w:t>
      </w:r>
      <w:r w:rsidRPr="00D53E19">
        <w:rPr>
          <w:rFonts w:ascii="Book Antiqua" w:eastAsia="Book Antiqua" w:hAnsi="Book Antiqua" w:cs="Book Antiqua"/>
          <w:b/>
          <w:color w:val="000000" w:themeColor="text1"/>
          <w:vertAlign w:val="superscript"/>
        </w:rPr>
        <w:t>2</w:t>
      </w:r>
      <w:r w:rsidRPr="00D53E19">
        <w:rPr>
          <w:rFonts w:ascii="Book Antiqua" w:eastAsia="Book Antiqua" w:hAnsi="Book Antiqua" w:cs="Book Antiqua"/>
          <w:b/>
          <w:color w:val="000000" w:themeColor="text1"/>
        </w:rPr>
        <w:t xml:space="preserve">) and </w:t>
      </w:r>
      <w:r w:rsidR="00A11D54" w:rsidRPr="00D53E19">
        <w:rPr>
          <w:rFonts w:ascii="Book Antiqua" w:eastAsia="Book Antiqua" w:hAnsi="Book Antiqua" w:cs="Book Antiqua"/>
          <w:b/>
          <w:color w:val="000000" w:themeColor="text1"/>
        </w:rPr>
        <w:t xml:space="preserve">bone mineral content </w:t>
      </w:r>
      <w:r w:rsidRPr="00D53E19">
        <w:rPr>
          <w:rFonts w:ascii="Book Antiqua" w:eastAsia="Book Antiqua" w:hAnsi="Book Antiqua" w:cs="Book Antiqua"/>
          <w:b/>
          <w:color w:val="000000" w:themeColor="text1"/>
        </w:rPr>
        <w:t xml:space="preserve">(g) values of </w:t>
      </w:r>
      <w:r w:rsidR="00DD155A" w:rsidRPr="00D53E19">
        <w:rPr>
          <w:rFonts w:ascii="Book Antiqua" w:eastAsia="Book Antiqua" w:hAnsi="Book Antiqua" w:cs="Book Antiqua"/>
          <w:b/>
          <w:color w:val="000000" w:themeColor="text1"/>
        </w:rPr>
        <w:t xml:space="preserve">distal femur </w:t>
      </w:r>
      <w:r w:rsidRPr="00D53E19">
        <w:rPr>
          <w:rFonts w:ascii="Book Antiqua" w:eastAsia="Book Antiqua" w:hAnsi="Book Antiqua" w:cs="Book Antiqua"/>
          <w:b/>
          <w:color w:val="000000" w:themeColor="text1"/>
        </w:rPr>
        <w:t>for the case</w:t>
      </w:r>
      <w:r w:rsidR="00766CE2" w:rsidRPr="00D53E19">
        <w:rPr>
          <w:rFonts w:ascii="Book Antiqua" w:eastAsia="Book Antiqua" w:hAnsi="Book Antiqua" w:cs="Book Antiqua"/>
          <w:b/>
          <w:color w:val="000000" w:themeColor="text1"/>
        </w:rPr>
        <w:t xml:space="preserve"> </w:t>
      </w:r>
      <w:r w:rsidRPr="00D53E19">
        <w:rPr>
          <w:rFonts w:ascii="Book Antiqua" w:eastAsia="Book Antiqua" w:hAnsi="Book Antiqua" w:cs="Book Antiqua"/>
          <w:b/>
          <w:color w:val="000000" w:themeColor="text1"/>
        </w:rPr>
        <w:t>and</w:t>
      </w:r>
      <w:r w:rsidR="00766CE2" w:rsidRPr="00D53E19">
        <w:rPr>
          <w:rFonts w:ascii="Book Antiqua" w:eastAsia="Book Antiqua" w:hAnsi="Book Antiqua" w:cs="Book Antiqua"/>
          <w:b/>
          <w:color w:val="000000" w:themeColor="text1"/>
        </w:rPr>
        <w:t xml:space="preserve"> </w:t>
      </w:r>
      <w:r w:rsidRPr="00D53E19">
        <w:rPr>
          <w:rFonts w:ascii="Book Antiqua" w:eastAsia="Book Antiqua" w:hAnsi="Book Antiqua" w:cs="Book Antiqua"/>
          <w:b/>
          <w:color w:val="000000" w:themeColor="text1"/>
        </w:rPr>
        <w:t>matched participants</w:t>
      </w:r>
      <w:r w:rsidR="00A11D54" w:rsidRPr="00D53E19">
        <w:rPr>
          <w:rFonts w:ascii="Book Antiqua" w:hAnsi="Book Antiqua" w:cs="Book Antiqua"/>
          <w:b/>
          <w:color w:val="000000" w:themeColor="text1"/>
          <w:lang w:eastAsia="zh-CN"/>
        </w:rPr>
        <w:t>.</w:t>
      </w:r>
      <w:r w:rsidRPr="00D53E19">
        <w:rPr>
          <w:rFonts w:ascii="Book Antiqua" w:eastAsia="Book Antiqua" w:hAnsi="Book Antiqua" w:cs="Book Antiqua"/>
          <w:b/>
          <w:color w:val="000000" w:themeColor="text1"/>
        </w:rPr>
        <w:t xml:space="preserve"> </w:t>
      </w:r>
      <w:r w:rsidR="00DD155A" w:rsidRPr="00D53E19">
        <w:rPr>
          <w:rFonts w:ascii="Book Antiqua" w:eastAsia="Book Antiqua" w:hAnsi="Book Antiqua" w:cs="Book Antiqua"/>
          <w:color w:val="000000" w:themeColor="text1"/>
        </w:rPr>
        <w:t>A</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DD155A" w:rsidRPr="00D53E19">
        <w:rPr>
          <w:rFonts w:ascii="Book Antiqua" w:eastAsia="Book Antiqua" w:hAnsi="Book Antiqua" w:cs="Book Antiqua"/>
          <w:color w:val="000000" w:themeColor="text1"/>
        </w:rPr>
        <w:t>distal femur metaphysis</w:t>
      </w:r>
      <w:r w:rsidR="00A11D54" w:rsidRPr="00D53E19">
        <w:rPr>
          <w:rFonts w:ascii="Book Antiqua" w:hAnsi="Book Antiqua" w:cs="Book Antiqua"/>
          <w:color w:val="000000" w:themeColor="text1"/>
          <w:lang w:eastAsia="zh-CN"/>
        </w:rPr>
        <w:t xml:space="preserve"> [</w:t>
      </w:r>
      <w:r w:rsidR="00A11D54" w:rsidRPr="00D53E19">
        <w:rPr>
          <w:rFonts w:ascii="Book Antiqua" w:eastAsia="Book Antiqua" w:hAnsi="Book Antiqua" w:cs="Book Antiqua"/>
          <w:color w:val="000000" w:themeColor="text1"/>
        </w:rPr>
        <w:t xml:space="preserve">Bone mineral density </w:t>
      </w:r>
      <w:r w:rsidR="00A11D54" w:rsidRPr="00D53E19">
        <w:rPr>
          <w:rFonts w:ascii="Book Antiqua" w:hAnsi="Book Antiqua" w:cs="Book Antiqua"/>
          <w:color w:val="000000" w:themeColor="text1"/>
          <w:lang w:eastAsia="zh-CN"/>
        </w:rPr>
        <w:t>(</w:t>
      </w:r>
      <w:r w:rsidR="00A11D54" w:rsidRPr="00D53E19">
        <w:rPr>
          <w:rFonts w:ascii="Book Antiqua" w:eastAsia="Book Antiqua" w:hAnsi="Book Antiqua" w:cs="Book Antiqua"/>
          <w:color w:val="000000" w:themeColor="text1"/>
        </w:rPr>
        <w:t>BMD)</w:t>
      </w:r>
      <w:r w:rsidR="00A11D54" w:rsidRPr="00D53E19">
        <w:rPr>
          <w:rFonts w:ascii="Book Antiqua" w:hAnsi="Book Antiqua" w:cs="Book Antiqua"/>
          <w:color w:val="000000" w:themeColor="text1"/>
          <w:lang w:eastAsia="zh-CN"/>
        </w:rPr>
        <w:t>]</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B</w:t>
      </w:r>
      <w:r w:rsidR="00DD155A"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Right </w:t>
      </w:r>
      <w:r w:rsidR="00DD155A" w:rsidRPr="00D53E19">
        <w:rPr>
          <w:rFonts w:ascii="Book Antiqua" w:eastAsia="Book Antiqua" w:hAnsi="Book Antiqua" w:cs="Book Antiqua"/>
          <w:color w:val="000000" w:themeColor="text1"/>
        </w:rPr>
        <w:t>distal femur metaphysis</w:t>
      </w:r>
      <w:r w:rsidR="00DD155A" w:rsidRPr="00D53E19">
        <w:rPr>
          <w:rFonts w:ascii="Book Antiqua" w:hAnsi="Book Antiqua" w:cs="Book Antiqua"/>
          <w:color w:val="000000" w:themeColor="text1"/>
          <w:lang w:eastAsia="zh-CN"/>
        </w:rPr>
        <w:t xml:space="preserve"> </w:t>
      </w:r>
      <w:r w:rsidR="00DD155A" w:rsidRPr="00D53E19">
        <w:rPr>
          <w:rFonts w:ascii="Book Antiqua" w:eastAsia="Book Antiqua" w:hAnsi="Book Antiqua" w:cs="Book Antiqua"/>
          <w:color w:val="000000" w:themeColor="text1"/>
        </w:rPr>
        <w:t>(BMD)</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C</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w:t>
      </w:r>
      <w:r w:rsidR="00DD155A" w:rsidRPr="00D53E19">
        <w:rPr>
          <w:rFonts w:ascii="Book Antiqua" w:eastAsia="Book Antiqua" w:hAnsi="Book Antiqua" w:cs="Book Antiqua"/>
          <w:color w:val="000000" w:themeColor="text1"/>
        </w:rPr>
        <w:t xml:space="preserve"> distal femur metaphysis</w:t>
      </w:r>
      <w:r w:rsidR="00DD155A" w:rsidRPr="00D53E19">
        <w:rPr>
          <w:rFonts w:ascii="Book Antiqua" w:hAnsi="Book Antiqua" w:cs="Book Antiqua"/>
          <w:color w:val="000000" w:themeColor="text1"/>
          <w:lang w:eastAsia="zh-CN"/>
        </w:rPr>
        <w:t xml:space="preserve"> </w:t>
      </w:r>
      <w:r w:rsidR="00A11D54" w:rsidRPr="00D53E19">
        <w:rPr>
          <w:rFonts w:ascii="Book Antiqua" w:hAnsi="Book Antiqua" w:cs="Book Antiqua"/>
          <w:color w:val="000000" w:themeColor="text1"/>
          <w:lang w:eastAsia="zh-CN"/>
        </w:rPr>
        <w:t>[</w:t>
      </w:r>
      <w:r w:rsidR="00A11D54" w:rsidRPr="00D53E19">
        <w:rPr>
          <w:rFonts w:ascii="Book Antiqua" w:eastAsia="Book Antiqua" w:hAnsi="Book Antiqua" w:cs="Book Antiqua"/>
          <w:color w:val="000000" w:themeColor="text1"/>
        </w:rPr>
        <w:t>Bone mineral content (BMC)</w:t>
      </w:r>
      <w:r w:rsidR="00A11D54" w:rsidRPr="00D53E19">
        <w:rPr>
          <w:rFonts w:ascii="Book Antiqua" w:hAnsi="Book Antiqua" w:cs="Book Antiqua"/>
          <w:color w:val="000000" w:themeColor="text1"/>
          <w:lang w:eastAsia="zh-CN"/>
        </w:rPr>
        <w:t>]</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D</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DD155A" w:rsidRPr="00D53E19">
        <w:rPr>
          <w:rFonts w:ascii="Book Antiqua" w:eastAsia="Book Antiqua" w:hAnsi="Book Antiqua" w:cs="Book Antiqua"/>
          <w:color w:val="000000" w:themeColor="text1"/>
        </w:rPr>
        <w:t>distal femur metaphysis (BMC)</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E</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DD155A" w:rsidRPr="00D53E19">
        <w:rPr>
          <w:rFonts w:ascii="Book Antiqua" w:eastAsia="Book Antiqua" w:hAnsi="Book Antiqua" w:cs="Book Antiqua"/>
          <w:color w:val="000000" w:themeColor="text1"/>
        </w:rPr>
        <w:t>distal femur epiphysis</w:t>
      </w:r>
      <w:r w:rsidR="00DD155A" w:rsidRPr="00D53E19">
        <w:rPr>
          <w:rFonts w:ascii="Book Antiqua" w:hAnsi="Book Antiqua" w:cs="Book Antiqua"/>
          <w:color w:val="000000" w:themeColor="text1"/>
          <w:lang w:eastAsia="zh-CN"/>
        </w:rPr>
        <w:t xml:space="preserve"> </w:t>
      </w:r>
      <w:r w:rsidR="00DD155A" w:rsidRPr="00D53E19">
        <w:rPr>
          <w:rFonts w:ascii="Book Antiqua" w:eastAsia="Book Antiqua" w:hAnsi="Book Antiqua" w:cs="Book Antiqua"/>
          <w:color w:val="000000" w:themeColor="text1"/>
        </w:rPr>
        <w:t>(BMD)</w:t>
      </w:r>
      <w:r w:rsidR="00DD155A" w:rsidRPr="00D53E19">
        <w:rPr>
          <w:rFonts w:ascii="Book Antiqua" w:hAnsi="Book Antiqua" w:cs="Book Antiqua"/>
          <w:color w:val="000000" w:themeColor="text1"/>
          <w:lang w:eastAsia="zh-CN"/>
        </w:rPr>
        <w:t xml:space="preserve">; </w:t>
      </w:r>
      <w:r w:rsidR="00DD155A" w:rsidRPr="00D53E19">
        <w:rPr>
          <w:rFonts w:ascii="Book Antiqua" w:eastAsia="Book Antiqua" w:hAnsi="Book Antiqua" w:cs="Book Antiqua"/>
          <w:color w:val="000000" w:themeColor="text1"/>
        </w:rPr>
        <w:t>F</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DD155A" w:rsidRPr="00D53E19">
        <w:rPr>
          <w:rFonts w:ascii="Book Antiqua" w:eastAsia="Book Antiqua" w:hAnsi="Book Antiqua" w:cs="Book Antiqua"/>
          <w:color w:val="000000" w:themeColor="text1"/>
        </w:rPr>
        <w:t>distal femur epiphysis</w:t>
      </w:r>
      <w:r w:rsidR="00DD155A" w:rsidRPr="00D53E19">
        <w:rPr>
          <w:rFonts w:ascii="Book Antiqua" w:hAnsi="Book Antiqua" w:cs="Book Antiqua"/>
          <w:color w:val="000000" w:themeColor="text1"/>
          <w:lang w:eastAsia="zh-CN"/>
        </w:rPr>
        <w:t xml:space="preserve"> </w:t>
      </w:r>
      <w:r w:rsidR="00DD155A" w:rsidRPr="00D53E19">
        <w:rPr>
          <w:rFonts w:ascii="Book Antiqua" w:eastAsia="Book Antiqua" w:hAnsi="Book Antiqua" w:cs="Book Antiqua"/>
          <w:color w:val="000000" w:themeColor="text1"/>
        </w:rPr>
        <w:t>(BMD)</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G</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DD155A" w:rsidRPr="00D53E19">
        <w:rPr>
          <w:rFonts w:ascii="Book Antiqua" w:eastAsia="Book Antiqua" w:hAnsi="Book Antiqua" w:cs="Book Antiqua"/>
          <w:color w:val="000000" w:themeColor="text1"/>
        </w:rPr>
        <w:t>distal femur epiphysis</w:t>
      </w:r>
      <w:r w:rsidR="00DD155A" w:rsidRPr="00D53E19">
        <w:rPr>
          <w:rFonts w:ascii="Book Antiqua" w:hAnsi="Book Antiqua" w:cs="Book Antiqua"/>
          <w:color w:val="000000" w:themeColor="text1"/>
          <w:lang w:eastAsia="zh-CN"/>
        </w:rPr>
        <w:t xml:space="preserve"> </w:t>
      </w:r>
      <w:r w:rsidR="00DD155A" w:rsidRPr="00D53E19">
        <w:rPr>
          <w:rFonts w:ascii="Book Antiqua" w:eastAsia="Book Antiqua" w:hAnsi="Book Antiqua" w:cs="Book Antiqua"/>
          <w:color w:val="000000" w:themeColor="text1"/>
        </w:rPr>
        <w:t>(BMC)</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H</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DD155A" w:rsidRPr="00D53E19">
        <w:rPr>
          <w:rFonts w:ascii="Book Antiqua" w:eastAsia="Book Antiqua" w:hAnsi="Book Antiqua" w:cs="Book Antiqua"/>
          <w:color w:val="000000" w:themeColor="text1"/>
        </w:rPr>
        <w:t xml:space="preserve">distal femur epiphysis </w:t>
      </w:r>
      <w:r w:rsidRPr="00D53E19">
        <w:rPr>
          <w:rFonts w:ascii="Book Antiqua" w:eastAsia="Book Antiqua" w:hAnsi="Book Antiqua" w:cs="Book Antiqua"/>
          <w:color w:val="000000" w:themeColor="text1"/>
        </w:rPr>
        <w:t xml:space="preserve">(BMC). BMC: Bone </w:t>
      </w:r>
      <w:r w:rsidR="00DD155A" w:rsidRPr="00D53E19">
        <w:rPr>
          <w:rFonts w:ascii="Book Antiqua" w:eastAsia="Book Antiqua" w:hAnsi="Book Antiqua" w:cs="Book Antiqua"/>
          <w:color w:val="000000" w:themeColor="text1"/>
        </w:rPr>
        <w:t>mineral content</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BMD: Bone </w:t>
      </w:r>
      <w:r w:rsidR="00DD155A" w:rsidRPr="00D53E19">
        <w:rPr>
          <w:rFonts w:ascii="Book Antiqua" w:eastAsia="Book Antiqua" w:hAnsi="Book Antiqua" w:cs="Book Antiqua"/>
          <w:color w:val="000000" w:themeColor="text1"/>
        </w:rPr>
        <w:t>mineral density</w:t>
      </w:r>
      <w:r w:rsidRPr="00D53E19">
        <w:rPr>
          <w:rFonts w:ascii="Book Antiqua" w:eastAsia="Book Antiqua" w:hAnsi="Book Antiqua" w:cs="Book Antiqua"/>
          <w:color w:val="000000" w:themeColor="text1"/>
        </w:rPr>
        <w:t>.</w:t>
      </w:r>
    </w:p>
    <w:p w:rsidR="00096D5F" w:rsidRPr="00D53E19" w:rsidRDefault="00096D5F" w:rsidP="00D53E19">
      <w:pPr>
        <w:adjustRightInd w:val="0"/>
        <w:snapToGrid w:val="0"/>
        <w:spacing w:line="360" w:lineRule="auto"/>
        <w:jc w:val="both"/>
        <w:rPr>
          <w:rFonts w:ascii="Book Antiqua" w:hAnsi="Book Antiqua" w:cs="Book Antiqua"/>
          <w:b/>
          <w:bCs/>
          <w:color w:val="000000" w:themeColor="text1"/>
          <w:lang w:eastAsia="zh-CN"/>
        </w:rPr>
      </w:pPr>
      <w:r w:rsidRPr="00D53E19">
        <w:rPr>
          <w:rFonts w:ascii="Book Antiqua" w:hAnsi="Book Antiqua"/>
          <w:noProof/>
          <w:lang w:eastAsia="zh-CN"/>
        </w:rPr>
        <w:lastRenderedPageBreak/>
        <w:drawing>
          <wp:inline distT="0" distB="0" distL="0" distR="0" wp14:anchorId="771BE070" wp14:editId="037E2778">
            <wp:extent cx="5486400" cy="38322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32225"/>
                    </a:xfrm>
                    <a:prstGeom prst="rect">
                      <a:avLst/>
                    </a:prstGeom>
                  </pic:spPr>
                </pic:pic>
              </a:graphicData>
            </a:graphic>
          </wp:inline>
        </w:drawing>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Figure 3</w:t>
      </w:r>
      <w:r w:rsidR="000B4FA9" w:rsidRPr="00D53E19">
        <w:rPr>
          <w:rFonts w:ascii="Book Antiqua" w:hAnsi="Book Antiqua" w:cs="Book Antiqua"/>
          <w:b/>
          <w:color w:val="000000" w:themeColor="text1"/>
          <w:lang w:eastAsia="zh-CN"/>
        </w:rPr>
        <w:t xml:space="preserve"> </w:t>
      </w:r>
      <w:r w:rsidRPr="00D53E19">
        <w:rPr>
          <w:rFonts w:ascii="Book Antiqua" w:eastAsia="Book Antiqua" w:hAnsi="Book Antiqua" w:cs="Book Antiqua"/>
          <w:b/>
          <w:color w:val="000000" w:themeColor="text1"/>
        </w:rPr>
        <w:t xml:space="preserve">Bar plot for </w:t>
      </w:r>
      <w:r w:rsidR="00387BD2" w:rsidRPr="00D53E19">
        <w:rPr>
          <w:rFonts w:ascii="Book Antiqua" w:eastAsia="Book Antiqua" w:hAnsi="Book Antiqua" w:cs="Book Antiqua"/>
          <w:b/>
          <w:color w:val="000000" w:themeColor="text1"/>
        </w:rPr>
        <w:t xml:space="preserve">bone mineral density </w:t>
      </w:r>
      <w:r w:rsidRPr="00D53E19">
        <w:rPr>
          <w:rFonts w:ascii="Book Antiqua" w:eastAsia="Book Antiqua" w:hAnsi="Book Antiqua" w:cs="Book Antiqua"/>
          <w:b/>
          <w:color w:val="000000" w:themeColor="text1"/>
        </w:rPr>
        <w:t>(g/cm</w:t>
      </w:r>
      <w:r w:rsidRPr="00D53E19">
        <w:rPr>
          <w:rFonts w:ascii="Book Antiqua" w:eastAsia="Book Antiqua" w:hAnsi="Book Antiqua" w:cs="Book Antiqua"/>
          <w:b/>
          <w:color w:val="000000" w:themeColor="text1"/>
          <w:vertAlign w:val="superscript"/>
        </w:rPr>
        <w:t>2</w:t>
      </w:r>
      <w:r w:rsidRPr="00D53E19">
        <w:rPr>
          <w:rFonts w:ascii="Book Antiqua" w:eastAsia="Book Antiqua" w:hAnsi="Book Antiqua" w:cs="Book Antiqua"/>
          <w:b/>
          <w:color w:val="000000" w:themeColor="text1"/>
        </w:rPr>
        <w:t xml:space="preserve">) and </w:t>
      </w:r>
      <w:r w:rsidR="00387BD2" w:rsidRPr="00D53E19">
        <w:rPr>
          <w:rFonts w:ascii="Book Antiqua" w:eastAsia="Book Antiqua" w:hAnsi="Book Antiqua" w:cs="Book Antiqua"/>
          <w:b/>
          <w:color w:val="000000" w:themeColor="text1"/>
        </w:rPr>
        <w:t xml:space="preserve">bone mineral content </w:t>
      </w:r>
      <w:r w:rsidRPr="00D53E19">
        <w:rPr>
          <w:rFonts w:ascii="Book Antiqua" w:eastAsia="Book Antiqua" w:hAnsi="Book Antiqua" w:cs="Book Antiqua"/>
          <w:b/>
          <w:color w:val="000000" w:themeColor="text1"/>
        </w:rPr>
        <w:t>(g)</w:t>
      </w:r>
      <w:r w:rsidR="00766CE2" w:rsidRPr="00D53E19">
        <w:rPr>
          <w:rFonts w:ascii="Book Antiqua" w:eastAsia="Book Antiqua" w:hAnsi="Book Antiqua" w:cs="Book Antiqua"/>
          <w:b/>
          <w:color w:val="000000" w:themeColor="text1"/>
        </w:rPr>
        <w:t xml:space="preserve"> </w:t>
      </w:r>
      <w:r w:rsidRPr="00D53E19">
        <w:rPr>
          <w:rFonts w:ascii="Book Antiqua" w:eastAsia="Book Antiqua" w:hAnsi="Book Antiqua" w:cs="Book Antiqua"/>
          <w:b/>
          <w:color w:val="000000" w:themeColor="text1"/>
        </w:rPr>
        <w:t xml:space="preserve">values of </w:t>
      </w:r>
      <w:r w:rsidR="00387BD2" w:rsidRPr="00D53E19">
        <w:rPr>
          <w:rFonts w:ascii="Book Antiqua" w:eastAsia="Book Antiqua" w:hAnsi="Book Antiqua" w:cs="Book Antiqua"/>
          <w:b/>
          <w:color w:val="000000" w:themeColor="text1"/>
        </w:rPr>
        <w:t xml:space="preserve">proximal tibia </w:t>
      </w:r>
      <w:r w:rsidRPr="00D53E19">
        <w:rPr>
          <w:rFonts w:ascii="Book Antiqua" w:eastAsia="Book Antiqua" w:hAnsi="Book Antiqua" w:cs="Book Antiqua"/>
          <w:b/>
          <w:color w:val="000000" w:themeColor="text1"/>
        </w:rPr>
        <w:t>for the case and</w:t>
      </w:r>
      <w:r w:rsidR="00766CE2" w:rsidRPr="00D53E19">
        <w:rPr>
          <w:rFonts w:ascii="Book Antiqua" w:eastAsia="Book Antiqua" w:hAnsi="Book Antiqua" w:cs="Book Antiqua"/>
          <w:b/>
          <w:color w:val="000000" w:themeColor="text1"/>
        </w:rPr>
        <w:t xml:space="preserve"> </w:t>
      </w:r>
      <w:r w:rsidR="00387BD2" w:rsidRPr="00D53E19">
        <w:rPr>
          <w:rFonts w:ascii="Book Antiqua" w:eastAsia="Book Antiqua" w:hAnsi="Book Antiqua" w:cs="Book Antiqua"/>
          <w:b/>
          <w:color w:val="000000" w:themeColor="text1"/>
        </w:rPr>
        <w:t>matched participants</w:t>
      </w:r>
      <w:r w:rsidR="00387BD2" w:rsidRPr="00D53E19">
        <w:rPr>
          <w:rFonts w:ascii="Book Antiqua" w:hAnsi="Book Antiqua" w:cs="Book Antiqua"/>
          <w:b/>
          <w:color w:val="000000" w:themeColor="text1"/>
          <w:lang w:eastAsia="zh-CN"/>
        </w:rPr>
        <w:t>.</w:t>
      </w:r>
      <w:r w:rsidRPr="00D53E19">
        <w:rPr>
          <w:rFonts w:ascii="Book Antiqua" w:eastAsia="Book Antiqua" w:hAnsi="Book Antiqua" w:cs="Book Antiqua"/>
          <w:color w:val="000000" w:themeColor="text1"/>
        </w:rPr>
        <w:t xml:space="preserve"> </w:t>
      </w:r>
      <w:r w:rsidR="00387BD2" w:rsidRPr="00D53E19">
        <w:rPr>
          <w:rFonts w:ascii="Book Antiqua" w:hAnsi="Book Antiqua" w:cs="Book Antiqua"/>
          <w:color w:val="000000" w:themeColor="text1"/>
          <w:lang w:eastAsia="zh-CN"/>
        </w:rPr>
        <w:t>A:</w:t>
      </w:r>
      <w:r w:rsidRPr="00D53E19">
        <w:rPr>
          <w:rFonts w:ascii="Book Antiqua" w:eastAsia="Book Antiqua" w:hAnsi="Book Antiqua" w:cs="Book Antiqua"/>
          <w:color w:val="000000" w:themeColor="text1"/>
        </w:rPr>
        <w:t xml:space="preserve"> Left </w:t>
      </w:r>
      <w:r w:rsidR="00452302" w:rsidRPr="00D53E19">
        <w:rPr>
          <w:rFonts w:ascii="Book Antiqua" w:eastAsia="Book Antiqua" w:hAnsi="Book Antiqua" w:cs="Book Antiqua"/>
          <w:color w:val="000000" w:themeColor="text1"/>
        </w:rPr>
        <w:t>proximal tibia metaphysis</w:t>
      </w:r>
      <w:r w:rsidR="00387BD2" w:rsidRPr="00D53E19">
        <w:rPr>
          <w:rFonts w:ascii="Book Antiqua" w:hAnsi="Book Antiqua" w:cs="Book Antiqua"/>
          <w:color w:val="000000" w:themeColor="text1"/>
          <w:lang w:eastAsia="zh-CN"/>
        </w:rPr>
        <w:t xml:space="preserve"> </w:t>
      </w:r>
      <w:r w:rsidR="00D25022" w:rsidRPr="00D53E19">
        <w:rPr>
          <w:rFonts w:ascii="Book Antiqua" w:hAnsi="Book Antiqua" w:cs="Book Antiqua"/>
          <w:color w:val="000000" w:themeColor="text1"/>
          <w:lang w:eastAsia="zh-CN"/>
        </w:rPr>
        <w:t>[</w:t>
      </w:r>
      <w:r w:rsidR="00D25022" w:rsidRPr="00D53E19">
        <w:rPr>
          <w:rFonts w:ascii="Book Antiqua" w:eastAsia="Book Antiqua" w:hAnsi="Book Antiqua" w:cs="Book Antiqua"/>
          <w:color w:val="000000" w:themeColor="text1"/>
        </w:rPr>
        <w:t xml:space="preserve">Bone mineral density </w:t>
      </w:r>
      <w:r w:rsidR="00D2502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BMD)</w:t>
      </w:r>
      <w:r w:rsidR="00D25022" w:rsidRPr="00D53E19">
        <w:rPr>
          <w:rFonts w:ascii="Book Antiqua" w:hAnsi="Book Antiqua" w:cs="Book Antiqua"/>
          <w:color w:val="000000" w:themeColor="text1"/>
          <w:lang w:eastAsia="zh-CN"/>
        </w:rPr>
        <w:t>]</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B</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452302" w:rsidRPr="00D53E19">
        <w:rPr>
          <w:rFonts w:ascii="Book Antiqua" w:eastAsia="Book Antiqua" w:hAnsi="Book Antiqua" w:cs="Book Antiqua"/>
          <w:color w:val="000000" w:themeColor="text1"/>
        </w:rPr>
        <w:t>proximal tibia metaphysis</w:t>
      </w:r>
      <w:r w:rsidR="00452302"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(BMD)</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C</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452302" w:rsidRPr="00D53E19">
        <w:rPr>
          <w:rFonts w:ascii="Book Antiqua" w:eastAsia="Book Antiqua" w:hAnsi="Book Antiqua" w:cs="Book Antiqua"/>
          <w:color w:val="000000" w:themeColor="text1"/>
        </w:rPr>
        <w:t>proximal tibia metaphysi</w:t>
      </w:r>
      <w:r w:rsidRPr="00D53E19">
        <w:rPr>
          <w:rFonts w:ascii="Book Antiqua" w:eastAsia="Book Antiqua" w:hAnsi="Book Antiqua" w:cs="Book Antiqua"/>
          <w:color w:val="000000" w:themeColor="text1"/>
        </w:rPr>
        <w:t>s</w:t>
      </w:r>
      <w:r w:rsidR="00387BD2" w:rsidRPr="00D53E19">
        <w:rPr>
          <w:rFonts w:ascii="Book Antiqua" w:hAnsi="Book Antiqua" w:cs="Book Antiqua"/>
          <w:color w:val="000000" w:themeColor="text1"/>
          <w:lang w:eastAsia="zh-CN"/>
        </w:rPr>
        <w:t xml:space="preserve"> </w:t>
      </w:r>
      <w:r w:rsidR="00D25022" w:rsidRPr="00D53E19">
        <w:rPr>
          <w:rFonts w:ascii="Book Antiqua" w:hAnsi="Book Antiqua" w:cs="Book Antiqua"/>
          <w:color w:val="000000" w:themeColor="text1"/>
          <w:lang w:eastAsia="zh-CN"/>
        </w:rPr>
        <w:t>[</w:t>
      </w:r>
      <w:r w:rsidR="00D25022" w:rsidRPr="00D53E19">
        <w:rPr>
          <w:rFonts w:ascii="Book Antiqua" w:eastAsia="Book Antiqua" w:hAnsi="Book Antiqua" w:cs="Book Antiqua"/>
          <w:color w:val="000000" w:themeColor="text1"/>
        </w:rPr>
        <w:t xml:space="preserve">Bone mineral content </w:t>
      </w:r>
      <w:r w:rsidR="00452302" w:rsidRPr="00D53E19">
        <w:rPr>
          <w:rFonts w:ascii="Book Antiqua" w:eastAsia="Book Antiqua" w:hAnsi="Book Antiqua" w:cs="Book Antiqua"/>
          <w:color w:val="000000" w:themeColor="text1"/>
        </w:rPr>
        <w:t>(BMC)</w:t>
      </w:r>
      <w:r w:rsidR="00D25022" w:rsidRPr="00D53E19">
        <w:rPr>
          <w:rFonts w:ascii="Book Antiqua" w:hAnsi="Book Antiqua" w:cs="Book Antiqua"/>
          <w:color w:val="000000" w:themeColor="text1"/>
          <w:lang w:eastAsia="zh-CN"/>
        </w:rPr>
        <w:t>]</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D</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452302" w:rsidRPr="00D53E19">
        <w:rPr>
          <w:rFonts w:ascii="Book Antiqua" w:eastAsia="Book Antiqua" w:hAnsi="Book Antiqua" w:cs="Book Antiqua"/>
          <w:color w:val="000000" w:themeColor="text1"/>
        </w:rPr>
        <w:t>proximal tibia metaphysis (BMC)</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E</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452302" w:rsidRPr="00D53E19">
        <w:rPr>
          <w:rFonts w:ascii="Book Antiqua" w:eastAsia="Book Antiqua" w:hAnsi="Book Antiqua" w:cs="Book Antiqua"/>
          <w:color w:val="000000" w:themeColor="text1"/>
        </w:rPr>
        <w:t>proximal tibia epiphysis</w:t>
      </w:r>
      <w:r w:rsidR="00387BD2" w:rsidRPr="00D53E19">
        <w:rPr>
          <w:rFonts w:ascii="Book Antiqua" w:hAnsi="Book Antiqua" w:cs="Book Antiqua"/>
          <w:color w:val="000000" w:themeColor="text1"/>
          <w:lang w:eastAsia="zh-CN"/>
        </w:rPr>
        <w:t xml:space="preserve"> </w:t>
      </w:r>
      <w:r w:rsidR="00452302" w:rsidRPr="00D53E19">
        <w:rPr>
          <w:rFonts w:ascii="Book Antiqua" w:eastAsia="Book Antiqua" w:hAnsi="Book Antiqua" w:cs="Book Antiqua"/>
          <w:color w:val="000000" w:themeColor="text1"/>
        </w:rPr>
        <w:t>(BMD)</w:t>
      </w:r>
      <w:r w:rsidR="00452302" w:rsidRPr="00D53E19">
        <w:rPr>
          <w:rFonts w:ascii="Book Antiqua" w:hAnsi="Book Antiqua" w:cs="Book Antiqua"/>
          <w:color w:val="000000" w:themeColor="text1"/>
          <w:lang w:eastAsia="zh-CN"/>
        </w:rPr>
        <w:t xml:space="preserve">; </w:t>
      </w:r>
      <w:r w:rsidR="00452302" w:rsidRPr="00D53E19">
        <w:rPr>
          <w:rFonts w:ascii="Book Antiqua" w:eastAsia="Book Antiqua" w:hAnsi="Book Antiqua" w:cs="Book Antiqua"/>
          <w:color w:val="000000" w:themeColor="text1"/>
        </w:rPr>
        <w:t>F</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452302" w:rsidRPr="00D53E19">
        <w:rPr>
          <w:rFonts w:ascii="Book Antiqua" w:eastAsia="Book Antiqua" w:hAnsi="Book Antiqua" w:cs="Book Antiqua"/>
          <w:color w:val="000000" w:themeColor="text1"/>
        </w:rPr>
        <w:t>proximal tibia epiphysis</w:t>
      </w:r>
      <w:r w:rsidR="00387BD2" w:rsidRPr="00D53E19">
        <w:rPr>
          <w:rFonts w:ascii="Book Antiqua" w:hAnsi="Book Antiqua" w:cs="Book Antiqua"/>
          <w:color w:val="000000" w:themeColor="text1"/>
          <w:lang w:eastAsia="zh-CN"/>
        </w:rPr>
        <w:t xml:space="preserve"> </w:t>
      </w:r>
      <w:r w:rsidR="00452302" w:rsidRPr="00D53E19">
        <w:rPr>
          <w:rFonts w:ascii="Book Antiqua" w:eastAsia="Book Antiqua" w:hAnsi="Book Antiqua" w:cs="Book Antiqua"/>
          <w:color w:val="000000" w:themeColor="text1"/>
        </w:rPr>
        <w:t>(BMD)</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G</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452302" w:rsidRPr="00D53E19">
        <w:rPr>
          <w:rFonts w:ascii="Book Antiqua" w:eastAsia="Book Antiqua" w:hAnsi="Book Antiqua" w:cs="Book Antiqua"/>
          <w:color w:val="000000" w:themeColor="text1"/>
        </w:rPr>
        <w:t>proximal tibia epiphysis</w:t>
      </w:r>
      <w:r w:rsidR="00387BD2" w:rsidRPr="00D53E19">
        <w:rPr>
          <w:rFonts w:ascii="Book Antiqua" w:hAnsi="Book Antiqua" w:cs="Book Antiqua"/>
          <w:color w:val="000000" w:themeColor="text1"/>
          <w:lang w:eastAsia="zh-CN"/>
        </w:rPr>
        <w:t xml:space="preserve"> </w:t>
      </w:r>
      <w:r w:rsidR="00452302" w:rsidRPr="00D53E19">
        <w:rPr>
          <w:rFonts w:ascii="Book Antiqua" w:eastAsia="Book Antiqua" w:hAnsi="Book Antiqua" w:cs="Book Antiqua"/>
          <w:color w:val="000000" w:themeColor="text1"/>
        </w:rPr>
        <w:t>(BMC)</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H</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452302" w:rsidRPr="00D53E19">
        <w:rPr>
          <w:rFonts w:ascii="Book Antiqua" w:eastAsia="Book Antiqua" w:hAnsi="Book Antiqua" w:cs="Book Antiqua"/>
          <w:color w:val="000000" w:themeColor="text1"/>
        </w:rPr>
        <w:t>proximal tibia epiphysis</w:t>
      </w:r>
      <w:r w:rsidRPr="00D53E19">
        <w:rPr>
          <w:rFonts w:ascii="Book Antiqua" w:eastAsia="Book Antiqua" w:hAnsi="Book Antiqua" w:cs="Book Antiqua"/>
          <w:color w:val="000000" w:themeColor="text1"/>
        </w:rPr>
        <w:t xml:space="preserve"> (BMC). BMC: Bone </w:t>
      </w:r>
      <w:r w:rsidR="00387BD2" w:rsidRPr="00D53E19">
        <w:rPr>
          <w:rFonts w:ascii="Book Antiqua" w:eastAsia="Book Antiqua" w:hAnsi="Book Antiqua" w:cs="Book Antiqua"/>
          <w:color w:val="000000" w:themeColor="text1"/>
        </w:rPr>
        <w:t>mineral content</w:t>
      </w:r>
      <w:r w:rsidR="00387BD2"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BMD: Bone </w:t>
      </w:r>
      <w:r w:rsidR="00387BD2" w:rsidRPr="00D53E19">
        <w:rPr>
          <w:rFonts w:ascii="Book Antiqua" w:eastAsia="Book Antiqua" w:hAnsi="Book Antiqua" w:cs="Book Antiqua"/>
          <w:color w:val="000000" w:themeColor="text1"/>
        </w:rPr>
        <w:t>mineral density</w:t>
      </w:r>
      <w:r w:rsidRPr="00D53E19">
        <w:rPr>
          <w:rFonts w:ascii="Book Antiqua" w:eastAsia="Book Antiqua" w:hAnsi="Book Antiqua" w:cs="Book Antiqua"/>
          <w:color w:val="000000" w:themeColor="text1"/>
        </w:rPr>
        <w:t>.</w:t>
      </w:r>
    </w:p>
    <w:p w:rsidR="00387BD2" w:rsidRPr="00D53E19" w:rsidRDefault="00387BD2" w:rsidP="00D53E19">
      <w:pPr>
        <w:adjustRightInd w:val="0"/>
        <w:snapToGrid w:val="0"/>
        <w:spacing w:line="360" w:lineRule="auto"/>
        <w:jc w:val="both"/>
        <w:rPr>
          <w:rFonts w:ascii="Book Antiqua" w:hAnsi="Book Antiqua" w:cs="Book Antiqua"/>
          <w:color w:val="000000" w:themeColor="text1"/>
          <w:lang w:eastAsia="zh-CN"/>
        </w:rPr>
      </w:pPr>
    </w:p>
    <w:p w:rsidR="00975128" w:rsidRPr="00D53E19" w:rsidRDefault="00975128" w:rsidP="00D53E19">
      <w:pPr>
        <w:adjustRightInd w:val="0"/>
        <w:snapToGrid w:val="0"/>
        <w:spacing w:line="360" w:lineRule="auto"/>
        <w:jc w:val="both"/>
        <w:rPr>
          <w:rFonts w:ascii="Book Antiqua" w:hAnsi="Book Antiqua" w:cs="Book Antiqua"/>
          <w:b/>
          <w:bCs/>
          <w:color w:val="000000" w:themeColor="text1"/>
          <w:lang w:eastAsia="zh-CN"/>
        </w:rPr>
      </w:pPr>
      <w:r w:rsidRPr="00D53E19">
        <w:rPr>
          <w:rFonts w:ascii="Book Antiqua" w:hAnsi="Book Antiqua"/>
          <w:noProof/>
          <w:lang w:eastAsia="zh-CN"/>
        </w:rPr>
        <w:lastRenderedPageBreak/>
        <w:drawing>
          <wp:inline distT="0" distB="0" distL="0" distR="0" wp14:anchorId="19BCE6F6" wp14:editId="7EF51FF7">
            <wp:extent cx="5486400" cy="38322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832225"/>
                    </a:xfrm>
                    <a:prstGeom prst="rect">
                      <a:avLst/>
                    </a:prstGeom>
                  </pic:spPr>
                </pic:pic>
              </a:graphicData>
            </a:graphic>
          </wp:inline>
        </w:drawing>
      </w:r>
      <w:r w:rsidRPr="00D53E19">
        <w:rPr>
          <w:rFonts w:ascii="Book Antiqua" w:eastAsia="Book Antiqua" w:hAnsi="Book Antiqua" w:cs="Book Antiqua"/>
          <w:b/>
          <w:bCs/>
          <w:color w:val="000000" w:themeColor="text1"/>
        </w:rPr>
        <w:t xml:space="preserve"> </w:t>
      </w:r>
    </w:p>
    <w:p w:rsidR="005C66A0" w:rsidRPr="00D53E19" w:rsidRDefault="00825EE6" w:rsidP="00D53E19">
      <w:pPr>
        <w:adjustRightInd w:val="0"/>
        <w:snapToGrid w:val="0"/>
        <w:spacing w:line="360" w:lineRule="auto"/>
        <w:jc w:val="both"/>
        <w:rPr>
          <w:rFonts w:ascii="Book Antiqua" w:eastAsia="Book Antiqua" w:hAnsi="Book Antiqua" w:cs="Book Antiqua"/>
          <w:color w:val="000000" w:themeColor="text1"/>
        </w:rPr>
      </w:pPr>
      <w:r w:rsidRPr="00D53E19">
        <w:rPr>
          <w:rFonts w:ascii="Book Antiqua" w:eastAsia="Book Antiqua" w:hAnsi="Book Antiqua" w:cs="Book Antiqua"/>
          <w:b/>
          <w:bCs/>
          <w:color w:val="000000" w:themeColor="text1"/>
        </w:rPr>
        <w:t>Figure 4</w:t>
      </w:r>
      <w:r w:rsidRPr="00D53E19">
        <w:rPr>
          <w:rFonts w:ascii="Book Antiqua" w:eastAsia="Book Antiqua" w:hAnsi="Book Antiqua" w:cs="Book Antiqua"/>
          <w:b/>
          <w:color w:val="000000" w:themeColor="text1"/>
        </w:rPr>
        <w:t xml:space="preserve"> Bar plots for total body and leg composition for the case and matched participants</w:t>
      </w:r>
      <w:r w:rsidR="00096D5F" w:rsidRPr="00D53E19">
        <w:rPr>
          <w:rFonts w:ascii="Book Antiqua" w:hAnsi="Book Antiqua" w:cs="Book Antiqua"/>
          <w:b/>
          <w:color w:val="000000" w:themeColor="text1"/>
          <w:lang w:eastAsia="zh-CN"/>
        </w:rPr>
        <w:t>.</w:t>
      </w:r>
      <w:r w:rsidRPr="00D53E19">
        <w:rPr>
          <w:rFonts w:ascii="Book Antiqua" w:eastAsia="Book Antiqua" w:hAnsi="Book Antiqua" w:cs="Book Antiqua"/>
          <w:color w:val="000000" w:themeColor="text1"/>
        </w:rPr>
        <w:t xml:space="preserve"> </w:t>
      </w:r>
      <w:r w:rsidR="00096D5F" w:rsidRPr="00D53E19">
        <w:rPr>
          <w:rFonts w:ascii="Book Antiqua" w:eastAsia="Book Antiqua" w:hAnsi="Book Antiqua" w:cs="Book Antiqua"/>
          <w:color w:val="000000" w:themeColor="text1"/>
        </w:rPr>
        <w:t>A</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Leg </w:t>
      </w:r>
      <w:r w:rsidR="00096D5F" w:rsidRPr="00D53E19">
        <w:rPr>
          <w:rFonts w:ascii="Book Antiqua" w:eastAsia="Book Antiqua" w:hAnsi="Book Antiqua" w:cs="Book Antiqua"/>
          <w:color w:val="000000" w:themeColor="text1"/>
        </w:rPr>
        <w:t xml:space="preserve">bone mineral content </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BMC</w:t>
      </w:r>
      <w:r w:rsidR="00096D5F" w:rsidRPr="00D53E19">
        <w:rPr>
          <w:rFonts w:ascii="Book Antiqua" w:hAnsi="Book Antiqua" w:cs="Book Antiqua"/>
          <w:color w:val="000000" w:themeColor="text1"/>
          <w:lang w:eastAsia="zh-CN"/>
        </w:rPr>
        <w:t>)</w:t>
      </w:r>
      <w:r w:rsidR="00096D5F" w:rsidRPr="00D53E19">
        <w:rPr>
          <w:rFonts w:ascii="Book Antiqua" w:eastAsia="Book Antiqua" w:hAnsi="Book Antiqua" w:cs="Book Antiqua"/>
          <w:color w:val="000000" w:themeColor="text1"/>
        </w:rPr>
        <w:t xml:space="preserve"> (g)</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096D5F" w:rsidRPr="00D53E19">
        <w:rPr>
          <w:rFonts w:ascii="Book Antiqua" w:eastAsia="Book Antiqua" w:hAnsi="Book Antiqua" w:cs="Book Antiqua"/>
          <w:color w:val="000000" w:themeColor="text1"/>
        </w:rPr>
        <w:t>B</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Total </w:t>
      </w:r>
      <w:r w:rsidR="00096D5F" w:rsidRPr="00D53E19">
        <w:rPr>
          <w:rFonts w:ascii="Book Antiqua" w:eastAsia="Book Antiqua" w:hAnsi="Book Antiqua" w:cs="Book Antiqua"/>
          <w:color w:val="000000" w:themeColor="text1"/>
        </w:rPr>
        <w:t>body BMC (g)</w:t>
      </w:r>
      <w:r w:rsidR="00096D5F" w:rsidRPr="00D53E19">
        <w:rPr>
          <w:rFonts w:ascii="Book Antiqua" w:hAnsi="Book Antiqua" w:cs="Book Antiqua"/>
          <w:color w:val="000000" w:themeColor="text1"/>
          <w:lang w:eastAsia="zh-CN"/>
        </w:rPr>
        <w:t xml:space="preserve">; </w:t>
      </w:r>
      <w:r w:rsidR="00096D5F" w:rsidRPr="00D53E19">
        <w:rPr>
          <w:rFonts w:ascii="Book Antiqua" w:eastAsia="Book Antiqua" w:hAnsi="Book Antiqua" w:cs="Book Antiqua"/>
          <w:color w:val="000000" w:themeColor="text1"/>
        </w:rPr>
        <w:t>C</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Leg </w:t>
      </w:r>
      <w:r w:rsidR="00096D5F" w:rsidRPr="00D53E19">
        <w:rPr>
          <w:rFonts w:ascii="Book Antiqua" w:eastAsia="Book Antiqua" w:hAnsi="Book Antiqua" w:cs="Book Antiqua"/>
          <w:color w:val="000000" w:themeColor="text1"/>
        </w:rPr>
        <w:t>lean mass (g)</w:t>
      </w:r>
      <w:r w:rsidR="00096D5F" w:rsidRPr="00D53E19">
        <w:rPr>
          <w:rFonts w:ascii="Book Antiqua" w:hAnsi="Book Antiqua" w:cs="Book Antiqua"/>
          <w:color w:val="000000" w:themeColor="text1"/>
          <w:lang w:eastAsia="zh-CN"/>
        </w:rPr>
        <w:t>;</w:t>
      </w:r>
      <w:r w:rsidR="00096D5F" w:rsidRPr="00D53E19">
        <w:rPr>
          <w:rFonts w:ascii="Book Antiqua" w:eastAsia="Book Antiqua" w:hAnsi="Book Antiqua" w:cs="Book Antiqua"/>
          <w:color w:val="000000" w:themeColor="text1"/>
        </w:rPr>
        <w:t xml:space="preserve"> D</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Total </w:t>
      </w:r>
      <w:r w:rsidR="00096D5F" w:rsidRPr="00D53E19">
        <w:rPr>
          <w:rFonts w:ascii="Book Antiqua" w:eastAsia="Book Antiqua" w:hAnsi="Book Antiqua" w:cs="Book Antiqua"/>
          <w:color w:val="000000" w:themeColor="text1"/>
        </w:rPr>
        <w:t>body lean mass (g)</w:t>
      </w:r>
      <w:r w:rsidR="00096D5F" w:rsidRPr="00D53E19">
        <w:rPr>
          <w:rFonts w:ascii="Book Antiqua" w:hAnsi="Book Antiqua" w:cs="Book Antiqua"/>
          <w:color w:val="000000" w:themeColor="text1"/>
          <w:lang w:eastAsia="zh-CN"/>
        </w:rPr>
        <w:t xml:space="preserve">; </w:t>
      </w:r>
      <w:r w:rsidR="00096D5F" w:rsidRPr="00D53E19">
        <w:rPr>
          <w:rFonts w:ascii="Book Antiqua" w:eastAsia="Book Antiqua" w:hAnsi="Book Antiqua" w:cs="Book Antiqua"/>
          <w:color w:val="000000" w:themeColor="text1"/>
        </w:rPr>
        <w:t>E</w:t>
      </w:r>
      <w:r w:rsidR="00096D5F"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Percentage </w:t>
      </w:r>
      <w:r w:rsidR="00096D5F" w:rsidRPr="00D53E19">
        <w:rPr>
          <w:rFonts w:ascii="Book Antiqua" w:eastAsia="Book Antiqua" w:hAnsi="Book Antiqua" w:cs="Book Antiqua"/>
          <w:color w:val="000000" w:themeColor="text1"/>
        </w:rPr>
        <w:t>leg fat mass</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096D5F" w:rsidRPr="00D53E19">
        <w:rPr>
          <w:rFonts w:ascii="Book Antiqua" w:eastAsia="Book Antiqua" w:hAnsi="Book Antiqua" w:cs="Book Antiqua"/>
          <w:color w:val="000000" w:themeColor="text1"/>
        </w:rPr>
        <w:t>F</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Percentage </w:t>
      </w:r>
      <w:r w:rsidR="00096D5F" w:rsidRPr="00D53E19">
        <w:rPr>
          <w:rFonts w:ascii="Book Antiqua" w:eastAsia="Book Antiqua" w:hAnsi="Book Antiqua" w:cs="Book Antiqua"/>
          <w:color w:val="000000" w:themeColor="text1"/>
        </w:rPr>
        <w:t>total body fat mass</w:t>
      </w:r>
      <w:r w:rsidRPr="00D53E19">
        <w:rPr>
          <w:rFonts w:ascii="Book Antiqua" w:eastAsia="Book Antiqua" w:hAnsi="Book Antiqua" w:cs="Book Antiqua"/>
          <w:color w:val="000000" w:themeColor="text1"/>
        </w:rPr>
        <w:t xml:space="preserve">. </w:t>
      </w:r>
    </w:p>
    <w:p w:rsidR="005C66A0" w:rsidRPr="00D53E19" w:rsidRDefault="005C66A0" w:rsidP="00D53E19">
      <w:pPr>
        <w:adjustRightInd w:val="0"/>
        <w:snapToGrid w:val="0"/>
        <w:spacing w:line="360" w:lineRule="auto"/>
        <w:jc w:val="both"/>
        <w:rPr>
          <w:rFonts w:ascii="Book Antiqua" w:hAnsi="Book Antiqua" w:cs="Book Antiqua"/>
          <w:b/>
          <w:color w:val="000000" w:themeColor="text1"/>
          <w:lang w:eastAsia="zh-CN"/>
        </w:rPr>
      </w:pPr>
      <w:r w:rsidRPr="00D53E19">
        <w:rPr>
          <w:rFonts w:ascii="Book Antiqua" w:eastAsia="Book Antiqua" w:hAnsi="Book Antiqua" w:cs="Book Antiqua"/>
          <w:color w:val="000000" w:themeColor="text1"/>
        </w:rPr>
        <w:br w:type="page"/>
      </w:r>
      <w:r w:rsidRPr="00D53E19">
        <w:rPr>
          <w:rFonts w:ascii="Book Antiqua" w:hAnsi="Book Antiqua"/>
          <w:b/>
        </w:rPr>
        <w:lastRenderedPageBreak/>
        <w:t>Table 1 Physical and spinal cord injury characteristics of the case report and</w:t>
      </w:r>
      <w:r w:rsidR="00B56009">
        <w:rPr>
          <w:rFonts w:ascii="Book Antiqua" w:hAnsi="Book Antiqua"/>
          <w:b/>
        </w:rPr>
        <w:t xml:space="preserve"> </w:t>
      </w:r>
      <w:r w:rsidRPr="00D53E19">
        <w:rPr>
          <w:rFonts w:ascii="Book Antiqua" w:hAnsi="Book Antiqua"/>
          <w:b/>
        </w:rPr>
        <w:t xml:space="preserve">case-match (1 </w:t>
      </w:r>
      <w:r w:rsidRPr="00D53E19">
        <w:rPr>
          <w:rFonts w:ascii="Book Antiqua" w:hAnsi="Book Antiqua"/>
          <w:b/>
          <w:lang w:eastAsia="zh-CN"/>
        </w:rPr>
        <w:t xml:space="preserve">and </w:t>
      </w:r>
      <w:r w:rsidRPr="00D53E19">
        <w:rPr>
          <w:rFonts w:ascii="Book Antiqua" w:hAnsi="Book Antiqua"/>
          <w:b/>
        </w:rPr>
        <w:t>2)</w:t>
      </w:r>
    </w:p>
    <w:tbl>
      <w:tblPr>
        <w:tblStyle w:val="TableGrid"/>
        <w:tblW w:w="95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004"/>
        <w:gridCol w:w="2419"/>
        <w:gridCol w:w="2419"/>
      </w:tblGrid>
      <w:tr w:rsidR="005C66A0" w:rsidRPr="00D53E19" w:rsidTr="00E96847">
        <w:trPr>
          <w:trHeight w:val="321"/>
        </w:trPr>
        <w:tc>
          <w:tcPr>
            <w:tcW w:w="2747" w:type="dxa"/>
            <w:tcBorders>
              <w:top w:val="single" w:sz="4" w:space="0" w:color="auto"/>
              <w:bottom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b/>
              </w:rPr>
            </w:pPr>
            <w:r w:rsidRPr="00D53E19">
              <w:rPr>
                <w:rFonts w:ascii="Book Antiqua" w:hAnsi="Book Antiqua" w:cs="Times New Roman"/>
                <w:b/>
              </w:rPr>
              <w:t>Characteristics</w:t>
            </w:r>
          </w:p>
        </w:tc>
        <w:tc>
          <w:tcPr>
            <w:tcW w:w="2004" w:type="dxa"/>
            <w:tcBorders>
              <w:top w:val="single" w:sz="4" w:space="0" w:color="auto"/>
              <w:bottom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b/>
              </w:rPr>
            </w:pPr>
            <w:r w:rsidRPr="00D53E19">
              <w:rPr>
                <w:rFonts w:ascii="Book Antiqua" w:hAnsi="Book Antiqua" w:cs="Times New Roman"/>
                <w:b/>
              </w:rPr>
              <w:t>Case report</w:t>
            </w:r>
          </w:p>
        </w:tc>
        <w:tc>
          <w:tcPr>
            <w:tcW w:w="2419" w:type="dxa"/>
            <w:tcBorders>
              <w:top w:val="single" w:sz="4" w:space="0" w:color="auto"/>
              <w:bottom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b/>
              </w:rPr>
            </w:pPr>
            <w:r w:rsidRPr="00D53E19">
              <w:rPr>
                <w:rFonts w:ascii="Book Antiqua" w:hAnsi="Book Antiqua" w:cs="Times New Roman"/>
                <w:b/>
              </w:rPr>
              <w:t>Case match 1</w:t>
            </w:r>
          </w:p>
        </w:tc>
        <w:tc>
          <w:tcPr>
            <w:tcW w:w="2419" w:type="dxa"/>
            <w:tcBorders>
              <w:top w:val="single" w:sz="4" w:space="0" w:color="auto"/>
              <w:bottom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b/>
              </w:rPr>
            </w:pPr>
            <w:r w:rsidRPr="00D53E19">
              <w:rPr>
                <w:rFonts w:ascii="Book Antiqua" w:hAnsi="Book Antiqua" w:cs="Times New Roman"/>
                <w:b/>
              </w:rPr>
              <w:t>Case match 2</w:t>
            </w:r>
          </w:p>
        </w:tc>
      </w:tr>
      <w:tr w:rsidR="005C66A0" w:rsidRPr="00D53E19" w:rsidTr="00E96847">
        <w:trPr>
          <w:trHeight w:val="270"/>
        </w:trPr>
        <w:tc>
          <w:tcPr>
            <w:tcW w:w="2747" w:type="dxa"/>
            <w:tcBorders>
              <w:top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Age (</w:t>
            </w:r>
            <w:proofErr w:type="spellStart"/>
            <w:r w:rsidRPr="00D53E19">
              <w:rPr>
                <w:rFonts w:ascii="Book Antiqua" w:hAnsi="Book Antiqua" w:cs="Times New Roman"/>
              </w:rPr>
              <w:t>yr</w:t>
            </w:r>
            <w:proofErr w:type="spellEnd"/>
            <w:r w:rsidRPr="00D53E19">
              <w:rPr>
                <w:rFonts w:ascii="Book Antiqua" w:hAnsi="Book Antiqua" w:cs="Times New Roman"/>
              </w:rPr>
              <w:t>)</w:t>
            </w:r>
          </w:p>
        </w:tc>
        <w:tc>
          <w:tcPr>
            <w:tcW w:w="2004" w:type="dxa"/>
            <w:tcBorders>
              <w:top w:val="single" w:sz="4" w:space="0" w:color="auto"/>
            </w:tcBorders>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46</w:t>
            </w:r>
          </w:p>
        </w:tc>
        <w:tc>
          <w:tcPr>
            <w:tcW w:w="2419" w:type="dxa"/>
            <w:tcBorders>
              <w:top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25</w:t>
            </w:r>
          </w:p>
        </w:tc>
        <w:tc>
          <w:tcPr>
            <w:tcW w:w="2419" w:type="dxa"/>
            <w:tcBorders>
              <w:top w:val="single" w:sz="4" w:space="0" w:color="auto"/>
            </w:tcBorders>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44</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Weight (kg)</w:t>
            </w:r>
          </w:p>
        </w:tc>
        <w:tc>
          <w:tcPr>
            <w:tcW w:w="2004"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44.8</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58</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53.5</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Height (cm)</w:t>
            </w:r>
          </w:p>
        </w:tc>
        <w:tc>
          <w:tcPr>
            <w:tcW w:w="2004" w:type="dxa"/>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160.2</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185.4</w:t>
            </w:r>
          </w:p>
        </w:tc>
        <w:tc>
          <w:tcPr>
            <w:tcW w:w="2419" w:type="dxa"/>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183</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BMI (kg/m</w:t>
            </w:r>
            <w:r w:rsidRPr="00D53E19">
              <w:rPr>
                <w:rFonts w:ascii="Book Antiqua" w:hAnsi="Book Antiqua" w:cs="Times New Roman"/>
                <w:vertAlign w:val="superscript"/>
              </w:rPr>
              <w:t>2</w:t>
            </w:r>
            <w:r w:rsidRPr="00D53E19">
              <w:rPr>
                <w:rFonts w:ascii="Book Antiqua" w:hAnsi="Book Antiqua" w:cs="Times New Roman"/>
              </w:rPr>
              <w:t>)</w:t>
            </w:r>
          </w:p>
        </w:tc>
        <w:tc>
          <w:tcPr>
            <w:tcW w:w="2004" w:type="dxa"/>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17.5</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16.9</w:t>
            </w:r>
          </w:p>
        </w:tc>
        <w:tc>
          <w:tcPr>
            <w:tcW w:w="2419" w:type="dxa"/>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16</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Gender</w:t>
            </w:r>
          </w:p>
        </w:tc>
        <w:tc>
          <w:tcPr>
            <w:tcW w:w="2004" w:type="dxa"/>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Male</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Male</w:t>
            </w:r>
          </w:p>
        </w:tc>
        <w:tc>
          <w:tcPr>
            <w:tcW w:w="2419" w:type="dxa"/>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rPr>
              <w:t>Male</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Ethnicity</w:t>
            </w:r>
          </w:p>
        </w:tc>
        <w:tc>
          <w:tcPr>
            <w:tcW w:w="2004" w:type="dxa"/>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White</w:t>
            </w:r>
          </w:p>
        </w:tc>
        <w:tc>
          <w:tcPr>
            <w:tcW w:w="2419" w:type="dxa"/>
          </w:tcPr>
          <w:p w:rsidR="005C66A0" w:rsidRPr="00D53E19" w:rsidRDefault="00C24D09" w:rsidP="00D53E19">
            <w:pPr>
              <w:adjustRightInd w:val="0"/>
              <w:snapToGrid w:val="0"/>
              <w:spacing w:line="360" w:lineRule="auto"/>
              <w:jc w:val="both"/>
              <w:rPr>
                <w:rFonts w:ascii="Book Antiqua" w:hAnsi="Book Antiqua" w:cs="Times New Roman"/>
              </w:rPr>
            </w:pPr>
            <w:r>
              <w:rPr>
                <w:rFonts w:ascii="Book Antiqua" w:hAnsi="Book Antiqua" w:cs="Times New Roman"/>
              </w:rPr>
              <w:t>White</w:t>
            </w:r>
          </w:p>
        </w:tc>
        <w:tc>
          <w:tcPr>
            <w:tcW w:w="2419" w:type="dxa"/>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White</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Level of injury</w:t>
            </w:r>
          </w:p>
        </w:tc>
        <w:tc>
          <w:tcPr>
            <w:tcW w:w="2004"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C6</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C7</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C7</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 xml:space="preserve">Level of </w:t>
            </w:r>
            <w:r w:rsidR="008E419F" w:rsidRPr="00D53E19">
              <w:rPr>
                <w:rFonts w:ascii="Book Antiqua" w:hAnsi="Book Antiqua" w:cs="Times New Roman"/>
              </w:rPr>
              <w:t>paralysis</w:t>
            </w:r>
          </w:p>
        </w:tc>
        <w:tc>
          <w:tcPr>
            <w:tcW w:w="2004"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Tetraplegia</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Tetraplegia</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Tetraplegia</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Time since injury (</w:t>
            </w:r>
            <w:proofErr w:type="spellStart"/>
            <w:r w:rsidRPr="00D53E19">
              <w:rPr>
                <w:rFonts w:ascii="Book Antiqua" w:hAnsi="Book Antiqua" w:cs="Times New Roman"/>
              </w:rPr>
              <w:t>yr</w:t>
            </w:r>
            <w:proofErr w:type="spellEnd"/>
            <w:r w:rsidRPr="00D53E19">
              <w:rPr>
                <w:rFonts w:ascii="Book Antiqua" w:hAnsi="Book Antiqua" w:cs="Times New Roman"/>
              </w:rPr>
              <w:t>)</w:t>
            </w:r>
          </w:p>
        </w:tc>
        <w:tc>
          <w:tcPr>
            <w:tcW w:w="2004"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20</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2</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13</w:t>
            </w:r>
          </w:p>
        </w:tc>
      </w:tr>
      <w:tr w:rsidR="005C66A0" w:rsidRPr="00D53E19" w:rsidTr="00E96847">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 xml:space="preserve">AIS classification </w:t>
            </w:r>
          </w:p>
        </w:tc>
        <w:tc>
          <w:tcPr>
            <w:tcW w:w="2004"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A</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B</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A</w:t>
            </w:r>
          </w:p>
        </w:tc>
      </w:tr>
    </w:tbl>
    <w:p w:rsidR="005C66A0" w:rsidRPr="00D53E19" w:rsidRDefault="005C66A0" w:rsidP="00D53E19">
      <w:pPr>
        <w:adjustRightInd w:val="0"/>
        <w:snapToGrid w:val="0"/>
        <w:spacing w:line="360" w:lineRule="auto"/>
        <w:jc w:val="both"/>
        <w:rPr>
          <w:rFonts w:ascii="Book Antiqua" w:hAnsi="Book Antiqua"/>
          <w:lang w:eastAsia="zh-CN"/>
        </w:rPr>
      </w:pPr>
      <w:r w:rsidRPr="00D53E19">
        <w:rPr>
          <w:rFonts w:ascii="Book Antiqua" w:hAnsi="Book Antiqua"/>
        </w:rPr>
        <w:t xml:space="preserve">Case match 1 was included to account for the lack of initial DXA scan for the case report at the time of IBT implantation. </w:t>
      </w:r>
      <w:r w:rsidR="0043723C" w:rsidRPr="00D53E19">
        <w:rPr>
          <w:rFonts w:ascii="Book Antiqua" w:hAnsi="Book Antiqua"/>
        </w:rPr>
        <w:t>AIS</w:t>
      </w:r>
      <w:r w:rsidR="0043723C" w:rsidRPr="00D53E19">
        <w:rPr>
          <w:rFonts w:ascii="Book Antiqua" w:hAnsi="Book Antiqua"/>
          <w:lang w:eastAsia="zh-CN"/>
        </w:rPr>
        <w:t xml:space="preserve">: </w:t>
      </w:r>
      <w:r w:rsidR="0043723C" w:rsidRPr="00D53E19">
        <w:rPr>
          <w:rFonts w:ascii="Book Antiqua" w:hAnsi="Book Antiqua"/>
        </w:rPr>
        <w:t>American Spinal Injury Association impairment scale; BMI</w:t>
      </w:r>
      <w:r w:rsidR="0043723C" w:rsidRPr="00D53E19">
        <w:rPr>
          <w:rFonts w:ascii="Book Antiqua" w:hAnsi="Book Antiqua"/>
          <w:lang w:eastAsia="zh-CN"/>
        </w:rPr>
        <w:t>:</w:t>
      </w:r>
      <w:r w:rsidR="0043723C" w:rsidRPr="00D53E19">
        <w:rPr>
          <w:rFonts w:ascii="Book Antiqua" w:hAnsi="Book Antiqua"/>
        </w:rPr>
        <w:t xml:space="preserve"> Body mass index.</w:t>
      </w:r>
    </w:p>
    <w:p w:rsidR="005C66A0" w:rsidRPr="00D53E19" w:rsidRDefault="00E96847" w:rsidP="00D53E19">
      <w:pPr>
        <w:adjustRightInd w:val="0"/>
        <w:snapToGrid w:val="0"/>
        <w:spacing w:line="360" w:lineRule="auto"/>
        <w:jc w:val="both"/>
        <w:rPr>
          <w:rFonts w:ascii="Book Antiqua" w:hAnsi="Book Antiqua"/>
          <w:b/>
          <w:lang w:eastAsia="zh-CN"/>
        </w:rPr>
      </w:pPr>
      <w:r w:rsidRPr="00D53E19">
        <w:rPr>
          <w:rFonts w:ascii="Book Antiqua" w:hAnsi="Book Antiqua"/>
          <w:color w:val="000000" w:themeColor="text1"/>
          <w:lang w:eastAsia="zh-CN"/>
        </w:rPr>
        <w:br w:type="page"/>
      </w:r>
      <w:r w:rsidR="005C66A0" w:rsidRPr="00D53E19">
        <w:rPr>
          <w:rFonts w:ascii="Book Antiqua" w:hAnsi="Book Antiqua"/>
          <w:b/>
          <w:bCs/>
        </w:rPr>
        <w:lastRenderedPageBreak/>
        <w:t>Table 2</w:t>
      </w:r>
      <w:r w:rsidR="005C66A0" w:rsidRPr="00D53E19">
        <w:rPr>
          <w:rFonts w:ascii="Book Antiqua" w:hAnsi="Book Antiqua"/>
          <w:b/>
        </w:rPr>
        <w:t xml:space="preserve"> Bone mineral density and </w:t>
      </w:r>
      <w:r w:rsidR="008C3224" w:rsidRPr="00D53E19">
        <w:rPr>
          <w:rFonts w:ascii="Book Antiqua" w:eastAsia="Book Antiqua" w:hAnsi="Book Antiqua" w:cs="Book Antiqua"/>
          <w:b/>
          <w:color w:val="000000" w:themeColor="text1"/>
        </w:rPr>
        <w:t>bone mineral content</w:t>
      </w:r>
      <w:r w:rsidR="008C3224" w:rsidRPr="00D53E19">
        <w:rPr>
          <w:rFonts w:ascii="Book Antiqua" w:hAnsi="Book Antiqua"/>
          <w:b/>
        </w:rPr>
        <w:t xml:space="preserve"> </w:t>
      </w:r>
      <w:r w:rsidR="005C66A0" w:rsidRPr="00D53E19">
        <w:rPr>
          <w:rFonts w:ascii="Book Antiqua" w:hAnsi="Book Antiqua"/>
          <w:b/>
        </w:rPr>
        <w:t xml:space="preserve">for knee metaphysis and bone epiphysis of distal femur and proximal tibia in a case report with </w:t>
      </w:r>
      <w:r w:rsidR="008C3224" w:rsidRPr="00D53E19">
        <w:rPr>
          <w:rFonts w:ascii="Book Antiqua" w:eastAsia="Book Antiqua" w:hAnsi="Book Antiqua" w:cs="Book Antiqua"/>
          <w:b/>
          <w:color w:val="000000" w:themeColor="text1"/>
        </w:rPr>
        <w:t>intrathecal baclofen treatment</w:t>
      </w:r>
      <w:r w:rsidR="008C3224" w:rsidRPr="00D53E19">
        <w:rPr>
          <w:rFonts w:ascii="Book Antiqua" w:hAnsi="Book Antiqua"/>
          <w:b/>
        </w:rPr>
        <w:t xml:space="preserve"> </w:t>
      </w:r>
      <w:r w:rsidR="005C66A0" w:rsidRPr="00D53E19">
        <w:rPr>
          <w:rFonts w:ascii="Book Antiqua" w:hAnsi="Book Antiqua"/>
          <w:b/>
        </w:rPr>
        <w:t xml:space="preserve">implantation and the case-matches with complete </w:t>
      </w:r>
      <w:r w:rsidR="008C3224" w:rsidRPr="00D53E19">
        <w:rPr>
          <w:rFonts w:ascii="Book Antiqua" w:eastAsia="Book Antiqua" w:hAnsi="Book Antiqua" w:cs="Book Antiqua"/>
          <w:b/>
          <w:bCs/>
          <w:color w:val="000000" w:themeColor="text1"/>
        </w:rPr>
        <w:t>spinal cord injury</w:t>
      </w:r>
    </w:p>
    <w:tbl>
      <w:tblPr>
        <w:tblStyle w:val="TableGrid"/>
        <w:tblW w:w="5626" w:type="pct"/>
        <w:tblInd w:w="-7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991"/>
        <w:gridCol w:w="991"/>
        <w:gridCol w:w="989"/>
        <w:gridCol w:w="989"/>
        <w:gridCol w:w="989"/>
        <w:gridCol w:w="989"/>
        <w:gridCol w:w="989"/>
        <w:gridCol w:w="899"/>
      </w:tblGrid>
      <w:tr w:rsidR="005C66A0" w:rsidRPr="00D53E19" w:rsidTr="00915D2F">
        <w:trPr>
          <w:trHeight w:val="317"/>
        </w:trPr>
        <w:tc>
          <w:tcPr>
            <w:tcW w:w="1368" w:type="pct"/>
            <w:tcBorders>
              <w:top w:val="single" w:sz="4" w:space="0" w:color="auto"/>
              <w:bottom w:val="single" w:sz="4" w:space="0" w:color="auto"/>
            </w:tcBorders>
            <w:shd w:val="clear" w:color="auto" w:fill="auto"/>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rPr>
              <w:t>Region</w:t>
            </w:r>
          </w:p>
        </w:tc>
        <w:tc>
          <w:tcPr>
            <w:tcW w:w="460" w:type="pct"/>
            <w:tcBorders>
              <w:top w:val="single" w:sz="4" w:space="0" w:color="auto"/>
              <w:bottom w:val="single" w:sz="4" w:space="0" w:color="auto"/>
            </w:tcBorders>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RDFM</w:t>
            </w:r>
          </w:p>
        </w:tc>
        <w:tc>
          <w:tcPr>
            <w:tcW w:w="460" w:type="pct"/>
            <w:tcBorders>
              <w:top w:val="single" w:sz="4" w:space="0" w:color="auto"/>
              <w:bottom w:val="single" w:sz="4" w:space="0" w:color="auto"/>
            </w:tcBorders>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RPTM</w:t>
            </w:r>
          </w:p>
        </w:tc>
        <w:tc>
          <w:tcPr>
            <w:tcW w:w="459" w:type="pct"/>
            <w:tcBorders>
              <w:top w:val="single" w:sz="4" w:space="0" w:color="auto"/>
              <w:bottom w:val="single" w:sz="4" w:space="0" w:color="auto"/>
            </w:tcBorders>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LDFM</w:t>
            </w:r>
          </w:p>
        </w:tc>
        <w:tc>
          <w:tcPr>
            <w:tcW w:w="459" w:type="pct"/>
            <w:tcBorders>
              <w:top w:val="single" w:sz="4" w:space="0" w:color="auto"/>
              <w:bottom w:val="single" w:sz="4" w:space="0" w:color="auto"/>
            </w:tcBorders>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LPTM</w:t>
            </w:r>
          </w:p>
        </w:tc>
        <w:tc>
          <w:tcPr>
            <w:tcW w:w="459" w:type="pct"/>
            <w:tcBorders>
              <w:top w:val="single" w:sz="4" w:space="0" w:color="auto"/>
              <w:bottom w:val="single" w:sz="4" w:space="0" w:color="auto"/>
            </w:tcBorders>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RDFE</w:t>
            </w:r>
          </w:p>
        </w:tc>
        <w:tc>
          <w:tcPr>
            <w:tcW w:w="459" w:type="pct"/>
            <w:tcBorders>
              <w:top w:val="single" w:sz="4" w:space="0" w:color="auto"/>
              <w:bottom w:val="single" w:sz="4" w:space="0" w:color="auto"/>
            </w:tcBorders>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RPTE</w:t>
            </w:r>
          </w:p>
        </w:tc>
        <w:tc>
          <w:tcPr>
            <w:tcW w:w="459" w:type="pct"/>
            <w:tcBorders>
              <w:top w:val="single" w:sz="4" w:space="0" w:color="auto"/>
              <w:bottom w:val="single" w:sz="4" w:space="0" w:color="auto"/>
            </w:tcBorders>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LDFE</w:t>
            </w:r>
          </w:p>
        </w:tc>
        <w:tc>
          <w:tcPr>
            <w:tcW w:w="417" w:type="pct"/>
            <w:tcBorders>
              <w:top w:val="single" w:sz="4" w:space="0" w:color="auto"/>
              <w:bottom w:val="single" w:sz="4" w:space="0" w:color="auto"/>
            </w:tcBorders>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LPTE</w:t>
            </w:r>
          </w:p>
        </w:tc>
      </w:tr>
      <w:tr w:rsidR="008C3224" w:rsidRPr="00D53E19" w:rsidTr="00915D2F">
        <w:trPr>
          <w:trHeight w:val="395"/>
        </w:trPr>
        <w:tc>
          <w:tcPr>
            <w:tcW w:w="5000" w:type="pct"/>
            <w:gridSpan w:val="9"/>
            <w:tcBorders>
              <w:top w:val="single" w:sz="4" w:space="0" w:color="auto"/>
            </w:tcBorders>
            <w:shd w:val="clear" w:color="auto" w:fill="auto"/>
          </w:tcPr>
          <w:p w:rsidR="008C3224" w:rsidRPr="00D53E19" w:rsidRDefault="008C3224"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Knee BMC</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Case </w:t>
            </w:r>
            <w:r w:rsidR="008C3224" w:rsidRPr="00D53E19">
              <w:rPr>
                <w:rFonts w:ascii="Book Antiqua" w:hAnsi="Book Antiqua" w:cs="Times New Roman"/>
                <w:bCs/>
              </w:rPr>
              <w:t>report</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3.97</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4.29</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4.11</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4.07</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5.73</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4.66</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6.94</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4.58</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Case </w:t>
            </w:r>
            <w:r w:rsidR="008C3224" w:rsidRPr="00D53E19">
              <w:rPr>
                <w:rFonts w:ascii="Book Antiqua" w:hAnsi="Book Antiqua" w:cs="Times New Roman"/>
                <w:bCs/>
              </w:rPr>
              <w:t xml:space="preserve">match </w:t>
            </w:r>
            <w:r w:rsidRPr="00D53E19">
              <w:rPr>
                <w:rFonts w:ascii="Book Antiqua" w:hAnsi="Book Antiqua" w:cs="Times New Roman"/>
                <w:bCs/>
              </w:rPr>
              <w:t>1</w:t>
            </w:r>
          </w:p>
        </w:tc>
        <w:tc>
          <w:tcPr>
            <w:tcW w:w="460" w:type="pct"/>
            <w:shd w:val="clear" w:color="auto" w:fill="auto"/>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8.49</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8.32</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7.89</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9.2</w:t>
            </w:r>
          </w:p>
        </w:tc>
        <w:tc>
          <w:tcPr>
            <w:tcW w:w="459" w:type="pct"/>
            <w:shd w:val="clear" w:color="auto" w:fill="auto"/>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15.68</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12.4</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16.15</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12.71</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 change case to </w:t>
            </w:r>
            <w:r w:rsidR="008C3224" w:rsidRPr="00D53E19">
              <w:rPr>
                <w:rFonts w:ascii="Book Antiqua" w:hAnsi="Book Antiqua" w:cs="Times New Roman"/>
                <w:bCs/>
              </w:rPr>
              <w:t xml:space="preserve">match </w:t>
            </w:r>
            <w:r w:rsidRPr="00D53E19">
              <w:rPr>
                <w:rFonts w:ascii="Book Antiqua" w:hAnsi="Book Antiqua" w:cs="Times New Roman"/>
                <w:bCs/>
              </w:rPr>
              <w:t>1</w:t>
            </w:r>
          </w:p>
        </w:tc>
        <w:tc>
          <w:tcPr>
            <w:tcW w:w="460"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113.3</w:t>
            </w:r>
          </w:p>
        </w:tc>
        <w:tc>
          <w:tcPr>
            <w:tcW w:w="460"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93.9</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91.9</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126.0</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173.6</w:t>
            </w:r>
          </w:p>
        </w:tc>
        <w:tc>
          <w:tcPr>
            <w:tcW w:w="459"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166.0</w:t>
            </w:r>
          </w:p>
        </w:tc>
        <w:tc>
          <w:tcPr>
            <w:tcW w:w="459"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132.7</w:t>
            </w:r>
          </w:p>
        </w:tc>
        <w:tc>
          <w:tcPr>
            <w:tcW w:w="417"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177.5</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Case </w:t>
            </w:r>
            <w:r w:rsidR="008C3224" w:rsidRPr="00D53E19">
              <w:rPr>
                <w:rFonts w:ascii="Book Antiqua" w:hAnsi="Book Antiqua" w:cs="Times New Roman"/>
                <w:bCs/>
              </w:rPr>
              <w:t xml:space="preserve">match </w:t>
            </w:r>
            <w:r w:rsidRPr="00D53E19">
              <w:rPr>
                <w:rFonts w:ascii="Book Antiqua" w:hAnsi="Book Antiqua" w:cs="Times New Roman"/>
                <w:bCs/>
              </w:rPr>
              <w:t>2</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5.13</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3.21</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5.28</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4.79</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9.79</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5.12</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11.66</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6.63</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 change case to </w:t>
            </w:r>
            <w:r w:rsidR="008C3224" w:rsidRPr="00D53E19">
              <w:rPr>
                <w:rFonts w:ascii="Book Antiqua" w:hAnsi="Book Antiqua" w:cs="Times New Roman"/>
                <w:bCs/>
              </w:rPr>
              <w:t xml:space="preserve">match </w:t>
            </w:r>
            <w:r w:rsidRPr="00D53E19">
              <w:rPr>
                <w:rFonts w:ascii="Book Antiqua" w:hAnsi="Book Antiqua" w:cs="Times New Roman"/>
                <w:bCs/>
              </w:rPr>
              <w:t>2</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29.2</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-25.1</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28.4</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17.7</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70.8</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9.8</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68.0</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44.7</w:t>
            </w:r>
          </w:p>
        </w:tc>
      </w:tr>
      <w:tr w:rsidR="005C66A0" w:rsidRPr="00D53E19" w:rsidTr="00915D2F">
        <w:trPr>
          <w:trHeight w:val="317"/>
        </w:trPr>
        <w:tc>
          <w:tcPr>
            <w:tcW w:w="5000" w:type="pct"/>
            <w:gridSpan w:val="9"/>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color w:val="FFFFFF" w:themeColor="background1"/>
                <w:highlight w:val="black"/>
              </w:rPr>
            </w:pPr>
            <w:r w:rsidRPr="00D53E19">
              <w:rPr>
                <w:rFonts w:ascii="Book Antiqua" w:hAnsi="Book Antiqua" w:cs="Times New Roman"/>
                <w:bCs/>
              </w:rPr>
              <w:t>Knee BMD</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Case </w:t>
            </w:r>
            <w:r w:rsidR="008C3224" w:rsidRPr="00D53E19">
              <w:rPr>
                <w:rFonts w:ascii="Book Antiqua" w:hAnsi="Book Antiqua" w:cs="Times New Roman"/>
                <w:bCs/>
              </w:rPr>
              <w:t>report</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0.257</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0.484</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0.267</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0.404</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0.277</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0.248</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0.354</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0.247</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Case </w:t>
            </w:r>
            <w:r w:rsidR="008C3224" w:rsidRPr="00D53E19">
              <w:rPr>
                <w:rFonts w:ascii="Book Antiqua" w:hAnsi="Book Antiqua" w:cs="Times New Roman"/>
                <w:bCs/>
              </w:rPr>
              <w:t xml:space="preserve">match </w:t>
            </w:r>
            <w:r w:rsidRPr="00D53E19">
              <w:rPr>
                <w:rFonts w:ascii="Book Antiqua" w:hAnsi="Book Antiqua" w:cs="Times New Roman"/>
                <w:bCs/>
              </w:rPr>
              <w:t>1</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0.605</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0.665</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0.585</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0.731</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0.605</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0.479</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0.634</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0.498</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 change case to </w:t>
            </w:r>
            <w:r w:rsidR="008C3224" w:rsidRPr="00D53E19">
              <w:rPr>
                <w:rFonts w:ascii="Book Antiqua" w:hAnsi="Book Antiqua" w:cs="Times New Roman"/>
                <w:bCs/>
              </w:rPr>
              <w:t xml:space="preserve">match </w:t>
            </w:r>
            <w:r w:rsidRPr="00D53E19">
              <w:rPr>
                <w:rFonts w:ascii="Book Antiqua" w:hAnsi="Book Antiqua" w:cs="Times New Roman"/>
                <w:bCs/>
              </w:rPr>
              <w:t>1</w:t>
            </w:r>
          </w:p>
        </w:tc>
        <w:tc>
          <w:tcPr>
            <w:tcW w:w="460"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135.4</w:t>
            </w:r>
          </w:p>
        </w:tc>
        <w:tc>
          <w:tcPr>
            <w:tcW w:w="460"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37.4</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119.1</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80.9</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118.4</w:t>
            </w:r>
          </w:p>
        </w:tc>
        <w:tc>
          <w:tcPr>
            <w:tcW w:w="459"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93.1</w:t>
            </w:r>
          </w:p>
        </w:tc>
        <w:tc>
          <w:tcPr>
            <w:tcW w:w="459"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79.09</w:t>
            </w:r>
          </w:p>
        </w:tc>
        <w:tc>
          <w:tcPr>
            <w:tcW w:w="417"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101.6</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lang w:eastAsia="zh-CN"/>
              </w:rPr>
            </w:pPr>
            <w:r w:rsidRPr="00D53E19">
              <w:rPr>
                <w:rFonts w:ascii="Book Antiqua" w:hAnsi="Book Antiqua" w:cs="Times New Roman"/>
                <w:bCs/>
              </w:rPr>
              <w:t xml:space="preserve">Case </w:t>
            </w:r>
            <w:r w:rsidR="008C3224" w:rsidRPr="00D53E19">
              <w:rPr>
                <w:rFonts w:ascii="Book Antiqua" w:hAnsi="Book Antiqua" w:cs="Times New Roman"/>
                <w:bCs/>
              </w:rPr>
              <w:t xml:space="preserve">match </w:t>
            </w:r>
            <w:r w:rsidRPr="00D53E19">
              <w:rPr>
                <w:rFonts w:ascii="Book Antiqua" w:hAnsi="Book Antiqua" w:cs="Times New Roman"/>
                <w:bCs/>
              </w:rPr>
              <w:t>2</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0.371</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0.263</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0.376</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0.362</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0.435</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0.246</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0.487</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0.286</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 change case to </w:t>
            </w:r>
            <w:r w:rsidR="008C3224" w:rsidRPr="00D53E19">
              <w:rPr>
                <w:rFonts w:ascii="Book Antiqua" w:hAnsi="Book Antiqua" w:cs="Times New Roman"/>
                <w:bCs/>
              </w:rPr>
              <w:t xml:space="preserve">match </w:t>
            </w:r>
            <w:r w:rsidRPr="00D53E19">
              <w:rPr>
                <w:rFonts w:ascii="Book Antiqua" w:hAnsi="Book Antiqua" w:cs="Times New Roman"/>
                <w:bCs/>
              </w:rPr>
              <w:t>2</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44.3</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-45.6</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40.8</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-10.4</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57.0</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-0.8065</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37.6</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15.8</w:t>
            </w:r>
          </w:p>
        </w:tc>
      </w:tr>
    </w:tbl>
    <w:p w:rsidR="005C66A0" w:rsidRPr="00D53E19" w:rsidRDefault="00DE6FE1" w:rsidP="00D53E19">
      <w:pPr>
        <w:adjustRightInd w:val="0"/>
        <w:snapToGrid w:val="0"/>
        <w:spacing w:line="360" w:lineRule="auto"/>
        <w:jc w:val="both"/>
        <w:rPr>
          <w:rFonts w:ascii="Book Antiqua" w:hAnsi="Book Antiqua"/>
          <w:lang w:eastAsia="zh-CN"/>
        </w:rPr>
      </w:pPr>
      <w:r w:rsidRPr="00D53E19">
        <w:rPr>
          <w:rFonts w:ascii="Book Antiqua" w:hAnsi="Book Antiqua"/>
        </w:rPr>
        <w:t>% change is the percentage changes in either bone mineral density or bone mineral content between the case repo</w:t>
      </w:r>
      <w:r w:rsidR="00107E9B" w:rsidRPr="00D53E19">
        <w:rPr>
          <w:rFonts w:ascii="Book Antiqua" w:hAnsi="Book Antiqua"/>
        </w:rPr>
        <w:t xml:space="preserve">rt and either the case match 1 </w:t>
      </w:r>
      <w:r w:rsidR="00107E9B" w:rsidRPr="00D53E19">
        <w:rPr>
          <w:rFonts w:ascii="Book Antiqua" w:hAnsi="Book Antiqua"/>
          <w:lang w:eastAsia="zh-CN"/>
        </w:rPr>
        <w:t>[</w:t>
      </w:r>
      <w:r w:rsidRPr="00D53E19">
        <w:rPr>
          <w:rFonts w:ascii="Book Antiqua" w:hAnsi="Book Antiqua"/>
        </w:rPr>
        <w:t>2 years post-</w:t>
      </w:r>
      <w:r w:rsidR="00107E9B" w:rsidRPr="00D53E19">
        <w:rPr>
          <w:rFonts w:ascii="Book Antiqua" w:hAnsi="Book Antiqua"/>
        </w:rPr>
        <w:t xml:space="preserve"> post-spinal cord injury </w:t>
      </w:r>
      <w:r w:rsidR="00107E9B" w:rsidRPr="00D53E19">
        <w:rPr>
          <w:rFonts w:ascii="Book Antiqua" w:hAnsi="Book Antiqua"/>
          <w:lang w:eastAsia="zh-CN"/>
        </w:rPr>
        <w:t>(</w:t>
      </w:r>
      <w:r w:rsidRPr="00D53E19">
        <w:rPr>
          <w:rFonts w:ascii="Book Antiqua" w:hAnsi="Book Antiqua"/>
        </w:rPr>
        <w:t>SCI)</w:t>
      </w:r>
      <w:r w:rsidR="00107E9B" w:rsidRPr="00D53E19">
        <w:rPr>
          <w:rFonts w:ascii="Book Antiqua" w:hAnsi="Book Antiqua"/>
          <w:lang w:eastAsia="zh-CN"/>
        </w:rPr>
        <w:t>]</w:t>
      </w:r>
      <w:r w:rsidRPr="00D53E19">
        <w:rPr>
          <w:rFonts w:ascii="Book Antiqua" w:hAnsi="Book Antiqua"/>
        </w:rPr>
        <w:t xml:space="preserve"> or the case-match 2 (13-years post-</w:t>
      </w:r>
      <w:r w:rsidR="00107E9B" w:rsidRPr="00D53E19">
        <w:rPr>
          <w:rFonts w:ascii="Book Antiqua" w:hAnsi="Book Antiqua"/>
          <w:lang w:eastAsia="zh-CN"/>
        </w:rPr>
        <w:t>SCI</w:t>
      </w:r>
      <w:r w:rsidRPr="00D53E19">
        <w:rPr>
          <w:rFonts w:ascii="Book Antiqua" w:hAnsi="Book Antiqua"/>
        </w:rPr>
        <w:t>).</w:t>
      </w:r>
      <w:r w:rsidRPr="00D53E19">
        <w:rPr>
          <w:rFonts w:ascii="Book Antiqua" w:hAnsi="Book Antiqua"/>
          <w:lang w:eastAsia="zh-CN"/>
        </w:rPr>
        <w:t xml:space="preserve"> </w:t>
      </w:r>
      <w:r w:rsidRPr="00D53E19">
        <w:rPr>
          <w:rFonts w:ascii="Book Antiqua" w:hAnsi="Book Antiqua"/>
        </w:rPr>
        <w:t xml:space="preserve">BMC: </w:t>
      </w:r>
      <w:r w:rsidR="00825EE6" w:rsidRPr="00D53E19">
        <w:rPr>
          <w:rFonts w:ascii="Book Antiqua" w:hAnsi="Book Antiqua"/>
        </w:rPr>
        <w:t xml:space="preserve">Bone </w:t>
      </w:r>
      <w:r w:rsidRPr="00D53E19">
        <w:rPr>
          <w:rFonts w:ascii="Book Antiqua" w:hAnsi="Book Antiqua"/>
        </w:rPr>
        <w:t>mineral content;</w:t>
      </w:r>
      <w:r w:rsidRPr="00D53E19">
        <w:rPr>
          <w:rFonts w:ascii="Book Antiqua" w:hAnsi="Book Antiqua"/>
          <w:lang w:eastAsia="zh-CN"/>
        </w:rPr>
        <w:t xml:space="preserve"> </w:t>
      </w:r>
      <w:r w:rsidRPr="00D53E19">
        <w:rPr>
          <w:rFonts w:ascii="Book Antiqua" w:hAnsi="Book Antiqua"/>
        </w:rPr>
        <w:t xml:space="preserve">BMD: </w:t>
      </w:r>
      <w:r w:rsidR="00825EE6" w:rsidRPr="00D53E19">
        <w:rPr>
          <w:rFonts w:ascii="Book Antiqua" w:hAnsi="Book Antiqua"/>
        </w:rPr>
        <w:t xml:space="preserve">Bone </w:t>
      </w:r>
      <w:r w:rsidRPr="00D53E19">
        <w:rPr>
          <w:rFonts w:ascii="Book Antiqua" w:hAnsi="Book Antiqua"/>
        </w:rPr>
        <w:t>mineral density</w:t>
      </w:r>
      <w:r w:rsidRPr="00D53E19">
        <w:rPr>
          <w:rFonts w:ascii="Book Antiqua" w:hAnsi="Book Antiqua"/>
          <w:lang w:eastAsia="zh-CN"/>
        </w:rPr>
        <w:t xml:space="preserve">; </w:t>
      </w:r>
      <w:r w:rsidR="005C66A0" w:rsidRPr="00D53E19">
        <w:rPr>
          <w:rFonts w:ascii="Book Antiqua" w:hAnsi="Book Antiqua"/>
        </w:rPr>
        <w:t xml:space="preserve">RDFM: </w:t>
      </w:r>
      <w:r w:rsidR="00825EE6" w:rsidRPr="00D53E19">
        <w:rPr>
          <w:rFonts w:ascii="Book Antiqua" w:hAnsi="Book Antiqua"/>
        </w:rPr>
        <w:t xml:space="preserve">Right </w:t>
      </w:r>
      <w:r w:rsidR="005C66A0" w:rsidRPr="00D53E19">
        <w:rPr>
          <w:rFonts w:ascii="Book Antiqua" w:hAnsi="Book Antiqua"/>
        </w:rPr>
        <w:t xml:space="preserve">distal femur metaphysis; RPTM: </w:t>
      </w:r>
      <w:r w:rsidR="00825EE6" w:rsidRPr="00D53E19">
        <w:rPr>
          <w:rFonts w:ascii="Book Antiqua" w:hAnsi="Book Antiqua"/>
        </w:rPr>
        <w:t xml:space="preserve">Right </w:t>
      </w:r>
      <w:r w:rsidR="005C66A0" w:rsidRPr="00D53E19">
        <w:rPr>
          <w:rFonts w:ascii="Book Antiqua" w:hAnsi="Book Antiqua"/>
        </w:rPr>
        <w:t xml:space="preserve">proximal tibia metaphysis; LDFM: </w:t>
      </w:r>
      <w:r w:rsidR="00825EE6" w:rsidRPr="00D53E19">
        <w:rPr>
          <w:rFonts w:ascii="Book Antiqua" w:hAnsi="Book Antiqua"/>
        </w:rPr>
        <w:t xml:space="preserve">Left </w:t>
      </w:r>
      <w:r w:rsidR="005C66A0" w:rsidRPr="00D53E19">
        <w:rPr>
          <w:rFonts w:ascii="Book Antiqua" w:hAnsi="Book Antiqua"/>
        </w:rPr>
        <w:t xml:space="preserve">distal femur metaphysis; LPTM: </w:t>
      </w:r>
      <w:r w:rsidR="00825EE6" w:rsidRPr="00D53E19">
        <w:rPr>
          <w:rFonts w:ascii="Book Antiqua" w:hAnsi="Book Antiqua"/>
        </w:rPr>
        <w:t xml:space="preserve">Left </w:t>
      </w:r>
      <w:r w:rsidRPr="00D53E19">
        <w:rPr>
          <w:rFonts w:ascii="Book Antiqua" w:hAnsi="Book Antiqua"/>
        </w:rPr>
        <w:t xml:space="preserve">proximal tibia metaphysis; </w:t>
      </w:r>
      <w:r w:rsidR="005C66A0" w:rsidRPr="00D53E19">
        <w:rPr>
          <w:rFonts w:ascii="Book Antiqua" w:hAnsi="Book Antiqua"/>
        </w:rPr>
        <w:t xml:space="preserve">RDFE: </w:t>
      </w:r>
      <w:r w:rsidR="00825EE6" w:rsidRPr="00D53E19">
        <w:rPr>
          <w:rFonts w:ascii="Book Antiqua" w:hAnsi="Book Antiqua"/>
        </w:rPr>
        <w:t xml:space="preserve">Right </w:t>
      </w:r>
      <w:r w:rsidR="005C66A0" w:rsidRPr="00D53E19">
        <w:rPr>
          <w:rFonts w:ascii="Book Antiqua" w:hAnsi="Book Antiqua"/>
        </w:rPr>
        <w:t xml:space="preserve">distal femur epiphysis; RPTE: </w:t>
      </w:r>
      <w:r w:rsidR="00825EE6" w:rsidRPr="00D53E19">
        <w:rPr>
          <w:rFonts w:ascii="Book Antiqua" w:hAnsi="Book Antiqua"/>
        </w:rPr>
        <w:t xml:space="preserve">Right </w:t>
      </w:r>
      <w:r w:rsidR="005C66A0" w:rsidRPr="00D53E19">
        <w:rPr>
          <w:rFonts w:ascii="Book Antiqua" w:hAnsi="Book Antiqua"/>
        </w:rPr>
        <w:t xml:space="preserve">proximal tibia epiphysis; LDFE: </w:t>
      </w:r>
      <w:r w:rsidR="00825EE6" w:rsidRPr="00D53E19">
        <w:rPr>
          <w:rFonts w:ascii="Book Antiqua" w:hAnsi="Book Antiqua"/>
        </w:rPr>
        <w:t xml:space="preserve">Left </w:t>
      </w:r>
      <w:r w:rsidR="005C66A0" w:rsidRPr="00D53E19">
        <w:rPr>
          <w:rFonts w:ascii="Book Antiqua" w:hAnsi="Book Antiqua"/>
        </w:rPr>
        <w:t>distal femur epiphysis; LPTE</w:t>
      </w:r>
      <w:r w:rsidRPr="00D53E19">
        <w:rPr>
          <w:rFonts w:ascii="Book Antiqua" w:hAnsi="Book Antiqua"/>
        </w:rPr>
        <w:t xml:space="preserve">: </w:t>
      </w:r>
      <w:r w:rsidR="00825EE6" w:rsidRPr="00D53E19">
        <w:rPr>
          <w:rFonts w:ascii="Book Antiqua" w:hAnsi="Book Antiqua"/>
        </w:rPr>
        <w:t xml:space="preserve">Left </w:t>
      </w:r>
      <w:r w:rsidRPr="00D53E19">
        <w:rPr>
          <w:rFonts w:ascii="Book Antiqua" w:hAnsi="Book Antiqua"/>
        </w:rPr>
        <w:t>proximal tibia epiphysis</w:t>
      </w:r>
      <w:r w:rsidRPr="00D53E19">
        <w:rPr>
          <w:rFonts w:ascii="Book Antiqua" w:hAnsi="Book Antiqua"/>
          <w:lang w:eastAsia="zh-CN"/>
        </w:rPr>
        <w:t>.</w:t>
      </w:r>
    </w:p>
    <w:p w:rsidR="005C66A0" w:rsidRPr="00D53E19" w:rsidRDefault="005C66A0" w:rsidP="00D53E19">
      <w:pPr>
        <w:adjustRightInd w:val="0"/>
        <w:snapToGrid w:val="0"/>
        <w:spacing w:line="360" w:lineRule="auto"/>
        <w:jc w:val="both"/>
        <w:rPr>
          <w:rFonts w:ascii="Book Antiqua" w:hAnsi="Book Antiqua"/>
          <w:color w:val="000000" w:themeColor="text1"/>
          <w:lang w:eastAsia="zh-CN"/>
        </w:rPr>
      </w:pPr>
    </w:p>
    <w:p w:rsidR="005C66A0" w:rsidRPr="00D53E19" w:rsidRDefault="00915D2F" w:rsidP="00D53E19">
      <w:pPr>
        <w:adjustRightInd w:val="0"/>
        <w:snapToGrid w:val="0"/>
        <w:spacing w:line="360" w:lineRule="auto"/>
        <w:jc w:val="both"/>
        <w:rPr>
          <w:rFonts w:ascii="Book Antiqua" w:hAnsi="Book Antiqua"/>
          <w:b/>
          <w:lang w:eastAsia="zh-CN"/>
        </w:rPr>
      </w:pPr>
      <w:r>
        <w:rPr>
          <w:rFonts w:ascii="Book Antiqua" w:hAnsi="Book Antiqua"/>
          <w:b/>
          <w:bCs/>
        </w:rPr>
        <w:br w:type="page"/>
      </w:r>
      <w:r w:rsidR="005C66A0" w:rsidRPr="00D53E19">
        <w:rPr>
          <w:rFonts w:ascii="Book Antiqua" w:hAnsi="Book Antiqua"/>
          <w:b/>
          <w:bCs/>
        </w:rPr>
        <w:lastRenderedPageBreak/>
        <w:t>Table 3</w:t>
      </w:r>
      <w:r w:rsidR="005C66A0" w:rsidRPr="00D53E19">
        <w:rPr>
          <w:rFonts w:ascii="Book Antiqua" w:hAnsi="Book Antiqua"/>
          <w:b/>
        </w:rPr>
        <w:t xml:space="preserve"> Total body and leg composition assessments using </w:t>
      </w:r>
      <w:r w:rsidR="00DE6FE1" w:rsidRPr="00D53E19">
        <w:rPr>
          <w:rFonts w:ascii="Book Antiqua" w:eastAsia="Book Antiqua" w:hAnsi="Book Antiqua" w:cs="Book Antiqua"/>
          <w:b/>
          <w:color w:val="000000" w:themeColor="text1"/>
        </w:rPr>
        <w:t xml:space="preserve">dual-energy X-ray </w:t>
      </w:r>
      <w:r w:rsidR="005C66A0" w:rsidRPr="00D53E19">
        <w:rPr>
          <w:rFonts w:ascii="Book Antiqua" w:hAnsi="Book Antiqua"/>
          <w:b/>
        </w:rPr>
        <w:t xml:space="preserve">in a case report with </w:t>
      </w:r>
      <w:r w:rsidR="00DE6FE1" w:rsidRPr="00D53E19">
        <w:rPr>
          <w:rFonts w:ascii="Book Antiqua" w:hAnsi="Book Antiqua"/>
          <w:b/>
        </w:rPr>
        <w:t>IBT implantation and case-match</w:t>
      </w:r>
      <w:r w:rsidR="005C66A0" w:rsidRPr="00D53E19">
        <w:rPr>
          <w:rFonts w:ascii="Book Antiqua" w:hAnsi="Book Antiqua"/>
          <w:b/>
        </w:rPr>
        <w:t xml:space="preserve">es with complete </w:t>
      </w:r>
      <w:r w:rsidR="00DE6FE1" w:rsidRPr="00D53E19">
        <w:rPr>
          <w:rFonts w:ascii="Book Antiqua" w:eastAsia="Book Antiqua" w:hAnsi="Book Antiqua" w:cs="Book Antiqua"/>
          <w:b/>
          <w:bCs/>
          <w:color w:val="000000" w:themeColor="text1"/>
        </w:rPr>
        <w:t>spinal cord injury</w:t>
      </w:r>
    </w:p>
    <w:tbl>
      <w:tblPr>
        <w:tblStyle w:val="TableGrid"/>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992"/>
        <w:gridCol w:w="1285"/>
        <w:gridCol w:w="1375"/>
        <w:gridCol w:w="1235"/>
        <w:gridCol w:w="1138"/>
        <w:gridCol w:w="1425"/>
      </w:tblGrid>
      <w:tr w:rsidR="003D5BDC" w:rsidRPr="00D53E19" w:rsidTr="00384AC4">
        <w:trPr>
          <w:trHeight w:val="319"/>
          <w:jc w:val="center"/>
        </w:trPr>
        <w:tc>
          <w:tcPr>
            <w:tcW w:w="1110" w:type="pct"/>
            <w:tcBorders>
              <w:top w:val="single" w:sz="4" w:space="0" w:color="auto"/>
              <w:bottom w:val="single" w:sz="4" w:space="0" w:color="auto"/>
            </w:tcBorders>
            <w:shd w:val="clear" w:color="auto" w:fill="auto"/>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rPr>
              <w:t>Region</w:t>
            </w:r>
          </w:p>
        </w:tc>
        <w:tc>
          <w:tcPr>
            <w:tcW w:w="518" w:type="pct"/>
            <w:tcBorders>
              <w:top w:val="single" w:sz="4" w:space="0" w:color="auto"/>
              <w:bottom w:val="single" w:sz="4" w:space="0" w:color="auto"/>
            </w:tcBorders>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color w:val="000000"/>
              </w:rPr>
              <w:t>%Fat</w:t>
            </w:r>
          </w:p>
        </w:tc>
        <w:tc>
          <w:tcPr>
            <w:tcW w:w="671" w:type="pct"/>
            <w:tcBorders>
              <w:top w:val="single" w:sz="4" w:space="0" w:color="auto"/>
              <w:bottom w:val="single" w:sz="4" w:space="0" w:color="auto"/>
            </w:tcBorders>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color w:val="000000"/>
              </w:rPr>
              <w:t>%Lean</w:t>
            </w:r>
          </w:p>
        </w:tc>
        <w:tc>
          <w:tcPr>
            <w:tcW w:w="718" w:type="pct"/>
            <w:tcBorders>
              <w:top w:val="single" w:sz="4" w:space="0" w:color="auto"/>
              <w:bottom w:val="single" w:sz="4" w:space="0" w:color="auto"/>
            </w:tcBorders>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color w:val="000000"/>
              </w:rPr>
              <w:t>LM (g)</w:t>
            </w:r>
          </w:p>
        </w:tc>
        <w:tc>
          <w:tcPr>
            <w:tcW w:w="645" w:type="pct"/>
            <w:tcBorders>
              <w:top w:val="single" w:sz="4" w:space="0" w:color="auto"/>
              <w:bottom w:val="single" w:sz="4" w:space="0" w:color="auto"/>
            </w:tcBorders>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color w:val="000000"/>
              </w:rPr>
              <w:t>BMC (g)</w:t>
            </w:r>
          </w:p>
        </w:tc>
        <w:tc>
          <w:tcPr>
            <w:tcW w:w="594" w:type="pct"/>
            <w:tcBorders>
              <w:top w:val="single" w:sz="4" w:space="0" w:color="auto"/>
              <w:bottom w:val="single" w:sz="4" w:space="0" w:color="auto"/>
            </w:tcBorders>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color w:val="000000"/>
              </w:rPr>
              <w:t>TM (kg)</w:t>
            </w:r>
          </w:p>
        </w:tc>
        <w:tc>
          <w:tcPr>
            <w:tcW w:w="744" w:type="pct"/>
            <w:tcBorders>
              <w:top w:val="single" w:sz="4" w:space="0" w:color="auto"/>
              <w:bottom w:val="single" w:sz="4" w:space="0" w:color="auto"/>
            </w:tcBorders>
          </w:tcPr>
          <w:p w:rsidR="00DE6FE1" w:rsidRPr="00D53E19" w:rsidRDefault="00DE6FE1" w:rsidP="00D53E19">
            <w:pPr>
              <w:adjustRightInd w:val="0"/>
              <w:snapToGrid w:val="0"/>
              <w:spacing w:line="360" w:lineRule="auto"/>
              <w:jc w:val="both"/>
              <w:rPr>
                <w:rFonts w:ascii="Book Antiqua" w:hAnsi="Book Antiqua" w:cstheme="majorBidi"/>
                <w:b/>
                <w:bCs/>
                <w:color w:val="000000"/>
              </w:rPr>
            </w:pPr>
            <w:r w:rsidRPr="00D53E19">
              <w:rPr>
                <w:rFonts w:ascii="Book Antiqua" w:hAnsi="Book Antiqua" w:cs="Times New Roman"/>
                <w:b/>
                <w:bCs/>
                <w:color w:val="000000"/>
              </w:rPr>
              <w:t>Mass (kg)</w:t>
            </w:r>
          </w:p>
        </w:tc>
      </w:tr>
      <w:tr w:rsidR="00DE6FE1" w:rsidRPr="00D53E19" w:rsidTr="003D5BDC">
        <w:trPr>
          <w:trHeight w:val="400"/>
          <w:jc w:val="center"/>
        </w:trPr>
        <w:tc>
          <w:tcPr>
            <w:tcW w:w="5000" w:type="pct"/>
            <w:gridSpan w:val="7"/>
            <w:tcBorders>
              <w:top w:val="single" w:sz="4" w:space="0" w:color="auto"/>
            </w:tcBorders>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 xml:space="preserve">Total body </w:t>
            </w:r>
          </w:p>
        </w:tc>
      </w:tr>
      <w:tr w:rsidR="003D5BDC" w:rsidRPr="00D53E19" w:rsidTr="00384AC4">
        <w:trPr>
          <w:trHeight w:val="319"/>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report</w:t>
            </w:r>
          </w:p>
        </w:tc>
        <w:tc>
          <w:tcPr>
            <w:tcW w:w="5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27.3</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68.89362</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29142</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1597</w:t>
            </w:r>
          </w:p>
        </w:tc>
        <w:tc>
          <w:tcPr>
            <w:tcW w:w="594"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42.3</w:t>
            </w:r>
          </w:p>
        </w:tc>
        <w:tc>
          <w:tcPr>
            <w:tcW w:w="744" w:type="pct"/>
          </w:tcPr>
          <w:p w:rsidR="00DE6FE1" w:rsidRPr="00D53E19" w:rsidRDefault="00DE6FE1" w:rsidP="00D53E19">
            <w:pPr>
              <w:adjustRightInd w:val="0"/>
              <w:snapToGrid w:val="0"/>
              <w:spacing w:line="360" w:lineRule="auto"/>
              <w:jc w:val="both"/>
              <w:rPr>
                <w:rFonts w:ascii="Book Antiqua" w:hAnsi="Book Antiqua"/>
                <w:color w:val="000000"/>
              </w:rPr>
            </w:pPr>
          </w:p>
        </w:tc>
      </w:tr>
      <w:tr w:rsidR="003D5BDC" w:rsidRPr="00D53E19" w:rsidTr="00384AC4">
        <w:trPr>
          <w:trHeight w:val="319"/>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match 1</w:t>
            </w:r>
          </w:p>
        </w:tc>
        <w:tc>
          <w:tcPr>
            <w:tcW w:w="518" w:type="pct"/>
            <w:shd w:val="clear" w:color="auto" w:fill="auto"/>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21.4</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74.34251</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43193</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2468</w:t>
            </w:r>
          </w:p>
        </w:tc>
        <w:tc>
          <w:tcPr>
            <w:tcW w:w="594" w:type="pct"/>
            <w:shd w:val="clear" w:color="auto" w:fill="auto"/>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58.1</w:t>
            </w:r>
          </w:p>
        </w:tc>
        <w:tc>
          <w:tcPr>
            <w:tcW w:w="744" w:type="pct"/>
          </w:tcPr>
          <w:p w:rsidR="00DE6FE1" w:rsidRPr="00D53E19" w:rsidRDefault="00DE6FE1" w:rsidP="00D53E19">
            <w:pPr>
              <w:adjustRightInd w:val="0"/>
              <w:snapToGrid w:val="0"/>
              <w:spacing w:line="360" w:lineRule="auto"/>
              <w:jc w:val="both"/>
              <w:rPr>
                <w:rFonts w:ascii="Book Antiqua" w:hAnsi="Book Antiqua"/>
                <w:color w:val="000000"/>
              </w:rPr>
            </w:pP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imes New Roman"/>
                <w:bCs/>
              </w:rPr>
              <w:t>% change case to match 1</w:t>
            </w:r>
          </w:p>
        </w:tc>
        <w:tc>
          <w:tcPr>
            <w:tcW w:w="5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i/>
                <w:iCs/>
              </w:rPr>
            </w:pPr>
            <w:r w:rsidRPr="00D53E19">
              <w:rPr>
                <w:rFonts w:ascii="Book Antiqua" w:hAnsi="Book Antiqua" w:cs="Times New Roman"/>
                <w:color w:val="000000"/>
              </w:rPr>
              <w:t>-5.9</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i/>
                <w:iCs/>
              </w:rPr>
            </w:pPr>
            <w:r w:rsidRPr="00D53E19">
              <w:rPr>
                <w:rFonts w:ascii="Book Antiqua" w:hAnsi="Book Antiqua" w:cs="Times New Roman"/>
                <w:color w:val="000000"/>
              </w:rPr>
              <w:t>5.4</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i/>
                <w:iCs/>
              </w:rPr>
            </w:pPr>
            <w:r w:rsidRPr="00D53E19">
              <w:rPr>
                <w:rFonts w:ascii="Book Antiqua" w:hAnsi="Book Antiqua" w:cs="Times New Roman"/>
                <w:color w:val="000000"/>
              </w:rPr>
              <w:t>48.2</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i/>
                <w:iCs/>
              </w:rPr>
            </w:pPr>
            <w:r w:rsidRPr="00D53E19">
              <w:rPr>
                <w:rFonts w:ascii="Book Antiqua" w:hAnsi="Book Antiqua" w:cs="Times New Roman"/>
                <w:color w:val="000000"/>
              </w:rPr>
              <w:t>54.5</w:t>
            </w:r>
          </w:p>
        </w:tc>
        <w:tc>
          <w:tcPr>
            <w:tcW w:w="594"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i/>
                <w:iCs/>
              </w:rPr>
            </w:pPr>
            <w:r w:rsidRPr="00D53E19">
              <w:rPr>
                <w:rFonts w:ascii="Book Antiqua" w:hAnsi="Book Antiqua" w:cs="Times New Roman"/>
                <w:color w:val="000000"/>
              </w:rPr>
              <w:t>37.3</w:t>
            </w:r>
          </w:p>
        </w:tc>
        <w:tc>
          <w:tcPr>
            <w:tcW w:w="744" w:type="pct"/>
          </w:tcPr>
          <w:p w:rsidR="00DE6FE1" w:rsidRPr="00D53E19" w:rsidRDefault="00DE6FE1" w:rsidP="00D53E19">
            <w:pPr>
              <w:adjustRightInd w:val="0"/>
              <w:snapToGrid w:val="0"/>
              <w:spacing w:line="360" w:lineRule="auto"/>
              <w:jc w:val="both"/>
              <w:rPr>
                <w:rFonts w:ascii="Book Antiqua" w:hAnsi="Book Antiqua"/>
                <w:color w:val="000000"/>
              </w:rPr>
            </w:pP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match 2</w:t>
            </w:r>
          </w:p>
        </w:tc>
        <w:tc>
          <w:tcPr>
            <w:tcW w:w="5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24.2</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72.2</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39205</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1938</w:t>
            </w:r>
          </w:p>
        </w:tc>
        <w:tc>
          <w:tcPr>
            <w:tcW w:w="594"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54.3</w:t>
            </w:r>
          </w:p>
        </w:tc>
        <w:tc>
          <w:tcPr>
            <w:tcW w:w="744" w:type="pct"/>
          </w:tcPr>
          <w:p w:rsidR="00DE6FE1" w:rsidRPr="00D53E19" w:rsidRDefault="00DE6FE1" w:rsidP="00D53E19">
            <w:pPr>
              <w:adjustRightInd w:val="0"/>
              <w:snapToGrid w:val="0"/>
              <w:spacing w:line="360" w:lineRule="auto"/>
              <w:jc w:val="both"/>
              <w:rPr>
                <w:rFonts w:ascii="Book Antiqua" w:hAnsi="Book Antiqua"/>
                <w:color w:val="000000"/>
              </w:rPr>
            </w:pP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imes New Roman"/>
                <w:bCs/>
              </w:rPr>
              <w:t>% change case to match 2</w:t>
            </w:r>
          </w:p>
        </w:tc>
        <w:tc>
          <w:tcPr>
            <w:tcW w:w="518"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-3.1</w:t>
            </w:r>
          </w:p>
        </w:tc>
        <w:tc>
          <w:tcPr>
            <w:tcW w:w="671"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3.3</w:t>
            </w:r>
          </w:p>
        </w:tc>
        <w:tc>
          <w:tcPr>
            <w:tcW w:w="718"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34.5</w:t>
            </w:r>
          </w:p>
        </w:tc>
        <w:tc>
          <w:tcPr>
            <w:tcW w:w="645"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21.3</w:t>
            </w:r>
          </w:p>
        </w:tc>
        <w:tc>
          <w:tcPr>
            <w:tcW w:w="594"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28.3</w:t>
            </w:r>
          </w:p>
        </w:tc>
        <w:tc>
          <w:tcPr>
            <w:tcW w:w="744" w:type="pct"/>
          </w:tcPr>
          <w:p w:rsidR="00DE6FE1" w:rsidRPr="00D53E19" w:rsidRDefault="00DE6FE1" w:rsidP="00D53E19">
            <w:pPr>
              <w:adjustRightInd w:val="0"/>
              <w:snapToGrid w:val="0"/>
              <w:spacing w:line="360" w:lineRule="auto"/>
              <w:jc w:val="both"/>
              <w:rPr>
                <w:rFonts w:ascii="Book Antiqua" w:hAnsi="Book Antiqua"/>
                <w:color w:val="000000"/>
              </w:rPr>
            </w:pPr>
          </w:p>
        </w:tc>
      </w:tr>
      <w:tr w:rsidR="00DE6FE1" w:rsidRPr="00D53E19" w:rsidTr="003D5BDC">
        <w:trPr>
          <w:trHeight w:val="319"/>
          <w:jc w:val="center"/>
        </w:trPr>
        <w:tc>
          <w:tcPr>
            <w:tcW w:w="5000" w:type="pct"/>
            <w:gridSpan w:val="7"/>
            <w:shd w:val="clear" w:color="auto" w:fill="auto"/>
          </w:tcPr>
          <w:p w:rsidR="00DE6FE1" w:rsidRPr="00D53E19" w:rsidRDefault="00DE6FE1" w:rsidP="00D53E19">
            <w:pPr>
              <w:adjustRightInd w:val="0"/>
              <w:snapToGrid w:val="0"/>
              <w:spacing w:line="360" w:lineRule="auto"/>
              <w:jc w:val="both"/>
              <w:rPr>
                <w:rFonts w:ascii="Book Antiqua" w:hAnsi="Book Antiqua"/>
                <w:bCs/>
              </w:rPr>
            </w:pPr>
            <w:r w:rsidRPr="00D53E19">
              <w:rPr>
                <w:rFonts w:ascii="Book Antiqua" w:hAnsi="Book Antiqua" w:cs="Times New Roman"/>
                <w:bCs/>
              </w:rPr>
              <w:t>Leg composition</w:t>
            </w:r>
          </w:p>
        </w:tc>
      </w:tr>
      <w:tr w:rsidR="003D5BDC" w:rsidRPr="00D53E19" w:rsidTr="00384AC4">
        <w:trPr>
          <w:trHeight w:val="319"/>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report</w:t>
            </w:r>
          </w:p>
        </w:tc>
        <w:tc>
          <w:tcPr>
            <w:tcW w:w="5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39.2</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57.8</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6714</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356</w:t>
            </w:r>
          </w:p>
        </w:tc>
        <w:tc>
          <w:tcPr>
            <w:tcW w:w="594"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p>
        </w:tc>
        <w:tc>
          <w:tcPr>
            <w:tcW w:w="744" w:type="pct"/>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11.6</w:t>
            </w:r>
          </w:p>
        </w:tc>
      </w:tr>
      <w:tr w:rsidR="003D5BDC" w:rsidRPr="00D53E19" w:rsidTr="00384AC4">
        <w:trPr>
          <w:trHeight w:val="319"/>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match 1</w:t>
            </w:r>
          </w:p>
        </w:tc>
        <w:tc>
          <w:tcPr>
            <w:tcW w:w="5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28.6</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67.9</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12646</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646</w:t>
            </w:r>
          </w:p>
        </w:tc>
        <w:tc>
          <w:tcPr>
            <w:tcW w:w="594"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p>
        </w:tc>
        <w:tc>
          <w:tcPr>
            <w:tcW w:w="744" w:type="pct"/>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18.6</w:t>
            </w: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imes New Roman"/>
                <w:bCs/>
              </w:rPr>
              <w:t>% change case to match 1</w:t>
            </w:r>
          </w:p>
        </w:tc>
        <w:tc>
          <w:tcPr>
            <w:tcW w:w="518" w:type="pct"/>
            <w:shd w:val="clear" w:color="auto" w:fill="auto"/>
            <w:noWrap/>
            <w:vAlign w:val="bottom"/>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-27.1</w:t>
            </w:r>
          </w:p>
        </w:tc>
        <w:tc>
          <w:tcPr>
            <w:tcW w:w="671" w:type="pct"/>
            <w:shd w:val="clear" w:color="auto" w:fill="auto"/>
            <w:noWrap/>
            <w:vAlign w:val="bottom"/>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17.4</w:t>
            </w:r>
          </w:p>
        </w:tc>
        <w:tc>
          <w:tcPr>
            <w:tcW w:w="718" w:type="pct"/>
            <w:shd w:val="clear" w:color="auto" w:fill="auto"/>
            <w:noWrap/>
            <w:vAlign w:val="bottom"/>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88.3</w:t>
            </w:r>
          </w:p>
        </w:tc>
        <w:tc>
          <w:tcPr>
            <w:tcW w:w="645" w:type="pct"/>
            <w:shd w:val="clear" w:color="auto" w:fill="auto"/>
            <w:noWrap/>
            <w:vAlign w:val="bottom"/>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81.4</w:t>
            </w:r>
          </w:p>
        </w:tc>
        <w:tc>
          <w:tcPr>
            <w:tcW w:w="594"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p>
        </w:tc>
        <w:tc>
          <w:tcPr>
            <w:tcW w:w="744" w:type="pct"/>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60.3</w:t>
            </w: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match 2</w:t>
            </w:r>
          </w:p>
        </w:tc>
        <w:tc>
          <w:tcPr>
            <w:tcW w:w="518"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32.7</w:t>
            </w:r>
          </w:p>
        </w:tc>
        <w:tc>
          <w:tcPr>
            <w:tcW w:w="671"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64.7</w:t>
            </w:r>
          </w:p>
        </w:tc>
        <w:tc>
          <w:tcPr>
            <w:tcW w:w="718"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11591</w:t>
            </w:r>
          </w:p>
        </w:tc>
        <w:tc>
          <w:tcPr>
            <w:tcW w:w="645"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482</w:t>
            </w:r>
          </w:p>
        </w:tc>
        <w:tc>
          <w:tcPr>
            <w:tcW w:w="594"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p>
        </w:tc>
        <w:tc>
          <w:tcPr>
            <w:tcW w:w="744" w:type="pct"/>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17.9</w:t>
            </w: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imes New Roman"/>
                <w:bCs/>
              </w:rPr>
              <w:t>% change case to match 2</w:t>
            </w:r>
          </w:p>
        </w:tc>
        <w:tc>
          <w:tcPr>
            <w:tcW w:w="518"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-16.5</w:t>
            </w:r>
          </w:p>
        </w:tc>
        <w:tc>
          <w:tcPr>
            <w:tcW w:w="671"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11.8</w:t>
            </w:r>
          </w:p>
        </w:tc>
        <w:tc>
          <w:tcPr>
            <w:tcW w:w="718"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72.6</w:t>
            </w:r>
          </w:p>
        </w:tc>
        <w:tc>
          <w:tcPr>
            <w:tcW w:w="645"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35.3</w:t>
            </w:r>
          </w:p>
        </w:tc>
        <w:tc>
          <w:tcPr>
            <w:tcW w:w="594"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p>
        </w:tc>
        <w:tc>
          <w:tcPr>
            <w:tcW w:w="744" w:type="pct"/>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54.3</w:t>
            </w:r>
          </w:p>
        </w:tc>
      </w:tr>
    </w:tbl>
    <w:p w:rsidR="005C66A0"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hAnsi="Book Antiqua"/>
        </w:rPr>
        <w:t xml:space="preserve">% change is the percentage changes in either </w:t>
      </w:r>
      <w:r w:rsidR="00926F70" w:rsidRPr="00D53E19">
        <w:rPr>
          <w:rFonts w:ascii="Book Antiqua" w:hAnsi="Book Antiqua"/>
        </w:rPr>
        <w:t xml:space="preserve">bone mineral density </w:t>
      </w:r>
      <w:r w:rsidRPr="00D53E19">
        <w:rPr>
          <w:rFonts w:ascii="Book Antiqua" w:hAnsi="Book Antiqua"/>
        </w:rPr>
        <w:t>or bone mineral content between the case report and case-matches</w:t>
      </w:r>
      <w:r w:rsidRPr="00D53E19">
        <w:rPr>
          <w:rFonts w:ascii="Book Antiqua" w:hAnsi="Book Antiqua"/>
          <w:lang w:eastAsia="zh-CN"/>
        </w:rPr>
        <w:t>.</w:t>
      </w:r>
      <w:r w:rsidRPr="00D53E19">
        <w:rPr>
          <w:rFonts w:ascii="Book Antiqua" w:hAnsi="Book Antiqua"/>
        </w:rPr>
        <w:t xml:space="preserve"> %Fat</w:t>
      </w:r>
      <w:r w:rsidRPr="00D53E19">
        <w:rPr>
          <w:rFonts w:ascii="Book Antiqua" w:hAnsi="Book Antiqua"/>
          <w:lang w:eastAsia="zh-CN"/>
        </w:rPr>
        <w:t xml:space="preserve">: </w:t>
      </w:r>
      <w:r w:rsidRPr="00D53E19">
        <w:rPr>
          <w:rFonts w:ascii="Book Antiqua" w:hAnsi="Book Antiqua"/>
        </w:rPr>
        <w:t>Percentage of fat mass</w:t>
      </w:r>
      <w:r w:rsidRPr="00D53E19">
        <w:rPr>
          <w:rFonts w:ascii="Book Antiqua" w:hAnsi="Book Antiqua"/>
          <w:lang w:eastAsia="zh-CN"/>
        </w:rPr>
        <w:t xml:space="preserve">; </w:t>
      </w:r>
      <w:r w:rsidRPr="00D53E19">
        <w:rPr>
          <w:rFonts w:ascii="Book Antiqua" w:hAnsi="Book Antiqua"/>
        </w:rPr>
        <w:t>%Lean</w:t>
      </w:r>
      <w:r w:rsidRPr="00D53E19">
        <w:rPr>
          <w:rFonts w:ascii="Book Antiqua" w:hAnsi="Book Antiqua"/>
          <w:lang w:eastAsia="zh-CN"/>
        </w:rPr>
        <w:t xml:space="preserve">: </w:t>
      </w:r>
      <w:r w:rsidRPr="00D53E19">
        <w:rPr>
          <w:rFonts w:ascii="Book Antiqua" w:hAnsi="Book Antiqua"/>
        </w:rPr>
        <w:t>Percentage of lean mass</w:t>
      </w:r>
      <w:r w:rsidRPr="00D53E19">
        <w:rPr>
          <w:rFonts w:ascii="Book Antiqua" w:hAnsi="Book Antiqua"/>
          <w:lang w:eastAsia="zh-CN"/>
        </w:rPr>
        <w:t>;</w:t>
      </w:r>
      <w:r w:rsidRPr="00D53E19">
        <w:rPr>
          <w:rFonts w:ascii="Book Antiqua" w:hAnsi="Book Antiqua"/>
        </w:rPr>
        <w:t xml:space="preserve"> LM</w:t>
      </w:r>
      <w:r w:rsidRPr="00D53E19">
        <w:rPr>
          <w:rFonts w:ascii="Book Antiqua" w:hAnsi="Book Antiqua"/>
          <w:lang w:eastAsia="zh-CN"/>
        </w:rPr>
        <w:t xml:space="preserve">: </w:t>
      </w:r>
      <w:r w:rsidR="005C66A0" w:rsidRPr="00D53E19">
        <w:rPr>
          <w:rFonts w:ascii="Book Antiqua" w:hAnsi="Book Antiqua"/>
        </w:rPr>
        <w:t xml:space="preserve">Lean </w:t>
      </w:r>
      <w:r w:rsidRPr="00D53E19">
        <w:rPr>
          <w:rFonts w:ascii="Book Antiqua" w:hAnsi="Book Antiqua"/>
        </w:rPr>
        <w:t>mass</w:t>
      </w:r>
      <w:r w:rsidRPr="00D53E19">
        <w:rPr>
          <w:rFonts w:ascii="Book Antiqua" w:hAnsi="Book Antiqua"/>
          <w:lang w:eastAsia="zh-CN"/>
        </w:rPr>
        <w:t xml:space="preserve">; </w:t>
      </w:r>
      <w:r w:rsidR="005C66A0" w:rsidRPr="00D53E19">
        <w:rPr>
          <w:rFonts w:ascii="Book Antiqua" w:hAnsi="Book Antiqua"/>
        </w:rPr>
        <w:t xml:space="preserve">BMC: </w:t>
      </w:r>
      <w:r w:rsidRPr="00D53E19">
        <w:rPr>
          <w:rFonts w:ascii="Book Antiqua" w:hAnsi="Book Antiqua"/>
        </w:rPr>
        <w:t>Bone mineral content</w:t>
      </w:r>
      <w:r w:rsidRPr="00D53E19">
        <w:rPr>
          <w:rFonts w:ascii="Book Antiqua" w:hAnsi="Book Antiqua"/>
          <w:lang w:eastAsia="zh-CN"/>
        </w:rPr>
        <w:t>;</w:t>
      </w:r>
      <w:r w:rsidRPr="00D53E19">
        <w:rPr>
          <w:rFonts w:ascii="Book Antiqua" w:hAnsi="Book Antiqua"/>
        </w:rPr>
        <w:t xml:space="preserve"> TM</w:t>
      </w:r>
      <w:r w:rsidRPr="00D53E19">
        <w:rPr>
          <w:rFonts w:ascii="Book Antiqua" w:hAnsi="Book Antiqua"/>
          <w:lang w:eastAsia="zh-CN"/>
        </w:rPr>
        <w:t>:</w:t>
      </w:r>
      <w:r w:rsidR="005C66A0" w:rsidRPr="00D53E19">
        <w:rPr>
          <w:rFonts w:ascii="Book Antiqua" w:hAnsi="Book Antiqua"/>
        </w:rPr>
        <w:t xml:space="preserve"> Total </w:t>
      </w:r>
      <w:r w:rsidRPr="00D53E19">
        <w:rPr>
          <w:rFonts w:ascii="Book Antiqua" w:hAnsi="Book Antiqua"/>
        </w:rPr>
        <w:t>mass</w:t>
      </w:r>
      <w:r w:rsidRPr="00D53E19">
        <w:rPr>
          <w:rFonts w:ascii="Book Antiqua" w:hAnsi="Book Antiqua"/>
          <w:lang w:eastAsia="zh-CN"/>
        </w:rPr>
        <w:t xml:space="preserve">. </w:t>
      </w:r>
    </w:p>
    <w:sectPr w:rsidR="005C66A0" w:rsidRPr="00D53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32A" w:rsidRDefault="003D632A" w:rsidP="00070D2A">
      <w:r>
        <w:separator/>
      </w:r>
    </w:p>
  </w:endnote>
  <w:endnote w:type="continuationSeparator" w:id="0">
    <w:p w:rsidR="003D632A" w:rsidRDefault="003D632A" w:rsidP="0007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588446"/>
      <w:docPartObj>
        <w:docPartGallery w:val="Page Numbers (Bottom of Page)"/>
        <w:docPartUnique/>
      </w:docPartObj>
    </w:sdtPr>
    <w:sdtEndPr/>
    <w:sdtContent>
      <w:sdt>
        <w:sdtPr>
          <w:id w:val="860082579"/>
          <w:docPartObj>
            <w:docPartGallery w:val="Page Numbers (Top of Page)"/>
            <w:docPartUnique/>
          </w:docPartObj>
        </w:sdtPr>
        <w:sdtEndPr/>
        <w:sdtContent>
          <w:p w:rsidR="00825EE6" w:rsidRDefault="00825EE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84AC4">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84AC4">
              <w:rPr>
                <w:b/>
                <w:bCs/>
                <w:noProof/>
              </w:rPr>
              <w:t>28</w:t>
            </w:r>
            <w:r>
              <w:rPr>
                <w:b/>
                <w:bCs/>
                <w:sz w:val="24"/>
                <w:szCs w:val="24"/>
              </w:rPr>
              <w:fldChar w:fldCharType="end"/>
            </w:r>
          </w:p>
        </w:sdtContent>
      </w:sdt>
    </w:sdtContent>
  </w:sdt>
  <w:p w:rsidR="00825EE6" w:rsidRDefault="0082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32A" w:rsidRDefault="003D632A" w:rsidP="00070D2A">
      <w:r>
        <w:separator/>
      </w:r>
    </w:p>
  </w:footnote>
  <w:footnote w:type="continuationSeparator" w:id="0">
    <w:p w:rsidR="003D632A" w:rsidRDefault="003D632A" w:rsidP="00070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348"/>
    <w:rsid w:val="00070D2A"/>
    <w:rsid w:val="000774ED"/>
    <w:rsid w:val="00096D5F"/>
    <w:rsid w:val="000A2F30"/>
    <w:rsid w:val="000B4FA9"/>
    <w:rsid w:val="000C45C9"/>
    <w:rsid w:val="000F062A"/>
    <w:rsid w:val="00107E7D"/>
    <w:rsid w:val="00107E9B"/>
    <w:rsid w:val="001142E9"/>
    <w:rsid w:val="00121D84"/>
    <w:rsid w:val="00135FC2"/>
    <w:rsid w:val="00142E18"/>
    <w:rsid w:val="00167B02"/>
    <w:rsid w:val="00186DC0"/>
    <w:rsid w:val="001E1F62"/>
    <w:rsid w:val="001F5840"/>
    <w:rsid w:val="0024504F"/>
    <w:rsid w:val="00251940"/>
    <w:rsid w:val="002D1BCC"/>
    <w:rsid w:val="002D5176"/>
    <w:rsid w:val="002E04DC"/>
    <w:rsid w:val="00317E0A"/>
    <w:rsid w:val="00367130"/>
    <w:rsid w:val="00376DC6"/>
    <w:rsid w:val="00384AC4"/>
    <w:rsid w:val="00384FE8"/>
    <w:rsid w:val="00387AD3"/>
    <w:rsid w:val="00387BD2"/>
    <w:rsid w:val="003B3EAA"/>
    <w:rsid w:val="003D5BDC"/>
    <w:rsid w:val="003D632A"/>
    <w:rsid w:val="003F4C4F"/>
    <w:rsid w:val="0043723C"/>
    <w:rsid w:val="0044052D"/>
    <w:rsid w:val="00452302"/>
    <w:rsid w:val="00460CA2"/>
    <w:rsid w:val="0050308B"/>
    <w:rsid w:val="005032A5"/>
    <w:rsid w:val="005060A5"/>
    <w:rsid w:val="0059090D"/>
    <w:rsid w:val="005A41E7"/>
    <w:rsid w:val="005C66A0"/>
    <w:rsid w:val="005E454D"/>
    <w:rsid w:val="006673D8"/>
    <w:rsid w:val="0067132D"/>
    <w:rsid w:val="006C10AD"/>
    <w:rsid w:val="00766CE2"/>
    <w:rsid w:val="007928A8"/>
    <w:rsid w:val="00793029"/>
    <w:rsid w:val="007A5899"/>
    <w:rsid w:val="007E2B6C"/>
    <w:rsid w:val="007F6F62"/>
    <w:rsid w:val="00825EE6"/>
    <w:rsid w:val="008730BB"/>
    <w:rsid w:val="008C3224"/>
    <w:rsid w:val="008E419F"/>
    <w:rsid w:val="008E6A83"/>
    <w:rsid w:val="00915D2F"/>
    <w:rsid w:val="00916971"/>
    <w:rsid w:val="00923F76"/>
    <w:rsid w:val="00926F70"/>
    <w:rsid w:val="00975128"/>
    <w:rsid w:val="0099660F"/>
    <w:rsid w:val="00A11D54"/>
    <w:rsid w:val="00A4296A"/>
    <w:rsid w:val="00A66B9D"/>
    <w:rsid w:val="00A77B3E"/>
    <w:rsid w:val="00AC34EF"/>
    <w:rsid w:val="00AD7B2E"/>
    <w:rsid w:val="00B10D58"/>
    <w:rsid w:val="00B13ADA"/>
    <w:rsid w:val="00B26747"/>
    <w:rsid w:val="00B56009"/>
    <w:rsid w:val="00BC7020"/>
    <w:rsid w:val="00BF27C1"/>
    <w:rsid w:val="00C24D09"/>
    <w:rsid w:val="00C76FED"/>
    <w:rsid w:val="00C772DC"/>
    <w:rsid w:val="00C844FA"/>
    <w:rsid w:val="00C9249C"/>
    <w:rsid w:val="00CA2A55"/>
    <w:rsid w:val="00D25022"/>
    <w:rsid w:val="00D524ED"/>
    <w:rsid w:val="00D53E19"/>
    <w:rsid w:val="00DD155A"/>
    <w:rsid w:val="00DE6FE1"/>
    <w:rsid w:val="00E37B67"/>
    <w:rsid w:val="00E51216"/>
    <w:rsid w:val="00E5469C"/>
    <w:rsid w:val="00E6314C"/>
    <w:rsid w:val="00E720BF"/>
    <w:rsid w:val="00E871D4"/>
    <w:rsid w:val="00E96847"/>
    <w:rsid w:val="00EC3F8C"/>
    <w:rsid w:val="00EC455F"/>
    <w:rsid w:val="00F34790"/>
    <w:rsid w:val="00F601EA"/>
    <w:rsid w:val="00FA1AD4"/>
    <w:rsid w:val="00FC0F35"/>
    <w:rsid w:val="00FC67F6"/>
    <w:rsid w:val="00FD2F57"/>
    <w:rsid w:val="00FE6A31"/>
    <w:rsid w:val="00FF1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9C7D9"/>
  <w15:docId w15:val="{13839B9A-E63A-43B3-9F2E-CCA5852E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0D2A"/>
    <w:rPr>
      <w:color w:val="0000FF" w:themeColor="hyperlink"/>
      <w:u w:val="single"/>
    </w:rPr>
  </w:style>
  <w:style w:type="paragraph" w:styleId="Header">
    <w:name w:val="header"/>
    <w:basedOn w:val="Normal"/>
    <w:link w:val="HeaderChar"/>
    <w:rsid w:val="00070D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70D2A"/>
    <w:rPr>
      <w:sz w:val="18"/>
      <w:szCs w:val="18"/>
    </w:rPr>
  </w:style>
  <w:style w:type="paragraph" w:styleId="Footer">
    <w:name w:val="footer"/>
    <w:basedOn w:val="Normal"/>
    <w:link w:val="FooterChar"/>
    <w:uiPriority w:val="99"/>
    <w:rsid w:val="00070D2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70D2A"/>
    <w:rPr>
      <w:sz w:val="18"/>
      <w:szCs w:val="18"/>
    </w:rPr>
  </w:style>
  <w:style w:type="character" w:styleId="Strong">
    <w:name w:val="Strong"/>
    <w:basedOn w:val="DefaultParagraphFont"/>
    <w:uiPriority w:val="22"/>
    <w:qFormat/>
    <w:rsid w:val="00C772DC"/>
    <w:rPr>
      <w:b/>
      <w:bCs/>
    </w:rPr>
  </w:style>
  <w:style w:type="paragraph" w:styleId="BalloonText">
    <w:name w:val="Balloon Text"/>
    <w:basedOn w:val="Normal"/>
    <w:link w:val="BalloonTextChar"/>
    <w:rsid w:val="000B4FA9"/>
    <w:rPr>
      <w:sz w:val="18"/>
      <w:szCs w:val="18"/>
    </w:rPr>
  </w:style>
  <w:style w:type="character" w:customStyle="1" w:styleId="BalloonTextChar">
    <w:name w:val="Balloon Text Char"/>
    <w:basedOn w:val="DefaultParagraphFont"/>
    <w:link w:val="BalloonText"/>
    <w:rsid w:val="000B4FA9"/>
    <w:rPr>
      <w:sz w:val="18"/>
      <w:szCs w:val="18"/>
    </w:rPr>
  </w:style>
  <w:style w:type="table" w:styleId="TableGrid">
    <w:name w:val="Table Grid"/>
    <w:basedOn w:val="TableNormal"/>
    <w:uiPriority w:val="39"/>
    <w:rsid w:val="005C66A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DefaultParagraphFont"/>
    <w:rsid w:val="007E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raf.gorgey@va.gov"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6325</Words>
  <Characters>36056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2020-09-10T17:38:00Z</dcterms:created>
  <dcterms:modified xsi:type="dcterms:W3CDTF">2020-09-10T17:38:00Z</dcterms:modified>
</cp:coreProperties>
</file>