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7C60" w14:textId="77777777" w:rsidR="00A77B3E" w:rsidRDefault="000F4A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33F4280" w14:textId="77777777" w:rsidR="00A77B3E" w:rsidRDefault="000F4A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57467</w:t>
      </w:r>
    </w:p>
    <w:p w14:paraId="2CE6D0E3" w14:textId="77777777" w:rsidR="00A77B3E" w:rsidRDefault="000F4A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E86AA3" w14:textId="77777777" w:rsidR="00A77B3E" w:rsidRDefault="00A77B3E">
      <w:pPr>
        <w:spacing w:line="360" w:lineRule="auto"/>
        <w:jc w:val="both"/>
      </w:pPr>
    </w:p>
    <w:p w14:paraId="4975E4E6" w14:textId="77777777" w:rsidR="00E9084C" w:rsidRDefault="00E9084C">
      <w:pPr>
        <w:spacing w:line="360" w:lineRule="auto"/>
        <w:jc w:val="both"/>
        <w:rPr>
          <w:rFonts w:ascii="Book Antiqua" w:eastAsia="Book Antiqua" w:hAnsi="Book Antiqua" w:cs="Book Antiqua"/>
          <w:b/>
          <w:i/>
          <w:color w:val="000000"/>
        </w:rPr>
      </w:pPr>
      <w:r w:rsidRPr="00E9084C">
        <w:rPr>
          <w:rFonts w:ascii="Book Antiqua" w:eastAsia="Book Antiqua" w:hAnsi="Book Antiqua" w:cs="Book Antiqua"/>
          <w:b/>
          <w:i/>
          <w:color w:val="000000"/>
        </w:rPr>
        <w:t>Retrospective Study</w:t>
      </w:r>
    </w:p>
    <w:p w14:paraId="34ECF1C5" w14:textId="4ADB2565" w:rsidR="00A77B3E" w:rsidRDefault="000F4AA8">
      <w:pPr>
        <w:spacing w:line="360" w:lineRule="auto"/>
        <w:jc w:val="both"/>
      </w:pPr>
      <w:r>
        <w:rPr>
          <w:rFonts w:ascii="Book Antiqua" w:eastAsia="Book Antiqua" w:hAnsi="Book Antiqua" w:cs="Book Antiqua"/>
          <w:b/>
          <w:color w:val="000000"/>
        </w:rPr>
        <w:t xml:space="preserve">Mortality following combined fractures of the hip and proximal </w:t>
      </w:r>
      <w:proofErr w:type="spellStart"/>
      <w:r>
        <w:rPr>
          <w:rFonts w:ascii="Book Antiqua" w:eastAsia="Book Antiqua" w:hAnsi="Book Antiqua" w:cs="Book Antiqua"/>
          <w:b/>
          <w:color w:val="000000"/>
        </w:rPr>
        <w:t>humerus</w:t>
      </w:r>
      <w:proofErr w:type="spellEnd"/>
    </w:p>
    <w:p w14:paraId="0103F5A0" w14:textId="77777777" w:rsidR="00A77B3E" w:rsidRDefault="00A77B3E">
      <w:pPr>
        <w:spacing w:line="360" w:lineRule="auto"/>
        <w:jc w:val="both"/>
      </w:pPr>
    </w:p>
    <w:p w14:paraId="0FF2B38D" w14:textId="317B8E94" w:rsidR="00A77B3E" w:rsidRDefault="00E60CBD">
      <w:pPr>
        <w:spacing w:line="360" w:lineRule="auto"/>
        <w:jc w:val="both"/>
      </w:pP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A</w:t>
      </w:r>
      <w:r w:rsidRPr="00E60CBD">
        <w:rPr>
          <w:rFonts w:ascii="Book Antiqua" w:eastAsia="Book Antiqua" w:hAnsi="Book Antiqua" w:cs="Book Antiqua"/>
          <w:color w:val="000000"/>
        </w:rPr>
        <w:t xml:space="preserve"> </w:t>
      </w:r>
      <w:r w:rsidRPr="00E60C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E60CBD">
        <w:rPr>
          <w:rFonts w:ascii="Book Antiqua" w:eastAsia="Book Antiqua" w:hAnsi="Book Antiqua" w:cs="Book Antiqua"/>
          <w:color w:val="000000"/>
        </w:rPr>
        <w:t xml:space="preserve">Proximal </w:t>
      </w:r>
      <w:proofErr w:type="spellStart"/>
      <w:r>
        <w:rPr>
          <w:rFonts w:ascii="Book Antiqua" w:eastAsia="Book Antiqua" w:hAnsi="Book Antiqua" w:cs="Book Antiqua"/>
          <w:color w:val="000000"/>
        </w:rPr>
        <w:t>h</w:t>
      </w:r>
      <w:r w:rsidRPr="00E60CBD">
        <w:rPr>
          <w:rFonts w:ascii="Book Antiqua" w:eastAsia="Book Antiqua" w:hAnsi="Book Antiqua" w:cs="Book Antiqua"/>
          <w:color w:val="000000"/>
        </w:rPr>
        <w:t>umerus</w:t>
      </w:r>
      <w:proofErr w:type="spellEnd"/>
      <w:r w:rsidRPr="00E60CBD">
        <w:rPr>
          <w:rFonts w:ascii="Book Antiqua" w:eastAsia="Book Antiqua" w:hAnsi="Book Antiqua" w:cs="Book Antiqua"/>
          <w:color w:val="000000"/>
        </w:rPr>
        <w:t xml:space="preserve"> and </w:t>
      </w:r>
      <w:r>
        <w:rPr>
          <w:rFonts w:ascii="Book Antiqua" w:eastAsia="Book Antiqua" w:hAnsi="Book Antiqua" w:cs="Book Antiqua"/>
          <w:color w:val="000000"/>
        </w:rPr>
        <w:t>h</w:t>
      </w:r>
      <w:r w:rsidRPr="00E60CBD">
        <w:rPr>
          <w:rFonts w:ascii="Book Antiqua" w:eastAsia="Book Antiqua" w:hAnsi="Book Antiqua" w:cs="Book Antiqua"/>
          <w:color w:val="000000"/>
        </w:rPr>
        <w:t>ip fracture mortality</w:t>
      </w:r>
    </w:p>
    <w:p w14:paraId="6CDED315" w14:textId="77777777" w:rsidR="00A77B3E" w:rsidRDefault="00A77B3E">
      <w:pPr>
        <w:spacing w:line="360" w:lineRule="auto"/>
        <w:jc w:val="both"/>
      </w:pPr>
    </w:p>
    <w:p w14:paraId="3B54AE13" w14:textId="77777777" w:rsidR="00A77B3E" w:rsidRDefault="000F4AA8">
      <w:pPr>
        <w:spacing w:line="360" w:lineRule="auto"/>
        <w:jc w:val="both"/>
      </w:pPr>
      <w:r>
        <w:rPr>
          <w:rFonts w:ascii="Book Antiqua" w:eastAsia="Book Antiqua" w:hAnsi="Book Antiqua" w:cs="Book Antiqua"/>
          <w:color w:val="000000"/>
        </w:rPr>
        <w:t xml:space="preserve">Aziz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Harvinder Pal Singh</w:t>
      </w:r>
    </w:p>
    <w:p w14:paraId="3AA6DE41" w14:textId="77777777" w:rsidR="00A77B3E" w:rsidRDefault="00A77B3E">
      <w:pPr>
        <w:spacing w:line="360" w:lineRule="auto"/>
        <w:jc w:val="both"/>
      </w:pPr>
    </w:p>
    <w:p w14:paraId="2EA924CD" w14:textId="77777777" w:rsidR="00A77B3E" w:rsidRDefault="000F4AA8">
      <w:pPr>
        <w:spacing w:line="360" w:lineRule="auto"/>
        <w:jc w:val="both"/>
      </w:pPr>
      <w:r>
        <w:rPr>
          <w:rFonts w:ascii="Book Antiqua" w:eastAsia="Book Antiqua" w:hAnsi="Book Antiqua" w:cs="Book Antiqua"/>
          <w:b/>
          <w:bCs/>
          <w:color w:val="000000"/>
        </w:rPr>
        <w:t xml:space="preserve">Aziz </w:t>
      </w:r>
      <w:proofErr w:type="spellStart"/>
      <w:r>
        <w:rPr>
          <w:rFonts w:ascii="Book Antiqua" w:eastAsia="Book Antiqua" w:hAnsi="Book Antiqua" w:cs="Book Antiqua"/>
          <w:b/>
          <w:bCs/>
          <w:color w:val="000000"/>
        </w:rPr>
        <w:t>Haque</w:t>
      </w:r>
      <w:proofErr w:type="spellEnd"/>
      <w:r>
        <w:rPr>
          <w:rFonts w:ascii="Book Antiqua" w:eastAsia="Book Antiqua" w:hAnsi="Book Antiqua" w:cs="Book Antiqua"/>
          <w:b/>
          <w:bCs/>
          <w:color w:val="000000"/>
        </w:rPr>
        <w:t xml:space="preserve">, Harvinder Pal Singh,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Hospitals of Leicester, Leicester B170RH, United Kingdom</w:t>
      </w:r>
    </w:p>
    <w:p w14:paraId="29F5A75D" w14:textId="77777777" w:rsidR="00A77B3E" w:rsidRDefault="00A77B3E">
      <w:pPr>
        <w:spacing w:line="360" w:lineRule="auto"/>
        <w:jc w:val="both"/>
      </w:pPr>
    </w:p>
    <w:p w14:paraId="50225AEC" w14:textId="6A7686EB" w:rsidR="00A77B3E" w:rsidRDefault="000F4AA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w:t>
      </w:r>
      <w:r w:rsidR="00E60CBD">
        <w:rPr>
          <w:rFonts w:ascii="Book Antiqua" w:eastAsia="Book Antiqua" w:hAnsi="Book Antiqua" w:cs="Book Antiqua"/>
          <w:color w:val="000000"/>
        </w:rPr>
        <w:t xml:space="preserve">A </w:t>
      </w:r>
      <w:r>
        <w:rPr>
          <w:rFonts w:ascii="Book Antiqua" w:eastAsia="Book Antiqua" w:hAnsi="Book Antiqua" w:cs="Book Antiqua"/>
          <w:color w:val="000000"/>
        </w:rPr>
        <w:t>was involved in the conception of the study along with data collection, analysis and write up of manuscript</w:t>
      </w:r>
      <w:r w:rsidR="00E60CBD">
        <w:rPr>
          <w:rFonts w:ascii="Book Antiqua" w:eastAsia="Book Antiqua" w:hAnsi="Book Antiqua" w:cs="Book Antiqua"/>
          <w:color w:val="000000"/>
        </w:rPr>
        <w:t>;</w:t>
      </w:r>
      <w:r>
        <w:rPr>
          <w:rFonts w:ascii="Book Antiqua" w:eastAsia="Book Antiqua" w:hAnsi="Book Antiqua" w:cs="Book Antiqua"/>
          <w:color w:val="000000"/>
        </w:rPr>
        <w:t xml:space="preserve"> Singh </w:t>
      </w:r>
      <w:r w:rsidR="00E60CBD">
        <w:rPr>
          <w:rFonts w:ascii="Book Antiqua" w:eastAsia="Book Antiqua" w:hAnsi="Book Antiqua" w:cs="Book Antiqua"/>
          <w:color w:val="000000"/>
        </w:rPr>
        <w:t xml:space="preserve">HP </w:t>
      </w:r>
      <w:r>
        <w:rPr>
          <w:rFonts w:ascii="Book Antiqua" w:eastAsia="Book Antiqua" w:hAnsi="Book Antiqua" w:cs="Book Antiqua"/>
          <w:color w:val="000000"/>
        </w:rPr>
        <w:t>was involved in the conception, analysis and write up of the study.</w:t>
      </w:r>
    </w:p>
    <w:p w14:paraId="5106FC28" w14:textId="77777777" w:rsidR="00A77B3E" w:rsidRDefault="00A77B3E">
      <w:pPr>
        <w:spacing w:line="360" w:lineRule="auto"/>
        <w:jc w:val="both"/>
      </w:pPr>
    </w:p>
    <w:p w14:paraId="14045E01" w14:textId="7C33F543" w:rsidR="00A77B3E" w:rsidRDefault="000F4AA8">
      <w:pPr>
        <w:spacing w:line="360" w:lineRule="auto"/>
        <w:jc w:val="both"/>
      </w:pPr>
      <w:r>
        <w:rPr>
          <w:rFonts w:ascii="Book Antiqua" w:eastAsia="Book Antiqua" w:hAnsi="Book Antiqua" w:cs="Book Antiqua"/>
          <w:b/>
          <w:bCs/>
          <w:color w:val="000000"/>
        </w:rPr>
        <w:t xml:space="preserve">Corresponding author: Aziz </w:t>
      </w:r>
      <w:proofErr w:type="spellStart"/>
      <w:r>
        <w:rPr>
          <w:rFonts w:ascii="Book Antiqua" w:eastAsia="Book Antiqua" w:hAnsi="Book Antiqua" w:cs="Book Antiqua"/>
          <w:b/>
          <w:bCs/>
          <w:color w:val="000000"/>
        </w:rPr>
        <w:t>Haque</w:t>
      </w:r>
      <w:proofErr w:type="spellEnd"/>
      <w:r>
        <w:rPr>
          <w:rFonts w:ascii="Book Antiqua" w:eastAsia="Book Antiqua" w:hAnsi="Book Antiqua" w:cs="Book Antiqua"/>
          <w:b/>
          <w:bCs/>
          <w:color w:val="000000"/>
        </w:rPr>
        <w:t xml:space="preserve">, FRCS,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Hospitals of Leicester, Gwendolen Road, Leicester B170RH, United Kingdom. aziz.leicester@gmail.com</w:t>
      </w:r>
    </w:p>
    <w:p w14:paraId="06970D2E" w14:textId="77777777" w:rsidR="00A77B3E" w:rsidRDefault="00A77B3E">
      <w:pPr>
        <w:spacing w:line="360" w:lineRule="auto"/>
        <w:jc w:val="both"/>
      </w:pPr>
    </w:p>
    <w:p w14:paraId="6BE155C1" w14:textId="77777777" w:rsidR="00A77B3E" w:rsidRDefault="000F4A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2020</w:t>
      </w:r>
    </w:p>
    <w:p w14:paraId="3EA3C839" w14:textId="77777777" w:rsidR="00A77B3E" w:rsidRDefault="000F4A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2020</w:t>
      </w:r>
    </w:p>
    <w:p w14:paraId="2C44F6F8" w14:textId="11447123" w:rsidR="00A77B3E" w:rsidRDefault="000F4AA8">
      <w:pPr>
        <w:spacing w:line="360" w:lineRule="auto"/>
        <w:jc w:val="both"/>
      </w:pPr>
      <w:r>
        <w:rPr>
          <w:rFonts w:ascii="Book Antiqua" w:eastAsia="Book Antiqua" w:hAnsi="Book Antiqua" w:cs="Book Antiqua"/>
          <w:b/>
          <w:bCs/>
          <w:color w:val="000000"/>
        </w:rPr>
        <w:t xml:space="preserve">Accepted: </w:t>
      </w:r>
      <w:r w:rsidR="00C456A3" w:rsidRPr="00C456A3">
        <w:rPr>
          <w:rFonts w:ascii="Book Antiqua" w:eastAsia="Book Antiqua" w:hAnsi="Book Antiqua" w:cs="Book Antiqua"/>
          <w:bCs/>
          <w:color w:val="000000"/>
        </w:rPr>
        <w:t>September 14, 2020</w:t>
      </w:r>
    </w:p>
    <w:p w14:paraId="6CC34DC6" w14:textId="77777777" w:rsidR="00A77B3E" w:rsidRDefault="000F4AA8">
      <w:pPr>
        <w:spacing w:line="360" w:lineRule="auto"/>
        <w:jc w:val="both"/>
      </w:pPr>
      <w:r>
        <w:rPr>
          <w:rFonts w:ascii="Book Antiqua" w:eastAsia="Book Antiqua" w:hAnsi="Book Antiqua" w:cs="Book Antiqua"/>
          <w:b/>
          <w:bCs/>
          <w:color w:val="000000"/>
        </w:rPr>
        <w:t xml:space="preserve">Published online: </w:t>
      </w:r>
    </w:p>
    <w:p w14:paraId="1B8BA24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DDA003" w14:textId="77777777" w:rsidR="00A77B3E" w:rsidRDefault="000F4AA8">
      <w:pPr>
        <w:spacing w:line="360" w:lineRule="auto"/>
        <w:jc w:val="both"/>
      </w:pPr>
      <w:r>
        <w:rPr>
          <w:rFonts w:ascii="Book Antiqua" w:eastAsia="Book Antiqua" w:hAnsi="Book Antiqua" w:cs="Book Antiqua"/>
          <w:b/>
          <w:color w:val="000000"/>
        </w:rPr>
        <w:lastRenderedPageBreak/>
        <w:t>Abstract</w:t>
      </w:r>
    </w:p>
    <w:p w14:paraId="0F507699" w14:textId="77777777" w:rsidR="00A77B3E" w:rsidRDefault="000F4AA8">
      <w:pPr>
        <w:spacing w:line="360" w:lineRule="auto"/>
        <w:jc w:val="both"/>
      </w:pPr>
      <w:r>
        <w:rPr>
          <w:rFonts w:ascii="Book Antiqua" w:eastAsia="Book Antiqua" w:hAnsi="Book Antiqua" w:cs="Book Antiqua"/>
          <w:color w:val="000000"/>
        </w:rPr>
        <w:t>BACKGROUND</w:t>
      </w:r>
    </w:p>
    <w:p w14:paraId="1CE28774" w14:textId="2880788B" w:rsidR="00A77B3E" w:rsidRDefault="001055E0">
      <w:pPr>
        <w:spacing w:line="360" w:lineRule="auto"/>
        <w:jc w:val="both"/>
      </w:pPr>
      <w:r w:rsidRPr="001055E0">
        <w:rPr>
          <w:rFonts w:ascii="Book Antiqua" w:eastAsia="Book Antiqua" w:hAnsi="Book Antiqua" w:cs="Book Antiqua"/>
          <w:color w:val="000000"/>
        </w:rPr>
        <w:t xml:space="preserve">Hip fractures and proximal </w:t>
      </w:r>
      <w:proofErr w:type="spellStart"/>
      <w:r w:rsidRPr="001055E0">
        <w:rPr>
          <w:rFonts w:ascii="Book Antiqua" w:eastAsia="Book Antiqua" w:hAnsi="Book Antiqua" w:cs="Book Antiqua"/>
          <w:color w:val="000000"/>
        </w:rPr>
        <w:t>humerus</w:t>
      </w:r>
      <w:proofErr w:type="spellEnd"/>
      <w:r w:rsidRPr="001055E0">
        <w:rPr>
          <w:rFonts w:ascii="Book Antiqua" w:eastAsia="Book Antiqua" w:hAnsi="Book Antiqua" w:cs="Book Antiqua"/>
          <w:color w:val="000000"/>
        </w:rPr>
        <w:t xml:space="preserve"> fractures are known to be associated with increased mortality, but the impact on mortality of combining these two common injuries is not well known.</w:t>
      </w:r>
    </w:p>
    <w:p w14:paraId="397325A3" w14:textId="77777777" w:rsidR="00A77B3E" w:rsidRDefault="00A77B3E">
      <w:pPr>
        <w:spacing w:line="360" w:lineRule="auto"/>
        <w:jc w:val="both"/>
      </w:pPr>
    </w:p>
    <w:p w14:paraId="1177B669" w14:textId="77777777" w:rsidR="00A77B3E" w:rsidRDefault="000F4AA8">
      <w:pPr>
        <w:spacing w:line="360" w:lineRule="auto"/>
        <w:jc w:val="both"/>
      </w:pPr>
      <w:r>
        <w:rPr>
          <w:rFonts w:ascii="Book Antiqua" w:eastAsia="Book Antiqua" w:hAnsi="Book Antiqua" w:cs="Book Antiqua"/>
          <w:color w:val="000000"/>
        </w:rPr>
        <w:t>AIM</w:t>
      </w:r>
    </w:p>
    <w:p w14:paraId="389D859B" w14:textId="7CB53B15" w:rsidR="00A77B3E" w:rsidRDefault="001055E0">
      <w:pPr>
        <w:spacing w:line="360" w:lineRule="auto"/>
        <w:jc w:val="both"/>
      </w:pPr>
      <w:r>
        <w:rPr>
          <w:rFonts w:ascii="Book Antiqua" w:eastAsia="Book Antiqua" w:hAnsi="Book Antiqua" w:cs="Book Antiqua"/>
          <w:color w:val="000000"/>
        </w:rPr>
        <w:t>T</w:t>
      </w:r>
      <w:r w:rsidR="000F4AA8">
        <w:rPr>
          <w:rFonts w:ascii="Book Antiqua" w:eastAsia="Book Antiqua" w:hAnsi="Book Antiqua" w:cs="Book Antiqua"/>
          <w:color w:val="000000"/>
        </w:rPr>
        <w:t xml:space="preserve">o compare mortality, inpatient stay and discharge destination for patients with combined hip and proximal </w:t>
      </w:r>
      <w:proofErr w:type="spellStart"/>
      <w:r w:rsidR="000F4AA8">
        <w:rPr>
          <w:rFonts w:ascii="Book Antiqua" w:eastAsia="Book Antiqua" w:hAnsi="Book Antiqua" w:cs="Book Antiqua"/>
          <w:color w:val="000000"/>
        </w:rPr>
        <w:t>humerus</w:t>
      </w:r>
      <w:proofErr w:type="spellEnd"/>
      <w:r w:rsidR="000F4AA8">
        <w:rPr>
          <w:rFonts w:ascii="Book Antiqua" w:eastAsia="Book Antiqua" w:hAnsi="Book Antiqua" w:cs="Book Antiqua"/>
          <w:color w:val="000000"/>
        </w:rPr>
        <w:t xml:space="preserve"> fractures with those sustaining isolated hip fractures.</w:t>
      </w:r>
    </w:p>
    <w:p w14:paraId="0E1B4C46" w14:textId="77777777" w:rsidR="00A77B3E" w:rsidRDefault="00A77B3E">
      <w:pPr>
        <w:spacing w:line="360" w:lineRule="auto"/>
        <w:jc w:val="both"/>
      </w:pPr>
    </w:p>
    <w:p w14:paraId="4849DF6A" w14:textId="77777777" w:rsidR="00A77B3E" w:rsidRDefault="000F4AA8">
      <w:pPr>
        <w:spacing w:line="360" w:lineRule="auto"/>
        <w:jc w:val="both"/>
      </w:pPr>
      <w:r>
        <w:rPr>
          <w:rFonts w:ascii="Book Antiqua" w:eastAsia="Book Antiqua" w:hAnsi="Book Antiqua" w:cs="Book Antiqua"/>
          <w:color w:val="000000"/>
        </w:rPr>
        <w:t>METHODS</w:t>
      </w:r>
    </w:p>
    <w:p w14:paraId="550CB202" w14:textId="31ABC2AC" w:rsidR="00A77B3E" w:rsidRDefault="000F4AA8">
      <w:pPr>
        <w:spacing w:line="360" w:lineRule="auto"/>
        <w:jc w:val="both"/>
      </w:pPr>
      <w:r>
        <w:rPr>
          <w:rFonts w:ascii="Book Antiqua" w:eastAsia="Book Antiqua" w:hAnsi="Book Antiqua" w:cs="Book Antiqua"/>
          <w:color w:val="000000"/>
        </w:rPr>
        <w:t xml:space="preserve">Using the </w:t>
      </w:r>
      <w:r w:rsidR="001055E0" w:rsidRPr="001055E0">
        <w:rPr>
          <w:rFonts w:ascii="Book Antiqua" w:eastAsia="Book Antiqua" w:hAnsi="Book Antiqua" w:cs="Book Antiqua"/>
          <w:color w:val="000000"/>
        </w:rPr>
        <w:t>United Kingdom</w:t>
      </w:r>
      <w:r>
        <w:rPr>
          <w:rFonts w:ascii="Book Antiqua" w:eastAsia="Book Antiqua" w:hAnsi="Book Antiqua" w:cs="Book Antiqua"/>
          <w:color w:val="000000"/>
        </w:rPr>
        <w:t xml:space="preserve"> national hip fracture database, we identified all hip fracture patients over the age of 60 admitted to a single trauma unit from 2010-2016. Patients sustaining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in addition to their hip fracture were identified using hospital coding data. We calculated the 30-d and one</w:t>
      </w:r>
      <w:r w:rsidR="001055E0">
        <w:rPr>
          <w:rFonts w:ascii="Book Antiqua" w:eastAsia="Book Antiqua" w:hAnsi="Book Antiqua" w:cs="Book Antiqua"/>
          <w:color w:val="000000"/>
        </w:rPr>
        <w:t>-</w:t>
      </w:r>
      <w:r>
        <w:rPr>
          <w:rFonts w:ascii="Book Antiqua" w:eastAsia="Book Antiqua" w:hAnsi="Book Antiqua" w:cs="Book Antiqua"/>
          <w:color w:val="000000"/>
        </w:rPr>
        <w:t xml:space="preserve">year mortality for both the hip fracture cohort and the combined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cohort. Other variables recorded included age, gender and whether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was treated with or without an operation.</w:t>
      </w:r>
    </w:p>
    <w:p w14:paraId="6315E206" w14:textId="77777777" w:rsidR="00A77B3E" w:rsidRDefault="00A77B3E">
      <w:pPr>
        <w:spacing w:line="360" w:lineRule="auto"/>
        <w:jc w:val="both"/>
      </w:pPr>
    </w:p>
    <w:p w14:paraId="598CDE37" w14:textId="77777777" w:rsidR="00A77B3E" w:rsidRDefault="000F4AA8">
      <w:pPr>
        <w:spacing w:line="360" w:lineRule="auto"/>
        <w:jc w:val="both"/>
      </w:pPr>
      <w:r>
        <w:rPr>
          <w:rFonts w:ascii="Book Antiqua" w:eastAsia="Book Antiqua" w:hAnsi="Book Antiqua" w:cs="Book Antiqua"/>
          <w:color w:val="000000"/>
        </w:rPr>
        <w:t>RESULTS</w:t>
      </w:r>
    </w:p>
    <w:p w14:paraId="0C35BC40" w14:textId="050A23BD" w:rsidR="00A77B3E" w:rsidRDefault="000F4AA8">
      <w:pPr>
        <w:spacing w:line="360" w:lineRule="auto"/>
        <w:jc w:val="both"/>
      </w:pPr>
      <w:r>
        <w:rPr>
          <w:rFonts w:ascii="Book Antiqua" w:eastAsia="Book Antiqua" w:hAnsi="Book Antiqua" w:cs="Book Antiqua"/>
          <w:color w:val="000000"/>
        </w:rPr>
        <w:t xml:space="preserve">We identified 4131 patients with hip fractures within the study period and out of those 40 had sustained both a hip and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Mean age in the hip fracture cohort was 80.9 years and in the combined fracture group 80.3 years. Out of the 40 patients in the combined group four were treated operatively. The 30-d mortality for our hip fracture cohort was 7.2% compared to the mortality of our combined cohort of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The one</w:t>
      </w:r>
      <w:r w:rsidR="00887D31">
        <w:rPr>
          <w:rFonts w:ascii="Book Antiqua" w:eastAsia="Book Antiqua" w:hAnsi="Book Antiqua" w:cs="Book Antiqua"/>
          <w:color w:val="000000"/>
        </w:rPr>
        <w:t>-</w:t>
      </w:r>
      <w:r>
        <w:rPr>
          <w:rFonts w:ascii="Book Antiqua" w:eastAsia="Book Antiqua" w:hAnsi="Book Antiqua" w:cs="Book Antiqua"/>
          <w:color w:val="000000"/>
        </w:rPr>
        <w:t>year mortality for our hip fracture cohort was 26.4% compared to 40% for the combined fracture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We also found patients with combined injuries were less likely to return to their own home.</w:t>
      </w:r>
    </w:p>
    <w:p w14:paraId="048395AE" w14:textId="77777777" w:rsidR="00A77B3E" w:rsidRDefault="00A77B3E">
      <w:pPr>
        <w:spacing w:line="360" w:lineRule="auto"/>
        <w:jc w:val="both"/>
      </w:pPr>
    </w:p>
    <w:p w14:paraId="4711F10D" w14:textId="77777777" w:rsidR="00A77B3E" w:rsidRDefault="000F4AA8">
      <w:pPr>
        <w:spacing w:line="360" w:lineRule="auto"/>
        <w:jc w:val="both"/>
      </w:pPr>
      <w:r>
        <w:rPr>
          <w:rFonts w:ascii="Book Antiqua" w:eastAsia="Book Antiqua" w:hAnsi="Book Antiqua" w:cs="Book Antiqua"/>
          <w:color w:val="000000"/>
        </w:rPr>
        <w:lastRenderedPageBreak/>
        <w:t>CONCLUSION</w:t>
      </w:r>
    </w:p>
    <w:p w14:paraId="16596C72" w14:textId="1E6770DB" w:rsidR="00A77B3E" w:rsidRDefault="000F4AA8">
      <w:pPr>
        <w:spacing w:line="360" w:lineRule="auto"/>
        <w:jc w:val="both"/>
      </w:pPr>
      <w:r>
        <w:rPr>
          <w:rFonts w:ascii="Book Antiqua" w:eastAsia="Book Antiqua" w:hAnsi="Book Antiqua" w:cs="Book Antiqua"/>
          <w:color w:val="000000"/>
        </w:rPr>
        <w:t>The 30-d and one</w:t>
      </w:r>
      <w:r w:rsidR="00887D31">
        <w:rPr>
          <w:rFonts w:ascii="Book Antiqua" w:eastAsia="Book Antiqua" w:hAnsi="Book Antiqua" w:cs="Book Antiqua"/>
          <w:color w:val="000000"/>
        </w:rPr>
        <w:t>-</w:t>
      </w:r>
      <w:r>
        <w:rPr>
          <w:rFonts w:ascii="Book Antiqua" w:eastAsia="Book Antiqua" w:hAnsi="Book Antiqua" w:cs="Book Antiqua"/>
          <w:color w:val="000000"/>
        </w:rPr>
        <w:t xml:space="preserve">year mortality is higher for those patients who have sustained a combined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when compared to those with a hip fracture alone.</w:t>
      </w:r>
    </w:p>
    <w:p w14:paraId="7FA21A64" w14:textId="77777777" w:rsidR="00A77B3E" w:rsidRDefault="00A77B3E">
      <w:pPr>
        <w:spacing w:line="360" w:lineRule="auto"/>
        <w:jc w:val="both"/>
      </w:pPr>
    </w:p>
    <w:p w14:paraId="08DB6B63" w14:textId="5D2C863A" w:rsidR="00A77B3E" w:rsidRDefault="000F4AA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Hip </w:t>
      </w:r>
      <w:r w:rsidR="00887D31">
        <w:rPr>
          <w:rFonts w:ascii="Book Antiqua" w:eastAsia="Book Antiqua" w:hAnsi="Book Antiqua" w:cs="Book Antiqua"/>
          <w:color w:val="000000"/>
        </w:rPr>
        <w:t>f</w:t>
      </w:r>
      <w:r>
        <w:rPr>
          <w:rFonts w:ascii="Book Antiqua" w:eastAsia="Book Antiqua" w:hAnsi="Book Antiqua" w:cs="Book Antiqua"/>
          <w:color w:val="000000"/>
        </w:rPr>
        <w:t xml:space="preserve">racture; Proximal </w:t>
      </w:r>
      <w:proofErr w:type="spellStart"/>
      <w:r w:rsidR="00887D31">
        <w:rPr>
          <w:rFonts w:ascii="Book Antiqua" w:eastAsia="Book Antiqua" w:hAnsi="Book Antiqua" w:cs="Book Antiqua"/>
          <w:color w:val="000000"/>
        </w:rPr>
        <w:t>h</w:t>
      </w:r>
      <w:r>
        <w:rPr>
          <w:rFonts w:ascii="Book Antiqua" w:eastAsia="Book Antiqua" w:hAnsi="Book Antiqua" w:cs="Book Antiqua"/>
          <w:color w:val="000000"/>
        </w:rPr>
        <w:t>umerus</w:t>
      </w:r>
      <w:proofErr w:type="spellEnd"/>
      <w:r>
        <w:rPr>
          <w:rFonts w:ascii="Book Antiqua" w:eastAsia="Book Antiqua" w:hAnsi="Book Antiqua" w:cs="Book Antiqua"/>
          <w:color w:val="000000"/>
        </w:rPr>
        <w:t xml:space="preserve"> </w:t>
      </w:r>
      <w:r w:rsidR="00887D31">
        <w:rPr>
          <w:rFonts w:ascii="Book Antiqua" w:eastAsia="Book Antiqua" w:hAnsi="Book Antiqua" w:cs="Book Antiqua"/>
          <w:color w:val="000000"/>
        </w:rPr>
        <w:t>f</w:t>
      </w:r>
      <w:r>
        <w:rPr>
          <w:rFonts w:ascii="Book Antiqua" w:eastAsia="Book Antiqua" w:hAnsi="Book Antiqua" w:cs="Book Antiqua"/>
          <w:color w:val="000000"/>
        </w:rPr>
        <w:t xml:space="preserve">racture; Mortality; Return to home;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Trauma</w:t>
      </w:r>
    </w:p>
    <w:p w14:paraId="64B36E95" w14:textId="77777777" w:rsidR="00A77B3E" w:rsidRDefault="00A77B3E">
      <w:pPr>
        <w:spacing w:line="360" w:lineRule="auto"/>
        <w:jc w:val="both"/>
      </w:pPr>
    </w:p>
    <w:p w14:paraId="52A63E1E" w14:textId="6E6EAE2A" w:rsidR="00A77B3E" w:rsidRDefault="000F4AA8">
      <w:pPr>
        <w:spacing w:line="360" w:lineRule="auto"/>
        <w:jc w:val="both"/>
      </w:pP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A, Singh HP. Mortality following combined fractures of the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In press</w:t>
      </w:r>
    </w:p>
    <w:p w14:paraId="4EA9E5A1" w14:textId="77777777" w:rsidR="00A77B3E" w:rsidRDefault="00A77B3E">
      <w:pPr>
        <w:spacing w:line="360" w:lineRule="auto"/>
        <w:jc w:val="both"/>
      </w:pPr>
    </w:p>
    <w:p w14:paraId="03F70637" w14:textId="18E95FB4" w:rsidR="00A77B3E" w:rsidRDefault="000F4AA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simple paper highlights a higher mortality for those patients who have sustained a combined injury with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and hip fracture when compared to those with a hip fracture alone. This would be useful for the general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 when dealing and discussing risk of death with patients and their families.</w:t>
      </w:r>
    </w:p>
    <w:p w14:paraId="36B60FF2" w14:textId="507E50AA" w:rsidR="00A77B3E" w:rsidRDefault="00613B4B">
      <w:pPr>
        <w:spacing w:line="360" w:lineRule="auto"/>
        <w:jc w:val="both"/>
      </w:pPr>
      <w:r>
        <w:rPr>
          <w:rFonts w:ascii="Book Antiqua" w:eastAsia="Book Antiqua" w:hAnsi="Book Antiqua" w:cs="Book Antiqua"/>
          <w:b/>
          <w:caps/>
          <w:color w:val="000000"/>
          <w:u w:val="single"/>
        </w:rPr>
        <w:br w:type="page"/>
      </w:r>
      <w:r w:rsidR="000F4AA8">
        <w:rPr>
          <w:rFonts w:ascii="Book Antiqua" w:eastAsia="Book Antiqua" w:hAnsi="Book Antiqua" w:cs="Book Antiqua"/>
          <w:b/>
          <w:caps/>
          <w:color w:val="000000"/>
          <w:u w:val="single"/>
        </w:rPr>
        <w:lastRenderedPageBreak/>
        <w:t>INTRODUCTION</w:t>
      </w:r>
    </w:p>
    <w:p w14:paraId="018E97F3" w14:textId="77766D8B" w:rsidR="00A77B3E" w:rsidRDefault="000F4AA8">
      <w:pPr>
        <w:spacing w:line="360" w:lineRule="auto"/>
        <w:jc w:val="both"/>
      </w:pPr>
      <w:r>
        <w:rPr>
          <w:rFonts w:ascii="Book Antiqua" w:eastAsia="Book Antiqua" w:hAnsi="Book Antiqua" w:cs="Book Antiqua"/>
          <w:color w:val="000000"/>
        </w:rPr>
        <w:t>Hip fractures are common with over 66000 patients sustaining the injury in England and Wales in 2019</w:t>
      </w:r>
      <w:r w:rsidR="00AE03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We also know that over a third of all fractures occur in patients over the age of 65</w:t>
      </w:r>
      <w:r w:rsidR="00AE0360">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 With an aging population the number of hip fractures presenting to our hospitals is likely to increase. Hip fractures are associated with a higher mortality in both the immediate and late post-operative periods. Mortality is usually quoted as around 10% at 30 d and 30% at 1 year</w:t>
      </w:r>
      <w:r w:rsidR="00AE03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There are well established guidelines in place for the management of hip fractures in the elderly</w:t>
      </w:r>
      <w:r w:rsidR="00AE0360">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rPr>
        <w:t>.</w:t>
      </w:r>
    </w:p>
    <w:p w14:paraId="6F0966E9" w14:textId="05D7E405" w:rsidR="00A77B3E" w:rsidRDefault="000F4AA8" w:rsidP="00AE0360">
      <w:pPr>
        <w:spacing w:line="360" w:lineRule="auto"/>
        <w:ind w:firstLineChars="100" w:firstLine="240"/>
        <w:jc w:val="both"/>
      </w:pPr>
      <w:r>
        <w:rPr>
          <w:rFonts w:ascii="Book Antiqua" w:eastAsia="Book Antiqua" w:hAnsi="Book Antiqua" w:cs="Book Antiqua"/>
          <w:color w:val="000000"/>
        </w:rPr>
        <w:t xml:space="preserve">Fractures of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are the third most common fragility fracture after hip and distal radius accounting for around 6% of all fractures</w:t>
      </w:r>
      <w:r w:rsidR="00AE0360">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rPr>
        <w:t xml:space="preserve">Longer term community studies have shown a higher mortality in those patients that have suffered a fracture of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with Wilson </w:t>
      </w:r>
      <w:r>
        <w:rPr>
          <w:rFonts w:ascii="Book Antiqua" w:eastAsia="Book Antiqua" w:hAnsi="Book Antiqua" w:cs="Book Antiqua"/>
          <w:i/>
          <w:iCs/>
          <w:color w:val="000000"/>
        </w:rPr>
        <w:t>et al</w:t>
      </w:r>
      <w:r w:rsidR="00AE0360">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rPr>
        <w:t xml:space="preserve"> showing a two fold increase at 1 year (9.8%) and 5 years (28.2%)</w:t>
      </w:r>
      <w:r w:rsidR="00AE0360">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rPr>
        <w:t>.</w:t>
      </w:r>
      <w:r w:rsidR="00AE0360" w:rsidRPr="00AE0360">
        <w:rPr>
          <w:rFonts w:ascii="Book Antiqua" w:eastAsia="Book Antiqua" w:hAnsi="Book Antiqua" w:cs="Book Antiqua"/>
          <w:color w:val="000000"/>
        </w:rPr>
        <w:t xml:space="preserve"> </w:t>
      </w:r>
      <w:r>
        <w:rPr>
          <w:rFonts w:ascii="Book Antiqua" w:eastAsia="Book Antiqua" w:hAnsi="Book Antiqua" w:cs="Book Antiqua"/>
          <w:color w:val="000000"/>
        </w:rPr>
        <w:t>Mortality is likely to be higher with advancing age and increasing number of comorbidities</w:t>
      </w:r>
      <w:r w:rsidR="00AE0360">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rPr>
        <w:t>.</w:t>
      </w:r>
    </w:p>
    <w:p w14:paraId="509EB2FA" w14:textId="104C241D" w:rsidR="00A77B3E" w:rsidRDefault="000F4AA8" w:rsidP="00AE0360">
      <w:pPr>
        <w:spacing w:line="360" w:lineRule="auto"/>
        <w:ind w:firstLineChars="100" w:firstLine="240"/>
        <w:jc w:val="both"/>
      </w:pPr>
      <w:r>
        <w:rPr>
          <w:rFonts w:ascii="Book Antiqua" w:eastAsia="Book Antiqua" w:hAnsi="Book Antiqua" w:cs="Book Antiqua"/>
          <w:color w:val="000000"/>
        </w:rPr>
        <w:t xml:space="preserve">Mortality following combined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is likely to be higher and the aim of our study was to describe 30 d and 1</w:t>
      </w:r>
      <w:r w:rsidR="00AE0360">
        <w:rPr>
          <w:rFonts w:ascii="Book Antiqua" w:eastAsia="Book Antiqua" w:hAnsi="Book Antiqua" w:cs="Book Antiqua"/>
          <w:color w:val="000000"/>
        </w:rPr>
        <w:t>-</w:t>
      </w:r>
      <w:r>
        <w:rPr>
          <w:rFonts w:ascii="Book Antiqua" w:eastAsia="Book Antiqua" w:hAnsi="Book Antiqua" w:cs="Book Antiqua"/>
          <w:color w:val="000000"/>
        </w:rPr>
        <w:t>year mortality for these patients and compare them to patients who have suffered a hip fracture alone.</w:t>
      </w:r>
    </w:p>
    <w:p w14:paraId="7344F3D7" w14:textId="77777777" w:rsidR="00A77B3E" w:rsidRDefault="00A77B3E">
      <w:pPr>
        <w:spacing w:line="360" w:lineRule="auto"/>
        <w:jc w:val="both"/>
      </w:pPr>
    </w:p>
    <w:p w14:paraId="374B62D6" w14:textId="77777777" w:rsidR="00A77B3E" w:rsidRDefault="000F4AA8">
      <w:pPr>
        <w:spacing w:line="360" w:lineRule="auto"/>
        <w:jc w:val="both"/>
      </w:pPr>
      <w:r>
        <w:rPr>
          <w:rFonts w:ascii="Book Antiqua" w:eastAsia="Book Antiqua" w:hAnsi="Book Antiqua" w:cs="Book Antiqua"/>
          <w:b/>
          <w:caps/>
          <w:color w:val="000000"/>
          <w:u w:val="single"/>
        </w:rPr>
        <w:t>MATERIALS AND METHODS</w:t>
      </w:r>
    </w:p>
    <w:p w14:paraId="621B7C97" w14:textId="5761AA2B" w:rsidR="00A77B3E" w:rsidRDefault="000F4AA8">
      <w:pPr>
        <w:spacing w:line="360" w:lineRule="auto"/>
        <w:jc w:val="both"/>
      </w:pPr>
      <w:r>
        <w:rPr>
          <w:rFonts w:ascii="Book Antiqua" w:eastAsia="Book Antiqua" w:hAnsi="Book Antiqua" w:cs="Book Antiqua"/>
          <w:color w:val="000000"/>
        </w:rPr>
        <w:t xml:space="preserve">All hip fractures over the age of 60 presenting to a single large trauma unit were identified using a prospective national database of hip fractures (National Hip Fracture Database) from January 2010 to December 2016. Patients sustaining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in addition to their hip fracture were identified using hospital coding data which was then confirmed with radiographic review. All pathological hip and proximal humeral fractures were excluded in addition to those sustaining other significant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Office of national statistics data was used to verify mortality in our patient group. We calculated 30 d and 1</w:t>
      </w:r>
      <w:r w:rsidR="00AE0360">
        <w:rPr>
          <w:rFonts w:ascii="Book Antiqua" w:eastAsia="Book Antiqua" w:hAnsi="Book Antiqua" w:cs="Book Antiqua"/>
          <w:color w:val="000000"/>
        </w:rPr>
        <w:t>-</w:t>
      </w:r>
      <w:r>
        <w:rPr>
          <w:rFonts w:ascii="Book Antiqua" w:eastAsia="Book Antiqua" w:hAnsi="Book Antiqua" w:cs="Book Antiqua"/>
          <w:color w:val="000000"/>
        </w:rPr>
        <w:t xml:space="preserve">year mortality for those patients that had sustained a hip fracture alone and those that had sustained a combined hip and proximal humeral fracture. Other variables recorded included age, gender, inpatient </w:t>
      </w:r>
      <w:r>
        <w:rPr>
          <w:rFonts w:ascii="Book Antiqua" w:eastAsia="Book Antiqua" w:hAnsi="Book Antiqua" w:cs="Book Antiqua"/>
          <w:color w:val="000000"/>
        </w:rPr>
        <w:lastRenderedPageBreak/>
        <w:t>stay and discharge destination. A radiographic review of all proximal humeral fractures was performed to classify them and record their treatment.</w:t>
      </w:r>
    </w:p>
    <w:p w14:paraId="53878652" w14:textId="33254FB5" w:rsidR="00A77B3E" w:rsidRDefault="000F4AA8" w:rsidP="00AE0360">
      <w:pPr>
        <w:spacing w:line="360" w:lineRule="auto"/>
        <w:ind w:firstLineChars="100" w:firstLine="240"/>
        <w:jc w:val="both"/>
      </w:pPr>
      <w:r>
        <w:rPr>
          <w:rFonts w:ascii="Book Antiqua" w:eastAsia="Book Antiqua" w:hAnsi="Book Antiqua" w:cs="Book Antiqua"/>
          <w:color w:val="000000"/>
        </w:rPr>
        <w:t>Statistical analysis was carried out using the SPSS software (IBM, Armonk, NY, U</w:t>
      </w:r>
      <w:r w:rsidR="00AE0360">
        <w:rPr>
          <w:rFonts w:ascii="Book Antiqua" w:eastAsia="Book Antiqua" w:hAnsi="Book Antiqua" w:cs="Book Antiqua"/>
          <w:color w:val="000000"/>
        </w:rPr>
        <w:t>nited Sta</w:t>
      </w:r>
      <w:r w:rsidR="00AF0E31">
        <w:rPr>
          <w:rFonts w:ascii="Book Antiqua" w:eastAsia="Book Antiqua" w:hAnsi="Book Antiqua" w:cs="Book Antiqua"/>
          <w:color w:val="000000"/>
        </w:rPr>
        <w:t>t</w:t>
      </w:r>
      <w:r w:rsidR="00AE0360">
        <w:rPr>
          <w:rFonts w:ascii="Book Antiqua" w:eastAsia="Book Antiqua" w:hAnsi="Book Antiqua" w:cs="Book Antiqua"/>
          <w:color w:val="000000"/>
        </w:rPr>
        <w:t>es</w:t>
      </w:r>
      <w:r>
        <w:rPr>
          <w:rFonts w:ascii="Book Antiqua" w:eastAsia="Book Antiqua" w:hAnsi="Book Antiqua" w:cs="Book Antiqua"/>
          <w:color w:val="000000"/>
        </w:rPr>
        <w:t xml:space="preserve">). Mortality and other secondary outcome measures were compared using Fisher’s exact test due to a large difference in sample size between the two groups. Difference was considered significant if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AF0E31">
        <w:rPr>
          <w:rFonts w:ascii="Book Antiqua" w:eastAsia="Book Antiqua" w:hAnsi="Book Antiqua" w:cs="Book Antiqua"/>
          <w:color w:val="000000"/>
        </w:rPr>
        <w:t xml:space="preserve"> </w:t>
      </w:r>
      <w:r>
        <w:rPr>
          <w:rFonts w:ascii="Book Antiqua" w:eastAsia="Book Antiqua" w:hAnsi="Book Antiqua" w:cs="Book Antiqua"/>
          <w:color w:val="000000"/>
        </w:rPr>
        <w:t>0.05 was reached.</w:t>
      </w:r>
    </w:p>
    <w:p w14:paraId="1138CCFC" w14:textId="77777777" w:rsidR="00A77B3E" w:rsidRDefault="00A77B3E">
      <w:pPr>
        <w:spacing w:line="360" w:lineRule="auto"/>
        <w:jc w:val="both"/>
      </w:pPr>
    </w:p>
    <w:p w14:paraId="4B1CA72E" w14:textId="77777777" w:rsidR="00A77B3E" w:rsidRDefault="000F4AA8">
      <w:pPr>
        <w:spacing w:line="360" w:lineRule="auto"/>
        <w:jc w:val="both"/>
      </w:pPr>
      <w:r>
        <w:rPr>
          <w:rFonts w:ascii="Book Antiqua" w:eastAsia="Book Antiqua" w:hAnsi="Book Antiqua" w:cs="Book Antiqua"/>
          <w:b/>
          <w:caps/>
          <w:color w:val="000000"/>
          <w:u w:val="single"/>
        </w:rPr>
        <w:t>RESULTS</w:t>
      </w:r>
    </w:p>
    <w:p w14:paraId="34E6E4F2" w14:textId="35D69189" w:rsidR="00A77B3E" w:rsidRDefault="000F4AA8">
      <w:pPr>
        <w:spacing w:line="360" w:lineRule="auto"/>
        <w:jc w:val="both"/>
      </w:pPr>
      <w:r>
        <w:rPr>
          <w:rFonts w:ascii="Book Antiqua" w:eastAsia="Book Antiqua" w:hAnsi="Book Antiqua" w:cs="Book Antiqua"/>
          <w:color w:val="000000"/>
        </w:rPr>
        <w:t xml:space="preserve">In total, 4131 patients were identified with a hip fracture in the study period. Out of these 40 had sustained both a hip fracture and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Mean age in the hip fracture cohort was 80.9 years and in the combined fracture group 80.3 years. The male to female ratio in the hip fracture group was 1:2.4 and in the combined fracture group 1:3.4. In terms of our primary outcome measure the 30</w:t>
      </w:r>
      <w:r w:rsidR="00AF0E31">
        <w:rPr>
          <w:rFonts w:ascii="Book Antiqua" w:eastAsia="Book Antiqua" w:hAnsi="Book Antiqua" w:cs="Book Antiqua"/>
          <w:color w:val="000000"/>
        </w:rPr>
        <w:t>-</w:t>
      </w:r>
      <w:r>
        <w:rPr>
          <w:rFonts w:ascii="Book Antiqua" w:eastAsia="Book Antiqua" w:hAnsi="Book Antiqua" w:cs="Book Antiqua"/>
          <w:color w:val="000000"/>
        </w:rPr>
        <w:t>d mortality in the hip fracture cohort was 7.2% compared to 12.5% in the combined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The 1</w:t>
      </w:r>
      <w:r w:rsidR="00C43A60">
        <w:rPr>
          <w:rFonts w:ascii="Book Antiqua" w:eastAsia="Book Antiqua" w:hAnsi="Book Antiqua" w:cs="Book Antiqua"/>
          <w:color w:val="000000"/>
        </w:rPr>
        <w:t>-</w:t>
      </w:r>
      <w:r>
        <w:rPr>
          <w:rFonts w:ascii="Book Antiqua" w:eastAsia="Book Antiqua" w:hAnsi="Book Antiqua" w:cs="Book Antiqua"/>
          <w:color w:val="000000"/>
        </w:rPr>
        <w:t>year mortality for our hip fracture cohort was 26.4% compared to 40% for the combined fracture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r w:rsidR="00AF0E31" w:rsidRPr="00AF0E31">
        <w:rPr>
          <w:rFonts w:ascii="Book Antiqua" w:eastAsia="Book Antiqua" w:hAnsi="Book Antiqua" w:cs="Book Antiqua"/>
          <w:color w:val="000000"/>
        </w:rPr>
        <w:t xml:space="preserve"> </w:t>
      </w:r>
      <w:r w:rsidR="00AF0E31">
        <w:rPr>
          <w:rFonts w:ascii="Book Antiqua" w:eastAsia="Book Antiqua" w:hAnsi="Book Antiqua" w:cs="Book Antiqua"/>
          <w:color w:val="000000"/>
        </w:rPr>
        <w:t>(Table 1)</w:t>
      </w:r>
      <w:r>
        <w:rPr>
          <w:rFonts w:ascii="Book Antiqua" w:eastAsia="Book Antiqua" w:hAnsi="Book Antiqua" w:cs="Book Antiqua"/>
          <w:color w:val="000000"/>
        </w:rPr>
        <w:t>.</w:t>
      </w:r>
    </w:p>
    <w:p w14:paraId="18E9E3F8" w14:textId="0F24312A" w:rsidR="00A77B3E" w:rsidRDefault="000F4AA8" w:rsidP="00C43A60">
      <w:pPr>
        <w:spacing w:line="360" w:lineRule="auto"/>
        <w:ind w:firstLineChars="100" w:firstLine="240"/>
        <w:jc w:val="both"/>
      </w:pPr>
      <w:r>
        <w:rPr>
          <w:rFonts w:ascii="Book Antiqua" w:eastAsia="Book Antiqua" w:hAnsi="Book Antiqua" w:cs="Book Antiqua"/>
          <w:color w:val="000000"/>
        </w:rPr>
        <w:t>In terms of secondary outcome measures, mean hospital stay was 14 d for hip fracture patients compared to 16.3 d for patients with the combined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Only 29% of patients with the combined injury were discharged back to their own home compared to 47% in the hip fracture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Four of the 40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had operative fixation. No difference in mortality was seen between different fracture types or methods of treatment.</w:t>
      </w:r>
    </w:p>
    <w:p w14:paraId="5FDB6294" w14:textId="77777777" w:rsidR="00A77B3E" w:rsidRDefault="00A77B3E">
      <w:pPr>
        <w:spacing w:line="360" w:lineRule="auto"/>
        <w:jc w:val="both"/>
      </w:pPr>
    </w:p>
    <w:p w14:paraId="7E61BE86" w14:textId="77777777" w:rsidR="00A77B3E" w:rsidRDefault="000F4AA8">
      <w:pPr>
        <w:spacing w:line="360" w:lineRule="auto"/>
        <w:jc w:val="both"/>
      </w:pPr>
      <w:r>
        <w:rPr>
          <w:rFonts w:ascii="Book Antiqua" w:eastAsia="Book Antiqua" w:hAnsi="Book Antiqua" w:cs="Book Antiqua"/>
          <w:b/>
          <w:caps/>
          <w:color w:val="000000"/>
          <w:u w:val="single"/>
        </w:rPr>
        <w:t>DISCUSSION</w:t>
      </w:r>
    </w:p>
    <w:p w14:paraId="06D71711" w14:textId="1516DA61" w:rsidR="00A77B3E" w:rsidRDefault="000F4AA8">
      <w:pPr>
        <w:spacing w:line="360" w:lineRule="auto"/>
        <w:jc w:val="both"/>
      </w:pPr>
      <w:r>
        <w:rPr>
          <w:rFonts w:ascii="Book Antiqua" w:eastAsia="Book Antiqua" w:hAnsi="Book Antiqua" w:cs="Book Antiqua"/>
          <w:color w:val="000000"/>
        </w:rPr>
        <w:t>Sustaining a hip fracture is amongst the commonest reasons for elderly patients needing emergency surgery. This comes with increased risk both in terms of morbidity and mortality</w:t>
      </w:r>
      <w:r w:rsidR="00C43A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 Few patients will go on to achieve their full pre-injury abilities, which means that a significant proportion of patients would require increased level of care</w:t>
      </w:r>
      <w:r w:rsidR="00C43A60">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rPr>
        <w:t>.</w:t>
      </w:r>
      <w:r w:rsidR="00C43A60" w:rsidRPr="00C43A60">
        <w:rPr>
          <w:rFonts w:ascii="Book Antiqua" w:eastAsia="Book Antiqua" w:hAnsi="Book Antiqua" w:cs="Book Antiqua"/>
          <w:color w:val="000000"/>
        </w:rPr>
        <w:t xml:space="preserve"> </w:t>
      </w:r>
      <w:r>
        <w:rPr>
          <w:rFonts w:ascii="Book Antiqua" w:eastAsia="Book Antiqua" w:hAnsi="Book Antiqua" w:cs="Book Antiqua"/>
          <w:color w:val="000000"/>
        </w:rPr>
        <w:t xml:space="preserve">This poses a significant socioeconomic burden on the National Health Service. The nation institute for health and care excellence estimates 30 d mortality of </w:t>
      </w:r>
      <w:proofErr w:type="spellStart"/>
      <w:r>
        <w:rPr>
          <w:rFonts w:ascii="Book Antiqua" w:eastAsia="Book Antiqua" w:hAnsi="Book Antiqua" w:cs="Book Antiqua"/>
          <w:color w:val="000000"/>
        </w:rPr>
        <w:t>upto</w:t>
      </w:r>
      <w:proofErr w:type="spellEnd"/>
      <w:r>
        <w:rPr>
          <w:rFonts w:ascii="Book Antiqua" w:eastAsia="Book Antiqua" w:hAnsi="Book Antiqua" w:cs="Book Antiqua"/>
          <w:color w:val="000000"/>
        </w:rPr>
        <w:t xml:space="preserve"> 10% and </w:t>
      </w:r>
      <w:r>
        <w:rPr>
          <w:rFonts w:ascii="Book Antiqua" w:eastAsia="Book Antiqua" w:hAnsi="Book Antiqua" w:cs="Book Antiqua"/>
          <w:color w:val="000000"/>
        </w:rPr>
        <w:lastRenderedPageBreak/>
        <w:t>1</w:t>
      </w:r>
      <w:r w:rsidR="00C43A60">
        <w:rPr>
          <w:rFonts w:ascii="Book Antiqua" w:eastAsia="Book Antiqua" w:hAnsi="Book Antiqua" w:cs="Book Antiqua"/>
          <w:color w:val="000000"/>
        </w:rPr>
        <w:t>-</w:t>
      </w:r>
      <w:r>
        <w:rPr>
          <w:rFonts w:ascii="Book Antiqua" w:eastAsia="Book Antiqua" w:hAnsi="Book Antiqua" w:cs="Book Antiqua"/>
          <w:color w:val="000000"/>
        </w:rPr>
        <w:t xml:space="preserve">year mortality of </w:t>
      </w:r>
      <w:proofErr w:type="spellStart"/>
      <w:r>
        <w:rPr>
          <w:rFonts w:ascii="Book Antiqua" w:eastAsia="Book Antiqua" w:hAnsi="Book Antiqua" w:cs="Book Antiqua"/>
          <w:color w:val="000000"/>
        </w:rPr>
        <w:t>upto</w:t>
      </w:r>
      <w:proofErr w:type="spellEnd"/>
      <w:r>
        <w:rPr>
          <w:rFonts w:ascii="Book Antiqua" w:eastAsia="Book Antiqua" w:hAnsi="Book Antiqua" w:cs="Book Antiqua"/>
          <w:color w:val="000000"/>
        </w:rPr>
        <w:t xml:space="preserve"> 30% in those patients that have sustained a hip fracture</w:t>
      </w:r>
      <w:r w:rsidR="00C43A60">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rPr>
        <w:t>.</w:t>
      </w:r>
      <w:r w:rsidR="00C43A60" w:rsidRPr="00C43A60">
        <w:rPr>
          <w:rFonts w:ascii="Book Antiqua" w:eastAsia="Book Antiqua" w:hAnsi="Book Antiqua" w:cs="Book Antiqua"/>
          <w:color w:val="000000"/>
        </w:rPr>
        <w:t xml:space="preserve"> </w:t>
      </w:r>
      <w:r>
        <w:rPr>
          <w:rFonts w:ascii="Book Antiqua" w:eastAsia="Book Antiqua" w:hAnsi="Book Antiqua" w:cs="Book Antiqua"/>
          <w:color w:val="000000"/>
        </w:rPr>
        <w:t xml:space="preserve">National guidelines and the formation of the national hip fracture database have gone a long way in improving and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the care provided to these patients in England</w:t>
      </w:r>
      <w:r w:rsidR="00C43A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p>
    <w:p w14:paraId="042869E6" w14:textId="332C5E20" w:rsidR="00A77B3E" w:rsidRDefault="000F4AA8" w:rsidP="00C43A60">
      <w:pPr>
        <w:spacing w:line="360" w:lineRule="auto"/>
        <w:ind w:firstLineChars="100" w:firstLine="240"/>
        <w:jc w:val="both"/>
      </w:pPr>
      <w:r>
        <w:rPr>
          <w:rFonts w:ascii="Book Antiqua" w:eastAsia="Book Antiqua" w:hAnsi="Book Antiqua" w:cs="Book Antiqua"/>
          <w:color w:val="000000"/>
        </w:rPr>
        <w:t xml:space="preserve">In our study we wanted to compare the outcomes of a small cohort of hip fracture patients that have also sustained a concurrent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Similar to other previous studies we found that combined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were more prevalent in females (</w:t>
      </w:r>
      <w:proofErr w:type="spellStart"/>
      <w:r w:rsidR="00C43A60">
        <w:rPr>
          <w:rFonts w:ascii="Book Antiqua" w:eastAsia="Book Antiqua" w:hAnsi="Book Antiqua" w:cs="Book Antiqua"/>
          <w:color w:val="000000"/>
        </w:rPr>
        <w:t>m</w:t>
      </w:r>
      <w:r>
        <w:rPr>
          <w:rFonts w:ascii="Book Antiqua" w:eastAsia="Book Antiqua" w:hAnsi="Book Antiqua" w:cs="Book Antiqua"/>
          <w:color w:val="000000"/>
        </w:rPr>
        <w:t>ale:</w:t>
      </w:r>
      <w:r w:rsidR="00C43A60">
        <w:rPr>
          <w:rFonts w:ascii="Book Antiqua" w:eastAsia="Book Antiqua" w:hAnsi="Book Antiqua" w:cs="Book Antiqua"/>
          <w:color w:val="000000"/>
        </w:rPr>
        <w:t>f</w:t>
      </w:r>
      <w:r>
        <w:rPr>
          <w:rFonts w:ascii="Book Antiqua" w:eastAsia="Book Antiqua" w:hAnsi="Book Antiqua" w:cs="Book Antiqua"/>
          <w:color w:val="000000"/>
        </w:rPr>
        <w:t>emale</w:t>
      </w:r>
      <w:proofErr w:type="spellEnd"/>
      <w:r>
        <w:rPr>
          <w:rFonts w:ascii="Book Antiqua" w:eastAsia="Book Antiqua" w:hAnsi="Book Antiqua" w:cs="Book Antiqua"/>
          <w:color w:val="000000"/>
        </w:rPr>
        <w:t xml:space="preserve"> = 1:3.4) and sustained by a comparably elderly group of patients (</w:t>
      </w:r>
      <w:r w:rsidR="00C43A60">
        <w:rPr>
          <w:rFonts w:ascii="Book Antiqua" w:eastAsia="Book Antiqua" w:hAnsi="Book Antiqua" w:cs="Book Antiqua"/>
          <w:color w:val="000000"/>
        </w:rPr>
        <w:t>m</w:t>
      </w:r>
      <w:r>
        <w:rPr>
          <w:rFonts w:ascii="Book Antiqua" w:eastAsia="Book Antiqua" w:hAnsi="Book Antiqua" w:cs="Book Antiqua"/>
          <w:color w:val="000000"/>
        </w:rPr>
        <w:t>ean age 80.3 years). In our analysis patients with combined hip and proximal humeral fractures had higher mortality at 30 d and 1 year when compared to those patients that had suffered a hip fracture alone. Although the difference was not statistically significant at 30 d, it did become significant at one year. Patients with these combined injuries were also less likely to return to their own home.</w:t>
      </w:r>
    </w:p>
    <w:p w14:paraId="6CF74762" w14:textId="373783E7" w:rsidR="00A77B3E" w:rsidRDefault="000F4AA8" w:rsidP="00C43A60">
      <w:pPr>
        <w:spacing w:line="360" w:lineRule="auto"/>
        <w:ind w:firstLineChars="100" w:firstLine="240"/>
        <w:jc w:val="both"/>
      </w:pPr>
      <w:r>
        <w:rPr>
          <w:rFonts w:ascii="Book Antiqua" w:eastAsia="Book Antiqua" w:hAnsi="Book Antiqua" w:cs="Book Antiqua"/>
          <w:color w:val="000000"/>
        </w:rPr>
        <w:t xml:space="preserve">Combined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and hip fractures are relatively rare and we found that only 1% of hip fractures had sustained this injury. A single unit would therefore only expect to see a few of these injuries a year. In our cohort only 4 patients out of 40 had their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treated operatively. Patients that have sustained a combined hip and an upper limb fracture are likely to face greater difficulty in terms of rehabilitation. With proximal humeral fractures this can be more of an issue as splints and adapted walking aids cannot be used to help improve mobility as it can for distal radius fracture for example. It is unclear whether this is the actual reason for increased mortality, but the socioeconomic burden of these combined injuries is clear.</w:t>
      </w:r>
    </w:p>
    <w:p w14:paraId="26F40084" w14:textId="1020BBA3" w:rsidR="00A77B3E" w:rsidRDefault="000F4AA8" w:rsidP="00C43A60">
      <w:pPr>
        <w:spacing w:line="360" w:lineRule="auto"/>
        <w:ind w:firstLineChars="100" w:firstLine="240"/>
        <w:jc w:val="both"/>
      </w:pPr>
      <w:r>
        <w:rPr>
          <w:rFonts w:ascii="Book Antiqua" w:eastAsia="Book Antiqua" w:hAnsi="Book Antiqua" w:cs="Book Antiqua"/>
          <w:color w:val="000000"/>
        </w:rPr>
        <w:t xml:space="preserve">Previous studies with smaller numbers have described a possible increased risk of mortality with proximal humeral fractures but their numbers have been smaller. Robinson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21 proximal humeral fractures in 1971 consecutive hip fracture patients and suggested that mortality was increased but when hip fractures were associated with a distal radius fractures, their mortality appeared to be slightly lower.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Mulhall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rPr>
        <w:t xml:space="preserve"> looked at 760 hip fractures and only found 5 fractures of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in their retrospective review, they found that with upper limb injuries there was an increase in inpatient stay with greater difficulties in </w:t>
      </w:r>
      <w:proofErr w:type="spellStart"/>
      <w:r>
        <w:rPr>
          <w:rFonts w:ascii="Book Antiqua" w:eastAsia="Book Antiqua" w:hAnsi="Book Antiqua" w:cs="Book Antiqua"/>
          <w:color w:val="000000"/>
        </w:rPr>
        <w:t>mobilisation</w:t>
      </w:r>
      <w:proofErr w:type="spellEnd"/>
      <w:r>
        <w:rPr>
          <w:rFonts w:ascii="Book Antiqua" w:eastAsia="Book Antiqua" w:hAnsi="Book Antiqua" w:cs="Book Antiqua"/>
          <w:color w:val="000000"/>
        </w:rPr>
        <w:t xml:space="preserve">. Similar results </w:t>
      </w:r>
      <w:r>
        <w:rPr>
          <w:rFonts w:ascii="Book Antiqua" w:eastAsia="Book Antiqua" w:hAnsi="Book Antiqua" w:cs="Book Antiqua"/>
          <w:color w:val="000000"/>
        </w:rPr>
        <w:lastRenderedPageBreak/>
        <w:t xml:space="preserve">were also reported by Kang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rPr>
        <w:t xml:space="preserve"> in 2019 when they found 35 upper limb fractures in 1018 hip fracture patients. Only 8 had sustained a combined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with increased mean inpatient stay. We have included 4131 hip fractures in our study with 40 also sustaining a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w:t>
      </w:r>
    </w:p>
    <w:p w14:paraId="0457FEC3" w14:textId="524243E7" w:rsidR="00A77B3E" w:rsidRDefault="000F4AA8" w:rsidP="00C43A60">
      <w:pPr>
        <w:spacing w:line="360" w:lineRule="auto"/>
        <w:ind w:firstLineChars="100" w:firstLine="240"/>
        <w:jc w:val="both"/>
      </w:pPr>
      <w:r>
        <w:rPr>
          <w:rFonts w:ascii="Book Antiqua" w:eastAsia="Book Antiqua" w:hAnsi="Book Antiqua" w:cs="Book Antiqua"/>
          <w:color w:val="000000"/>
        </w:rPr>
        <w:t>Treating all proximal humeral fractures operatively in those patients that have also sustained a hip fracture may not be possible due to the nature of their co-morbidities. Operative treatment may, in addition, not lead to a lower mortality and the benefits of surgery in terms of rehabilitation may be limited by post-operative restrictions. More work is needed in this area, however, due to the rarity of these injuries, large studies would be difficult to perform.</w:t>
      </w:r>
    </w:p>
    <w:p w14:paraId="14FAD376" w14:textId="2B111762" w:rsidR="00A77B3E" w:rsidRDefault="000F4AA8" w:rsidP="00C43A6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main limitation of our study is its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design, use of hospital coding data and small number of patients particularly in the combined hip and proximal humeral fracture group. This was, however, unavoidable due to relative rarity of this combined injury. The large difference in sample size between the two groups may lead to difficulties in statistical analysis and this is acknowledged.</w:t>
      </w:r>
    </w:p>
    <w:p w14:paraId="49BADBAC" w14:textId="196611E1" w:rsidR="00470C0B" w:rsidRDefault="00470C0B" w:rsidP="00470C0B">
      <w:pPr>
        <w:spacing w:line="360" w:lineRule="auto"/>
        <w:jc w:val="both"/>
      </w:pPr>
    </w:p>
    <w:p w14:paraId="3995D8A0" w14:textId="3B5B6679" w:rsidR="00470C0B" w:rsidRDefault="00470C0B" w:rsidP="00470C0B">
      <w:pPr>
        <w:spacing w:line="360" w:lineRule="auto"/>
        <w:jc w:val="both"/>
      </w:pPr>
      <w:r>
        <w:rPr>
          <w:rFonts w:ascii="Book Antiqua" w:eastAsia="Book Antiqua" w:hAnsi="Book Antiqua" w:cs="Book Antiqua"/>
          <w:b/>
          <w:caps/>
          <w:color w:val="000000"/>
          <w:u w:val="single"/>
        </w:rPr>
        <w:t>CONCLUSION</w:t>
      </w:r>
    </w:p>
    <w:p w14:paraId="0D3DB16F" w14:textId="4D8173C9" w:rsidR="00A77B3E" w:rsidRDefault="000F4AA8" w:rsidP="00470C0B">
      <w:pPr>
        <w:spacing w:line="360" w:lineRule="auto"/>
        <w:jc w:val="both"/>
      </w:pPr>
      <w:r>
        <w:rPr>
          <w:rFonts w:ascii="Book Antiqua" w:eastAsia="Book Antiqua" w:hAnsi="Book Antiqua" w:cs="Book Antiqua"/>
          <w:color w:val="000000"/>
        </w:rPr>
        <w:t xml:space="preserve">This retrospective review of a prospectively collected database over 7 years in a large trauma unit has looked at 4131 hip fractures with 40 out of those sustaining a combined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These combined injuries are relatively rare but are likely to be associated with a higher mortality at 1 year. They also cause increased difficulty in terms of patients reaching their pre-injury abilities as they are also less likely to return to their own home following discharge. Our hope is that publication of this information would not only lead to a more informed discussion with patients and their families, but also generate discussion amongst trauma and shoulder surgeons about developing better strategies of treating these combined injuries.</w:t>
      </w:r>
    </w:p>
    <w:p w14:paraId="12CCB130" w14:textId="77777777" w:rsidR="00A77B3E" w:rsidRDefault="00A77B3E">
      <w:pPr>
        <w:spacing w:line="360" w:lineRule="auto"/>
        <w:jc w:val="both"/>
      </w:pPr>
    </w:p>
    <w:p w14:paraId="51B64B50" w14:textId="77777777" w:rsidR="00A77B3E" w:rsidRDefault="000F4AA8">
      <w:pPr>
        <w:spacing w:line="360" w:lineRule="auto"/>
        <w:jc w:val="both"/>
      </w:pPr>
      <w:r>
        <w:rPr>
          <w:rFonts w:ascii="Book Antiqua" w:eastAsia="Book Antiqua" w:hAnsi="Book Antiqua" w:cs="Book Antiqua"/>
          <w:b/>
          <w:caps/>
          <w:color w:val="000000"/>
          <w:u w:val="single"/>
        </w:rPr>
        <w:t>ARTICLE HIGHLIGHTS</w:t>
      </w:r>
    </w:p>
    <w:p w14:paraId="597423D6" w14:textId="77777777" w:rsidR="00A77B3E" w:rsidRDefault="000F4AA8">
      <w:pPr>
        <w:spacing w:line="360" w:lineRule="auto"/>
        <w:jc w:val="both"/>
      </w:pPr>
      <w:r>
        <w:rPr>
          <w:rFonts w:ascii="Book Antiqua" w:eastAsia="Book Antiqua" w:hAnsi="Book Antiqua" w:cs="Book Antiqua"/>
          <w:b/>
          <w:i/>
          <w:color w:val="000000"/>
        </w:rPr>
        <w:t>Research background</w:t>
      </w:r>
    </w:p>
    <w:p w14:paraId="578FB889" w14:textId="77777777" w:rsidR="00A77B3E" w:rsidRDefault="000F4AA8">
      <w:pPr>
        <w:spacing w:line="360" w:lineRule="auto"/>
        <w:jc w:val="both"/>
      </w:pPr>
      <w:r>
        <w:rPr>
          <w:rFonts w:ascii="Book Antiqua" w:eastAsia="Book Antiqua" w:hAnsi="Book Antiqua" w:cs="Book Antiqua"/>
          <w:color w:val="000000"/>
        </w:rPr>
        <w:lastRenderedPageBreak/>
        <w:t xml:space="preserve">Combined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are rate injuries that may be associated with increased mortality and morbidity.</w:t>
      </w:r>
    </w:p>
    <w:p w14:paraId="3FA739E9" w14:textId="77777777" w:rsidR="00A77B3E" w:rsidRDefault="00A77B3E">
      <w:pPr>
        <w:spacing w:line="360" w:lineRule="auto"/>
        <w:jc w:val="both"/>
      </w:pPr>
    </w:p>
    <w:p w14:paraId="0D6566D4" w14:textId="77777777" w:rsidR="00A77B3E" w:rsidRDefault="000F4AA8">
      <w:pPr>
        <w:spacing w:line="360" w:lineRule="auto"/>
        <w:jc w:val="both"/>
      </w:pPr>
      <w:r>
        <w:rPr>
          <w:rFonts w:ascii="Book Antiqua" w:eastAsia="Book Antiqua" w:hAnsi="Book Antiqua" w:cs="Book Antiqua"/>
          <w:b/>
          <w:i/>
          <w:color w:val="000000"/>
        </w:rPr>
        <w:t>Research motivation</w:t>
      </w:r>
    </w:p>
    <w:p w14:paraId="06269BED" w14:textId="1EE4D2D3" w:rsidR="00A77B3E" w:rsidRDefault="000F4AA8">
      <w:pPr>
        <w:spacing w:line="360" w:lineRule="auto"/>
        <w:jc w:val="both"/>
      </w:pPr>
      <w:r>
        <w:rPr>
          <w:rFonts w:ascii="Book Antiqua" w:eastAsia="Book Antiqua" w:hAnsi="Book Antiqua" w:cs="Book Antiqua"/>
          <w:color w:val="000000"/>
        </w:rPr>
        <w:t xml:space="preserve">The motivation for this study came from the idea that patients being admitted to our unit following these combined injuries may not have been getting good care for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as hip fractures were the priority. So we wanted to see if mortality is higher for these patients and inpatient stay. Also the motivation was to increase awareness of this injury with other trauma surgeons so that more consideration can be given to these injuries.</w:t>
      </w:r>
    </w:p>
    <w:p w14:paraId="12387C76" w14:textId="77777777" w:rsidR="00A77B3E" w:rsidRDefault="00A77B3E">
      <w:pPr>
        <w:spacing w:line="360" w:lineRule="auto"/>
        <w:jc w:val="both"/>
      </w:pPr>
    </w:p>
    <w:p w14:paraId="1C0B7889" w14:textId="77777777" w:rsidR="00A77B3E" w:rsidRDefault="000F4AA8">
      <w:pPr>
        <w:spacing w:line="360" w:lineRule="auto"/>
        <w:jc w:val="both"/>
      </w:pPr>
      <w:r>
        <w:rPr>
          <w:rFonts w:ascii="Book Antiqua" w:eastAsia="Book Antiqua" w:hAnsi="Book Antiqua" w:cs="Book Antiqua"/>
          <w:b/>
          <w:i/>
          <w:color w:val="000000"/>
        </w:rPr>
        <w:t>Research objectives</w:t>
      </w:r>
    </w:p>
    <w:p w14:paraId="7F1BE60C" w14:textId="71A4FAA2" w:rsidR="00A77B3E" w:rsidRDefault="000F4AA8">
      <w:pPr>
        <w:spacing w:line="360" w:lineRule="auto"/>
        <w:jc w:val="both"/>
      </w:pPr>
      <w:r>
        <w:rPr>
          <w:rFonts w:ascii="Book Antiqua" w:eastAsia="Book Antiqua" w:hAnsi="Book Antiqua" w:cs="Book Antiqua"/>
          <w:color w:val="000000"/>
        </w:rPr>
        <w:t>To compare mortality and inpatient stay for patients with combined hip and proximal humeral fractures and hip fractures alone.</w:t>
      </w:r>
    </w:p>
    <w:p w14:paraId="6C556918" w14:textId="77777777" w:rsidR="00A77B3E" w:rsidRDefault="00A77B3E">
      <w:pPr>
        <w:spacing w:line="360" w:lineRule="auto"/>
        <w:jc w:val="both"/>
      </w:pPr>
    </w:p>
    <w:p w14:paraId="23ADBEF9" w14:textId="77777777" w:rsidR="00A77B3E" w:rsidRDefault="000F4AA8">
      <w:pPr>
        <w:spacing w:line="360" w:lineRule="auto"/>
        <w:jc w:val="both"/>
      </w:pPr>
      <w:r>
        <w:rPr>
          <w:rFonts w:ascii="Book Antiqua" w:eastAsia="Book Antiqua" w:hAnsi="Book Antiqua" w:cs="Book Antiqua"/>
          <w:b/>
          <w:i/>
          <w:color w:val="000000"/>
        </w:rPr>
        <w:t>Research methods</w:t>
      </w:r>
    </w:p>
    <w:p w14:paraId="5B8416AB" w14:textId="15222700" w:rsidR="00A77B3E" w:rsidRDefault="000F4AA8">
      <w:pPr>
        <w:spacing w:line="360" w:lineRule="auto"/>
        <w:jc w:val="both"/>
      </w:pPr>
      <w:proofErr w:type="spellStart"/>
      <w:r>
        <w:rPr>
          <w:rFonts w:ascii="Book Antiqua" w:eastAsia="Book Antiqua" w:hAnsi="Book Antiqua" w:cs="Book Antiqua"/>
          <w:color w:val="000000"/>
        </w:rPr>
        <w:t>Retropective</w:t>
      </w:r>
      <w:proofErr w:type="spellEnd"/>
      <w:r>
        <w:rPr>
          <w:rFonts w:ascii="Book Antiqua" w:eastAsia="Book Antiqua" w:hAnsi="Book Antiqua" w:cs="Book Antiqua"/>
          <w:color w:val="000000"/>
        </w:rPr>
        <w:t xml:space="preserve"> </w:t>
      </w:r>
      <w:r w:rsidR="0079649B">
        <w:rPr>
          <w:rFonts w:ascii="Book Antiqua" w:eastAsia="Book Antiqua" w:hAnsi="Book Antiqua" w:cs="Book Antiqua"/>
          <w:color w:val="000000"/>
        </w:rPr>
        <w:t>s</w:t>
      </w:r>
      <w:r>
        <w:rPr>
          <w:rFonts w:ascii="Book Antiqua" w:eastAsia="Book Antiqua" w:hAnsi="Book Antiqua" w:cs="Book Antiqua"/>
          <w:color w:val="000000"/>
        </w:rPr>
        <w:t xml:space="preserve">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analysis of local data from a national database.</w:t>
      </w:r>
    </w:p>
    <w:p w14:paraId="75669182" w14:textId="77777777" w:rsidR="00A77B3E" w:rsidRDefault="00A77B3E">
      <w:pPr>
        <w:spacing w:line="360" w:lineRule="auto"/>
        <w:jc w:val="both"/>
      </w:pPr>
    </w:p>
    <w:p w14:paraId="7AE91DF0" w14:textId="77777777" w:rsidR="00A77B3E" w:rsidRDefault="000F4AA8">
      <w:pPr>
        <w:spacing w:line="360" w:lineRule="auto"/>
        <w:jc w:val="both"/>
      </w:pPr>
      <w:r>
        <w:rPr>
          <w:rFonts w:ascii="Book Antiqua" w:eastAsia="Book Antiqua" w:hAnsi="Book Antiqua" w:cs="Book Antiqua"/>
          <w:b/>
          <w:i/>
          <w:color w:val="000000"/>
        </w:rPr>
        <w:t>Research results</w:t>
      </w:r>
    </w:p>
    <w:p w14:paraId="5C2E67D0" w14:textId="75B43690" w:rsidR="00A77B3E" w:rsidRDefault="000F4AA8">
      <w:pPr>
        <w:spacing w:line="360" w:lineRule="auto"/>
        <w:jc w:val="both"/>
      </w:pPr>
      <w:r>
        <w:rPr>
          <w:rFonts w:ascii="Book Antiqua" w:eastAsia="Book Antiqua" w:hAnsi="Book Antiqua" w:cs="Book Antiqua"/>
          <w:color w:val="000000"/>
        </w:rPr>
        <w:t>Increased mortali</w:t>
      </w:r>
      <w:r w:rsidR="00951225">
        <w:rPr>
          <w:rFonts w:ascii="Book Antiqua" w:eastAsia="Book Antiqua" w:hAnsi="Book Antiqua" w:cs="Book Antiqua"/>
          <w:color w:val="000000"/>
        </w:rPr>
        <w:t>t</w:t>
      </w:r>
      <w:r>
        <w:rPr>
          <w:rFonts w:ascii="Book Antiqua" w:eastAsia="Book Antiqua" w:hAnsi="Book Antiqua" w:cs="Book Antiqua"/>
          <w:color w:val="000000"/>
        </w:rPr>
        <w:t>y and inpatien</w:t>
      </w:r>
      <w:r w:rsidR="00951225">
        <w:rPr>
          <w:rFonts w:ascii="Book Antiqua" w:eastAsia="Book Antiqua" w:hAnsi="Book Antiqua" w:cs="Book Antiqua"/>
          <w:color w:val="000000"/>
        </w:rPr>
        <w:t>t</w:t>
      </w:r>
      <w:r>
        <w:rPr>
          <w:rFonts w:ascii="Book Antiqua" w:eastAsia="Book Antiqua" w:hAnsi="Book Antiqua" w:cs="Book Antiqua"/>
          <w:color w:val="000000"/>
        </w:rPr>
        <w:t xml:space="preserve"> stay with combined injuries.</w:t>
      </w:r>
    </w:p>
    <w:p w14:paraId="7B51787E" w14:textId="77777777" w:rsidR="00A77B3E" w:rsidRDefault="00A77B3E">
      <w:pPr>
        <w:spacing w:line="360" w:lineRule="auto"/>
        <w:jc w:val="both"/>
      </w:pPr>
    </w:p>
    <w:p w14:paraId="7F88631E" w14:textId="77777777" w:rsidR="00A77B3E" w:rsidRDefault="000F4AA8">
      <w:pPr>
        <w:spacing w:line="360" w:lineRule="auto"/>
        <w:jc w:val="both"/>
      </w:pPr>
      <w:r>
        <w:rPr>
          <w:rFonts w:ascii="Book Antiqua" w:eastAsia="Book Antiqua" w:hAnsi="Book Antiqua" w:cs="Book Antiqua"/>
          <w:b/>
          <w:i/>
          <w:color w:val="000000"/>
        </w:rPr>
        <w:t>Research conclusions</w:t>
      </w:r>
    </w:p>
    <w:p w14:paraId="2E4F8516" w14:textId="59E768FF" w:rsidR="00A77B3E" w:rsidRDefault="000F4AA8">
      <w:pPr>
        <w:spacing w:line="360" w:lineRule="auto"/>
        <w:jc w:val="both"/>
      </w:pPr>
      <w:r>
        <w:rPr>
          <w:rFonts w:ascii="Book Antiqua" w:eastAsia="Book Antiqua" w:hAnsi="Book Antiqua" w:cs="Book Antiqua"/>
          <w:color w:val="000000"/>
        </w:rPr>
        <w:t xml:space="preserve">Combined fractures of the hip and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are associated with increased morbidity and mortality when compared to isolated hip fractures. These combined injuries are relatively rare and more equal consideration should be given to both fractures when they do occur.</w:t>
      </w:r>
    </w:p>
    <w:p w14:paraId="3BB17B54" w14:textId="77777777" w:rsidR="00A77B3E" w:rsidRDefault="00A77B3E">
      <w:pPr>
        <w:spacing w:line="360" w:lineRule="auto"/>
        <w:jc w:val="both"/>
      </w:pPr>
    </w:p>
    <w:p w14:paraId="22D5134B" w14:textId="77777777" w:rsidR="00A77B3E" w:rsidRDefault="000F4AA8">
      <w:pPr>
        <w:spacing w:line="360" w:lineRule="auto"/>
        <w:jc w:val="both"/>
      </w:pPr>
      <w:r>
        <w:rPr>
          <w:rFonts w:ascii="Book Antiqua" w:eastAsia="Book Antiqua" w:hAnsi="Book Antiqua" w:cs="Book Antiqua"/>
          <w:b/>
          <w:i/>
          <w:color w:val="000000"/>
        </w:rPr>
        <w:t>Research perspectives</w:t>
      </w:r>
    </w:p>
    <w:p w14:paraId="6351EC8D" w14:textId="1A6D1080" w:rsidR="00A77B3E" w:rsidRDefault="000F4AA8">
      <w:pPr>
        <w:spacing w:line="360" w:lineRule="auto"/>
        <w:jc w:val="both"/>
      </w:pPr>
      <w:r>
        <w:rPr>
          <w:rFonts w:ascii="Book Antiqua" w:eastAsia="Book Antiqua" w:hAnsi="Book Antiqua" w:cs="Book Antiqua"/>
          <w:color w:val="000000"/>
        </w:rPr>
        <w:t>This is important for those surgeons looking after patients with hip fractures and specialist upper limb surgeons.</w:t>
      </w:r>
    </w:p>
    <w:p w14:paraId="58ECC1ED" w14:textId="77777777" w:rsidR="00A77B3E" w:rsidRDefault="00A77B3E">
      <w:pPr>
        <w:spacing w:line="360" w:lineRule="auto"/>
        <w:jc w:val="both"/>
      </w:pPr>
    </w:p>
    <w:p w14:paraId="0DD87FBC" w14:textId="77777777" w:rsidR="00A77B3E" w:rsidRDefault="000F4AA8">
      <w:pPr>
        <w:spacing w:line="360" w:lineRule="auto"/>
        <w:jc w:val="both"/>
      </w:pPr>
      <w:r>
        <w:rPr>
          <w:rFonts w:ascii="Book Antiqua" w:eastAsia="Book Antiqua" w:hAnsi="Book Antiqua" w:cs="Book Antiqua"/>
          <w:b/>
          <w:color w:val="000000"/>
        </w:rPr>
        <w:t>REFERENCES</w:t>
      </w:r>
    </w:p>
    <w:p w14:paraId="78ECE75F" w14:textId="0536FDA6" w:rsidR="00AE0360" w:rsidRPr="00AE0360" w:rsidRDefault="00AE0360" w:rsidP="00AE0360">
      <w:pPr>
        <w:spacing w:line="360" w:lineRule="auto"/>
        <w:jc w:val="both"/>
        <w:rPr>
          <w:rFonts w:ascii="Book Antiqua" w:eastAsia="Book Antiqua" w:hAnsi="Book Antiqua" w:cs="Book Antiqua"/>
          <w:color w:val="000000"/>
          <w:szCs w:val="22"/>
        </w:rPr>
      </w:pPr>
      <w:r w:rsidRPr="00F76183">
        <w:rPr>
          <w:rFonts w:ascii="Book Antiqua" w:eastAsia="Book Antiqua" w:hAnsi="Book Antiqua" w:cs="Book Antiqua"/>
          <w:color w:val="000000"/>
          <w:szCs w:val="22"/>
          <w:highlight w:val="yellow"/>
        </w:rPr>
        <w:t xml:space="preserve">1 </w:t>
      </w:r>
      <w:r w:rsidR="00D1682E" w:rsidRPr="00F76183">
        <w:rPr>
          <w:rFonts w:ascii="Book Antiqua" w:eastAsia="Book Antiqua" w:hAnsi="Book Antiqua" w:cs="Book Antiqua"/>
          <w:b/>
          <w:bCs/>
          <w:color w:val="000000"/>
          <w:szCs w:val="22"/>
          <w:highlight w:val="yellow"/>
        </w:rPr>
        <w:t xml:space="preserve">The </w:t>
      </w:r>
      <w:r w:rsidRPr="00F76183">
        <w:rPr>
          <w:rFonts w:ascii="Book Antiqua" w:eastAsia="Book Antiqua" w:hAnsi="Book Antiqua" w:cs="Book Antiqua"/>
          <w:b/>
          <w:bCs/>
          <w:color w:val="000000"/>
          <w:szCs w:val="22"/>
          <w:highlight w:val="yellow"/>
        </w:rPr>
        <w:t xml:space="preserve">National Hip Fracture </w:t>
      </w:r>
      <w:r w:rsidR="00D1682E" w:rsidRPr="00F76183">
        <w:rPr>
          <w:rFonts w:ascii="Book Antiqua" w:eastAsia="Book Antiqua" w:hAnsi="Book Antiqua" w:cs="Book Antiqua"/>
          <w:b/>
          <w:bCs/>
          <w:color w:val="000000"/>
          <w:szCs w:val="22"/>
          <w:highlight w:val="yellow"/>
        </w:rPr>
        <w:t>D</w:t>
      </w:r>
      <w:r w:rsidRPr="00F76183">
        <w:rPr>
          <w:rFonts w:ascii="Book Antiqua" w:eastAsia="Book Antiqua" w:hAnsi="Book Antiqua" w:cs="Book Antiqua"/>
          <w:b/>
          <w:bCs/>
          <w:color w:val="000000"/>
          <w:szCs w:val="22"/>
          <w:highlight w:val="yellow"/>
        </w:rPr>
        <w:t>atabase.</w:t>
      </w:r>
      <w:r w:rsidRPr="00F76183">
        <w:rPr>
          <w:rFonts w:ascii="Book Antiqua" w:eastAsia="Book Antiqua" w:hAnsi="Book Antiqua" w:cs="Book Antiqua"/>
          <w:color w:val="000000"/>
          <w:szCs w:val="22"/>
          <w:highlight w:val="yellow"/>
        </w:rPr>
        <w:t xml:space="preserve"> </w:t>
      </w:r>
      <w:r w:rsidR="00D1682E" w:rsidRPr="00F76183">
        <w:rPr>
          <w:rFonts w:ascii="Book Antiqua" w:eastAsia="Book Antiqua" w:hAnsi="Book Antiqua" w:cs="Book Antiqua"/>
          <w:color w:val="000000"/>
          <w:szCs w:val="22"/>
          <w:highlight w:val="yellow"/>
        </w:rPr>
        <w:t xml:space="preserve">NHFD </w:t>
      </w:r>
      <w:r w:rsidRPr="00F76183">
        <w:rPr>
          <w:rFonts w:ascii="Book Antiqua" w:eastAsia="Book Antiqua" w:hAnsi="Book Antiqua" w:cs="Book Antiqua"/>
          <w:color w:val="000000"/>
          <w:szCs w:val="22"/>
          <w:highlight w:val="yellow"/>
        </w:rPr>
        <w:t xml:space="preserve">2019 </w:t>
      </w:r>
      <w:r w:rsidR="00D1682E" w:rsidRPr="00F76183">
        <w:rPr>
          <w:rFonts w:ascii="Book Antiqua" w:eastAsia="Book Antiqua" w:hAnsi="Book Antiqua" w:cs="Book Antiqua"/>
          <w:color w:val="000000"/>
          <w:szCs w:val="22"/>
          <w:highlight w:val="yellow"/>
        </w:rPr>
        <w:t>a</w:t>
      </w:r>
      <w:r w:rsidRPr="00F76183">
        <w:rPr>
          <w:rFonts w:ascii="Book Antiqua" w:eastAsia="Book Antiqua" w:hAnsi="Book Antiqua" w:cs="Book Antiqua"/>
          <w:color w:val="000000"/>
          <w:szCs w:val="22"/>
          <w:highlight w:val="yellow"/>
        </w:rPr>
        <w:t xml:space="preserve">nnual </w:t>
      </w:r>
      <w:r w:rsidR="00D1682E" w:rsidRPr="00F76183">
        <w:rPr>
          <w:rFonts w:ascii="Book Antiqua" w:eastAsia="Book Antiqua" w:hAnsi="Book Antiqua" w:cs="Book Antiqua"/>
          <w:color w:val="000000"/>
          <w:szCs w:val="22"/>
          <w:highlight w:val="yellow"/>
        </w:rPr>
        <w:t>r</w:t>
      </w:r>
      <w:r w:rsidRPr="00F76183">
        <w:rPr>
          <w:rFonts w:ascii="Book Antiqua" w:eastAsia="Book Antiqua" w:hAnsi="Book Antiqua" w:cs="Book Antiqua"/>
          <w:color w:val="000000"/>
          <w:szCs w:val="22"/>
          <w:highlight w:val="yellow"/>
        </w:rPr>
        <w:t>eport</w:t>
      </w:r>
      <w:r w:rsidR="00D1682E" w:rsidRPr="00F76183">
        <w:rPr>
          <w:rFonts w:ascii="Book Antiqua" w:eastAsia="Book Antiqua" w:hAnsi="Book Antiqua" w:cs="Book Antiqua"/>
          <w:color w:val="000000"/>
          <w:szCs w:val="22"/>
          <w:highlight w:val="yellow"/>
        </w:rPr>
        <w:t>.</w:t>
      </w:r>
      <w:r w:rsidRPr="00F76183">
        <w:rPr>
          <w:rFonts w:ascii="Book Antiqua" w:eastAsia="Book Antiqua" w:hAnsi="Book Antiqua" w:cs="Book Antiqua"/>
          <w:color w:val="000000"/>
          <w:szCs w:val="22"/>
          <w:highlight w:val="yellow"/>
        </w:rPr>
        <w:t xml:space="preserve"> </w:t>
      </w:r>
      <w:r w:rsidR="00D1682E" w:rsidRPr="00F76183">
        <w:rPr>
          <w:rFonts w:ascii="Book Antiqua" w:eastAsia="Book Antiqua" w:hAnsi="Book Antiqua" w:cs="Book Antiqua"/>
          <w:color w:val="000000"/>
          <w:szCs w:val="22"/>
          <w:highlight w:val="yellow"/>
        </w:rPr>
        <w:t>A</w:t>
      </w:r>
      <w:r w:rsidRPr="00F76183">
        <w:rPr>
          <w:rFonts w:ascii="Book Antiqua" w:eastAsia="Book Antiqua" w:hAnsi="Book Antiqua" w:cs="Book Antiqua"/>
          <w:color w:val="000000"/>
          <w:szCs w:val="22"/>
          <w:highlight w:val="yellow"/>
        </w:rPr>
        <w:t xml:space="preserve">vailable from: </w:t>
      </w:r>
      <w:r w:rsidR="00D1682E" w:rsidRPr="00F76183">
        <w:rPr>
          <w:rFonts w:ascii="Book Antiqua" w:eastAsia="Book Antiqua" w:hAnsi="Book Antiqua" w:cs="Book Antiqua"/>
          <w:color w:val="000000"/>
          <w:szCs w:val="22"/>
          <w:highlight w:val="yellow"/>
        </w:rPr>
        <w:t>https://www.nhfd.co.uk/files/2019ReportFiles/NHFD_2019_Annual_Report_v101.pdf</w:t>
      </w:r>
    </w:p>
    <w:p w14:paraId="337528B0" w14:textId="323B1F21"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2 </w:t>
      </w:r>
      <w:r w:rsidRPr="00D1682E">
        <w:rPr>
          <w:rFonts w:ascii="Book Antiqua" w:eastAsia="Book Antiqua" w:hAnsi="Book Antiqua" w:cs="Book Antiqua"/>
          <w:b/>
          <w:bCs/>
          <w:color w:val="000000"/>
          <w:szCs w:val="22"/>
        </w:rPr>
        <w:t>Court-Brown CM</w:t>
      </w:r>
      <w:r w:rsidRPr="00AE0360">
        <w:rPr>
          <w:rFonts w:ascii="Book Antiqua" w:eastAsia="Book Antiqua" w:hAnsi="Book Antiqua" w:cs="Book Antiqua"/>
          <w:color w:val="000000"/>
          <w:szCs w:val="22"/>
        </w:rPr>
        <w:t xml:space="preserve">, Caesar B. Epidemiology of adult fractures: </w:t>
      </w:r>
      <w:r w:rsidR="00D1682E">
        <w:rPr>
          <w:rFonts w:ascii="Book Antiqua" w:eastAsia="Book Antiqua" w:hAnsi="Book Antiqua" w:cs="Book Antiqua"/>
          <w:color w:val="000000"/>
          <w:szCs w:val="22"/>
        </w:rPr>
        <w:t>A</w:t>
      </w:r>
      <w:r w:rsidRPr="00AE0360">
        <w:rPr>
          <w:rFonts w:ascii="Book Antiqua" w:eastAsia="Book Antiqua" w:hAnsi="Book Antiqua" w:cs="Book Antiqua"/>
          <w:color w:val="000000"/>
          <w:szCs w:val="22"/>
        </w:rPr>
        <w:t xml:space="preserve"> review. </w:t>
      </w:r>
      <w:r w:rsidRPr="005972DC">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2006;</w:t>
      </w:r>
      <w:r w:rsidR="00D1682E">
        <w:rPr>
          <w:rFonts w:ascii="Book Antiqua" w:eastAsia="Book Antiqua" w:hAnsi="Book Antiqua" w:cs="Book Antiqua"/>
          <w:color w:val="000000"/>
          <w:szCs w:val="22"/>
        </w:rPr>
        <w:t xml:space="preserve"> </w:t>
      </w:r>
      <w:r w:rsidRPr="00D1682E">
        <w:rPr>
          <w:rFonts w:ascii="Book Antiqua" w:eastAsia="Book Antiqua" w:hAnsi="Book Antiqua" w:cs="Book Antiqua"/>
          <w:b/>
          <w:bCs/>
          <w:color w:val="000000"/>
          <w:szCs w:val="22"/>
        </w:rPr>
        <w:t>37:</w:t>
      </w:r>
      <w:r w:rsidR="00D1682E">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691</w:t>
      </w:r>
      <w:r w:rsidR="00095467">
        <w:rPr>
          <w:rFonts w:ascii="Book Antiqua" w:eastAsia="Book Antiqua" w:hAnsi="Book Antiqua" w:cs="Book Antiqua"/>
          <w:color w:val="000000"/>
          <w:szCs w:val="22"/>
        </w:rPr>
        <w:t>-</w:t>
      </w:r>
      <w:r w:rsidR="00D1682E">
        <w:rPr>
          <w:rFonts w:ascii="Book Antiqua" w:eastAsia="Book Antiqua" w:hAnsi="Book Antiqua" w:cs="Book Antiqua"/>
          <w:color w:val="000000"/>
          <w:szCs w:val="22"/>
        </w:rPr>
        <w:t>69</w:t>
      </w:r>
      <w:r w:rsidRPr="00AE0360">
        <w:rPr>
          <w:rFonts w:ascii="Book Antiqua" w:eastAsia="Book Antiqua" w:hAnsi="Book Antiqua" w:cs="Book Antiqua"/>
          <w:color w:val="000000"/>
          <w:szCs w:val="22"/>
        </w:rPr>
        <w:t>7</w:t>
      </w:r>
      <w:r w:rsidR="00D1682E">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 xml:space="preserve">[PMID: 16814787 </w:t>
      </w:r>
      <w:r w:rsidR="00D1682E">
        <w:rPr>
          <w:rFonts w:ascii="Book Antiqua" w:eastAsia="Book Antiqua" w:hAnsi="Book Antiqua" w:cs="Book Antiqua"/>
          <w:color w:val="000000"/>
          <w:szCs w:val="22"/>
        </w:rPr>
        <w:t>DOI</w:t>
      </w:r>
      <w:r w:rsidRPr="00AE0360">
        <w:rPr>
          <w:rFonts w:ascii="Book Antiqua" w:eastAsia="Book Antiqua" w:hAnsi="Book Antiqua" w:cs="Book Antiqua"/>
          <w:color w:val="000000"/>
          <w:szCs w:val="22"/>
        </w:rPr>
        <w:t>: 10.1016/j.injury.2006.04.130]</w:t>
      </w:r>
    </w:p>
    <w:p w14:paraId="30A6C779" w14:textId="4E525581" w:rsidR="00AE0360" w:rsidRPr="00AE0360" w:rsidRDefault="00AE0360" w:rsidP="00AE0360">
      <w:pPr>
        <w:spacing w:line="360" w:lineRule="auto"/>
        <w:jc w:val="both"/>
        <w:rPr>
          <w:rFonts w:ascii="Book Antiqua" w:eastAsia="Book Antiqua" w:hAnsi="Book Antiqua" w:cs="Book Antiqua"/>
          <w:color w:val="000000"/>
          <w:szCs w:val="22"/>
        </w:rPr>
      </w:pPr>
      <w:r w:rsidRPr="00F76183">
        <w:rPr>
          <w:rFonts w:ascii="Book Antiqua" w:eastAsia="Book Antiqua" w:hAnsi="Book Antiqua" w:cs="Book Antiqua"/>
          <w:color w:val="000000"/>
          <w:szCs w:val="22"/>
          <w:highlight w:val="yellow"/>
        </w:rPr>
        <w:t xml:space="preserve">3 </w:t>
      </w:r>
      <w:r w:rsidRPr="00F76183">
        <w:rPr>
          <w:rFonts w:ascii="Book Antiqua" w:eastAsia="Book Antiqua" w:hAnsi="Book Antiqua" w:cs="Book Antiqua"/>
          <w:b/>
          <w:bCs/>
          <w:color w:val="000000"/>
          <w:szCs w:val="22"/>
          <w:highlight w:val="yellow"/>
        </w:rPr>
        <w:t xml:space="preserve">National </w:t>
      </w:r>
      <w:r w:rsidR="00F76183" w:rsidRPr="00F76183">
        <w:rPr>
          <w:rFonts w:ascii="Book Antiqua" w:eastAsia="Book Antiqua" w:hAnsi="Book Antiqua" w:cs="Book Antiqua"/>
          <w:b/>
          <w:bCs/>
          <w:color w:val="000000"/>
          <w:szCs w:val="22"/>
          <w:highlight w:val="yellow"/>
        </w:rPr>
        <w:t>Institute for Health and Care Excellence.</w:t>
      </w:r>
      <w:r w:rsidRPr="00F76183">
        <w:rPr>
          <w:rFonts w:ascii="Book Antiqua" w:eastAsia="Book Antiqua" w:hAnsi="Book Antiqua" w:cs="Book Antiqua"/>
          <w:b/>
          <w:bCs/>
          <w:color w:val="000000"/>
          <w:szCs w:val="22"/>
          <w:highlight w:val="yellow"/>
        </w:rPr>
        <w:t xml:space="preserve"> </w:t>
      </w:r>
      <w:r w:rsidR="00F76183" w:rsidRPr="00F76183">
        <w:rPr>
          <w:rFonts w:ascii="Book Antiqua" w:eastAsia="Book Antiqua" w:hAnsi="Book Antiqua" w:cs="Book Antiqua"/>
          <w:color w:val="000000"/>
          <w:szCs w:val="22"/>
          <w:highlight w:val="yellow"/>
        </w:rPr>
        <w:t>Hip fracture: management. Clinical guideline [CG124]</w:t>
      </w:r>
      <w:r w:rsidRPr="00F76183">
        <w:rPr>
          <w:rFonts w:ascii="Book Antiqua" w:eastAsia="Book Antiqua" w:hAnsi="Book Antiqua" w:cs="Book Antiqua"/>
          <w:color w:val="000000"/>
          <w:szCs w:val="22"/>
          <w:highlight w:val="yellow"/>
        </w:rPr>
        <w:t xml:space="preserve">. </w:t>
      </w:r>
      <w:r w:rsidR="00C456A3">
        <w:rPr>
          <w:rFonts w:ascii="Book Antiqua" w:eastAsia="Book Antiqua" w:hAnsi="Book Antiqua" w:cs="Book Antiqua"/>
          <w:color w:val="000000"/>
          <w:szCs w:val="22"/>
          <w:highlight w:val="yellow"/>
        </w:rPr>
        <w:t>[</w:t>
      </w:r>
      <w:r w:rsidR="00F76183" w:rsidRPr="00F76183">
        <w:rPr>
          <w:rFonts w:ascii="Book Antiqua" w:eastAsia="Book Antiqua" w:hAnsi="Book Antiqua" w:cs="Book Antiqua"/>
          <w:color w:val="000000"/>
          <w:szCs w:val="22"/>
          <w:highlight w:val="yellow"/>
        </w:rPr>
        <w:t>Published 22 June 2011</w:t>
      </w:r>
      <w:r w:rsidR="00C456A3">
        <w:rPr>
          <w:rFonts w:ascii="Book Antiqua" w:eastAsia="Book Antiqua" w:hAnsi="Book Antiqua" w:cs="Book Antiqua"/>
          <w:color w:val="000000"/>
          <w:szCs w:val="22"/>
          <w:highlight w:val="yellow"/>
        </w:rPr>
        <w:t>;</w:t>
      </w:r>
      <w:r w:rsidR="00F76183" w:rsidRPr="00F76183">
        <w:rPr>
          <w:rFonts w:ascii="Book Antiqua" w:eastAsia="Book Antiqua" w:hAnsi="Book Antiqua" w:cs="Book Antiqua"/>
          <w:color w:val="000000"/>
          <w:szCs w:val="22"/>
          <w:highlight w:val="yellow"/>
        </w:rPr>
        <w:t xml:space="preserve"> Last updated 10 May 2017</w:t>
      </w:r>
      <w:r w:rsidR="00C456A3">
        <w:rPr>
          <w:rFonts w:ascii="Book Antiqua" w:eastAsia="Book Antiqua" w:hAnsi="Book Antiqua" w:cs="Book Antiqua"/>
          <w:color w:val="000000"/>
          <w:szCs w:val="22"/>
          <w:highlight w:val="yellow"/>
        </w:rPr>
        <w:t>].</w:t>
      </w:r>
      <w:bookmarkStart w:id="0" w:name="_GoBack"/>
      <w:bookmarkEnd w:id="0"/>
      <w:r w:rsidR="00F76183" w:rsidRPr="00F76183">
        <w:rPr>
          <w:rFonts w:ascii="Book Antiqua" w:eastAsia="Book Antiqua" w:hAnsi="Book Antiqua" w:cs="Book Antiqua"/>
          <w:color w:val="000000"/>
          <w:szCs w:val="22"/>
          <w:highlight w:val="yellow"/>
        </w:rPr>
        <w:t xml:space="preserve"> </w:t>
      </w:r>
      <w:r w:rsidRPr="00F76183">
        <w:rPr>
          <w:rFonts w:ascii="Book Antiqua" w:eastAsia="Book Antiqua" w:hAnsi="Book Antiqua" w:cs="Book Antiqua"/>
          <w:color w:val="000000"/>
          <w:szCs w:val="22"/>
          <w:highlight w:val="yellow"/>
        </w:rPr>
        <w:t>Available from: https://www.nice.org.uk/guidance/CG124</w:t>
      </w:r>
    </w:p>
    <w:p w14:paraId="59330CCF" w14:textId="1B3F5FC6" w:rsid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4 </w:t>
      </w:r>
      <w:r w:rsidRPr="00F76183">
        <w:rPr>
          <w:rFonts w:ascii="Book Antiqua" w:eastAsia="Book Antiqua" w:hAnsi="Book Antiqua" w:cs="Book Antiqua"/>
          <w:b/>
          <w:bCs/>
          <w:color w:val="000000"/>
          <w:szCs w:val="22"/>
        </w:rPr>
        <w:t>Wilson LA,</w:t>
      </w:r>
      <w:r w:rsidRPr="00AE0360">
        <w:rPr>
          <w:rFonts w:ascii="Book Antiqua" w:eastAsia="Book Antiqua" w:hAnsi="Book Antiqua" w:cs="Book Antiqua"/>
          <w:color w:val="000000"/>
          <w:szCs w:val="22"/>
        </w:rPr>
        <w:t xml:space="preserve"> Gooding BW, Manning PA, Wallace WA, Geoghegan JM. Risk factors and predictors of mortality for proximal humeral fractures.</w:t>
      </w:r>
      <w:r w:rsidRPr="00F76183">
        <w:rPr>
          <w:rFonts w:ascii="Book Antiqua" w:eastAsia="Book Antiqua" w:hAnsi="Book Antiqua" w:cs="Book Antiqua"/>
          <w:i/>
          <w:iCs/>
          <w:color w:val="000000"/>
          <w:szCs w:val="22"/>
        </w:rPr>
        <w:t xml:space="preserve"> Shoulder Elbow</w:t>
      </w:r>
      <w:r w:rsidRPr="00AE0360">
        <w:rPr>
          <w:rFonts w:ascii="Book Antiqua" w:eastAsia="Book Antiqua" w:hAnsi="Book Antiqua" w:cs="Book Antiqua"/>
          <w:color w:val="000000"/>
          <w:szCs w:val="22"/>
        </w:rPr>
        <w:t xml:space="preserve"> 2014; </w:t>
      </w:r>
      <w:r w:rsidRPr="00F76183">
        <w:rPr>
          <w:rFonts w:ascii="Book Antiqua" w:eastAsia="Book Antiqua" w:hAnsi="Book Antiqua" w:cs="Book Antiqua"/>
          <w:b/>
          <w:bCs/>
          <w:color w:val="000000"/>
          <w:szCs w:val="22"/>
        </w:rPr>
        <w:t>6:</w:t>
      </w:r>
      <w:r w:rsidR="00F76183" w:rsidRPr="00F76183">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95-99</w:t>
      </w:r>
      <w:r w:rsidR="00F76183">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[PMID: 27582921</w:t>
      </w:r>
      <w:r w:rsidR="00F76183">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10.1177/1758573214525761]</w:t>
      </w:r>
    </w:p>
    <w:p w14:paraId="64609B6F" w14:textId="21260816"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5 </w:t>
      </w:r>
      <w:r w:rsidRPr="00F76183">
        <w:rPr>
          <w:rFonts w:ascii="Book Antiqua" w:eastAsia="Book Antiqua" w:hAnsi="Book Antiqua" w:cs="Book Antiqua"/>
          <w:b/>
          <w:bCs/>
          <w:color w:val="000000"/>
          <w:szCs w:val="22"/>
        </w:rPr>
        <w:t>Olsson C,</w:t>
      </w:r>
      <w:r w:rsidRPr="00AE0360">
        <w:rPr>
          <w:rFonts w:ascii="Book Antiqua" w:eastAsia="Book Antiqua" w:hAnsi="Book Antiqua" w:cs="Book Antiqua"/>
          <w:color w:val="000000"/>
          <w:szCs w:val="22"/>
        </w:rPr>
        <w:t xml:space="preserve"> </w:t>
      </w:r>
      <w:proofErr w:type="spellStart"/>
      <w:r w:rsidRPr="00AE0360">
        <w:rPr>
          <w:rFonts w:ascii="Book Antiqua" w:eastAsia="Book Antiqua" w:hAnsi="Book Antiqua" w:cs="Book Antiqua"/>
          <w:color w:val="000000"/>
          <w:szCs w:val="22"/>
        </w:rPr>
        <w:t>Petersson</w:t>
      </w:r>
      <w:proofErr w:type="spellEnd"/>
      <w:r w:rsidRPr="00AE0360">
        <w:rPr>
          <w:rFonts w:ascii="Book Antiqua" w:eastAsia="Book Antiqua" w:hAnsi="Book Antiqua" w:cs="Book Antiqua"/>
          <w:color w:val="000000"/>
          <w:szCs w:val="22"/>
        </w:rPr>
        <w:t xml:space="preserve"> C, </w:t>
      </w:r>
      <w:proofErr w:type="spellStart"/>
      <w:r w:rsidRPr="00AE0360">
        <w:rPr>
          <w:rFonts w:ascii="Book Antiqua" w:eastAsia="Book Antiqua" w:hAnsi="Book Antiqua" w:cs="Book Antiqua"/>
          <w:color w:val="000000"/>
          <w:szCs w:val="22"/>
        </w:rPr>
        <w:t>Nordquist</w:t>
      </w:r>
      <w:proofErr w:type="spellEnd"/>
      <w:r w:rsidRPr="00AE0360">
        <w:rPr>
          <w:rFonts w:ascii="Book Antiqua" w:eastAsia="Book Antiqua" w:hAnsi="Book Antiqua" w:cs="Book Antiqua"/>
          <w:color w:val="000000"/>
          <w:szCs w:val="22"/>
        </w:rPr>
        <w:t xml:space="preserve"> A. </w:t>
      </w:r>
      <w:r w:rsidR="00F76183" w:rsidRPr="00F76183">
        <w:rPr>
          <w:rFonts w:ascii="Book Antiqua" w:eastAsia="Book Antiqua" w:hAnsi="Book Antiqua" w:cs="Book Antiqua"/>
          <w:color w:val="000000"/>
          <w:szCs w:val="22"/>
        </w:rPr>
        <w:t xml:space="preserve">Increased mortality after fracture of the surgical neck of the </w:t>
      </w:r>
      <w:proofErr w:type="spellStart"/>
      <w:r w:rsidR="00F76183" w:rsidRPr="00F76183">
        <w:rPr>
          <w:rFonts w:ascii="Book Antiqua" w:eastAsia="Book Antiqua" w:hAnsi="Book Antiqua" w:cs="Book Antiqua"/>
          <w:color w:val="000000"/>
          <w:szCs w:val="22"/>
        </w:rPr>
        <w:t>humerus</w:t>
      </w:r>
      <w:proofErr w:type="spellEnd"/>
      <w:r w:rsidR="00F76183" w:rsidRPr="00F76183">
        <w:rPr>
          <w:rFonts w:ascii="Book Antiqua" w:eastAsia="Book Antiqua" w:hAnsi="Book Antiqua" w:cs="Book Antiqua"/>
          <w:color w:val="000000"/>
          <w:szCs w:val="22"/>
        </w:rPr>
        <w:t>: a case-control study of 253 patients with a 12-year follow-up</w:t>
      </w:r>
      <w:r w:rsidRPr="00AE0360">
        <w:rPr>
          <w:rFonts w:ascii="Book Antiqua" w:eastAsia="Book Antiqua" w:hAnsi="Book Antiqua" w:cs="Book Antiqua"/>
          <w:color w:val="000000"/>
          <w:szCs w:val="22"/>
        </w:rPr>
        <w:t xml:space="preserve">. </w:t>
      </w:r>
      <w:r w:rsidR="00DC4B7D" w:rsidRPr="00DC4B7D">
        <w:rPr>
          <w:rFonts w:ascii="Book Antiqua" w:eastAsia="Book Antiqua" w:hAnsi="Book Antiqua" w:cs="Book Antiqua"/>
          <w:i/>
          <w:iCs/>
          <w:color w:val="000000"/>
          <w:szCs w:val="22"/>
        </w:rPr>
        <w:t xml:space="preserve">Acta </w:t>
      </w:r>
      <w:proofErr w:type="spellStart"/>
      <w:r w:rsidR="00DC4B7D" w:rsidRPr="00DC4B7D">
        <w:rPr>
          <w:rFonts w:ascii="Book Antiqua" w:eastAsia="Book Antiqua" w:hAnsi="Book Antiqua" w:cs="Book Antiqua"/>
          <w:i/>
          <w:iCs/>
          <w:color w:val="000000"/>
          <w:szCs w:val="22"/>
        </w:rPr>
        <w:t>Orthop</w:t>
      </w:r>
      <w:proofErr w:type="spellEnd"/>
      <w:r w:rsidR="00DC4B7D" w:rsidRPr="00DC4B7D">
        <w:rPr>
          <w:rFonts w:ascii="Book Antiqua" w:eastAsia="Book Antiqua" w:hAnsi="Book Antiqua" w:cs="Book Antiqua"/>
          <w:i/>
          <w:iCs/>
          <w:color w:val="000000"/>
          <w:szCs w:val="22"/>
        </w:rPr>
        <w:t xml:space="preserve"> </w:t>
      </w:r>
      <w:proofErr w:type="spellStart"/>
      <w:r w:rsidR="00DC4B7D" w:rsidRPr="00DC4B7D">
        <w:rPr>
          <w:rFonts w:ascii="Book Antiqua" w:eastAsia="Book Antiqua" w:hAnsi="Book Antiqua" w:cs="Book Antiqua"/>
          <w:i/>
          <w:iCs/>
          <w:color w:val="000000"/>
          <w:szCs w:val="22"/>
        </w:rPr>
        <w:t>Scand</w:t>
      </w:r>
      <w:proofErr w:type="spellEnd"/>
      <w:r w:rsidRPr="00AE0360">
        <w:rPr>
          <w:rFonts w:ascii="Book Antiqua" w:eastAsia="Book Antiqua" w:hAnsi="Book Antiqua" w:cs="Book Antiqua"/>
          <w:color w:val="000000"/>
          <w:szCs w:val="22"/>
        </w:rPr>
        <w:t xml:space="preserve"> 2003</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 xml:space="preserve">74: </w:t>
      </w:r>
      <w:r w:rsidRPr="00AE0360">
        <w:rPr>
          <w:rFonts w:ascii="Book Antiqua" w:eastAsia="Book Antiqua" w:hAnsi="Book Antiqua" w:cs="Book Antiqua"/>
          <w:color w:val="000000"/>
          <w:szCs w:val="22"/>
        </w:rPr>
        <w:t>714-717 [PMID: 14763704 DOI:</w:t>
      </w:r>
      <w:r w:rsidR="00095467">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10.1080/00016470310018252]</w:t>
      </w:r>
    </w:p>
    <w:p w14:paraId="167F4BE6" w14:textId="530FF1ED"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6 </w:t>
      </w:r>
      <w:r w:rsidR="00DC4B7D" w:rsidRPr="00DC4B7D">
        <w:rPr>
          <w:rFonts w:ascii="Book Antiqua" w:eastAsia="Book Antiqua" w:hAnsi="Book Antiqua" w:cs="Book Antiqua"/>
          <w:b/>
          <w:bCs/>
          <w:color w:val="000000"/>
          <w:szCs w:val="22"/>
        </w:rPr>
        <w:t>Amarilla-</w:t>
      </w:r>
      <w:proofErr w:type="spellStart"/>
      <w:r w:rsidR="00DC4B7D" w:rsidRPr="00DC4B7D">
        <w:rPr>
          <w:rFonts w:ascii="Book Antiqua" w:eastAsia="Book Antiqua" w:hAnsi="Book Antiqua" w:cs="Book Antiqua"/>
          <w:b/>
          <w:bCs/>
          <w:color w:val="000000"/>
          <w:szCs w:val="22"/>
        </w:rPr>
        <w:t>Donoso</w:t>
      </w:r>
      <w:proofErr w:type="spellEnd"/>
      <w:r w:rsidR="00DC4B7D" w:rsidRPr="00DC4B7D">
        <w:rPr>
          <w:rFonts w:ascii="Book Antiqua" w:eastAsia="Book Antiqua" w:hAnsi="Book Antiqua" w:cs="Book Antiqua"/>
          <w:b/>
          <w:bCs/>
          <w:color w:val="000000"/>
          <w:szCs w:val="22"/>
        </w:rPr>
        <w:t xml:space="preserve"> FJ,</w:t>
      </w:r>
      <w:r w:rsidR="00DC4B7D" w:rsidRPr="00DC4B7D">
        <w:rPr>
          <w:rFonts w:ascii="Book Antiqua" w:eastAsia="Book Antiqua" w:hAnsi="Book Antiqua" w:cs="Book Antiqua"/>
          <w:color w:val="000000"/>
          <w:szCs w:val="22"/>
        </w:rPr>
        <w:t xml:space="preserve"> López-</w:t>
      </w:r>
      <w:proofErr w:type="spellStart"/>
      <w:r w:rsidR="00DC4B7D" w:rsidRPr="00DC4B7D">
        <w:rPr>
          <w:rFonts w:ascii="Book Antiqua" w:eastAsia="Book Antiqua" w:hAnsi="Book Antiqua" w:cs="Book Antiqua"/>
          <w:color w:val="000000"/>
          <w:szCs w:val="22"/>
        </w:rPr>
        <w:t>Espuela</w:t>
      </w:r>
      <w:proofErr w:type="spellEnd"/>
      <w:r w:rsidR="00DC4B7D" w:rsidRPr="00DC4B7D">
        <w:rPr>
          <w:rFonts w:ascii="Book Antiqua" w:eastAsia="Book Antiqua" w:hAnsi="Book Antiqua" w:cs="Book Antiqua"/>
          <w:color w:val="000000"/>
          <w:szCs w:val="22"/>
        </w:rPr>
        <w:t xml:space="preserve"> F, </w:t>
      </w:r>
      <w:proofErr w:type="spellStart"/>
      <w:r w:rsidR="00DC4B7D" w:rsidRPr="00DC4B7D">
        <w:rPr>
          <w:rFonts w:ascii="Book Antiqua" w:eastAsia="Book Antiqua" w:hAnsi="Book Antiqua" w:cs="Book Antiqua"/>
          <w:color w:val="000000"/>
          <w:szCs w:val="22"/>
        </w:rPr>
        <w:t>Roncero</w:t>
      </w:r>
      <w:proofErr w:type="spellEnd"/>
      <w:r w:rsidR="00DC4B7D" w:rsidRPr="00DC4B7D">
        <w:rPr>
          <w:rFonts w:ascii="Book Antiqua" w:eastAsia="Book Antiqua" w:hAnsi="Book Antiqua" w:cs="Book Antiqua"/>
          <w:color w:val="000000"/>
          <w:szCs w:val="22"/>
        </w:rPr>
        <w:t xml:space="preserve">-Martín R, Leal-Hernandez O, Puerto-Parejo LM, </w:t>
      </w:r>
      <w:proofErr w:type="spellStart"/>
      <w:r w:rsidR="00DC4B7D" w:rsidRPr="00DC4B7D">
        <w:rPr>
          <w:rFonts w:ascii="Book Antiqua" w:eastAsia="Book Antiqua" w:hAnsi="Book Antiqua" w:cs="Book Antiqua"/>
          <w:color w:val="000000"/>
          <w:szCs w:val="22"/>
        </w:rPr>
        <w:t>Aliaga</w:t>
      </w:r>
      <w:proofErr w:type="spellEnd"/>
      <w:r w:rsidR="00DC4B7D" w:rsidRPr="00DC4B7D">
        <w:rPr>
          <w:rFonts w:ascii="Book Antiqua" w:eastAsia="Book Antiqua" w:hAnsi="Book Antiqua" w:cs="Book Antiqua"/>
          <w:color w:val="000000"/>
          <w:szCs w:val="22"/>
        </w:rPr>
        <w:t xml:space="preserve">-Vera I, Toribio-Felipe R, </w:t>
      </w:r>
      <w:proofErr w:type="spellStart"/>
      <w:r w:rsidR="00DC4B7D" w:rsidRPr="00DC4B7D">
        <w:rPr>
          <w:rFonts w:ascii="Book Antiqua" w:eastAsia="Book Antiqua" w:hAnsi="Book Antiqua" w:cs="Book Antiqua"/>
          <w:color w:val="000000"/>
          <w:szCs w:val="22"/>
        </w:rPr>
        <w:t>Lavado</w:t>
      </w:r>
      <w:proofErr w:type="spellEnd"/>
      <w:r w:rsidR="00DC4B7D" w:rsidRPr="00DC4B7D">
        <w:rPr>
          <w:rFonts w:ascii="Book Antiqua" w:eastAsia="Book Antiqua" w:hAnsi="Book Antiqua" w:cs="Book Antiqua"/>
          <w:color w:val="000000"/>
          <w:szCs w:val="22"/>
        </w:rPr>
        <w:t>-García JM</w:t>
      </w:r>
      <w:r w:rsidRPr="00AE0360">
        <w:rPr>
          <w:rFonts w:ascii="Book Antiqua" w:eastAsia="Book Antiqua" w:hAnsi="Book Antiqua" w:cs="Book Antiqua"/>
          <w:color w:val="000000"/>
          <w:szCs w:val="22"/>
        </w:rPr>
        <w:t xml:space="preserve">.  Quality of life in elderly people after a hip fracture: a prospective study. </w:t>
      </w:r>
      <w:r w:rsidRPr="005972DC">
        <w:rPr>
          <w:rFonts w:ascii="Book Antiqua" w:eastAsia="Book Antiqua" w:hAnsi="Book Antiqua" w:cs="Book Antiqua"/>
          <w:i/>
          <w:iCs/>
          <w:color w:val="000000"/>
          <w:szCs w:val="22"/>
        </w:rPr>
        <w:t xml:space="preserve">Health </w:t>
      </w:r>
      <w:proofErr w:type="spellStart"/>
      <w:r w:rsidRPr="005972DC">
        <w:rPr>
          <w:rFonts w:ascii="Book Antiqua" w:eastAsia="Book Antiqua" w:hAnsi="Book Antiqua" w:cs="Book Antiqua"/>
          <w:i/>
          <w:iCs/>
          <w:color w:val="000000"/>
          <w:szCs w:val="22"/>
        </w:rPr>
        <w:t>Qual</w:t>
      </w:r>
      <w:proofErr w:type="spellEnd"/>
      <w:r w:rsidRPr="005972DC">
        <w:rPr>
          <w:rFonts w:ascii="Book Antiqua" w:eastAsia="Book Antiqua" w:hAnsi="Book Antiqua" w:cs="Book Antiqua"/>
          <w:i/>
          <w:iCs/>
          <w:color w:val="000000"/>
          <w:szCs w:val="22"/>
        </w:rPr>
        <w:t xml:space="preserve"> Life Outcomes</w:t>
      </w:r>
      <w:r w:rsidRPr="00AE0360">
        <w:rPr>
          <w:rFonts w:ascii="Book Antiqua" w:eastAsia="Book Antiqua" w:hAnsi="Book Antiqua" w:cs="Book Antiqua"/>
          <w:color w:val="000000"/>
          <w:szCs w:val="22"/>
        </w:rPr>
        <w:t xml:space="preserve"> 2020;</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18:</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71 [PMID: 32171319</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10.1186/s12955-020-01314-2]</w:t>
      </w:r>
    </w:p>
    <w:p w14:paraId="2C8F8335" w14:textId="3768F37E"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7 </w:t>
      </w:r>
      <w:r w:rsidRPr="00DC4B7D">
        <w:rPr>
          <w:rFonts w:ascii="Book Antiqua" w:eastAsia="Book Antiqua" w:hAnsi="Book Antiqua" w:cs="Book Antiqua"/>
          <w:b/>
          <w:bCs/>
          <w:color w:val="000000"/>
          <w:szCs w:val="22"/>
        </w:rPr>
        <w:t>Robinson PM,</w:t>
      </w:r>
      <w:r w:rsidRPr="00AE0360">
        <w:rPr>
          <w:rFonts w:ascii="Book Antiqua" w:eastAsia="Book Antiqua" w:hAnsi="Book Antiqua" w:cs="Book Antiqua"/>
          <w:color w:val="000000"/>
          <w:szCs w:val="22"/>
        </w:rPr>
        <w:t xml:space="preserve"> Harrison T, Cook A, Parker MJ.  </w:t>
      </w:r>
      <w:proofErr w:type="spellStart"/>
      <w:r w:rsidRPr="00AE0360">
        <w:rPr>
          <w:rFonts w:ascii="Book Antiqua" w:eastAsia="Book Antiqua" w:hAnsi="Book Antiqua" w:cs="Book Antiqua"/>
          <w:color w:val="000000"/>
          <w:szCs w:val="22"/>
        </w:rPr>
        <w:t>Orthopaedic</w:t>
      </w:r>
      <w:proofErr w:type="spellEnd"/>
      <w:r w:rsidRPr="00AE0360">
        <w:rPr>
          <w:rFonts w:ascii="Book Antiqua" w:eastAsia="Book Antiqua" w:hAnsi="Book Antiqua" w:cs="Book Antiqua"/>
          <w:color w:val="000000"/>
          <w:szCs w:val="22"/>
        </w:rPr>
        <w:t xml:space="preserve"> injuries associated with hip fractures in those aged over 60</w:t>
      </w:r>
      <w:r w:rsidR="00DC4B7D">
        <w:rPr>
          <w:rFonts w:ascii="Book Antiqua" w:eastAsia="Book Antiqua" w:hAnsi="Book Antiqua" w:cs="Book Antiqua"/>
          <w:color w:val="000000"/>
          <w:szCs w:val="22"/>
        </w:rPr>
        <w:t xml:space="preserve"> years</w:t>
      </w:r>
      <w:r w:rsidRPr="00AE0360">
        <w:rPr>
          <w:rFonts w:ascii="Book Antiqua" w:eastAsia="Book Antiqua" w:hAnsi="Book Antiqua" w:cs="Book Antiqua"/>
          <w:color w:val="000000"/>
          <w:szCs w:val="22"/>
        </w:rPr>
        <w:t xml:space="preserve">: a study of patterns of injury and outcomes for 1971 patients.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2012;</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43:</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1131-</w:t>
      </w:r>
      <w:r w:rsidR="00095467">
        <w:rPr>
          <w:rFonts w:ascii="Book Antiqua" w:eastAsia="Book Antiqua" w:hAnsi="Book Antiqua" w:cs="Book Antiqua"/>
          <w:color w:val="000000"/>
          <w:szCs w:val="22"/>
        </w:rPr>
        <w:t>113</w:t>
      </w:r>
      <w:r w:rsidRPr="00AE0360">
        <w:rPr>
          <w:rFonts w:ascii="Book Antiqua" w:eastAsia="Book Antiqua" w:hAnsi="Book Antiqua" w:cs="Book Antiqua"/>
          <w:color w:val="000000"/>
          <w:szCs w:val="22"/>
        </w:rPr>
        <w:t>4 [PMID: 22465517</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10.1016/j.injury.2012.03.012]</w:t>
      </w:r>
    </w:p>
    <w:p w14:paraId="18A95B21" w14:textId="3ED46E58"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8 </w:t>
      </w:r>
      <w:r w:rsidRPr="00DC4B7D">
        <w:rPr>
          <w:rFonts w:ascii="Book Antiqua" w:eastAsia="Book Antiqua" w:hAnsi="Book Antiqua" w:cs="Book Antiqua"/>
          <w:b/>
          <w:bCs/>
          <w:color w:val="000000"/>
          <w:szCs w:val="22"/>
        </w:rPr>
        <w:t xml:space="preserve">Mulhall KJ, </w:t>
      </w:r>
      <w:r w:rsidRPr="00AE0360">
        <w:rPr>
          <w:rFonts w:ascii="Book Antiqua" w:eastAsia="Book Antiqua" w:hAnsi="Book Antiqua" w:cs="Book Antiqua"/>
          <w:color w:val="000000"/>
          <w:szCs w:val="22"/>
        </w:rPr>
        <w:t xml:space="preserve">Ahmed A, Khan Y, Masterson E.  Simultaneous hip and upper limb fracture in the elderly: incidence, features and management considerations.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2002;</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33:</w:t>
      </w:r>
      <w:r w:rsidR="00DC4B7D">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29-31 [PMID: 11879829</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10.1016/s0020-1383(01)00097-3]</w:t>
      </w:r>
    </w:p>
    <w:p w14:paraId="4FF64092" w14:textId="59018C67" w:rsidR="00A77B3E" w:rsidRDefault="00AE0360" w:rsidP="00AE0360">
      <w:pPr>
        <w:spacing w:line="360" w:lineRule="auto"/>
        <w:jc w:val="both"/>
      </w:pPr>
      <w:r>
        <w:rPr>
          <w:rFonts w:ascii="Book Antiqua" w:eastAsia="Book Antiqua" w:hAnsi="Book Antiqua" w:cs="Book Antiqua"/>
          <w:color w:val="000000"/>
          <w:szCs w:val="22"/>
        </w:rPr>
        <w:t>9</w:t>
      </w:r>
      <w:r w:rsidRPr="00DC4B7D">
        <w:rPr>
          <w:rFonts w:ascii="Book Antiqua" w:eastAsia="Book Antiqua" w:hAnsi="Book Antiqua" w:cs="Book Antiqua"/>
          <w:b/>
          <w:bCs/>
          <w:color w:val="000000"/>
          <w:szCs w:val="22"/>
        </w:rPr>
        <w:t xml:space="preserve"> </w:t>
      </w:r>
      <w:r w:rsidR="00DC4B7D" w:rsidRPr="00DC4B7D">
        <w:rPr>
          <w:rFonts w:ascii="Book Antiqua" w:eastAsia="Book Antiqua" w:hAnsi="Book Antiqua" w:cs="Book Antiqua"/>
          <w:b/>
          <w:bCs/>
          <w:color w:val="000000"/>
          <w:szCs w:val="22"/>
        </w:rPr>
        <w:t xml:space="preserve">Kang SW, </w:t>
      </w:r>
      <w:r w:rsidR="00DC4B7D" w:rsidRPr="00DC4B7D">
        <w:rPr>
          <w:rFonts w:ascii="Book Antiqua" w:eastAsia="Book Antiqua" w:hAnsi="Book Antiqua" w:cs="Book Antiqua"/>
          <w:color w:val="000000"/>
          <w:szCs w:val="22"/>
        </w:rPr>
        <w:t>Shin WC, Moon NH, Suh KT. Concomitant hip and upper extremity fracture in elderly patients: Prevalence and clinical implications.</w:t>
      </w:r>
      <w:r w:rsidRPr="00AE0360">
        <w:rPr>
          <w:rFonts w:ascii="Book Antiqua" w:eastAsia="Book Antiqua" w:hAnsi="Book Antiqua" w:cs="Book Antiqua"/>
          <w:color w:val="000000"/>
          <w:szCs w:val="22"/>
        </w:rPr>
        <w:t xml:space="preserve">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2019;</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5</w:t>
      </w:r>
      <w:r w:rsidR="00DC4B7D" w:rsidRPr="00DC4B7D">
        <w:rPr>
          <w:rFonts w:ascii="Book Antiqua" w:eastAsia="Book Antiqua" w:hAnsi="Book Antiqua" w:cs="Book Antiqua"/>
          <w:b/>
          <w:bCs/>
          <w:color w:val="000000"/>
          <w:szCs w:val="22"/>
        </w:rPr>
        <w:t>0</w:t>
      </w:r>
      <w:r w:rsidRPr="00DC4B7D">
        <w:rPr>
          <w:rFonts w:ascii="Book Antiqua" w:eastAsia="Book Antiqua" w:hAnsi="Book Antiqua" w:cs="Book Antiqua"/>
          <w:b/>
          <w:bCs/>
          <w:color w:val="000000"/>
          <w:szCs w:val="22"/>
        </w:rPr>
        <w:t>:</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2045-</w:t>
      </w:r>
      <w:r w:rsidR="00095467">
        <w:rPr>
          <w:rFonts w:ascii="Book Antiqua" w:eastAsia="Book Antiqua" w:hAnsi="Book Antiqua" w:cs="Book Antiqua"/>
          <w:color w:val="000000"/>
          <w:szCs w:val="22"/>
        </w:rPr>
        <w:t>20</w:t>
      </w:r>
      <w:r w:rsidRPr="00AE0360">
        <w:rPr>
          <w:rFonts w:ascii="Book Antiqua" w:eastAsia="Book Antiqua" w:hAnsi="Book Antiqua" w:cs="Book Antiqua"/>
          <w:color w:val="000000"/>
          <w:szCs w:val="22"/>
        </w:rPr>
        <w:t>48 [PMID: 31543316</w:t>
      </w:r>
      <w:r w:rsidR="00DC4B7D">
        <w:rPr>
          <w:rFonts w:ascii="Book Antiqua" w:eastAsia="Book Antiqua" w:hAnsi="Book Antiqua" w:cs="Book Antiqua"/>
          <w:color w:val="000000"/>
          <w:szCs w:val="22"/>
        </w:rPr>
        <w:t xml:space="preserve"> </w:t>
      </w:r>
      <w:r w:rsidR="00095467" w:rsidRPr="00095467">
        <w:rPr>
          <w:rFonts w:ascii="Book Antiqua" w:eastAsia="Book Antiqua" w:hAnsi="Book Antiqua" w:cs="Book Antiqua"/>
          <w:color w:val="000000"/>
          <w:szCs w:val="22"/>
        </w:rPr>
        <w:t>DOI: 10.1016/j.injury.2019.09.010</w:t>
      </w:r>
      <w:r w:rsidRPr="00AE0360">
        <w:rPr>
          <w:rFonts w:ascii="Book Antiqua" w:eastAsia="Book Antiqua" w:hAnsi="Book Antiqua" w:cs="Book Antiqua"/>
          <w:color w:val="000000"/>
          <w:szCs w:val="22"/>
        </w:rPr>
        <w:t>]</w:t>
      </w:r>
    </w:p>
    <w:p w14:paraId="351803F2" w14:textId="77777777" w:rsidR="00A77B3E" w:rsidRDefault="00A77B3E">
      <w:pPr>
        <w:spacing w:line="360" w:lineRule="auto"/>
        <w:ind w:hanging="265"/>
        <w:jc w:val="both"/>
        <w:sectPr w:rsidR="00A77B3E">
          <w:pgSz w:w="12240" w:h="15840"/>
          <w:pgMar w:top="1440" w:right="1440" w:bottom="1440" w:left="1440" w:header="720" w:footer="720" w:gutter="0"/>
          <w:cols w:space="720"/>
          <w:docGrid w:linePitch="360"/>
        </w:sectPr>
      </w:pPr>
    </w:p>
    <w:p w14:paraId="755C2BC2" w14:textId="77777777" w:rsidR="00A77B3E" w:rsidRDefault="000F4AA8" w:rsidP="00B35BBD">
      <w:pPr>
        <w:spacing w:line="360" w:lineRule="auto"/>
        <w:jc w:val="both"/>
      </w:pPr>
      <w:r>
        <w:rPr>
          <w:rFonts w:ascii="Book Antiqua" w:eastAsia="Book Antiqua" w:hAnsi="Book Antiqua" w:cs="Book Antiqua"/>
          <w:b/>
          <w:color w:val="000000"/>
        </w:rPr>
        <w:lastRenderedPageBreak/>
        <w:t>Footnotes</w:t>
      </w:r>
    </w:p>
    <w:p w14:paraId="6C07B14D" w14:textId="5EA3D0DD" w:rsidR="00A77B3E" w:rsidRDefault="000F4AA8">
      <w:pPr>
        <w:spacing w:line="360" w:lineRule="auto"/>
        <w:jc w:val="both"/>
      </w:pPr>
      <w:r>
        <w:rPr>
          <w:rFonts w:ascii="Book Antiqua" w:eastAsia="Book Antiqua" w:hAnsi="Book Antiqua" w:cs="Book Antiqua"/>
          <w:b/>
          <w:bCs/>
          <w:color w:val="000000"/>
        </w:rPr>
        <w:t xml:space="preserve">Institutional review board statement: </w:t>
      </w:r>
      <w:r w:rsidR="003E36F0" w:rsidRPr="003E36F0">
        <w:rPr>
          <w:rFonts w:ascii="Book Antiqua" w:eastAsia="Book Antiqua" w:hAnsi="Book Antiqua" w:cs="Book Antiqua"/>
          <w:color w:val="000000"/>
        </w:rPr>
        <w:t>Ethics committee review was not required for this study</w:t>
      </w:r>
      <w:r>
        <w:rPr>
          <w:rFonts w:ascii="Book Antiqua" w:eastAsia="Book Antiqua" w:hAnsi="Book Antiqua" w:cs="Book Antiqua"/>
          <w:color w:val="000000"/>
        </w:rPr>
        <w:t>.</w:t>
      </w:r>
    </w:p>
    <w:p w14:paraId="7E29D2AD" w14:textId="77777777" w:rsidR="00A77B3E" w:rsidRDefault="00A77B3E">
      <w:pPr>
        <w:spacing w:line="360" w:lineRule="auto"/>
        <w:jc w:val="both"/>
      </w:pPr>
    </w:p>
    <w:p w14:paraId="258432DB" w14:textId="77777777" w:rsidR="00A77B3E" w:rsidRDefault="000F4A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w:t>
      </w:r>
    </w:p>
    <w:p w14:paraId="5B9FC6B6" w14:textId="77777777" w:rsidR="00A77B3E" w:rsidRDefault="00A77B3E">
      <w:pPr>
        <w:spacing w:line="360" w:lineRule="auto"/>
        <w:jc w:val="both"/>
      </w:pPr>
    </w:p>
    <w:p w14:paraId="1B971514" w14:textId="143D008D" w:rsidR="00A77B3E" w:rsidRDefault="000F4AA8">
      <w:pPr>
        <w:spacing w:line="360" w:lineRule="auto"/>
        <w:jc w:val="both"/>
      </w:pPr>
      <w:r>
        <w:rPr>
          <w:rFonts w:ascii="Book Antiqua" w:eastAsia="Book Antiqua" w:hAnsi="Book Antiqua" w:cs="Book Antiqua"/>
          <w:b/>
          <w:bCs/>
          <w:color w:val="000000"/>
        </w:rPr>
        <w:t xml:space="preserve">Data sharing statement: </w:t>
      </w:r>
      <w:r w:rsidR="00B5226A" w:rsidRPr="00B5226A">
        <w:rPr>
          <w:rFonts w:ascii="Book Antiqua" w:eastAsia="Book Antiqua" w:hAnsi="Book Antiqua" w:cs="Book Antiqua"/>
          <w:color w:val="000000"/>
        </w:rPr>
        <w:t>No additional data are available.</w:t>
      </w:r>
    </w:p>
    <w:p w14:paraId="0E105565" w14:textId="77777777" w:rsidR="00A77B3E" w:rsidRDefault="00A77B3E">
      <w:pPr>
        <w:spacing w:line="360" w:lineRule="auto"/>
        <w:jc w:val="both"/>
      </w:pPr>
    </w:p>
    <w:p w14:paraId="23A8AEDA" w14:textId="77777777" w:rsidR="00A77B3E" w:rsidRDefault="000F4A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48ACA7" w14:textId="77777777" w:rsidR="00A77B3E" w:rsidRDefault="00A77B3E">
      <w:pPr>
        <w:spacing w:line="360" w:lineRule="auto"/>
        <w:jc w:val="both"/>
      </w:pPr>
    </w:p>
    <w:p w14:paraId="141432C6" w14:textId="526EA011" w:rsidR="00A77B3E" w:rsidRDefault="000F4A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5226A">
        <w:rPr>
          <w:rFonts w:ascii="Book Antiqua" w:eastAsia="Book Antiqua" w:hAnsi="Book Antiqua" w:cs="Book Antiqua"/>
          <w:color w:val="000000"/>
        </w:rPr>
        <w:t>m</w:t>
      </w:r>
      <w:r>
        <w:rPr>
          <w:rFonts w:ascii="Book Antiqua" w:eastAsia="Book Antiqua" w:hAnsi="Book Antiqua" w:cs="Book Antiqua"/>
          <w:color w:val="000000"/>
        </w:rPr>
        <w:t>anuscript</w:t>
      </w:r>
    </w:p>
    <w:p w14:paraId="65ECA0EE" w14:textId="77777777" w:rsidR="00A77B3E" w:rsidRDefault="00A77B3E">
      <w:pPr>
        <w:spacing w:line="360" w:lineRule="auto"/>
        <w:jc w:val="both"/>
      </w:pPr>
    </w:p>
    <w:p w14:paraId="41E6C3D8" w14:textId="77777777" w:rsidR="00A77B3E" w:rsidRDefault="000F4A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2020</w:t>
      </w:r>
    </w:p>
    <w:p w14:paraId="4CF41933" w14:textId="77777777" w:rsidR="00A77B3E" w:rsidRDefault="000F4A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4B778A4D" w14:textId="77777777" w:rsidR="00A77B3E" w:rsidRDefault="000F4AA8">
      <w:pPr>
        <w:spacing w:line="360" w:lineRule="auto"/>
        <w:jc w:val="both"/>
      </w:pPr>
      <w:r>
        <w:rPr>
          <w:rFonts w:ascii="Book Antiqua" w:eastAsia="Book Antiqua" w:hAnsi="Book Antiqua" w:cs="Book Antiqua"/>
          <w:b/>
          <w:color w:val="000000"/>
        </w:rPr>
        <w:t xml:space="preserve">Article in press: </w:t>
      </w:r>
    </w:p>
    <w:p w14:paraId="44017E78" w14:textId="77777777" w:rsidR="00A77B3E" w:rsidRDefault="00A77B3E">
      <w:pPr>
        <w:spacing w:line="360" w:lineRule="auto"/>
        <w:jc w:val="both"/>
      </w:pPr>
    </w:p>
    <w:p w14:paraId="085D9AE9" w14:textId="77777777" w:rsidR="00A77B3E" w:rsidRDefault="000F4A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0A0CA3E8" w14:textId="77777777" w:rsidR="00A77B3E" w:rsidRDefault="000F4A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1F8A4CB" w14:textId="77777777" w:rsidR="00A77B3E" w:rsidRDefault="000F4AA8">
      <w:pPr>
        <w:spacing w:line="360" w:lineRule="auto"/>
        <w:jc w:val="both"/>
      </w:pPr>
      <w:r>
        <w:rPr>
          <w:rFonts w:ascii="Book Antiqua" w:eastAsia="Book Antiqua" w:hAnsi="Book Antiqua" w:cs="Book Antiqua"/>
          <w:b/>
          <w:color w:val="000000"/>
        </w:rPr>
        <w:t>Peer-review report’s scientific quality classification</w:t>
      </w:r>
    </w:p>
    <w:p w14:paraId="5AD6CB59" w14:textId="77777777" w:rsidR="00A77B3E" w:rsidRDefault="000F4AA8">
      <w:pPr>
        <w:spacing w:line="360" w:lineRule="auto"/>
        <w:jc w:val="both"/>
      </w:pPr>
      <w:r>
        <w:rPr>
          <w:rFonts w:ascii="Book Antiqua" w:eastAsia="Book Antiqua" w:hAnsi="Book Antiqua" w:cs="Book Antiqua"/>
          <w:color w:val="000000"/>
        </w:rPr>
        <w:t>Grade A (Excellent): 0</w:t>
      </w:r>
    </w:p>
    <w:p w14:paraId="7D43F9BC" w14:textId="77777777" w:rsidR="00A77B3E" w:rsidRDefault="000F4AA8">
      <w:pPr>
        <w:spacing w:line="360" w:lineRule="auto"/>
        <w:jc w:val="both"/>
      </w:pPr>
      <w:r>
        <w:rPr>
          <w:rFonts w:ascii="Book Antiqua" w:eastAsia="Book Antiqua" w:hAnsi="Book Antiqua" w:cs="Book Antiqua"/>
          <w:color w:val="000000"/>
        </w:rPr>
        <w:t>Grade B (Very good): B, B</w:t>
      </w:r>
    </w:p>
    <w:p w14:paraId="33D08A6C" w14:textId="77777777" w:rsidR="00A77B3E" w:rsidRDefault="000F4AA8">
      <w:pPr>
        <w:spacing w:line="360" w:lineRule="auto"/>
        <w:jc w:val="both"/>
      </w:pPr>
      <w:r>
        <w:rPr>
          <w:rFonts w:ascii="Book Antiqua" w:eastAsia="Book Antiqua" w:hAnsi="Book Antiqua" w:cs="Book Antiqua"/>
          <w:color w:val="000000"/>
        </w:rPr>
        <w:t>Grade C (Good): 0</w:t>
      </w:r>
    </w:p>
    <w:p w14:paraId="625B2514" w14:textId="77777777" w:rsidR="00A77B3E" w:rsidRDefault="000F4AA8">
      <w:pPr>
        <w:spacing w:line="360" w:lineRule="auto"/>
        <w:jc w:val="both"/>
      </w:pPr>
      <w:r>
        <w:rPr>
          <w:rFonts w:ascii="Book Antiqua" w:eastAsia="Book Antiqua" w:hAnsi="Book Antiqua" w:cs="Book Antiqua"/>
          <w:color w:val="000000"/>
        </w:rPr>
        <w:t>Grade D (Fair): 0</w:t>
      </w:r>
    </w:p>
    <w:p w14:paraId="5DAA53EB" w14:textId="77777777" w:rsidR="00A77B3E" w:rsidRDefault="000F4AA8">
      <w:pPr>
        <w:spacing w:line="360" w:lineRule="auto"/>
        <w:jc w:val="both"/>
      </w:pPr>
      <w:r>
        <w:rPr>
          <w:rFonts w:ascii="Book Antiqua" w:eastAsia="Book Antiqua" w:hAnsi="Book Antiqua" w:cs="Book Antiqua"/>
          <w:color w:val="000000"/>
        </w:rPr>
        <w:t>Grade E (Poor): 0</w:t>
      </w:r>
    </w:p>
    <w:p w14:paraId="6A624E89" w14:textId="77777777" w:rsidR="00A77B3E" w:rsidRDefault="00A77B3E">
      <w:pPr>
        <w:spacing w:line="360" w:lineRule="auto"/>
        <w:jc w:val="both"/>
      </w:pPr>
    </w:p>
    <w:p w14:paraId="586BDAC0" w14:textId="130EDC25" w:rsidR="00C43A60" w:rsidRDefault="000F4A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Cho MR, </w:t>
      </w:r>
      <w:proofErr w:type="spellStart"/>
      <w:r>
        <w:rPr>
          <w:rFonts w:ascii="Book Antiqua" w:eastAsia="Book Antiqua" w:hAnsi="Book Antiqua" w:cs="Book Antiqua"/>
          <w:color w:val="000000"/>
        </w:rPr>
        <w:t>Öztürk</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C204418" w14:textId="70AD91B3" w:rsidR="00C43A60" w:rsidRPr="00B5226A" w:rsidRDefault="00C43A60" w:rsidP="00C43A60">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B5226A">
        <w:rPr>
          <w:rFonts w:ascii="Book Antiqua" w:eastAsia="Book Antiqua" w:hAnsi="Book Antiqua" w:cs="Book Antiqua"/>
          <w:b/>
          <w:bCs/>
          <w:color w:val="000000"/>
          <w:szCs w:val="22"/>
        </w:rPr>
        <w:lastRenderedPageBreak/>
        <w:t xml:space="preserve">Table 1 Summary of mortality data for isolated hip fractures and combined hip and proximal </w:t>
      </w:r>
      <w:proofErr w:type="spellStart"/>
      <w:r w:rsidRPr="00B5226A">
        <w:rPr>
          <w:rFonts w:ascii="Book Antiqua" w:eastAsia="Book Antiqua" w:hAnsi="Book Antiqua" w:cs="Book Antiqua"/>
          <w:b/>
          <w:bCs/>
          <w:color w:val="000000"/>
          <w:szCs w:val="22"/>
        </w:rPr>
        <w:t>humerus</w:t>
      </w:r>
      <w:proofErr w:type="spellEnd"/>
      <w:r w:rsidRPr="00B5226A">
        <w:rPr>
          <w:rFonts w:ascii="Book Antiqua" w:eastAsia="Book Antiqua" w:hAnsi="Book Antiqua" w:cs="Book Antiqua"/>
          <w:b/>
          <w:bCs/>
          <w:color w:val="000000"/>
          <w:szCs w:val="22"/>
        </w:rPr>
        <w:t xml:space="preserve"> fractures</w:t>
      </w:r>
    </w:p>
    <w:tbl>
      <w:tblPr>
        <w:tblW w:w="9575" w:type="dxa"/>
        <w:jc w:val="right"/>
        <w:tblLook w:val="04A0" w:firstRow="1" w:lastRow="0" w:firstColumn="1" w:lastColumn="0" w:noHBand="0" w:noVBand="1"/>
      </w:tblPr>
      <w:tblGrid>
        <w:gridCol w:w="1808"/>
        <w:gridCol w:w="696"/>
        <w:gridCol w:w="1347"/>
        <w:gridCol w:w="2268"/>
        <w:gridCol w:w="850"/>
        <w:gridCol w:w="1118"/>
        <w:gridCol w:w="1488"/>
      </w:tblGrid>
      <w:tr w:rsidR="00B5226A" w:rsidRPr="00B5226A" w14:paraId="40CA61CA" w14:textId="77777777" w:rsidTr="00534F5D">
        <w:trPr>
          <w:trHeight w:val="420"/>
          <w:jc w:val="right"/>
        </w:trPr>
        <w:tc>
          <w:tcPr>
            <w:tcW w:w="3793" w:type="dxa"/>
            <w:gridSpan w:val="3"/>
            <w:tcBorders>
              <w:top w:val="single" w:sz="4" w:space="0" w:color="auto"/>
              <w:bottom w:val="single" w:sz="4" w:space="0" w:color="auto"/>
            </w:tcBorders>
            <w:shd w:val="clear" w:color="auto" w:fill="auto"/>
            <w:noWrap/>
            <w:vAlign w:val="center"/>
            <w:hideMark/>
          </w:tcPr>
          <w:p w14:paraId="67FFC886" w14:textId="18A76F0F"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color w:val="000000"/>
              </w:rPr>
              <w:t xml:space="preserve">Hip </w:t>
            </w:r>
            <w:r>
              <w:rPr>
                <w:rFonts w:ascii="Book Antiqua" w:eastAsia="Times New Roman" w:hAnsi="Book Antiqua" w:cstheme="minorHAnsi"/>
                <w:b/>
                <w:bCs/>
                <w:color w:val="000000"/>
              </w:rPr>
              <w:t>f</w:t>
            </w:r>
            <w:r w:rsidRPr="00B5226A">
              <w:rPr>
                <w:rFonts w:ascii="Book Antiqua" w:eastAsia="Times New Roman" w:hAnsi="Book Antiqua" w:cstheme="minorHAnsi"/>
                <w:b/>
                <w:bCs/>
                <w:color w:val="000000"/>
              </w:rPr>
              <w:t xml:space="preserve">ractures </w:t>
            </w:r>
            <w:r>
              <w:rPr>
                <w:rFonts w:ascii="Book Antiqua" w:eastAsia="Times New Roman" w:hAnsi="Book Antiqua" w:cstheme="minorHAnsi"/>
                <w:b/>
                <w:bCs/>
                <w:color w:val="000000"/>
              </w:rPr>
              <w:t>o</w:t>
            </w:r>
            <w:r w:rsidRPr="00B5226A">
              <w:rPr>
                <w:rFonts w:ascii="Book Antiqua" w:eastAsia="Times New Roman" w:hAnsi="Book Antiqua" w:cstheme="minorHAnsi"/>
                <w:b/>
                <w:bCs/>
                <w:color w:val="000000"/>
              </w:rPr>
              <w:t>nly (</w:t>
            </w:r>
            <w:r w:rsidRPr="00B5226A">
              <w:rPr>
                <w:rFonts w:ascii="Book Antiqua" w:eastAsia="Times New Roman" w:hAnsi="Book Antiqua" w:cstheme="minorHAnsi"/>
                <w:b/>
                <w:bCs/>
                <w:i/>
                <w:iCs/>
                <w:color w:val="000000"/>
              </w:rPr>
              <w:t>n</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4091)</w:t>
            </w:r>
          </w:p>
        </w:tc>
        <w:tc>
          <w:tcPr>
            <w:tcW w:w="4236" w:type="dxa"/>
            <w:gridSpan w:val="3"/>
            <w:tcBorders>
              <w:top w:val="single" w:sz="4" w:space="0" w:color="auto"/>
              <w:bottom w:val="single" w:sz="4" w:space="0" w:color="auto"/>
            </w:tcBorders>
            <w:shd w:val="clear" w:color="auto" w:fill="auto"/>
            <w:noWrap/>
            <w:vAlign w:val="center"/>
            <w:hideMark/>
          </w:tcPr>
          <w:p w14:paraId="5ABCA1D5" w14:textId="6295D5FE"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color w:val="000000"/>
              </w:rPr>
              <w:t xml:space="preserve">Hip and </w:t>
            </w:r>
            <w:r>
              <w:rPr>
                <w:rFonts w:ascii="Book Antiqua" w:eastAsia="Times New Roman" w:hAnsi="Book Antiqua" w:cstheme="minorHAnsi"/>
                <w:b/>
                <w:bCs/>
                <w:color w:val="000000"/>
              </w:rPr>
              <w:t>p</w:t>
            </w:r>
            <w:r w:rsidRPr="00B5226A">
              <w:rPr>
                <w:rFonts w:ascii="Book Antiqua" w:eastAsia="Times New Roman" w:hAnsi="Book Antiqua" w:cstheme="minorHAnsi"/>
                <w:b/>
                <w:bCs/>
                <w:color w:val="000000"/>
              </w:rPr>
              <w:t xml:space="preserve">roximal </w:t>
            </w:r>
            <w:proofErr w:type="spellStart"/>
            <w:r>
              <w:rPr>
                <w:rFonts w:ascii="Book Antiqua" w:eastAsia="Times New Roman" w:hAnsi="Book Antiqua" w:cstheme="minorHAnsi"/>
                <w:b/>
                <w:bCs/>
                <w:color w:val="000000"/>
              </w:rPr>
              <w:t>h</w:t>
            </w:r>
            <w:r w:rsidRPr="00B5226A">
              <w:rPr>
                <w:rFonts w:ascii="Book Antiqua" w:eastAsia="Times New Roman" w:hAnsi="Book Antiqua" w:cstheme="minorHAnsi"/>
                <w:b/>
                <w:bCs/>
                <w:color w:val="000000"/>
              </w:rPr>
              <w:t>umerus</w:t>
            </w:r>
            <w:proofErr w:type="spellEnd"/>
            <w:r w:rsidRPr="00B5226A">
              <w:rPr>
                <w:rFonts w:ascii="Book Antiqua" w:eastAsia="Times New Roman" w:hAnsi="Book Antiqua" w:cstheme="minorHAnsi"/>
                <w:b/>
                <w:bCs/>
                <w:color w:val="000000"/>
              </w:rPr>
              <w:t xml:space="preserve"> </w:t>
            </w:r>
            <w:r>
              <w:rPr>
                <w:rFonts w:ascii="Book Antiqua" w:eastAsia="Times New Roman" w:hAnsi="Book Antiqua" w:cstheme="minorHAnsi"/>
                <w:b/>
                <w:bCs/>
                <w:color w:val="000000"/>
              </w:rPr>
              <w:t>f</w:t>
            </w:r>
            <w:r w:rsidRPr="00B5226A">
              <w:rPr>
                <w:rFonts w:ascii="Book Antiqua" w:eastAsia="Times New Roman" w:hAnsi="Book Antiqua" w:cstheme="minorHAnsi"/>
                <w:b/>
                <w:bCs/>
                <w:color w:val="000000"/>
              </w:rPr>
              <w:t>ractures (</w:t>
            </w:r>
            <w:r w:rsidRPr="00B5226A">
              <w:rPr>
                <w:rFonts w:ascii="Book Antiqua" w:eastAsia="Times New Roman" w:hAnsi="Book Antiqua" w:cstheme="minorHAnsi"/>
                <w:b/>
                <w:bCs/>
                <w:i/>
                <w:iCs/>
                <w:color w:val="000000"/>
              </w:rPr>
              <w:t>n</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40)</w:t>
            </w:r>
          </w:p>
        </w:tc>
        <w:tc>
          <w:tcPr>
            <w:tcW w:w="1546" w:type="dxa"/>
            <w:tcBorders>
              <w:top w:val="single" w:sz="4" w:space="0" w:color="auto"/>
              <w:bottom w:val="single" w:sz="4" w:space="0" w:color="auto"/>
            </w:tcBorders>
            <w:shd w:val="clear" w:color="auto" w:fill="auto"/>
            <w:vAlign w:val="center"/>
          </w:tcPr>
          <w:p w14:paraId="11994A77" w14:textId="66E664A4"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i/>
                <w:iCs/>
                <w:color w:val="000000"/>
              </w:rPr>
              <w:t>P</w:t>
            </w:r>
            <w:r w:rsidRPr="00B5226A">
              <w:rPr>
                <w:rFonts w:ascii="Book Antiqua" w:eastAsia="Times New Roman" w:hAnsi="Book Antiqua" w:cstheme="minorHAnsi"/>
                <w:b/>
                <w:bCs/>
                <w:color w:val="000000"/>
              </w:rPr>
              <w:t xml:space="preserve"> </w:t>
            </w:r>
            <w:r>
              <w:rPr>
                <w:rFonts w:ascii="Book Antiqua" w:eastAsia="Times New Roman" w:hAnsi="Book Antiqua" w:cstheme="minorHAnsi"/>
                <w:b/>
                <w:bCs/>
                <w:color w:val="000000"/>
              </w:rPr>
              <w:t>v</w:t>
            </w:r>
            <w:r w:rsidRPr="00B5226A">
              <w:rPr>
                <w:rFonts w:ascii="Book Antiqua" w:eastAsia="Times New Roman" w:hAnsi="Book Antiqua" w:cstheme="minorHAnsi"/>
                <w:b/>
                <w:bCs/>
                <w:color w:val="000000"/>
              </w:rPr>
              <w:t>alue</w:t>
            </w:r>
          </w:p>
        </w:tc>
      </w:tr>
      <w:tr w:rsidR="00B5226A" w:rsidRPr="00B5226A" w14:paraId="281EC664" w14:textId="77777777" w:rsidTr="00534F5D">
        <w:trPr>
          <w:trHeight w:val="255"/>
          <w:jc w:val="right"/>
        </w:trPr>
        <w:tc>
          <w:tcPr>
            <w:tcW w:w="1808" w:type="dxa"/>
            <w:tcBorders>
              <w:top w:val="single" w:sz="4" w:space="0" w:color="auto"/>
            </w:tcBorders>
            <w:shd w:val="clear" w:color="auto" w:fill="auto"/>
            <w:noWrap/>
            <w:vAlign w:val="center"/>
            <w:hideMark/>
          </w:tcPr>
          <w:p w14:paraId="2F1662D1" w14:textId="21A3A422"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30 </w:t>
            </w:r>
            <w:r w:rsidR="00534F5D">
              <w:rPr>
                <w:rFonts w:ascii="Book Antiqua" w:eastAsia="Times New Roman" w:hAnsi="Book Antiqua" w:cstheme="minorHAnsi"/>
              </w:rPr>
              <w:t>d</w:t>
            </w:r>
          </w:p>
        </w:tc>
        <w:tc>
          <w:tcPr>
            <w:tcW w:w="638" w:type="dxa"/>
            <w:tcBorders>
              <w:top w:val="single" w:sz="4" w:space="0" w:color="auto"/>
            </w:tcBorders>
            <w:shd w:val="clear" w:color="auto" w:fill="auto"/>
            <w:noWrap/>
            <w:vAlign w:val="center"/>
            <w:hideMark/>
          </w:tcPr>
          <w:p w14:paraId="08D9BD00"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294</w:t>
            </w:r>
          </w:p>
        </w:tc>
        <w:tc>
          <w:tcPr>
            <w:tcW w:w="1347" w:type="dxa"/>
            <w:tcBorders>
              <w:top w:val="single" w:sz="4" w:space="0" w:color="auto"/>
            </w:tcBorders>
            <w:shd w:val="clear" w:color="auto" w:fill="auto"/>
            <w:noWrap/>
            <w:vAlign w:val="center"/>
            <w:hideMark/>
          </w:tcPr>
          <w:p w14:paraId="24347102"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7.19%</w:t>
            </w:r>
          </w:p>
        </w:tc>
        <w:tc>
          <w:tcPr>
            <w:tcW w:w="2268" w:type="dxa"/>
            <w:tcBorders>
              <w:top w:val="single" w:sz="4" w:space="0" w:color="auto"/>
            </w:tcBorders>
            <w:shd w:val="clear" w:color="auto" w:fill="auto"/>
            <w:noWrap/>
            <w:vAlign w:val="center"/>
            <w:hideMark/>
          </w:tcPr>
          <w:p w14:paraId="0AE0228F" w14:textId="2CB58CCA"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30 </w:t>
            </w:r>
            <w:r w:rsidR="00534F5D">
              <w:rPr>
                <w:rFonts w:ascii="Book Antiqua" w:eastAsia="Times New Roman" w:hAnsi="Book Antiqua" w:cstheme="minorHAnsi"/>
              </w:rPr>
              <w:t>d</w:t>
            </w:r>
          </w:p>
        </w:tc>
        <w:tc>
          <w:tcPr>
            <w:tcW w:w="850" w:type="dxa"/>
            <w:tcBorders>
              <w:top w:val="single" w:sz="4" w:space="0" w:color="auto"/>
            </w:tcBorders>
            <w:shd w:val="clear" w:color="auto" w:fill="auto"/>
            <w:noWrap/>
            <w:vAlign w:val="center"/>
            <w:hideMark/>
          </w:tcPr>
          <w:p w14:paraId="539A90B4"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5</w:t>
            </w:r>
          </w:p>
        </w:tc>
        <w:tc>
          <w:tcPr>
            <w:tcW w:w="1118" w:type="dxa"/>
            <w:tcBorders>
              <w:top w:val="single" w:sz="4" w:space="0" w:color="auto"/>
            </w:tcBorders>
            <w:shd w:val="clear" w:color="auto" w:fill="auto"/>
            <w:noWrap/>
            <w:vAlign w:val="center"/>
            <w:hideMark/>
          </w:tcPr>
          <w:p w14:paraId="6BAE318A"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12.5%</w:t>
            </w:r>
          </w:p>
        </w:tc>
        <w:tc>
          <w:tcPr>
            <w:tcW w:w="1546" w:type="dxa"/>
            <w:tcBorders>
              <w:top w:val="single" w:sz="4" w:space="0" w:color="auto"/>
            </w:tcBorders>
            <w:shd w:val="clear" w:color="auto" w:fill="auto"/>
            <w:vAlign w:val="center"/>
          </w:tcPr>
          <w:p w14:paraId="14AF6768" w14:textId="39F40EBC"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0.163</w:t>
            </w:r>
          </w:p>
        </w:tc>
      </w:tr>
      <w:tr w:rsidR="00B5226A" w:rsidRPr="00B5226A" w14:paraId="42350D02" w14:textId="77777777" w:rsidTr="00534F5D">
        <w:trPr>
          <w:trHeight w:val="255"/>
          <w:jc w:val="right"/>
        </w:trPr>
        <w:tc>
          <w:tcPr>
            <w:tcW w:w="1808" w:type="dxa"/>
            <w:tcBorders>
              <w:bottom w:val="single" w:sz="4" w:space="0" w:color="auto"/>
            </w:tcBorders>
            <w:shd w:val="clear" w:color="auto" w:fill="auto"/>
            <w:noWrap/>
            <w:vAlign w:val="center"/>
            <w:hideMark/>
          </w:tcPr>
          <w:p w14:paraId="3FADBA5A" w14:textId="5F33A81B"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1 </w:t>
            </w:r>
            <w:proofErr w:type="spellStart"/>
            <w:r w:rsidR="00534F5D">
              <w:rPr>
                <w:rFonts w:ascii="Book Antiqua" w:eastAsia="Times New Roman" w:hAnsi="Book Antiqua" w:cstheme="minorHAnsi"/>
              </w:rPr>
              <w:t>yr</w:t>
            </w:r>
            <w:proofErr w:type="spellEnd"/>
          </w:p>
        </w:tc>
        <w:tc>
          <w:tcPr>
            <w:tcW w:w="638" w:type="dxa"/>
            <w:tcBorders>
              <w:bottom w:val="single" w:sz="4" w:space="0" w:color="auto"/>
            </w:tcBorders>
            <w:shd w:val="clear" w:color="auto" w:fill="auto"/>
            <w:noWrap/>
            <w:vAlign w:val="center"/>
            <w:hideMark/>
          </w:tcPr>
          <w:p w14:paraId="06D2E83D"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1078</w:t>
            </w:r>
          </w:p>
        </w:tc>
        <w:tc>
          <w:tcPr>
            <w:tcW w:w="1347" w:type="dxa"/>
            <w:tcBorders>
              <w:bottom w:val="single" w:sz="4" w:space="0" w:color="auto"/>
            </w:tcBorders>
            <w:shd w:val="clear" w:color="auto" w:fill="auto"/>
            <w:noWrap/>
            <w:vAlign w:val="center"/>
            <w:hideMark/>
          </w:tcPr>
          <w:p w14:paraId="642421F5"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26.35%</w:t>
            </w:r>
          </w:p>
        </w:tc>
        <w:tc>
          <w:tcPr>
            <w:tcW w:w="2268" w:type="dxa"/>
            <w:tcBorders>
              <w:bottom w:val="single" w:sz="4" w:space="0" w:color="auto"/>
            </w:tcBorders>
            <w:shd w:val="clear" w:color="auto" w:fill="auto"/>
            <w:noWrap/>
            <w:vAlign w:val="center"/>
            <w:hideMark/>
          </w:tcPr>
          <w:p w14:paraId="59379DE0" w14:textId="02AC560F"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1 </w:t>
            </w:r>
            <w:proofErr w:type="spellStart"/>
            <w:r w:rsidR="00534F5D">
              <w:rPr>
                <w:rFonts w:ascii="Book Antiqua" w:eastAsia="Times New Roman" w:hAnsi="Book Antiqua" w:cstheme="minorHAnsi"/>
              </w:rPr>
              <w:t>yr</w:t>
            </w:r>
            <w:proofErr w:type="spellEnd"/>
          </w:p>
        </w:tc>
        <w:tc>
          <w:tcPr>
            <w:tcW w:w="850" w:type="dxa"/>
            <w:tcBorders>
              <w:bottom w:val="single" w:sz="4" w:space="0" w:color="auto"/>
            </w:tcBorders>
            <w:shd w:val="clear" w:color="auto" w:fill="auto"/>
            <w:noWrap/>
            <w:vAlign w:val="center"/>
            <w:hideMark/>
          </w:tcPr>
          <w:p w14:paraId="45B08D77"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16</w:t>
            </w:r>
          </w:p>
        </w:tc>
        <w:tc>
          <w:tcPr>
            <w:tcW w:w="1118" w:type="dxa"/>
            <w:tcBorders>
              <w:bottom w:val="single" w:sz="4" w:space="0" w:color="auto"/>
            </w:tcBorders>
            <w:shd w:val="clear" w:color="auto" w:fill="auto"/>
            <w:noWrap/>
            <w:vAlign w:val="center"/>
            <w:hideMark/>
          </w:tcPr>
          <w:p w14:paraId="212FE812"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40.0%</w:t>
            </w:r>
          </w:p>
        </w:tc>
        <w:tc>
          <w:tcPr>
            <w:tcW w:w="1546" w:type="dxa"/>
            <w:tcBorders>
              <w:bottom w:val="single" w:sz="4" w:space="0" w:color="auto"/>
            </w:tcBorders>
            <w:shd w:val="clear" w:color="auto" w:fill="auto"/>
            <w:vAlign w:val="center"/>
          </w:tcPr>
          <w:p w14:paraId="45E6CC36" w14:textId="62E6147E"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0.038</w:t>
            </w:r>
          </w:p>
        </w:tc>
      </w:tr>
    </w:tbl>
    <w:p w14:paraId="327D7C1B" w14:textId="3CE11F9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72DB" w14:textId="77777777" w:rsidR="00494A4D" w:rsidRDefault="00494A4D" w:rsidP="00544FA4">
      <w:r>
        <w:separator/>
      </w:r>
    </w:p>
  </w:endnote>
  <w:endnote w:type="continuationSeparator" w:id="0">
    <w:p w14:paraId="031CE57D" w14:textId="77777777" w:rsidR="00494A4D" w:rsidRDefault="00494A4D" w:rsidP="005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226352"/>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4B10ECE" w14:textId="6A37D3A1" w:rsidR="00544FA4" w:rsidRDefault="00544FA4" w:rsidP="00544FA4">
            <w:pPr>
              <w:pStyle w:val="Footer"/>
              <w:jc w:val="right"/>
            </w:pPr>
            <w:r>
              <w:rPr>
                <w:lang w:val="zh-CN" w:eastAsia="zh-CN"/>
              </w:rPr>
              <w:t xml:space="preserve"> </w:t>
            </w:r>
            <w:r w:rsidRPr="00544FA4">
              <w:rPr>
                <w:rFonts w:ascii="Book Antiqua" w:hAnsi="Book Antiqua"/>
                <w:sz w:val="21"/>
                <w:szCs w:val="21"/>
              </w:rPr>
              <w:fldChar w:fldCharType="begin"/>
            </w:r>
            <w:r w:rsidRPr="00544FA4">
              <w:rPr>
                <w:rFonts w:ascii="Book Antiqua" w:hAnsi="Book Antiqua"/>
                <w:sz w:val="21"/>
                <w:szCs w:val="21"/>
              </w:rPr>
              <w:instrText>PAGE</w:instrText>
            </w:r>
            <w:r w:rsidRPr="00544FA4">
              <w:rPr>
                <w:rFonts w:ascii="Book Antiqua" w:hAnsi="Book Antiqua"/>
                <w:sz w:val="21"/>
                <w:szCs w:val="21"/>
              </w:rPr>
              <w:fldChar w:fldCharType="separate"/>
            </w:r>
            <w:r w:rsidR="00E9084C">
              <w:rPr>
                <w:rFonts w:ascii="Book Antiqua" w:hAnsi="Book Antiqua"/>
                <w:noProof/>
                <w:sz w:val="21"/>
                <w:szCs w:val="21"/>
              </w:rPr>
              <w:t>1</w:t>
            </w:r>
            <w:r w:rsidRPr="00544FA4">
              <w:rPr>
                <w:rFonts w:ascii="Book Antiqua" w:hAnsi="Book Antiqua"/>
                <w:sz w:val="21"/>
                <w:szCs w:val="21"/>
              </w:rPr>
              <w:fldChar w:fldCharType="end"/>
            </w:r>
            <w:r w:rsidRPr="00544FA4">
              <w:rPr>
                <w:rFonts w:ascii="Book Antiqua" w:hAnsi="Book Antiqua"/>
                <w:sz w:val="21"/>
                <w:szCs w:val="21"/>
                <w:lang w:val="zh-CN" w:eastAsia="zh-CN"/>
              </w:rPr>
              <w:t xml:space="preserve"> / </w:t>
            </w:r>
            <w:r w:rsidRPr="00544FA4">
              <w:rPr>
                <w:rFonts w:ascii="Book Antiqua" w:hAnsi="Book Antiqua"/>
                <w:sz w:val="21"/>
                <w:szCs w:val="21"/>
              </w:rPr>
              <w:fldChar w:fldCharType="begin"/>
            </w:r>
            <w:r w:rsidRPr="00544FA4">
              <w:rPr>
                <w:rFonts w:ascii="Book Antiqua" w:hAnsi="Book Antiqua"/>
                <w:sz w:val="21"/>
                <w:szCs w:val="21"/>
              </w:rPr>
              <w:instrText>NUMPAGES</w:instrText>
            </w:r>
            <w:r w:rsidRPr="00544FA4">
              <w:rPr>
                <w:rFonts w:ascii="Book Antiqua" w:hAnsi="Book Antiqua"/>
                <w:sz w:val="21"/>
                <w:szCs w:val="21"/>
              </w:rPr>
              <w:fldChar w:fldCharType="separate"/>
            </w:r>
            <w:r w:rsidR="00E9084C">
              <w:rPr>
                <w:rFonts w:ascii="Book Antiqua" w:hAnsi="Book Antiqua"/>
                <w:noProof/>
                <w:sz w:val="21"/>
                <w:szCs w:val="21"/>
              </w:rPr>
              <w:t>13</w:t>
            </w:r>
            <w:r w:rsidRPr="00544FA4">
              <w:rPr>
                <w:rFonts w:ascii="Book Antiqua" w:hAnsi="Book Antiqua"/>
                <w:sz w:val="21"/>
                <w:szCs w:val="21"/>
              </w:rPr>
              <w:fldChar w:fldCharType="end"/>
            </w:r>
          </w:p>
        </w:sdtContent>
      </w:sdt>
    </w:sdtContent>
  </w:sdt>
  <w:p w14:paraId="25442FE5" w14:textId="77777777" w:rsidR="00544FA4" w:rsidRDefault="0054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7154" w14:textId="77777777" w:rsidR="00494A4D" w:rsidRDefault="00494A4D" w:rsidP="00544FA4">
      <w:r>
        <w:separator/>
      </w:r>
    </w:p>
  </w:footnote>
  <w:footnote w:type="continuationSeparator" w:id="0">
    <w:p w14:paraId="6E31A8CB" w14:textId="77777777" w:rsidR="00494A4D" w:rsidRDefault="00494A4D" w:rsidP="0054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467"/>
    <w:rsid w:val="000F4AA8"/>
    <w:rsid w:val="001055E0"/>
    <w:rsid w:val="001122A2"/>
    <w:rsid w:val="00213239"/>
    <w:rsid w:val="00365616"/>
    <w:rsid w:val="003A7D84"/>
    <w:rsid w:val="003E36F0"/>
    <w:rsid w:val="00470C0B"/>
    <w:rsid w:val="004776FB"/>
    <w:rsid w:val="00494A4D"/>
    <w:rsid w:val="00530E85"/>
    <w:rsid w:val="00534F5D"/>
    <w:rsid w:val="00544FA4"/>
    <w:rsid w:val="00552B81"/>
    <w:rsid w:val="00554E17"/>
    <w:rsid w:val="005972DC"/>
    <w:rsid w:val="00597313"/>
    <w:rsid w:val="00613B4B"/>
    <w:rsid w:val="00677F20"/>
    <w:rsid w:val="0075767F"/>
    <w:rsid w:val="0079649B"/>
    <w:rsid w:val="00887D31"/>
    <w:rsid w:val="00951225"/>
    <w:rsid w:val="00A52FE7"/>
    <w:rsid w:val="00A77B3E"/>
    <w:rsid w:val="00AE0360"/>
    <w:rsid w:val="00AF0E31"/>
    <w:rsid w:val="00B35BBD"/>
    <w:rsid w:val="00B5226A"/>
    <w:rsid w:val="00BA6DFA"/>
    <w:rsid w:val="00C429C1"/>
    <w:rsid w:val="00C43A60"/>
    <w:rsid w:val="00C456A3"/>
    <w:rsid w:val="00C82FAC"/>
    <w:rsid w:val="00CA2A55"/>
    <w:rsid w:val="00D0098F"/>
    <w:rsid w:val="00D1682E"/>
    <w:rsid w:val="00D66AC7"/>
    <w:rsid w:val="00DC4B7D"/>
    <w:rsid w:val="00DE0A3A"/>
    <w:rsid w:val="00E60CBD"/>
    <w:rsid w:val="00E61C7E"/>
    <w:rsid w:val="00E83E8C"/>
    <w:rsid w:val="00E9084C"/>
    <w:rsid w:val="00EA00A4"/>
    <w:rsid w:val="00ED01B6"/>
    <w:rsid w:val="00EF1E10"/>
    <w:rsid w:val="00F7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9E114"/>
  <w15:docId w15:val="{C5F6D6DA-14C6-46A5-BF17-BABDD70C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label">
    <w:name w:val="id-label"/>
    <w:basedOn w:val="DefaultParagraphFont"/>
  </w:style>
  <w:style w:type="character" w:customStyle="1" w:styleId="identifier">
    <w:name w:val="identifier"/>
    <w:basedOn w:val="DefaultParagraphFont"/>
  </w:style>
  <w:style w:type="character" w:customStyle="1" w:styleId="citation-doi">
    <w:name w:val="citation-doi"/>
    <w:basedOn w:val="DefaultParagraphFont"/>
  </w:style>
  <w:style w:type="character" w:customStyle="1" w:styleId="secondary-date">
    <w:name w:val="secondary-date"/>
    <w:basedOn w:val="DefaultParagraphFont"/>
  </w:style>
  <w:style w:type="paragraph" w:styleId="Header">
    <w:name w:val="header"/>
    <w:basedOn w:val="Normal"/>
    <w:link w:val="HeaderChar"/>
    <w:unhideWhenUsed/>
    <w:rsid w:val="00544F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44FA4"/>
    <w:rPr>
      <w:sz w:val="18"/>
      <w:szCs w:val="18"/>
    </w:rPr>
  </w:style>
  <w:style w:type="paragraph" w:styleId="Footer">
    <w:name w:val="footer"/>
    <w:basedOn w:val="Normal"/>
    <w:link w:val="FooterChar"/>
    <w:uiPriority w:val="99"/>
    <w:unhideWhenUsed/>
    <w:rsid w:val="00544F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4F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2020-09-14T17:41:00Z</dcterms:created>
  <dcterms:modified xsi:type="dcterms:W3CDTF">2020-09-14T17:41:00Z</dcterms:modified>
</cp:coreProperties>
</file>