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DF51BA" w:rsidRDefault="008D175F" w:rsidP="00DF51BA">
      <w:pPr>
        <w:snapToGrid w:val="0"/>
        <w:spacing w:line="360" w:lineRule="auto"/>
        <w:jc w:val="both"/>
        <w:rPr>
          <w:rFonts w:ascii="Book Antiqua" w:hAnsi="Book Antiqua"/>
          <w:color w:val="000000" w:themeColor="text1"/>
        </w:rPr>
      </w:pPr>
      <w:bookmarkStart w:id="0" w:name="_GoBack"/>
      <w:r w:rsidRPr="00DF51BA">
        <w:rPr>
          <w:rFonts w:ascii="Book Antiqua" w:eastAsia="Book Antiqua" w:hAnsi="Book Antiqua" w:cs="Book Antiqua"/>
          <w:b/>
          <w:color w:val="000000" w:themeColor="text1"/>
        </w:rPr>
        <w:t xml:space="preserve">Name of Journal: </w:t>
      </w:r>
      <w:r w:rsidRPr="00DF51BA">
        <w:rPr>
          <w:rFonts w:ascii="Book Antiqua" w:eastAsia="Book Antiqua" w:hAnsi="Book Antiqua" w:cs="Book Antiqua"/>
          <w:i/>
          <w:color w:val="000000" w:themeColor="text1"/>
        </w:rPr>
        <w:t>World Journal of Orthopedics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Manuscript NO: </w:t>
      </w:r>
      <w:r w:rsidRPr="00DF51BA">
        <w:rPr>
          <w:rFonts w:ascii="Book Antiqua" w:eastAsia="Book Antiqua" w:hAnsi="Book Antiqua" w:cs="Book Antiqua"/>
          <w:color w:val="000000" w:themeColor="text1"/>
        </w:rPr>
        <w:t>57579</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Manuscript Type: </w:t>
      </w:r>
      <w:r w:rsidRPr="00DF51BA">
        <w:rPr>
          <w:rFonts w:ascii="Book Antiqua" w:eastAsia="Book Antiqua" w:hAnsi="Book Antiqua" w:cs="Book Antiqua"/>
          <w:color w:val="000000" w:themeColor="text1"/>
        </w:rPr>
        <w:t>ORIGINAL ARTICLE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Observational Study</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Factors predisposing to thrombosis after major joint arthroplasty</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20691"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Dailiana </w:t>
      </w:r>
      <w:r w:rsidRPr="00DF51BA">
        <w:rPr>
          <w:rFonts w:ascii="Book Antiqua" w:hAnsi="Book Antiqua" w:cs="Book Antiqua"/>
          <w:color w:val="000000" w:themeColor="text1"/>
          <w:lang w:eastAsia="zh-CN"/>
        </w:rPr>
        <w:t xml:space="preserve">ZH </w:t>
      </w:r>
      <w:r w:rsidRPr="00DF51BA">
        <w:rPr>
          <w:rFonts w:ascii="Book Antiqua" w:hAnsi="Book Antiqua" w:cs="Book Antiqua"/>
          <w:i/>
          <w:color w:val="000000" w:themeColor="text1"/>
          <w:lang w:eastAsia="zh-CN"/>
        </w:rPr>
        <w:t>et al</w:t>
      </w:r>
      <w:r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Factors predisposing to post-arthroplasty thrombosis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Zoe H Dailiana, Nikolaos Stefanou, Sokratis Varitimids, Nikolaos Rigopoulos, Apostolos Dimitroulias, Theofilos Karachalios, Konstantinos N Malizos, Despoina Kyriakou, Panagoula Kollia</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Zoe H Dailiana, Nikolaos Stefanou, Sokratis Varitimids, Nikolaos Rigopoulos, Apostolos Dimitroulias, Theofilos Karachalios, Konstantinos N Malizos, </w:t>
      </w:r>
      <w:r w:rsidRPr="00DF51BA">
        <w:rPr>
          <w:rFonts w:ascii="Book Antiqua" w:eastAsia="Book Antiqua" w:hAnsi="Book Antiqua" w:cs="Book Antiqua"/>
          <w:color w:val="000000" w:themeColor="text1"/>
        </w:rPr>
        <w:t>Department of Orthopaedic Surgery, Faculty of Medicine, School of Health Sciences, University of Thessaly, Larissa 41500, Greece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Despoina Kyriakou, </w:t>
      </w:r>
      <w:r w:rsidRPr="00DF51BA">
        <w:rPr>
          <w:rFonts w:ascii="Book Antiqua" w:eastAsia="Book Antiqua" w:hAnsi="Book Antiqua" w:cs="Book Antiqua"/>
          <w:color w:val="000000" w:themeColor="text1"/>
        </w:rPr>
        <w:t>Laboratory of Haematology - Transfusion Medicine, Faculty of Medicine, School of Health Sciences, University of Thessaly, Larissa 41500, Greece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Panagoula Kollia, </w:t>
      </w:r>
      <w:r w:rsidRPr="00DF51BA">
        <w:rPr>
          <w:rFonts w:ascii="Book Antiqua" w:eastAsia="Book Antiqua" w:hAnsi="Book Antiqua" w:cs="Book Antiqua"/>
          <w:color w:val="000000" w:themeColor="text1"/>
        </w:rPr>
        <w:t>Department of Human Genetics, Faculty of Biology, National and Kapodistrian University of Athens, Athens 11635, Greece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Author contributions: </w:t>
      </w:r>
      <w:r w:rsidRPr="00DF51BA">
        <w:rPr>
          <w:rFonts w:ascii="Book Antiqua" w:eastAsia="Book Antiqua" w:hAnsi="Book Antiqua" w:cs="Book Antiqua"/>
          <w:color w:val="000000" w:themeColor="text1"/>
        </w:rPr>
        <w:t>Dailiana Z</w:t>
      </w:r>
      <w:r w:rsidR="006928BE" w:rsidRPr="00DF51BA">
        <w:rPr>
          <w:rFonts w:ascii="Book Antiqua" w:hAnsi="Book Antiqua" w:cs="Book Antiqua"/>
          <w:color w:val="000000" w:themeColor="text1"/>
          <w:lang w:eastAsia="zh-CN"/>
        </w:rPr>
        <w:t>H</w:t>
      </w:r>
      <w:r w:rsidRPr="00DF51BA">
        <w:rPr>
          <w:rFonts w:ascii="Book Antiqua" w:eastAsia="Book Antiqua" w:hAnsi="Book Antiqua" w:cs="Book Antiqua"/>
          <w:color w:val="000000" w:themeColor="text1"/>
        </w:rPr>
        <w:t xml:space="preserve"> participated in the conception and design of the study, analysis and interpretation of the data, </w:t>
      </w:r>
      <w:r w:rsidR="002947C9" w:rsidRPr="00DF51BA">
        <w:rPr>
          <w:rFonts w:ascii="Book Antiqua" w:eastAsia="Book Antiqua" w:hAnsi="Book Antiqua" w:cs="Book Antiqua"/>
          <w:color w:val="000000" w:themeColor="text1"/>
        </w:rPr>
        <w:t xml:space="preserve">and </w:t>
      </w:r>
      <w:r w:rsidRPr="00DF51BA">
        <w:rPr>
          <w:rFonts w:ascii="Book Antiqua" w:eastAsia="Book Antiqua" w:hAnsi="Book Antiqua" w:cs="Book Antiqua"/>
          <w:color w:val="000000" w:themeColor="text1"/>
        </w:rPr>
        <w:t xml:space="preserve">drafting and critical revision of the article; Stefanou N participated in interpretation of the data and drafting of the article; Varitimids S participated in design of the study and was involved with data collection and analysis and interpretation of data; Rigopoulos N assisted in data collection, </w:t>
      </w:r>
      <w:r w:rsidRPr="00DF51BA">
        <w:rPr>
          <w:rFonts w:ascii="Book Antiqua" w:eastAsia="Book Antiqua" w:hAnsi="Book Antiqua" w:cs="Book Antiqua"/>
          <w:color w:val="000000" w:themeColor="text1"/>
        </w:rPr>
        <w:lastRenderedPageBreak/>
        <w:t xml:space="preserve">assembly and analysis; Dimitroulias A assisted in data collection, assembly and analysis; Karachalios T was involved with data collection; Malizos KN participated in the analysis and interpretation of the data and critical revision of the article; Kyriakou D was involved with data collection, analysis and interpretation; Kollia P participated in the conception and design of the study, analysis and interpretation of the data, and critical revision of the article; </w:t>
      </w:r>
      <w:r w:rsidR="00B726F1">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ll authors read and approved the final manuscript.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Supported by </w:t>
      </w:r>
      <w:r w:rsidR="00EB1FC7" w:rsidRPr="00DF51BA">
        <w:rPr>
          <w:rFonts w:ascii="Book Antiqua" w:eastAsia="Book Antiqua" w:hAnsi="Book Antiqua" w:cs="Book Antiqua"/>
          <w:color w:val="000000" w:themeColor="text1"/>
        </w:rPr>
        <w:t>Hellenic Association of Orthopaedic Surgery and Traumatology</w:t>
      </w:r>
      <w:r w:rsidRPr="00DF51BA">
        <w:rPr>
          <w:rFonts w:ascii="Book Antiqua" w:eastAsia="Book Antiqua" w:hAnsi="Book Antiqua" w:cs="Book Antiqua"/>
          <w:color w:val="000000" w:themeColor="text1"/>
        </w:rPr>
        <w:t>, No. EEXOT 20022007.</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Corresponding author: Zoe H Dailiana, MD, PhD, Professor, Surgeon, </w:t>
      </w:r>
      <w:r w:rsidRPr="00DF51BA">
        <w:rPr>
          <w:rFonts w:ascii="Book Antiqua" w:eastAsia="Book Antiqua" w:hAnsi="Book Antiqua" w:cs="Book Antiqua"/>
          <w:color w:val="000000" w:themeColor="text1"/>
        </w:rPr>
        <w:t>Department of Orthopaedic Surgery, Faculty of Medicine, School of Health Sciences, University of Thessaly, 3 Panepistimiou Street, Biopolis, Larissa 41500, Greece. dailiana@med.uth.gr</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Received: </w:t>
      </w:r>
      <w:r w:rsidRPr="00DF51BA">
        <w:rPr>
          <w:rFonts w:ascii="Book Antiqua" w:eastAsia="Book Antiqua" w:hAnsi="Book Antiqua" w:cs="Book Antiqua"/>
          <w:color w:val="000000" w:themeColor="text1"/>
        </w:rPr>
        <w:t>June 18, 2020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Revised: </w:t>
      </w:r>
      <w:r w:rsidRPr="00DF51BA">
        <w:rPr>
          <w:rFonts w:ascii="Book Antiqua" w:eastAsia="Book Antiqua" w:hAnsi="Book Antiqua" w:cs="Book Antiqua"/>
          <w:color w:val="000000" w:themeColor="text1"/>
        </w:rPr>
        <w:t>July 16, 2020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Accepted: </w:t>
      </w:r>
      <w:r w:rsidR="00CA004F" w:rsidRPr="00DF51BA">
        <w:rPr>
          <w:rFonts w:ascii="Book Antiqua" w:eastAsia="Book Antiqua" w:hAnsi="Book Antiqua" w:cs="Book Antiqua"/>
          <w:bCs/>
          <w:color w:val="000000" w:themeColor="text1"/>
        </w:rPr>
        <w:t>August 1, 2020</w:t>
      </w:r>
    </w:p>
    <w:p w:rsidR="00C01329" w:rsidRPr="00AD618B" w:rsidRDefault="008D175F" w:rsidP="00C01329">
      <w:pPr>
        <w:adjustRightInd w:val="0"/>
        <w:snapToGrid w:val="0"/>
        <w:spacing w:line="360" w:lineRule="auto"/>
        <w:jc w:val="both"/>
        <w:rPr>
          <w:rFonts w:ascii="Book Antiqua" w:hAnsi="Book Antiqua"/>
        </w:rPr>
      </w:pPr>
      <w:r w:rsidRPr="00DF51BA">
        <w:rPr>
          <w:rFonts w:ascii="Book Antiqua" w:eastAsia="Book Antiqua" w:hAnsi="Book Antiqua" w:cs="Book Antiqua"/>
          <w:b/>
          <w:bCs/>
          <w:color w:val="000000" w:themeColor="text1"/>
        </w:rPr>
        <w:t xml:space="preserve">Published online: </w:t>
      </w:r>
      <w:r w:rsidR="00C01329" w:rsidRPr="00AD618B">
        <w:rPr>
          <w:rFonts w:ascii="Book Antiqua" w:eastAsia="Book Antiqua" w:hAnsi="Book Antiqua" w:cs="Book Antiqua"/>
          <w:bCs/>
          <w:color w:val="000000"/>
        </w:rPr>
        <w:t xml:space="preserve">September </w:t>
      </w:r>
      <w:r w:rsidR="00C01329" w:rsidRPr="00AD618B">
        <w:rPr>
          <w:rFonts w:ascii="Book Antiqua" w:hAnsi="Book Antiqua" w:cs="Book Antiqua" w:hint="eastAsia"/>
          <w:bCs/>
          <w:color w:val="000000"/>
          <w:lang w:eastAsia="zh-CN"/>
        </w:rPr>
        <w:t>18</w:t>
      </w:r>
      <w:r w:rsidR="00C01329" w:rsidRPr="00AD618B">
        <w:rPr>
          <w:rFonts w:ascii="Book Antiqua" w:eastAsia="Book Antiqua" w:hAnsi="Book Antiqua" w:cs="Book Antiqua"/>
          <w:bCs/>
          <w:color w:val="000000"/>
        </w:rPr>
        <w:t>, 2020</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A77B3E" w:rsidP="00DF51BA">
      <w:pPr>
        <w:snapToGrid w:val="0"/>
        <w:spacing w:line="360" w:lineRule="auto"/>
        <w:jc w:val="both"/>
        <w:rPr>
          <w:rFonts w:ascii="Book Antiqua" w:hAnsi="Book Antiqua"/>
          <w:color w:val="000000" w:themeColor="text1"/>
        </w:rPr>
        <w:sectPr w:rsidR="00A77B3E" w:rsidRPr="00DF51BA" w:rsidSect="003B3C10">
          <w:footerReference w:type="default" r:id="rId7"/>
          <w:pgSz w:w="12240" w:h="15840"/>
          <w:pgMar w:top="1440" w:right="1440" w:bottom="1440" w:left="1440" w:header="720" w:footer="720" w:gutter="0"/>
          <w:cols w:space="720"/>
          <w:docGrid w:linePitch="360"/>
        </w:sect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lastRenderedPageBreak/>
        <w:t>Abstract</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BACKGROUND</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Total joint arthroplasty is one of the most common options for end stage osteoarthritis of major joints. However, we must take into account that thrombosis after hip/knee arthroplasty may be related to mutations in gene</w:t>
      </w:r>
      <w:r w:rsidR="002947C9"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xml:space="preserve"> encoding for blood coagulation factors and immune reactions to anticoagulants </w:t>
      </w:r>
      <w:r w:rsidR="001C6B92"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heparin-induced thrombocytopenia </w:t>
      </w:r>
      <w:r w:rsidR="001C6B92"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HIT</w:t>
      </w:r>
      <w:r w:rsidR="001C6B92"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/thrombosis].</w:t>
      </w:r>
      <w:r w:rsidR="006928B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Identifying and characterizing genetic risk should help to develop diagnostic strategies or modify anticoagulant options in the search for</w:t>
      </w:r>
      <w:r w:rsidR="000420BE"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etiological mechanisms that cause thrombophilia following major orthopedic surgery. </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AIM</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To evaluate the impact of patients’ coagulation profiles and </w:t>
      </w:r>
      <w:r w:rsidR="000420BE" w:rsidRPr="00DF51BA">
        <w:rPr>
          <w:rFonts w:ascii="Book Antiqua" w:eastAsia="Book Antiqua" w:hAnsi="Book Antiqua" w:cs="Book Antiqua"/>
          <w:color w:val="000000" w:themeColor="text1"/>
        </w:rPr>
        <w:t xml:space="preserve">to study </w:t>
      </w:r>
      <w:r w:rsidRPr="00DF51BA">
        <w:rPr>
          <w:rFonts w:ascii="Book Antiqua" w:eastAsia="Book Antiqua" w:hAnsi="Book Antiqua" w:cs="Book Antiqua"/>
          <w:color w:val="000000" w:themeColor="text1"/>
        </w:rPr>
        <w:t>specific pharmacologic factors in the development of post-arthroplasty</w:t>
      </w:r>
      <w:r w:rsidR="005C2557"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thrombosis.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METHODS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In 212 (51 male and 161 female) patients that underwent primary total hip arthroplasty (100) or total knee arthroplasty (112) due to osteoarthritis during a period of </w:t>
      </w:r>
      <w:r w:rsidR="00E908DA">
        <w:rPr>
          <w:rFonts w:ascii="Book Antiqua" w:eastAsia="Book Antiqua" w:hAnsi="Book Antiqua" w:cs="Book Antiqua"/>
          <w:color w:val="000000" w:themeColor="text1"/>
        </w:rPr>
        <w:t>1</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year, platelet counts and anti-</w:t>
      </w:r>
      <w:r w:rsidR="00C23E3A" w:rsidRPr="00DF51BA">
        <w:rPr>
          <w:rFonts w:ascii="Book Antiqua" w:eastAsia="Book Antiqua" w:hAnsi="Book Antiqua" w:cs="Book Antiqua"/>
          <w:color w:val="000000" w:themeColor="text1"/>
        </w:rPr>
        <w:t>platelet factor 4 (</w:t>
      </w:r>
      <w:r w:rsidRPr="00DF51BA">
        <w:rPr>
          <w:rFonts w:ascii="Book Antiqua" w:eastAsia="Book Antiqua" w:hAnsi="Book Antiqua" w:cs="Book Antiqua"/>
          <w:color w:val="000000" w:themeColor="text1"/>
        </w:rPr>
        <w:t>PF4</w:t>
      </w:r>
      <w:r w:rsidR="00C23E3A"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/heparin antibodies were evaluated pre/postoperatively</w:t>
      </w:r>
      <w:r w:rsidR="000420BE"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w:t>
      </w:r>
      <w:r w:rsidR="000420BE" w:rsidRPr="00DF51BA">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 xml:space="preserve">ntithrombin III, </w:t>
      </w:r>
      <w:r w:rsidR="00E156E8" w:rsidRPr="00DF51BA">
        <w:rPr>
          <w:rFonts w:ascii="Book Antiqua" w:eastAsia="Book Antiqua" w:hAnsi="Book Antiqua" w:cs="Book Antiqua"/>
          <w:color w:val="000000" w:themeColor="text1"/>
        </w:rPr>
        <w:t>methylenetetrahydrofolate reductase</w:t>
      </w:r>
      <w:r w:rsidRPr="00DF51BA">
        <w:rPr>
          <w:rFonts w:ascii="Book Antiqua" w:eastAsia="Book Antiqua" w:hAnsi="Book Antiqua" w:cs="Book Antiqua"/>
          <w:color w:val="000000" w:themeColor="text1"/>
        </w:rPr>
        <w:t>, factor V and prothrombin gene mutations were evaluated preoperatively. In a minimum follow-up of 3 years, 196 patients</w:t>
      </w:r>
      <w:r w:rsidR="00A96D33"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receiving either low-molecular-weight</w:t>
      </w:r>
      <w:r w:rsidR="00E96C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heparins</w:t>
      </w:r>
      <w:r w:rsidR="00AE7BE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(173) or fondaparinux (23) were monitored for the development of thrombocytopenia, anti-PF4/heparin antibodies, HIT, and thrombosis.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RESULTS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Of 196 patients, 32 developed thrombocytopenia (nonsignificant correlation between anticoagulant type and thrombocytopenia, </w:t>
      </w:r>
      <w:r w:rsidRPr="00DF51BA">
        <w:rPr>
          <w:rFonts w:ascii="Book Antiqua" w:eastAsia="Book Antiqua" w:hAnsi="Book Antiqua" w:cs="Book Antiqua"/>
          <w:i/>
          <w:iCs/>
          <w:color w:val="000000" w:themeColor="text1"/>
        </w:rPr>
        <w:t>P</w:t>
      </w:r>
      <w:r w:rsidRPr="00DF51BA">
        <w:rPr>
          <w:rFonts w:ascii="Book Antiqua" w:eastAsia="Book Antiqua" w:hAnsi="Book Antiqua" w:cs="Book Antiqua"/>
          <w:color w:val="000000" w:themeColor="text1"/>
        </w:rPr>
        <w:t xml:space="preserve"> = 0134.) and 18 developed anti-PF4/heparin antibodies (12/173 for </w:t>
      </w:r>
      <w:r w:rsidR="00AE7BE1" w:rsidRPr="00DF51BA">
        <w:rPr>
          <w:rFonts w:ascii="Book Antiqua" w:eastAsia="Book Antiqua" w:hAnsi="Book Antiqua" w:cs="Book Antiqua"/>
          <w:color w:val="000000" w:themeColor="text1"/>
        </w:rPr>
        <w:t>low-molecular-weight</w:t>
      </w:r>
      <w:r w:rsidR="00E96C5B" w:rsidRPr="00DF51BA">
        <w:rPr>
          <w:rFonts w:ascii="Book Antiqua" w:eastAsia="Book Antiqua" w:hAnsi="Book Antiqua" w:cs="Book Antiqua"/>
          <w:color w:val="000000" w:themeColor="text1"/>
        </w:rPr>
        <w:t xml:space="preserve"> </w:t>
      </w:r>
      <w:r w:rsidR="00AE7BE1" w:rsidRPr="00DF51BA">
        <w:rPr>
          <w:rFonts w:ascii="Book Antiqua" w:eastAsia="Book Antiqua" w:hAnsi="Book Antiqua" w:cs="Book Antiqua"/>
          <w:color w:val="000000" w:themeColor="text1"/>
        </w:rPr>
        <w:t>heparins</w:t>
      </w:r>
      <w:r w:rsidRPr="00DF51BA">
        <w:rPr>
          <w:rFonts w:ascii="Book Antiqua" w:eastAsia="Book Antiqua" w:hAnsi="Book Antiqua" w:cs="Book Antiqua"/>
          <w:color w:val="000000" w:themeColor="text1"/>
        </w:rPr>
        <w:t xml:space="preserve"> and 6/23 for fondaparinux; significant correlation between anticoagulant type and appearance of </w:t>
      </w:r>
      <w:r w:rsidRPr="00DF51BA">
        <w:rPr>
          <w:rFonts w:ascii="Book Antiqua" w:eastAsia="Book Antiqua" w:hAnsi="Book Antiqua" w:cs="Book Antiqua"/>
          <w:color w:val="000000" w:themeColor="text1"/>
        </w:rPr>
        <w:lastRenderedPageBreak/>
        <w:t xml:space="preserve">antibodies, </w:t>
      </w:r>
      <w:r w:rsidRPr="00DF51BA">
        <w:rPr>
          <w:rFonts w:ascii="Book Antiqua" w:eastAsia="Book Antiqua" w:hAnsi="Book Antiqua" w:cs="Book Antiqua"/>
          <w:i/>
          <w:iCs/>
          <w:color w:val="000000" w:themeColor="text1"/>
        </w:rPr>
        <w:t>P</w:t>
      </w:r>
      <w:r w:rsidRPr="00DF51BA">
        <w:rPr>
          <w:rFonts w:ascii="Book Antiqua" w:eastAsia="Book Antiqua" w:hAnsi="Book Antiqua" w:cs="Book Antiqua"/>
          <w:color w:val="000000" w:themeColor="text1"/>
        </w:rPr>
        <w:t xml:space="preserve"> = 0.005). Odds of antibody emergence: 8.2% greater in patients receiving fondaparinux than</w:t>
      </w:r>
      <w:r w:rsidR="00AE7BE1" w:rsidRPr="00DF51BA">
        <w:rPr>
          <w:rFonts w:ascii="Book Antiqua" w:eastAsia="Book Antiqua" w:hAnsi="Book Antiqua" w:cs="Book Antiqua"/>
          <w:color w:val="000000" w:themeColor="text1"/>
        </w:rPr>
        <w:t xml:space="preserve"> low-molecular-weight</w:t>
      </w:r>
      <w:r w:rsidR="00E96C5B" w:rsidRPr="00DF51BA">
        <w:rPr>
          <w:rFonts w:ascii="Book Antiqua" w:eastAsia="Book Antiqua" w:hAnsi="Book Antiqua" w:cs="Book Antiqua"/>
          <w:color w:val="000000" w:themeColor="text1"/>
        </w:rPr>
        <w:t xml:space="preserve"> </w:t>
      </w:r>
      <w:r w:rsidR="00AE7BE1" w:rsidRPr="00DF51BA">
        <w:rPr>
          <w:rFonts w:ascii="Book Antiqua" w:eastAsia="Book Antiqua" w:hAnsi="Book Antiqua" w:cs="Book Antiqua"/>
          <w:color w:val="000000" w:themeColor="text1"/>
        </w:rPr>
        <w:t>heparins</w:t>
      </w:r>
      <w:r w:rsidRPr="00DF51BA">
        <w:rPr>
          <w:rFonts w:ascii="Book Antiqua" w:eastAsia="Book Antiqua" w:hAnsi="Book Antiqua" w:cs="Book Antiqua"/>
          <w:color w:val="000000" w:themeColor="text1"/>
        </w:rPr>
        <w:t xml:space="preserve">. </w:t>
      </w:r>
      <w:r w:rsidR="00AE7BE1" w:rsidRPr="00DF51BA">
        <w:rPr>
          <w:rFonts w:ascii="Book Antiqua" w:eastAsia="Book Antiqua" w:hAnsi="Book Antiqua" w:cs="Book Antiqua"/>
          <w:color w:val="000000" w:themeColor="text1"/>
        </w:rPr>
        <w:t xml:space="preserve">Gene mutations in </w:t>
      </w:r>
      <w:r w:rsidRPr="00DF51BA">
        <w:rPr>
          <w:rFonts w:ascii="Book Antiqua" w:eastAsia="Book Antiqua" w:hAnsi="Book Antiqua" w:cs="Book Antiqua"/>
          <w:color w:val="000000" w:themeColor="text1"/>
        </w:rPr>
        <w:t>factor II or V (two heterozygotes for both factor V and II)</w:t>
      </w:r>
      <w:r w:rsidR="00AE7BE1" w:rsidRPr="00DF51BA">
        <w:rPr>
          <w:rFonts w:ascii="Book Antiqua" w:eastAsia="Book Antiqua" w:hAnsi="Book Antiqua" w:cs="Book Antiqua"/>
          <w:color w:val="000000" w:themeColor="text1"/>
        </w:rPr>
        <w:t xml:space="preserve"> were identified in 15 of 196 patients</w:t>
      </w:r>
      <w:r w:rsidRPr="00DF51BA">
        <w:rPr>
          <w:rFonts w:ascii="Book Antiqua" w:eastAsia="Book Antiqua" w:hAnsi="Book Antiqua" w:cs="Book Antiqua"/>
          <w:color w:val="000000" w:themeColor="text1"/>
        </w:rPr>
        <w:t xml:space="preserve">. </w:t>
      </w:r>
      <w:r w:rsidR="00AE7BE1" w:rsidRPr="00DF51BA">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bnormal low protein C and/or S levels</w:t>
      </w:r>
      <w:r w:rsidR="00AE7BE1" w:rsidRPr="00DF51BA">
        <w:rPr>
          <w:rFonts w:ascii="Book Antiqua" w:eastAsia="Book Antiqua" w:hAnsi="Book Antiqua" w:cs="Book Antiqua"/>
          <w:color w:val="000000" w:themeColor="text1"/>
        </w:rPr>
        <w:t xml:space="preserve"> were found in 3 of 196 (1.5%) patients</w:t>
      </w:r>
      <w:r w:rsidRPr="00DF51BA">
        <w:rPr>
          <w:rFonts w:ascii="Book Antiqua" w:eastAsia="Book Antiqua" w:hAnsi="Book Antiqua" w:cs="Book Antiqua"/>
          <w:color w:val="000000" w:themeColor="text1"/>
        </w:rPr>
        <w:t xml:space="preserve">, while all patients had normal levels of </w:t>
      </w:r>
      <w:r w:rsidR="00D43F1B" w:rsidRPr="00DF51BA">
        <w:rPr>
          <w:rFonts w:ascii="Book Antiqua" w:eastAsia="Book Antiqua" w:hAnsi="Book Antiqua" w:cs="Book Antiqua"/>
          <w:color w:val="000000" w:themeColor="text1"/>
        </w:rPr>
        <w:t>von Willebrand factor</w:t>
      </w:r>
      <w:r w:rsidRPr="00DF51BA">
        <w:rPr>
          <w:rFonts w:ascii="Book Antiqua" w:eastAsia="Book Antiqua" w:hAnsi="Book Antiqua" w:cs="Book Antiqua"/>
          <w:color w:val="000000" w:themeColor="text1"/>
        </w:rPr>
        <w:t xml:space="preserve">, </w:t>
      </w:r>
      <w:r w:rsidR="00D43F1B" w:rsidRPr="00DF51BA">
        <w:rPr>
          <w:rFonts w:ascii="Book Antiqua" w:eastAsia="Book Antiqua" w:hAnsi="Book Antiqua" w:cs="Book Antiqua"/>
          <w:color w:val="000000" w:themeColor="text1"/>
        </w:rPr>
        <w:t>lupus anticoagulant,</w:t>
      </w:r>
      <w:r w:rsidRPr="00DF51BA">
        <w:rPr>
          <w:rFonts w:ascii="Book Antiqua" w:eastAsia="Book Antiqua" w:hAnsi="Book Antiqua" w:cs="Book Antiqua"/>
          <w:color w:val="000000" w:themeColor="text1"/>
        </w:rPr>
        <w:t xml:space="preserve"> and </w:t>
      </w:r>
      <w:r w:rsidR="000420BE" w:rsidRPr="00DF51BA">
        <w:rPr>
          <w:rFonts w:ascii="Book Antiqua" w:eastAsia="Book Antiqua" w:hAnsi="Book Antiqua" w:cs="Book Antiqua"/>
          <w:color w:val="000000" w:themeColor="text1"/>
        </w:rPr>
        <w:t>antithrombin III</w:t>
      </w:r>
      <w:r w:rsidRPr="00DF51BA">
        <w:rPr>
          <w:rFonts w:ascii="Book Antiqua" w:eastAsia="Book Antiqua" w:hAnsi="Book Antiqua" w:cs="Book Antiqua"/>
          <w:color w:val="000000" w:themeColor="text1"/>
        </w:rPr>
        <w:t xml:space="preserve">. Four patients developed HIT (insignificant correlation between thrombocytopenia and antibodies) and five developed thrombosis </w:t>
      </w:r>
      <w:r w:rsidR="00D43F1B"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wo had positive antibodies and two were heterozygotes for both factor II</w:t>
      </w:r>
      <w:r w:rsidR="005A7D3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&amp;</w:t>
      </w:r>
      <w:r w:rsidR="005A7D3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V mutations</w:t>
      </w:r>
      <w:r w:rsidR="00D43F1B"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Thrombosis was not significantly correlated to platelet counts or HIT. The correlation of thrombosis to antibodies, factor II, factor V was </w:t>
      </w:r>
      <w:r w:rsidRPr="00DF51BA">
        <w:rPr>
          <w:rFonts w:ascii="Book Antiqua" w:eastAsia="Book Antiqua" w:hAnsi="Book Antiqua" w:cs="Book Antiqua"/>
          <w:i/>
          <w:iCs/>
          <w:color w:val="000000" w:themeColor="text1"/>
        </w:rPr>
        <w:t>P</w:t>
      </w:r>
      <w:r w:rsidRPr="00DF51BA">
        <w:rPr>
          <w:rFonts w:ascii="Book Antiqua" w:eastAsia="Book Antiqua" w:hAnsi="Book Antiqua" w:cs="Book Antiqua"/>
          <w:color w:val="000000" w:themeColor="text1"/>
        </w:rPr>
        <w:t xml:space="preserve"> = 0.076, </w:t>
      </w:r>
      <w:r w:rsidRPr="00DF51BA">
        <w:rPr>
          <w:rFonts w:ascii="Book Antiqua" w:eastAsia="Book Antiqua" w:hAnsi="Book Antiqua" w:cs="Book Antiqua"/>
          <w:i/>
          <w:iCs/>
          <w:color w:val="000000" w:themeColor="text1"/>
        </w:rPr>
        <w:t>P</w:t>
      </w:r>
      <w:r w:rsidRPr="00DF51BA">
        <w:rPr>
          <w:rFonts w:ascii="Book Antiqua" w:eastAsia="Book Antiqua" w:hAnsi="Book Antiqua" w:cs="Book Antiqua"/>
          <w:color w:val="000000" w:themeColor="text1"/>
        </w:rPr>
        <w:t xml:space="preserve"> = 0.043, </w:t>
      </w:r>
      <w:r w:rsidRPr="00DF51BA">
        <w:rPr>
          <w:rFonts w:ascii="Book Antiqua" w:eastAsia="Book Antiqua" w:hAnsi="Book Antiqua" w:cs="Book Antiqua"/>
          <w:i/>
          <w:iCs/>
          <w:color w:val="000000" w:themeColor="text1"/>
        </w:rPr>
        <w:t>P</w:t>
      </w:r>
      <w:r w:rsidRPr="00DF51BA">
        <w:rPr>
          <w:rFonts w:ascii="Book Antiqua" w:eastAsia="Book Antiqua" w:hAnsi="Book Antiqua" w:cs="Book Antiqua"/>
          <w:color w:val="000000" w:themeColor="text1"/>
        </w:rPr>
        <w:t xml:space="preserve"> = 0.013</w:t>
      </w:r>
      <w:r w:rsidR="00D43F1B" w:rsidRPr="00DF51BA">
        <w:rPr>
          <w:rFonts w:ascii="Book Antiqua" w:eastAsia="Book Antiqua" w:hAnsi="Book Antiqua" w:cs="Book Antiqua"/>
          <w:color w:val="000000" w:themeColor="text1"/>
        </w:rPr>
        <w:t>, respectively</w:t>
      </w:r>
      <w:r w:rsidRPr="00DF51BA">
        <w:rPr>
          <w:rFonts w:ascii="Book Antiqua" w:eastAsia="Book Antiqua" w:hAnsi="Book Antiqua" w:cs="Book Antiqua"/>
          <w:color w:val="000000" w:themeColor="text1"/>
        </w:rPr>
        <w: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CONCLUSION</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Screening of coagulation profile, instead of</w:t>
      </w:r>
      <w:r w:rsidR="008F23A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platelet</w:t>
      </w:r>
      <w:r w:rsidR="00D43F1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monitoring, is probably the safest way to minimize the risk of post-arthroplasty thrombosis. In addition, fondaparinux can lead to the formation of anti-PF4/heparin antibodies or HIT.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Key words: </w:t>
      </w:r>
      <w:r w:rsidRPr="00DF51BA">
        <w:rPr>
          <w:rFonts w:ascii="Book Antiqua" w:eastAsia="Book Antiqua" w:hAnsi="Book Antiqua" w:cs="Book Antiqua"/>
          <w:color w:val="000000" w:themeColor="text1"/>
        </w:rPr>
        <w:t>Arthroplasty; Thrombosis; Heparin-induced thrombocytopenia; Coagulation factors; Low-molecular-weight</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heparin; Fondaparinux</w:t>
      </w:r>
    </w:p>
    <w:p w:rsidR="00A77B3E" w:rsidRPr="00DF51BA" w:rsidRDefault="00A77B3E" w:rsidP="00DF51BA">
      <w:pPr>
        <w:snapToGrid w:val="0"/>
        <w:spacing w:line="360" w:lineRule="auto"/>
        <w:jc w:val="both"/>
        <w:rPr>
          <w:rFonts w:ascii="Book Antiqua" w:hAnsi="Book Antiqua"/>
          <w:color w:val="000000" w:themeColor="text1"/>
        </w:rPr>
      </w:pPr>
    </w:p>
    <w:p w:rsidR="00383737" w:rsidRPr="00DF51BA" w:rsidRDefault="008D175F" w:rsidP="00383737">
      <w:pPr>
        <w:snapToGrid w:val="0"/>
        <w:spacing w:line="360" w:lineRule="auto"/>
        <w:rPr>
          <w:rFonts w:ascii="Book Antiqua" w:hAnsi="Book Antiqua"/>
          <w:color w:val="000000" w:themeColor="text1"/>
        </w:rPr>
      </w:pPr>
      <w:r w:rsidRPr="00DF51BA">
        <w:rPr>
          <w:rFonts w:ascii="Book Antiqua" w:eastAsia="Book Antiqua" w:hAnsi="Book Antiqua" w:cs="Book Antiqua"/>
          <w:color w:val="000000" w:themeColor="text1"/>
        </w:rPr>
        <w:t xml:space="preserve">Dailiana ZH, Stefanou N, Varitimids S, Rigopoulos N, Dimitroulias A, Karachalios T, Malizos KN, Kyriakou D, Kollia P. Factors predisposing to thrombosis after major joint arthroplasty. </w:t>
      </w:r>
      <w:r w:rsidRPr="00DF51BA">
        <w:rPr>
          <w:rFonts w:ascii="Book Antiqua" w:eastAsia="Book Antiqua" w:hAnsi="Book Antiqua" w:cs="Book Antiqua"/>
          <w:i/>
          <w:iCs/>
          <w:color w:val="000000" w:themeColor="text1"/>
        </w:rPr>
        <w:t>World J Orthop</w:t>
      </w:r>
      <w:r w:rsidRPr="00DF51BA">
        <w:rPr>
          <w:rFonts w:ascii="Book Antiqua" w:eastAsia="Book Antiqua" w:hAnsi="Book Antiqua" w:cs="Book Antiqua"/>
          <w:color w:val="000000" w:themeColor="text1"/>
        </w:rPr>
        <w:t xml:space="preserve"> 2020; </w:t>
      </w:r>
      <w:r w:rsidR="00C01329" w:rsidRPr="00C01329">
        <w:rPr>
          <w:rFonts w:ascii="Book Antiqua" w:eastAsia="Book Antiqua" w:hAnsi="Book Antiqua" w:cs="Book Antiqua"/>
          <w:color w:val="000000" w:themeColor="text1"/>
        </w:rPr>
        <w:t xml:space="preserve">11(9): </w:t>
      </w:r>
      <w:r w:rsidR="00383737">
        <w:rPr>
          <w:rFonts w:ascii="Book Antiqua" w:hAnsi="Book Antiqua" w:cs="Book Antiqua" w:hint="eastAsia"/>
          <w:color w:val="000000" w:themeColor="text1"/>
        </w:rPr>
        <w:t>400-410</w:t>
      </w:r>
      <w:r w:rsidR="00383737" w:rsidRPr="00C01329">
        <w:rPr>
          <w:rFonts w:ascii="Book Antiqua" w:eastAsia="Book Antiqua" w:hAnsi="Book Antiqua" w:cs="Book Antiqua"/>
          <w:color w:val="000000" w:themeColor="text1"/>
        </w:rPr>
        <w:t xml:space="preserve"> URL: https://www.wjgnet.com/2218-5836/full/v11/i9/</w:t>
      </w:r>
      <w:r w:rsidR="00383737">
        <w:rPr>
          <w:rFonts w:ascii="Book Antiqua" w:hAnsi="Book Antiqua" w:cs="Book Antiqua" w:hint="eastAsia"/>
          <w:color w:val="000000" w:themeColor="text1"/>
        </w:rPr>
        <w:t>4</w:t>
      </w:r>
      <w:r w:rsidR="00383737" w:rsidRPr="00C01329">
        <w:rPr>
          <w:rFonts w:ascii="Book Antiqua" w:eastAsia="Book Antiqua" w:hAnsi="Book Antiqua" w:cs="Book Antiqua"/>
          <w:color w:val="000000" w:themeColor="text1"/>
        </w:rPr>
        <w:t>00.htm DOI: https://dx.doi.org/10.5312/wjo.v11.i9.</w:t>
      </w:r>
      <w:r w:rsidR="00383737">
        <w:rPr>
          <w:rFonts w:ascii="Book Antiqua" w:hAnsi="Book Antiqua" w:cs="Book Antiqua" w:hint="eastAsia"/>
          <w:color w:val="000000" w:themeColor="text1"/>
        </w:rPr>
        <w:t>4</w:t>
      </w:r>
      <w:r w:rsidR="00383737" w:rsidRPr="00C01329">
        <w:rPr>
          <w:rFonts w:ascii="Book Antiqua" w:eastAsia="Book Antiqua" w:hAnsi="Book Antiqua" w:cs="Book Antiqua"/>
          <w:color w:val="000000" w:themeColor="text1"/>
        </w:rPr>
        <w:t>00</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Core tip: </w:t>
      </w:r>
      <w:r w:rsidRPr="00DF51BA">
        <w:rPr>
          <w:rFonts w:ascii="Book Antiqua" w:eastAsia="Book Antiqua" w:hAnsi="Book Antiqua" w:cs="Book Antiqua"/>
          <w:color w:val="000000" w:themeColor="text1"/>
        </w:rPr>
        <w:t>This prospective study evaluate</w:t>
      </w:r>
      <w:r w:rsidR="00C23E3A" w:rsidRPr="00DF51BA">
        <w:rPr>
          <w:rFonts w:ascii="Book Antiqua" w:eastAsia="Book Antiqua" w:hAnsi="Book Antiqua" w:cs="Book Antiqua"/>
          <w:color w:val="000000" w:themeColor="text1"/>
        </w:rPr>
        <w:t>d</w:t>
      </w:r>
      <w:r w:rsidRPr="00DF51BA">
        <w:rPr>
          <w:rFonts w:ascii="Book Antiqua" w:eastAsia="Book Antiqua" w:hAnsi="Book Antiqua" w:cs="Book Antiqua"/>
          <w:color w:val="000000" w:themeColor="text1"/>
        </w:rPr>
        <w:t xml:space="preserve"> the impact of genetic profile</w:t>
      </w:r>
      <w:r w:rsidR="00E96C5B"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xml:space="preserve"> of patients</w:t>
      </w:r>
      <w:r w:rsidR="008B5A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and</w:t>
      </w:r>
      <w:r w:rsidR="008B5A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pharmacologic factors on the development of thrombosis after lower limb arthroplasty. Thrombosis was related to the development of anti-</w:t>
      </w:r>
      <w:r w:rsidR="00C23E3A" w:rsidRPr="00DF51BA">
        <w:rPr>
          <w:rFonts w:ascii="Book Antiqua" w:eastAsia="Book Antiqua" w:hAnsi="Book Antiqua" w:cs="Book Antiqua"/>
          <w:color w:val="000000" w:themeColor="text1"/>
        </w:rPr>
        <w:t>platelet factor 4</w:t>
      </w:r>
      <w:r w:rsidRPr="00DF51BA">
        <w:rPr>
          <w:rFonts w:ascii="Book Antiqua" w:eastAsia="Book Antiqua" w:hAnsi="Book Antiqua" w:cs="Book Antiqua"/>
          <w:color w:val="000000" w:themeColor="text1"/>
        </w:rPr>
        <w:t>/heparin antibodies</w:t>
      </w:r>
      <w:r w:rsidR="00E96C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and was correlated significantly to factor II and V mutations.</w:t>
      </w:r>
      <w:r w:rsidR="00CB081C"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Thus, screening of coagulation profile preoperatively could minimize the risk of post-arthroplasty </w:t>
      </w:r>
      <w:r w:rsidRPr="00DF51BA">
        <w:rPr>
          <w:rFonts w:ascii="Book Antiqua" w:eastAsia="Book Antiqua" w:hAnsi="Book Antiqua" w:cs="Book Antiqua"/>
          <w:color w:val="000000" w:themeColor="text1"/>
        </w:rPr>
        <w:lastRenderedPageBreak/>
        <w:t>thrombosis. Platelet monitoring does not uncover all cases of anti-</w:t>
      </w:r>
      <w:r w:rsidR="00C23E3A" w:rsidRPr="00DF51BA">
        <w:rPr>
          <w:rFonts w:ascii="Book Antiqua" w:eastAsia="Book Antiqua" w:hAnsi="Book Antiqua" w:cs="Book Antiqua"/>
          <w:color w:val="000000" w:themeColor="text1"/>
        </w:rPr>
        <w:t>platelet factor 4</w:t>
      </w:r>
      <w:r w:rsidRPr="00DF51BA">
        <w:rPr>
          <w:rFonts w:ascii="Book Antiqua" w:eastAsia="Book Antiqua" w:hAnsi="Book Antiqua" w:cs="Book Antiqua"/>
          <w:color w:val="000000" w:themeColor="text1"/>
        </w:rPr>
        <w:t>/heparin antibod</w:t>
      </w:r>
      <w:r w:rsidR="00E96C5B" w:rsidRPr="00DF51BA">
        <w:rPr>
          <w:rFonts w:ascii="Book Antiqua" w:eastAsia="Book Antiqua" w:hAnsi="Book Antiqua" w:cs="Book Antiqua"/>
          <w:color w:val="000000" w:themeColor="text1"/>
        </w:rPr>
        <w:t xml:space="preserve">y </w:t>
      </w:r>
      <w:r w:rsidRPr="00DF51BA">
        <w:rPr>
          <w:rFonts w:ascii="Book Antiqua" w:eastAsia="Book Antiqua" w:hAnsi="Book Antiqua" w:cs="Book Antiqua"/>
          <w:color w:val="000000" w:themeColor="text1"/>
        </w:rPr>
        <w:t>formation, while antibody</w:t>
      </w:r>
      <w:r w:rsidR="00E96C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monitoring postanticoagulant administration is probably unnecessary. Fondaparinux can lead to the formation of anti-</w:t>
      </w:r>
      <w:r w:rsidR="00C23E3A" w:rsidRPr="00DF51BA">
        <w:rPr>
          <w:rFonts w:ascii="Book Antiqua" w:eastAsia="Book Antiqua" w:hAnsi="Book Antiqua" w:cs="Book Antiqua"/>
          <w:color w:val="000000" w:themeColor="text1"/>
        </w:rPr>
        <w:t>platelet factor 4</w:t>
      </w:r>
      <w:r w:rsidRPr="00DF51BA">
        <w:rPr>
          <w:rFonts w:ascii="Book Antiqua" w:eastAsia="Book Antiqua" w:hAnsi="Book Antiqua" w:cs="Book Antiqua"/>
          <w:color w:val="000000" w:themeColor="text1"/>
        </w:rPr>
        <w:t xml:space="preserve">/heparin antibodies and may cause </w:t>
      </w:r>
      <w:r w:rsidR="00E96C5B" w:rsidRPr="00DF51BA">
        <w:rPr>
          <w:rFonts w:ascii="Book Antiqua" w:eastAsia="Book Antiqua" w:hAnsi="Book Antiqua" w:cs="Book Antiqua"/>
          <w:color w:val="000000" w:themeColor="text1"/>
        </w:rPr>
        <w:t>heparin-induced thrombocytopenia</w:t>
      </w:r>
      <w:r w:rsidRPr="00DF51BA">
        <w:rPr>
          <w:rFonts w:ascii="Book Antiqua" w:eastAsia="Book Antiqua" w:hAnsi="Book Antiqua" w:cs="Book Antiqua"/>
          <w:color w:val="000000" w:themeColor="text1"/>
        </w:rPr>
        <w:t>.</w:t>
      </w:r>
    </w:p>
    <w:p w:rsidR="00A77B3E" w:rsidRPr="00DF51BA" w:rsidRDefault="00A77B3E" w:rsidP="00DF51BA">
      <w:pPr>
        <w:snapToGrid w:val="0"/>
        <w:spacing w:line="360" w:lineRule="auto"/>
        <w:jc w:val="both"/>
        <w:rPr>
          <w:rFonts w:ascii="Book Antiqua" w:hAnsi="Book Antiqua"/>
          <w:color w:val="000000" w:themeColor="text1"/>
        </w:rPr>
      </w:pPr>
    </w:p>
    <w:p w:rsidR="00D43F1B" w:rsidRPr="00DF51BA" w:rsidRDefault="00D43F1B" w:rsidP="00DF51BA">
      <w:pPr>
        <w:snapToGrid w:val="0"/>
        <w:spacing w:line="360" w:lineRule="auto"/>
        <w:rPr>
          <w:rFonts w:ascii="Book Antiqua" w:eastAsia="Book Antiqua" w:hAnsi="Book Antiqua" w:cs="Book Antiqua"/>
          <w:b/>
          <w:color w:val="000000" w:themeColor="text1"/>
          <w:u w:val="single"/>
        </w:rPr>
      </w:pPr>
      <w:r w:rsidRPr="00DF51BA">
        <w:rPr>
          <w:rFonts w:ascii="Book Antiqua" w:eastAsia="Book Antiqua" w:hAnsi="Book Antiqua" w:cs="Book Antiqua"/>
          <w:b/>
          <w:color w:val="000000" w:themeColor="text1"/>
          <w:u w:val="single"/>
        </w:rPr>
        <w:br w:type="page"/>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lastRenderedPageBreak/>
        <w:t>INTRODUCTION</w:t>
      </w:r>
    </w:p>
    <w:p w:rsidR="00F43A34" w:rsidRPr="00DF51BA" w:rsidRDefault="00F43A34" w:rsidP="00DF51BA">
      <w:pPr>
        <w:snapToGrid w:val="0"/>
        <w:spacing w:line="360" w:lineRule="auto"/>
        <w:jc w:val="both"/>
        <w:rPr>
          <w:rFonts w:ascii="Book Antiqua" w:hAnsi="Book Antiqua"/>
          <w:lang w:eastAsia="zh-CN"/>
        </w:rPr>
      </w:pPr>
      <w:r w:rsidRPr="00DF51BA">
        <w:rPr>
          <w:rFonts w:ascii="Book Antiqua" w:hAnsi="Book Antiqua"/>
        </w:rPr>
        <w:t>Venous thromboembolism, representing one of the major complications after total joint arthroplasty</w:t>
      </w:r>
      <w:r w:rsidR="00814961" w:rsidRPr="00DF51BA">
        <w:rPr>
          <w:rFonts w:ascii="Book Antiqua" w:hAnsi="Book Antiqua"/>
          <w:lang w:eastAsia="zh-CN"/>
        </w:rPr>
        <w:t xml:space="preserve"> </w:t>
      </w:r>
      <w:r w:rsidRPr="00DF51BA">
        <w:rPr>
          <w:rFonts w:ascii="Book Antiqua" w:hAnsi="Book Antiqua"/>
        </w:rPr>
        <w:t>(TJA)</w:t>
      </w:r>
      <w:r w:rsidR="00814961" w:rsidRPr="00DF51BA">
        <w:rPr>
          <w:rFonts w:ascii="Book Antiqua" w:hAnsi="Book Antiqua"/>
          <w:lang w:eastAsia="zh-CN"/>
        </w:rPr>
        <w:t xml:space="preserve"> </w:t>
      </w:r>
      <w:r w:rsidRPr="00DF51BA">
        <w:rPr>
          <w:rFonts w:ascii="Book Antiqua" w:hAnsi="Book Antiqua"/>
        </w:rPr>
        <w:t>procedures, is related to morbidity and mortality during the perioperative period</w:t>
      </w:r>
      <w:r w:rsidRPr="00DF51BA">
        <w:rPr>
          <w:rFonts w:ascii="Book Antiqua" w:hAnsi="Book Antiqua"/>
          <w:shd w:val="clear" w:color="auto" w:fill="FFFFFF"/>
          <w:vertAlign w:val="superscript"/>
        </w:rPr>
        <w:t>[1]</w:t>
      </w:r>
      <w:r w:rsidRPr="00DF51BA">
        <w:rPr>
          <w:rFonts w:ascii="Book Antiqua" w:hAnsi="Book Antiqua"/>
        </w:rPr>
        <w:t>.</w:t>
      </w:r>
      <w:r w:rsidR="00814961" w:rsidRPr="00DF51BA">
        <w:rPr>
          <w:rFonts w:ascii="Book Antiqua" w:hAnsi="Book Antiqua"/>
          <w:lang w:eastAsia="zh-CN"/>
        </w:rPr>
        <w:t xml:space="preserve"> </w:t>
      </w:r>
      <w:r w:rsidRPr="00DF51BA">
        <w:rPr>
          <w:rFonts w:ascii="Book Antiqua" w:hAnsi="Book Antiqua"/>
        </w:rPr>
        <w:t>Deep vein thrombosis (DVT) can easily develop into pulmonary embolism (PE), leading to cardiopulmonary dysfunction and death. The incidence of DVT when no prophylaxis is administered is 42</w:t>
      </w:r>
      <w:r w:rsidR="00F67514" w:rsidRPr="00DF51BA">
        <w:rPr>
          <w:rFonts w:ascii="Book Antiqua" w:hAnsi="Book Antiqua"/>
        </w:rPr>
        <w:t>%</w:t>
      </w:r>
      <w:r w:rsidRPr="00DF51BA">
        <w:rPr>
          <w:rFonts w:ascii="Book Antiqua" w:hAnsi="Book Antiqua"/>
        </w:rPr>
        <w:t>-57% for total hip arthroplasty (THA) and 41</w:t>
      </w:r>
      <w:r w:rsidR="00FC1A0B" w:rsidRPr="00DF51BA">
        <w:rPr>
          <w:rFonts w:ascii="Book Antiqua" w:hAnsi="Book Antiqua"/>
        </w:rPr>
        <w:t>%</w:t>
      </w:r>
      <w:r w:rsidRPr="00DF51BA">
        <w:rPr>
          <w:rFonts w:ascii="Book Antiqua" w:hAnsi="Book Antiqua"/>
        </w:rPr>
        <w:t>-85% for total knee arthroplasty (TKA)</w:t>
      </w:r>
      <w:r w:rsidRPr="00DF51BA">
        <w:rPr>
          <w:rFonts w:ascii="Book Antiqua" w:hAnsi="Book Antiqua"/>
          <w:shd w:val="clear" w:color="auto" w:fill="FFFFFF"/>
          <w:vertAlign w:val="superscript"/>
        </w:rPr>
        <w:t>[2]</w:t>
      </w:r>
      <w:r w:rsidRPr="00DF51BA">
        <w:rPr>
          <w:rFonts w:ascii="Book Antiqua" w:hAnsi="Book Antiqua"/>
        </w:rPr>
        <w:t>. An estimated baseline risk of symptomatic venous thromboembolism without prophylaxis after major orthopedic surgery is about 4.3%</w:t>
      </w:r>
      <w:r w:rsidRPr="00DF51BA">
        <w:rPr>
          <w:rFonts w:ascii="Book Antiqua" w:hAnsi="Book Antiqua"/>
          <w:shd w:val="clear" w:color="auto" w:fill="FFFFFF"/>
          <w:vertAlign w:val="superscript"/>
        </w:rPr>
        <w:t>[3]</w:t>
      </w:r>
      <w:r w:rsidRPr="00DF51BA">
        <w:rPr>
          <w:rFonts w:ascii="Book Antiqua" w:hAnsi="Book Antiqua"/>
        </w:rPr>
        <w:t>.</w:t>
      </w:r>
      <w:r w:rsidR="00673D8B" w:rsidRPr="00DF51BA">
        <w:rPr>
          <w:rFonts w:ascii="Book Antiqua" w:hAnsi="Book Antiqua"/>
          <w:lang w:eastAsia="zh-CN"/>
        </w:rPr>
        <w:t xml:space="preserve"> </w:t>
      </w:r>
      <w:r w:rsidRPr="00DF51BA">
        <w:rPr>
          <w:rFonts w:ascii="Book Antiqua" w:hAnsi="Book Antiqua"/>
        </w:rPr>
        <w:t>Apart from factors related to surgery and decreased mobility after major TJA</w:t>
      </w:r>
      <w:r w:rsidR="00EE3D41" w:rsidRPr="00DF51BA">
        <w:rPr>
          <w:rFonts w:ascii="Book Antiqua" w:hAnsi="Book Antiqua"/>
        </w:rPr>
        <w:t>,</w:t>
      </w:r>
      <w:r w:rsidRPr="00DF51BA">
        <w:rPr>
          <w:rFonts w:ascii="Book Antiqua" w:hAnsi="Book Antiqua"/>
        </w:rPr>
        <w:t xml:space="preserve"> there are many other well defined conditions that are associated with either a prothrombotic state or embolic phenomena, such as mutations or polymorphisms in genes that encode blood coagulation factors, metabolic syndrome</w:t>
      </w:r>
      <w:r w:rsidR="00EE3D41" w:rsidRPr="00DF51BA">
        <w:rPr>
          <w:rFonts w:ascii="Book Antiqua" w:hAnsi="Book Antiqua"/>
        </w:rPr>
        <w:t>,</w:t>
      </w:r>
      <w:r w:rsidRPr="00DF51BA">
        <w:rPr>
          <w:rFonts w:ascii="Book Antiqua" w:hAnsi="Book Antiqua"/>
        </w:rPr>
        <w:t xml:space="preserve"> or immune</w:t>
      </w:r>
      <w:r w:rsidR="00EE3D41" w:rsidRPr="00DF51BA">
        <w:rPr>
          <w:rFonts w:ascii="Book Antiqua" w:hAnsi="Book Antiqua"/>
        </w:rPr>
        <w:t xml:space="preserve"> </w:t>
      </w:r>
      <w:r w:rsidRPr="00DF51BA">
        <w:rPr>
          <w:rFonts w:ascii="Book Antiqua" w:hAnsi="Book Antiqua"/>
        </w:rPr>
        <w:t>reactions related to pharmacologic agents such as anticoagulants, which could lead to increased risk of venous thromboembolism and its consequences</w:t>
      </w:r>
      <w:r w:rsidRPr="00DF51BA">
        <w:rPr>
          <w:rFonts w:ascii="Book Antiqua" w:hAnsi="Book Antiqua"/>
          <w:shd w:val="clear" w:color="auto" w:fill="FFFFFF"/>
          <w:vertAlign w:val="superscript"/>
        </w:rPr>
        <w:t>[2,4]</w:t>
      </w:r>
      <w:r w:rsidRPr="00DF51BA">
        <w:rPr>
          <w:rFonts w:ascii="Book Antiqua" w:hAnsi="Book Antiqua"/>
        </w:rPr>
        <w:t>.</w:t>
      </w:r>
    </w:p>
    <w:p w:rsidR="00A77B3E" w:rsidRPr="00DF51BA" w:rsidRDefault="008D175F" w:rsidP="00DF51BA">
      <w:pPr>
        <w:snapToGrid w:val="0"/>
        <w:spacing w:line="360" w:lineRule="auto"/>
        <w:ind w:firstLineChars="200" w:firstLine="480"/>
        <w:jc w:val="both"/>
        <w:rPr>
          <w:rFonts w:ascii="Book Antiqua" w:hAnsi="Book Antiqua"/>
          <w:color w:val="000000" w:themeColor="text1"/>
        </w:rPr>
      </w:pPr>
      <w:r w:rsidRPr="00DF51BA">
        <w:rPr>
          <w:rFonts w:ascii="Book Antiqua" w:eastAsia="Book Antiqua" w:hAnsi="Book Antiqua" w:cs="Book Antiqua"/>
          <w:color w:val="000000" w:themeColor="text1"/>
        </w:rPr>
        <w:t>Anticoagulants have been found to reduce the risk of thromboembolic events after major orthopedic surgery by approximately 50</w:t>
      </w:r>
      <w:r w:rsidR="00955222" w:rsidRPr="00DF51BA">
        <w:rPr>
          <w:rFonts w:ascii="Book Antiqua" w:hAnsi="Book Antiqua"/>
        </w:rPr>
        <w:t>%</w:t>
      </w:r>
      <w:r w:rsidRPr="00DF51BA">
        <w:rPr>
          <w:rFonts w:ascii="Book Antiqua" w:eastAsia="Book Antiqua" w:hAnsi="Book Antiqua" w:cs="Book Antiqua"/>
          <w:color w:val="000000" w:themeColor="text1"/>
        </w:rPr>
        <w:t>-80% when used prophylactically</w:t>
      </w:r>
      <w:r w:rsidRPr="00DF51BA">
        <w:rPr>
          <w:rFonts w:ascii="Book Antiqua" w:eastAsia="Book Antiqua" w:hAnsi="Book Antiqua" w:cs="Book Antiqua"/>
          <w:bCs/>
          <w:color w:val="000000" w:themeColor="text1"/>
          <w:shd w:val="clear" w:color="auto" w:fill="FFFFFF"/>
          <w:vertAlign w:val="superscript"/>
        </w:rPr>
        <w:t>[5]</w:t>
      </w:r>
      <w:r w:rsidRPr="00DF51BA">
        <w:rPr>
          <w:rFonts w:ascii="Book Antiqua" w:eastAsia="Book Antiqua" w:hAnsi="Book Antiqua" w:cs="Book Antiqua"/>
          <w:color w:val="000000" w:themeColor="text1"/>
        </w:rPr>
        <w:t>. Heparin and heparin-derived pharmacologic agents,</w:t>
      </w:r>
      <w:r w:rsidR="00EE3D4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including unfractionated heparin (UFH), low</w:t>
      </w:r>
      <w:r w:rsidR="00EE3D4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molecular</w:t>
      </w:r>
      <w:r w:rsidR="00EE3D4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weight heparin (LMWH)</w:t>
      </w:r>
      <w:r w:rsidR="00EE3D4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occasionally fondaparinux, may stimulate</w:t>
      </w:r>
      <w:r w:rsidR="00EE3D4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heparin-induced thrombocytopenia (HIT), a prothrombotic adverse drug reaction that is caused by the transient production of platelet-activating antibodies of IgG class that recognize multimolecular complexes of platelet factor 4 (PF4) bound to heparin</w:t>
      </w:r>
      <w:r w:rsidRPr="00DF51BA">
        <w:rPr>
          <w:rFonts w:ascii="Book Antiqua" w:eastAsia="Book Antiqua" w:hAnsi="Book Antiqua" w:cs="Book Antiqua"/>
          <w:bCs/>
          <w:color w:val="000000" w:themeColor="text1"/>
          <w:shd w:val="clear" w:color="auto" w:fill="FFFFFF"/>
          <w:vertAlign w:val="superscript"/>
        </w:rPr>
        <w:t>[6,7,8]</w:t>
      </w:r>
      <w:r w:rsidRPr="00DF51BA">
        <w:rPr>
          <w:rFonts w:ascii="Book Antiqua" w:eastAsia="Book Antiqua" w:hAnsi="Book Antiqua" w:cs="Book Antiqua"/>
          <w:color w:val="000000" w:themeColor="text1"/>
        </w:rPr>
        <w:t>.</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The IgG/PF4/heparin complexes may enhance the alteration of endothelial cells, platelets</w:t>
      </w:r>
      <w:r w:rsidR="00A75DF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monocytes resulting in thrombin generation. Increased thrombin, and not thrombocytopenia, causes several clinical problems such as venous and arterial thrombosis, including the cerebral sinus or splanchnic vessels, pulmonary embolism, stroke, </w:t>
      </w:r>
      <w:r w:rsidR="00A75DF7" w:rsidRPr="00DF51BA">
        <w:rPr>
          <w:rFonts w:ascii="Book Antiqua" w:eastAsia="Book Antiqua" w:hAnsi="Book Antiqua" w:cs="Book Antiqua"/>
          <w:color w:val="000000" w:themeColor="text1"/>
        </w:rPr>
        <w:t xml:space="preserve">or </w:t>
      </w:r>
      <w:r w:rsidRPr="00DF51BA">
        <w:rPr>
          <w:rFonts w:ascii="Book Antiqua" w:eastAsia="Book Antiqua" w:hAnsi="Book Antiqua" w:cs="Book Antiqua"/>
          <w:color w:val="000000" w:themeColor="text1"/>
        </w:rPr>
        <w:t>myocardial or adrenal infraction with a mortality rate of 11.9% to 23.1%</w:t>
      </w:r>
      <w:r w:rsidRPr="00DF51BA">
        <w:rPr>
          <w:rFonts w:ascii="Book Antiqua" w:eastAsia="Book Antiqua" w:hAnsi="Book Antiqua" w:cs="Book Antiqua"/>
          <w:bCs/>
          <w:color w:val="000000" w:themeColor="text1"/>
          <w:shd w:val="clear" w:color="auto" w:fill="FFFFFF"/>
          <w:vertAlign w:val="superscript"/>
        </w:rPr>
        <w:t>[9,10,11]</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 xml:space="preserve">The risk for venous thromboembolism in patients undergoing major orthopedic surgery is strongly determined by individual factors such as demographics, </w:t>
      </w:r>
      <w:r w:rsidRPr="00DF51BA">
        <w:rPr>
          <w:rFonts w:ascii="Book Antiqua" w:eastAsia="Book Antiqua" w:hAnsi="Book Antiqua" w:cs="Book Antiqua"/>
          <w:color w:val="000000" w:themeColor="text1"/>
        </w:rPr>
        <w:lastRenderedPageBreak/>
        <w:t>comorbidities</w:t>
      </w:r>
      <w:r w:rsidR="00A75DF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medical history. Many studies have highlighted the role of varicose veins, congestive heart failure, female gender, age, hypertension, history of venous thromboembolism, cancer, diabetes, dyslipidemia, obesity, </w:t>
      </w:r>
      <w:r w:rsidR="00A75DF7" w:rsidRPr="00DF51BA">
        <w:rPr>
          <w:rFonts w:ascii="Book Antiqua" w:eastAsia="Book Antiqua" w:hAnsi="Book Antiqua" w:cs="Book Antiqua"/>
          <w:color w:val="000000" w:themeColor="text1"/>
        </w:rPr>
        <w:t>B</w:t>
      </w:r>
      <w:r w:rsidRPr="00DF51BA">
        <w:rPr>
          <w:rFonts w:ascii="Book Antiqua" w:eastAsia="Book Antiqua" w:hAnsi="Book Antiqua" w:cs="Book Antiqua"/>
          <w:color w:val="000000" w:themeColor="text1"/>
        </w:rPr>
        <w:t>lack race, TJA type (primary or revision), primary disease (osteoarthritis, rheumatoid ar</w:t>
      </w:r>
      <w:r w:rsidR="00A75DF7"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hritis)</w:t>
      </w:r>
      <w:r w:rsidR="00A75DF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duration of the procedure in an increased risk of</w:t>
      </w:r>
      <w:r w:rsidR="00955222"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DVT after TJA</w:t>
      </w:r>
      <w:r w:rsidRPr="00DF51BA">
        <w:rPr>
          <w:rFonts w:ascii="Book Antiqua" w:eastAsia="Book Antiqua" w:hAnsi="Book Antiqua" w:cs="Book Antiqua"/>
          <w:bCs/>
          <w:color w:val="000000" w:themeColor="text1"/>
          <w:shd w:val="clear" w:color="auto" w:fill="FFFFFF"/>
          <w:vertAlign w:val="superscript"/>
        </w:rPr>
        <w:t>[2,4,12]</w:t>
      </w:r>
      <w:r w:rsidRPr="00DF51BA">
        <w:rPr>
          <w:rFonts w:ascii="Book Antiqua" w:eastAsia="Book Antiqua" w:hAnsi="Book Antiqua" w:cs="Book Antiqua"/>
          <w:color w:val="000000" w:themeColor="text1"/>
        </w:rPr>
        <w:t xml:space="preserve">. Moreover, hypercoagulability, one of the three clinical conditions of the Virchow triad, has been related to several predisposing genetic risk factors and numerous candidate genes. </w:t>
      </w:r>
      <w:r w:rsidR="00E156E8"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he most prevalent molecular variants, mutations</w:t>
      </w:r>
      <w:r w:rsidR="00E156E8"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or polymorphisms causing venous thrombosis in </w:t>
      </w:r>
      <w:r w:rsidR="00E156E8" w:rsidRPr="00DF51BA">
        <w:rPr>
          <w:rFonts w:ascii="Book Antiqua" w:eastAsia="Book Antiqua" w:hAnsi="Book Antiqua" w:cs="Book Antiqua"/>
          <w:color w:val="000000" w:themeColor="text1"/>
        </w:rPr>
        <w:t xml:space="preserve">the </w:t>
      </w:r>
      <w:r w:rsidRPr="00DF51BA">
        <w:rPr>
          <w:rFonts w:ascii="Book Antiqua" w:eastAsia="Book Antiqua" w:hAnsi="Book Antiqua" w:cs="Book Antiqua"/>
          <w:color w:val="000000" w:themeColor="text1"/>
        </w:rPr>
        <w:t xml:space="preserve">Caucasian population are factor V Leiden (G1691A), </w:t>
      </w:r>
      <w:r w:rsidR="00E156E8" w:rsidRPr="00DF51BA">
        <w:rPr>
          <w:rFonts w:ascii="Book Antiqua" w:eastAsia="Book Antiqua" w:hAnsi="Book Antiqua" w:cs="Book Antiqua"/>
          <w:color w:val="000000" w:themeColor="text1"/>
        </w:rPr>
        <w:t>p</w:t>
      </w:r>
      <w:r w:rsidRPr="00DF51BA">
        <w:rPr>
          <w:rFonts w:ascii="Book Antiqua" w:eastAsia="Book Antiqua" w:hAnsi="Book Antiqua" w:cs="Book Antiqua"/>
          <w:color w:val="000000" w:themeColor="text1"/>
        </w:rPr>
        <w:t>rothrombin (</w:t>
      </w:r>
      <w:r w:rsidR="00E156E8" w:rsidRPr="00DF51BA">
        <w:rPr>
          <w:rFonts w:ascii="Book Antiqua" w:eastAsia="Book Antiqua" w:hAnsi="Book Antiqua" w:cs="Book Antiqua"/>
          <w:color w:val="000000" w:themeColor="text1"/>
        </w:rPr>
        <w:t>f</w:t>
      </w:r>
      <w:r w:rsidRPr="00DF51BA">
        <w:rPr>
          <w:rFonts w:ascii="Book Antiqua" w:eastAsia="Book Antiqua" w:hAnsi="Book Antiqua" w:cs="Book Antiqua"/>
          <w:color w:val="000000" w:themeColor="text1"/>
        </w:rPr>
        <w:t>actor II</w:t>
      </w:r>
      <w:r w:rsidR="00B72369"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G20210A) and </w:t>
      </w:r>
      <w:r w:rsidR="00E156E8" w:rsidRPr="00DF51BA">
        <w:rPr>
          <w:rFonts w:ascii="Book Antiqua" w:eastAsia="Book Antiqua" w:hAnsi="Book Antiqua" w:cs="Book Antiqua"/>
          <w:color w:val="000000" w:themeColor="text1"/>
        </w:rPr>
        <w:t>m</w:t>
      </w:r>
      <w:r w:rsidRPr="00DF51BA">
        <w:rPr>
          <w:rFonts w:ascii="Book Antiqua" w:eastAsia="Book Antiqua" w:hAnsi="Book Antiqua" w:cs="Book Antiqua"/>
          <w:color w:val="000000" w:themeColor="text1"/>
        </w:rPr>
        <w:t xml:space="preserve">ethylenetetrahydrofolate </w:t>
      </w:r>
      <w:r w:rsidR="00E156E8" w:rsidRPr="00DF51BA">
        <w:rPr>
          <w:rFonts w:ascii="Book Antiqua" w:eastAsia="Book Antiqua" w:hAnsi="Book Antiqua" w:cs="Book Antiqua"/>
          <w:color w:val="000000" w:themeColor="text1"/>
        </w:rPr>
        <w:t>r</w:t>
      </w:r>
      <w:r w:rsidRPr="00DF51BA">
        <w:rPr>
          <w:rFonts w:ascii="Book Antiqua" w:eastAsia="Book Antiqua" w:hAnsi="Book Antiqua" w:cs="Book Antiqua"/>
          <w:color w:val="000000" w:themeColor="text1"/>
        </w:rPr>
        <w:t>eductase (MTHFR/C677T)</w:t>
      </w:r>
      <w:r w:rsidRPr="00DF51BA">
        <w:rPr>
          <w:rFonts w:ascii="Book Antiqua" w:eastAsia="Book Antiqua" w:hAnsi="Book Antiqua" w:cs="Book Antiqua"/>
          <w:bCs/>
          <w:color w:val="000000" w:themeColor="text1"/>
          <w:shd w:val="clear" w:color="auto" w:fill="FFFFFF"/>
          <w:vertAlign w:val="superscript"/>
        </w:rPr>
        <w:t>[13,14]</w:t>
      </w:r>
      <w:r w:rsidRPr="00DF51BA">
        <w:rPr>
          <w:rFonts w:ascii="Book Antiqua" w:eastAsia="Book Antiqua" w:hAnsi="Book Antiqua" w:cs="Book Antiqua"/>
          <w:color w:val="000000" w:themeColor="text1"/>
        </w:rPr>
        <w:t>.</w:t>
      </w:r>
      <w:r w:rsidR="00CE0B77"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Factor V Leiden, which results in impaired inactivation of factor Va by activated protein C, is associated with a seven-fold increased risk of thrombosis</w:t>
      </w:r>
      <w:r w:rsidRPr="00DF51BA">
        <w:rPr>
          <w:rFonts w:ascii="Book Antiqua" w:eastAsia="Book Antiqua" w:hAnsi="Book Antiqua" w:cs="Book Antiqua"/>
          <w:bCs/>
          <w:color w:val="000000" w:themeColor="text1"/>
          <w:shd w:val="clear" w:color="auto" w:fill="FFFFFF"/>
          <w:vertAlign w:val="superscript"/>
        </w:rPr>
        <w:t>[15]</w:t>
      </w:r>
      <w:r w:rsidRPr="00DF51BA">
        <w:rPr>
          <w:rFonts w:ascii="Book Antiqua" w:eastAsia="Book Antiqua" w:hAnsi="Book Antiqua" w:cs="Book Antiqua"/>
          <w:color w:val="000000" w:themeColor="text1"/>
        </w:rPr>
        <w:t xml:space="preserve">. Additionally, </w:t>
      </w:r>
      <w:r w:rsidR="00E156E8" w:rsidRPr="00DF51BA">
        <w:rPr>
          <w:rFonts w:ascii="Book Antiqua" w:eastAsia="Book Antiqua" w:hAnsi="Book Antiqua" w:cs="Book Antiqua"/>
          <w:color w:val="000000" w:themeColor="text1"/>
        </w:rPr>
        <w:t>f</w:t>
      </w:r>
      <w:r w:rsidRPr="00DF51BA">
        <w:rPr>
          <w:rFonts w:ascii="Book Antiqua" w:eastAsia="Book Antiqua" w:hAnsi="Book Antiqua" w:cs="Book Antiqua"/>
          <w:color w:val="000000" w:themeColor="text1"/>
        </w:rPr>
        <w:t>actor II 20210G/A (</w:t>
      </w:r>
      <w:r w:rsidR="00E156E8" w:rsidRPr="00DF51BA">
        <w:rPr>
          <w:rFonts w:ascii="Book Antiqua" w:eastAsia="Book Antiqua" w:hAnsi="Book Antiqua" w:cs="Book Antiqua"/>
          <w:color w:val="000000" w:themeColor="text1"/>
        </w:rPr>
        <w:t>p</w:t>
      </w:r>
      <w:r w:rsidRPr="00DF51BA">
        <w:rPr>
          <w:rFonts w:ascii="Book Antiqua" w:eastAsia="Book Antiqua" w:hAnsi="Book Antiqua" w:cs="Book Antiqua"/>
          <w:color w:val="000000" w:themeColor="text1"/>
        </w:rPr>
        <w:t>rothrombin 20210) is a prothrombotic genetic risk factor, particularly in the presence of concomitant risk factors identified in 8</w:t>
      </w:r>
      <w:r w:rsidR="00955222" w:rsidRPr="00DF51BA">
        <w:rPr>
          <w:rFonts w:ascii="Book Antiqua" w:hAnsi="Book Antiqua"/>
        </w:rPr>
        <w:t>%</w:t>
      </w:r>
      <w:r w:rsidR="00955222"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10% of Caucasians with thrombotic events</w:t>
      </w:r>
      <w:r w:rsidRPr="00DF51BA">
        <w:rPr>
          <w:rFonts w:ascii="Book Antiqua" w:eastAsia="Book Antiqua" w:hAnsi="Book Antiqua" w:cs="Book Antiqua"/>
          <w:bCs/>
          <w:color w:val="000000" w:themeColor="text1"/>
          <w:shd w:val="clear" w:color="auto" w:fill="FFFFFF"/>
          <w:vertAlign w:val="superscript"/>
        </w:rPr>
        <w:t>[16]</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The aim of this prospective study is to evaluate the magnitude of individual genetic profile</w:t>
      </w:r>
      <w:r w:rsidR="005E197E"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xml:space="preserve"> and</w:t>
      </w:r>
      <w:r w:rsidR="005E197E"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adverse pharmacologic (anticoagulant immunologic) reactions activating platelets and causing thrombocytopenia in the development of thrombotic episodes among patients undergoing lower limb TJA. Furthermore, we intended to assess the impact of different types of anticoagulants on the hematologic profile and incidence of HIT and thromboembolism after TJA by selecting a strictly homogeneous patient sample without other well-defined predisposing factors for thrombotic events.</w:t>
      </w:r>
    </w:p>
    <w:p w:rsidR="00A77B3E" w:rsidRPr="00DF51BA" w:rsidRDefault="00A77B3E" w:rsidP="00DF51BA">
      <w:pPr>
        <w:snapToGrid w:val="0"/>
        <w:spacing w:line="360" w:lineRule="auto"/>
        <w:ind w:firstLine="426"/>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t>MATERIALS AND METHODS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In total, 212 (51</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male and 161 female) patients that underwent primary THA (100) or TKA (112) due to osteoarthritis</w:t>
      </w:r>
      <w:r w:rsidR="00382552"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during a period of </w:t>
      </w:r>
      <w:r w:rsidR="00E908DA">
        <w:rPr>
          <w:rFonts w:ascii="Book Antiqua" w:eastAsia="Book Antiqua" w:hAnsi="Book Antiqua" w:cs="Book Antiqua"/>
          <w:color w:val="000000" w:themeColor="text1"/>
        </w:rPr>
        <w:t>1</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year were enrolled prospectively in the study that had been approved by the hospital ethics committee.</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All patients gave</w:t>
      </w:r>
      <w:r w:rsidR="00382552"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informed consent prior to their inclusion in the study. Patients with other causes of arthritis (rheumatoid arthritis, </w:t>
      </w:r>
      <w:r w:rsidR="00326D61" w:rsidRPr="00DF51BA">
        <w:rPr>
          <w:rFonts w:ascii="Book Antiqua" w:eastAsia="Book Antiqua" w:hAnsi="Book Antiqua" w:cs="Book Antiqua"/>
          <w:color w:val="000000" w:themeColor="text1"/>
        </w:rPr>
        <w:t>avascular necrosis</w:t>
      </w:r>
      <w:r w:rsidRPr="00DF51BA">
        <w:rPr>
          <w:rFonts w:ascii="Book Antiqua" w:eastAsia="Book Antiqua" w:hAnsi="Book Antiqua" w:cs="Book Antiqua"/>
          <w:color w:val="000000" w:themeColor="text1"/>
        </w:rPr>
        <w:t xml:space="preserve">, seronegative spondyloarthropathies, </w:t>
      </w:r>
      <w:r w:rsidRPr="00DF51BA">
        <w:rPr>
          <w:rFonts w:ascii="Book Antiqua" w:eastAsia="Book Antiqua" w:hAnsi="Book Antiqua" w:cs="Book Antiqua"/>
          <w:color w:val="000000" w:themeColor="text1"/>
        </w:rPr>
        <w:lastRenderedPageBreak/>
        <w:t>crystal deposition disease</w:t>
      </w:r>
      <w:r w:rsidR="00326D6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i/>
          <w:color w:val="000000" w:themeColor="text1"/>
        </w:rPr>
        <w:t>etc</w:t>
      </w:r>
      <w:r w:rsidRPr="00DF51BA">
        <w:rPr>
          <w:rFonts w:ascii="Book Antiqua" w:eastAsia="Book Antiqua" w:hAnsi="Book Antiqua" w:cs="Book Antiqua"/>
          <w:color w:val="000000" w:themeColor="text1"/>
        </w:rPr>
        <w:t>)</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as well as patients with previous thrombotic events or other major risk factors for thrombosis (including malignancy, diabetes, hypertension, BMI &gt;</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35, age &gt;</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80</w:t>
      </w:r>
      <w:r w:rsidR="00A35F6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y</w:t>
      </w:r>
      <w:r w:rsidR="00A35F66" w:rsidRPr="00DF51BA">
        <w:rPr>
          <w:rFonts w:ascii="Book Antiqua" w:eastAsia="Book Antiqua" w:hAnsi="Book Antiqua" w:cs="Book Antiqua"/>
          <w:color w:val="000000" w:themeColor="text1"/>
        </w:rPr>
        <w:t>ears</w:t>
      </w:r>
      <w:r w:rsidRPr="00DF51BA">
        <w:rPr>
          <w:rFonts w:ascii="Book Antiqua" w:eastAsia="Book Antiqua" w:hAnsi="Book Antiqua" w:cs="Book Antiqua"/>
          <w:color w:val="000000" w:themeColor="text1"/>
        </w:rPr>
        <w:t>, operati</w:t>
      </w:r>
      <w:r w:rsidR="00326D61" w:rsidRPr="00DF51BA">
        <w:rPr>
          <w:rFonts w:ascii="Book Antiqua" w:eastAsia="Book Antiqua" w:hAnsi="Book Antiqua" w:cs="Book Antiqua"/>
          <w:color w:val="000000" w:themeColor="text1"/>
        </w:rPr>
        <w:t>on</w:t>
      </w:r>
      <w:r w:rsidRPr="00DF51BA">
        <w:rPr>
          <w:rFonts w:ascii="Book Antiqua" w:eastAsia="Book Antiqua" w:hAnsi="Book Antiqua" w:cs="Book Antiqua"/>
          <w:color w:val="000000" w:themeColor="text1"/>
        </w:rPr>
        <w:t xml:space="preserve"> time &gt;</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100</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min, congestive heart failure, arrhythmia, smoking, varicose veins)</w:t>
      </w:r>
      <w:r w:rsidR="00326D6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were excluded from this study. The mean age of patients was 65.8 years (range, 43</w:t>
      </w:r>
      <w:r w:rsidR="00326D61" w:rsidRPr="00DF51BA">
        <w:rPr>
          <w:rFonts w:ascii="Book Antiqua" w:eastAsia="Book Antiqua" w:hAnsi="Book Antiqua" w:cs="Book Antiqua"/>
          <w:color w:val="000000" w:themeColor="text1"/>
        </w:rPr>
        <w:t>.0</w:t>
      </w:r>
      <w:r w:rsidRPr="00DF51BA">
        <w:rPr>
          <w:rFonts w:ascii="Book Antiqua" w:eastAsia="Book Antiqua" w:hAnsi="Book Antiqua" w:cs="Book Antiqua"/>
          <w:color w:val="000000" w:themeColor="text1"/>
        </w:rPr>
        <w:t>-80</w:t>
      </w:r>
      <w:r w:rsidR="00326D61" w:rsidRPr="00DF51BA">
        <w:rPr>
          <w:rFonts w:ascii="Book Antiqua" w:eastAsia="Book Antiqua" w:hAnsi="Book Antiqua" w:cs="Book Antiqua"/>
          <w:color w:val="000000" w:themeColor="text1"/>
        </w:rPr>
        <w:t>.0</w:t>
      </w:r>
      <w:r w:rsidRPr="00DF51BA">
        <w:rPr>
          <w:rFonts w:ascii="Book Antiqua" w:eastAsia="Book Antiqua" w:hAnsi="Book Antiqua" w:cs="Book Antiqua"/>
          <w:color w:val="000000" w:themeColor="text1"/>
        </w:rPr>
        <w:t>). None of the patients had any history of previous heparin exposure within the past 90 d.</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The operation was performed under regional central</w:t>
      </w:r>
      <w:r w:rsidR="00326D6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anesthesia in all cases.</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shd w:val="clear" w:color="auto" w:fill="FCFCFC"/>
        </w:rPr>
        <w:t>All surgeries were performed by a group of four experienced surgeons</w:t>
      </w:r>
      <w:r w:rsidR="00326D61" w:rsidRPr="00DF51BA">
        <w:rPr>
          <w:rFonts w:ascii="Book Antiqua" w:eastAsia="Book Antiqua" w:hAnsi="Book Antiqua" w:cs="Book Antiqua"/>
          <w:color w:val="000000" w:themeColor="text1"/>
          <w:shd w:val="clear" w:color="auto" w:fill="FCFCFC"/>
        </w:rPr>
        <w:t xml:space="preserve"> </w:t>
      </w:r>
      <w:r w:rsidRPr="00DF51BA">
        <w:rPr>
          <w:rFonts w:ascii="Book Antiqua" w:eastAsia="Book Antiqua" w:hAnsi="Book Antiqua" w:cs="Book Antiqua"/>
          <w:color w:val="000000" w:themeColor="text1"/>
          <w:shd w:val="clear" w:color="auto" w:fill="FCFCFC"/>
        </w:rPr>
        <w:t xml:space="preserve">sharing the same surgical principles. </w:t>
      </w:r>
      <w:r w:rsidRPr="00DF51BA">
        <w:rPr>
          <w:rFonts w:ascii="Book Antiqua" w:eastAsia="Book Antiqua" w:hAnsi="Book Antiqua" w:cs="Book Antiqua"/>
          <w:color w:val="000000" w:themeColor="text1"/>
        </w:rPr>
        <w:t>THAs were performed with a cementless femoral stem and an acetabular component, while TKAs were performed with a cemented component</w:t>
      </w:r>
      <w:r w:rsidR="00326D6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under tourniquet control</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shd w:val="clear" w:color="auto" w:fill="FCFCFC"/>
        </w:rPr>
        <w:t>(operati</w:t>
      </w:r>
      <w:r w:rsidR="00326D61" w:rsidRPr="00DF51BA">
        <w:rPr>
          <w:rFonts w:ascii="Book Antiqua" w:eastAsia="Book Antiqua" w:hAnsi="Book Antiqua" w:cs="Book Antiqua"/>
          <w:color w:val="000000" w:themeColor="text1"/>
          <w:shd w:val="clear" w:color="auto" w:fill="FCFCFC"/>
        </w:rPr>
        <w:t>on</w:t>
      </w:r>
      <w:r w:rsidRPr="00DF51BA">
        <w:rPr>
          <w:rFonts w:ascii="Book Antiqua" w:eastAsia="Book Antiqua" w:hAnsi="Book Antiqua" w:cs="Book Antiqua"/>
          <w:color w:val="000000" w:themeColor="text1"/>
          <w:shd w:val="clear" w:color="auto" w:fill="FCFCFC"/>
        </w:rPr>
        <w:t xml:space="preserve"> time with the use of tourniquet was less</w:t>
      </w:r>
      <w:r w:rsidRPr="00DF51BA">
        <w:rPr>
          <w:rFonts w:ascii="Book Antiqua" w:eastAsia="Book Antiqua" w:hAnsi="Book Antiqua" w:cs="Book Antiqua"/>
          <w:color w:val="000000" w:themeColor="text1"/>
        </w:rPr>
        <w:t xml:space="preserve"> than 100 min for all patients included in this study, as defined above).</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shd w:val="clear" w:color="auto" w:fill="FCFCFC"/>
        </w:rPr>
        <w:t>The excessive use of pulsatile jet-lavage was a standard procedure before cement application in order to remove</w:t>
      </w:r>
      <w:r w:rsidR="00326D61" w:rsidRPr="00DF51BA">
        <w:rPr>
          <w:rFonts w:ascii="Book Antiqua" w:eastAsia="Book Antiqua" w:hAnsi="Book Antiqua" w:cs="Book Antiqua"/>
          <w:color w:val="000000" w:themeColor="text1"/>
          <w:shd w:val="clear" w:color="auto" w:fill="FCFCFC"/>
        </w:rPr>
        <w:t xml:space="preserve"> </w:t>
      </w:r>
      <w:r w:rsidRPr="00DF51BA">
        <w:rPr>
          <w:rFonts w:ascii="Book Antiqua" w:eastAsia="Book Antiqua" w:hAnsi="Book Antiqua" w:cs="Book Antiqua"/>
          <w:color w:val="000000" w:themeColor="text1"/>
          <w:shd w:val="clear" w:color="auto" w:fill="FCFCFC"/>
        </w:rPr>
        <w:t>fat and bone marrow</w:t>
      </w:r>
      <w:r w:rsidR="00DF3F2C" w:rsidRPr="00DF51BA">
        <w:rPr>
          <w:rFonts w:ascii="Book Antiqua" w:eastAsia="Book Antiqua" w:hAnsi="Book Antiqua" w:cs="Book Antiqua"/>
          <w:color w:val="000000" w:themeColor="text1"/>
          <w:shd w:val="clear" w:color="auto" w:fill="FCFCFC"/>
        </w:rPr>
        <w:t>,</w:t>
      </w:r>
      <w:r w:rsidRPr="00DF51BA">
        <w:rPr>
          <w:rFonts w:ascii="Book Antiqua" w:eastAsia="Book Antiqua" w:hAnsi="Book Antiqua" w:cs="Book Antiqua"/>
          <w:color w:val="000000" w:themeColor="text1"/>
          <w:shd w:val="clear" w:color="auto" w:fill="FCFCFC"/>
        </w:rPr>
        <w:t xml:space="preserve"> which could be potential embolic sources.</w:t>
      </w:r>
      <w:r w:rsidR="00DF3F2C" w:rsidRPr="00DF51BA">
        <w:rPr>
          <w:rFonts w:ascii="Book Antiqua" w:eastAsia="Book Antiqua" w:hAnsi="Book Antiqua" w:cs="Book Antiqua"/>
          <w:color w:val="000000" w:themeColor="text1"/>
          <w:shd w:val="clear" w:color="auto" w:fill="FCFCFC"/>
        </w:rPr>
        <w:t xml:space="preserve"> </w:t>
      </w:r>
      <w:r w:rsidRPr="00DF51BA">
        <w:rPr>
          <w:rFonts w:ascii="Book Antiqua" w:eastAsia="Book Antiqua" w:hAnsi="Book Antiqua" w:cs="Book Antiqua"/>
          <w:color w:val="000000" w:themeColor="text1"/>
          <w:shd w:val="clear" w:color="auto" w:fill="FCFCFC"/>
        </w:rPr>
        <w:t>In addition, we ruled out the appearance of bone cement implantation syndrome of any grade throughout the</w:t>
      </w:r>
      <w:r w:rsidRPr="00DF51BA">
        <w:rPr>
          <w:rFonts w:ascii="Book Antiqua" w:eastAsia="Book Antiqua" w:hAnsi="Book Antiqua" w:cs="Book Antiqua"/>
          <w:color w:val="000000" w:themeColor="text1"/>
        </w:rPr>
        <w:t xml:space="preserve"> perioperative period.</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Drainage was used in all cases and patients were encouraged to start flexing the ankle joint</w:t>
      </w:r>
      <w:r w:rsidR="00DF3F2C"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contracting the quadricep muscle as soon as possible</w:t>
      </w:r>
      <w:r w:rsidR="00DF3F2C"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to begin ambulation with the help of crutches</w:t>
      </w:r>
      <w:r w:rsidR="00DF3F2C"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or ambulator on the first postoperative day.</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Platelet counts were obtained from all patients preoperatively, daily for the first seven postoperative days, and on the 20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and 60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days, while the presence of IgG anti-PF4/heparin antibodies was evaluated with an immunoassay preoperatively, and on the 3</w:t>
      </w:r>
      <w:r w:rsidRPr="00DF51BA">
        <w:rPr>
          <w:rFonts w:ascii="Book Antiqua" w:eastAsia="Book Antiqua" w:hAnsi="Book Antiqua" w:cs="Book Antiqua"/>
          <w:color w:val="000000" w:themeColor="text1"/>
          <w:vertAlign w:val="superscript"/>
        </w:rPr>
        <w:t>rd</w:t>
      </w:r>
      <w:r w:rsidRPr="00DF51BA">
        <w:rPr>
          <w:rFonts w:ascii="Book Antiqua" w:eastAsia="Book Antiqua" w:hAnsi="Book Antiqua" w:cs="Book Antiqua"/>
          <w:color w:val="000000" w:themeColor="text1"/>
        </w:rPr>
        <w:t>, 7</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20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and 60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days [kit of DiaMed (ID-PaGIA)]. Fasting serum lipids (total cholesterol and triglycerides) were measured preoperatively. Finally, protein C, protein S, von Willebrand factor, </w:t>
      </w:r>
      <w:r w:rsidR="00DF3F2C" w:rsidRPr="00DF51BA">
        <w:rPr>
          <w:rFonts w:ascii="Book Antiqua" w:eastAsia="Book Antiqua" w:hAnsi="Book Antiqua" w:cs="Book Antiqua"/>
          <w:color w:val="000000" w:themeColor="text1"/>
        </w:rPr>
        <w:t>l</w:t>
      </w:r>
      <w:r w:rsidRPr="00DF51BA">
        <w:rPr>
          <w:rFonts w:ascii="Book Antiqua" w:eastAsia="Book Antiqua" w:hAnsi="Book Antiqua" w:cs="Book Antiqua"/>
          <w:color w:val="000000" w:themeColor="text1"/>
        </w:rPr>
        <w:t xml:space="preserve">upus </w:t>
      </w:r>
      <w:r w:rsidR="00DF3F2C" w:rsidRPr="00DF51BA">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 xml:space="preserve">nticoagulant, </w:t>
      </w:r>
      <w:r w:rsidR="00DF3F2C" w:rsidRPr="00DF51BA">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ntithrombin III, 677C/T mutation of MTHFR gene, factor V Leiden (G/A)</w:t>
      </w:r>
      <w:r w:rsidR="00BD2D66"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prothrombin gene G20210A mutations were investigated. Genomic DNA was extracted from fresh blood using the QIAamp</w:t>
      </w:r>
      <w:r w:rsidR="00BD2D6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DNA</w:t>
      </w:r>
      <w:r w:rsidR="00BD2D66" w:rsidRPr="00DF51BA">
        <w:rPr>
          <w:rFonts w:ascii="Book Antiqua" w:eastAsia="Book Antiqua" w:hAnsi="Book Antiqua" w:cs="Book Antiqua"/>
          <w:color w:val="000000" w:themeColor="text1"/>
        </w:rPr>
        <w:t xml:space="preserve"> B</w:t>
      </w:r>
      <w:r w:rsidRPr="00DF51BA">
        <w:rPr>
          <w:rFonts w:ascii="Book Antiqua" w:eastAsia="Book Antiqua" w:hAnsi="Book Antiqua" w:cs="Book Antiqua"/>
          <w:color w:val="000000" w:themeColor="text1"/>
        </w:rPr>
        <w:t>lood</w:t>
      </w:r>
      <w:r w:rsidR="00BD2D6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Midi extraction kit</w:t>
      </w:r>
      <w:r w:rsidR="00BD2D66" w:rsidRPr="00DF51BA">
        <w:rPr>
          <w:rFonts w:ascii="Book Antiqua" w:eastAsia="Book Antiqua" w:hAnsi="Book Antiqua" w:cs="Book Antiqua"/>
          <w:color w:val="000000" w:themeColor="text1"/>
        </w:rPr>
        <w:t xml:space="preserve"> (Qiagen, Hilden, Germany)</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All patients received anticoagulation for a total of 6 w</w:t>
      </w:r>
      <w:r w:rsidR="00FA12A9" w:rsidRPr="00DF51BA">
        <w:rPr>
          <w:rFonts w:ascii="Book Antiqua" w:hAnsi="Book Antiqua" w:cs="Book Antiqua"/>
          <w:color w:val="000000" w:themeColor="text1"/>
          <w:lang w:eastAsia="zh-CN"/>
        </w:rPr>
        <w:t>k</w:t>
      </w:r>
      <w:r w:rsidRPr="00DF51BA">
        <w:rPr>
          <w:rFonts w:ascii="Book Antiqua" w:eastAsia="Book Antiqua" w:hAnsi="Book Antiqua" w:cs="Book Antiqua"/>
          <w:color w:val="000000" w:themeColor="text1"/>
        </w:rPr>
        <w:t xml:space="preserve">. Anticoagulants used were: </w:t>
      </w:r>
      <w:r w:rsidR="00BD2D66"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 xml:space="preserve">inzaparin 4500 IU (Innohep, Leo Pharma, France), </w:t>
      </w:r>
      <w:r w:rsidR="00BD2D66"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 xml:space="preserve">noxaparine 40 mg (Clexane, Aventis Pharma, Maisons-Alfort, France), </w:t>
      </w:r>
      <w:r w:rsidR="00BD2D66" w:rsidRPr="00DF51BA">
        <w:rPr>
          <w:rFonts w:ascii="Book Antiqua" w:eastAsia="Book Antiqua" w:hAnsi="Book Antiqua" w:cs="Book Antiqua"/>
          <w:color w:val="000000" w:themeColor="text1"/>
        </w:rPr>
        <w:t>d</w:t>
      </w:r>
      <w:r w:rsidRPr="00DF51BA">
        <w:rPr>
          <w:rFonts w:ascii="Book Antiqua" w:eastAsia="Book Antiqua" w:hAnsi="Book Antiqua" w:cs="Book Antiqua"/>
          <w:color w:val="000000" w:themeColor="text1"/>
        </w:rPr>
        <w:t xml:space="preserve">alteparin 5000 IU (Fragmin, Pharmacia &amp; Upjohn, Pfizer Hellas S.A., Athens, Greece) or </w:t>
      </w:r>
      <w:r w:rsidR="00BD2D66" w:rsidRPr="00DF51BA">
        <w:rPr>
          <w:rFonts w:ascii="Book Antiqua" w:eastAsia="Book Antiqua" w:hAnsi="Book Antiqua" w:cs="Book Antiqua"/>
          <w:color w:val="000000" w:themeColor="text1"/>
        </w:rPr>
        <w:t>f</w:t>
      </w:r>
      <w:r w:rsidRPr="00DF51BA">
        <w:rPr>
          <w:rFonts w:ascii="Book Antiqua" w:eastAsia="Book Antiqua" w:hAnsi="Book Antiqua" w:cs="Book Antiqua"/>
          <w:color w:val="000000" w:themeColor="text1"/>
        </w:rPr>
        <w:t>ondaparinux 2.5 mg (Arixtra, Sanofi-Synthelabo, Paris, France). Anticoagulants were administered 12 h postoperatively if there was no clinical evidence of bleeding</w:t>
      </w:r>
      <w:r w:rsidR="00FA12A9"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and were</w:t>
      </w:r>
      <w:r w:rsidR="00FA12A9"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administered on a once daily basis. During the postoperative period care was taken to avoid incidental exposure to small amounts of UFH.</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All patients were followed for a minimum period of 3 years (36-44 mo). Sixteen patients were lost to follow-up and excluded from the study; thus 196 patients (42 male and 154 female) remained at the final follow-up. The majority of these patients (173) received LMWH for prevention of thrombosis, while 23 patients received fondaparinux. Patients were monitored clinically for the development of arterial or venous thrombotic events, such as DVT, PE, cerebrovascular accident</w:t>
      </w:r>
      <w:r w:rsidR="00BD2D66"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myocardial infarction. On suspicion of a thrombotic event the necessary examinations (triplex, pulmonary ventilation/perfusion scan) were performed to rule out or to confirm the thrombotic incident.</w:t>
      </w:r>
    </w:p>
    <w:p w:rsidR="00A77B3E" w:rsidRPr="00DF51BA" w:rsidRDefault="00A77B3E" w:rsidP="00DF51BA">
      <w:pPr>
        <w:snapToGrid w:val="0"/>
        <w:spacing w:line="360" w:lineRule="auto"/>
        <w:ind w:firstLine="426"/>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i/>
          <w:color w:val="000000" w:themeColor="text1"/>
        </w:rPr>
      </w:pPr>
      <w:r w:rsidRPr="00DF51BA">
        <w:rPr>
          <w:rFonts w:ascii="Book Antiqua" w:eastAsia="Book Antiqua" w:hAnsi="Book Antiqua" w:cs="Book Antiqua"/>
          <w:b/>
          <w:bCs/>
          <w:i/>
          <w:color w:val="000000" w:themeColor="text1"/>
        </w:rPr>
        <w:t>Statistical analysis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After the enrollment of 50 patients in the study, sample size estimations showed that the required sample size to have adequate power to detect potential statistically significant differences should be approximately 200 patients. A post hoc power</w:t>
      </w:r>
      <w:r w:rsidR="00BA1D4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analysis showed</w:t>
      </w:r>
      <w:r w:rsidR="00BA1D4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that the power of the final sample of the study equaled 0</w:t>
      </w:r>
      <w:r w:rsidR="00A5376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71.</w:t>
      </w:r>
      <w:r w:rsidR="0054095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The Gpower v.3.1 was used in both cases.</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 xml:space="preserve">All </w:t>
      </w:r>
      <w:r w:rsidRPr="00DF51BA">
        <w:rPr>
          <w:rFonts w:ascii="Book Antiqua" w:eastAsia="Book Antiqua" w:hAnsi="Book Antiqua" w:cs="Book Antiqua"/>
          <w:i/>
          <w:color w:val="000000" w:themeColor="text1"/>
        </w:rPr>
        <w:t>P</w:t>
      </w:r>
      <w:r w:rsidR="0054095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values were based on two-tailed tests</w:t>
      </w:r>
      <w:r w:rsidR="00BA1D46"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the level of statistical significance was set at </w:t>
      </w:r>
      <w:r w:rsidRPr="00DF51BA">
        <w:rPr>
          <w:rFonts w:ascii="Book Antiqua" w:eastAsia="Book Antiqua" w:hAnsi="Book Antiqua" w:cs="Book Antiqua"/>
          <w:i/>
          <w:color w:val="000000" w:themeColor="text1"/>
        </w:rPr>
        <w:t>P</w:t>
      </w:r>
      <w:r w:rsidR="0054095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&lt;</w:t>
      </w:r>
      <w:r w:rsidR="0054095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0.05. The tests used to obtain </w:t>
      </w:r>
      <w:r w:rsidR="00BA1D46" w:rsidRPr="007D6DE8">
        <w:rPr>
          <w:rFonts w:ascii="Book Antiqua" w:eastAsia="Book Antiqua" w:hAnsi="Book Antiqua" w:cs="Book Antiqua"/>
          <w:i/>
          <w:iCs/>
          <w:color w:val="000000" w:themeColor="text1"/>
        </w:rPr>
        <w:t>P</w:t>
      </w:r>
      <w:r w:rsidR="00BA1D4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values were the Pearson</w:t>
      </w:r>
      <w:r w:rsidR="0054095D" w:rsidRPr="00DF51BA">
        <w:rPr>
          <w:rFonts w:ascii="Book Antiqua" w:hAnsi="Book Antiqua" w:cs="Book Antiqua"/>
          <w:color w:val="000000" w:themeColor="text1"/>
          <w:lang w:eastAsia="zh-CN"/>
        </w:rPr>
        <w:t xml:space="preserve"> </w:t>
      </w:r>
      <w:r w:rsidR="0054095D" w:rsidRPr="00DF51BA">
        <w:rPr>
          <w:rFonts w:ascii="Book Antiqua" w:eastAsia="Book Antiqua" w:hAnsi="Book Antiqua" w:cs="Book Antiqua"/>
          <w:i/>
          <w:color w:val="000000" w:themeColor="text1"/>
        </w:rPr>
        <w:t>χ</w:t>
      </w:r>
      <w:r w:rsidR="0054095D" w:rsidRPr="00DF51BA">
        <w:rPr>
          <w:rFonts w:ascii="Book Antiqua" w:eastAsia="Book Antiqua" w:hAnsi="Book Antiqua" w:cs="Book Antiqua"/>
          <w:color w:val="000000" w:themeColor="text1"/>
          <w:vertAlign w:val="superscript"/>
        </w:rPr>
        <w:t>2</w:t>
      </w:r>
      <w:r w:rsidRPr="00DF51BA">
        <w:rPr>
          <w:rFonts w:ascii="Book Antiqua" w:eastAsia="Book Antiqua" w:hAnsi="Book Antiqua" w:cs="Book Antiqua"/>
          <w:i/>
          <w:color w:val="000000" w:themeColor="text1"/>
        </w:rPr>
        <w:t xml:space="preserve"> </w:t>
      </w:r>
      <w:r w:rsidRPr="00DF51BA">
        <w:rPr>
          <w:rFonts w:ascii="Book Antiqua" w:eastAsia="Book Antiqua" w:hAnsi="Book Antiqua" w:cs="Book Antiqua"/>
          <w:color w:val="000000" w:themeColor="text1"/>
        </w:rPr>
        <w:t xml:space="preserve">and Fisher’s Exact. Logistic regression analysis was used to study the significant correlations. Repeated measurements analysis was applied to test differences in platelet levels </w:t>
      </w:r>
      <w:r w:rsidRPr="00DF51BA">
        <w:rPr>
          <w:rFonts w:ascii="Book Antiqua" w:eastAsia="Book Antiqua" w:hAnsi="Book Antiqua" w:cs="Book Antiqua"/>
          <w:color w:val="000000" w:themeColor="text1"/>
        </w:rPr>
        <w:lastRenderedPageBreak/>
        <w:t>between the two anticoagulants. Analysis was conducted using SPSS 14 (SPSS, Inc., Chicago, IL</w:t>
      </w:r>
      <w:r w:rsidR="00A53767" w:rsidRPr="00DF51BA">
        <w:rPr>
          <w:rFonts w:ascii="Book Antiqua" w:eastAsia="Book Antiqua" w:hAnsi="Book Antiqua" w:cs="Book Antiqua"/>
          <w:color w:val="000000" w:themeColor="text1"/>
        </w:rPr>
        <w:t>, United States</w:t>
      </w:r>
      <w:r w:rsidRPr="00DF51BA">
        <w:rPr>
          <w:rFonts w:ascii="Book Antiqua" w:eastAsia="Book Antiqua" w:hAnsi="Book Antiqua" w:cs="Book Antiqua"/>
          <w:color w:val="000000" w:themeColor="text1"/>
        </w:rPr>
        <w:t>).</w:t>
      </w:r>
    </w:p>
    <w:p w:rsidR="00A77B3E" w:rsidRPr="00DF51BA" w:rsidRDefault="00A77B3E" w:rsidP="00DF51BA">
      <w:pPr>
        <w:snapToGrid w:val="0"/>
        <w:spacing w:line="360" w:lineRule="auto"/>
        <w:ind w:firstLine="426"/>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t>RESULTS</w:t>
      </w:r>
    </w:p>
    <w:p w:rsidR="00A77B3E" w:rsidRPr="00DF51BA" w:rsidRDefault="008D175F" w:rsidP="00DF51BA">
      <w:pPr>
        <w:snapToGrid w:val="0"/>
        <w:spacing w:line="360" w:lineRule="auto"/>
        <w:jc w:val="both"/>
        <w:rPr>
          <w:rFonts w:ascii="Book Antiqua" w:hAnsi="Book Antiqua"/>
          <w:b/>
          <w:color w:val="000000" w:themeColor="text1"/>
        </w:rPr>
      </w:pPr>
      <w:r w:rsidRPr="00DF51BA">
        <w:rPr>
          <w:rFonts w:ascii="Book Antiqua" w:eastAsia="Book Antiqua" w:hAnsi="Book Antiqua" w:cs="Book Antiqua"/>
          <w:b/>
          <w:i/>
          <w:color w:val="000000" w:themeColor="text1"/>
        </w:rPr>
        <w:t xml:space="preserve">Thrombocytopenia </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Thrombocytopenia, defined as ≥</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50% decrease in platelets assessed relative to the preoperative (and preanticoagulant administration) platelet count or to the highest preceding value</w:t>
      </w:r>
      <w:r w:rsidRPr="00DF51BA">
        <w:rPr>
          <w:rFonts w:ascii="Book Antiqua" w:eastAsia="Book Antiqua" w:hAnsi="Book Antiqua" w:cs="Book Antiqua"/>
          <w:color w:val="000000" w:themeColor="text1"/>
          <w:shd w:val="clear" w:color="auto" w:fill="FFFFFF"/>
          <w:vertAlign w:val="superscript"/>
        </w:rPr>
        <w:t>[7,16]</w:t>
      </w:r>
      <w:r w:rsidRPr="00DF51BA">
        <w:rPr>
          <w:rFonts w:ascii="Book Antiqua" w:eastAsia="Book Antiqua" w:hAnsi="Book Antiqua" w:cs="Book Antiqua"/>
          <w:color w:val="000000" w:themeColor="text1"/>
        </w:rPr>
        <w:t>,</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was observed in 30 patients (15.3%) the first 4 postoperative days and in 2 additional patients (1.0%) </w:t>
      </w:r>
      <w:r w:rsidR="00571DA5" w:rsidRPr="00DF51BA">
        <w:rPr>
          <w:rFonts w:ascii="Book Antiqua" w:eastAsia="Book Antiqua" w:hAnsi="Book Antiqua" w:cs="Book Antiqua"/>
          <w:color w:val="000000" w:themeColor="text1"/>
        </w:rPr>
        <w:t xml:space="preserve">on </w:t>
      </w:r>
      <w:r w:rsidRPr="00DF51BA">
        <w:rPr>
          <w:rFonts w:ascii="Book Antiqua" w:eastAsia="Book Antiqua" w:hAnsi="Book Antiqua" w:cs="Book Antiqua"/>
          <w:color w:val="000000" w:themeColor="text1"/>
        </w:rPr>
        <w:t>postoperative days 5-7.</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Thrombocytopenia in the first 4 postoperative days was temporary in all patients, as expected. Platelet counts below 100</w:t>
      </w:r>
      <w:r w:rsidR="00286F04" w:rsidRPr="00DF51BA">
        <w:rPr>
          <w:rFonts w:ascii="Book Antiqua" w:eastAsia="Book Antiqua" w:hAnsi="Book Antiqua" w:cs="Book Antiqua"/>
          <w:color w:val="000000" w:themeColor="text1"/>
        </w:rPr>
        <w:t xml:space="preserve"> </w:t>
      </w:r>
      <w:r w:rsidR="00286F04" w:rsidRPr="00DF51BA">
        <w:rPr>
          <w:rFonts w:ascii="Book Antiqua" w:hAnsi="Book Antiqua"/>
        </w:rPr>
        <w:t>×</w:t>
      </w:r>
      <w:r w:rsidR="00286F04"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10</w:t>
      </w:r>
      <w:r w:rsidRPr="00DF51BA">
        <w:rPr>
          <w:rFonts w:ascii="Book Antiqua" w:eastAsia="Book Antiqua" w:hAnsi="Book Antiqua" w:cs="Book Antiqua"/>
          <w:color w:val="000000" w:themeColor="text1"/>
          <w:vertAlign w:val="superscript"/>
        </w:rPr>
        <w:t>9</w:t>
      </w:r>
      <w:r w:rsidRPr="00DF51BA">
        <w:rPr>
          <w:rFonts w:ascii="Book Antiqua" w:eastAsia="Book Antiqua" w:hAnsi="Book Antiqua" w:cs="Book Antiqua"/>
          <w:color w:val="000000" w:themeColor="text1"/>
        </w:rPr>
        <w:t>/L were observed in 17 patients (15 patients the first 4 postoperative days and 2 additional patients days 5-7).</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There was no statistically significant correlation between the type of anticoagulant (LMWH or fondaparinux) and decrease in platelet counts (over 50% from preoperative counts) in the first 4 postoperative days (Fisher’s </w:t>
      </w:r>
      <w:r w:rsidR="00571DA5"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 xml:space="preserve">xact test, </w:t>
      </w:r>
      <w:r w:rsidR="008C34FC" w:rsidRPr="00DF51BA">
        <w:rPr>
          <w:rFonts w:ascii="Book Antiqua" w:eastAsia="Book Antiqua" w:hAnsi="Book Antiqua" w:cs="Book Antiqua"/>
          <w:i/>
          <w:color w:val="000000" w:themeColor="text1"/>
        </w:rPr>
        <w:t>P</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value</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w:t>
      </w:r>
      <w:r w:rsidR="009378A7" w:rsidRPr="00DF51BA">
        <w:rPr>
          <w:rFonts w:ascii="Book Antiqua" w:hAnsi="Book Antiqua" w:cs="Book Antiqua"/>
          <w:color w:val="000000" w:themeColor="text1"/>
          <w:lang w:eastAsia="zh-CN"/>
        </w:rPr>
        <w:t>.</w:t>
      </w:r>
      <w:r w:rsidRPr="00DF51BA">
        <w:rPr>
          <w:rFonts w:ascii="Book Antiqua" w:eastAsia="Book Antiqua" w:hAnsi="Book Antiqua" w:cs="Book Antiqua"/>
          <w:color w:val="000000" w:themeColor="text1"/>
        </w:rPr>
        <w:t xml:space="preserve">134) or between anticoagulant type and the decrease of platelet counts (over 50% of the highest preceding value) </w:t>
      </w:r>
      <w:r w:rsidR="00303E6B" w:rsidRPr="00DF51BA">
        <w:rPr>
          <w:rFonts w:ascii="Book Antiqua" w:eastAsia="Book Antiqua" w:hAnsi="Book Antiqua" w:cs="Book Antiqua"/>
          <w:color w:val="000000" w:themeColor="text1"/>
        </w:rPr>
        <w:t>in</w:t>
      </w:r>
      <w:r w:rsidRPr="00DF51BA">
        <w:rPr>
          <w:rFonts w:ascii="Book Antiqua" w:eastAsia="Book Antiqua" w:hAnsi="Book Antiqua" w:cs="Book Antiqua"/>
          <w:color w:val="000000" w:themeColor="text1"/>
        </w:rPr>
        <w:t xml:space="preserve"> days 5-7 (</w:t>
      </w:r>
      <w:r w:rsidR="008C34FC" w:rsidRPr="00DF51BA">
        <w:rPr>
          <w:rFonts w:ascii="Book Antiqua" w:eastAsia="Book Antiqua" w:hAnsi="Book Antiqua" w:cs="Book Antiqua"/>
          <w:i/>
          <w:color w:val="000000" w:themeColor="text1"/>
        </w:rPr>
        <w:t>P</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1.000, Fisher’s </w:t>
      </w:r>
      <w:r w:rsidR="00571DA5"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 xml:space="preserve">xact </w:t>
      </w:r>
      <w:r w:rsidR="00571DA5"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est).</w:t>
      </w:r>
    </w:p>
    <w:p w:rsidR="00A77B3E" w:rsidRPr="00DF51BA" w:rsidRDefault="008D175F" w:rsidP="00DF51BA">
      <w:pPr>
        <w:snapToGrid w:val="0"/>
        <w:spacing w:line="360" w:lineRule="auto"/>
        <w:ind w:firstLineChars="100" w:firstLine="240"/>
        <w:jc w:val="both"/>
        <w:rPr>
          <w:rFonts w:ascii="Book Antiqua" w:hAnsi="Book Antiqua"/>
          <w:color w:val="000000" w:themeColor="text1"/>
        </w:rPr>
      </w:pPr>
      <w:r w:rsidRPr="00DF51BA">
        <w:rPr>
          <w:rFonts w:ascii="Book Antiqua" w:eastAsia="Book Antiqua" w:hAnsi="Book Antiqua" w:cs="Book Antiqua"/>
          <w:color w:val="000000" w:themeColor="text1"/>
        </w:rPr>
        <w:t>Repeated measurements analysis for the comparison of platelet counts preoperatively and postoperatively showed a fluctuation in counts. A sharp decline of platelet counts was found starting from day 1, approaching the lowest</w:t>
      </w:r>
      <w:r w:rsidR="00E0401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level on the 3</w:t>
      </w:r>
      <w:r w:rsidRPr="00DF51BA">
        <w:rPr>
          <w:rFonts w:ascii="Book Antiqua" w:eastAsia="Book Antiqua" w:hAnsi="Book Antiqua" w:cs="Book Antiqua"/>
          <w:color w:val="000000" w:themeColor="text1"/>
          <w:vertAlign w:val="superscript"/>
        </w:rPr>
        <w:t>rd</w:t>
      </w:r>
      <w:r w:rsidRPr="00DF51BA">
        <w:rPr>
          <w:rFonts w:ascii="Book Antiqua" w:eastAsia="Book Antiqua" w:hAnsi="Book Antiqua" w:cs="Book Antiqua"/>
          <w:color w:val="000000" w:themeColor="text1"/>
        </w:rPr>
        <w:t xml:space="preserve"> postoperative day</w:t>
      </w:r>
      <w:r w:rsidR="00303E6B"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then a steady rise to nearly preoperative values on the 5</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day. There were no differences in changes of platelet counts between the two anticoagulation groups </w:t>
      </w:r>
      <w:r w:rsidR="008C34FC" w:rsidRPr="00DF51BA">
        <w:rPr>
          <w:rFonts w:ascii="Book Antiqua" w:hAnsi="Book Antiqua" w:cs="Book Antiqua"/>
          <w:color w:val="000000" w:themeColor="text1"/>
          <w:lang w:eastAsia="zh-CN"/>
        </w:rPr>
        <w:t>(</w:t>
      </w:r>
      <w:r w:rsidR="008C34FC" w:rsidRPr="00DF51BA">
        <w:rPr>
          <w:rFonts w:ascii="Book Antiqua" w:hAnsi="Book Antiqua"/>
          <w:color w:val="000000"/>
        </w:rPr>
        <w:t>Figure 1</w:t>
      </w:r>
      <w:r w:rsidR="008C34FC" w:rsidRPr="00DF51BA">
        <w:rPr>
          <w:rFonts w:ascii="Book Antiqua" w:hAnsi="Book Antiqua" w:cs="Book Antiqua"/>
          <w:color w:val="000000" w:themeColor="text1"/>
          <w:lang w:eastAsia="zh-CN"/>
        </w:rPr>
        <w:t>)</w:t>
      </w:r>
      <w:r w:rsidRPr="00DF51BA">
        <w:rPr>
          <w:rFonts w:ascii="Book Antiqua" w:eastAsia="Book Antiqua" w:hAnsi="Book Antiqua" w:cs="Book Antiqua"/>
          <w:color w:val="000000" w:themeColor="text1"/>
        </w:rPr>
        <w: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b/>
          <w:color w:val="000000" w:themeColor="text1"/>
        </w:rPr>
      </w:pPr>
      <w:r w:rsidRPr="00DF51BA">
        <w:rPr>
          <w:rFonts w:ascii="Book Antiqua" w:eastAsia="Book Antiqua" w:hAnsi="Book Antiqua" w:cs="Book Antiqua"/>
          <w:b/>
          <w:i/>
          <w:color w:val="000000" w:themeColor="text1"/>
        </w:rPr>
        <w:t>Anti-PF4/heparin antibodies</w:t>
      </w:r>
    </w:p>
    <w:p w:rsidR="00A77B3E" w:rsidRPr="00DF51BA" w:rsidRDefault="00A26E73"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A</w:t>
      </w:r>
      <w:r w:rsidR="008D175F" w:rsidRPr="00DF51BA">
        <w:rPr>
          <w:rFonts w:ascii="Book Antiqua" w:eastAsia="Book Antiqua" w:hAnsi="Book Antiqua" w:cs="Book Antiqua"/>
          <w:color w:val="000000" w:themeColor="text1"/>
        </w:rPr>
        <w:t>nti-PF4/heparin antibodies</w:t>
      </w:r>
      <w:r w:rsidRPr="00DF51BA">
        <w:rPr>
          <w:rFonts w:ascii="Book Antiqua" w:eastAsia="Book Antiqua" w:hAnsi="Book Antiqua" w:cs="Book Antiqua"/>
          <w:color w:val="000000" w:themeColor="text1"/>
        </w:rPr>
        <w:t xml:space="preserve"> developed in 18 of 196 patients (9.2%)</w:t>
      </w:r>
      <w:r w:rsidR="008D175F" w:rsidRPr="00DF51BA">
        <w:rPr>
          <w:rFonts w:ascii="Book Antiqua" w:eastAsia="Book Antiqua" w:hAnsi="Book Antiqua" w:cs="Book Antiqua"/>
          <w:color w:val="000000" w:themeColor="text1"/>
        </w:rPr>
        <w:t>. The incidence of these antibodies was 12/173 (6.9%) for LMWH and 6/23 (26.1%) for fondaparinux</w:t>
      </w:r>
      <w:r w:rsidR="008C34FC" w:rsidRPr="00DF51BA">
        <w:rPr>
          <w:rFonts w:ascii="Book Antiqua" w:hAnsi="Book Antiqua" w:cs="Book Antiqua"/>
          <w:color w:val="000000" w:themeColor="text1"/>
          <w:lang w:eastAsia="zh-CN"/>
        </w:rPr>
        <w:t xml:space="preserve"> (</w:t>
      </w:r>
      <w:r w:rsidR="008C34FC" w:rsidRPr="00DF51BA">
        <w:rPr>
          <w:rFonts w:ascii="Book Antiqua" w:hAnsi="Book Antiqua"/>
          <w:color w:val="000000"/>
        </w:rPr>
        <w:t xml:space="preserve">Figure </w:t>
      </w:r>
      <w:r w:rsidR="008C34FC" w:rsidRPr="00DF51BA">
        <w:rPr>
          <w:rFonts w:ascii="Book Antiqua" w:hAnsi="Book Antiqua"/>
          <w:color w:val="000000"/>
          <w:lang w:eastAsia="zh-CN"/>
        </w:rPr>
        <w:t>2</w:t>
      </w:r>
      <w:r w:rsidR="008C34FC" w:rsidRPr="00DF51BA">
        <w:rPr>
          <w:rFonts w:ascii="Book Antiqua" w:hAnsi="Book Antiqua" w:cs="Book Antiqua"/>
          <w:color w:val="000000" w:themeColor="text1"/>
          <w:lang w:eastAsia="zh-CN"/>
        </w:rPr>
        <w:t>)</w:t>
      </w:r>
      <w:r w:rsidR="008D175F" w:rsidRPr="00DF51BA">
        <w:rPr>
          <w:rFonts w:ascii="Book Antiqua" w:eastAsia="Book Antiqua" w:hAnsi="Book Antiqua" w:cs="Book Antiqua"/>
          <w:color w:val="000000" w:themeColor="text1"/>
        </w:rPr>
        <w:t>. There was a</w:t>
      </w:r>
      <w:r w:rsidRPr="00DF51B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t>statistically significant correlation between</w:t>
      </w:r>
      <w:r w:rsidR="00F06A38" w:rsidRPr="00DF51BA">
        <w:rPr>
          <w:rFonts w:ascii="Book Antiqua" w:hAnsi="Book Antiqua" w:cs="Book Antiqua"/>
          <w:color w:val="000000" w:themeColor="text1"/>
          <w:lang w:eastAsia="zh-CN"/>
        </w:rPr>
        <w:t xml:space="preserve"> </w:t>
      </w:r>
      <w:r w:rsidR="000F237C" w:rsidRPr="00DF51BA">
        <w:rPr>
          <w:rFonts w:ascii="Book Antiqua" w:hAnsi="Book Antiqua" w:cs="Book Antiqua"/>
          <w:color w:val="000000" w:themeColor="text1"/>
          <w:lang w:eastAsia="zh-CN"/>
        </w:rPr>
        <w:t xml:space="preserve">the </w:t>
      </w:r>
      <w:r w:rsidR="008D175F" w:rsidRPr="00DF51BA">
        <w:rPr>
          <w:rFonts w:ascii="Book Antiqua" w:eastAsia="Book Antiqua" w:hAnsi="Book Antiqua" w:cs="Book Antiqua"/>
          <w:color w:val="000000" w:themeColor="text1"/>
        </w:rPr>
        <w:t>type of anticoagulant (LMWH or fondaparinux) and appearance of anti-PF4/heparin</w:t>
      </w:r>
      <w:r w:rsidR="000F237C" w:rsidRPr="00DF51B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lastRenderedPageBreak/>
        <w:t xml:space="preserve">antibodies the </w:t>
      </w:r>
      <w:r w:rsidR="00E908DA">
        <w:rPr>
          <w:rFonts w:ascii="Book Antiqua" w:eastAsia="Book Antiqua" w:hAnsi="Book Antiqua" w:cs="Book Antiqua"/>
          <w:color w:val="000000" w:themeColor="text1"/>
        </w:rPr>
        <w:t>1</w:t>
      </w:r>
      <w:r w:rsidR="00E908DA" w:rsidRPr="007D6DE8">
        <w:rPr>
          <w:rFonts w:ascii="Book Antiqua" w:eastAsia="Book Antiqua" w:hAnsi="Book Antiqua" w:cs="Book Antiqua"/>
          <w:color w:val="000000" w:themeColor="text1"/>
          <w:vertAlign w:val="superscript"/>
        </w:rPr>
        <w:t>st</w:t>
      </w:r>
      <w:r w:rsidR="00E908D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t xml:space="preserve">postoperative week (Fisher’s </w:t>
      </w:r>
      <w:r w:rsidR="00571DA5" w:rsidRPr="00DF51BA">
        <w:rPr>
          <w:rFonts w:ascii="Book Antiqua" w:eastAsia="Book Antiqua" w:hAnsi="Book Antiqua" w:cs="Book Antiqua"/>
          <w:color w:val="000000" w:themeColor="text1"/>
        </w:rPr>
        <w:t>e</w:t>
      </w:r>
      <w:r w:rsidR="008D175F" w:rsidRPr="00DF51BA">
        <w:rPr>
          <w:rFonts w:ascii="Book Antiqua" w:eastAsia="Book Antiqua" w:hAnsi="Book Antiqua" w:cs="Book Antiqua"/>
          <w:color w:val="000000" w:themeColor="text1"/>
        </w:rPr>
        <w:t>xact</w:t>
      </w:r>
      <w:r w:rsidR="00571DA5" w:rsidRPr="00DF51BA">
        <w:rPr>
          <w:rFonts w:ascii="Book Antiqua" w:eastAsia="Book Antiqua" w:hAnsi="Book Antiqua" w:cs="Book Antiqua"/>
          <w:color w:val="000000" w:themeColor="text1"/>
        </w:rPr>
        <w:t xml:space="preserve"> test</w:t>
      </w:r>
      <w:r w:rsidR="008D175F" w:rsidRPr="00DF51BA">
        <w:rPr>
          <w:rFonts w:ascii="Book Antiqua" w:eastAsia="Book Antiqua" w:hAnsi="Book Antiqua" w:cs="Book Antiqua"/>
          <w:color w:val="000000" w:themeColor="text1"/>
        </w:rPr>
        <w:t xml:space="preserve">, </w:t>
      </w:r>
      <w:r w:rsidR="00F06A38" w:rsidRPr="00DF51BA">
        <w:rPr>
          <w:rFonts w:ascii="Book Antiqua" w:eastAsia="Book Antiqua" w:hAnsi="Book Antiqua" w:cs="Book Antiqua"/>
          <w:i/>
          <w:color w:val="000000" w:themeColor="text1"/>
        </w:rPr>
        <w:t>P</w:t>
      </w:r>
      <w:r w:rsidR="00F06A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value</w:t>
      </w:r>
      <w:r w:rsidR="00B42276"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B42276"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0.005). The odds of anti-PF4/heparin antibody emergence the first postoperative week was about 8.2% greater in patients receiving fondaparinux than those receiving LMWH.</w:t>
      </w:r>
    </w:p>
    <w:p w:rsidR="00A77B3E" w:rsidRPr="00DF51BA" w:rsidRDefault="008D175F" w:rsidP="00DF51BA">
      <w:pPr>
        <w:snapToGrid w:val="0"/>
        <w:spacing w:line="360" w:lineRule="auto"/>
        <w:ind w:firstLineChars="100" w:firstLine="240"/>
        <w:jc w:val="both"/>
        <w:rPr>
          <w:rFonts w:ascii="Book Antiqua" w:hAnsi="Book Antiqua"/>
          <w:color w:val="000000" w:themeColor="text1"/>
        </w:rPr>
      </w:pPr>
      <w:r w:rsidRPr="00DF51BA">
        <w:rPr>
          <w:rFonts w:ascii="Book Antiqua" w:eastAsia="Book Antiqua" w:hAnsi="Book Antiqua" w:cs="Book Antiqua"/>
          <w:color w:val="000000" w:themeColor="text1"/>
        </w:rPr>
        <w:t>There was a peak in the appearance of anti-PF4/heparin antibodies on the 7</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 (9/18 patients, 50.0%). Three patients developed anti-PF4/heparin antibodies on the 3</w:t>
      </w:r>
      <w:r w:rsidRPr="00DF51BA">
        <w:rPr>
          <w:rFonts w:ascii="Book Antiqua" w:eastAsia="Book Antiqua" w:hAnsi="Book Antiqua" w:cs="Book Antiqua"/>
          <w:color w:val="000000" w:themeColor="text1"/>
          <w:vertAlign w:val="superscript"/>
        </w:rPr>
        <w:t>rd</w:t>
      </w:r>
      <w:r w:rsidRPr="00DF51BA">
        <w:rPr>
          <w:rFonts w:ascii="Book Antiqua" w:eastAsia="Book Antiqua" w:hAnsi="Book Antiqua" w:cs="Book Antiqua"/>
          <w:color w:val="000000" w:themeColor="text1"/>
        </w:rPr>
        <w:t xml:space="preserve"> postoperative day, </w:t>
      </w:r>
      <w:r w:rsidR="00E908DA">
        <w:rPr>
          <w:rFonts w:ascii="Book Antiqua" w:eastAsia="Book Antiqua" w:hAnsi="Book Antiqua" w:cs="Book Antiqua"/>
          <w:color w:val="000000" w:themeColor="text1"/>
        </w:rPr>
        <w:t>3</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on the 20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 </w:t>
      </w:r>
      <w:r w:rsidR="00E908DA">
        <w:rPr>
          <w:rFonts w:ascii="Book Antiqua" w:eastAsia="Book Antiqua" w:hAnsi="Book Antiqua" w:cs="Book Antiqua"/>
          <w:color w:val="000000" w:themeColor="text1"/>
        </w:rPr>
        <w:t>2</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on the 60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w:t>
      </w:r>
      <w:r w:rsidR="000F237C"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w:t>
      </w:r>
      <w:r w:rsidR="00E908DA">
        <w:rPr>
          <w:rFonts w:ascii="Book Antiqua" w:eastAsia="Book Antiqua" w:hAnsi="Book Antiqua" w:cs="Book Antiqua"/>
          <w:color w:val="000000" w:themeColor="text1"/>
        </w:rPr>
        <w:t>1</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patient </w:t>
      </w:r>
      <w:r w:rsidR="00B726F1">
        <w:rPr>
          <w:rFonts w:ascii="Book Antiqua" w:eastAsia="Book Antiqua" w:hAnsi="Book Antiqua" w:cs="Book Antiqua"/>
          <w:color w:val="000000" w:themeColor="text1"/>
        </w:rPr>
        <w:t>3 mo</w:t>
      </w:r>
      <w:r w:rsidRPr="00DF51BA">
        <w:rPr>
          <w:rFonts w:ascii="Book Antiqua" w:eastAsia="Book Antiqua" w:hAnsi="Book Antiqua" w:cs="Book Antiqua"/>
          <w:color w:val="000000" w:themeColor="text1"/>
        </w:rPr>
        <w:t xml:space="preserve"> postoperatively. </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b/>
          <w:color w:val="000000" w:themeColor="text1"/>
        </w:rPr>
      </w:pPr>
      <w:r w:rsidRPr="00DF51BA">
        <w:rPr>
          <w:rFonts w:ascii="Book Antiqua" w:eastAsia="Book Antiqua" w:hAnsi="Book Antiqua" w:cs="Book Antiqua"/>
          <w:b/>
          <w:i/>
          <w:iCs/>
          <w:color w:val="000000" w:themeColor="text1"/>
        </w:rPr>
        <w:t>HIT</w:t>
      </w:r>
    </w:p>
    <w:p w:rsidR="00A77B3E" w:rsidRPr="00DF51BA" w:rsidRDefault="00657FDE"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HIT, defined as a fall in platelet count &gt;</w:t>
      </w:r>
      <w:r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50% of preoperative values (or the highest value preceding anticoagulant administration)</w:t>
      </w:r>
      <w:r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and presence of anti-PF4/heparin IgG antibodies (strongly positive immunoassay, OD &gt; 1) developed in 4</w:t>
      </w:r>
      <w:r w:rsidR="008D175F" w:rsidRPr="00DF51BA">
        <w:rPr>
          <w:rFonts w:ascii="Book Antiqua" w:eastAsia="Book Antiqua" w:hAnsi="Book Antiqua" w:cs="Book Antiqua"/>
          <w:color w:val="000000" w:themeColor="text1"/>
        </w:rPr>
        <w:t xml:space="preserve"> of 196 patients (2.0%) </w:t>
      </w:r>
      <w:r w:rsidR="00B42276" w:rsidRPr="00DF51BA">
        <w:rPr>
          <w:rFonts w:ascii="Book Antiqua" w:hAnsi="Book Antiqua" w:cs="Book Antiqua"/>
          <w:color w:val="000000" w:themeColor="text1"/>
          <w:lang w:eastAsia="zh-CN"/>
        </w:rPr>
        <w:t>(</w:t>
      </w:r>
      <w:r w:rsidR="00B42276" w:rsidRPr="00DF51BA">
        <w:rPr>
          <w:rFonts w:ascii="Book Antiqua" w:hAnsi="Book Antiqua"/>
          <w:color w:val="000000"/>
        </w:rPr>
        <w:t xml:space="preserve">Figure </w:t>
      </w:r>
      <w:r w:rsidR="00B42276" w:rsidRPr="00DF51BA">
        <w:rPr>
          <w:rFonts w:ascii="Book Antiqua" w:hAnsi="Book Antiqua"/>
          <w:color w:val="000000"/>
          <w:lang w:eastAsia="zh-CN"/>
        </w:rPr>
        <w:t>3</w:t>
      </w:r>
      <w:r w:rsidR="00B42276" w:rsidRPr="00DF51BA">
        <w:rPr>
          <w:rFonts w:ascii="Book Antiqua" w:hAnsi="Book Antiqua" w:cs="Book Antiqua"/>
          <w:color w:val="000000" w:themeColor="text1"/>
          <w:lang w:eastAsia="zh-CN"/>
        </w:rPr>
        <w:t>)</w:t>
      </w:r>
      <w:r w:rsidR="008D175F" w:rsidRPr="00DF51BA">
        <w:rPr>
          <w:rFonts w:ascii="Book Antiqua" w:eastAsia="Book Antiqua" w:hAnsi="Book Antiqua" w:cs="Book Antiqua"/>
          <w:color w:val="000000" w:themeColor="text1"/>
        </w:rPr>
        <w:t>. Two of these patients developed the syndrome</w:t>
      </w:r>
      <w:r w:rsidR="005577D3" w:rsidRPr="00DF51B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t xml:space="preserve">in the first postoperative week, while the other 2 patients developed it between the second postoperative week and the </w:t>
      </w:r>
      <w:r w:rsidR="00B726F1">
        <w:rPr>
          <w:rFonts w:ascii="Book Antiqua" w:eastAsia="Book Antiqua" w:hAnsi="Book Antiqua" w:cs="Book Antiqua"/>
          <w:color w:val="000000" w:themeColor="text1"/>
        </w:rPr>
        <w:t>3</w:t>
      </w:r>
      <w:r w:rsidR="00B726F1" w:rsidRPr="007D6DE8">
        <w:rPr>
          <w:rFonts w:ascii="Book Antiqua" w:eastAsia="Book Antiqua" w:hAnsi="Book Antiqua" w:cs="Book Antiqua"/>
          <w:color w:val="000000" w:themeColor="text1"/>
          <w:vertAlign w:val="superscript"/>
        </w:rPr>
        <w:t>rd</w:t>
      </w:r>
      <w:r w:rsidR="00B726F1">
        <w:rPr>
          <w:rFonts w:ascii="Book Antiqua" w:eastAsia="Book Antiqua" w:hAnsi="Book Antiqua" w:cs="Book Antiqua"/>
          <w:color w:val="000000" w:themeColor="text1"/>
        </w:rPr>
        <w:t xml:space="preserve"> mo</w:t>
      </w:r>
      <w:r w:rsidR="008D175F" w:rsidRPr="00DF51BA">
        <w:rPr>
          <w:rFonts w:ascii="Book Antiqua" w:eastAsia="Book Antiqua" w:hAnsi="Book Antiqua" w:cs="Book Antiqua"/>
          <w:color w:val="000000" w:themeColor="text1"/>
        </w:rPr>
        <w:t>. However, there was no significant correlation between the platelet counts of postoperative days 1-4 and the antibodies detected at days 3 or 7, or the antibodies detected across any of</w:t>
      </w:r>
      <w:r w:rsidR="005577D3" w:rsidRPr="00DF51B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t>the time frames of this study (</w:t>
      </w:r>
      <w:r w:rsidR="0056681E" w:rsidRPr="00DF51BA">
        <w:rPr>
          <w:rFonts w:ascii="Book Antiqua" w:eastAsia="Book Antiqua" w:hAnsi="Book Antiqua" w:cs="Book Antiqua"/>
          <w:i/>
          <w:color w:val="000000" w:themeColor="text1"/>
        </w:rPr>
        <w:t>P</w:t>
      </w:r>
      <w:r w:rsidR="0056681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56681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1.000, Fisher’s </w:t>
      </w:r>
      <w:r w:rsidR="00571DA5" w:rsidRPr="00DF51BA">
        <w:rPr>
          <w:rFonts w:ascii="Book Antiqua" w:eastAsia="Book Antiqua" w:hAnsi="Book Antiqua" w:cs="Book Antiqua"/>
          <w:color w:val="000000" w:themeColor="text1"/>
        </w:rPr>
        <w:t>e</w:t>
      </w:r>
      <w:r w:rsidR="008D175F" w:rsidRPr="00DF51BA">
        <w:rPr>
          <w:rFonts w:ascii="Book Antiqua" w:eastAsia="Book Antiqua" w:hAnsi="Book Antiqua" w:cs="Book Antiqua"/>
          <w:color w:val="000000" w:themeColor="text1"/>
        </w:rPr>
        <w:t xml:space="preserve">xact </w:t>
      </w:r>
      <w:r w:rsidR="00571DA5" w:rsidRPr="00DF51BA">
        <w:rPr>
          <w:rFonts w:ascii="Book Antiqua" w:eastAsia="Book Antiqua" w:hAnsi="Book Antiqua" w:cs="Book Antiqua"/>
          <w:color w:val="000000" w:themeColor="text1"/>
        </w:rPr>
        <w:t>t</w:t>
      </w:r>
      <w:r w:rsidR="008D175F" w:rsidRPr="00DF51BA">
        <w:rPr>
          <w:rFonts w:ascii="Book Antiqua" w:eastAsia="Book Antiqua" w:hAnsi="Book Antiqua" w:cs="Book Antiqua"/>
          <w:color w:val="000000" w:themeColor="text1"/>
        </w:rPr>
        <w:t>est). Also, there was no significant correlation between the platelet counts of days 5-7 and the antibodies detected on day 7 (</w:t>
      </w:r>
      <w:r w:rsidR="0056681E" w:rsidRPr="00DF51BA">
        <w:rPr>
          <w:rFonts w:ascii="Book Antiqua" w:eastAsia="Book Antiqua" w:hAnsi="Book Antiqua" w:cs="Book Antiqua"/>
          <w:i/>
          <w:color w:val="000000" w:themeColor="text1"/>
        </w:rPr>
        <w:t>P</w:t>
      </w:r>
      <w:r w:rsidR="0056681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56681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1.000, Fisher’s </w:t>
      </w:r>
      <w:r w:rsidR="00571DA5" w:rsidRPr="00DF51BA">
        <w:rPr>
          <w:rFonts w:ascii="Book Antiqua" w:eastAsia="Book Antiqua" w:hAnsi="Book Antiqua" w:cs="Book Antiqua"/>
          <w:color w:val="000000" w:themeColor="text1"/>
        </w:rPr>
        <w:t>e</w:t>
      </w:r>
      <w:r w:rsidR="008D175F" w:rsidRPr="00DF51BA">
        <w:rPr>
          <w:rFonts w:ascii="Book Antiqua" w:eastAsia="Book Antiqua" w:hAnsi="Book Antiqua" w:cs="Book Antiqua"/>
          <w:color w:val="000000" w:themeColor="text1"/>
        </w:rPr>
        <w:t xml:space="preserve">xact </w:t>
      </w:r>
      <w:r w:rsidR="00571DA5" w:rsidRPr="00DF51BA">
        <w:rPr>
          <w:rFonts w:ascii="Book Antiqua" w:eastAsia="Book Antiqua" w:hAnsi="Book Antiqua" w:cs="Book Antiqua"/>
          <w:color w:val="000000" w:themeColor="text1"/>
        </w:rPr>
        <w:t>t</w:t>
      </w:r>
      <w:r w:rsidR="008D175F" w:rsidRPr="00DF51BA">
        <w:rPr>
          <w:rFonts w:ascii="Book Antiqua" w:eastAsia="Book Antiqua" w:hAnsi="Book Antiqua" w:cs="Book Antiqua"/>
          <w:color w:val="000000" w:themeColor="text1"/>
        </w:rPr>
        <w:t>est), or the antibodies detected across any of the time frames of this study (</w:t>
      </w:r>
      <w:r w:rsidR="00850A9E" w:rsidRPr="00DF51BA">
        <w:rPr>
          <w:rFonts w:ascii="Book Antiqua" w:eastAsia="Book Antiqua" w:hAnsi="Book Antiqua" w:cs="Book Antiqua"/>
          <w:i/>
          <w:color w:val="000000" w:themeColor="text1"/>
        </w:rPr>
        <w:t>P</w:t>
      </w:r>
      <w:r w:rsidR="00850A9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850A9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0.212, Fisher’s </w:t>
      </w:r>
      <w:r w:rsidR="00571DA5" w:rsidRPr="00DF51BA">
        <w:rPr>
          <w:rFonts w:ascii="Book Antiqua" w:eastAsia="Book Antiqua" w:hAnsi="Book Antiqua" w:cs="Book Antiqua"/>
          <w:color w:val="000000" w:themeColor="text1"/>
        </w:rPr>
        <w:t>e</w:t>
      </w:r>
      <w:r w:rsidR="008D175F" w:rsidRPr="00DF51BA">
        <w:rPr>
          <w:rFonts w:ascii="Book Antiqua" w:eastAsia="Book Antiqua" w:hAnsi="Book Antiqua" w:cs="Book Antiqua"/>
          <w:color w:val="000000" w:themeColor="text1"/>
        </w:rPr>
        <w:t xml:space="preserve">xact </w:t>
      </w:r>
      <w:r w:rsidR="00571DA5" w:rsidRPr="00DF51BA">
        <w:rPr>
          <w:rFonts w:ascii="Book Antiqua" w:eastAsia="Book Antiqua" w:hAnsi="Book Antiqua" w:cs="Book Antiqua"/>
          <w:color w:val="000000" w:themeColor="text1"/>
        </w:rPr>
        <w:t>t</w:t>
      </w:r>
      <w:r w:rsidR="008D175F" w:rsidRPr="00DF51BA">
        <w:rPr>
          <w:rFonts w:ascii="Book Antiqua" w:eastAsia="Book Antiqua" w:hAnsi="Book Antiqua" w:cs="Book Antiqua"/>
          <w:color w:val="000000" w:themeColor="text1"/>
        </w:rPr>
        <w:t>est).</w:t>
      </w:r>
      <w:r w:rsidR="00850A9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Three of the patients that developed HIT were receiving LMWH for anticoagulation and one was receiving fondaparinux.</w:t>
      </w:r>
    </w:p>
    <w:p w:rsidR="00375746" w:rsidRPr="00DF51BA" w:rsidRDefault="00375746" w:rsidP="00DF51BA">
      <w:pPr>
        <w:snapToGrid w:val="0"/>
        <w:spacing w:line="360" w:lineRule="auto"/>
        <w:jc w:val="both"/>
        <w:rPr>
          <w:rFonts w:ascii="Book Antiqua" w:hAnsi="Book Antiqua" w:cs="Book Antiqua"/>
          <w:color w:val="000000" w:themeColor="text1"/>
          <w:lang w:eastAsia="zh-CN"/>
        </w:rPr>
      </w:pPr>
    </w:p>
    <w:p w:rsidR="00A77B3E" w:rsidRPr="00DF51BA" w:rsidRDefault="008D175F" w:rsidP="00DF51BA">
      <w:pPr>
        <w:snapToGrid w:val="0"/>
        <w:spacing w:line="360" w:lineRule="auto"/>
        <w:jc w:val="both"/>
        <w:rPr>
          <w:rFonts w:ascii="Book Antiqua" w:hAnsi="Book Antiqua"/>
          <w:b/>
          <w:color w:val="000000" w:themeColor="text1"/>
        </w:rPr>
      </w:pPr>
      <w:r w:rsidRPr="00DF51BA">
        <w:rPr>
          <w:rFonts w:ascii="Book Antiqua" w:eastAsia="Book Antiqua" w:hAnsi="Book Antiqua" w:cs="Book Antiqua"/>
          <w:b/>
          <w:i/>
          <w:color w:val="000000" w:themeColor="text1"/>
        </w:rPr>
        <w:t xml:space="preserve">Mutations of coagulation factors </w:t>
      </w:r>
    </w:p>
    <w:p w:rsidR="00A77B3E" w:rsidRPr="00DF51BA" w:rsidRDefault="00657FDE"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The </w:t>
      </w:r>
      <w:r w:rsidR="008D175F" w:rsidRPr="00DF51BA">
        <w:rPr>
          <w:rFonts w:ascii="Book Antiqua" w:eastAsia="Book Antiqua" w:hAnsi="Book Antiqua" w:cs="Book Antiqua"/>
          <w:color w:val="000000" w:themeColor="text1"/>
        </w:rPr>
        <w:t>FV1691G/A (</w:t>
      </w:r>
      <w:r w:rsidRPr="00DF51BA">
        <w:rPr>
          <w:rFonts w:ascii="Book Antiqua" w:eastAsia="Book Antiqua" w:hAnsi="Book Antiqua" w:cs="Book Antiqua"/>
          <w:color w:val="000000" w:themeColor="text1"/>
        </w:rPr>
        <w:t xml:space="preserve">factor </w:t>
      </w:r>
      <w:r w:rsidR="008D175F" w:rsidRPr="00DF51BA">
        <w:rPr>
          <w:rFonts w:ascii="Book Antiqua" w:eastAsia="Book Antiqua" w:hAnsi="Book Antiqua" w:cs="Book Antiqua"/>
          <w:color w:val="000000" w:themeColor="text1"/>
        </w:rPr>
        <w:t xml:space="preserve">V Leiden) mutation was detected in </w:t>
      </w:r>
      <w:r w:rsidR="00B726F1">
        <w:rPr>
          <w:rFonts w:ascii="Book Antiqua" w:eastAsia="Book Antiqua" w:hAnsi="Book Antiqua" w:cs="Book Antiqua"/>
          <w:color w:val="000000" w:themeColor="text1"/>
        </w:rPr>
        <w:t>5</w:t>
      </w:r>
      <w:r w:rsidR="00B726F1" w:rsidRPr="00DF51B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t xml:space="preserve">patients (2.6%), while heterozygosity and homozygosity for </w:t>
      </w:r>
      <w:r w:rsidRPr="00DF51BA">
        <w:rPr>
          <w:rFonts w:ascii="Book Antiqua" w:eastAsia="Book Antiqua" w:hAnsi="Book Antiqua" w:cs="Book Antiqua"/>
          <w:color w:val="000000" w:themeColor="text1"/>
        </w:rPr>
        <w:t xml:space="preserve">the </w:t>
      </w:r>
      <w:r w:rsidR="008D175F" w:rsidRPr="00DF51BA">
        <w:rPr>
          <w:rFonts w:ascii="Book Antiqua" w:eastAsia="Book Antiqua" w:hAnsi="Book Antiqua" w:cs="Book Antiqua"/>
          <w:color w:val="000000" w:themeColor="text1"/>
        </w:rPr>
        <w:t>G20210A mutation in the prothrombin gene was demonstrated in 8 (4.1%)</w:t>
      </w:r>
      <w:r w:rsidRPr="00DF51BA">
        <w:rPr>
          <w:rFonts w:ascii="Book Antiqua" w:eastAsia="Book Antiqua" w:hAnsi="Book Antiqua" w:cs="Book Antiqua"/>
          <w:color w:val="000000" w:themeColor="text1"/>
        </w:rPr>
        <w:t xml:space="preserve"> patients</w:t>
      </w:r>
      <w:r w:rsidR="008D175F" w:rsidRPr="00DF51BA">
        <w:rPr>
          <w:rFonts w:ascii="Book Antiqua" w:eastAsia="Book Antiqua" w:hAnsi="Book Antiqua" w:cs="Book Antiqua"/>
          <w:color w:val="000000" w:themeColor="text1"/>
        </w:rPr>
        <w:t xml:space="preserve"> and 2 (1%) patients, respectively. Two patients (1.0%) were heterozygotes for both factor V Leiden and G20210A mutation. </w:t>
      </w:r>
      <w:r w:rsidRPr="00DF51BA">
        <w:rPr>
          <w:rFonts w:ascii="Book Antiqua" w:eastAsia="Book Antiqua" w:hAnsi="Book Antiqua" w:cs="Book Antiqua"/>
          <w:color w:val="000000" w:themeColor="text1"/>
        </w:rPr>
        <w:t xml:space="preserve">The </w:t>
      </w:r>
      <w:r w:rsidR="008D175F" w:rsidRPr="00DF51BA">
        <w:rPr>
          <w:rFonts w:ascii="Book Antiqua" w:eastAsia="Book Antiqua" w:hAnsi="Book Antiqua" w:cs="Book Antiqua"/>
          <w:color w:val="000000" w:themeColor="text1"/>
        </w:rPr>
        <w:t xml:space="preserve">677T </w:t>
      </w:r>
      <w:r w:rsidR="008D175F" w:rsidRPr="00DF51BA">
        <w:rPr>
          <w:rFonts w:ascii="Book Antiqua" w:eastAsia="Book Antiqua" w:hAnsi="Book Antiqua" w:cs="Book Antiqua"/>
          <w:color w:val="000000" w:themeColor="text1"/>
        </w:rPr>
        <w:lastRenderedPageBreak/>
        <w:t>MTHFR polymorphism was present in almost 50% of patients (32.7% heterozygous/13.8% homozygous).</w:t>
      </w:r>
    </w:p>
    <w:p w:rsidR="00A77B3E" w:rsidRPr="00DF51BA" w:rsidRDefault="00657FDE" w:rsidP="00DF51BA">
      <w:pPr>
        <w:snapToGrid w:val="0"/>
        <w:spacing w:line="360" w:lineRule="auto"/>
        <w:ind w:firstLine="426"/>
        <w:jc w:val="both"/>
        <w:rPr>
          <w:rFonts w:ascii="Book Antiqua" w:hAnsi="Book Antiqua" w:cs="Book Antiqua"/>
          <w:color w:val="000000" w:themeColor="text1"/>
          <w:lang w:eastAsia="zh-CN"/>
        </w:rPr>
      </w:pPr>
      <w:r w:rsidRPr="00DF51BA">
        <w:rPr>
          <w:rFonts w:ascii="Book Antiqua" w:eastAsia="Book Antiqua" w:hAnsi="Book Antiqua" w:cs="Book Antiqua"/>
          <w:color w:val="000000" w:themeColor="text1"/>
        </w:rPr>
        <w:t xml:space="preserve">Abnormal low protein C and/or S levels </w:t>
      </w:r>
      <w:r w:rsidR="00DC6DE1" w:rsidRPr="00DF51BA">
        <w:rPr>
          <w:rFonts w:ascii="Book Antiqua" w:eastAsia="Book Antiqua" w:hAnsi="Book Antiqua" w:cs="Book Antiqua"/>
          <w:color w:val="000000" w:themeColor="text1"/>
        </w:rPr>
        <w:t>were found in 3</w:t>
      </w:r>
      <w:r w:rsidR="008D175F" w:rsidRPr="00DF51BA">
        <w:rPr>
          <w:rFonts w:ascii="Book Antiqua" w:eastAsia="Book Antiqua" w:hAnsi="Book Antiqua" w:cs="Book Antiqua"/>
          <w:color w:val="000000" w:themeColor="text1"/>
        </w:rPr>
        <w:t xml:space="preserve"> of 196 (1.5%) patients, while all patients had normal levels of </w:t>
      </w:r>
      <w:r w:rsidR="00D43F1B" w:rsidRPr="00DF51BA">
        <w:rPr>
          <w:rFonts w:ascii="Book Antiqua" w:eastAsia="Book Antiqua" w:hAnsi="Book Antiqua" w:cs="Book Antiqua"/>
          <w:color w:val="000000" w:themeColor="text1"/>
        </w:rPr>
        <w:t>von Willebrand factor</w:t>
      </w:r>
      <w:r w:rsidR="008D175F" w:rsidRPr="00DF51BA">
        <w:rPr>
          <w:rFonts w:ascii="Book Antiqua" w:eastAsia="Book Antiqua" w:hAnsi="Book Antiqua" w:cs="Book Antiqua"/>
          <w:color w:val="000000" w:themeColor="text1"/>
        </w:rPr>
        <w:t xml:space="preserve">, </w:t>
      </w:r>
      <w:r w:rsidR="00DC6DE1" w:rsidRPr="00DF51BA">
        <w:rPr>
          <w:rFonts w:ascii="Book Antiqua" w:eastAsia="Book Antiqua" w:hAnsi="Book Antiqua" w:cs="Book Antiqua"/>
          <w:color w:val="000000" w:themeColor="text1"/>
        </w:rPr>
        <w:t>l</w:t>
      </w:r>
      <w:r w:rsidR="00D43F1B" w:rsidRPr="00DF51BA">
        <w:rPr>
          <w:rFonts w:ascii="Book Antiqua" w:eastAsia="Book Antiqua" w:hAnsi="Book Antiqua" w:cs="Book Antiqua"/>
          <w:color w:val="000000" w:themeColor="text1"/>
        </w:rPr>
        <w:t xml:space="preserve">upus </w:t>
      </w:r>
      <w:r w:rsidR="00DC6DE1" w:rsidRPr="00DF51BA">
        <w:rPr>
          <w:rFonts w:ascii="Book Antiqua" w:eastAsia="Book Antiqua" w:hAnsi="Book Antiqua" w:cs="Book Antiqua"/>
          <w:color w:val="000000" w:themeColor="text1"/>
        </w:rPr>
        <w:t>a</w:t>
      </w:r>
      <w:r w:rsidR="00D43F1B" w:rsidRPr="00DF51BA">
        <w:rPr>
          <w:rFonts w:ascii="Book Antiqua" w:eastAsia="Book Antiqua" w:hAnsi="Book Antiqua" w:cs="Book Antiqua"/>
          <w:color w:val="000000" w:themeColor="text1"/>
        </w:rPr>
        <w:t>nticoagulant</w:t>
      </w:r>
      <w:r w:rsidR="00DC6DE1" w:rsidRPr="00DF51BA">
        <w:rPr>
          <w:rFonts w:ascii="Book Antiqua" w:eastAsia="Book Antiqua" w:hAnsi="Book Antiqua" w:cs="Book Antiqua"/>
          <w:color w:val="000000" w:themeColor="text1"/>
        </w:rPr>
        <w:t>,</w:t>
      </w:r>
      <w:r w:rsidR="008D175F" w:rsidRPr="00DF51BA">
        <w:rPr>
          <w:rFonts w:ascii="Book Antiqua" w:eastAsia="Book Antiqua" w:hAnsi="Book Antiqua" w:cs="Book Antiqua"/>
          <w:color w:val="000000" w:themeColor="text1"/>
        </w:rPr>
        <w:t xml:space="preserve"> and </w:t>
      </w:r>
      <w:r w:rsidR="00DF3F2C" w:rsidRPr="00DF51BA">
        <w:rPr>
          <w:rFonts w:ascii="Book Antiqua" w:eastAsia="Book Antiqua" w:hAnsi="Book Antiqua" w:cs="Book Antiqua"/>
          <w:color w:val="000000" w:themeColor="text1"/>
        </w:rPr>
        <w:t>antithrombin III</w:t>
      </w:r>
      <w:r w:rsidR="008D175F" w:rsidRPr="00DF51BA">
        <w:rPr>
          <w:rFonts w:ascii="Book Antiqua" w:eastAsia="Book Antiqua" w:hAnsi="Book Antiqua" w:cs="Book Antiqua"/>
          <w:color w:val="000000" w:themeColor="text1"/>
        </w:rPr>
        <w:t>.</w:t>
      </w:r>
    </w:p>
    <w:p w:rsidR="0056792A" w:rsidRPr="00DF51BA" w:rsidRDefault="0056792A" w:rsidP="00DF51BA">
      <w:pPr>
        <w:snapToGrid w:val="0"/>
        <w:spacing w:line="360" w:lineRule="auto"/>
        <w:ind w:firstLine="426"/>
        <w:jc w:val="both"/>
        <w:rPr>
          <w:rFonts w:ascii="Book Antiqua" w:hAnsi="Book Antiqua"/>
          <w:color w:val="000000" w:themeColor="text1"/>
          <w:lang w:eastAsia="zh-CN"/>
        </w:rPr>
      </w:pPr>
    </w:p>
    <w:p w:rsidR="00A77B3E" w:rsidRPr="00DF51BA" w:rsidRDefault="008D175F" w:rsidP="00DF51BA">
      <w:pPr>
        <w:snapToGrid w:val="0"/>
        <w:spacing w:line="360" w:lineRule="auto"/>
        <w:jc w:val="both"/>
        <w:rPr>
          <w:rFonts w:ascii="Book Antiqua" w:hAnsi="Book Antiqua"/>
          <w:b/>
          <w:color w:val="000000" w:themeColor="text1"/>
        </w:rPr>
      </w:pPr>
      <w:r w:rsidRPr="00DF51BA">
        <w:rPr>
          <w:rFonts w:ascii="Book Antiqua" w:eastAsia="Book Antiqua" w:hAnsi="Book Antiqua" w:cs="Book Antiqua"/>
          <w:b/>
          <w:i/>
          <w:color w:val="000000" w:themeColor="text1"/>
        </w:rPr>
        <w:t>Thrombotic events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Symptomatic thrombotic events were observed in </w:t>
      </w:r>
      <w:r w:rsidR="00DC6DE1" w:rsidRPr="00DF51BA">
        <w:rPr>
          <w:rFonts w:ascii="Book Antiqua" w:eastAsia="Book Antiqua" w:hAnsi="Book Antiqua" w:cs="Book Antiqua"/>
          <w:color w:val="000000" w:themeColor="text1"/>
        </w:rPr>
        <w:t xml:space="preserve">5 </w:t>
      </w:r>
      <w:r w:rsidRPr="00DF51BA">
        <w:rPr>
          <w:rFonts w:ascii="Book Antiqua" w:eastAsia="Book Antiqua" w:hAnsi="Book Antiqua" w:cs="Book Antiqua"/>
          <w:color w:val="000000" w:themeColor="text1"/>
        </w:rPr>
        <w:t>of the 196 patients [two incidents of DVT the 7</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and 8</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days, two incidents of PE the 2</w:t>
      </w:r>
      <w:r w:rsidRPr="00DF51BA">
        <w:rPr>
          <w:rFonts w:ascii="Book Antiqua" w:eastAsia="Book Antiqua" w:hAnsi="Book Antiqua" w:cs="Book Antiqua"/>
          <w:color w:val="000000" w:themeColor="text1"/>
          <w:vertAlign w:val="superscript"/>
        </w:rPr>
        <w:t>nd</w:t>
      </w:r>
      <w:r w:rsidRPr="00DF51BA">
        <w:rPr>
          <w:rFonts w:ascii="Book Antiqua" w:eastAsia="Book Antiqua" w:hAnsi="Book Antiqua" w:cs="Book Antiqua"/>
          <w:color w:val="000000" w:themeColor="text1"/>
        </w:rPr>
        <w:t xml:space="preserve"> and 14</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days, and one </w:t>
      </w:r>
      <w:r w:rsidR="00BD2D66" w:rsidRPr="00DF51BA">
        <w:rPr>
          <w:rFonts w:ascii="Book Antiqua" w:eastAsia="Book Antiqua" w:hAnsi="Book Antiqua" w:cs="Book Antiqua"/>
          <w:color w:val="000000" w:themeColor="text1"/>
        </w:rPr>
        <w:t>myocardial infarction</w:t>
      </w:r>
      <w:r w:rsidR="00DC6DE1" w:rsidRPr="00DF51BA">
        <w:rPr>
          <w:rFonts w:ascii="Book Antiqua" w:eastAsia="Book Antiqua" w:hAnsi="Book Antiqua" w:cs="Book Antiqua"/>
          <w:color w:val="000000" w:themeColor="text1"/>
        </w:rPr>
        <w:t xml:space="preserve"> in</w:t>
      </w:r>
      <w:r w:rsidR="00BD2D6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the </w:t>
      </w:r>
      <w:r w:rsidR="00B726F1">
        <w:rPr>
          <w:rFonts w:ascii="Book Antiqua" w:eastAsia="Book Antiqua" w:hAnsi="Book Antiqua" w:cs="Book Antiqua"/>
          <w:color w:val="000000" w:themeColor="text1"/>
        </w:rPr>
        <w:t>5</w:t>
      </w:r>
      <w:r w:rsidR="00B726F1" w:rsidRPr="007D6DE8">
        <w:rPr>
          <w:rFonts w:ascii="Book Antiqua" w:eastAsia="Book Antiqua" w:hAnsi="Book Antiqua" w:cs="Book Antiqua"/>
          <w:color w:val="000000" w:themeColor="text1"/>
          <w:vertAlign w:val="superscript"/>
        </w:rPr>
        <w:t>th</w:t>
      </w:r>
      <w:r w:rsidR="00B726F1">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postoperative week], while the likelihood of DVT in 10 patients (between the 4</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and 56</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w:t>
      </w:r>
      <w:r w:rsidR="00DC6DE1"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or PE in 2 patients (the 4</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and 7</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days) was not confirmed by the triplex or pulmonary ventilation/perfusion scans.</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Of 5 patients that developed thrombotic complications, 2 had positive anti-PF4/heparin antibodies (but no thrombocytopenia)</w:t>
      </w:r>
      <w:r w:rsidR="00DC6DE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2 patients (suffering from DVT and PE) were heterozygote </w:t>
      </w:r>
      <w:r w:rsidR="00DC6DE1" w:rsidRPr="00DF51BA">
        <w:rPr>
          <w:rFonts w:ascii="Book Antiqua" w:eastAsia="Book Antiqua" w:hAnsi="Book Antiqua" w:cs="Book Antiqua"/>
          <w:color w:val="000000" w:themeColor="text1"/>
        </w:rPr>
        <w:t xml:space="preserve">for </w:t>
      </w:r>
      <w:r w:rsidRPr="00DF51BA">
        <w:rPr>
          <w:rFonts w:ascii="Book Antiqua" w:eastAsia="Book Antiqua" w:hAnsi="Book Antiqua" w:cs="Book Antiqua"/>
          <w:color w:val="000000" w:themeColor="text1"/>
        </w:rPr>
        <w:t>both factor II and V mutations</w:t>
      </w:r>
      <w:r w:rsidR="000C508D" w:rsidRPr="00DF51BA">
        <w:rPr>
          <w:rFonts w:ascii="Book Antiqua" w:hAnsi="Book Antiqua" w:cs="Book Antiqua"/>
          <w:color w:val="000000" w:themeColor="text1"/>
          <w:lang w:eastAsia="zh-CN"/>
        </w:rPr>
        <w:t xml:space="preserve"> (</w:t>
      </w:r>
      <w:r w:rsidR="000C508D" w:rsidRPr="00DF51BA">
        <w:rPr>
          <w:rFonts w:ascii="Book Antiqua" w:hAnsi="Book Antiqua"/>
          <w:color w:val="000000"/>
        </w:rPr>
        <w:t xml:space="preserve">Figure </w:t>
      </w:r>
      <w:r w:rsidR="000C508D" w:rsidRPr="00DF51BA">
        <w:rPr>
          <w:rFonts w:ascii="Book Antiqua" w:hAnsi="Book Antiqua"/>
          <w:color w:val="000000"/>
          <w:lang w:eastAsia="zh-CN"/>
        </w:rPr>
        <w:t>3</w:t>
      </w:r>
      <w:r w:rsidR="000C508D" w:rsidRPr="00DF51BA">
        <w:rPr>
          <w:rFonts w:ascii="Book Antiqua" w:hAnsi="Book Antiqua" w:cs="Book Antiqua"/>
          <w:color w:val="000000" w:themeColor="text1"/>
          <w:lang w:eastAsia="zh-CN"/>
        </w:rPr>
        <w:t>)</w:t>
      </w:r>
      <w:r w:rsidRPr="00DF51BA">
        <w:rPr>
          <w:rFonts w:ascii="Book Antiqua" w:eastAsia="Book Antiqua" w:hAnsi="Book Antiqua" w:cs="Book Antiqua"/>
          <w:color w:val="000000" w:themeColor="text1"/>
        </w:rPr>
        <w:t>.</w:t>
      </w:r>
      <w:r w:rsidR="000C508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There was no significant association between thrombotic events and platelet counts preoperatively (</w:t>
      </w:r>
      <w:r w:rsidR="008E6CCE" w:rsidRPr="00DF51BA">
        <w:rPr>
          <w:rFonts w:ascii="Book Antiqua" w:eastAsia="Book Antiqua" w:hAnsi="Book Antiqua" w:cs="Book Antiqua"/>
          <w:i/>
          <w:color w:val="000000" w:themeColor="text1"/>
        </w:rPr>
        <w:t>P</w:t>
      </w:r>
      <w:r w:rsidR="008E6CC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E6CC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1.000, </w:t>
      </w:r>
      <w:r w:rsidR="00571DA5" w:rsidRPr="00DF51BA">
        <w:rPr>
          <w:rFonts w:ascii="Book Antiqua" w:eastAsia="Book Antiqua" w:hAnsi="Book Antiqua" w:cs="Book Antiqua"/>
          <w:color w:val="000000" w:themeColor="text1"/>
        </w:rPr>
        <w:t>Fisher’s exact test</w:t>
      </w:r>
      <w:r w:rsidRPr="00DF51BA">
        <w:rPr>
          <w:rFonts w:ascii="Book Antiqua" w:eastAsia="Book Antiqua" w:hAnsi="Book Antiqua" w:cs="Book Antiqua"/>
          <w:color w:val="000000" w:themeColor="text1"/>
        </w:rPr>
        <w:t>), days 1-4 (</w:t>
      </w:r>
      <w:r w:rsidR="008E6CCE" w:rsidRPr="00DF51BA">
        <w:rPr>
          <w:rFonts w:ascii="Book Antiqua" w:eastAsia="Book Antiqua" w:hAnsi="Book Antiqua" w:cs="Book Antiqua"/>
          <w:i/>
          <w:color w:val="000000" w:themeColor="text1"/>
        </w:rPr>
        <w:t>P</w:t>
      </w:r>
      <w:r w:rsidR="008E6CC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E6CC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0.574, </w:t>
      </w:r>
      <w:r w:rsidR="00571DA5" w:rsidRPr="00DF51BA">
        <w:rPr>
          <w:rFonts w:ascii="Book Antiqua" w:eastAsia="Book Antiqua" w:hAnsi="Book Antiqua" w:cs="Book Antiqua"/>
          <w:color w:val="000000" w:themeColor="text1"/>
        </w:rPr>
        <w:t>Fisher’s exact test</w:t>
      </w:r>
      <w:r w:rsidRPr="00DF51BA">
        <w:rPr>
          <w:rFonts w:ascii="Book Antiqua" w:eastAsia="Book Antiqua" w:hAnsi="Book Antiqua" w:cs="Book Antiqua"/>
          <w:color w:val="000000" w:themeColor="text1"/>
        </w:rPr>
        <w:t>)</w:t>
      </w:r>
      <w:r w:rsidR="00DC6DE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or days 5-7 (</w:t>
      </w:r>
      <w:r w:rsidR="008C66C6" w:rsidRPr="00DF51BA">
        <w:rPr>
          <w:rFonts w:ascii="Book Antiqua" w:eastAsia="Book Antiqua" w:hAnsi="Book Antiqua" w:cs="Book Antiqua"/>
          <w:i/>
          <w:color w:val="000000" w:themeColor="text1"/>
        </w:rPr>
        <w:t>P</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1.000, </w:t>
      </w:r>
      <w:r w:rsidR="00571DA5" w:rsidRPr="00DF51BA">
        <w:rPr>
          <w:rFonts w:ascii="Book Antiqua" w:eastAsia="Book Antiqua" w:hAnsi="Book Antiqua" w:cs="Book Antiqua"/>
          <w:color w:val="000000" w:themeColor="text1"/>
        </w:rPr>
        <w:t>Fisher’s exact test</w:t>
      </w:r>
      <w:r w:rsidRPr="00DF51BA">
        <w:rPr>
          <w:rFonts w:ascii="Book Antiqua" w:eastAsia="Book Antiqua" w:hAnsi="Book Antiqua" w:cs="Book Antiqua"/>
          <w:color w:val="000000" w:themeColor="text1"/>
        </w:rPr>
        <w:t>). Although not statistically significant, the association between the thrombotic events and anti-PF4/heparin antibodies (detected in all time frames) approached significance (</w:t>
      </w:r>
      <w:r w:rsidR="008C66C6" w:rsidRPr="00DF51BA">
        <w:rPr>
          <w:rFonts w:ascii="Book Antiqua" w:eastAsia="Book Antiqua" w:hAnsi="Book Antiqua" w:cs="Book Antiqua"/>
          <w:i/>
          <w:color w:val="000000" w:themeColor="text1"/>
        </w:rPr>
        <w:t>P</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0.076, </w:t>
      </w:r>
      <w:r w:rsidR="00571DA5" w:rsidRPr="00DF51BA">
        <w:rPr>
          <w:rFonts w:ascii="Book Antiqua" w:eastAsia="Book Antiqua" w:hAnsi="Book Antiqua" w:cs="Book Antiqua"/>
          <w:color w:val="000000" w:themeColor="text1"/>
        </w:rPr>
        <w:t>Fisher’s exact test</w:t>
      </w:r>
      <w:r w:rsidRPr="00DF51BA">
        <w:rPr>
          <w:rFonts w:ascii="Book Antiqua" w:eastAsia="Book Antiqua" w:hAnsi="Book Antiqua" w:cs="Book Antiqua"/>
          <w:color w:val="000000" w:themeColor="text1"/>
        </w:rPr>
        <w:t xml:space="preserve">). Finally, the presence of HIT was not associated with a thrombotic event (Fisher’s </w:t>
      </w:r>
      <w:r w:rsidR="00DC6DE1"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 xml:space="preserve">xact test, </w:t>
      </w:r>
      <w:r w:rsidR="008C66C6" w:rsidRPr="00DF51BA">
        <w:rPr>
          <w:rFonts w:ascii="Book Antiqua" w:eastAsia="Book Antiqua" w:hAnsi="Book Antiqua" w:cs="Book Antiqua"/>
          <w:i/>
          <w:color w:val="000000" w:themeColor="text1"/>
        </w:rPr>
        <w:t>P</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1.000). Thrombotic episodes were significantly correlated to mutations of factor II (Fisher’s </w:t>
      </w:r>
      <w:r w:rsidR="00DC6DE1"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xact</w:t>
      </w:r>
      <w:r w:rsidR="00DC6DE1" w:rsidRPr="00DF51BA">
        <w:rPr>
          <w:rFonts w:ascii="Book Antiqua" w:eastAsia="Book Antiqua" w:hAnsi="Book Antiqua" w:cs="Book Antiqua"/>
          <w:color w:val="000000" w:themeColor="text1"/>
        </w:rPr>
        <w:t xml:space="preserve"> test</w:t>
      </w:r>
      <w:r w:rsidRPr="00DF51BA">
        <w:rPr>
          <w:rFonts w:ascii="Book Antiqua" w:eastAsia="Book Antiqua" w:hAnsi="Book Antiqua" w:cs="Book Antiqua"/>
          <w:color w:val="000000" w:themeColor="text1"/>
        </w:rPr>
        <w:t xml:space="preserve">, </w:t>
      </w:r>
      <w:r w:rsidR="0097170C" w:rsidRPr="00DF51BA">
        <w:rPr>
          <w:rFonts w:ascii="Book Antiqua" w:eastAsia="Book Antiqua" w:hAnsi="Book Antiqua" w:cs="Book Antiqua"/>
          <w:i/>
          <w:color w:val="000000" w:themeColor="text1"/>
        </w:rPr>
        <w:t>P</w:t>
      </w:r>
      <w:r w:rsidR="0097170C" w:rsidRPr="00DF51BA">
        <w:rPr>
          <w:rFonts w:ascii="Book Antiqua" w:hAnsi="Book Antiqua" w:cs="Book Antiqua"/>
          <w:i/>
          <w:color w:val="000000" w:themeColor="text1"/>
          <w:lang w:eastAsia="zh-CN"/>
        </w:rPr>
        <w:t xml:space="preserve"> </w:t>
      </w:r>
      <w:r w:rsidRPr="00DF51BA">
        <w:rPr>
          <w:rFonts w:ascii="Book Antiqua" w:eastAsia="Book Antiqua" w:hAnsi="Book Antiqua" w:cs="Book Antiqua"/>
          <w:color w:val="000000" w:themeColor="text1"/>
        </w:rPr>
        <w:t>value</w:t>
      </w:r>
      <w:r w:rsidR="0097170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97170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0.043) and factor V (Fisher’s </w:t>
      </w:r>
      <w:r w:rsidR="00DC6DE1"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xact</w:t>
      </w:r>
      <w:r w:rsidR="00DC6DE1" w:rsidRPr="00DF51BA">
        <w:rPr>
          <w:rFonts w:ascii="Book Antiqua" w:eastAsia="Book Antiqua" w:hAnsi="Book Antiqua" w:cs="Book Antiqua"/>
          <w:color w:val="000000" w:themeColor="text1"/>
        </w:rPr>
        <w:t xml:space="preserve"> test</w:t>
      </w:r>
      <w:r w:rsidRPr="00DF51BA">
        <w:rPr>
          <w:rFonts w:ascii="Book Antiqua" w:eastAsia="Book Antiqua" w:hAnsi="Book Antiqua" w:cs="Book Antiqua"/>
          <w:color w:val="000000" w:themeColor="text1"/>
        </w:rPr>
        <w:t xml:space="preserve">, </w:t>
      </w:r>
      <w:r w:rsidR="00BA51B2" w:rsidRPr="00DF51BA">
        <w:rPr>
          <w:rFonts w:ascii="Book Antiqua" w:eastAsia="Book Antiqua" w:hAnsi="Book Antiqua" w:cs="Book Antiqua"/>
          <w:i/>
          <w:color w:val="000000" w:themeColor="text1"/>
        </w:rPr>
        <w:t>P</w:t>
      </w:r>
      <w:r w:rsidR="00BA51B2"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value</w:t>
      </w:r>
      <w:r w:rsidR="00BA51B2"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BA51B2"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0.013). For patients with factor V mutation</w:t>
      </w:r>
      <w:r w:rsidR="00DC6DE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the odds for thrombosis were 25.6% greater than in patients without this mutation. MTHFR homozygotes were not found to have increased risk for thrombotic episodes (</w:t>
      </w:r>
      <w:r w:rsidR="006F4395" w:rsidRPr="00DF51BA">
        <w:rPr>
          <w:rFonts w:ascii="Book Antiqua" w:eastAsia="Book Antiqua" w:hAnsi="Book Antiqua" w:cs="Book Antiqua"/>
          <w:i/>
          <w:color w:val="000000" w:themeColor="text1"/>
        </w:rPr>
        <w:t>P</w:t>
      </w:r>
      <w:r w:rsidR="006F4395"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6F4395"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0.58). With logistic regression analysis it was shown that because of the correlation of the mutations only factor V had a significant influence on thrombotic episodes </w:t>
      </w:r>
      <w:r w:rsidRPr="007D6DE8">
        <w:rPr>
          <w:rFonts w:ascii="Book Antiqua" w:eastAsia="Book Antiqua" w:hAnsi="Book Antiqua" w:cs="Book Antiqua"/>
          <w:i/>
          <w:iCs/>
          <w:color w:val="000000" w:themeColor="text1"/>
        </w:rPr>
        <w:t>(</w:t>
      </w:r>
      <w:r w:rsidR="00DC6DE1" w:rsidRPr="00DF51BA">
        <w:rPr>
          <w:rFonts w:ascii="Book Antiqua" w:eastAsia="Book Antiqua" w:hAnsi="Book Antiqua" w:cs="Book Antiqua"/>
          <w:i/>
          <w:iCs/>
          <w:color w:val="000000" w:themeColor="text1"/>
        </w:rPr>
        <w:t xml:space="preserve">P </w:t>
      </w:r>
      <w:r w:rsidRPr="007D6DE8">
        <w:rPr>
          <w:rFonts w:ascii="Book Antiqua" w:eastAsia="Book Antiqua" w:hAnsi="Book Antiqua" w:cs="Book Antiqua"/>
          <w:i/>
          <w:iCs/>
          <w:color w:val="000000" w:themeColor="text1"/>
        </w:rPr>
        <w:t>=</w:t>
      </w:r>
      <w:r w:rsidR="00DC6DE1" w:rsidRPr="00DF51BA">
        <w:rPr>
          <w:rFonts w:ascii="Book Antiqua" w:eastAsia="Book Antiqua" w:hAnsi="Book Antiqua" w:cs="Book Antiqua"/>
          <w:i/>
          <w:iCs/>
          <w:color w:val="000000" w:themeColor="text1"/>
        </w:rPr>
        <w:t xml:space="preserve"> </w:t>
      </w:r>
      <w:r w:rsidRPr="00DF51BA">
        <w:rPr>
          <w:rFonts w:ascii="Book Antiqua" w:eastAsia="Book Antiqua" w:hAnsi="Book Antiqua" w:cs="Book Antiqua"/>
          <w:color w:val="000000" w:themeColor="text1"/>
        </w:rPr>
        <w:t>0.022).</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No association was found between elevated serum lipids and thrombosis (</w:t>
      </w:r>
      <w:r w:rsidR="000827C1" w:rsidRPr="00DF51BA">
        <w:rPr>
          <w:rFonts w:ascii="Book Antiqua" w:eastAsia="Book Antiqua" w:hAnsi="Book Antiqua" w:cs="Book Antiqua"/>
          <w:i/>
          <w:color w:val="000000" w:themeColor="text1"/>
        </w:rPr>
        <w:t>P</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0.30 for cholesterol and </w:t>
      </w:r>
      <w:r w:rsidR="000827C1" w:rsidRPr="00DF51BA">
        <w:rPr>
          <w:rFonts w:ascii="Book Antiqua" w:eastAsia="Book Antiqua" w:hAnsi="Book Antiqua" w:cs="Book Antiqua"/>
          <w:i/>
          <w:color w:val="000000" w:themeColor="text1"/>
        </w:rPr>
        <w:t>P</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0.31 for triglycerides). Finally, gender was not related to anti-PF4/heparin antibody formation (</w:t>
      </w:r>
      <w:r w:rsidR="000827C1" w:rsidRPr="00DF51BA">
        <w:rPr>
          <w:rFonts w:ascii="Book Antiqua" w:eastAsia="Book Antiqua" w:hAnsi="Book Antiqua" w:cs="Book Antiqua"/>
          <w:i/>
          <w:color w:val="000000" w:themeColor="text1"/>
        </w:rPr>
        <w:t>P</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0.39) or thrombosis (</w:t>
      </w:r>
      <w:r w:rsidR="000827C1" w:rsidRPr="00DF51BA">
        <w:rPr>
          <w:rFonts w:ascii="Book Antiqua" w:eastAsia="Book Antiqua" w:hAnsi="Book Antiqua" w:cs="Book Antiqua"/>
          <w:i/>
          <w:color w:val="000000" w:themeColor="text1"/>
        </w:rPr>
        <w:t>P</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0.11).</w:t>
      </w:r>
    </w:p>
    <w:p w:rsidR="00A77B3E" w:rsidRPr="00DF51BA" w:rsidRDefault="00A77B3E" w:rsidP="00DF51BA">
      <w:pPr>
        <w:snapToGrid w:val="0"/>
        <w:spacing w:line="360" w:lineRule="auto"/>
        <w:jc w:val="both"/>
        <w:rPr>
          <w:rFonts w:ascii="Book Antiqua" w:hAnsi="Book Antiqua"/>
          <w:color w:val="000000" w:themeColor="text1"/>
          <w:lang w:eastAsia="zh-CN"/>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t>DISCUSSION</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In this study we prospectively investigated the influence of blood</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coagulation factors and various</w:t>
      </w:r>
      <w:r w:rsidR="00BA5A1F"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pharmacologic antithrombotic prophylactic agents on the development of thrombotic complications in patients with osteoarthritis undergoing primary hip and knee arthroplasty.</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Thrombocytopenia is common during the postoperative period in</w:t>
      </w:r>
      <w:r w:rsidR="002B22FD"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various types of major surgical procedure</w:t>
      </w:r>
      <w:r w:rsidR="00BA5A1F"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A platelet count decrease is expected within 4 d of surgery normally resulting from the pathophysiological mechanisms of the hemodilution along with accelerated platelet consumption related to surgical hemostasis</w:t>
      </w:r>
      <w:r w:rsidRPr="00DF51BA">
        <w:rPr>
          <w:rFonts w:ascii="Book Antiqua" w:eastAsia="Book Antiqua" w:hAnsi="Book Antiqua" w:cs="Book Antiqua"/>
          <w:bCs/>
          <w:color w:val="000000" w:themeColor="text1"/>
          <w:shd w:val="clear" w:color="auto" w:fill="FFFFFF"/>
          <w:vertAlign w:val="superscript"/>
        </w:rPr>
        <w:t>[17]</w:t>
      </w:r>
      <w:r w:rsidRPr="00DF51BA">
        <w:rPr>
          <w:rFonts w:ascii="Book Antiqua" w:eastAsia="Book Antiqua" w:hAnsi="Book Antiqua" w:cs="Book Antiqua"/>
          <w:color w:val="000000" w:themeColor="text1"/>
        </w:rPr>
        <w:t>.</w:t>
      </w:r>
      <w:r w:rsidR="00CE0B77"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Approximately</w:t>
      </w:r>
      <w:r w:rsidR="00BA5A1F"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16% of the patients in the present study developed thrombocytopenia without </w:t>
      </w:r>
      <w:r w:rsidR="00BA5A1F" w:rsidRPr="00DF51BA">
        <w:rPr>
          <w:rFonts w:ascii="Book Antiqua" w:eastAsia="Book Antiqua" w:hAnsi="Book Antiqua" w:cs="Book Antiqua"/>
          <w:color w:val="000000" w:themeColor="text1"/>
        </w:rPr>
        <w:t xml:space="preserve">a </w:t>
      </w:r>
      <w:r w:rsidRPr="00DF51BA">
        <w:rPr>
          <w:rFonts w:ascii="Book Antiqua" w:eastAsia="Book Antiqua" w:hAnsi="Book Antiqua" w:cs="Book Antiqua"/>
          <w:color w:val="000000" w:themeColor="text1"/>
        </w:rPr>
        <w:t xml:space="preserve">statistically significant correlation </w:t>
      </w:r>
      <w:r w:rsidR="00BA5A1F" w:rsidRPr="00DF51BA">
        <w:rPr>
          <w:rFonts w:ascii="Book Antiqua" w:eastAsia="Book Antiqua" w:hAnsi="Book Antiqua" w:cs="Book Antiqua"/>
          <w:color w:val="000000" w:themeColor="text1"/>
        </w:rPr>
        <w:t xml:space="preserve">to the </w:t>
      </w:r>
      <w:r w:rsidRPr="00DF51BA">
        <w:rPr>
          <w:rFonts w:ascii="Book Antiqua" w:eastAsia="Book Antiqua" w:hAnsi="Book Antiqua" w:cs="Book Antiqua"/>
          <w:color w:val="000000" w:themeColor="text1"/>
        </w:rPr>
        <w:t>type of anticoagulant (LMWH or fondaparinux) but to a greater degree than those reported in the literature</w:t>
      </w:r>
      <w:r w:rsidRPr="00DF51BA">
        <w:rPr>
          <w:rFonts w:ascii="Book Antiqua" w:eastAsia="Book Antiqua" w:hAnsi="Book Antiqua" w:cs="Book Antiqua"/>
          <w:bCs/>
          <w:color w:val="000000" w:themeColor="text1"/>
          <w:shd w:val="clear" w:color="auto" w:fill="FFFFFF"/>
          <w:vertAlign w:val="superscript"/>
        </w:rPr>
        <w:t>[18,19]</w:t>
      </w:r>
      <w:r w:rsidRPr="00DF51BA">
        <w:rPr>
          <w:rFonts w:ascii="Book Antiqua" w:eastAsia="Book Antiqua" w:hAnsi="Book Antiqua" w:cs="Book Antiqua"/>
          <w:color w:val="000000" w:themeColor="text1"/>
        </w:rPr>
        <w:t>. Platelet counts recovered spontaneously in all cases.</w:t>
      </w:r>
      <w:r w:rsidR="003D7F50"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We speculate that possible blood loss, routine use of drainage, occult vitamin deficiency (B12, folic acid), high threshold to transfusion</w:t>
      </w:r>
      <w:r w:rsidR="00BA5A1F"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or drug related (antibiotics, </w:t>
      </w:r>
      <w:r w:rsidR="00BA5A1F" w:rsidRPr="00DF51BA">
        <w:rPr>
          <w:rFonts w:ascii="Book Antiqua" w:eastAsia="Book Antiqua" w:hAnsi="Book Antiqua" w:cs="Book Antiqua"/>
          <w:color w:val="000000" w:themeColor="text1"/>
        </w:rPr>
        <w:t>nonsteroidal anti-inflammatory drugs</w:t>
      </w:r>
      <w:r w:rsidRPr="00DF51BA">
        <w:rPr>
          <w:rFonts w:ascii="Book Antiqua" w:eastAsia="Book Antiqua" w:hAnsi="Book Antiqua" w:cs="Book Antiqua"/>
          <w:color w:val="000000" w:themeColor="text1"/>
        </w:rPr>
        <w:t>) excess platelet destruction may explain the variation of the incidence of thrombocytopenia across different studies.</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Anti-PF4/heparin enzyme immunoassays have an excellent negative predictive value (up to 99%) but a low positive predictive value because of the detection of clinically insignificant antibodies</w:t>
      </w:r>
      <w:r w:rsidRPr="00DF51BA">
        <w:rPr>
          <w:rFonts w:ascii="Book Antiqua" w:eastAsia="Book Antiqua" w:hAnsi="Book Antiqua" w:cs="Book Antiqua"/>
          <w:bCs/>
          <w:color w:val="000000" w:themeColor="text1"/>
          <w:shd w:val="clear" w:color="auto" w:fill="FFFFFF"/>
          <w:vertAlign w:val="superscript"/>
        </w:rPr>
        <w:t>[7,19]</w:t>
      </w:r>
      <w:r w:rsidRPr="00DF51BA">
        <w:rPr>
          <w:rFonts w:ascii="Book Antiqua" w:eastAsia="Book Antiqua" w:hAnsi="Book Antiqua" w:cs="Book Antiqua"/>
          <w:color w:val="000000" w:themeColor="text1"/>
        </w:rPr>
        <w:t>. As</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anti-PF4/heparin antibodies are always present before the platelet count falls</w:t>
      </w:r>
      <w:r w:rsidR="004E024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these tests are important as a confirmatory laboratory evaluation after the initial estimation of high probability of HIT by a scoring system like the 4T score</w:t>
      </w:r>
      <w:r w:rsidRPr="00DF51BA">
        <w:rPr>
          <w:rFonts w:ascii="Book Antiqua" w:eastAsia="Book Antiqua" w:hAnsi="Book Antiqua" w:cs="Book Antiqua"/>
          <w:bCs/>
          <w:color w:val="000000" w:themeColor="text1"/>
          <w:shd w:val="clear" w:color="auto" w:fill="FFFFFF"/>
          <w:vertAlign w:val="superscript"/>
        </w:rPr>
        <w:t>[20]</w:t>
      </w:r>
      <w:r w:rsidRPr="00DF51BA">
        <w:rPr>
          <w:rFonts w:ascii="Book Antiqua" w:eastAsia="Book Antiqua" w:hAnsi="Book Antiqua" w:cs="Book Antiqua"/>
          <w:color w:val="000000" w:themeColor="text1"/>
        </w:rPr>
        <w:t>.</w:t>
      </w:r>
      <w:r w:rsidR="00CE0B77"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In our series with the use of immunoassay, we found that 9.2% of patients developed anti-PF4/heparin antibodies, a percentage within the findings of other series for patients undergoing TKA or THA (2</w:t>
      </w:r>
      <w:r w:rsidR="00303E6B"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-35%)</w:t>
      </w:r>
      <w:r w:rsidRPr="00DF51BA">
        <w:rPr>
          <w:rFonts w:ascii="Book Antiqua" w:eastAsia="Book Antiqua" w:hAnsi="Book Antiqua" w:cs="Book Antiqua"/>
          <w:bCs/>
          <w:color w:val="000000" w:themeColor="text1"/>
          <w:shd w:val="clear" w:color="auto" w:fill="FFFFFF"/>
          <w:vertAlign w:val="superscript"/>
        </w:rPr>
        <w:t>[21]</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There was no significant correlation between the platelet counts of postoperative days and antibodies detected during all time frames of this study. In addition, only a small percentage (4/18) of patients with anti-PF4/heparin antibodies</w:t>
      </w:r>
      <w:r w:rsidR="004E0247"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had a concomitant decrease of platelets</w:t>
      </w:r>
      <w:r w:rsidR="003D7F50" w:rsidRPr="00DF51BA">
        <w:rPr>
          <w:rFonts w:ascii="Book Antiqua" w:hAnsi="Book Antiqua" w:cs="Book Antiqua"/>
          <w:color w:val="000000" w:themeColor="text1"/>
          <w:lang w:eastAsia="zh-CN"/>
        </w:rPr>
        <w:t xml:space="preserve"> </w:t>
      </w:r>
      <w:r w:rsidR="003D7F50" w:rsidRPr="00DF51BA">
        <w:rPr>
          <w:rFonts w:ascii="Book Antiqua" w:eastAsia="Book Antiqua" w:hAnsi="Book Antiqua" w:cs="Book Antiqua"/>
          <w:color w:val="000000" w:themeColor="text1"/>
        </w:rPr>
        <w:t>(</w:t>
      </w:r>
      <w:r w:rsidR="003D7F50" w:rsidRPr="00DF51BA">
        <w:rPr>
          <w:rFonts w:ascii="Book Antiqua" w:hAnsi="Book Antiqua"/>
          <w:color w:val="000000"/>
        </w:rPr>
        <w:t xml:space="preserve">Figure </w:t>
      </w:r>
      <w:r w:rsidR="003D7F50" w:rsidRPr="00DF51BA">
        <w:rPr>
          <w:rFonts w:ascii="Book Antiqua" w:hAnsi="Book Antiqua"/>
          <w:color w:val="000000"/>
          <w:lang w:eastAsia="zh-CN"/>
        </w:rPr>
        <w:t>2</w:t>
      </w:r>
      <w:r w:rsidR="003D7F50"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As platelet activation from anti-PF4/heparin antibodies</w:t>
      </w:r>
      <w:r w:rsidR="001D2022"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is a dynamic process and platelet-activating antibodies comprise a subset of anti-PF4/heparin antibodies, thrombocytopenia is not an associated finding in every positive PF4-dependent immunoassay</w:t>
      </w:r>
      <w:r w:rsidRPr="00DF51BA">
        <w:rPr>
          <w:rFonts w:ascii="Book Antiqua" w:eastAsia="Book Antiqua" w:hAnsi="Book Antiqua" w:cs="Book Antiqua"/>
          <w:bCs/>
          <w:color w:val="000000" w:themeColor="text1"/>
          <w:shd w:val="clear" w:color="auto" w:fill="FFFFFF"/>
          <w:vertAlign w:val="superscript"/>
        </w:rPr>
        <w:t>[22,23]</w:t>
      </w:r>
      <w:r w:rsidRPr="00DF51BA">
        <w:rPr>
          <w:rFonts w:ascii="Book Antiqua" w:eastAsia="Book Antiqua" w:hAnsi="Book Antiqua" w:cs="Book Antiqua"/>
          <w:color w:val="000000" w:themeColor="text1"/>
        </w:rPr>
        <w:t>.</w:t>
      </w:r>
      <w:r w:rsidR="009F625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This is in agreement with the “iceberg model</w:t>
      </w:r>
      <w:r w:rsidR="001D2022"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where only a small percentage of patients who form anti-PF4/heparin antibodies will develop thrombocytopenia, and an even smaller number will develop thrombosis</w:t>
      </w:r>
      <w:r w:rsidRPr="00DF51BA">
        <w:rPr>
          <w:rFonts w:ascii="Book Antiqua" w:eastAsia="Book Antiqua" w:hAnsi="Book Antiqua" w:cs="Book Antiqua"/>
          <w:bCs/>
          <w:color w:val="000000" w:themeColor="text1"/>
          <w:shd w:val="clear" w:color="auto" w:fill="FFFFFF"/>
          <w:vertAlign w:val="superscript"/>
        </w:rPr>
        <w:t>[23]</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An interesting point, in agreement with other studies, is the high incidence of these antibodies among patients receiving fondaparinux (26.1%), an antithrombin-dependent, sulfated pentasaccharide with selective activated factor X inhibition, while the incidence among patients receiving LMWH was 6.9%</w:t>
      </w:r>
      <w:r w:rsidRPr="00DF51BA">
        <w:rPr>
          <w:rFonts w:ascii="Book Antiqua" w:eastAsia="Book Antiqua" w:hAnsi="Book Antiqua" w:cs="Book Antiqua"/>
          <w:bCs/>
          <w:color w:val="000000" w:themeColor="text1"/>
          <w:shd w:val="clear" w:color="auto" w:fill="FFFFFF"/>
          <w:vertAlign w:val="superscript"/>
        </w:rPr>
        <w:t>[24]</w:t>
      </w:r>
      <w:r w:rsidRPr="00DF51BA">
        <w:rPr>
          <w:rFonts w:ascii="Book Antiqua" w:eastAsia="Book Antiqua" w:hAnsi="Book Antiqua" w:cs="Book Antiqua"/>
          <w:color w:val="000000" w:themeColor="text1"/>
        </w:rPr>
        <w:t>.</w:t>
      </w:r>
      <w:r w:rsidR="009F625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Moreover, the odds of anti-PF4/heparin antibody emergence in the first postoperative week was about 8.2% greater in patients receiving fondaparinux than those receiving LMWH. It is well established that fondaparinux triggers an autoimmune type HIT with antibodies that activate platelets in the absence of heparin. The</w:t>
      </w:r>
      <w:r w:rsidR="001D2022"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serum of these patients always contains antibodies with different binding affinities for PF4 and PF4/heparin complexes and usually with an inability to promote platelet activation</w:t>
      </w:r>
      <w:r w:rsidRPr="00DF51BA">
        <w:rPr>
          <w:rFonts w:ascii="Book Antiqua" w:eastAsia="Book Antiqua" w:hAnsi="Book Antiqua" w:cs="Book Antiqua"/>
          <w:bCs/>
          <w:color w:val="000000" w:themeColor="text1"/>
          <w:shd w:val="clear" w:color="auto" w:fill="FFFFFF"/>
          <w:vertAlign w:val="superscript"/>
        </w:rPr>
        <w:t>[9]</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In general, heparin and heparin-like anticoagulants differ in their</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predisposition to trigger HIT due to divergent structural length of their saccharide units (UFH</w:t>
      </w:r>
      <w:r w:rsidR="00D605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&gt;&gt;</w:t>
      </w:r>
      <w:r w:rsidR="00D605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LMWH</w:t>
      </w:r>
      <w:r w:rsidR="00D605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&gt;&gt;</w:t>
      </w:r>
      <w:r w:rsidR="00D605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fondaparinux). Also, fondaparinux is approximately one third of the length of LMWH, is more homogenous as a synthetic anticoagulant than LMWH and UFH</w:t>
      </w:r>
      <w:r w:rsidR="002D5D76"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thus is characterized by lower immunogenicity and </w:t>
      </w:r>
      <w:r w:rsidRPr="007D6DE8">
        <w:rPr>
          <w:rFonts w:ascii="Book Antiqua" w:eastAsia="Book Antiqua" w:hAnsi="Book Antiqua" w:cs="Book Antiqua"/>
          <w:i/>
          <w:iCs/>
          <w:color w:val="000000" w:themeColor="text1"/>
        </w:rPr>
        <w:t>in vivo</w:t>
      </w:r>
      <w:r w:rsidRPr="00DF51BA">
        <w:rPr>
          <w:rFonts w:ascii="Book Antiqua" w:eastAsia="Book Antiqua" w:hAnsi="Book Antiqua" w:cs="Book Antiqua"/>
          <w:color w:val="000000" w:themeColor="text1"/>
        </w:rPr>
        <w:t xml:space="preserve"> cross reactivity</w:t>
      </w:r>
      <w:r w:rsidRPr="00DF51BA">
        <w:rPr>
          <w:rFonts w:ascii="Book Antiqua" w:eastAsia="Book Antiqua" w:hAnsi="Book Antiqua" w:cs="Book Antiqua"/>
          <w:bCs/>
          <w:color w:val="000000" w:themeColor="text1"/>
          <w:shd w:val="clear" w:color="auto" w:fill="FFFFFF"/>
          <w:vertAlign w:val="superscript"/>
        </w:rPr>
        <w:t>[6,25]</w:t>
      </w:r>
      <w:r w:rsidRPr="00DF51BA">
        <w:rPr>
          <w:rFonts w:ascii="Book Antiqua" w:eastAsia="Book Antiqua" w:hAnsi="Book Antiqua" w:cs="Book Antiqua"/>
          <w:color w:val="000000" w:themeColor="text1"/>
        </w:rPr>
        <w:t>.</w:t>
      </w:r>
      <w:r w:rsidR="00DB2D99"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These data suggest that the risk of HIT with fondaparinux should be much lower than that observed with LMWH and perhaps should not occur at all. HIT frequency is much lower in patients receiving LMWH than those receiving UFH</w:t>
      </w:r>
      <w:r w:rsidRPr="00DF51BA">
        <w:rPr>
          <w:rFonts w:ascii="Book Antiqua" w:eastAsia="Book Antiqua" w:hAnsi="Book Antiqua" w:cs="Book Antiqua"/>
          <w:bCs/>
          <w:color w:val="000000" w:themeColor="text1"/>
          <w:shd w:val="clear" w:color="auto" w:fill="FFFFFF"/>
          <w:vertAlign w:val="superscript"/>
        </w:rPr>
        <w:t>[9]</w:t>
      </w:r>
      <w:r w:rsidRPr="00DF51BA">
        <w:rPr>
          <w:rFonts w:ascii="Book Antiqua" w:eastAsia="Book Antiqua" w:hAnsi="Book Antiqua" w:cs="Book Antiqua"/>
          <w:color w:val="000000" w:themeColor="text1"/>
        </w:rPr>
        <w:t>.</w:t>
      </w:r>
      <w:r w:rsidR="001A623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In a 2005 meta-analysis, it was found that the risk for HIT was 0.2%</w:t>
      </w:r>
      <w:r w:rsidR="001A623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with LMWH and 2.6%</w:t>
      </w:r>
      <w:r w:rsidR="00686B42"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with UFH</w:t>
      </w:r>
      <w:r w:rsidRPr="00DF51BA">
        <w:rPr>
          <w:rFonts w:ascii="Book Antiqua" w:eastAsia="Book Antiqua" w:hAnsi="Book Antiqua" w:cs="Book Antiqua"/>
          <w:bCs/>
          <w:color w:val="000000" w:themeColor="text1"/>
          <w:shd w:val="clear" w:color="auto" w:fill="FFFFFF"/>
          <w:vertAlign w:val="superscript"/>
        </w:rPr>
        <w:t>[23]</w:t>
      </w:r>
      <w:r w:rsidRPr="00DF51BA">
        <w:rPr>
          <w:rFonts w:ascii="Book Antiqua" w:eastAsia="Book Antiqua" w:hAnsi="Book Antiqua" w:cs="Book Antiqua"/>
          <w:color w:val="000000" w:themeColor="text1"/>
        </w:rPr>
        <w:t>.</w:t>
      </w:r>
      <w:r w:rsidR="002C33F4"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A small </w:t>
      </w:r>
      <w:r w:rsidRPr="00DF51BA">
        <w:rPr>
          <w:rFonts w:ascii="Book Antiqua" w:eastAsia="Book Antiqua" w:hAnsi="Book Antiqua" w:cs="Book Antiqua"/>
          <w:color w:val="000000" w:themeColor="text1"/>
        </w:rPr>
        <w:lastRenderedPageBreak/>
        <w:t>percentage (2.0%) of patients in our series developed HIT (thrombocytopenia in combination with the formation of</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antibodies</w:t>
      </w:r>
      <w:r w:rsidR="002D5D76" w:rsidRPr="00DF51BA">
        <w:rPr>
          <w:rFonts w:ascii="Book Antiqua" w:eastAsia="Book Antiqua" w:hAnsi="Book Antiqua" w:cs="Book Antiqua"/>
          <w:color w:val="000000" w:themeColor="text1"/>
        </w:rPr>
        <w:t>,</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strong positive immunoassay, OD</w:t>
      </w:r>
      <w:r w:rsidR="002C33F4"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&gt;</w:t>
      </w:r>
      <w:r w:rsidR="002C33F4"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1)</w:t>
      </w:r>
      <w:r w:rsidR="002D5D76"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all four remained free of thrombotic complications. Although fondaparinux is not believed to cause HIT, one of the four patients of the present series who developed HIT was receiving fondaparinux. After the initial publication of an analogous case in 2007, a review of the literature</w:t>
      </w:r>
      <w:r w:rsidR="002D5D76" w:rsidRPr="00DF51BA">
        <w:rPr>
          <w:rFonts w:ascii="Book Antiqua" w:eastAsia="Book Antiqua" w:hAnsi="Book Antiqua" w:cs="Book Antiqua"/>
          <w:color w:val="000000" w:themeColor="text1"/>
        </w:rPr>
        <w:t xml:space="preserve"> through May 2013</w:t>
      </w:r>
      <w:r w:rsidRPr="00DF51BA">
        <w:rPr>
          <w:rFonts w:ascii="Book Antiqua" w:eastAsia="Book Antiqua" w:hAnsi="Book Antiqua" w:cs="Book Antiqua"/>
          <w:color w:val="000000" w:themeColor="text1"/>
        </w:rPr>
        <w:t xml:space="preserve"> found </w:t>
      </w:r>
      <w:r w:rsidR="002D5D76" w:rsidRPr="00DF51BA">
        <w:rPr>
          <w:rFonts w:ascii="Book Antiqua" w:eastAsia="Book Antiqua" w:hAnsi="Book Antiqua" w:cs="Book Antiqua"/>
          <w:color w:val="000000" w:themeColor="text1"/>
        </w:rPr>
        <w:t>eight</w:t>
      </w:r>
      <w:r w:rsidRPr="00DF51BA">
        <w:rPr>
          <w:rFonts w:ascii="Book Antiqua" w:eastAsia="Book Antiqua" w:hAnsi="Book Antiqua" w:cs="Book Antiqua"/>
          <w:color w:val="000000" w:themeColor="text1"/>
        </w:rPr>
        <w:t xml:space="preserve"> published cases of fondaparinux-associated HIT and concluded</w:t>
      </w:r>
      <w:r w:rsidR="002D5D7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that</w:t>
      </w:r>
      <w:r w:rsidR="002D5D7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the risk of fondaparinux-associated HIT, although low, was</w:t>
      </w:r>
      <w:r w:rsidR="002D5D7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real. After a decade of extended research, fondaparinux–associated HIT is one of the clinical syndromes that are strongly related to autoimmune heparin induced thrombocytopenia</w:t>
      </w:r>
      <w:r w:rsidRPr="00DF51BA">
        <w:rPr>
          <w:rFonts w:ascii="Book Antiqua" w:eastAsia="Book Antiqua" w:hAnsi="Book Antiqua" w:cs="Book Antiqua"/>
          <w:bCs/>
          <w:color w:val="000000" w:themeColor="text1"/>
          <w:shd w:val="clear" w:color="auto" w:fill="FFFFFF"/>
          <w:vertAlign w:val="superscript"/>
        </w:rPr>
        <w:t>[25,26]</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Two of the five patients who developed thrombotic complications had positive anti-PF4/heparin antibodies. The association between the thrombotic events and the anti-PF4/heparin antibodies</w:t>
      </w:r>
      <w:r w:rsidR="005036AC"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approached significance in contrast to the presence of HIT that was not associated with a thrombotic event. According to our study, formation of antibodies can lead to thrombosis without thrombocytopenia. The association of antibodies to thrombosis, in the absence of thrombocytopenia, has been recently highlighted in the literature</w:t>
      </w:r>
      <w:r w:rsidRPr="00DF51BA">
        <w:rPr>
          <w:rFonts w:ascii="Book Antiqua" w:eastAsia="Book Antiqua" w:hAnsi="Book Antiqua" w:cs="Book Antiqua"/>
          <w:bCs/>
          <w:color w:val="000000" w:themeColor="text1"/>
          <w:shd w:val="clear" w:color="auto" w:fill="FFFFFF"/>
          <w:vertAlign w:val="superscript"/>
        </w:rPr>
        <w:t>[21,26,27]</w:t>
      </w:r>
      <w:r w:rsidRPr="00DF51BA">
        <w:rPr>
          <w:rFonts w:ascii="Book Antiqua" w:eastAsia="Book Antiqua" w:hAnsi="Book Antiqua" w:cs="Book Antiqua"/>
          <w:color w:val="000000" w:themeColor="text1"/>
        </w:rPr>
        <w:t>. In a report published in 2008</w:t>
      </w:r>
      <w:r w:rsidR="005036AC" w:rsidRPr="00DF51BA">
        <w:rPr>
          <w:rFonts w:ascii="Book Antiqua" w:eastAsia="Book Antiqua" w:hAnsi="Book Antiqua" w:cs="Book Antiqua"/>
          <w:color w:val="000000" w:themeColor="text1"/>
        </w:rPr>
        <w:t xml:space="preserve"> found </w:t>
      </w:r>
      <w:r w:rsidRPr="00DF51BA">
        <w:rPr>
          <w:rFonts w:ascii="Book Antiqua" w:eastAsia="Book Antiqua" w:hAnsi="Book Antiqua" w:cs="Book Antiqua"/>
          <w:color w:val="000000" w:themeColor="text1"/>
        </w:rPr>
        <w:t xml:space="preserve">22 </w:t>
      </w:r>
      <w:r w:rsidR="005036AC" w:rsidRPr="00DF51BA">
        <w:rPr>
          <w:rFonts w:ascii="Book Antiqua" w:eastAsia="Book Antiqua" w:hAnsi="Book Antiqua" w:cs="Book Antiqua"/>
          <w:color w:val="000000" w:themeColor="text1"/>
        </w:rPr>
        <w:t xml:space="preserve">instances </w:t>
      </w:r>
      <w:r w:rsidRPr="00DF51BA">
        <w:rPr>
          <w:rFonts w:ascii="Book Antiqua" w:eastAsia="Book Antiqua" w:hAnsi="Book Antiqua" w:cs="Book Antiqua"/>
          <w:color w:val="000000" w:themeColor="text1"/>
        </w:rPr>
        <w:t>of patients who developed heparin-dependent antibodies sometimes associated with thrombosis without thrombocytopenia</w:t>
      </w:r>
      <w:r w:rsidRPr="00DF51BA">
        <w:rPr>
          <w:rFonts w:ascii="Book Antiqua" w:eastAsia="Book Antiqua" w:hAnsi="Book Antiqua" w:cs="Book Antiqua"/>
          <w:bCs/>
          <w:color w:val="000000" w:themeColor="text1"/>
          <w:shd w:val="clear" w:color="auto" w:fill="FFFFFF"/>
          <w:vertAlign w:val="superscript"/>
        </w:rPr>
        <w:t>[27]</w:t>
      </w:r>
      <w:r w:rsidRPr="00DF51BA">
        <w:rPr>
          <w:rFonts w:ascii="Book Antiqua" w:eastAsia="Book Antiqua" w:hAnsi="Book Antiqua" w:cs="Book Antiqua"/>
          <w:color w:val="000000" w:themeColor="text1"/>
        </w:rPr>
        <w:t>. We might also assume that platelet</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decline and thrombosis are two events that occur in a different sequence in each patient. In a retrospective analysis of 408 patients with HIT, it was shown that in approximately 60% of patients thrombosis was observed either on the same day thrombocytopenia &gt;</w:t>
      </w:r>
      <w:r w:rsidR="00E27733"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50% was documented (26.3%) or before thrombocytopenia (33.5%)</w:t>
      </w:r>
      <w:r w:rsidRPr="00DF51BA">
        <w:rPr>
          <w:rFonts w:ascii="Book Antiqua" w:eastAsia="Book Antiqua" w:hAnsi="Book Antiqua" w:cs="Book Antiqua"/>
          <w:bCs/>
          <w:color w:val="000000" w:themeColor="text1"/>
          <w:shd w:val="clear" w:color="auto" w:fill="FFFFFF"/>
          <w:vertAlign w:val="superscript"/>
        </w:rPr>
        <w:t>[28]</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 xml:space="preserve">Two patients of the present series developed thrombotic complications </w:t>
      </w:r>
      <w:r w:rsidR="005036AC" w:rsidRPr="00DF51BA">
        <w:rPr>
          <w:rFonts w:ascii="Book Antiqua" w:eastAsia="Book Antiqua" w:hAnsi="Book Antiqua" w:cs="Book Antiqua"/>
          <w:color w:val="000000" w:themeColor="text1"/>
        </w:rPr>
        <w:t>that</w:t>
      </w:r>
      <w:r w:rsidRPr="00DF51BA">
        <w:rPr>
          <w:rFonts w:ascii="Book Antiqua" w:eastAsia="Book Antiqua" w:hAnsi="Book Antiqua" w:cs="Book Antiqua"/>
          <w:color w:val="000000" w:themeColor="text1"/>
        </w:rPr>
        <w:t xml:space="preserve"> were significantly correlated to heterozygotic mutations of factor II and</w:t>
      </w:r>
      <w:r w:rsidR="00176190" w:rsidRPr="00DF51BA">
        <w:rPr>
          <w:rFonts w:ascii="Book Antiqua" w:eastAsia="Book Antiqua" w:hAnsi="Book Antiqua" w:cs="Book Antiqua"/>
          <w:color w:val="000000" w:themeColor="text1"/>
        </w:rPr>
        <w:t xml:space="preserve"> factor</w:t>
      </w:r>
      <w:r w:rsidRPr="00DF51BA">
        <w:rPr>
          <w:rFonts w:ascii="Book Antiqua" w:eastAsia="Book Antiqua" w:hAnsi="Book Antiqua" w:cs="Book Antiqua"/>
          <w:color w:val="000000" w:themeColor="text1"/>
        </w:rPr>
        <w:t xml:space="preserve"> V Leiden. F</w:t>
      </w:r>
      <w:r w:rsidR="00303E6B" w:rsidRPr="00DF51BA">
        <w:rPr>
          <w:rFonts w:ascii="Book Antiqua" w:eastAsia="Book Antiqua" w:hAnsi="Book Antiqua" w:cs="Book Antiqua"/>
          <w:color w:val="000000" w:themeColor="text1"/>
        </w:rPr>
        <w:t xml:space="preserve">actor </w:t>
      </w:r>
      <w:r w:rsidRPr="00DF51BA">
        <w:rPr>
          <w:rFonts w:ascii="Book Antiqua" w:eastAsia="Book Antiqua" w:hAnsi="Book Antiqua" w:cs="Book Antiqua"/>
          <w:color w:val="000000" w:themeColor="text1"/>
        </w:rPr>
        <w:t>V</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Leiden and prothrombin G20210A revealed a significantly higher risk for DVT </w:t>
      </w:r>
      <w:r w:rsidR="00176190" w:rsidRPr="00DF51BA">
        <w:rPr>
          <w:rFonts w:ascii="Book Antiqua" w:eastAsia="Book Antiqua" w:hAnsi="Book Antiqua" w:cs="Book Antiqua"/>
          <w:color w:val="000000" w:themeColor="text1"/>
        </w:rPr>
        <w:t>(</w:t>
      </w:r>
      <w:r w:rsidR="005D79CA" w:rsidRPr="00DF51BA">
        <w:rPr>
          <w:rFonts w:ascii="Book Antiqua" w:eastAsia="Book Antiqua" w:hAnsi="Book Antiqua" w:cs="Book Antiqua"/>
          <w:i/>
          <w:color w:val="000000" w:themeColor="text1"/>
        </w:rPr>
        <w:t>P</w:t>
      </w:r>
      <w:r w:rsidR="005D79CA"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5D79CA"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0.013 and </w:t>
      </w:r>
      <w:r w:rsidR="000F7B10" w:rsidRPr="00DF51BA">
        <w:rPr>
          <w:rFonts w:ascii="Book Antiqua" w:eastAsia="Book Antiqua" w:hAnsi="Book Antiqua" w:cs="Book Antiqua"/>
          <w:i/>
          <w:color w:val="000000" w:themeColor="text1"/>
        </w:rPr>
        <w:t>P</w:t>
      </w:r>
      <w:r w:rsidR="000F7B10"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0F7B10"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0.043, respectively</w:t>
      </w:r>
      <w:r w:rsidR="00176190"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the odds for thrombosis were 25.6% greater in patients carrying the </w:t>
      </w:r>
      <w:r w:rsidR="00824733" w:rsidRPr="00DF51BA">
        <w:rPr>
          <w:rFonts w:ascii="Book Antiqua" w:eastAsia="Book Antiqua" w:hAnsi="Book Antiqua" w:cs="Book Antiqua"/>
          <w:color w:val="000000" w:themeColor="text1"/>
        </w:rPr>
        <w:t xml:space="preserve">factor V </w:t>
      </w:r>
      <w:r w:rsidRPr="00DF51BA">
        <w:rPr>
          <w:rFonts w:ascii="Book Antiqua" w:eastAsia="Book Antiqua" w:hAnsi="Book Antiqua" w:cs="Book Antiqua"/>
          <w:color w:val="000000" w:themeColor="text1"/>
        </w:rPr>
        <w:t>Leiden mutation. In contrast, MTHFR C677T polymorphism, as shown by our results, even in a homo</w:t>
      </w:r>
      <w:r w:rsidR="00176190" w:rsidRPr="00DF51BA">
        <w:rPr>
          <w:rFonts w:ascii="Book Antiqua" w:eastAsia="Book Antiqua" w:hAnsi="Book Antiqua" w:cs="Book Antiqua"/>
          <w:color w:val="000000" w:themeColor="text1"/>
        </w:rPr>
        <w:t>z</w:t>
      </w:r>
      <w:r w:rsidRPr="00DF51BA">
        <w:rPr>
          <w:rFonts w:ascii="Book Antiqua" w:eastAsia="Book Antiqua" w:hAnsi="Book Antiqua" w:cs="Book Antiqua"/>
          <w:color w:val="000000" w:themeColor="text1"/>
        </w:rPr>
        <w:t xml:space="preserve">ygote state was not associated </w:t>
      </w:r>
      <w:r w:rsidRPr="00DF51BA">
        <w:rPr>
          <w:rFonts w:ascii="Book Antiqua" w:eastAsia="Book Antiqua" w:hAnsi="Book Antiqua" w:cs="Book Antiqua"/>
          <w:color w:val="000000" w:themeColor="text1"/>
        </w:rPr>
        <w:lastRenderedPageBreak/>
        <w:t>with increased risk of DVT. The factor II,</w:t>
      </w:r>
      <w:r w:rsidR="00CC710F" w:rsidRPr="00DF51BA">
        <w:rPr>
          <w:rFonts w:ascii="Book Antiqua" w:hAnsi="Book Antiqua" w:cs="Book Antiqua"/>
          <w:color w:val="000000" w:themeColor="text1"/>
          <w:lang w:eastAsia="zh-CN"/>
        </w:rPr>
        <w:t xml:space="preserve"> </w:t>
      </w:r>
      <w:r w:rsidR="00824733" w:rsidRPr="00DF51BA">
        <w:rPr>
          <w:rFonts w:ascii="Book Antiqua" w:hAnsi="Book Antiqua" w:cs="Book Antiqua"/>
          <w:color w:val="000000" w:themeColor="text1"/>
          <w:lang w:eastAsia="zh-CN"/>
        </w:rPr>
        <w:t xml:space="preserve">factor </w:t>
      </w:r>
      <w:r w:rsidRPr="00DF51BA">
        <w:rPr>
          <w:rFonts w:ascii="Book Antiqua" w:eastAsia="Book Antiqua" w:hAnsi="Book Antiqua" w:cs="Book Antiqua"/>
          <w:color w:val="000000" w:themeColor="text1"/>
        </w:rPr>
        <w:t>V</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Leiden</w:t>
      </w:r>
      <w:r w:rsidR="00176190"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MTHFR C677T mutations are the most common well-recognized conditions predisposing patients to thromboembolism following joint replacement, especially in</w:t>
      </w:r>
      <w:r w:rsidR="00176190" w:rsidRPr="00DF51BA">
        <w:rPr>
          <w:rFonts w:ascii="Book Antiqua" w:eastAsia="Book Antiqua" w:hAnsi="Book Antiqua" w:cs="Book Antiqua"/>
          <w:color w:val="000000" w:themeColor="text1"/>
        </w:rPr>
        <w:t xml:space="preserve"> the </w:t>
      </w:r>
      <w:r w:rsidRPr="00DF51BA">
        <w:rPr>
          <w:rFonts w:ascii="Book Antiqua" w:eastAsia="Book Antiqua" w:hAnsi="Book Antiqua" w:cs="Book Antiqua"/>
          <w:color w:val="000000" w:themeColor="text1"/>
        </w:rPr>
        <w:t>Caucasian population</w:t>
      </w:r>
      <w:r w:rsidRPr="00DF51BA">
        <w:rPr>
          <w:rFonts w:ascii="Book Antiqua" w:eastAsia="Book Antiqua" w:hAnsi="Book Antiqua" w:cs="Book Antiqua"/>
          <w:bCs/>
          <w:color w:val="000000" w:themeColor="text1"/>
          <w:shd w:val="clear" w:color="auto" w:fill="FFFFFF"/>
          <w:vertAlign w:val="superscript"/>
        </w:rPr>
        <w:t>[14,29]</w:t>
      </w:r>
      <w:r w:rsidRPr="00DF51BA">
        <w:rPr>
          <w:rFonts w:ascii="Book Antiqua" w:eastAsia="Book Antiqua" w:hAnsi="Book Antiqua" w:cs="Book Antiqua"/>
          <w:color w:val="000000" w:themeColor="text1"/>
        </w:rPr>
        <w:t xml:space="preserve">. Individuals who are homozygous for </w:t>
      </w:r>
      <w:r w:rsidR="00824733" w:rsidRPr="00DF51BA">
        <w:rPr>
          <w:rFonts w:ascii="Book Antiqua" w:eastAsia="Book Antiqua" w:hAnsi="Book Antiqua" w:cs="Book Antiqua"/>
          <w:color w:val="000000" w:themeColor="text1"/>
        </w:rPr>
        <w:t xml:space="preserve">factor </w:t>
      </w:r>
      <w:r w:rsidRPr="00DF51BA">
        <w:rPr>
          <w:rFonts w:ascii="Book Antiqua" w:eastAsia="Book Antiqua" w:hAnsi="Book Antiqua" w:cs="Book Antiqua"/>
          <w:color w:val="000000" w:themeColor="text1"/>
        </w:rPr>
        <w:t>V</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Leiden have been estimated to have a 50-fold increased risk</w:t>
      </w:r>
      <w:r w:rsidR="00E3359D"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of venous thrombosis, whereas heterozygotes have a 10-fold increased risk</w:t>
      </w:r>
      <w:r w:rsidRPr="00DF51BA">
        <w:rPr>
          <w:rFonts w:ascii="Book Antiqua" w:eastAsia="Book Antiqua" w:hAnsi="Book Antiqua" w:cs="Book Antiqua"/>
          <w:bCs/>
          <w:color w:val="000000" w:themeColor="text1"/>
          <w:shd w:val="clear" w:color="auto" w:fill="FFFFFF"/>
          <w:vertAlign w:val="superscript"/>
        </w:rPr>
        <w:t>[29]</w:t>
      </w:r>
      <w:r w:rsidRPr="00DF51BA">
        <w:rPr>
          <w:rFonts w:ascii="Book Antiqua" w:eastAsia="Book Antiqua" w:hAnsi="Book Antiqua" w:cs="Book Antiqua"/>
          <w:color w:val="000000" w:themeColor="text1"/>
        </w:rPr>
        <w:t>.</w:t>
      </w:r>
      <w:r w:rsidR="00CC710F"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Moreover, it has been shown that the copresence of </w:t>
      </w:r>
      <w:r w:rsidR="00824733" w:rsidRPr="00DF51BA">
        <w:rPr>
          <w:rFonts w:ascii="Book Antiqua" w:eastAsia="Book Antiqua" w:hAnsi="Book Antiqua" w:cs="Book Antiqua"/>
          <w:color w:val="000000" w:themeColor="text1"/>
        </w:rPr>
        <w:t xml:space="preserve">factor </w:t>
      </w:r>
      <w:r w:rsidRPr="00DF51BA">
        <w:rPr>
          <w:rFonts w:ascii="Book Antiqua" w:eastAsia="Book Antiqua" w:hAnsi="Book Antiqua" w:cs="Book Antiqua"/>
          <w:color w:val="000000" w:themeColor="text1"/>
        </w:rPr>
        <w:t>V</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Leiden with prothrombin gene G20210</w:t>
      </w:r>
      <w:r w:rsidR="00CC710F"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heterozygotic mutation multiplies the predicted risk of thrombotic events from about 4.0-5.0 to 20.0</w:t>
      </w:r>
      <w:r w:rsidRPr="00DF51BA">
        <w:rPr>
          <w:rFonts w:ascii="Book Antiqua" w:eastAsia="Book Antiqua" w:hAnsi="Book Antiqua" w:cs="Book Antiqua"/>
          <w:bCs/>
          <w:color w:val="000000" w:themeColor="text1"/>
          <w:shd w:val="clear" w:color="auto" w:fill="FFFFFF"/>
          <w:vertAlign w:val="superscript"/>
        </w:rPr>
        <w:t>[</w:t>
      </w:r>
      <w:r w:rsidR="0066513D" w:rsidRPr="00DF51BA">
        <w:rPr>
          <w:rFonts w:ascii="Book Antiqua" w:hAnsi="Book Antiqua" w:cs="Book Antiqua"/>
          <w:bCs/>
          <w:color w:val="000000" w:themeColor="text1"/>
          <w:shd w:val="clear" w:color="auto" w:fill="FFFFFF"/>
          <w:vertAlign w:val="superscript"/>
          <w:lang w:eastAsia="zh-CN"/>
        </w:rPr>
        <w:t>30</w:t>
      </w:r>
      <w:r w:rsidRPr="00DF51BA">
        <w:rPr>
          <w:rFonts w:ascii="Book Antiqua" w:eastAsia="Book Antiqua" w:hAnsi="Book Antiqua" w:cs="Book Antiqua"/>
          <w:bCs/>
          <w:color w:val="000000" w:themeColor="text1"/>
          <w:shd w:val="clear" w:color="auto" w:fill="FFFFFF"/>
          <w:vertAlign w:val="superscript"/>
        </w:rPr>
        <w:t>]</w:t>
      </w:r>
      <w:r w:rsidRPr="00DF51BA">
        <w:rPr>
          <w:rFonts w:ascii="Book Antiqua" w:eastAsia="Book Antiqua" w:hAnsi="Book Antiqua" w:cs="Book Antiqua"/>
          <w:color w:val="000000" w:themeColor="text1"/>
        </w:rPr>
        <w:t>.</w:t>
      </w:r>
      <w:r w:rsidR="0066513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The selection of a group of patients with strict input criteria in the study helped to identify with greater clarity the participation of the genetic profile in the occurrence of a thrombotic episode after TJR. Identifying and characterizing genetic risk should help to develop diagnostic and treatment strategies for several etiological mechanisms that cause thrombophilia following major orthopedic surgery.</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In conclusion, although the number of patients in our series was relatively small, the rigorous sample selection criteria optimized the process of drawing conclusions and limited the impact of bias. Statistical analysis indicated that symptomatic thrombotic events were not correlated to thrombocytopenia or HIT and also show</w:t>
      </w:r>
      <w:r w:rsidR="00176190" w:rsidRPr="00DF51BA">
        <w:rPr>
          <w:rFonts w:ascii="Book Antiqua" w:eastAsia="Book Antiqua" w:hAnsi="Book Antiqua" w:cs="Book Antiqua"/>
          <w:color w:val="000000" w:themeColor="text1"/>
        </w:rPr>
        <w:t>ed</w:t>
      </w:r>
      <w:r w:rsidRPr="00DF51BA">
        <w:rPr>
          <w:rFonts w:ascii="Book Antiqua" w:eastAsia="Book Antiqua" w:hAnsi="Book Antiqua" w:cs="Book Antiqua"/>
          <w:color w:val="000000" w:themeColor="text1"/>
        </w:rPr>
        <w:t xml:space="preserve"> that platelet count monitoring does not necessarily uncover cases of formation of anti-PF4/heparin antibodies that may be correlated to </w:t>
      </w:r>
      <w:r w:rsidR="00176190" w:rsidRPr="00DF51BA">
        <w:rPr>
          <w:rFonts w:ascii="Book Antiqua" w:eastAsia="Book Antiqua" w:hAnsi="Book Antiqua" w:cs="Book Antiqua"/>
          <w:color w:val="000000" w:themeColor="text1"/>
        </w:rPr>
        <w:t>venous thromboembolism</w:t>
      </w:r>
      <w:r w:rsidRPr="00DF51BA">
        <w:rPr>
          <w:rFonts w:ascii="Book Antiqua" w:eastAsia="Book Antiqua" w:hAnsi="Book Antiqua" w:cs="Book Antiqua"/>
          <w:color w:val="000000" w:themeColor="text1"/>
        </w:rPr>
        <w:t xml:space="preserve">. Moreover, both LMWH and fondaparinux were found to be responsible for the formation of anti-PF4/heparin antibodies. The correlation of thrombotic events to the formation of anti-PF4/heparin antibodies approached significance whereas mutations of factor II and </w:t>
      </w:r>
      <w:r w:rsidR="00C74037" w:rsidRPr="00DF51BA">
        <w:rPr>
          <w:rFonts w:ascii="Book Antiqua" w:eastAsia="Book Antiqua" w:hAnsi="Book Antiqua" w:cs="Book Antiqua"/>
          <w:color w:val="000000" w:themeColor="text1"/>
        </w:rPr>
        <w:t xml:space="preserve">factor </w:t>
      </w:r>
      <w:r w:rsidRPr="00DF51BA">
        <w:rPr>
          <w:rFonts w:ascii="Book Antiqua" w:eastAsia="Book Antiqua" w:hAnsi="Book Antiqua" w:cs="Book Antiqua"/>
          <w:color w:val="000000" w:themeColor="text1"/>
        </w:rPr>
        <w:t>V were significantly correlated to symptomatic thrombosis. Thus, the evaluation of mutations of factor II and</w:t>
      </w:r>
      <w:r w:rsidR="00C74037" w:rsidRPr="00DF51BA">
        <w:rPr>
          <w:rFonts w:ascii="Book Antiqua" w:eastAsia="Book Antiqua" w:hAnsi="Book Antiqua" w:cs="Book Antiqua"/>
          <w:color w:val="000000" w:themeColor="text1"/>
        </w:rPr>
        <w:t xml:space="preserve"> factor</w:t>
      </w:r>
      <w:r w:rsidRPr="00DF51BA">
        <w:rPr>
          <w:rFonts w:ascii="Book Antiqua" w:eastAsia="Book Antiqua" w:hAnsi="Book Antiqua" w:cs="Book Antiqua"/>
          <w:color w:val="000000" w:themeColor="text1"/>
        </w:rPr>
        <w:t xml:space="preserve"> V preoperatively may reduce thrombotic complications in patients undergoing major joint replacement. Preoperative tests should be based on the clinical benefit and cost</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effectiveness ratio and should also lead to an individual patient risk assessment or to the most optimal pharmacologic prophylaxis against </w:t>
      </w:r>
      <w:r w:rsidR="00176190" w:rsidRPr="00DF51BA">
        <w:rPr>
          <w:rFonts w:ascii="Book Antiqua" w:eastAsia="Book Antiqua" w:hAnsi="Book Antiqua" w:cs="Book Antiqua"/>
          <w:color w:val="000000" w:themeColor="text1"/>
        </w:rPr>
        <w:t>venous thromboembolism</w:t>
      </w:r>
      <w:r w:rsidRPr="00DF51BA">
        <w:rPr>
          <w:rFonts w:ascii="Book Antiqua" w:eastAsia="Book Antiqua" w:hAnsi="Book Antiqua" w:cs="Book Antiqua"/>
          <w:color w:val="000000" w:themeColor="text1"/>
        </w:rPr>
        <w:t xml:space="preserve"> and HIT after elective lower limb arthroplasty.</w:t>
      </w:r>
    </w:p>
    <w:p w:rsidR="00A77B3E" w:rsidRPr="00DF51BA" w:rsidRDefault="00A77B3E" w:rsidP="00DF51BA">
      <w:pPr>
        <w:snapToGrid w:val="0"/>
        <w:spacing w:line="360" w:lineRule="auto"/>
        <w:ind w:firstLine="426"/>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lastRenderedPageBreak/>
        <w:t>ARTICLE HIGHLIGHTS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background</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Numerous studies have emphasized the association of multiple risk factors, including varicose veins, congestive heart failure, female gender, age, hypertension, venous thromboembolism history, cancer, diabetes, dyslipidemia, obesity, black race, </w:t>
      </w:r>
      <w:r w:rsidR="00C74037" w:rsidRPr="00DF51BA">
        <w:rPr>
          <w:rFonts w:ascii="Book Antiqua" w:eastAsia="Book Antiqua" w:hAnsi="Book Antiqua" w:cs="Book Antiqua"/>
          <w:color w:val="000000" w:themeColor="text1"/>
        </w:rPr>
        <w:t>total joint arthroplasty (</w:t>
      </w:r>
      <w:r w:rsidRPr="00DF51BA">
        <w:rPr>
          <w:rFonts w:ascii="Book Antiqua" w:eastAsia="Book Antiqua" w:hAnsi="Book Antiqua" w:cs="Book Antiqua"/>
          <w:color w:val="000000" w:themeColor="text1"/>
        </w:rPr>
        <w:t>TJA</w:t>
      </w:r>
      <w:r w:rsidR="00C7403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type (primary or revision), primary disease (osteoarthritis, rheumatoid ar</w:t>
      </w:r>
      <w:r w:rsidR="00C74037"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 xml:space="preserve">hritis), and procedure duration in the increased risk of </w:t>
      </w:r>
      <w:r w:rsidR="00C74037" w:rsidRPr="00DF51BA">
        <w:rPr>
          <w:rFonts w:ascii="Book Antiqua" w:eastAsia="Book Antiqua" w:hAnsi="Book Antiqua" w:cs="Book Antiqua"/>
          <w:color w:val="000000" w:themeColor="text1"/>
        </w:rPr>
        <w:t>deep vein thrombosis</w:t>
      </w:r>
      <w:r w:rsidRPr="00DF51BA">
        <w:rPr>
          <w:rFonts w:ascii="Book Antiqua" w:eastAsia="Book Antiqua" w:hAnsi="Book Antiqua" w:cs="Book Antiqua"/>
          <w:color w:val="000000" w:themeColor="text1"/>
        </w:rPr>
        <w:t xml:space="preserve"> after TJA. Deep vein thrombosis can easily develop into pulmonary embolism</w:t>
      </w:r>
      <w:r w:rsidR="00C74037"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leading to cardiopulmonary dysfunction and death.</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motivation</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Apart from the factors related to surgery, comorbidities, medical history</w:t>
      </w:r>
      <w:r w:rsidR="00C7403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decreased mobility after major TJA</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there are many other well defined conditions that are associated with either a prothrombotic state or embolic phenomena, such as mutations or polymorphisms in genes that encode blood coagulation factors, metabolic syndrome</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or immune</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reactions related to pharmacologic agents such as anticoagulants, which would possibly lead to increased risk of venous thromboembolism and its consequences. We aimed to assess the impact of different types of anticoagulants on the hematologic profile and the incidence of </w:t>
      </w:r>
      <w:r w:rsidR="00D84603" w:rsidRPr="00DF51BA">
        <w:rPr>
          <w:rFonts w:ascii="Book Antiqua" w:eastAsia="Book Antiqua" w:hAnsi="Book Antiqua" w:cs="Book Antiqua"/>
          <w:color w:val="000000" w:themeColor="text1"/>
        </w:rPr>
        <w:t>heparin-induced thrombocytopenia (</w:t>
      </w:r>
      <w:r w:rsidRPr="00DF51BA">
        <w:rPr>
          <w:rFonts w:ascii="Book Antiqua" w:eastAsia="Book Antiqua" w:hAnsi="Book Antiqua" w:cs="Book Antiqua"/>
          <w:color w:val="000000" w:themeColor="text1"/>
        </w:rPr>
        <w:t>HIT</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thromboembolism after TJA by selecting a strictly homogeneous patient sample uninfluenced by other predisposing factors for thrombotic events.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objectives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The aim of this prospective study </w:t>
      </w:r>
      <w:r w:rsidR="00D84603" w:rsidRPr="00DF51BA">
        <w:rPr>
          <w:rFonts w:ascii="Book Antiqua" w:eastAsia="Book Antiqua" w:hAnsi="Book Antiqua" w:cs="Book Antiqua"/>
          <w:color w:val="000000" w:themeColor="text1"/>
        </w:rPr>
        <w:t>wa</w:t>
      </w:r>
      <w:r w:rsidRPr="00DF51BA">
        <w:rPr>
          <w:rFonts w:ascii="Book Antiqua" w:eastAsia="Book Antiqua" w:hAnsi="Book Antiqua" w:cs="Book Antiqua"/>
          <w:color w:val="000000" w:themeColor="text1"/>
        </w:rPr>
        <w:t>s to evaluate the influence of individual genetic profile</w:t>
      </w:r>
      <w:r w:rsidR="00D84603"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xml:space="preserve"> and adverse pharmacologic (anticoagulant immunologic) reactions activating platelets and causing thrombocytopenia on the development of thrombotic episodes among patients undergoing lower limb TJA.</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methods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 xml:space="preserve">In 212 patients that underwent primary total hip arthroplasty or total knee arthroplasty due to osteoarthritis during a period of </w:t>
      </w:r>
      <w:r w:rsidR="00E908DA">
        <w:rPr>
          <w:rFonts w:ascii="Book Antiqua" w:eastAsia="Book Antiqua" w:hAnsi="Book Antiqua" w:cs="Book Antiqua"/>
          <w:color w:val="000000" w:themeColor="text1"/>
        </w:rPr>
        <w:t>1</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year, platelet counts and anti-PF4/heparin antibodies were evaluated pre/postoperatively and </w:t>
      </w:r>
      <w:r w:rsidR="00D84603" w:rsidRPr="00DF51BA">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 xml:space="preserve">ntithrombin III, </w:t>
      </w:r>
      <w:r w:rsidR="00BD2D66" w:rsidRPr="00DF51BA">
        <w:rPr>
          <w:rFonts w:ascii="Book Antiqua" w:eastAsia="Book Antiqua" w:hAnsi="Book Antiqua" w:cs="Book Antiqua"/>
          <w:color w:val="000000" w:themeColor="text1"/>
        </w:rPr>
        <w:t>methylenetetrahydrofolate reductase</w:t>
      </w:r>
      <w:r w:rsidRPr="00DF51BA">
        <w:rPr>
          <w:rFonts w:ascii="Book Antiqua" w:eastAsia="Book Antiqua" w:hAnsi="Book Antiqua" w:cs="Book Antiqua"/>
          <w:color w:val="000000" w:themeColor="text1"/>
        </w:rPr>
        <w:t>, factor V</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prothrombin gene mutations were detected. In a minimum follow-up of 3 years patients receiving either low-molecular-weight</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heparins </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LMWH</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or fondaparinux were monitored for the development of throm</w:t>
      </w:r>
      <w:r w:rsidR="00D84603" w:rsidRPr="00DF51BA">
        <w:rPr>
          <w:rFonts w:ascii="Book Antiqua" w:eastAsia="Book Antiqua" w:hAnsi="Book Antiqua" w:cs="Book Antiqua"/>
          <w:color w:val="000000" w:themeColor="text1"/>
        </w:rPr>
        <w:t>b</w:t>
      </w:r>
      <w:r w:rsidRPr="00DF51BA">
        <w:rPr>
          <w:rFonts w:ascii="Book Antiqua" w:eastAsia="Book Antiqua" w:hAnsi="Book Antiqua" w:cs="Book Antiqua"/>
          <w:color w:val="000000" w:themeColor="text1"/>
        </w:rPr>
        <w:t>ocytopenia, anti-PF4/heparin antibodies, HIT, and thrombosis.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results</w:t>
      </w:r>
    </w:p>
    <w:p w:rsidR="00A77B3E" w:rsidRPr="00DF51BA" w:rsidRDefault="00804845"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Thirty-two </w:t>
      </w:r>
      <w:r w:rsidR="008D175F" w:rsidRPr="00DF51BA">
        <w:rPr>
          <w:rFonts w:ascii="Book Antiqua" w:eastAsia="Book Antiqua" w:hAnsi="Book Antiqua" w:cs="Book Antiqua"/>
          <w:color w:val="000000" w:themeColor="text1"/>
        </w:rPr>
        <w:t xml:space="preserve">patients developed thrombocytopenia (insignificant correlation between anticoagulant type and thrombocytopenia, </w:t>
      </w:r>
      <w:r w:rsidR="00FF635F" w:rsidRPr="00DF51BA">
        <w:rPr>
          <w:rFonts w:ascii="Book Antiqua" w:eastAsia="Book Antiqua" w:hAnsi="Book Antiqua" w:cs="Book Antiqua"/>
          <w:i/>
          <w:color w:val="000000" w:themeColor="text1"/>
        </w:rPr>
        <w:t>P</w:t>
      </w:r>
      <w:r w:rsidR="00FF635F"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FF635F"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0</w:t>
      </w:r>
      <w:r w:rsidR="008651D0" w:rsidRPr="00DF51BA">
        <w:rPr>
          <w:rFonts w:ascii="Book Antiqua" w:hAnsi="Book Antiqua" w:cs="Book Antiqua"/>
          <w:color w:val="000000" w:themeColor="text1"/>
          <w:lang w:eastAsia="zh-CN"/>
        </w:rPr>
        <w:t>.</w:t>
      </w:r>
      <w:r w:rsidR="008651D0" w:rsidRPr="00DF51BA">
        <w:rPr>
          <w:rFonts w:ascii="Book Antiqua" w:eastAsia="Book Antiqua" w:hAnsi="Book Antiqua" w:cs="Book Antiqua"/>
          <w:color w:val="000000" w:themeColor="text1"/>
        </w:rPr>
        <w:t>134</w:t>
      </w:r>
      <w:r w:rsidR="008D175F" w:rsidRPr="00DF51BA">
        <w:rPr>
          <w:rFonts w:ascii="Book Antiqua" w:eastAsia="Book Antiqua" w:hAnsi="Book Antiqua" w:cs="Book Antiqua"/>
          <w:color w:val="000000" w:themeColor="text1"/>
        </w:rPr>
        <w:t>)</w:t>
      </w:r>
      <w:r w:rsidR="00E31C4A" w:rsidRPr="00DF51BA">
        <w:rPr>
          <w:rFonts w:ascii="Book Antiqua" w:eastAsia="Book Antiqua" w:hAnsi="Book Antiqua" w:cs="Book Antiqua"/>
          <w:color w:val="000000" w:themeColor="text1"/>
        </w:rPr>
        <w:t>,</w:t>
      </w:r>
      <w:r w:rsidR="008D175F" w:rsidRPr="00DF51BA">
        <w:rPr>
          <w:rFonts w:ascii="Book Antiqua" w:eastAsia="Book Antiqua" w:hAnsi="Book Antiqua" w:cs="Book Antiqua"/>
          <w:color w:val="000000" w:themeColor="text1"/>
        </w:rPr>
        <w:t xml:space="preserve"> and </w:t>
      </w:r>
      <w:r w:rsidR="00E31C4A" w:rsidRPr="00DF51BA">
        <w:rPr>
          <w:rFonts w:ascii="Book Antiqua" w:eastAsia="Book Antiqua" w:hAnsi="Book Antiqua" w:cs="Book Antiqua"/>
          <w:color w:val="000000" w:themeColor="text1"/>
        </w:rPr>
        <w:t xml:space="preserve">eighteen </w:t>
      </w:r>
      <w:r w:rsidR="008D175F" w:rsidRPr="00DF51BA">
        <w:rPr>
          <w:rFonts w:ascii="Book Antiqua" w:eastAsia="Book Antiqua" w:hAnsi="Book Antiqua" w:cs="Book Antiqua"/>
          <w:color w:val="000000" w:themeColor="text1"/>
        </w:rPr>
        <w:t>developed anti-PF4/heparin antibodies (12/173 for LMWH and 6/23 for fondaparinux</w:t>
      </w:r>
      <w:r w:rsidR="00E31C4A" w:rsidRPr="00DF51BA">
        <w:rPr>
          <w:rFonts w:ascii="Book Antiqua" w:eastAsia="Book Antiqua" w:hAnsi="Book Antiqua" w:cs="Book Antiqua"/>
          <w:color w:val="000000" w:themeColor="text1"/>
        </w:rPr>
        <w:t>).</w:t>
      </w:r>
      <w:r w:rsidR="00E31C4A" w:rsidRPr="00DF51BA">
        <w:rPr>
          <w:rFonts w:ascii="Book Antiqua" w:eastAsia="Book Antiqua" w:hAnsi="Book Antiqua" w:cs="Book Antiqua"/>
          <w:b/>
          <w:bCs/>
          <w:color w:val="000000" w:themeColor="text1"/>
        </w:rPr>
        <w:t xml:space="preserve"> </w:t>
      </w:r>
      <w:r w:rsidR="00E31C4A" w:rsidRPr="00DF51BA">
        <w:rPr>
          <w:rFonts w:ascii="Book Antiqua" w:eastAsia="Book Antiqua" w:hAnsi="Book Antiqua" w:cs="Book Antiqua"/>
          <w:color w:val="000000" w:themeColor="text1"/>
        </w:rPr>
        <w:t>T</w:t>
      </w:r>
      <w:r w:rsidR="008D175F" w:rsidRPr="00DF51BA">
        <w:rPr>
          <w:rFonts w:ascii="Book Antiqua" w:eastAsia="Book Antiqua" w:hAnsi="Book Antiqua" w:cs="Book Antiqua"/>
          <w:color w:val="000000" w:themeColor="text1"/>
        </w:rPr>
        <w:t xml:space="preserve">here was a significant correlation between anticoagulant type and antibody appearance </w:t>
      </w:r>
      <w:r w:rsidR="00E31C4A" w:rsidRPr="00DF51BA">
        <w:rPr>
          <w:rFonts w:ascii="Book Antiqua" w:eastAsia="Book Antiqua" w:hAnsi="Book Antiqua" w:cs="Book Antiqua"/>
          <w:color w:val="000000" w:themeColor="text1"/>
        </w:rPr>
        <w:t>(</w:t>
      </w:r>
      <w:r w:rsidR="00DC5113" w:rsidRPr="00DF51BA">
        <w:rPr>
          <w:rFonts w:ascii="Book Antiqua" w:eastAsia="Book Antiqua" w:hAnsi="Book Antiqua" w:cs="Book Antiqua"/>
          <w:i/>
          <w:color w:val="000000" w:themeColor="text1"/>
        </w:rPr>
        <w:t>P</w:t>
      </w:r>
      <w:r w:rsidR="00DC5113"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DC5113"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0.005). Odds of antibody emergence were 8.2% greater in patients receiving fondaparinux than LMWH. Four patients developed HIT (insignificant correlation between thrombocytopenia and antibodies)</w:t>
      </w:r>
      <w:r w:rsidR="00E31C4A" w:rsidRPr="00DF51BA">
        <w:rPr>
          <w:rFonts w:ascii="Book Antiqua" w:eastAsia="Book Antiqua" w:hAnsi="Book Antiqua" w:cs="Book Antiqua"/>
          <w:color w:val="000000" w:themeColor="text1"/>
        </w:rPr>
        <w:t>,</w:t>
      </w:r>
      <w:r w:rsidR="000D7169"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and five developed thrombosis</w:t>
      </w:r>
      <w:r w:rsidR="00E31C4A" w:rsidRPr="00DF51BA">
        <w:rPr>
          <w:rFonts w:ascii="Book Antiqua" w:eastAsia="Book Antiqua" w:hAnsi="Book Antiqua" w:cs="Book Antiqua"/>
          <w:color w:val="000000" w:themeColor="text1"/>
        </w:rPr>
        <w:t>.</w:t>
      </w:r>
      <w:r w:rsidR="008D175F" w:rsidRPr="00DF51BA">
        <w:rPr>
          <w:rFonts w:ascii="Book Antiqua" w:eastAsia="Book Antiqua" w:hAnsi="Book Antiqua" w:cs="Book Antiqua"/>
          <w:color w:val="000000" w:themeColor="text1"/>
        </w:rPr>
        <w:t xml:space="preserve"> </w:t>
      </w:r>
      <w:r w:rsidR="000D7169" w:rsidRPr="00DF51BA">
        <w:rPr>
          <w:rFonts w:ascii="Book Antiqua" w:eastAsia="Book Antiqua" w:hAnsi="Book Antiqua" w:cs="Book Antiqua"/>
          <w:color w:val="000000" w:themeColor="text1"/>
        </w:rPr>
        <w:t>T</w:t>
      </w:r>
      <w:r w:rsidR="008D175F" w:rsidRPr="00DF51BA">
        <w:rPr>
          <w:rFonts w:ascii="Book Antiqua" w:eastAsia="Book Antiqua" w:hAnsi="Book Antiqua" w:cs="Book Antiqua"/>
          <w:color w:val="000000" w:themeColor="text1"/>
        </w:rPr>
        <w:t xml:space="preserve">wo had positive antibodies and two were heterozygotes for both factor II </w:t>
      </w:r>
      <w:r w:rsidR="00E31C4A" w:rsidRPr="00DF51BA">
        <w:rPr>
          <w:rFonts w:ascii="Book Antiqua" w:eastAsia="Book Antiqua" w:hAnsi="Book Antiqua" w:cs="Book Antiqua"/>
          <w:color w:val="000000" w:themeColor="text1"/>
        </w:rPr>
        <w:t>and factor</w:t>
      </w:r>
      <w:r w:rsidR="008D175F" w:rsidRPr="00DF51BA">
        <w:rPr>
          <w:rFonts w:ascii="Book Antiqua" w:eastAsia="Book Antiqua" w:hAnsi="Book Antiqua" w:cs="Book Antiqua"/>
          <w:color w:val="000000" w:themeColor="text1"/>
        </w:rPr>
        <w:t xml:space="preserve"> V mutations. Thrombosis was not significantly correlated to platelet counts or HIT. The correlation of thrombosis to antibodies, factor II,</w:t>
      </w:r>
      <w:r w:rsidR="00E31C4A" w:rsidRPr="00DF51BA">
        <w:rPr>
          <w:rFonts w:ascii="Book Antiqua" w:eastAsia="Book Antiqua" w:hAnsi="Book Antiqua" w:cs="Book Antiqua"/>
          <w:color w:val="000000" w:themeColor="text1"/>
        </w:rPr>
        <w:t xml:space="preserve"> and</w:t>
      </w:r>
      <w:r w:rsidR="008D175F" w:rsidRPr="00DF51BA">
        <w:rPr>
          <w:rFonts w:ascii="Book Antiqua" w:eastAsia="Book Antiqua" w:hAnsi="Book Antiqua" w:cs="Book Antiqua"/>
          <w:color w:val="000000" w:themeColor="text1"/>
        </w:rPr>
        <w:t xml:space="preserve"> factor V was </w:t>
      </w:r>
      <w:r w:rsidR="00B85738" w:rsidRPr="00DF51BA">
        <w:rPr>
          <w:rFonts w:ascii="Book Antiqua" w:eastAsia="Book Antiqua" w:hAnsi="Book Antiqua" w:cs="Book Antiqua"/>
          <w:i/>
          <w:color w:val="000000" w:themeColor="text1"/>
        </w:rPr>
        <w:t>P</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0.076, </w:t>
      </w:r>
      <w:r w:rsidR="00B85738" w:rsidRPr="00DF51BA">
        <w:rPr>
          <w:rFonts w:ascii="Book Antiqua" w:eastAsia="Book Antiqua" w:hAnsi="Book Antiqua" w:cs="Book Antiqua"/>
          <w:i/>
          <w:color w:val="000000" w:themeColor="text1"/>
        </w:rPr>
        <w:t>P</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0.043, </w:t>
      </w:r>
      <w:r w:rsidR="00E31C4A" w:rsidRPr="00DF51BA">
        <w:rPr>
          <w:rFonts w:ascii="Book Antiqua" w:eastAsia="Book Antiqua" w:hAnsi="Book Antiqua" w:cs="Book Antiqua"/>
          <w:color w:val="000000" w:themeColor="text1"/>
        </w:rPr>
        <w:t xml:space="preserve">and </w:t>
      </w:r>
      <w:r w:rsidR="00B85738" w:rsidRPr="00DF51BA">
        <w:rPr>
          <w:rFonts w:ascii="Book Antiqua" w:eastAsia="Book Antiqua" w:hAnsi="Book Antiqua" w:cs="Book Antiqua"/>
          <w:i/>
          <w:color w:val="000000" w:themeColor="text1"/>
        </w:rPr>
        <w:t>P</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0.013</w:t>
      </w:r>
      <w:r w:rsidR="00E31C4A" w:rsidRPr="00DF51BA">
        <w:rPr>
          <w:rFonts w:ascii="Book Antiqua" w:eastAsia="Book Antiqua" w:hAnsi="Book Antiqua" w:cs="Book Antiqua"/>
          <w:color w:val="000000" w:themeColor="text1"/>
        </w:rPr>
        <w:t>, respectively</w:t>
      </w:r>
      <w:r w:rsidR="008D175F" w:rsidRPr="00DF51BA">
        <w:rPr>
          <w:rFonts w:ascii="Book Antiqua" w:eastAsia="Book Antiqua" w:hAnsi="Book Antiqua" w:cs="Book Antiqua"/>
          <w:color w:val="000000" w:themeColor="text1"/>
        </w:rPr>
        <w: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conclusions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Screening of coagulation profile, instead of platelet monitoring, is </w:t>
      </w:r>
      <w:r w:rsidR="00E31C4A" w:rsidRPr="00DF51BA">
        <w:rPr>
          <w:rFonts w:ascii="Book Antiqua" w:eastAsia="Book Antiqua" w:hAnsi="Book Antiqua" w:cs="Book Antiqua"/>
          <w:color w:val="000000" w:themeColor="text1"/>
        </w:rPr>
        <w:t xml:space="preserve">likely </w:t>
      </w:r>
      <w:r w:rsidRPr="00DF51BA">
        <w:rPr>
          <w:rFonts w:ascii="Book Antiqua" w:eastAsia="Book Antiqua" w:hAnsi="Book Antiqua" w:cs="Book Antiqua"/>
          <w:color w:val="000000" w:themeColor="text1"/>
        </w:rPr>
        <w:t>the safest way to minimize the risk of post-arthroplasty thrombosis. In addition, fondaparinux can lead to the formation of anti-PF4/heparin antibodies or HIT.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perspectives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Although the number of patients of our series was relatively small, the rigorous sample selection criteria optimized the process of drawing conclusions and limited the impact </w:t>
      </w:r>
      <w:r w:rsidRPr="00DF51BA">
        <w:rPr>
          <w:rFonts w:ascii="Book Antiqua" w:eastAsia="Book Antiqua" w:hAnsi="Book Antiqua" w:cs="Book Antiqua"/>
          <w:color w:val="000000" w:themeColor="text1"/>
        </w:rPr>
        <w:lastRenderedPageBreak/>
        <w:t xml:space="preserve">of bias. Statistical analysis indicated that symptomatic thrombotic events were not correlated to thrombocytopenia or HIT and platelet count monitoring does not necessarily uncover cases of formation of anti-PF4/heparin antibodies that may be correlated to </w:t>
      </w:r>
      <w:r w:rsidR="00176190" w:rsidRPr="00DF51BA">
        <w:rPr>
          <w:rFonts w:ascii="Book Antiqua" w:eastAsia="Book Antiqua" w:hAnsi="Book Antiqua" w:cs="Book Antiqua"/>
          <w:color w:val="000000" w:themeColor="text1"/>
        </w:rPr>
        <w:t>venous thromboembolism</w:t>
      </w:r>
      <w:r w:rsidRPr="00DF51BA">
        <w:rPr>
          <w:rFonts w:ascii="Book Antiqua" w:eastAsia="Book Antiqua" w:hAnsi="Book Antiqua" w:cs="Book Antiqua"/>
          <w:color w:val="000000" w:themeColor="text1"/>
        </w:rPr>
        <w:t>. Moreover, both LMWH and fondaparinux were found to be responsible for the formation of anti-PF4/heparin antibodies. The correlation of thrombotic events to the formation of anti-PF4/heparin antibodies approached significance</w:t>
      </w:r>
      <w:r w:rsidR="00E31C4A"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whereas mutations of factors II and V were significantly correlated to symptomatic thrombosis. Thus, the evaluation of mutations of factor II and </w:t>
      </w:r>
      <w:r w:rsidR="00E31C4A" w:rsidRPr="00DF51BA">
        <w:rPr>
          <w:rFonts w:ascii="Book Antiqua" w:eastAsia="Book Antiqua" w:hAnsi="Book Antiqua" w:cs="Book Antiqua"/>
          <w:color w:val="000000" w:themeColor="text1"/>
        </w:rPr>
        <w:t xml:space="preserve">factor </w:t>
      </w:r>
      <w:r w:rsidRPr="00DF51BA">
        <w:rPr>
          <w:rFonts w:ascii="Book Antiqua" w:eastAsia="Book Antiqua" w:hAnsi="Book Antiqua" w:cs="Book Antiqua"/>
          <w:color w:val="000000" w:themeColor="text1"/>
        </w:rPr>
        <w:t>V preoperatively may reduce thrombotic complications in patients undergoing major joint replacement. Preoperative tests should be based on the clinical benefit and cost</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effectiveness ratio and should also lead to individual patient risk assessment or to the most optimal pharmacologic prophylaxis against </w:t>
      </w:r>
      <w:r w:rsidR="00176190" w:rsidRPr="00DF51BA">
        <w:rPr>
          <w:rFonts w:ascii="Book Antiqua" w:eastAsia="Book Antiqua" w:hAnsi="Book Antiqua" w:cs="Book Antiqua"/>
          <w:color w:val="000000" w:themeColor="text1"/>
        </w:rPr>
        <w:t>venous thromboembolism</w:t>
      </w:r>
      <w:r w:rsidRPr="00DF51BA">
        <w:rPr>
          <w:rFonts w:ascii="Book Antiqua" w:eastAsia="Book Antiqua" w:hAnsi="Book Antiqua" w:cs="Book Antiqua"/>
          <w:color w:val="000000" w:themeColor="text1"/>
        </w:rPr>
        <w:t xml:space="preserve"> and HIT after elective lower limb arthroplasties.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t>ACKNOWLEDGMENTS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The authors would like to thank George Dimakopoulos for his expert scientific assistance in statistical analysis and Teresa Jane Carr for language evaluation of the manuscript.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REFERENCES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 </w:t>
      </w:r>
      <w:r w:rsidRPr="00DF51BA">
        <w:rPr>
          <w:rFonts w:ascii="Book Antiqua" w:eastAsia="Book Antiqua" w:hAnsi="Book Antiqua" w:cs="Book Antiqua"/>
          <w:b/>
          <w:bCs/>
          <w:color w:val="000000" w:themeColor="text1"/>
        </w:rPr>
        <w:t>Bjørnarå BT</w:t>
      </w:r>
      <w:r w:rsidRPr="00DF51BA">
        <w:rPr>
          <w:rFonts w:ascii="Book Antiqua" w:eastAsia="Book Antiqua" w:hAnsi="Book Antiqua" w:cs="Book Antiqua"/>
          <w:color w:val="000000" w:themeColor="text1"/>
        </w:rPr>
        <w:t xml:space="preserve">, Gudmundsen TE, Dahl OE. Frequency and timing of clinical venous thromboembolism after major joint surgery. </w:t>
      </w:r>
      <w:r w:rsidRPr="00DF51BA">
        <w:rPr>
          <w:rFonts w:ascii="Book Antiqua" w:eastAsia="Book Antiqua" w:hAnsi="Book Antiqua" w:cs="Book Antiqua"/>
          <w:i/>
          <w:iCs/>
          <w:color w:val="000000" w:themeColor="text1"/>
        </w:rPr>
        <w:t>J Bone Joint Surg Br</w:t>
      </w:r>
      <w:r w:rsidRPr="00DF51BA">
        <w:rPr>
          <w:rFonts w:ascii="Book Antiqua" w:eastAsia="Book Antiqua" w:hAnsi="Book Antiqua" w:cs="Book Antiqua"/>
          <w:color w:val="000000" w:themeColor="text1"/>
        </w:rPr>
        <w:t xml:space="preserve"> 2006; </w:t>
      </w:r>
      <w:r w:rsidRPr="00DF51BA">
        <w:rPr>
          <w:rFonts w:ascii="Book Antiqua" w:eastAsia="Book Antiqua" w:hAnsi="Book Antiqua" w:cs="Book Antiqua"/>
          <w:b/>
          <w:bCs/>
          <w:color w:val="000000" w:themeColor="text1"/>
        </w:rPr>
        <w:t>88</w:t>
      </w:r>
      <w:r w:rsidRPr="00DF51BA">
        <w:rPr>
          <w:rFonts w:ascii="Book Antiqua" w:eastAsia="Book Antiqua" w:hAnsi="Book Antiqua" w:cs="Book Antiqua"/>
          <w:color w:val="000000" w:themeColor="text1"/>
        </w:rPr>
        <w:t>: 386-391 [PMID: 16498018 DOI: 10.1302/0301-620X.88B3.17207]</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 </w:t>
      </w:r>
      <w:r w:rsidRPr="00DF51BA">
        <w:rPr>
          <w:rFonts w:ascii="Book Antiqua" w:eastAsia="Book Antiqua" w:hAnsi="Book Antiqua" w:cs="Book Antiqua"/>
          <w:b/>
          <w:bCs/>
          <w:color w:val="000000" w:themeColor="text1"/>
        </w:rPr>
        <w:t>Markovic-Denic L</w:t>
      </w:r>
      <w:r w:rsidRPr="00DF51BA">
        <w:rPr>
          <w:rFonts w:ascii="Book Antiqua" w:eastAsia="Book Antiqua" w:hAnsi="Book Antiqua" w:cs="Book Antiqua"/>
          <w:color w:val="000000" w:themeColor="text1"/>
        </w:rPr>
        <w:t xml:space="preserve">, Zivkovic K, Lesic A, Bumbasirevic V, Dubljanin-Raspopovic E, Bumbasirevic M. Risk factors and distribution of symptomatic venous thromboembolism in total hip and knee replacements: prospective study. </w:t>
      </w:r>
      <w:r w:rsidRPr="00DF51BA">
        <w:rPr>
          <w:rFonts w:ascii="Book Antiqua" w:eastAsia="Book Antiqua" w:hAnsi="Book Antiqua" w:cs="Book Antiqua"/>
          <w:i/>
          <w:iCs/>
          <w:color w:val="000000" w:themeColor="text1"/>
        </w:rPr>
        <w:t>Int Orthop</w:t>
      </w:r>
      <w:r w:rsidRPr="00DF51BA">
        <w:rPr>
          <w:rFonts w:ascii="Book Antiqua" w:eastAsia="Book Antiqua" w:hAnsi="Book Antiqua" w:cs="Book Antiqua"/>
          <w:color w:val="000000" w:themeColor="text1"/>
        </w:rPr>
        <w:t xml:space="preserve"> 2012; </w:t>
      </w:r>
      <w:r w:rsidRPr="00DF51BA">
        <w:rPr>
          <w:rFonts w:ascii="Book Antiqua" w:eastAsia="Book Antiqua" w:hAnsi="Book Antiqua" w:cs="Book Antiqua"/>
          <w:b/>
          <w:bCs/>
          <w:color w:val="000000" w:themeColor="text1"/>
        </w:rPr>
        <w:t>36</w:t>
      </w:r>
      <w:r w:rsidRPr="00DF51BA">
        <w:rPr>
          <w:rFonts w:ascii="Book Antiqua" w:eastAsia="Book Antiqua" w:hAnsi="Book Antiqua" w:cs="Book Antiqua"/>
          <w:color w:val="000000" w:themeColor="text1"/>
        </w:rPr>
        <w:t>: 1299-1305 [PMID: 22215369 DOI: 10.1007/s00264-011-1466-5]</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3 </w:t>
      </w:r>
      <w:r w:rsidRPr="00DF51BA">
        <w:rPr>
          <w:rFonts w:ascii="Book Antiqua" w:eastAsia="Book Antiqua" w:hAnsi="Book Antiqua" w:cs="Book Antiqua"/>
          <w:b/>
          <w:bCs/>
          <w:color w:val="000000" w:themeColor="text1"/>
        </w:rPr>
        <w:t>Falck-Ytter Y</w:t>
      </w:r>
      <w:r w:rsidRPr="00DF51BA">
        <w:rPr>
          <w:rFonts w:ascii="Book Antiqua" w:eastAsia="Book Antiqua" w:hAnsi="Book Antiqua" w:cs="Book Antiqua"/>
          <w:color w:val="000000" w:themeColor="text1"/>
        </w:rPr>
        <w:t xml:space="preserve">, Francis CW, Johanson NA, Curley C, Dahl OE, Schulman S, Ortel TL, Pauker SG, Colwell CW Jr. Prevention of VTE in orthopedic surgery patients: </w:t>
      </w:r>
      <w:r w:rsidRPr="00DF51BA">
        <w:rPr>
          <w:rFonts w:ascii="Book Antiqua" w:eastAsia="Book Antiqua" w:hAnsi="Book Antiqua" w:cs="Book Antiqua"/>
          <w:color w:val="000000" w:themeColor="text1"/>
        </w:rPr>
        <w:lastRenderedPageBreak/>
        <w:t xml:space="preserve">Antithrombotic Therapy and Prevention of Thrombosis, 9th ed: American College of Chest Physicians Evidence-Based Clinical Practice Guidelines. </w:t>
      </w:r>
      <w:r w:rsidRPr="00DF51BA">
        <w:rPr>
          <w:rFonts w:ascii="Book Antiqua" w:eastAsia="Book Antiqua" w:hAnsi="Book Antiqua" w:cs="Book Antiqua"/>
          <w:i/>
          <w:iCs/>
          <w:color w:val="000000" w:themeColor="text1"/>
        </w:rPr>
        <w:t>Chest</w:t>
      </w:r>
      <w:r w:rsidRPr="00DF51BA">
        <w:rPr>
          <w:rFonts w:ascii="Book Antiqua" w:eastAsia="Book Antiqua" w:hAnsi="Book Antiqua" w:cs="Book Antiqua"/>
          <w:color w:val="000000" w:themeColor="text1"/>
        </w:rPr>
        <w:t xml:space="preserve"> 2012; </w:t>
      </w:r>
      <w:r w:rsidRPr="00DF51BA">
        <w:rPr>
          <w:rFonts w:ascii="Book Antiqua" w:eastAsia="Book Antiqua" w:hAnsi="Book Antiqua" w:cs="Book Antiqua"/>
          <w:b/>
          <w:bCs/>
          <w:color w:val="000000" w:themeColor="text1"/>
        </w:rPr>
        <w:t>141</w:t>
      </w:r>
      <w:r w:rsidRPr="00DF51BA">
        <w:rPr>
          <w:rFonts w:ascii="Book Antiqua" w:eastAsia="Book Antiqua" w:hAnsi="Book Antiqua" w:cs="Book Antiqua"/>
          <w:color w:val="000000" w:themeColor="text1"/>
        </w:rPr>
        <w:t>: e278S-e325S [PMID: 22315265 DOI: 10.1378/chest.11-2404]</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4 </w:t>
      </w:r>
      <w:r w:rsidRPr="00DF51BA">
        <w:rPr>
          <w:rFonts w:ascii="Book Antiqua" w:eastAsia="Book Antiqua" w:hAnsi="Book Antiqua" w:cs="Book Antiqua"/>
          <w:b/>
          <w:bCs/>
          <w:color w:val="000000" w:themeColor="text1"/>
        </w:rPr>
        <w:t>Parvizi J</w:t>
      </w:r>
      <w:r w:rsidRPr="00DF51BA">
        <w:rPr>
          <w:rFonts w:ascii="Book Antiqua" w:eastAsia="Book Antiqua" w:hAnsi="Book Antiqua" w:cs="Book Antiqua"/>
          <w:color w:val="000000" w:themeColor="text1"/>
        </w:rPr>
        <w:t xml:space="preserve">, Huang R, Rezapoor M, Bagheri B, Maltenfort MG. Individualized Risk Model for Venous Thromboembolism After Total Joint Arthroplasty. </w:t>
      </w:r>
      <w:r w:rsidRPr="00DF51BA">
        <w:rPr>
          <w:rFonts w:ascii="Book Antiqua" w:eastAsia="Book Antiqua" w:hAnsi="Book Antiqua" w:cs="Book Antiqua"/>
          <w:i/>
          <w:iCs/>
          <w:color w:val="000000" w:themeColor="text1"/>
        </w:rPr>
        <w:t>J Arthroplasty</w:t>
      </w:r>
      <w:r w:rsidRPr="00DF51BA">
        <w:rPr>
          <w:rFonts w:ascii="Book Antiqua" w:eastAsia="Book Antiqua" w:hAnsi="Book Antiqua" w:cs="Book Antiqua"/>
          <w:color w:val="000000" w:themeColor="text1"/>
        </w:rPr>
        <w:t xml:space="preserve"> 2016; </w:t>
      </w:r>
      <w:r w:rsidRPr="00DF51BA">
        <w:rPr>
          <w:rFonts w:ascii="Book Antiqua" w:eastAsia="Book Antiqua" w:hAnsi="Book Antiqua" w:cs="Book Antiqua"/>
          <w:b/>
          <w:bCs/>
          <w:color w:val="000000" w:themeColor="text1"/>
        </w:rPr>
        <w:t>31</w:t>
      </w:r>
      <w:r w:rsidRPr="00DF51BA">
        <w:rPr>
          <w:rFonts w:ascii="Book Antiqua" w:eastAsia="Book Antiqua" w:hAnsi="Book Antiqua" w:cs="Book Antiqua"/>
          <w:color w:val="000000" w:themeColor="text1"/>
        </w:rPr>
        <w:t>: 180-186 [PMID: 27094244 DOI: 10.1016/j.arth.2016.02.077]</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5 </w:t>
      </w:r>
      <w:r w:rsidRPr="00DF51BA">
        <w:rPr>
          <w:rFonts w:ascii="Book Antiqua" w:eastAsia="Book Antiqua" w:hAnsi="Book Antiqua" w:cs="Book Antiqua"/>
          <w:b/>
          <w:bCs/>
          <w:color w:val="000000" w:themeColor="text1"/>
        </w:rPr>
        <w:t>Sun G</w:t>
      </w:r>
      <w:r w:rsidRPr="00DF51BA">
        <w:rPr>
          <w:rFonts w:ascii="Book Antiqua" w:eastAsia="Book Antiqua" w:hAnsi="Book Antiqua" w:cs="Book Antiqua"/>
          <w:color w:val="000000" w:themeColor="text1"/>
        </w:rPr>
        <w:t xml:space="preserve">, Wu J, Wang Q, Liang Q, Jia J, Cheng K, Sun G, Wang Z. Factor Xa Inhibitors and Direct Thrombin Inhibitors Versus Low-Molecular-Weight Heparin for Thromboprophylaxis After Total Hip or Total Knee Arthroplasty: A Systematic Review and Meta-Analysis. </w:t>
      </w:r>
      <w:r w:rsidRPr="00DF51BA">
        <w:rPr>
          <w:rFonts w:ascii="Book Antiqua" w:eastAsia="Book Antiqua" w:hAnsi="Book Antiqua" w:cs="Book Antiqua"/>
          <w:i/>
          <w:iCs/>
          <w:color w:val="000000" w:themeColor="text1"/>
        </w:rPr>
        <w:t>J Arthroplasty</w:t>
      </w:r>
      <w:r w:rsidRPr="00DF51BA">
        <w:rPr>
          <w:rFonts w:ascii="Book Antiqua" w:eastAsia="Book Antiqua" w:hAnsi="Book Antiqua" w:cs="Book Antiqua"/>
          <w:color w:val="000000" w:themeColor="text1"/>
        </w:rPr>
        <w:t xml:space="preserve"> 2019; </w:t>
      </w:r>
      <w:r w:rsidRPr="00DF51BA">
        <w:rPr>
          <w:rFonts w:ascii="Book Antiqua" w:eastAsia="Book Antiqua" w:hAnsi="Book Antiqua" w:cs="Book Antiqua"/>
          <w:b/>
          <w:bCs/>
          <w:color w:val="000000" w:themeColor="text1"/>
        </w:rPr>
        <w:t>34</w:t>
      </w:r>
      <w:r w:rsidRPr="00DF51BA">
        <w:rPr>
          <w:rFonts w:ascii="Book Antiqua" w:eastAsia="Book Antiqua" w:hAnsi="Book Antiqua" w:cs="Book Antiqua"/>
          <w:color w:val="000000" w:themeColor="text1"/>
        </w:rPr>
        <w:t>: 789-800.e6 [PMID: 30685261 DOI: 10.1016/j.arth.2018.11.029]</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6 </w:t>
      </w:r>
      <w:r w:rsidRPr="00DF51BA">
        <w:rPr>
          <w:rFonts w:ascii="Book Antiqua" w:eastAsia="Book Antiqua" w:hAnsi="Book Antiqua" w:cs="Book Antiqua"/>
          <w:b/>
          <w:bCs/>
          <w:color w:val="000000" w:themeColor="text1"/>
        </w:rPr>
        <w:t>Warkentin TE</w:t>
      </w:r>
      <w:r w:rsidRPr="00DF51BA">
        <w:rPr>
          <w:rFonts w:ascii="Book Antiqua" w:eastAsia="Book Antiqua" w:hAnsi="Book Antiqua" w:cs="Book Antiqua"/>
          <w:color w:val="000000" w:themeColor="text1"/>
        </w:rPr>
        <w:t xml:space="preserve">. Clinical picture of heparin-induced thrombocytopenia (HIT) and its differentiation from non-HIT thrombocytopenia. </w:t>
      </w:r>
      <w:r w:rsidRPr="00DF51BA">
        <w:rPr>
          <w:rFonts w:ascii="Book Antiqua" w:eastAsia="Book Antiqua" w:hAnsi="Book Antiqua" w:cs="Book Antiqua"/>
          <w:i/>
          <w:iCs/>
          <w:color w:val="000000" w:themeColor="text1"/>
        </w:rPr>
        <w:t>Thromb Haemost</w:t>
      </w:r>
      <w:r w:rsidRPr="00DF51BA">
        <w:rPr>
          <w:rFonts w:ascii="Book Antiqua" w:eastAsia="Book Antiqua" w:hAnsi="Book Antiqua" w:cs="Book Antiqua"/>
          <w:color w:val="000000" w:themeColor="text1"/>
        </w:rPr>
        <w:t xml:space="preserve"> 2016; </w:t>
      </w:r>
      <w:r w:rsidRPr="00DF51BA">
        <w:rPr>
          <w:rFonts w:ascii="Book Antiqua" w:eastAsia="Book Antiqua" w:hAnsi="Book Antiqua" w:cs="Book Antiqua"/>
          <w:b/>
          <w:bCs/>
          <w:color w:val="000000" w:themeColor="text1"/>
        </w:rPr>
        <w:t>116</w:t>
      </w:r>
      <w:r w:rsidRPr="00DF51BA">
        <w:rPr>
          <w:rFonts w:ascii="Book Antiqua" w:eastAsia="Book Antiqua" w:hAnsi="Book Antiqua" w:cs="Book Antiqua"/>
          <w:color w:val="000000" w:themeColor="text1"/>
        </w:rPr>
        <w:t>: 813-822 [PMID: 27656712 DOI: 10.1160/TH16-06-0435]</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7 </w:t>
      </w:r>
      <w:r w:rsidRPr="00DF51BA">
        <w:rPr>
          <w:rFonts w:ascii="Book Antiqua" w:eastAsia="Book Antiqua" w:hAnsi="Book Antiqua" w:cs="Book Antiqua"/>
          <w:b/>
          <w:bCs/>
          <w:color w:val="000000" w:themeColor="text1"/>
        </w:rPr>
        <w:t>Greinacher A</w:t>
      </w:r>
      <w:r w:rsidRPr="00DF51BA">
        <w:rPr>
          <w:rFonts w:ascii="Book Antiqua" w:eastAsia="Book Antiqua" w:hAnsi="Book Antiqua" w:cs="Book Antiqua"/>
          <w:color w:val="000000" w:themeColor="text1"/>
        </w:rPr>
        <w:t xml:space="preserve">. CLINICAL PRACTICE. Heparin-Induced Thrombocytopenia. </w:t>
      </w:r>
      <w:r w:rsidRPr="00DF51BA">
        <w:rPr>
          <w:rFonts w:ascii="Book Antiqua" w:eastAsia="Book Antiqua" w:hAnsi="Book Antiqua" w:cs="Book Antiqua"/>
          <w:i/>
          <w:iCs/>
          <w:color w:val="000000" w:themeColor="text1"/>
        </w:rPr>
        <w:t>N Engl J Med</w:t>
      </w:r>
      <w:r w:rsidRPr="00DF51BA">
        <w:rPr>
          <w:rFonts w:ascii="Book Antiqua" w:eastAsia="Book Antiqua" w:hAnsi="Book Antiqua" w:cs="Book Antiqua"/>
          <w:color w:val="000000" w:themeColor="text1"/>
        </w:rPr>
        <w:t xml:space="preserve"> 2015; </w:t>
      </w:r>
      <w:r w:rsidRPr="00DF51BA">
        <w:rPr>
          <w:rFonts w:ascii="Book Antiqua" w:eastAsia="Book Antiqua" w:hAnsi="Book Antiqua" w:cs="Book Antiqua"/>
          <w:b/>
          <w:bCs/>
          <w:color w:val="000000" w:themeColor="text1"/>
        </w:rPr>
        <w:t>373</w:t>
      </w:r>
      <w:r w:rsidRPr="00DF51BA">
        <w:rPr>
          <w:rFonts w:ascii="Book Antiqua" w:eastAsia="Book Antiqua" w:hAnsi="Book Antiqua" w:cs="Book Antiqua"/>
          <w:color w:val="000000" w:themeColor="text1"/>
        </w:rPr>
        <w:t>: 252-261 [PMID: 26176382 DOI: 10.1056/NEJMcp1411910]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8 </w:t>
      </w:r>
      <w:r w:rsidRPr="00DF51BA">
        <w:rPr>
          <w:rFonts w:ascii="Book Antiqua" w:eastAsia="Book Antiqua" w:hAnsi="Book Antiqua" w:cs="Book Antiqua"/>
          <w:b/>
          <w:bCs/>
          <w:color w:val="000000" w:themeColor="text1"/>
        </w:rPr>
        <w:t>Martel N</w:t>
      </w:r>
      <w:r w:rsidRPr="00DF51BA">
        <w:rPr>
          <w:rFonts w:ascii="Book Antiqua" w:eastAsia="Book Antiqua" w:hAnsi="Book Antiqua" w:cs="Book Antiqua"/>
          <w:color w:val="000000" w:themeColor="text1"/>
        </w:rPr>
        <w:t xml:space="preserve">, Lee J, Wells PS. Risk for heparin-induced thrombocytopenia with unfractionated and low-molecular-weight heparin thromboprophylaxis: a meta-analysis. </w:t>
      </w:r>
      <w:r w:rsidRPr="00DF51BA">
        <w:rPr>
          <w:rFonts w:ascii="Book Antiqua" w:eastAsia="Book Antiqua" w:hAnsi="Book Antiqua" w:cs="Book Antiqua"/>
          <w:i/>
          <w:iCs/>
          <w:color w:val="000000" w:themeColor="text1"/>
        </w:rPr>
        <w:t>Blood</w:t>
      </w:r>
      <w:r w:rsidRPr="00DF51BA">
        <w:rPr>
          <w:rFonts w:ascii="Book Antiqua" w:eastAsia="Book Antiqua" w:hAnsi="Book Antiqua" w:cs="Book Antiqua"/>
          <w:color w:val="000000" w:themeColor="text1"/>
        </w:rPr>
        <w:t xml:space="preserve"> 2005; </w:t>
      </w:r>
      <w:r w:rsidRPr="00DF51BA">
        <w:rPr>
          <w:rFonts w:ascii="Book Antiqua" w:eastAsia="Book Antiqua" w:hAnsi="Book Antiqua" w:cs="Book Antiqua"/>
          <w:b/>
          <w:bCs/>
          <w:color w:val="000000" w:themeColor="text1"/>
        </w:rPr>
        <w:t>106</w:t>
      </w:r>
      <w:r w:rsidRPr="00DF51BA">
        <w:rPr>
          <w:rFonts w:ascii="Book Antiqua" w:eastAsia="Book Antiqua" w:hAnsi="Book Antiqua" w:cs="Book Antiqua"/>
          <w:color w:val="000000" w:themeColor="text1"/>
        </w:rPr>
        <w:t>: 2710-2715 [PMID: 15985543 DOI: 10.1182/blood-2005-04-1546]</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9 </w:t>
      </w:r>
      <w:r w:rsidRPr="00DF51BA">
        <w:rPr>
          <w:rFonts w:ascii="Book Antiqua" w:eastAsia="Book Antiqua" w:hAnsi="Book Antiqua" w:cs="Book Antiqua"/>
          <w:b/>
          <w:bCs/>
          <w:color w:val="000000" w:themeColor="text1"/>
        </w:rPr>
        <w:t>Arepally GM</w:t>
      </w:r>
      <w:r w:rsidRPr="00DF51BA">
        <w:rPr>
          <w:rFonts w:ascii="Book Antiqua" w:eastAsia="Book Antiqua" w:hAnsi="Book Antiqua" w:cs="Book Antiqua"/>
          <w:color w:val="000000" w:themeColor="text1"/>
        </w:rPr>
        <w:t xml:space="preserve">. Heparin-induced thrombocytopenia. </w:t>
      </w:r>
      <w:r w:rsidRPr="00DF51BA">
        <w:rPr>
          <w:rFonts w:ascii="Book Antiqua" w:eastAsia="Book Antiqua" w:hAnsi="Book Antiqua" w:cs="Book Antiqua"/>
          <w:i/>
          <w:iCs/>
          <w:color w:val="000000" w:themeColor="text1"/>
        </w:rPr>
        <w:t>Blood</w:t>
      </w:r>
      <w:r w:rsidRPr="00DF51BA">
        <w:rPr>
          <w:rFonts w:ascii="Book Antiqua" w:eastAsia="Book Antiqua" w:hAnsi="Book Antiqua" w:cs="Book Antiqua"/>
          <w:color w:val="000000" w:themeColor="text1"/>
        </w:rPr>
        <w:t xml:space="preserve"> 2017; </w:t>
      </w:r>
      <w:r w:rsidRPr="00DF51BA">
        <w:rPr>
          <w:rFonts w:ascii="Book Antiqua" w:eastAsia="Book Antiqua" w:hAnsi="Book Antiqua" w:cs="Book Antiqua"/>
          <w:b/>
          <w:bCs/>
          <w:color w:val="000000" w:themeColor="text1"/>
        </w:rPr>
        <w:t>129</w:t>
      </w:r>
      <w:r w:rsidRPr="00DF51BA">
        <w:rPr>
          <w:rFonts w:ascii="Book Antiqua" w:eastAsia="Book Antiqua" w:hAnsi="Book Antiqua" w:cs="Book Antiqua"/>
          <w:color w:val="000000" w:themeColor="text1"/>
        </w:rPr>
        <w:t>: 2864-2872 [PMID: 28416511 DOI: 10.1182/blood-2016-11-709873]</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10 </w:t>
      </w:r>
      <w:r w:rsidRPr="00DF51BA">
        <w:rPr>
          <w:rFonts w:ascii="Book Antiqua" w:eastAsia="Book Antiqua" w:hAnsi="Book Antiqua" w:cs="Book Antiqua"/>
          <w:b/>
          <w:bCs/>
          <w:color w:val="000000" w:themeColor="text1"/>
        </w:rPr>
        <w:t>Watson H</w:t>
      </w:r>
      <w:r w:rsidRPr="00DF51BA">
        <w:rPr>
          <w:rFonts w:ascii="Book Antiqua" w:eastAsia="Book Antiqua" w:hAnsi="Book Antiqua" w:cs="Book Antiqua"/>
          <w:color w:val="000000" w:themeColor="text1"/>
        </w:rPr>
        <w:t xml:space="preserve">, Davidson S, Keeling D; Haemostasis and Thrombosis Task Force of the British Committee for Standards in Haematology. Guidelines on the diagnosis and management of heparin-induced thrombocytopenia: second edition. </w:t>
      </w:r>
      <w:r w:rsidRPr="00DF51BA">
        <w:rPr>
          <w:rFonts w:ascii="Book Antiqua" w:eastAsia="Book Antiqua" w:hAnsi="Book Antiqua" w:cs="Book Antiqua"/>
          <w:i/>
          <w:iCs/>
          <w:color w:val="000000" w:themeColor="text1"/>
        </w:rPr>
        <w:t>Br J Haematol</w:t>
      </w:r>
      <w:r w:rsidRPr="00DF51BA">
        <w:rPr>
          <w:rFonts w:ascii="Book Antiqua" w:eastAsia="Book Antiqua" w:hAnsi="Book Antiqua" w:cs="Book Antiqua"/>
          <w:color w:val="000000" w:themeColor="text1"/>
        </w:rPr>
        <w:t xml:space="preserve"> 2012; </w:t>
      </w:r>
      <w:r w:rsidRPr="00DF51BA">
        <w:rPr>
          <w:rFonts w:ascii="Book Antiqua" w:eastAsia="Book Antiqua" w:hAnsi="Book Antiqua" w:cs="Book Antiqua"/>
          <w:b/>
          <w:bCs/>
          <w:color w:val="000000" w:themeColor="text1"/>
        </w:rPr>
        <w:t>159</w:t>
      </w:r>
      <w:r w:rsidRPr="00DF51BA">
        <w:rPr>
          <w:rFonts w:ascii="Book Antiqua" w:eastAsia="Book Antiqua" w:hAnsi="Book Antiqua" w:cs="Book Antiqua"/>
          <w:color w:val="000000" w:themeColor="text1"/>
        </w:rPr>
        <w:t>: 528-540 [PMID: 23043677 DOI: 10.1111/bjh.12059]</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11 </w:t>
      </w:r>
      <w:r w:rsidRPr="00DF51BA">
        <w:rPr>
          <w:rFonts w:ascii="Book Antiqua" w:eastAsia="Book Antiqua" w:hAnsi="Book Antiqua" w:cs="Book Antiqua"/>
          <w:b/>
          <w:bCs/>
          <w:color w:val="000000" w:themeColor="text1"/>
        </w:rPr>
        <w:t>Dailiana ZH</w:t>
      </w:r>
      <w:r w:rsidRPr="00DF51BA">
        <w:rPr>
          <w:rFonts w:ascii="Book Antiqua" w:eastAsia="Book Antiqua" w:hAnsi="Book Antiqua" w:cs="Book Antiqua"/>
          <w:color w:val="000000" w:themeColor="text1"/>
        </w:rPr>
        <w:t xml:space="preserve">, Malizos KN, Varitimidis S, Hantes M, Basdekis G, Rigopoulos N. Low-molecular-weight heparin for prevention of thrombosis: inverted role. </w:t>
      </w:r>
      <w:r w:rsidRPr="00DF51BA">
        <w:rPr>
          <w:rFonts w:ascii="Book Antiqua" w:eastAsia="Book Antiqua" w:hAnsi="Book Antiqua" w:cs="Book Antiqua"/>
          <w:i/>
          <w:iCs/>
          <w:color w:val="000000" w:themeColor="text1"/>
        </w:rPr>
        <w:t>J Trauma</w:t>
      </w:r>
      <w:r w:rsidRPr="00DF51BA">
        <w:rPr>
          <w:rFonts w:ascii="Book Antiqua" w:eastAsia="Book Antiqua" w:hAnsi="Book Antiqua" w:cs="Book Antiqua"/>
          <w:color w:val="000000" w:themeColor="text1"/>
        </w:rPr>
        <w:t xml:space="preserve"> 2007; </w:t>
      </w:r>
      <w:r w:rsidRPr="00DF51BA">
        <w:rPr>
          <w:rFonts w:ascii="Book Antiqua" w:eastAsia="Book Antiqua" w:hAnsi="Book Antiqua" w:cs="Book Antiqua"/>
          <w:b/>
          <w:bCs/>
          <w:color w:val="000000" w:themeColor="text1"/>
        </w:rPr>
        <w:t>63</w:t>
      </w:r>
      <w:r w:rsidRPr="00DF51BA">
        <w:rPr>
          <w:rFonts w:ascii="Book Antiqua" w:eastAsia="Book Antiqua" w:hAnsi="Book Antiqua" w:cs="Book Antiqua"/>
          <w:color w:val="000000" w:themeColor="text1"/>
        </w:rPr>
        <w:t>: E111-E115 [PMID: 17413518 DOI: 10.1097/01.ta.0000233909.88264.43]</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 xml:space="preserve">12 </w:t>
      </w:r>
      <w:r w:rsidRPr="00DF51BA">
        <w:rPr>
          <w:rFonts w:ascii="Book Antiqua" w:eastAsia="Book Antiqua" w:hAnsi="Book Antiqua" w:cs="Book Antiqua"/>
          <w:b/>
          <w:bCs/>
          <w:color w:val="000000" w:themeColor="text1"/>
        </w:rPr>
        <w:t>Zhang J</w:t>
      </w:r>
      <w:r w:rsidRPr="00DF51BA">
        <w:rPr>
          <w:rFonts w:ascii="Book Antiqua" w:eastAsia="Book Antiqua" w:hAnsi="Book Antiqua" w:cs="Book Antiqua"/>
          <w:color w:val="000000" w:themeColor="text1"/>
        </w:rPr>
        <w:t xml:space="preserve">, Chen Z, Zheng J, Breusch SJ, Tian J. Risk factors for venous thromboembolism after total hip and total knee arthroplasty: a meta-analysis. </w:t>
      </w:r>
      <w:r w:rsidRPr="00DF51BA">
        <w:rPr>
          <w:rFonts w:ascii="Book Antiqua" w:eastAsia="Book Antiqua" w:hAnsi="Book Antiqua" w:cs="Book Antiqua"/>
          <w:i/>
          <w:iCs/>
          <w:color w:val="000000" w:themeColor="text1"/>
        </w:rPr>
        <w:t>Arch Orthop Trauma Surg</w:t>
      </w:r>
      <w:r w:rsidRPr="00DF51BA">
        <w:rPr>
          <w:rFonts w:ascii="Book Antiqua" w:eastAsia="Book Antiqua" w:hAnsi="Book Antiqua" w:cs="Book Antiqua"/>
          <w:color w:val="000000" w:themeColor="text1"/>
        </w:rPr>
        <w:t xml:space="preserve"> 2015; </w:t>
      </w:r>
      <w:r w:rsidRPr="00DF51BA">
        <w:rPr>
          <w:rFonts w:ascii="Book Antiqua" w:eastAsia="Book Antiqua" w:hAnsi="Book Antiqua" w:cs="Book Antiqua"/>
          <w:b/>
          <w:bCs/>
          <w:color w:val="000000" w:themeColor="text1"/>
        </w:rPr>
        <w:t>135</w:t>
      </w:r>
      <w:r w:rsidRPr="00DF51BA">
        <w:rPr>
          <w:rFonts w:ascii="Book Antiqua" w:eastAsia="Book Antiqua" w:hAnsi="Book Antiqua" w:cs="Book Antiqua"/>
          <w:color w:val="000000" w:themeColor="text1"/>
        </w:rPr>
        <w:t>: 759-772 [PMID: 25854654 DOI: 10.1007/s00402-015-2208-8]</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13 </w:t>
      </w:r>
      <w:r w:rsidRPr="00DF51BA">
        <w:rPr>
          <w:rFonts w:ascii="Book Antiqua" w:eastAsia="Book Antiqua" w:hAnsi="Book Antiqua" w:cs="Book Antiqua"/>
          <w:b/>
          <w:bCs/>
          <w:color w:val="000000" w:themeColor="text1"/>
        </w:rPr>
        <w:t>Wåhlander K</w:t>
      </w:r>
      <w:r w:rsidRPr="00DF51BA">
        <w:rPr>
          <w:rFonts w:ascii="Book Antiqua" w:eastAsia="Book Antiqua" w:hAnsi="Book Antiqua" w:cs="Book Antiqua"/>
          <w:color w:val="000000" w:themeColor="text1"/>
        </w:rPr>
        <w:t xml:space="preserve">, Larson G, Lindahl TL, Andersson C, Frison L, Gustafsson D, Bylock A, Eriksson BI. Factor V Leiden (G1691A) and prothrombin gene G20210A mutations as potential risk factors for venous thromboembolism after total hip or total knee replacement surgery. </w:t>
      </w:r>
      <w:r w:rsidRPr="00DF51BA">
        <w:rPr>
          <w:rFonts w:ascii="Book Antiqua" w:eastAsia="Book Antiqua" w:hAnsi="Book Antiqua" w:cs="Book Antiqua"/>
          <w:i/>
          <w:iCs/>
          <w:color w:val="000000" w:themeColor="text1"/>
        </w:rPr>
        <w:t>Thromb Haemost</w:t>
      </w:r>
      <w:r w:rsidRPr="00DF51BA">
        <w:rPr>
          <w:rFonts w:ascii="Book Antiqua" w:eastAsia="Book Antiqua" w:hAnsi="Book Antiqua" w:cs="Book Antiqua"/>
          <w:color w:val="000000" w:themeColor="text1"/>
        </w:rPr>
        <w:t xml:space="preserve"> 2002; </w:t>
      </w:r>
      <w:r w:rsidRPr="00DF51BA">
        <w:rPr>
          <w:rFonts w:ascii="Book Antiqua" w:eastAsia="Book Antiqua" w:hAnsi="Book Antiqua" w:cs="Book Antiqua"/>
          <w:b/>
          <w:bCs/>
          <w:color w:val="000000" w:themeColor="text1"/>
        </w:rPr>
        <w:t>87</w:t>
      </w:r>
      <w:r w:rsidRPr="00DF51BA">
        <w:rPr>
          <w:rFonts w:ascii="Book Antiqua" w:eastAsia="Book Antiqua" w:hAnsi="Book Antiqua" w:cs="Book Antiqua"/>
          <w:color w:val="000000" w:themeColor="text1"/>
        </w:rPr>
        <w:t>: 580-585 [PMID: 12008938]</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14 </w:t>
      </w:r>
      <w:r w:rsidRPr="00DF51BA">
        <w:rPr>
          <w:rFonts w:ascii="Book Antiqua" w:eastAsia="Book Antiqua" w:hAnsi="Book Antiqua" w:cs="Book Antiqua"/>
          <w:b/>
          <w:bCs/>
          <w:color w:val="000000" w:themeColor="text1"/>
        </w:rPr>
        <w:t>Zhou X</w:t>
      </w:r>
      <w:r w:rsidRPr="00DF51BA">
        <w:rPr>
          <w:rFonts w:ascii="Book Antiqua" w:eastAsia="Book Antiqua" w:hAnsi="Book Antiqua" w:cs="Book Antiqua"/>
          <w:color w:val="000000" w:themeColor="text1"/>
        </w:rPr>
        <w:t xml:space="preserve">, Qian W, Li J, Zhang P, Yang Z, Chen W, Wu L. Who are at risk for thromboembolism after arthroplasty? A systematic review and meta-analysis. </w:t>
      </w:r>
      <w:r w:rsidRPr="00DF51BA">
        <w:rPr>
          <w:rFonts w:ascii="Book Antiqua" w:eastAsia="Book Antiqua" w:hAnsi="Book Antiqua" w:cs="Book Antiqua"/>
          <w:i/>
          <w:iCs/>
          <w:color w:val="000000" w:themeColor="text1"/>
        </w:rPr>
        <w:t>Thromb Res</w:t>
      </w:r>
      <w:r w:rsidRPr="00DF51BA">
        <w:rPr>
          <w:rFonts w:ascii="Book Antiqua" w:eastAsia="Book Antiqua" w:hAnsi="Book Antiqua" w:cs="Book Antiqua"/>
          <w:color w:val="000000" w:themeColor="text1"/>
        </w:rPr>
        <w:t xml:space="preserve"> 2013; </w:t>
      </w:r>
      <w:r w:rsidRPr="00DF51BA">
        <w:rPr>
          <w:rFonts w:ascii="Book Antiqua" w:eastAsia="Book Antiqua" w:hAnsi="Book Antiqua" w:cs="Book Antiqua"/>
          <w:b/>
          <w:bCs/>
          <w:color w:val="000000" w:themeColor="text1"/>
        </w:rPr>
        <w:t>132</w:t>
      </w:r>
      <w:r w:rsidRPr="00DF51BA">
        <w:rPr>
          <w:rFonts w:ascii="Book Antiqua" w:eastAsia="Book Antiqua" w:hAnsi="Book Antiqua" w:cs="Book Antiqua"/>
          <w:color w:val="000000" w:themeColor="text1"/>
        </w:rPr>
        <w:t>: 531-536 [PMID: 24074702 DOI: 10.1016/j.thromres.2013.09.005]</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15 </w:t>
      </w:r>
      <w:r w:rsidRPr="00DF51BA">
        <w:rPr>
          <w:rFonts w:ascii="Book Antiqua" w:eastAsia="Book Antiqua" w:hAnsi="Book Antiqua" w:cs="Book Antiqua"/>
          <w:b/>
          <w:bCs/>
          <w:color w:val="000000" w:themeColor="text1"/>
        </w:rPr>
        <w:t>Bertina RM</w:t>
      </w:r>
      <w:r w:rsidRPr="00DF51BA">
        <w:rPr>
          <w:rFonts w:ascii="Book Antiqua" w:eastAsia="Book Antiqua" w:hAnsi="Book Antiqua" w:cs="Book Antiqua"/>
          <w:color w:val="000000" w:themeColor="text1"/>
        </w:rPr>
        <w:t xml:space="preserve">, Koeleman BP, Koster T, Rosendaal FR, Dirven RJ, de Ronde H, van der Velden PA, Reitsma PH. Mutation in blood coagulation factor V associated with resistance to activated protein C. </w:t>
      </w:r>
      <w:r w:rsidRPr="00DF51BA">
        <w:rPr>
          <w:rFonts w:ascii="Book Antiqua" w:eastAsia="Book Antiqua" w:hAnsi="Book Antiqua" w:cs="Book Antiqua"/>
          <w:i/>
          <w:iCs/>
          <w:color w:val="000000" w:themeColor="text1"/>
        </w:rPr>
        <w:t>Nature</w:t>
      </w:r>
      <w:r w:rsidRPr="00DF51BA">
        <w:rPr>
          <w:rFonts w:ascii="Book Antiqua" w:eastAsia="Book Antiqua" w:hAnsi="Book Antiqua" w:cs="Book Antiqua"/>
          <w:color w:val="000000" w:themeColor="text1"/>
        </w:rPr>
        <w:t xml:space="preserve"> 1994; </w:t>
      </w:r>
      <w:r w:rsidRPr="00DF51BA">
        <w:rPr>
          <w:rFonts w:ascii="Book Antiqua" w:eastAsia="Book Antiqua" w:hAnsi="Book Antiqua" w:cs="Book Antiqua"/>
          <w:b/>
          <w:bCs/>
          <w:color w:val="000000" w:themeColor="text1"/>
        </w:rPr>
        <w:t>369</w:t>
      </w:r>
      <w:r w:rsidRPr="00DF51BA">
        <w:rPr>
          <w:rFonts w:ascii="Book Antiqua" w:eastAsia="Book Antiqua" w:hAnsi="Book Antiqua" w:cs="Book Antiqua"/>
          <w:color w:val="000000" w:themeColor="text1"/>
        </w:rPr>
        <w:t>: 64-67 [PMID: 8164741 DOI: 10.1038/369064a0]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16 </w:t>
      </w:r>
      <w:r w:rsidRPr="00DF51BA">
        <w:rPr>
          <w:rFonts w:ascii="Book Antiqua" w:eastAsia="Book Antiqua" w:hAnsi="Book Antiqua" w:cs="Book Antiqua"/>
          <w:b/>
          <w:bCs/>
          <w:color w:val="000000" w:themeColor="text1"/>
        </w:rPr>
        <w:t>Poort SR</w:t>
      </w:r>
      <w:r w:rsidRPr="00DF51BA">
        <w:rPr>
          <w:rFonts w:ascii="Book Antiqua" w:eastAsia="Book Antiqua" w:hAnsi="Book Antiqua" w:cs="Book Antiqua"/>
          <w:color w:val="000000" w:themeColor="text1"/>
        </w:rPr>
        <w:t xml:space="preserve">, Rosendaal FR, Reitsma PH, Bertina RM. A common genetic variation in the 3'-untranslated region of the prothrombin gene is associated with elevated plasma prothrombin levels and an increase in venous thrombosis. </w:t>
      </w:r>
      <w:r w:rsidRPr="00DF51BA">
        <w:rPr>
          <w:rFonts w:ascii="Book Antiqua" w:eastAsia="Book Antiqua" w:hAnsi="Book Antiqua" w:cs="Book Antiqua"/>
          <w:i/>
          <w:iCs/>
          <w:color w:val="000000" w:themeColor="text1"/>
        </w:rPr>
        <w:t>Blood</w:t>
      </w:r>
      <w:r w:rsidRPr="00DF51BA">
        <w:rPr>
          <w:rFonts w:ascii="Book Antiqua" w:eastAsia="Book Antiqua" w:hAnsi="Book Antiqua" w:cs="Book Antiqua"/>
          <w:color w:val="000000" w:themeColor="text1"/>
        </w:rPr>
        <w:t xml:space="preserve"> 1996; </w:t>
      </w:r>
      <w:r w:rsidRPr="00DF51BA">
        <w:rPr>
          <w:rFonts w:ascii="Book Antiqua" w:eastAsia="Book Antiqua" w:hAnsi="Book Antiqua" w:cs="Book Antiqua"/>
          <w:b/>
          <w:bCs/>
          <w:color w:val="000000" w:themeColor="text1"/>
        </w:rPr>
        <w:t>88</w:t>
      </w:r>
      <w:r w:rsidRPr="00DF51BA">
        <w:rPr>
          <w:rFonts w:ascii="Book Antiqua" w:eastAsia="Book Antiqua" w:hAnsi="Book Antiqua" w:cs="Book Antiqua"/>
          <w:color w:val="000000" w:themeColor="text1"/>
        </w:rPr>
        <w:t>: 3698-3703 [PMID: 8916933]</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17 </w:t>
      </w:r>
      <w:r w:rsidRPr="00DF51BA">
        <w:rPr>
          <w:rFonts w:ascii="Book Antiqua" w:eastAsia="Book Antiqua" w:hAnsi="Book Antiqua" w:cs="Book Antiqua"/>
          <w:b/>
          <w:bCs/>
          <w:color w:val="000000" w:themeColor="text1"/>
        </w:rPr>
        <w:t>Skeith L</w:t>
      </w:r>
      <w:r w:rsidRPr="00DF51BA">
        <w:rPr>
          <w:rFonts w:ascii="Book Antiqua" w:eastAsia="Book Antiqua" w:hAnsi="Book Antiqua" w:cs="Book Antiqua"/>
          <w:color w:val="000000" w:themeColor="text1"/>
        </w:rPr>
        <w:t xml:space="preserve">, Baumann Kreuziger L, Crowther MA, Warkentin TE. A practical approach to evaluating postoperative thrombocytopenia. </w:t>
      </w:r>
      <w:r w:rsidRPr="00DF51BA">
        <w:rPr>
          <w:rFonts w:ascii="Book Antiqua" w:eastAsia="Book Antiqua" w:hAnsi="Book Antiqua" w:cs="Book Antiqua"/>
          <w:i/>
          <w:iCs/>
          <w:color w:val="000000" w:themeColor="text1"/>
        </w:rPr>
        <w:t>Blood Adv</w:t>
      </w:r>
      <w:r w:rsidRPr="00DF51BA">
        <w:rPr>
          <w:rFonts w:ascii="Book Antiqua" w:eastAsia="Book Antiqua" w:hAnsi="Book Antiqua" w:cs="Book Antiqua"/>
          <w:color w:val="000000" w:themeColor="text1"/>
        </w:rPr>
        <w:t xml:space="preserve"> 2020; </w:t>
      </w:r>
      <w:r w:rsidRPr="00DF51BA">
        <w:rPr>
          <w:rFonts w:ascii="Book Antiqua" w:eastAsia="Book Antiqua" w:hAnsi="Book Antiqua" w:cs="Book Antiqua"/>
          <w:b/>
          <w:bCs/>
          <w:color w:val="000000" w:themeColor="text1"/>
        </w:rPr>
        <w:t>4</w:t>
      </w:r>
      <w:r w:rsidRPr="00DF51BA">
        <w:rPr>
          <w:rFonts w:ascii="Book Antiqua" w:eastAsia="Book Antiqua" w:hAnsi="Book Antiqua" w:cs="Book Antiqua"/>
          <w:color w:val="000000" w:themeColor="text1"/>
        </w:rPr>
        <w:t>: 776-783 [PMID: 32097460 DOI: 10.1182/bloodadvances.2019001414]</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18 </w:t>
      </w:r>
      <w:r w:rsidRPr="00DF51BA">
        <w:rPr>
          <w:rFonts w:ascii="Book Antiqua" w:eastAsia="Book Antiqua" w:hAnsi="Book Antiqua" w:cs="Book Antiqua"/>
          <w:b/>
          <w:bCs/>
          <w:color w:val="000000" w:themeColor="text1"/>
        </w:rPr>
        <w:t>Haughton B</w:t>
      </w:r>
      <w:r w:rsidRPr="00DF51BA">
        <w:rPr>
          <w:rFonts w:ascii="Book Antiqua" w:eastAsia="Book Antiqua" w:hAnsi="Book Antiqua" w:cs="Book Antiqua"/>
          <w:color w:val="000000" w:themeColor="text1"/>
        </w:rPr>
        <w:t xml:space="preserve">, Haughton J, George Norman J, Navid A, Allport K, Andrews M, Mannan K, Livesey J. Routine monitoring for heparin-induced thrombocytopenia following lower limb arthroplasty: Is it necessary? A prospective study in a UK district general hospital. </w:t>
      </w:r>
      <w:r w:rsidRPr="00DF51BA">
        <w:rPr>
          <w:rFonts w:ascii="Book Antiqua" w:eastAsia="Book Antiqua" w:hAnsi="Book Antiqua" w:cs="Book Antiqua"/>
          <w:i/>
          <w:iCs/>
          <w:color w:val="000000" w:themeColor="text1"/>
        </w:rPr>
        <w:t>Orthop Traumatol Surg Res</w:t>
      </w:r>
      <w:r w:rsidRPr="00DF51BA">
        <w:rPr>
          <w:rFonts w:ascii="Book Antiqua" w:eastAsia="Book Antiqua" w:hAnsi="Book Antiqua" w:cs="Book Antiqua"/>
          <w:color w:val="000000" w:themeColor="text1"/>
        </w:rPr>
        <w:t xml:space="preserve"> 2019; </w:t>
      </w:r>
      <w:r w:rsidRPr="00DF51BA">
        <w:rPr>
          <w:rFonts w:ascii="Book Antiqua" w:eastAsia="Book Antiqua" w:hAnsi="Book Antiqua" w:cs="Book Antiqua"/>
          <w:b/>
          <w:bCs/>
          <w:color w:val="000000" w:themeColor="text1"/>
        </w:rPr>
        <w:t>105</w:t>
      </w:r>
      <w:r w:rsidRPr="00DF51BA">
        <w:rPr>
          <w:rFonts w:ascii="Book Antiqua" w:eastAsia="Book Antiqua" w:hAnsi="Book Antiqua" w:cs="Book Antiqua"/>
          <w:color w:val="000000" w:themeColor="text1"/>
        </w:rPr>
        <w:t>: 497-501 [PMID: 30878232 DOI: 10.1016/j.otsr.2018.12.012]</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19 </w:t>
      </w:r>
      <w:r w:rsidRPr="00DF51BA">
        <w:rPr>
          <w:rFonts w:ascii="Book Antiqua" w:eastAsia="Book Antiqua" w:hAnsi="Book Antiqua" w:cs="Book Antiqua"/>
          <w:b/>
          <w:bCs/>
          <w:color w:val="000000" w:themeColor="text1"/>
        </w:rPr>
        <w:t>Craik JD</w:t>
      </w:r>
      <w:r w:rsidRPr="00DF51BA">
        <w:rPr>
          <w:rFonts w:ascii="Book Antiqua" w:eastAsia="Book Antiqua" w:hAnsi="Book Antiqua" w:cs="Book Antiqua"/>
          <w:color w:val="000000" w:themeColor="text1"/>
        </w:rPr>
        <w:t xml:space="preserve">, Cobb AG. Heparin-induced thrombocytopenia following hip and knee arthroplasty. </w:t>
      </w:r>
      <w:r w:rsidRPr="00DF51BA">
        <w:rPr>
          <w:rFonts w:ascii="Book Antiqua" w:eastAsia="Book Antiqua" w:hAnsi="Book Antiqua" w:cs="Book Antiqua"/>
          <w:i/>
          <w:iCs/>
          <w:color w:val="000000" w:themeColor="text1"/>
        </w:rPr>
        <w:t>Br J Haematol</w:t>
      </w:r>
      <w:r w:rsidRPr="00DF51BA">
        <w:rPr>
          <w:rFonts w:ascii="Book Antiqua" w:eastAsia="Book Antiqua" w:hAnsi="Book Antiqua" w:cs="Book Antiqua"/>
          <w:color w:val="000000" w:themeColor="text1"/>
        </w:rPr>
        <w:t xml:space="preserve"> 2013; </w:t>
      </w:r>
      <w:r w:rsidRPr="00DF51BA">
        <w:rPr>
          <w:rFonts w:ascii="Book Antiqua" w:eastAsia="Book Antiqua" w:hAnsi="Book Antiqua" w:cs="Book Antiqua"/>
          <w:b/>
          <w:bCs/>
          <w:color w:val="000000" w:themeColor="text1"/>
        </w:rPr>
        <w:t>161</w:t>
      </w:r>
      <w:r w:rsidRPr="00DF51BA">
        <w:rPr>
          <w:rFonts w:ascii="Book Antiqua" w:eastAsia="Book Antiqua" w:hAnsi="Book Antiqua" w:cs="Book Antiqua"/>
          <w:color w:val="000000" w:themeColor="text1"/>
        </w:rPr>
        <w:t>: 255-261 [PMID: 23406088 DOI: 10.1111/bjh.12242]</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 xml:space="preserve">20 </w:t>
      </w:r>
      <w:r w:rsidRPr="00DF51BA">
        <w:rPr>
          <w:rFonts w:ascii="Book Antiqua" w:eastAsia="Book Antiqua" w:hAnsi="Book Antiqua" w:cs="Book Antiqua"/>
          <w:b/>
          <w:bCs/>
          <w:color w:val="000000" w:themeColor="text1"/>
        </w:rPr>
        <w:t>Lo GK</w:t>
      </w:r>
      <w:r w:rsidRPr="00DF51BA">
        <w:rPr>
          <w:rFonts w:ascii="Book Antiqua" w:eastAsia="Book Antiqua" w:hAnsi="Book Antiqua" w:cs="Book Antiqua"/>
          <w:color w:val="000000" w:themeColor="text1"/>
        </w:rPr>
        <w:t xml:space="preserve">, Juhl D, Warkentin TE, Sigouin CS, Eichler P, Greinacher A. Evaluation of pretest clinical score (4 T's) for the diagnosis of heparin-induced thrombocytopenia in two clinical settings. </w:t>
      </w:r>
      <w:r w:rsidRPr="00DF51BA">
        <w:rPr>
          <w:rFonts w:ascii="Book Antiqua" w:eastAsia="Book Antiqua" w:hAnsi="Book Antiqua" w:cs="Book Antiqua"/>
          <w:i/>
          <w:iCs/>
          <w:color w:val="000000" w:themeColor="text1"/>
        </w:rPr>
        <w:t>J Thromb Haemost</w:t>
      </w:r>
      <w:r w:rsidRPr="00DF51BA">
        <w:rPr>
          <w:rFonts w:ascii="Book Antiqua" w:eastAsia="Book Antiqua" w:hAnsi="Book Antiqua" w:cs="Book Antiqua"/>
          <w:color w:val="000000" w:themeColor="text1"/>
        </w:rPr>
        <w:t xml:space="preserve"> 2006; </w:t>
      </w:r>
      <w:r w:rsidRPr="00DF51BA">
        <w:rPr>
          <w:rFonts w:ascii="Book Antiqua" w:eastAsia="Book Antiqua" w:hAnsi="Book Antiqua" w:cs="Book Antiqua"/>
          <w:b/>
          <w:bCs/>
          <w:color w:val="000000" w:themeColor="text1"/>
        </w:rPr>
        <w:t>4</w:t>
      </w:r>
      <w:r w:rsidRPr="00DF51BA">
        <w:rPr>
          <w:rFonts w:ascii="Book Antiqua" w:eastAsia="Book Antiqua" w:hAnsi="Book Antiqua" w:cs="Book Antiqua"/>
          <w:color w:val="000000" w:themeColor="text1"/>
        </w:rPr>
        <w:t>: 759-765 [PMID: 16634744 DOI: 10.1111/j.1538-7836.2006.01787.x]</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21 </w:t>
      </w:r>
      <w:r w:rsidRPr="00DF51BA">
        <w:rPr>
          <w:rFonts w:ascii="Book Antiqua" w:eastAsia="Book Antiqua" w:hAnsi="Book Antiqua" w:cs="Book Antiqua"/>
          <w:b/>
          <w:bCs/>
          <w:color w:val="000000" w:themeColor="text1"/>
        </w:rPr>
        <w:t>Motokawa S</w:t>
      </w:r>
      <w:r w:rsidRPr="00DF51BA">
        <w:rPr>
          <w:rFonts w:ascii="Book Antiqua" w:eastAsia="Book Antiqua" w:hAnsi="Book Antiqua" w:cs="Book Antiqua"/>
          <w:color w:val="000000" w:themeColor="text1"/>
        </w:rPr>
        <w:t xml:space="preserve">, Torigoshi T, Maeda Y, Maeda K, Jiuchi Y, Yamaguchi T, Someya S, Shindo H, Migita K. IgG-class anti-PF4/heparin antibodies and symptomatic DVT in orthopedic surgery patients receiving different anti-thromboembolic prophylaxis therapeutics. </w:t>
      </w:r>
      <w:r w:rsidRPr="00DF51BA">
        <w:rPr>
          <w:rFonts w:ascii="Book Antiqua" w:eastAsia="Book Antiqua" w:hAnsi="Book Antiqua" w:cs="Book Antiqua"/>
          <w:i/>
          <w:iCs/>
          <w:color w:val="000000" w:themeColor="text1"/>
        </w:rPr>
        <w:t>BMC Musculoskelet Disord</w:t>
      </w:r>
      <w:r w:rsidRPr="00DF51BA">
        <w:rPr>
          <w:rFonts w:ascii="Book Antiqua" w:eastAsia="Book Antiqua" w:hAnsi="Book Antiqua" w:cs="Book Antiqua"/>
          <w:color w:val="000000" w:themeColor="text1"/>
        </w:rPr>
        <w:t xml:space="preserve"> 2011; </w:t>
      </w:r>
      <w:r w:rsidRPr="00DF51BA">
        <w:rPr>
          <w:rFonts w:ascii="Book Antiqua" w:eastAsia="Book Antiqua" w:hAnsi="Book Antiqua" w:cs="Book Antiqua"/>
          <w:b/>
          <w:bCs/>
          <w:color w:val="000000" w:themeColor="text1"/>
        </w:rPr>
        <w:t>12</w:t>
      </w:r>
      <w:r w:rsidRPr="00DF51BA">
        <w:rPr>
          <w:rFonts w:ascii="Book Antiqua" w:eastAsia="Book Antiqua" w:hAnsi="Book Antiqua" w:cs="Book Antiqua"/>
          <w:color w:val="000000" w:themeColor="text1"/>
        </w:rPr>
        <w:t>: 22 [PMID: 21261941 DOI: 10.1186/1471-2474-12-22]</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22 </w:t>
      </w:r>
      <w:r w:rsidRPr="00DF51BA">
        <w:rPr>
          <w:rFonts w:ascii="Book Antiqua" w:eastAsia="Book Antiqua" w:hAnsi="Book Antiqua" w:cs="Book Antiqua"/>
          <w:b/>
          <w:bCs/>
          <w:color w:val="000000" w:themeColor="text1"/>
        </w:rPr>
        <w:t>Newman PM</w:t>
      </w:r>
      <w:r w:rsidRPr="00DF51BA">
        <w:rPr>
          <w:rFonts w:ascii="Book Antiqua" w:eastAsia="Book Antiqua" w:hAnsi="Book Antiqua" w:cs="Book Antiqua"/>
          <w:color w:val="000000" w:themeColor="text1"/>
        </w:rPr>
        <w:t xml:space="preserve">, Chong BH. Heparin-induced thrombocytopenia: new evidence for the dynamic binding of purified anti-PF4-heparin antibodies to platelets and the resultant platelet activation. </w:t>
      </w:r>
      <w:r w:rsidRPr="00DF51BA">
        <w:rPr>
          <w:rFonts w:ascii="Book Antiqua" w:eastAsia="Book Antiqua" w:hAnsi="Book Antiqua" w:cs="Book Antiqua"/>
          <w:i/>
          <w:iCs/>
          <w:color w:val="000000" w:themeColor="text1"/>
        </w:rPr>
        <w:t>Blood</w:t>
      </w:r>
      <w:r w:rsidRPr="00DF51BA">
        <w:rPr>
          <w:rFonts w:ascii="Book Antiqua" w:eastAsia="Book Antiqua" w:hAnsi="Book Antiqua" w:cs="Book Antiqua"/>
          <w:color w:val="000000" w:themeColor="text1"/>
        </w:rPr>
        <w:t xml:space="preserve"> 2000; </w:t>
      </w:r>
      <w:r w:rsidRPr="00DF51BA">
        <w:rPr>
          <w:rFonts w:ascii="Book Antiqua" w:eastAsia="Book Antiqua" w:hAnsi="Book Antiqua" w:cs="Book Antiqua"/>
          <w:b/>
          <w:bCs/>
          <w:color w:val="000000" w:themeColor="text1"/>
        </w:rPr>
        <w:t>96</w:t>
      </w:r>
      <w:r w:rsidRPr="00DF51BA">
        <w:rPr>
          <w:rFonts w:ascii="Book Antiqua" w:eastAsia="Book Antiqua" w:hAnsi="Book Antiqua" w:cs="Book Antiqua"/>
          <w:color w:val="000000" w:themeColor="text1"/>
        </w:rPr>
        <w:t>: 182-187 [PMID: 10891449]</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23 </w:t>
      </w:r>
      <w:r w:rsidRPr="00DF51BA">
        <w:rPr>
          <w:rFonts w:ascii="Book Antiqua" w:eastAsia="Book Antiqua" w:hAnsi="Book Antiqua" w:cs="Book Antiqua"/>
          <w:b/>
          <w:bCs/>
          <w:color w:val="000000" w:themeColor="text1"/>
        </w:rPr>
        <w:t>Warkentin TE</w:t>
      </w:r>
      <w:r w:rsidRPr="00DF51BA">
        <w:rPr>
          <w:rFonts w:ascii="Book Antiqua" w:eastAsia="Book Antiqua" w:hAnsi="Book Antiqua" w:cs="Book Antiqua"/>
          <w:color w:val="000000" w:themeColor="text1"/>
        </w:rPr>
        <w:t xml:space="preserve">. Laboratory diagnosis of heparin-induced thrombocytopenia. </w:t>
      </w:r>
      <w:r w:rsidRPr="00DF51BA">
        <w:rPr>
          <w:rFonts w:ascii="Book Antiqua" w:eastAsia="Book Antiqua" w:hAnsi="Book Antiqua" w:cs="Book Antiqua"/>
          <w:i/>
          <w:iCs/>
          <w:color w:val="000000" w:themeColor="text1"/>
        </w:rPr>
        <w:t>Int J Lab Hematol</w:t>
      </w:r>
      <w:r w:rsidRPr="00DF51BA">
        <w:rPr>
          <w:rFonts w:ascii="Book Antiqua" w:eastAsia="Book Antiqua" w:hAnsi="Book Antiqua" w:cs="Book Antiqua"/>
          <w:color w:val="000000" w:themeColor="text1"/>
        </w:rPr>
        <w:t xml:space="preserve"> 2019; </w:t>
      </w:r>
      <w:r w:rsidRPr="00DF51BA">
        <w:rPr>
          <w:rFonts w:ascii="Book Antiqua" w:eastAsia="Book Antiqua" w:hAnsi="Book Antiqua" w:cs="Book Antiqua"/>
          <w:b/>
          <w:bCs/>
          <w:color w:val="000000" w:themeColor="text1"/>
        </w:rPr>
        <w:t>41 Suppl 1</w:t>
      </w:r>
      <w:r w:rsidRPr="00DF51BA">
        <w:rPr>
          <w:rFonts w:ascii="Book Antiqua" w:eastAsia="Book Antiqua" w:hAnsi="Book Antiqua" w:cs="Book Antiqua"/>
          <w:color w:val="000000" w:themeColor="text1"/>
        </w:rPr>
        <w:t>: 15-25 [PMID: 31069988 DOI: 10.1111/ijlh.12993]</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24 </w:t>
      </w:r>
      <w:r w:rsidRPr="00DF51BA">
        <w:rPr>
          <w:rFonts w:ascii="Book Antiqua" w:eastAsia="Book Antiqua" w:hAnsi="Book Antiqua" w:cs="Book Antiqua"/>
          <w:b/>
          <w:bCs/>
          <w:color w:val="000000" w:themeColor="text1"/>
        </w:rPr>
        <w:t>Izumi M</w:t>
      </w:r>
      <w:r w:rsidRPr="00DF51BA">
        <w:rPr>
          <w:rFonts w:ascii="Book Antiqua" w:eastAsia="Book Antiqua" w:hAnsi="Book Antiqua" w:cs="Book Antiqua"/>
          <w:color w:val="000000" w:themeColor="text1"/>
        </w:rPr>
        <w:t xml:space="preserve">, Sakai T, Shirakawa A, Kozuru H, Jiuchi Y, Izumi Y, Asahara T, Kumagai K, Mawatari M, Osaki M, Motokawa S, Migita K. Reduced induction of anti-PF4/heparin antibody in RA patients after total knee arthroplasty. </w:t>
      </w:r>
      <w:r w:rsidRPr="00DF51BA">
        <w:rPr>
          <w:rFonts w:ascii="Book Antiqua" w:eastAsia="Book Antiqua" w:hAnsi="Book Antiqua" w:cs="Book Antiqua"/>
          <w:i/>
          <w:iCs/>
          <w:color w:val="000000" w:themeColor="text1"/>
        </w:rPr>
        <w:t>Arthritis Res Ther</w:t>
      </w:r>
      <w:r w:rsidRPr="00DF51BA">
        <w:rPr>
          <w:rFonts w:ascii="Book Antiqua" w:eastAsia="Book Antiqua" w:hAnsi="Book Antiqua" w:cs="Book Antiqua"/>
          <w:color w:val="000000" w:themeColor="text1"/>
        </w:rPr>
        <w:t xml:space="preserve"> 2016; </w:t>
      </w:r>
      <w:r w:rsidRPr="00DF51BA">
        <w:rPr>
          <w:rFonts w:ascii="Book Antiqua" w:eastAsia="Book Antiqua" w:hAnsi="Book Antiqua" w:cs="Book Antiqua"/>
          <w:b/>
          <w:bCs/>
          <w:color w:val="000000" w:themeColor="text1"/>
        </w:rPr>
        <w:t>18</w:t>
      </w:r>
      <w:r w:rsidRPr="00DF51BA">
        <w:rPr>
          <w:rFonts w:ascii="Book Antiqua" w:eastAsia="Book Antiqua" w:hAnsi="Book Antiqua" w:cs="Book Antiqua"/>
          <w:color w:val="000000" w:themeColor="text1"/>
        </w:rPr>
        <w:t>: 191 [PMID: 27558507 DOI: 10.1186/s13075-016-1090-2]</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25 </w:t>
      </w:r>
      <w:r w:rsidRPr="00DF51BA">
        <w:rPr>
          <w:rFonts w:ascii="Book Antiqua" w:eastAsia="Book Antiqua" w:hAnsi="Book Antiqua" w:cs="Book Antiqua"/>
          <w:b/>
          <w:bCs/>
          <w:color w:val="000000" w:themeColor="text1"/>
        </w:rPr>
        <w:t>Warkentin TE</w:t>
      </w:r>
      <w:r w:rsidRPr="00DF51BA">
        <w:rPr>
          <w:rFonts w:ascii="Book Antiqua" w:eastAsia="Book Antiqua" w:hAnsi="Book Antiqua" w:cs="Book Antiqua"/>
          <w:color w:val="000000" w:themeColor="text1"/>
        </w:rPr>
        <w:t xml:space="preserve">, Maurer BT, Aster RH. Heparin-induced thrombocytopenia associated with fondaparinux. </w:t>
      </w:r>
      <w:r w:rsidRPr="00DF51BA">
        <w:rPr>
          <w:rFonts w:ascii="Book Antiqua" w:eastAsia="Book Antiqua" w:hAnsi="Book Antiqua" w:cs="Book Antiqua"/>
          <w:i/>
          <w:iCs/>
          <w:color w:val="000000" w:themeColor="text1"/>
        </w:rPr>
        <w:t>N Engl J Med</w:t>
      </w:r>
      <w:r w:rsidRPr="00DF51BA">
        <w:rPr>
          <w:rFonts w:ascii="Book Antiqua" w:eastAsia="Book Antiqua" w:hAnsi="Book Antiqua" w:cs="Book Antiqua"/>
          <w:color w:val="000000" w:themeColor="text1"/>
        </w:rPr>
        <w:t xml:space="preserve"> 2007; </w:t>
      </w:r>
      <w:r w:rsidRPr="00DF51BA">
        <w:rPr>
          <w:rFonts w:ascii="Book Antiqua" w:eastAsia="Book Antiqua" w:hAnsi="Book Antiqua" w:cs="Book Antiqua"/>
          <w:b/>
          <w:bCs/>
          <w:color w:val="000000" w:themeColor="text1"/>
        </w:rPr>
        <w:t>356</w:t>
      </w:r>
      <w:r w:rsidRPr="00DF51BA">
        <w:rPr>
          <w:rFonts w:ascii="Book Antiqua" w:eastAsia="Book Antiqua" w:hAnsi="Book Antiqua" w:cs="Book Antiqua"/>
          <w:color w:val="000000" w:themeColor="text1"/>
        </w:rPr>
        <w:t>: 2653-5; discussion 2653-5 [PMID: 17582083 DOI: 10.1056/NEJMc070346]</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26 </w:t>
      </w:r>
      <w:r w:rsidRPr="00DF51BA">
        <w:rPr>
          <w:rFonts w:ascii="Book Antiqua" w:eastAsia="Book Antiqua" w:hAnsi="Book Antiqua" w:cs="Book Antiqua"/>
          <w:b/>
          <w:bCs/>
          <w:color w:val="000000" w:themeColor="text1"/>
        </w:rPr>
        <w:t>Greinacher A</w:t>
      </w:r>
      <w:r w:rsidRPr="00DF51BA">
        <w:rPr>
          <w:rFonts w:ascii="Book Antiqua" w:eastAsia="Book Antiqua" w:hAnsi="Book Antiqua" w:cs="Book Antiqua"/>
          <w:color w:val="000000" w:themeColor="text1"/>
        </w:rPr>
        <w:t xml:space="preserve">, Selleng K, Warkentin TE. Autoimmune heparin-induced thrombocytopenia. </w:t>
      </w:r>
      <w:r w:rsidRPr="00DF51BA">
        <w:rPr>
          <w:rFonts w:ascii="Book Antiqua" w:eastAsia="Book Antiqua" w:hAnsi="Book Antiqua" w:cs="Book Antiqua"/>
          <w:i/>
          <w:iCs/>
          <w:color w:val="000000" w:themeColor="text1"/>
        </w:rPr>
        <w:t>J Thromb Haemost</w:t>
      </w:r>
      <w:r w:rsidRPr="00DF51BA">
        <w:rPr>
          <w:rFonts w:ascii="Book Antiqua" w:eastAsia="Book Antiqua" w:hAnsi="Book Antiqua" w:cs="Book Antiqua"/>
          <w:color w:val="000000" w:themeColor="text1"/>
        </w:rPr>
        <w:t xml:space="preserve"> 2017; </w:t>
      </w:r>
      <w:r w:rsidRPr="00DF51BA">
        <w:rPr>
          <w:rFonts w:ascii="Book Antiqua" w:eastAsia="Book Antiqua" w:hAnsi="Book Antiqua" w:cs="Book Antiqua"/>
          <w:b/>
          <w:bCs/>
          <w:color w:val="000000" w:themeColor="text1"/>
        </w:rPr>
        <w:t>15</w:t>
      </w:r>
      <w:r w:rsidRPr="00DF51BA">
        <w:rPr>
          <w:rFonts w:ascii="Book Antiqua" w:eastAsia="Book Antiqua" w:hAnsi="Book Antiqua" w:cs="Book Antiqua"/>
          <w:color w:val="000000" w:themeColor="text1"/>
        </w:rPr>
        <w:t>: 2099-2114 [PMID: 28846826 DOI: 10.1111/jth.13813]</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27 </w:t>
      </w:r>
      <w:r w:rsidRPr="00DF51BA">
        <w:rPr>
          <w:rFonts w:ascii="Book Antiqua" w:eastAsia="Book Antiqua" w:hAnsi="Book Antiqua" w:cs="Book Antiqua"/>
          <w:b/>
          <w:bCs/>
          <w:color w:val="000000" w:themeColor="text1"/>
        </w:rPr>
        <w:t>Bream-Rouwenhorst HR</w:t>
      </w:r>
      <w:r w:rsidRPr="00DF51BA">
        <w:rPr>
          <w:rFonts w:ascii="Book Antiqua" w:eastAsia="Book Antiqua" w:hAnsi="Book Antiqua" w:cs="Book Antiqua"/>
          <w:color w:val="000000" w:themeColor="text1"/>
        </w:rPr>
        <w:t xml:space="preserve">, Hobbs RA. Heparin-dependent antibodies and thrombosis without heparin-induced thrombocytopenia. </w:t>
      </w:r>
      <w:r w:rsidRPr="00DF51BA">
        <w:rPr>
          <w:rFonts w:ascii="Book Antiqua" w:eastAsia="Book Antiqua" w:hAnsi="Book Antiqua" w:cs="Book Antiqua"/>
          <w:i/>
          <w:iCs/>
          <w:color w:val="000000" w:themeColor="text1"/>
        </w:rPr>
        <w:t>Pharmacotherapy</w:t>
      </w:r>
      <w:r w:rsidRPr="00DF51BA">
        <w:rPr>
          <w:rFonts w:ascii="Book Antiqua" w:eastAsia="Book Antiqua" w:hAnsi="Book Antiqua" w:cs="Book Antiqua"/>
          <w:color w:val="000000" w:themeColor="text1"/>
        </w:rPr>
        <w:t xml:space="preserve"> 2008; </w:t>
      </w:r>
      <w:r w:rsidRPr="00DF51BA">
        <w:rPr>
          <w:rFonts w:ascii="Book Antiqua" w:eastAsia="Book Antiqua" w:hAnsi="Book Antiqua" w:cs="Book Antiqua"/>
          <w:b/>
          <w:bCs/>
          <w:color w:val="000000" w:themeColor="text1"/>
        </w:rPr>
        <w:t>28</w:t>
      </w:r>
      <w:r w:rsidRPr="00DF51BA">
        <w:rPr>
          <w:rFonts w:ascii="Book Antiqua" w:eastAsia="Book Antiqua" w:hAnsi="Book Antiqua" w:cs="Book Antiqua"/>
          <w:color w:val="000000" w:themeColor="text1"/>
        </w:rPr>
        <w:t>: 1401-1407 [PMID: 18957000 DOI: 10.1592/phco.28.11.1401]</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28 </w:t>
      </w:r>
      <w:r w:rsidRPr="00DF51BA">
        <w:rPr>
          <w:rFonts w:ascii="Book Antiqua" w:eastAsia="Book Antiqua" w:hAnsi="Book Antiqua" w:cs="Book Antiqua"/>
          <w:b/>
          <w:bCs/>
          <w:color w:val="000000" w:themeColor="text1"/>
        </w:rPr>
        <w:t>Greinacher A</w:t>
      </w:r>
      <w:r w:rsidRPr="00DF51BA">
        <w:rPr>
          <w:rFonts w:ascii="Book Antiqua" w:eastAsia="Book Antiqua" w:hAnsi="Book Antiqua" w:cs="Book Antiqua"/>
          <w:color w:val="000000" w:themeColor="text1"/>
        </w:rPr>
        <w:t xml:space="preserve">, Farner B, Kroll H, Kohlmann T, Warkentin TE, Eichler P. Clinical features of heparin-induced thrombocytopenia including risk factors for thrombosis. A </w:t>
      </w:r>
      <w:r w:rsidRPr="00DF51BA">
        <w:rPr>
          <w:rFonts w:ascii="Book Antiqua" w:eastAsia="Book Antiqua" w:hAnsi="Book Antiqua" w:cs="Book Antiqua"/>
          <w:color w:val="000000" w:themeColor="text1"/>
        </w:rPr>
        <w:lastRenderedPageBreak/>
        <w:t xml:space="preserve">retrospective analysis of 408 patients. </w:t>
      </w:r>
      <w:r w:rsidRPr="00DF51BA">
        <w:rPr>
          <w:rFonts w:ascii="Book Antiqua" w:eastAsia="Book Antiqua" w:hAnsi="Book Antiqua" w:cs="Book Antiqua"/>
          <w:i/>
          <w:iCs/>
          <w:color w:val="000000" w:themeColor="text1"/>
        </w:rPr>
        <w:t>Thromb Haemost</w:t>
      </w:r>
      <w:r w:rsidRPr="00DF51BA">
        <w:rPr>
          <w:rFonts w:ascii="Book Antiqua" w:eastAsia="Book Antiqua" w:hAnsi="Book Antiqua" w:cs="Book Antiqua"/>
          <w:color w:val="000000" w:themeColor="text1"/>
        </w:rPr>
        <w:t xml:space="preserve"> 2005; </w:t>
      </w:r>
      <w:r w:rsidRPr="00DF51BA">
        <w:rPr>
          <w:rFonts w:ascii="Book Antiqua" w:eastAsia="Book Antiqua" w:hAnsi="Book Antiqua" w:cs="Book Antiqua"/>
          <w:b/>
          <w:bCs/>
          <w:color w:val="000000" w:themeColor="text1"/>
        </w:rPr>
        <w:t>94</w:t>
      </w:r>
      <w:r w:rsidRPr="00DF51BA">
        <w:rPr>
          <w:rFonts w:ascii="Book Antiqua" w:eastAsia="Book Antiqua" w:hAnsi="Book Antiqua" w:cs="Book Antiqua"/>
          <w:color w:val="000000" w:themeColor="text1"/>
        </w:rPr>
        <w:t>: 132-135 [PMID: 16113796 DOI: 10.1160/TH04-12-0825]</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29 </w:t>
      </w:r>
      <w:r w:rsidRPr="00DF51BA">
        <w:rPr>
          <w:rFonts w:ascii="Book Antiqua" w:eastAsia="Book Antiqua" w:hAnsi="Book Antiqua" w:cs="Book Antiqua"/>
          <w:b/>
          <w:bCs/>
          <w:color w:val="000000" w:themeColor="text1"/>
        </w:rPr>
        <w:t>González-Porras JR</w:t>
      </w:r>
      <w:r w:rsidRPr="00DF51BA">
        <w:rPr>
          <w:rFonts w:ascii="Book Antiqua" w:eastAsia="Book Antiqua" w:hAnsi="Book Antiqua" w:cs="Book Antiqua"/>
          <w:color w:val="000000" w:themeColor="text1"/>
        </w:rPr>
        <w:t xml:space="preserve">, García-Sanz R, Alberca I, López ML, Balanzategui A, Gutierrez O, Lozano F, San Miguel J. Risk of recurrent venous thrombosis in patients with G20210A mutation in the prothrombin gene or factor V Leiden mutation. </w:t>
      </w:r>
      <w:r w:rsidRPr="00DF51BA">
        <w:rPr>
          <w:rFonts w:ascii="Book Antiqua" w:eastAsia="Book Antiqua" w:hAnsi="Book Antiqua" w:cs="Book Antiqua"/>
          <w:i/>
          <w:iCs/>
          <w:color w:val="000000" w:themeColor="text1"/>
        </w:rPr>
        <w:t>Blood Coagul Fibrinolysis</w:t>
      </w:r>
      <w:r w:rsidRPr="00DF51BA">
        <w:rPr>
          <w:rFonts w:ascii="Book Antiqua" w:eastAsia="Book Antiqua" w:hAnsi="Book Antiqua" w:cs="Book Antiqua"/>
          <w:color w:val="000000" w:themeColor="text1"/>
        </w:rPr>
        <w:t xml:space="preserve"> 2006; </w:t>
      </w:r>
      <w:r w:rsidRPr="00DF51BA">
        <w:rPr>
          <w:rFonts w:ascii="Book Antiqua" w:eastAsia="Book Antiqua" w:hAnsi="Book Antiqua" w:cs="Book Antiqua"/>
          <w:b/>
          <w:bCs/>
          <w:color w:val="000000" w:themeColor="text1"/>
        </w:rPr>
        <w:t>17</w:t>
      </w:r>
      <w:r w:rsidRPr="00DF51BA">
        <w:rPr>
          <w:rFonts w:ascii="Book Antiqua" w:eastAsia="Book Antiqua" w:hAnsi="Book Antiqua" w:cs="Book Antiqua"/>
          <w:color w:val="000000" w:themeColor="text1"/>
        </w:rPr>
        <w:t>: 23-28 [PMID: 16607075 DOI: 10.1097/01.mbc.0000201488.33143.09]</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30 </w:t>
      </w:r>
      <w:r w:rsidRPr="00DF51BA">
        <w:rPr>
          <w:rFonts w:ascii="Book Antiqua" w:eastAsia="Book Antiqua" w:hAnsi="Book Antiqua" w:cs="Book Antiqua"/>
          <w:b/>
          <w:bCs/>
          <w:color w:val="000000" w:themeColor="text1"/>
        </w:rPr>
        <w:t>Emmerich J</w:t>
      </w:r>
      <w:r w:rsidRPr="00DF51BA">
        <w:rPr>
          <w:rFonts w:ascii="Book Antiqua" w:eastAsia="Book Antiqua" w:hAnsi="Book Antiqua" w:cs="Book Antiqua"/>
          <w:color w:val="000000" w:themeColor="text1"/>
        </w:rPr>
        <w:t xml:space="preserve">, Rosendaal FR, Cattaneo M, Margaglione M, De Stefano V, Cumming T, Arruda V, Hillarp A, Reny JL. Combined effect of factor V Leiden and prothrombin 20210A on the risk of venous thromboembolism--pooled analysis of 8 case-control studies including 2310 cases and 3204 controls. Study Group for Pooled-Analysis in Venous Thromboembolism. </w:t>
      </w:r>
      <w:r w:rsidRPr="00DF51BA">
        <w:rPr>
          <w:rFonts w:ascii="Book Antiqua" w:eastAsia="Book Antiqua" w:hAnsi="Book Antiqua" w:cs="Book Antiqua"/>
          <w:i/>
          <w:iCs/>
          <w:color w:val="000000" w:themeColor="text1"/>
        </w:rPr>
        <w:t>Thromb Haemost</w:t>
      </w:r>
      <w:r w:rsidRPr="00DF51BA">
        <w:rPr>
          <w:rFonts w:ascii="Book Antiqua" w:eastAsia="Book Antiqua" w:hAnsi="Book Antiqua" w:cs="Book Antiqua"/>
          <w:color w:val="000000" w:themeColor="text1"/>
        </w:rPr>
        <w:t xml:space="preserve"> 2001; </w:t>
      </w:r>
      <w:r w:rsidRPr="00DF51BA">
        <w:rPr>
          <w:rFonts w:ascii="Book Antiqua" w:eastAsia="Book Antiqua" w:hAnsi="Book Antiqua" w:cs="Book Antiqua"/>
          <w:b/>
          <w:bCs/>
          <w:color w:val="000000" w:themeColor="text1"/>
        </w:rPr>
        <w:t>86</w:t>
      </w:r>
      <w:r w:rsidRPr="00DF51BA">
        <w:rPr>
          <w:rFonts w:ascii="Book Antiqua" w:eastAsia="Book Antiqua" w:hAnsi="Book Antiqua" w:cs="Book Antiqua"/>
          <w:color w:val="000000" w:themeColor="text1"/>
        </w:rPr>
        <w:t>: 809-816 [PMID: 11583312 DOI: 10.1055/s-0037-1616136]</w:t>
      </w:r>
    </w:p>
    <w:p w:rsidR="00A77B3E" w:rsidRPr="00DF51BA" w:rsidRDefault="00A77B3E" w:rsidP="00DF51BA">
      <w:pPr>
        <w:snapToGrid w:val="0"/>
        <w:spacing w:line="360" w:lineRule="auto"/>
        <w:jc w:val="both"/>
        <w:rPr>
          <w:rFonts w:ascii="Book Antiqua" w:hAnsi="Book Antiqua"/>
          <w:color w:val="000000" w:themeColor="text1"/>
        </w:rPr>
        <w:sectPr w:rsidR="00A77B3E" w:rsidRPr="00DF51BA" w:rsidSect="003B3C10">
          <w:pgSz w:w="12240" w:h="15840"/>
          <w:pgMar w:top="1440" w:right="1440" w:bottom="1440" w:left="1440" w:header="720" w:footer="720" w:gutter="0"/>
          <w:cols w:space="720"/>
          <w:docGrid w:linePitch="360"/>
        </w:sect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lastRenderedPageBreak/>
        <w:t>Footnotes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Institutional review board statement: </w:t>
      </w:r>
      <w:r w:rsidRPr="00DF51BA">
        <w:rPr>
          <w:rFonts w:ascii="Book Antiqua" w:eastAsia="Book Antiqua" w:hAnsi="Book Antiqua" w:cs="Book Antiqua"/>
          <w:color w:val="000000" w:themeColor="text1"/>
        </w:rPr>
        <w:t>The study was approved by the hospital ethics committee.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Informed consent statement: </w:t>
      </w:r>
      <w:r w:rsidRPr="00DF51BA">
        <w:rPr>
          <w:rFonts w:ascii="Book Antiqua" w:eastAsia="Book Antiqua" w:hAnsi="Book Antiqua" w:cs="Book Antiqua"/>
          <w:color w:val="000000" w:themeColor="text1"/>
        </w:rPr>
        <w:t>All study participants, or their legal guardian, provided informed consent prior to study enrollment.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Conflict-of-interest statement: </w:t>
      </w:r>
      <w:r w:rsidRPr="00DF51BA">
        <w:rPr>
          <w:rFonts w:ascii="Book Antiqua" w:eastAsia="Book Antiqua" w:hAnsi="Book Antiqua" w:cs="Book Antiqua"/>
          <w:color w:val="000000" w:themeColor="text1"/>
        </w:rPr>
        <w:t>The authors of this manuscript have no conflicts of interest to disclose.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Data sharing statement: </w:t>
      </w:r>
      <w:r w:rsidRPr="00DF51BA">
        <w:rPr>
          <w:rFonts w:ascii="Book Antiqua" w:eastAsia="Book Antiqua" w:hAnsi="Book Antiqua" w:cs="Book Antiqua"/>
          <w:color w:val="000000" w:themeColor="text1"/>
        </w:rPr>
        <w:t>There is no additional data available.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STROBE statement: </w:t>
      </w:r>
      <w:r w:rsidRPr="00DF51BA">
        <w:rPr>
          <w:rFonts w:ascii="Book Antiqua" w:eastAsia="Book Antiqua" w:hAnsi="Book Antiqua" w:cs="Book Antiqua"/>
          <w:color w:val="000000" w:themeColor="text1"/>
        </w:rPr>
        <w:t>The guidelines of the STROBE Statement have been adopted in the present manuscript.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Open-Access: </w:t>
      </w:r>
      <w:r w:rsidRPr="00DF51BA">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Manuscript source: </w:t>
      </w:r>
      <w:r w:rsidRPr="00DF51BA">
        <w:rPr>
          <w:rFonts w:ascii="Book Antiqua" w:eastAsia="Book Antiqua" w:hAnsi="Book Antiqua" w:cs="Book Antiqua"/>
          <w:color w:val="000000" w:themeColor="text1"/>
        </w:rPr>
        <w:t xml:space="preserve">Invited </w:t>
      </w:r>
      <w:r w:rsidR="00AB35B3" w:rsidRPr="00DF51BA">
        <w:rPr>
          <w:rFonts w:ascii="Book Antiqua" w:eastAsia="Book Antiqua" w:hAnsi="Book Antiqua" w:cs="Book Antiqua"/>
          <w:color w:val="000000" w:themeColor="text1"/>
        </w:rPr>
        <w:t>m</w:t>
      </w:r>
      <w:r w:rsidRPr="00DF51BA">
        <w:rPr>
          <w:rFonts w:ascii="Book Antiqua" w:eastAsia="Book Antiqua" w:hAnsi="Book Antiqua" w:cs="Book Antiqua"/>
          <w:color w:val="000000" w:themeColor="text1"/>
        </w:rPr>
        <w:t>anuscript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Peer-review started: </w:t>
      </w:r>
      <w:r w:rsidRPr="00DF51BA">
        <w:rPr>
          <w:rFonts w:ascii="Book Antiqua" w:eastAsia="Book Antiqua" w:hAnsi="Book Antiqua" w:cs="Book Antiqua"/>
          <w:color w:val="000000" w:themeColor="text1"/>
        </w:rPr>
        <w:t>June 18, 2020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First decision: </w:t>
      </w:r>
      <w:r w:rsidRPr="00DF51BA">
        <w:rPr>
          <w:rFonts w:ascii="Book Antiqua" w:eastAsia="Book Antiqua" w:hAnsi="Book Antiqua" w:cs="Book Antiqua"/>
          <w:color w:val="000000" w:themeColor="text1"/>
        </w:rPr>
        <w:t>July 2, 2020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Article in press: </w:t>
      </w:r>
      <w:r w:rsidR="001F2117" w:rsidRPr="00DF51BA">
        <w:rPr>
          <w:rFonts w:ascii="Book Antiqua" w:eastAsia="Book Antiqua" w:hAnsi="Book Antiqua" w:cs="Book Antiqua"/>
          <w:bCs/>
          <w:color w:val="000000" w:themeColor="text1"/>
        </w:rPr>
        <w:t>August 1, 2020</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lastRenderedPageBreak/>
        <w:t xml:space="preserve">Specialty type: </w:t>
      </w:r>
      <w:r w:rsidRPr="00DF51BA">
        <w:rPr>
          <w:rFonts w:ascii="Book Antiqua" w:eastAsia="Book Antiqua" w:hAnsi="Book Antiqua" w:cs="Book Antiqua"/>
          <w:color w:val="000000" w:themeColor="text1"/>
        </w:rPr>
        <w:t>Orthopedics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Country/Territory of origin: </w:t>
      </w:r>
      <w:r w:rsidRPr="00DF51BA">
        <w:rPr>
          <w:rFonts w:ascii="Book Antiqua" w:eastAsia="Book Antiqua" w:hAnsi="Book Antiqua" w:cs="Book Antiqua"/>
          <w:color w:val="000000" w:themeColor="text1"/>
        </w:rPr>
        <w:t>Greece</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Peer-review report’s scientific quality classification</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Grade A (Excellent): 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Grade B (Very good): B</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Grade C (Good): C</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Grade D (Fair): 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Grade E (Poor): 0</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eastAsia="Book Antiqua" w:hAnsi="Book Antiqua" w:cs="Book Antiqua"/>
          <w:b/>
          <w:color w:val="000000" w:themeColor="text1"/>
        </w:rPr>
      </w:pPr>
      <w:r w:rsidRPr="00DF51BA">
        <w:rPr>
          <w:rFonts w:ascii="Book Antiqua" w:eastAsia="Book Antiqua" w:hAnsi="Book Antiqua" w:cs="Book Antiqua"/>
          <w:b/>
          <w:color w:val="000000" w:themeColor="text1"/>
        </w:rPr>
        <w:t xml:space="preserve">P-Reviewer: </w:t>
      </w:r>
      <w:r w:rsidRPr="00DF51BA">
        <w:rPr>
          <w:rFonts w:ascii="Book Antiqua" w:eastAsia="Book Antiqua" w:hAnsi="Book Antiqua" w:cs="Book Antiqua"/>
          <w:color w:val="000000" w:themeColor="text1"/>
        </w:rPr>
        <w:t>Demirkale İ, Wang X</w:t>
      </w:r>
      <w:r w:rsidRPr="00DF51BA">
        <w:rPr>
          <w:rFonts w:ascii="Book Antiqua" w:eastAsia="Book Antiqua" w:hAnsi="Book Antiqua" w:cs="Book Antiqua"/>
          <w:b/>
          <w:color w:val="000000" w:themeColor="text1"/>
        </w:rPr>
        <w:t xml:space="preserve"> S-Editor: </w:t>
      </w:r>
      <w:r w:rsidR="001B4939" w:rsidRPr="00DF51BA">
        <w:rPr>
          <w:rFonts w:ascii="Book Antiqua" w:eastAsia="Book Antiqua" w:hAnsi="Book Antiqua" w:cs="Book Antiqua"/>
          <w:color w:val="000000" w:themeColor="text1"/>
        </w:rPr>
        <w:t>Liu</w:t>
      </w:r>
      <w:r w:rsidRPr="00DF51BA">
        <w:rPr>
          <w:rFonts w:ascii="Book Antiqua" w:eastAsia="Book Antiqua" w:hAnsi="Book Antiqua" w:cs="Book Antiqua"/>
          <w:color w:val="000000" w:themeColor="text1"/>
        </w:rPr>
        <w:t xml:space="preserve"> JH</w:t>
      </w:r>
      <w:r w:rsidRPr="00DF51BA">
        <w:rPr>
          <w:rFonts w:ascii="Book Antiqua" w:eastAsia="Book Antiqua" w:hAnsi="Book Antiqua" w:cs="Book Antiqua"/>
          <w:b/>
          <w:color w:val="000000" w:themeColor="text1"/>
        </w:rPr>
        <w:t xml:space="preserve"> L-Editor: </w:t>
      </w:r>
      <w:r w:rsidR="003970FA" w:rsidRPr="00DF51BA">
        <w:rPr>
          <w:rFonts w:ascii="Book Antiqua" w:eastAsia="Book Antiqua" w:hAnsi="Book Antiqua" w:cs="Book Antiqua"/>
          <w:bCs/>
          <w:color w:val="000000" w:themeColor="text1"/>
        </w:rPr>
        <w:t>Filipodia</w:t>
      </w:r>
      <w:r w:rsidRPr="00DF51BA">
        <w:rPr>
          <w:rFonts w:ascii="Book Antiqua" w:eastAsia="Book Antiqua" w:hAnsi="Book Antiqua" w:cs="Book Antiqua"/>
          <w:b/>
          <w:color w:val="000000" w:themeColor="text1"/>
        </w:rPr>
        <w:t xml:space="preserve"> </w:t>
      </w:r>
      <w:r w:rsidR="001F2117">
        <w:rPr>
          <w:rFonts w:ascii="Book Antiqua" w:hAnsi="Book Antiqua" w:cs="Book Antiqua" w:hint="eastAsia"/>
          <w:b/>
          <w:color w:val="000000" w:themeColor="text1"/>
          <w:lang w:eastAsia="zh-CN"/>
        </w:rPr>
        <w:t>P</w:t>
      </w:r>
      <w:r w:rsidRPr="00DF51BA">
        <w:rPr>
          <w:rFonts w:ascii="Book Antiqua" w:eastAsia="Book Antiqua" w:hAnsi="Book Antiqua" w:cs="Book Antiqua"/>
          <w:b/>
          <w:color w:val="000000" w:themeColor="text1"/>
        </w:rPr>
        <w:t>-Editor:</w:t>
      </w:r>
      <w:r w:rsidR="001F2117">
        <w:rPr>
          <w:rFonts w:ascii="Book Antiqua" w:hAnsi="Book Antiqua" w:cs="Book Antiqua" w:hint="eastAsia"/>
          <w:b/>
          <w:color w:val="000000" w:themeColor="text1"/>
          <w:lang w:eastAsia="zh-CN"/>
        </w:rPr>
        <w:t xml:space="preserve"> </w:t>
      </w:r>
      <w:r w:rsidR="001F2117" w:rsidRPr="00757C33">
        <w:rPr>
          <w:rFonts w:ascii="Book Antiqua" w:eastAsia="Book Antiqua" w:hAnsi="Book Antiqua" w:cs="Book Antiqua"/>
          <w:color w:val="000000"/>
        </w:rPr>
        <w:t>Xing YX</w:t>
      </w:r>
    </w:p>
    <w:p w:rsidR="00ED6877" w:rsidRPr="00DF51BA" w:rsidRDefault="00ED6877" w:rsidP="00DF51BA">
      <w:pPr>
        <w:snapToGrid w:val="0"/>
        <w:spacing w:line="360" w:lineRule="auto"/>
        <w:jc w:val="both"/>
        <w:rPr>
          <w:rFonts w:ascii="Book Antiqua" w:hAnsi="Book Antiqua"/>
          <w:color w:val="000000" w:themeColor="text1"/>
        </w:rPr>
        <w:sectPr w:rsidR="00ED6877" w:rsidRPr="00DF51BA" w:rsidSect="003B3C10">
          <w:pgSz w:w="12240" w:h="15840"/>
          <w:pgMar w:top="1440" w:right="1440" w:bottom="1440" w:left="1440" w:header="720" w:footer="720" w:gutter="0"/>
          <w:cols w:space="720"/>
          <w:docGrid w:linePitch="360"/>
        </w:sect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lastRenderedPageBreak/>
        <w:t>Figure Legends</w:t>
      </w:r>
    </w:p>
    <w:p w:rsidR="00264643" w:rsidRPr="00DF51BA" w:rsidRDefault="00264643" w:rsidP="00DF51BA">
      <w:pPr>
        <w:snapToGrid w:val="0"/>
        <w:spacing w:line="360" w:lineRule="auto"/>
        <w:jc w:val="both"/>
        <w:rPr>
          <w:rFonts w:ascii="Book Antiqua" w:hAnsi="Book Antiqua" w:cs="Book Antiqua"/>
          <w:b/>
          <w:bCs/>
          <w:color w:val="000000" w:themeColor="text1"/>
          <w:lang w:eastAsia="zh-CN"/>
        </w:rPr>
      </w:pPr>
      <w:r w:rsidRPr="00DF51BA">
        <w:rPr>
          <w:rFonts w:ascii="Book Antiqua" w:hAnsi="Book Antiqua"/>
          <w:noProof/>
          <w:lang w:eastAsia="zh-CN"/>
        </w:rPr>
        <w:drawing>
          <wp:inline distT="0" distB="0" distL="0" distR="0" wp14:anchorId="1DF6D4EE" wp14:editId="21537665">
            <wp:extent cx="3962400" cy="3175000"/>
            <wp:effectExtent l="0" t="0" r="0" b="0"/>
            <wp:docPr id="1" name="Picture 1"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a:stretch>
                      <a:fillRect/>
                    </a:stretch>
                  </pic:blipFill>
                  <pic:spPr>
                    <a:xfrm>
                      <a:off x="0" y="0"/>
                      <a:ext cx="3962400" cy="3175000"/>
                    </a:xfrm>
                    <a:prstGeom prst="rect">
                      <a:avLst/>
                    </a:prstGeom>
                  </pic:spPr>
                </pic:pic>
              </a:graphicData>
            </a:graphic>
          </wp:inline>
        </w:drawing>
      </w:r>
    </w:p>
    <w:p w:rsidR="00264643" w:rsidRPr="007D6DE8" w:rsidRDefault="008D175F" w:rsidP="00DF51BA">
      <w:pPr>
        <w:snapToGrid w:val="0"/>
        <w:spacing w:line="360" w:lineRule="auto"/>
        <w:jc w:val="both"/>
        <w:rPr>
          <w:rFonts w:ascii="Book Antiqua" w:eastAsia="Book Antiqua" w:hAnsi="Book Antiqua" w:cs="Book Antiqua"/>
          <w:color w:val="000000" w:themeColor="text1"/>
        </w:rPr>
      </w:pPr>
      <w:r w:rsidRPr="00DF51BA">
        <w:rPr>
          <w:rFonts w:ascii="Book Antiqua" w:eastAsia="Book Antiqua" w:hAnsi="Book Antiqua" w:cs="Book Antiqua"/>
          <w:b/>
          <w:bCs/>
          <w:color w:val="000000" w:themeColor="text1"/>
        </w:rPr>
        <w:t>Figure 1 Comparison of platelet counts</w:t>
      </w:r>
      <w:r w:rsidR="00ED6877" w:rsidRPr="00DF51BA">
        <w:rPr>
          <w:rFonts w:ascii="Book Antiqua" w:eastAsia="Book Antiqua" w:hAnsi="Book Antiqua" w:cs="Book Antiqua"/>
          <w:b/>
          <w:bCs/>
          <w:color w:val="000000" w:themeColor="text1"/>
        </w:rPr>
        <w:t xml:space="preserve"> </w:t>
      </w:r>
      <w:r w:rsidRPr="00DF51BA">
        <w:rPr>
          <w:rFonts w:ascii="Book Antiqua" w:eastAsia="Book Antiqua" w:hAnsi="Book Antiqua" w:cs="Book Antiqua"/>
          <w:b/>
          <w:bCs/>
          <w:color w:val="000000" w:themeColor="text1"/>
        </w:rPr>
        <w:t>fluctuation between low-molecular</w:t>
      </w:r>
      <w:r w:rsidR="00824733" w:rsidRPr="00DF51BA">
        <w:rPr>
          <w:rFonts w:ascii="Book Antiqua" w:eastAsia="Book Antiqua" w:hAnsi="Book Antiqua" w:cs="Book Antiqua"/>
          <w:b/>
          <w:bCs/>
          <w:color w:val="000000" w:themeColor="text1"/>
        </w:rPr>
        <w:t>-</w:t>
      </w:r>
      <w:r w:rsidRPr="00DF51BA">
        <w:rPr>
          <w:rFonts w:ascii="Book Antiqua" w:eastAsia="Book Antiqua" w:hAnsi="Book Antiqua" w:cs="Book Antiqua"/>
          <w:b/>
          <w:bCs/>
          <w:color w:val="000000" w:themeColor="text1"/>
        </w:rPr>
        <w:t>weight heparin</w:t>
      </w:r>
      <w:r w:rsidR="00ED6877" w:rsidRPr="00DF51BA">
        <w:rPr>
          <w:rFonts w:ascii="Book Antiqua" w:eastAsia="Book Antiqua" w:hAnsi="Book Antiqua" w:cs="Book Antiqua"/>
          <w:b/>
          <w:bCs/>
          <w:color w:val="000000" w:themeColor="text1"/>
        </w:rPr>
        <w:t xml:space="preserve"> </w:t>
      </w:r>
      <w:r w:rsidRPr="00DF51BA">
        <w:rPr>
          <w:rFonts w:ascii="Book Antiqua" w:eastAsia="Book Antiqua" w:hAnsi="Book Antiqua" w:cs="Book Antiqua"/>
          <w:b/>
          <w:bCs/>
          <w:color w:val="000000" w:themeColor="text1"/>
        </w:rPr>
        <w:t xml:space="preserve">and fondaparinux. </w:t>
      </w:r>
      <w:r w:rsidR="00B726F1" w:rsidRPr="00DF51BA">
        <w:rPr>
          <w:rFonts w:ascii="Book Antiqua" w:eastAsia="Book Antiqua" w:hAnsi="Book Antiqua" w:cs="Book Antiqua"/>
          <w:color w:val="000000" w:themeColor="text1"/>
        </w:rPr>
        <w:t>LMWH: Low-molecular-weight heparin</w:t>
      </w:r>
      <w:r w:rsidR="00B726F1">
        <w:rPr>
          <w:rFonts w:ascii="Book Antiqua" w:eastAsia="Book Antiqua" w:hAnsi="Book Antiqua" w:cs="Book Antiqua"/>
          <w:color w:val="000000" w:themeColor="text1"/>
        </w:rPr>
        <w:t>;</w:t>
      </w:r>
      <w:r w:rsidR="00B726F1" w:rsidRPr="00DF51BA">
        <w:rPr>
          <w:rFonts w:ascii="Book Antiqua" w:eastAsia="Book Antiqua" w:hAnsi="Book Antiqua" w:cs="Book Antiqua"/>
          <w:color w:val="000000" w:themeColor="text1"/>
        </w:rPr>
        <w:t xml:space="preserve"> </w:t>
      </w:r>
      <w:r w:rsidR="00AB35B3" w:rsidRPr="00DF51BA">
        <w:rPr>
          <w:rFonts w:ascii="Book Antiqua" w:eastAsia="Book Antiqua" w:hAnsi="Book Antiqua" w:cs="Book Antiqua"/>
          <w:color w:val="000000" w:themeColor="text1"/>
        </w:rPr>
        <w:t>PLT: Platelet.</w:t>
      </w:r>
    </w:p>
    <w:p w:rsidR="00A77B3E" w:rsidRPr="00DF51BA" w:rsidRDefault="00264643" w:rsidP="00DF51BA">
      <w:pPr>
        <w:snapToGrid w:val="0"/>
        <w:spacing w:line="360" w:lineRule="auto"/>
        <w:jc w:val="both"/>
        <w:rPr>
          <w:rFonts w:ascii="Book Antiqua" w:hAnsi="Book Antiqua"/>
          <w:lang w:eastAsia="zh-CN"/>
        </w:rPr>
      </w:pPr>
      <w:r w:rsidRPr="00DF51BA">
        <w:rPr>
          <w:rFonts w:ascii="Book Antiqua" w:hAnsi="Book Antiqua"/>
          <w:lang w:eastAsia="zh-CN"/>
        </w:rPr>
        <w:br w:type="page"/>
      </w:r>
      <w:r w:rsidRPr="00DF51BA">
        <w:rPr>
          <w:rFonts w:ascii="Book Antiqua" w:hAnsi="Book Antiqua"/>
          <w:noProof/>
          <w:lang w:eastAsia="zh-CN"/>
        </w:rPr>
        <w:lastRenderedPageBreak/>
        <w:drawing>
          <wp:inline distT="0" distB="0" distL="0" distR="0" wp14:anchorId="19F1C28E" wp14:editId="6AC18E76">
            <wp:extent cx="4857750" cy="29432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Figure 2 Percentage of patients with anti-PF4/heparin antibodies according to pharmacologic agent (</w:t>
      </w:r>
      <w:r w:rsidRPr="00DF51BA">
        <w:rPr>
          <w:rFonts w:ascii="Book Antiqua" w:eastAsia="Book Antiqua" w:hAnsi="Book Antiqua" w:cs="Book Antiqua"/>
          <w:b/>
          <w:bCs/>
          <w:i/>
          <w:iCs/>
          <w:color w:val="000000" w:themeColor="text1"/>
        </w:rPr>
        <w:t xml:space="preserve">P </w:t>
      </w:r>
      <w:r w:rsidRPr="00DF51BA">
        <w:rPr>
          <w:rFonts w:ascii="Book Antiqua" w:eastAsia="Book Antiqua" w:hAnsi="Book Antiqua" w:cs="Book Antiqua"/>
          <w:b/>
          <w:bCs/>
          <w:color w:val="000000" w:themeColor="text1"/>
        </w:rPr>
        <w:t>&lt; 0.05)</w:t>
      </w:r>
      <w:r w:rsidR="00D23A7C" w:rsidRPr="00DF51BA">
        <w:rPr>
          <w:rFonts w:ascii="Book Antiqua" w:eastAsia="Book Antiqua" w:hAnsi="Book Antiqua" w:cs="Book Antiqua"/>
          <w:b/>
          <w:bCs/>
          <w:color w:val="000000" w:themeColor="text1"/>
        </w:rPr>
        <w:t>.</w:t>
      </w:r>
      <w:r w:rsidRPr="00DF51BA">
        <w:rPr>
          <w:rFonts w:ascii="Book Antiqua" w:eastAsia="Book Antiqua" w:hAnsi="Book Antiqua" w:cs="Book Antiqua"/>
          <w:b/>
          <w:bCs/>
          <w:color w:val="000000" w:themeColor="text1"/>
        </w:rPr>
        <w:t xml:space="preserve"> </w:t>
      </w:r>
      <w:r w:rsidRPr="00DF51BA">
        <w:rPr>
          <w:rFonts w:ascii="Book Antiqua" w:eastAsia="Book Antiqua" w:hAnsi="Book Antiqua" w:cs="Book Antiqua"/>
          <w:bCs/>
          <w:color w:val="000000" w:themeColor="text1"/>
        </w:rPr>
        <w:t>LMWH: Low-molecular</w:t>
      </w:r>
      <w:r w:rsidR="00824733" w:rsidRPr="00DF51BA">
        <w:rPr>
          <w:rFonts w:ascii="Book Antiqua" w:eastAsia="Book Antiqua" w:hAnsi="Book Antiqua" w:cs="Book Antiqua"/>
          <w:bCs/>
          <w:color w:val="000000" w:themeColor="text1"/>
        </w:rPr>
        <w:t>-</w:t>
      </w:r>
      <w:r w:rsidRPr="00DF51BA">
        <w:rPr>
          <w:rFonts w:ascii="Book Antiqua" w:eastAsia="Book Antiqua" w:hAnsi="Book Antiqua" w:cs="Book Antiqua"/>
          <w:bCs/>
          <w:color w:val="000000" w:themeColor="text1"/>
        </w:rPr>
        <w:t>weight heparin.</w:t>
      </w:r>
    </w:p>
    <w:p w:rsidR="00264643" w:rsidRPr="00DF51BA" w:rsidRDefault="00264643" w:rsidP="00DF51BA">
      <w:pPr>
        <w:snapToGrid w:val="0"/>
        <w:spacing w:line="360" w:lineRule="auto"/>
        <w:jc w:val="both"/>
        <w:rPr>
          <w:rFonts w:ascii="Book Antiqua" w:hAnsi="Book Antiqua" w:cs="Book Antiqua"/>
          <w:b/>
          <w:bCs/>
          <w:color w:val="000000" w:themeColor="text1"/>
          <w:lang w:eastAsia="zh-CN"/>
        </w:rPr>
      </w:pPr>
      <w:r w:rsidRPr="00DF51BA">
        <w:rPr>
          <w:rFonts w:ascii="Book Antiqua" w:eastAsia="Book Antiqua" w:hAnsi="Book Antiqua" w:cs="Book Antiqua"/>
          <w:b/>
          <w:bCs/>
          <w:color w:val="000000" w:themeColor="text1"/>
        </w:rPr>
        <w:br w:type="page"/>
      </w:r>
      <w:r w:rsidRPr="00DF51BA">
        <w:rPr>
          <w:rFonts w:ascii="Book Antiqua" w:hAnsi="Book Antiqua"/>
          <w:noProof/>
          <w:lang w:eastAsia="zh-CN"/>
        </w:rPr>
        <w:lastRenderedPageBreak/>
        <w:drawing>
          <wp:inline distT="0" distB="0" distL="0" distR="0" wp14:anchorId="1E832CA5" wp14:editId="29547F5F">
            <wp:extent cx="5042000" cy="285451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1984" cy="2860170"/>
                    </a:xfrm>
                    <a:prstGeom prst="rect">
                      <a:avLst/>
                    </a:prstGeom>
                    <a:noFill/>
                    <a:ln>
                      <a:noFill/>
                    </a:ln>
                  </pic:spPr>
                </pic:pic>
              </a:graphicData>
            </a:graphic>
          </wp:inline>
        </w:drawing>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Figure 3</w:t>
      </w:r>
      <w:r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b/>
          <w:bCs/>
          <w:color w:val="000000" w:themeColor="text1"/>
        </w:rPr>
        <w:t xml:space="preserve">Correlation of thrombocytopenia, anti-PF4/heparin antibodies formation, </w:t>
      </w:r>
      <w:r w:rsidR="00DA0464" w:rsidRPr="00DF51BA">
        <w:rPr>
          <w:rFonts w:ascii="Book Antiqua" w:eastAsia="Book Antiqua" w:hAnsi="Book Antiqua" w:cs="Book Antiqua"/>
          <w:b/>
          <w:bCs/>
          <w:color w:val="000000" w:themeColor="text1"/>
        </w:rPr>
        <w:t>heparin-induced thrombocytopenia</w:t>
      </w:r>
      <w:r w:rsidRPr="00DF51BA">
        <w:rPr>
          <w:rFonts w:ascii="Book Antiqua" w:eastAsia="Book Antiqua" w:hAnsi="Book Antiqua" w:cs="Book Antiqua"/>
          <w:b/>
          <w:bCs/>
          <w:color w:val="000000" w:themeColor="text1"/>
        </w:rPr>
        <w:t>, mutation of coagulation factors, and development of thrombosis.</w:t>
      </w:r>
      <w:r w:rsidR="00CD3CF5" w:rsidRPr="00DF51BA">
        <w:rPr>
          <w:rFonts w:ascii="Book Antiqua" w:eastAsia="Book Antiqua" w:hAnsi="Book Antiqua" w:cs="Book Antiqua"/>
          <w:b/>
          <w:bCs/>
          <w:color w:val="000000" w:themeColor="text1"/>
        </w:rPr>
        <w:t xml:space="preserve"> </w:t>
      </w:r>
      <w:r w:rsidR="00CD3CF5" w:rsidRPr="00DF51BA">
        <w:rPr>
          <w:rFonts w:ascii="Book Antiqua" w:eastAsia="Book Antiqua" w:hAnsi="Book Antiqua" w:cs="Book Antiqua"/>
          <w:bCs/>
          <w:color w:val="000000" w:themeColor="text1"/>
        </w:rPr>
        <w:t xml:space="preserve">HIT: </w:t>
      </w:r>
      <w:r w:rsidR="00CD3CF5" w:rsidRPr="00DF51BA">
        <w:rPr>
          <w:rFonts w:ascii="Book Antiqua" w:eastAsia="Book Antiqua" w:hAnsi="Book Antiqua" w:cs="Book Antiqua"/>
          <w:caps/>
          <w:color w:val="000000" w:themeColor="text1"/>
        </w:rPr>
        <w:t>h</w:t>
      </w:r>
      <w:r w:rsidR="00CD3CF5" w:rsidRPr="00DF51BA">
        <w:rPr>
          <w:rFonts w:ascii="Book Antiqua" w:eastAsia="Book Antiqua" w:hAnsi="Book Antiqua" w:cs="Book Antiqua"/>
          <w:color w:val="000000" w:themeColor="text1"/>
        </w:rPr>
        <w:t>eparin-induced thrombocytopenia.</w:t>
      </w:r>
      <w:bookmarkEnd w:id="0"/>
    </w:p>
    <w:sectPr w:rsidR="00A77B3E" w:rsidRPr="00DF51BA" w:rsidSect="003B3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43" w:rsidRDefault="00902643" w:rsidP="00B9638B">
      <w:r>
        <w:separator/>
      </w:r>
    </w:p>
  </w:endnote>
  <w:endnote w:type="continuationSeparator" w:id="0">
    <w:p w:rsidR="00902643" w:rsidRDefault="00902643" w:rsidP="00B9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138291663"/>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rsidR="00A26E73" w:rsidRPr="007D6DE8" w:rsidRDefault="00A26E73">
            <w:pPr>
              <w:pStyle w:val="a5"/>
              <w:jc w:val="right"/>
              <w:rPr>
                <w:rFonts w:ascii="Book Antiqua" w:hAnsi="Book Antiqua"/>
                <w:sz w:val="24"/>
                <w:szCs w:val="24"/>
              </w:rPr>
            </w:pPr>
            <w:r w:rsidRPr="007D6DE8">
              <w:rPr>
                <w:rFonts w:ascii="Book Antiqua" w:hAnsi="Book Antiqua"/>
                <w:sz w:val="24"/>
                <w:szCs w:val="24"/>
                <w:lang w:val="zh-CN" w:eastAsia="zh-CN"/>
              </w:rPr>
              <w:t xml:space="preserve"> </w:t>
            </w:r>
            <w:r w:rsidRPr="007D6DE8">
              <w:rPr>
                <w:rFonts w:ascii="Book Antiqua" w:hAnsi="Book Antiqua"/>
                <w:sz w:val="24"/>
                <w:szCs w:val="24"/>
              </w:rPr>
              <w:fldChar w:fldCharType="begin"/>
            </w:r>
            <w:r w:rsidRPr="007D6DE8">
              <w:rPr>
                <w:rFonts w:ascii="Book Antiqua" w:hAnsi="Book Antiqua"/>
                <w:sz w:val="24"/>
                <w:szCs w:val="24"/>
              </w:rPr>
              <w:instrText>PAGE</w:instrText>
            </w:r>
            <w:r w:rsidRPr="007D6DE8">
              <w:rPr>
                <w:rFonts w:ascii="Book Antiqua" w:hAnsi="Book Antiqua"/>
                <w:sz w:val="24"/>
                <w:szCs w:val="24"/>
              </w:rPr>
              <w:fldChar w:fldCharType="separate"/>
            </w:r>
            <w:r w:rsidR="00383737">
              <w:rPr>
                <w:rFonts w:ascii="Book Antiqua" w:hAnsi="Book Antiqua"/>
                <w:noProof/>
                <w:sz w:val="24"/>
                <w:szCs w:val="24"/>
              </w:rPr>
              <w:t>4</w:t>
            </w:r>
            <w:r w:rsidRPr="007D6DE8">
              <w:rPr>
                <w:rFonts w:ascii="Book Antiqua" w:hAnsi="Book Antiqua"/>
                <w:sz w:val="24"/>
                <w:szCs w:val="24"/>
              </w:rPr>
              <w:fldChar w:fldCharType="end"/>
            </w:r>
            <w:r w:rsidRPr="007D6DE8">
              <w:rPr>
                <w:rFonts w:ascii="Book Antiqua" w:hAnsi="Book Antiqua"/>
                <w:sz w:val="24"/>
                <w:szCs w:val="24"/>
                <w:lang w:val="zh-CN" w:eastAsia="zh-CN"/>
              </w:rPr>
              <w:t xml:space="preserve"> / </w:t>
            </w:r>
            <w:r w:rsidRPr="007D6DE8">
              <w:rPr>
                <w:rFonts w:ascii="Book Antiqua" w:hAnsi="Book Antiqua"/>
                <w:sz w:val="24"/>
                <w:szCs w:val="24"/>
              </w:rPr>
              <w:fldChar w:fldCharType="begin"/>
            </w:r>
            <w:r w:rsidRPr="007D6DE8">
              <w:rPr>
                <w:rFonts w:ascii="Book Antiqua" w:hAnsi="Book Antiqua"/>
                <w:sz w:val="24"/>
                <w:szCs w:val="24"/>
              </w:rPr>
              <w:instrText>NUMPAGES</w:instrText>
            </w:r>
            <w:r w:rsidRPr="007D6DE8">
              <w:rPr>
                <w:rFonts w:ascii="Book Antiqua" w:hAnsi="Book Antiqua"/>
                <w:sz w:val="24"/>
                <w:szCs w:val="24"/>
              </w:rPr>
              <w:fldChar w:fldCharType="separate"/>
            </w:r>
            <w:r w:rsidR="00383737">
              <w:rPr>
                <w:rFonts w:ascii="Book Antiqua" w:hAnsi="Book Antiqua"/>
                <w:noProof/>
                <w:sz w:val="24"/>
                <w:szCs w:val="24"/>
              </w:rPr>
              <w:t>28</w:t>
            </w:r>
            <w:r w:rsidRPr="007D6DE8">
              <w:rPr>
                <w:rFonts w:ascii="Book Antiqua" w:hAnsi="Book Antiqua"/>
                <w:sz w:val="24"/>
                <w:szCs w:val="24"/>
              </w:rPr>
              <w:fldChar w:fldCharType="end"/>
            </w:r>
          </w:p>
        </w:sdtContent>
      </w:sdt>
    </w:sdtContent>
  </w:sdt>
  <w:p w:rsidR="00A26E73" w:rsidRDefault="00A26E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43" w:rsidRDefault="00902643" w:rsidP="00B9638B">
      <w:r>
        <w:separator/>
      </w:r>
    </w:p>
  </w:footnote>
  <w:footnote w:type="continuationSeparator" w:id="0">
    <w:p w:rsidR="00902643" w:rsidRDefault="00902643" w:rsidP="00B9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0BE"/>
    <w:rsid w:val="000827C1"/>
    <w:rsid w:val="000A79A8"/>
    <w:rsid w:val="000C508D"/>
    <w:rsid w:val="000D7169"/>
    <w:rsid w:val="000F237C"/>
    <w:rsid w:val="000F7B10"/>
    <w:rsid w:val="00123AF5"/>
    <w:rsid w:val="00166716"/>
    <w:rsid w:val="00176190"/>
    <w:rsid w:val="00196C01"/>
    <w:rsid w:val="001A623D"/>
    <w:rsid w:val="001B4939"/>
    <w:rsid w:val="001B637F"/>
    <w:rsid w:val="001C6B92"/>
    <w:rsid w:val="001D2022"/>
    <w:rsid w:val="001F2117"/>
    <w:rsid w:val="002145B4"/>
    <w:rsid w:val="00264643"/>
    <w:rsid w:val="00270968"/>
    <w:rsid w:val="002768EC"/>
    <w:rsid w:val="00286F04"/>
    <w:rsid w:val="002947C9"/>
    <w:rsid w:val="002A2D98"/>
    <w:rsid w:val="002B22FD"/>
    <w:rsid w:val="002B6877"/>
    <w:rsid w:val="002C33F4"/>
    <w:rsid w:val="002D5D76"/>
    <w:rsid w:val="003000AB"/>
    <w:rsid w:val="00303E6B"/>
    <w:rsid w:val="00326D61"/>
    <w:rsid w:val="00375746"/>
    <w:rsid w:val="00382552"/>
    <w:rsid w:val="00383737"/>
    <w:rsid w:val="00390460"/>
    <w:rsid w:val="003970FA"/>
    <w:rsid w:val="003B3C10"/>
    <w:rsid w:val="003C366D"/>
    <w:rsid w:val="003D7F50"/>
    <w:rsid w:val="00474336"/>
    <w:rsid w:val="00494363"/>
    <w:rsid w:val="004E0247"/>
    <w:rsid w:val="005036AC"/>
    <w:rsid w:val="005102E0"/>
    <w:rsid w:val="0054095D"/>
    <w:rsid w:val="005577D3"/>
    <w:rsid w:val="0056681E"/>
    <w:rsid w:val="0056792A"/>
    <w:rsid w:val="00571DA5"/>
    <w:rsid w:val="00585B8B"/>
    <w:rsid w:val="005A4B06"/>
    <w:rsid w:val="005A7D31"/>
    <w:rsid w:val="005C2557"/>
    <w:rsid w:val="005C5C1A"/>
    <w:rsid w:val="005D003D"/>
    <w:rsid w:val="005D79CA"/>
    <w:rsid w:val="005E197E"/>
    <w:rsid w:val="005F6AD4"/>
    <w:rsid w:val="006077A9"/>
    <w:rsid w:val="0061114B"/>
    <w:rsid w:val="00614A16"/>
    <w:rsid w:val="0061583B"/>
    <w:rsid w:val="00624A22"/>
    <w:rsid w:val="00657FDE"/>
    <w:rsid w:val="0066513D"/>
    <w:rsid w:val="00673D8B"/>
    <w:rsid w:val="00686B42"/>
    <w:rsid w:val="006928BE"/>
    <w:rsid w:val="006A22FA"/>
    <w:rsid w:val="006C0C9E"/>
    <w:rsid w:val="006C2C67"/>
    <w:rsid w:val="006F4395"/>
    <w:rsid w:val="00740398"/>
    <w:rsid w:val="007746CF"/>
    <w:rsid w:val="007820BF"/>
    <w:rsid w:val="007D6DE8"/>
    <w:rsid w:val="00804845"/>
    <w:rsid w:val="00814961"/>
    <w:rsid w:val="00820691"/>
    <w:rsid w:val="00824733"/>
    <w:rsid w:val="00846EB6"/>
    <w:rsid w:val="00850A9E"/>
    <w:rsid w:val="008651D0"/>
    <w:rsid w:val="008705F3"/>
    <w:rsid w:val="0087329C"/>
    <w:rsid w:val="008B5AC6"/>
    <w:rsid w:val="008C34FC"/>
    <w:rsid w:val="008C66C6"/>
    <w:rsid w:val="008D175F"/>
    <w:rsid w:val="008E6CCE"/>
    <w:rsid w:val="008F23A8"/>
    <w:rsid w:val="00902643"/>
    <w:rsid w:val="009378A7"/>
    <w:rsid w:val="00955222"/>
    <w:rsid w:val="00970996"/>
    <w:rsid w:val="0097170C"/>
    <w:rsid w:val="009969F4"/>
    <w:rsid w:val="009F625E"/>
    <w:rsid w:val="00A055AE"/>
    <w:rsid w:val="00A22555"/>
    <w:rsid w:val="00A26E73"/>
    <w:rsid w:val="00A271E8"/>
    <w:rsid w:val="00A35F66"/>
    <w:rsid w:val="00A53767"/>
    <w:rsid w:val="00A75DF7"/>
    <w:rsid w:val="00A77B3E"/>
    <w:rsid w:val="00A90CED"/>
    <w:rsid w:val="00A96D33"/>
    <w:rsid w:val="00AB0BF5"/>
    <w:rsid w:val="00AB35B3"/>
    <w:rsid w:val="00AC568B"/>
    <w:rsid w:val="00AE7BE1"/>
    <w:rsid w:val="00B42276"/>
    <w:rsid w:val="00B72369"/>
    <w:rsid w:val="00B726F1"/>
    <w:rsid w:val="00B85738"/>
    <w:rsid w:val="00B9638B"/>
    <w:rsid w:val="00BA1D46"/>
    <w:rsid w:val="00BA51B2"/>
    <w:rsid w:val="00BA5A1F"/>
    <w:rsid w:val="00BD2D66"/>
    <w:rsid w:val="00C01329"/>
    <w:rsid w:val="00C23E3A"/>
    <w:rsid w:val="00C475DD"/>
    <w:rsid w:val="00C74037"/>
    <w:rsid w:val="00CA004F"/>
    <w:rsid w:val="00CA2A55"/>
    <w:rsid w:val="00CB081C"/>
    <w:rsid w:val="00CC710F"/>
    <w:rsid w:val="00CD3CF5"/>
    <w:rsid w:val="00CE0B77"/>
    <w:rsid w:val="00CE2C85"/>
    <w:rsid w:val="00CF1748"/>
    <w:rsid w:val="00D23A7C"/>
    <w:rsid w:val="00D3026C"/>
    <w:rsid w:val="00D43F1B"/>
    <w:rsid w:val="00D6055B"/>
    <w:rsid w:val="00D84603"/>
    <w:rsid w:val="00DA0464"/>
    <w:rsid w:val="00DB2D99"/>
    <w:rsid w:val="00DB4292"/>
    <w:rsid w:val="00DC5113"/>
    <w:rsid w:val="00DC6DE1"/>
    <w:rsid w:val="00DD72A6"/>
    <w:rsid w:val="00DE5694"/>
    <w:rsid w:val="00DE7A21"/>
    <w:rsid w:val="00DF3F2C"/>
    <w:rsid w:val="00DF51BA"/>
    <w:rsid w:val="00E0401A"/>
    <w:rsid w:val="00E156E8"/>
    <w:rsid w:val="00E24B2B"/>
    <w:rsid w:val="00E27733"/>
    <w:rsid w:val="00E31C4A"/>
    <w:rsid w:val="00E3359D"/>
    <w:rsid w:val="00E9025D"/>
    <w:rsid w:val="00E908DA"/>
    <w:rsid w:val="00E96C5B"/>
    <w:rsid w:val="00EB08C1"/>
    <w:rsid w:val="00EB1FC7"/>
    <w:rsid w:val="00ED6877"/>
    <w:rsid w:val="00EE3D41"/>
    <w:rsid w:val="00F06A38"/>
    <w:rsid w:val="00F17CFF"/>
    <w:rsid w:val="00F32393"/>
    <w:rsid w:val="00F43A34"/>
    <w:rsid w:val="00F67514"/>
    <w:rsid w:val="00FA12A9"/>
    <w:rsid w:val="00FC1A0B"/>
    <w:rsid w:val="00FF6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F43A34"/>
    <w:pPr>
      <w:pBdr>
        <w:top w:val="nil"/>
        <w:left w:val="nil"/>
        <w:bottom w:val="nil"/>
        <w:right w:val="nil"/>
        <w:between w:val="nil"/>
        <w:bar w:val="nil"/>
      </w:pBdr>
    </w:pPr>
    <w:rPr>
      <w:rFonts w:ascii="Cambria" w:eastAsia="Arial Unicode MS" w:hAnsi="Cambria" w:cs="Arial Unicode MS"/>
      <w:color w:val="000000"/>
      <w:sz w:val="24"/>
      <w:szCs w:val="24"/>
      <w:u w:color="000000"/>
      <w:bdr w:val="nil"/>
    </w:rPr>
  </w:style>
  <w:style w:type="paragraph" w:styleId="a3">
    <w:name w:val="Balloon Text"/>
    <w:basedOn w:val="a"/>
    <w:link w:val="Char"/>
    <w:rsid w:val="00264643"/>
    <w:rPr>
      <w:sz w:val="18"/>
      <w:szCs w:val="18"/>
    </w:rPr>
  </w:style>
  <w:style w:type="character" w:customStyle="1" w:styleId="Char">
    <w:name w:val="批注框文本 Char"/>
    <w:basedOn w:val="a0"/>
    <w:link w:val="a3"/>
    <w:rsid w:val="00264643"/>
    <w:rPr>
      <w:sz w:val="18"/>
      <w:szCs w:val="18"/>
    </w:rPr>
  </w:style>
  <w:style w:type="paragraph" w:styleId="a4">
    <w:name w:val="header"/>
    <w:basedOn w:val="a"/>
    <w:link w:val="Char0"/>
    <w:rsid w:val="00B96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638B"/>
    <w:rPr>
      <w:sz w:val="18"/>
      <w:szCs w:val="18"/>
    </w:rPr>
  </w:style>
  <w:style w:type="paragraph" w:styleId="a5">
    <w:name w:val="footer"/>
    <w:basedOn w:val="a"/>
    <w:link w:val="Char1"/>
    <w:uiPriority w:val="99"/>
    <w:rsid w:val="00B9638B"/>
    <w:pPr>
      <w:tabs>
        <w:tab w:val="center" w:pos="4153"/>
        <w:tab w:val="right" w:pos="8306"/>
      </w:tabs>
      <w:snapToGrid w:val="0"/>
    </w:pPr>
    <w:rPr>
      <w:sz w:val="18"/>
      <w:szCs w:val="18"/>
    </w:rPr>
  </w:style>
  <w:style w:type="character" w:customStyle="1" w:styleId="Char1">
    <w:name w:val="页脚 Char"/>
    <w:basedOn w:val="a0"/>
    <w:link w:val="a5"/>
    <w:uiPriority w:val="99"/>
    <w:rsid w:val="00B9638B"/>
    <w:rPr>
      <w:sz w:val="18"/>
      <w:szCs w:val="18"/>
    </w:rPr>
  </w:style>
  <w:style w:type="paragraph" w:styleId="a6">
    <w:name w:val="Revision"/>
    <w:hidden/>
    <w:uiPriority w:val="99"/>
    <w:semiHidden/>
    <w:rsid w:val="00E908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F43A34"/>
    <w:pPr>
      <w:pBdr>
        <w:top w:val="nil"/>
        <w:left w:val="nil"/>
        <w:bottom w:val="nil"/>
        <w:right w:val="nil"/>
        <w:between w:val="nil"/>
        <w:bar w:val="nil"/>
      </w:pBdr>
    </w:pPr>
    <w:rPr>
      <w:rFonts w:ascii="Cambria" w:eastAsia="Arial Unicode MS" w:hAnsi="Cambria" w:cs="Arial Unicode MS"/>
      <w:color w:val="000000"/>
      <w:sz w:val="24"/>
      <w:szCs w:val="24"/>
      <w:u w:color="000000"/>
      <w:bdr w:val="nil"/>
    </w:rPr>
  </w:style>
  <w:style w:type="paragraph" w:styleId="a3">
    <w:name w:val="Balloon Text"/>
    <w:basedOn w:val="a"/>
    <w:link w:val="Char"/>
    <w:rsid w:val="00264643"/>
    <w:rPr>
      <w:sz w:val="18"/>
      <w:szCs w:val="18"/>
    </w:rPr>
  </w:style>
  <w:style w:type="character" w:customStyle="1" w:styleId="Char">
    <w:name w:val="批注框文本 Char"/>
    <w:basedOn w:val="a0"/>
    <w:link w:val="a3"/>
    <w:rsid w:val="00264643"/>
    <w:rPr>
      <w:sz w:val="18"/>
      <w:szCs w:val="18"/>
    </w:rPr>
  </w:style>
  <w:style w:type="paragraph" w:styleId="a4">
    <w:name w:val="header"/>
    <w:basedOn w:val="a"/>
    <w:link w:val="Char0"/>
    <w:rsid w:val="00B96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638B"/>
    <w:rPr>
      <w:sz w:val="18"/>
      <w:szCs w:val="18"/>
    </w:rPr>
  </w:style>
  <w:style w:type="paragraph" w:styleId="a5">
    <w:name w:val="footer"/>
    <w:basedOn w:val="a"/>
    <w:link w:val="Char1"/>
    <w:uiPriority w:val="99"/>
    <w:rsid w:val="00B9638B"/>
    <w:pPr>
      <w:tabs>
        <w:tab w:val="center" w:pos="4153"/>
        <w:tab w:val="right" w:pos="8306"/>
      </w:tabs>
      <w:snapToGrid w:val="0"/>
    </w:pPr>
    <w:rPr>
      <w:sz w:val="18"/>
      <w:szCs w:val="18"/>
    </w:rPr>
  </w:style>
  <w:style w:type="character" w:customStyle="1" w:styleId="Char1">
    <w:name w:val="页脚 Char"/>
    <w:basedOn w:val="a0"/>
    <w:link w:val="a5"/>
    <w:uiPriority w:val="99"/>
    <w:rsid w:val="00B9638B"/>
    <w:rPr>
      <w:sz w:val="18"/>
      <w:szCs w:val="18"/>
    </w:rPr>
  </w:style>
  <w:style w:type="paragraph" w:styleId="a6">
    <w:name w:val="Revision"/>
    <w:hidden/>
    <w:uiPriority w:val="99"/>
    <w:semiHidden/>
    <w:rsid w:val="00E90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r29\Desktop\&#925;&#941;&#959;%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b="0" i="0" u="none" strike="noStrike" kern="1200" baseline="0">
                <a:solidFill>
                  <a:schemeClr val="dk1">
                    <a:lumMod val="65000"/>
                    <a:lumOff val="35000"/>
                  </a:schemeClr>
                </a:solidFill>
                <a:effectLst/>
                <a:latin typeface="+mn-lt"/>
                <a:ea typeface="+mn-ea"/>
                <a:cs typeface="+mn-cs"/>
              </a:defRPr>
            </a:pPr>
            <a:r>
              <a:rPr lang="en-US" sz="1600"/>
              <a:t>Percentage</a:t>
            </a:r>
            <a:r>
              <a:rPr lang="en-US" sz="1600" baseline="0"/>
              <a:t> of</a:t>
            </a:r>
            <a:r>
              <a:rPr lang="en-US" sz="1600"/>
              <a:t> anti-PF4/heparin antibodies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 anti-PF4/h antibodies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GB" sz="10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total</c:v>
                </c:pt>
                <c:pt idx="1">
                  <c:v>LMWH</c:v>
                </c:pt>
                <c:pt idx="2">
                  <c:v>Fondaparinux</c:v>
                </c:pt>
              </c:strCache>
            </c:strRef>
          </c:cat>
          <c:val>
            <c:numRef>
              <c:f>Sheet1!$B$2:$B$4</c:f>
              <c:numCache>
                <c:formatCode>General</c:formatCode>
                <c:ptCount val="3"/>
                <c:pt idx="0">
                  <c:v>9.2000000000000011</c:v>
                </c:pt>
                <c:pt idx="1">
                  <c:v>6.9</c:v>
                </c:pt>
                <c:pt idx="2">
                  <c:v>26.1</c:v>
                </c:pt>
              </c:numCache>
            </c:numRef>
          </c:val>
          <c:extLst xmlns:c16r2="http://schemas.microsoft.com/office/drawing/2015/06/chart">
            <c:ext xmlns:c16="http://schemas.microsoft.com/office/drawing/2014/chart" uri="{C3380CC4-5D6E-409C-BE32-E72D297353CC}">
              <c16:uniqueId val="{00000000-32DD-BD41-8F27-1331D74BF88F}"/>
            </c:ext>
          </c:extLst>
        </c:ser>
        <c:dLbls>
          <c:showLegendKey val="0"/>
          <c:showVal val="1"/>
          <c:showCatName val="0"/>
          <c:showSerName val="0"/>
          <c:showPercent val="0"/>
          <c:showBubbleSize val="0"/>
        </c:dLbls>
        <c:gapWidth val="41"/>
        <c:axId val="234718720"/>
        <c:axId val="250017280"/>
      </c:barChart>
      <c:catAx>
        <c:axId val="23471872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dk1">
                    <a:lumMod val="65000"/>
                    <a:lumOff val="35000"/>
                  </a:schemeClr>
                </a:solidFill>
                <a:effectLst/>
                <a:latin typeface="+mn-lt"/>
                <a:ea typeface="+mn-ea"/>
                <a:cs typeface="+mn-cs"/>
              </a:defRPr>
            </a:pPr>
            <a:endParaRPr lang="zh-CN"/>
          </a:p>
        </c:txPr>
        <c:crossAx val="250017280"/>
        <c:crosses val="autoZero"/>
        <c:auto val="1"/>
        <c:lblAlgn val="ctr"/>
        <c:lblOffset val="100"/>
        <c:noMultiLvlLbl val="0"/>
      </c:catAx>
      <c:valAx>
        <c:axId val="250017280"/>
        <c:scaling>
          <c:orientation val="minMax"/>
        </c:scaling>
        <c:delete val="1"/>
        <c:axPos val="l"/>
        <c:numFmt formatCode="General" sourceLinked="1"/>
        <c:majorTickMark val="none"/>
        <c:minorTickMark val="none"/>
        <c:tickLblPos val="nextTo"/>
        <c:crossAx val="23471872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6691</Words>
  <Characters>38143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2020-08-01T19:24:00Z</dcterms:created>
  <dcterms:modified xsi:type="dcterms:W3CDTF">2020-09-14T06:55:00Z</dcterms:modified>
</cp:coreProperties>
</file>