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10" w:rsidRDefault="00F64210" w:rsidP="00F64210">
      <w:pPr>
        <w:pStyle w:val="TableTitle"/>
      </w:pPr>
      <w:r w:rsidRPr="003F652A">
        <w:t xml:space="preserve">STROBE </w:t>
      </w:r>
      <w:r>
        <w:t>S</w:t>
      </w:r>
      <w:r w:rsidRPr="003F652A">
        <w:t xml:space="preserve">tatement—checklist of items that should be </w:t>
      </w:r>
      <w:r>
        <w:t xml:space="preserve">included </w:t>
      </w:r>
      <w:r w:rsidRPr="003F652A">
        <w:t>in r</w:t>
      </w:r>
      <w:r>
        <w:t>eports of observational studies</w:t>
      </w:r>
    </w:p>
    <w:p w:rsidR="00F64210" w:rsidRPr="003F652A" w:rsidRDefault="00F64210" w:rsidP="00F64210">
      <w:pPr>
        <w:pStyle w:val="TableTitle"/>
      </w:pPr>
    </w:p>
    <w:tbl>
      <w:tblPr>
        <w:tblW w:w="0" w:type="auto"/>
        <w:tblBorders>
          <w:insideH w:val="single" w:sz="4" w:space="0" w:color="auto"/>
        </w:tblBorders>
        <w:tblLook w:val="0000"/>
      </w:tblPr>
      <w:tblGrid>
        <w:gridCol w:w="2021"/>
        <w:gridCol w:w="661"/>
        <w:gridCol w:w="7175"/>
      </w:tblGrid>
      <w:tr w:rsidR="00F64210" w:rsidRPr="0022554A">
        <w:tc>
          <w:tcPr>
            <w:tcW w:w="0" w:type="auto"/>
          </w:tcPr>
          <w:p w:rsidR="00F64210" w:rsidRPr="0022554A" w:rsidRDefault="00F64210" w:rsidP="00F64210">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64210" w:rsidRPr="0022554A" w:rsidRDefault="00F64210" w:rsidP="00F64210">
            <w:pPr>
              <w:pStyle w:val="TableHeader"/>
              <w:tabs>
                <w:tab w:val="left" w:pos="5400"/>
              </w:tabs>
              <w:jc w:val="center"/>
              <w:rPr>
                <w:bCs/>
                <w:sz w:val="20"/>
              </w:rPr>
            </w:pPr>
            <w:r w:rsidRPr="0022554A">
              <w:rPr>
                <w:bCs/>
                <w:sz w:val="20"/>
              </w:rPr>
              <w:t>Item No</w:t>
            </w:r>
          </w:p>
        </w:tc>
        <w:tc>
          <w:tcPr>
            <w:tcW w:w="0" w:type="auto"/>
            <w:vAlign w:val="bottom"/>
          </w:tcPr>
          <w:p w:rsidR="00F64210" w:rsidRPr="0022554A" w:rsidRDefault="00F64210" w:rsidP="00F64210">
            <w:pPr>
              <w:pStyle w:val="TableHeader"/>
              <w:tabs>
                <w:tab w:val="left" w:pos="5400"/>
              </w:tabs>
              <w:jc w:val="center"/>
              <w:rPr>
                <w:bCs/>
                <w:sz w:val="20"/>
              </w:rPr>
            </w:pPr>
            <w:r w:rsidRPr="0022554A">
              <w:rPr>
                <w:bCs/>
                <w:sz w:val="20"/>
              </w:rPr>
              <w:t>Recommendation</w:t>
            </w:r>
          </w:p>
        </w:tc>
      </w:tr>
      <w:tr w:rsidR="00F64210" w:rsidRPr="0022554A">
        <w:tc>
          <w:tcPr>
            <w:tcW w:w="0" w:type="auto"/>
            <w:vMerge w:val="restart"/>
          </w:tcPr>
          <w:p w:rsidR="00F64210" w:rsidRPr="002602FB" w:rsidRDefault="00F64210" w:rsidP="00F64210">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64210" w:rsidRPr="0022554A" w:rsidRDefault="00F64210" w:rsidP="00F64210">
            <w:pPr>
              <w:tabs>
                <w:tab w:val="left" w:pos="5400"/>
              </w:tabs>
              <w:jc w:val="center"/>
              <w:rPr>
                <w:sz w:val="20"/>
              </w:rPr>
            </w:pPr>
            <w:r w:rsidRPr="0022554A">
              <w:rPr>
                <w:sz w:val="20"/>
              </w:rPr>
              <w:t>1</w:t>
            </w:r>
          </w:p>
        </w:tc>
        <w:tc>
          <w:tcPr>
            <w:tcW w:w="0" w:type="auto"/>
          </w:tcPr>
          <w:p w:rsidR="00F64210" w:rsidRPr="0022554A" w:rsidRDefault="00F64210" w:rsidP="00F64210">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Pr>
                <w:sz w:val="20"/>
              </w:rPr>
              <w:t xml:space="preserve">: </w:t>
            </w:r>
            <w:r w:rsidRPr="001F7C8F">
              <w:rPr>
                <w:color w:val="0000FF"/>
                <w:sz w:val="20"/>
              </w:rPr>
              <w:t xml:space="preserve">PROSPECTIVE </w:t>
            </w:r>
          </w:p>
        </w:tc>
      </w:tr>
      <w:tr w:rsidR="00F64210" w:rsidRPr="0022554A">
        <w:tc>
          <w:tcPr>
            <w:tcW w:w="0" w:type="auto"/>
            <w:vMerge/>
          </w:tcPr>
          <w:p w:rsidR="00F64210" w:rsidRPr="0022554A" w:rsidRDefault="00F64210" w:rsidP="00F64210">
            <w:pPr>
              <w:tabs>
                <w:tab w:val="left" w:pos="5400"/>
              </w:tabs>
              <w:rPr>
                <w:bCs/>
                <w:sz w:val="20"/>
              </w:rPr>
            </w:pPr>
            <w:bookmarkStart w:id="11" w:name="bold6" w:colFirst="0" w:colLast="0"/>
            <w:bookmarkStart w:id="12" w:name="italic7" w:colFirst="0" w:colLast="0"/>
          </w:p>
        </w:tc>
        <w:tc>
          <w:tcPr>
            <w:tcW w:w="0" w:type="auto"/>
            <w:vMerge/>
          </w:tcPr>
          <w:p w:rsidR="00F64210" w:rsidRPr="0022554A" w:rsidRDefault="00F64210" w:rsidP="00F64210">
            <w:pPr>
              <w:tabs>
                <w:tab w:val="left" w:pos="5400"/>
              </w:tabs>
              <w:jc w:val="center"/>
              <w:rPr>
                <w:sz w:val="20"/>
              </w:rPr>
            </w:pPr>
          </w:p>
        </w:tc>
        <w:tc>
          <w:tcPr>
            <w:tcW w:w="0" w:type="auto"/>
          </w:tcPr>
          <w:p w:rsidR="00F64210" w:rsidRDefault="00F64210" w:rsidP="00F64210">
            <w:pPr>
              <w:widowControl w:val="0"/>
              <w:autoSpaceDE w:val="0"/>
              <w:autoSpaceDN w:val="0"/>
              <w:adjustRightInd w:val="0"/>
              <w:spacing w:line="480" w:lineRule="auto"/>
              <w:rPr>
                <w:sz w:val="20"/>
                <w:lang w:val="el-GR"/>
              </w:rPr>
            </w:pPr>
            <w:r w:rsidRPr="0022554A">
              <w:rPr>
                <w:sz w:val="20"/>
              </w:rPr>
              <w:t>(</w:t>
            </w:r>
            <w:r w:rsidRPr="0022554A">
              <w:rPr>
                <w:i/>
                <w:sz w:val="20"/>
              </w:rPr>
              <w:t>b</w:t>
            </w:r>
            <w:r w:rsidRPr="0022554A">
              <w:rPr>
                <w:sz w:val="20"/>
              </w:rPr>
              <w:t>) Provide in the abstract an informative and balanced summary of what was done and what was found</w:t>
            </w:r>
          </w:p>
          <w:p w:rsidR="004B2F1E" w:rsidRPr="004B2F1E" w:rsidRDefault="004B2F1E" w:rsidP="00F64210">
            <w:pPr>
              <w:widowControl w:val="0"/>
              <w:autoSpaceDE w:val="0"/>
              <w:autoSpaceDN w:val="0"/>
              <w:adjustRightInd w:val="0"/>
              <w:spacing w:line="480" w:lineRule="auto"/>
              <w:rPr>
                <w:color w:val="0070C0"/>
                <w:sz w:val="20"/>
                <w:lang w:val="en-US"/>
              </w:rPr>
            </w:pPr>
            <w:r w:rsidRPr="004B2F1E">
              <w:rPr>
                <w:color w:val="0070C0"/>
                <w:sz w:val="20"/>
                <w:lang w:val="en-US"/>
              </w:rPr>
              <w:t>PAGES 1-3</w:t>
            </w:r>
          </w:p>
          <w:p w:rsidR="00F64210" w:rsidRPr="001F7C8F" w:rsidRDefault="00F64210" w:rsidP="00F64210">
            <w:pPr>
              <w:widowControl w:val="0"/>
              <w:autoSpaceDE w:val="0"/>
              <w:autoSpaceDN w:val="0"/>
              <w:adjustRightInd w:val="0"/>
              <w:spacing w:line="240" w:lineRule="auto"/>
              <w:rPr>
                <w:color w:val="0000FF"/>
                <w:lang w:val="en-US"/>
              </w:rPr>
            </w:pPr>
            <w:r w:rsidRPr="00CD3F32">
              <w:rPr>
                <w:b/>
                <w:color w:val="0000FF"/>
                <w:sz w:val="20"/>
              </w:rPr>
              <w:t>IN THE ABSTRACT THE FOLL</w:t>
            </w:r>
            <w:r>
              <w:rPr>
                <w:b/>
                <w:color w:val="0000FF"/>
                <w:sz w:val="20"/>
              </w:rPr>
              <w:t>O</w:t>
            </w:r>
            <w:r w:rsidRPr="00CD3F32">
              <w:rPr>
                <w:b/>
                <w:color w:val="0000FF"/>
                <w:sz w:val="20"/>
              </w:rPr>
              <w:t>WING SECTIONS ARE FOUND</w:t>
            </w:r>
            <w:r w:rsidRPr="00CD3F32">
              <w:rPr>
                <w:color w:val="0000FF"/>
                <w:sz w:val="20"/>
              </w:rPr>
              <w:t xml:space="preserve">: </w:t>
            </w:r>
            <w:r w:rsidRPr="001F7C8F">
              <w:rPr>
                <w:b/>
                <w:color w:val="0000FF"/>
                <w:lang w:val="en-US"/>
              </w:rPr>
              <w:t>Design:</w:t>
            </w:r>
            <w:r w:rsidRPr="001F7C8F">
              <w:rPr>
                <w:color w:val="0000FF"/>
                <w:lang w:val="en-US"/>
              </w:rPr>
              <w:t xml:space="preserve"> In 212 consecutive patients undergoing primary hip/knee arthroplasties for osteoarthritis, platelet counts and anti-PF4/heparin antibodies were evaluated pre- and post-operatively, while MTHFR, and factors II, V gene mutations were detected preoperatively. In 3 years minimum follow-up 196 patients were monitored for thrombosis development.</w:t>
            </w:r>
          </w:p>
          <w:p w:rsidR="00F64210" w:rsidRPr="001F7C8F" w:rsidRDefault="00F64210" w:rsidP="00F64210">
            <w:pPr>
              <w:spacing w:line="240" w:lineRule="auto"/>
              <w:rPr>
                <w:color w:val="0000FF"/>
                <w:lang w:val="en-US"/>
              </w:rPr>
            </w:pPr>
            <w:r w:rsidRPr="001F7C8F">
              <w:rPr>
                <w:b/>
                <w:color w:val="0000FF"/>
                <w:lang w:val="en-US"/>
              </w:rPr>
              <w:t>Results:</w:t>
            </w:r>
            <w:r w:rsidRPr="001F7C8F">
              <w:rPr>
                <w:color w:val="0000FF"/>
                <w:lang w:val="en-US"/>
              </w:rPr>
              <w:t xml:space="preserve"> From 196 patients 32 developed thrombocytopenia (insignificant correlation between anticoagulant and thrombocytopenia), 18 developed anti-PF4/heparin antibodies (12/173 for LMWH and 6/23 for fondaparinux – a significant correlation between the anticoagulant and antibodies formation was noted, p=0.005), 4 patients developed HIT (insignificant correlation between thrombocytopenia and antibodies), and 15 had factors II or V mutations. Five patients developed thrombosis: two had positive anti-PF4/heparin antibodies and two were heterozygotes for both factor II and V mutations. Thrombosis was not significantly correlated to platelet counts or HIT. The correlation of thrombosis to anti-PF4/heparin antibodies approached significance (p=0.076), and a significant correlation was found between thrombosis and factors II (p=0.043) and V (p=0.013).</w:t>
            </w:r>
          </w:p>
          <w:p w:rsidR="00F64210" w:rsidRPr="0022554A" w:rsidRDefault="00F64210" w:rsidP="00F64210">
            <w:pPr>
              <w:tabs>
                <w:tab w:val="left" w:pos="5400"/>
              </w:tabs>
              <w:rPr>
                <w:sz w:val="20"/>
              </w:rPr>
            </w:pPr>
          </w:p>
        </w:tc>
      </w:tr>
      <w:tr w:rsidR="00F64210" w:rsidRPr="0022554A">
        <w:tc>
          <w:tcPr>
            <w:tcW w:w="0" w:type="auto"/>
            <w:gridSpan w:val="3"/>
          </w:tcPr>
          <w:p w:rsidR="00F64210" w:rsidRPr="0022554A" w:rsidRDefault="00F64210" w:rsidP="00F64210">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64210" w:rsidRPr="0022554A">
        <w:tc>
          <w:tcPr>
            <w:tcW w:w="0" w:type="auto"/>
          </w:tcPr>
          <w:p w:rsidR="00F64210" w:rsidRPr="0022554A" w:rsidRDefault="00F64210" w:rsidP="00F64210">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64210" w:rsidRPr="0022554A" w:rsidRDefault="00F64210" w:rsidP="00F64210">
            <w:pPr>
              <w:tabs>
                <w:tab w:val="left" w:pos="5400"/>
              </w:tabs>
              <w:jc w:val="center"/>
              <w:rPr>
                <w:sz w:val="20"/>
              </w:rPr>
            </w:pPr>
            <w:r w:rsidRPr="0022554A">
              <w:rPr>
                <w:sz w:val="20"/>
              </w:rPr>
              <w:t>2</w:t>
            </w:r>
          </w:p>
        </w:tc>
        <w:tc>
          <w:tcPr>
            <w:tcW w:w="0" w:type="auto"/>
          </w:tcPr>
          <w:p w:rsidR="00F64210" w:rsidRDefault="00F64210" w:rsidP="00F64210">
            <w:pPr>
              <w:widowControl w:val="0"/>
              <w:autoSpaceDE w:val="0"/>
              <w:autoSpaceDN w:val="0"/>
              <w:adjustRightInd w:val="0"/>
              <w:spacing w:line="480" w:lineRule="auto"/>
              <w:ind w:firstLine="357"/>
              <w:rPr>
                <w:sz w:val="20"/>
              </w:rPr>
            </w:pPr>
            <w:r w:rsidRPr="0022554A">
              <w:rPr>
                <w:sz w:val="20"/>
              </w:rPr>
              <w:t>Explain the scientific background and rationale for the investigation being reported</w:t>
            </w:r>
            <w:r>
              <w:rPr>
                <w:sz w:val="20"/>
              </w:rPr>
              <w:t xml:space="preserve"> </w:t>
            </w:r>
          </w:p>
          <w:p w:rsidR="00F64210" w:rsidRPr="00AB1217" w:rsidRDefault="00863405" w:rsidP="00F64210">
            <w:pPr>
              <w:widowControl w:val="0"/>
              <w:autoSpaceDE w:val="0"/>
              <w:autoSpaceDN w:val="0"/>
              <w:adjustRightInd w:val="0"/>
              <w:spacing w:line="240" w:lineRule="auto"/>
              <w:rPr>
                <w:rFonts w:cs="Verdana"/>
                <w:color w:val="0000FF"/>
                <w:sz w:val="20"/>
              </w:rPr>
            </w:pPr>
            <w:r>
              <w:rPr>
                <w:b/>
                <w:color w:val="0000FF"/>
                <w:sz w:val="20"/>
              </w:rPr>
              <w:t>PAGE 4</w:t>
            </w:r>
            <w:r w:rsidR="00F64210" w:rsidRPr="00AB1217">
              <w:rPr>
                <w:b/>
                <w:color w:val="0000FF"/>
                <w:sz w:val="20"/>
              </w:rPr>
              <w:t>:</w:t>
            </w:r>
            <w:r w:rsidR="00F64210" w:rsidRPr="00AB1217">
              <w:rPr>
                <w:color w:val="0000FF"/>
                <w:sz w:val="20"/>
              </w:rPr>
              <w:t xml:space="preserve"> </w:t>
            </w:r>
            <w:r w:rsidR="00F64210" w:rsidRPr="00AB1217">
              <w:rPr>
                <w:color w:val="0000FF"/>
                <w:lang w:val="en-US"/>
              </w:rPr>
              <w:t>Total joint arthroplasties are associated with a percentage of proximal deep vein thrombosis of 1.5%</w:t>
            </w:r>
            <w:r w:rsidR="004B2F1E">
              <w:rPr>
                <w:color w:val="0000FF"/>
                <w:lang w:val="en-US"/>
              </w:rPr>
              <w:t xml:space="preserve"> and pulmonary embolism of 1% [</w:t>
            </w:r>
            <w:r w:rsidR="00D2625E">
              <w:rPr>
                <w:color w:val="0000FF"/>
                <w:lang w:val="en-US"/>
              </w:rPr>
              <w:t>1,</w:t>
            </w:r>
            <w:r w:rsidR="004B2F1E">
              <w:rPr>
                <w:color w:val="0000FF"/>
                <w:lang w:val="en-US"/>
              </w:rPr>
              <w:t>3</w:t>
            </w:r>
            <w:r w:rsidR="00F64210" w:rsidRPr="00AB1217">
              <w:rPr>
                <w:color w:val="0000FF"/>
                <w:lang w:val="en-US"/>
              </w:rPr>
              <w:t xml:space="preserve">]. Apart of the factors related to surgery and the decreased mobility after major joint (hip and knee) arhtroplasties [2], mutations </w:t>
            </w:r>
            <w:r w:rsidR="00F64210" w:rsidRPr="00AB1217">
              <w:rPr>
                <w:rFonts w:cs="AdvP7C2E"/>
                <w:color w:val="0000FF"/>
                <w:szCs w:val="24"/>
                <w:lang w:val="en-US"/>
              </w:rPr>
              <w:t>in genes that encode for blood coagulation factors V (FV Leide</w:t>
            </w:r>
            <w:r w:rsidR="004B2F1E">
              <w:rPr>
                <w:rFonts w:cs="AdvP7C2E"/>
                <w:color w:val="0000FF"/>
                <w:szCs w:val="24"/>
                <w:lang w:val="en-US"/>
              </w:rPr>
              <w:t>n) and II (Prothrombin 20210) [13</w:t>
            </w:r>
            <w:r w:rsidR="00F64210" w:rsidRPr="00AB1217">
              <w:rPr>
                <w:rFonts w:cs="AdvP7C2E"/>
                <w:color w:val="0000FF"/>
                <w:szCs w:val="24"/>
                <w:lang w:val="en-US"/>
              </w:rPr>
              <w:t>], polymorphisms in genes involved in the metabolism of homocysteine (5,10 methylenetetrahydrofolate reductase [MTHFR] 677C</w:t>
            </w:r>
            <w:r w:rsidR="00F64210" w:rsidRPr="00AB1217">
              <w:rPr>
                <w:rFonts w:cs="AdvP4C4E51"/>
                <w:color w:val="0000FF"/>
                <w:szCs w:val="24"/>
                <w:lang w:val="en-US"/>
              </w:rPr>
              <w:t>/</w:t>
            </w:r>
            <w:r w:rsidR="00F64210" w:rsidRPr="00AB1217">
              <w:rPr>
                <w:rFonts w:cs="AdvP7C2E"/>
                <w:color w:val="0000FF"/>
                <w:szCs w:val="24"/>
                <w:lang w:val="en-US"/>
              </w:rPr>
              <w:t>T)</w:t>
            </w:r>
            <w:r w:rsidR="00F64210" w:rsidRPr="00AB1217">
              <w:rPr>
                <w:color w:val="0000FF"/>
                <w:lang w:val="en-US"/>
              </w:rPr>
              <w:t>, and immune-reactions related to anticoagulants (heparin-induced thrombocytopenia [HIT] and thrombosis) may also be responsible for potentiall</w:t>
            </w:r>
            <w:r w:rsidR="004B2F1E">
              <w:rPr>
                <w:color w:val="0000FF"/>
                <w:lang w:val="en-US"/>
              </w:rPr>
              <w:t>y lethal thrombotic phenomena [13-16</w:t>
            </w:r>
            <w:r w:rsidR="00F64210" w:rsidRPr="00AB1217">
              <w:rPr>
                <w:color w:val="0000FF"/>
                <w:lang w:val="en-US"/>
              </w:rPr>
              <w:t>]. After orthopaedic surgery, the incidence of HIT appears particularly high [5]. The timely recognition of these factors may contribute to the decrease of thrombotic episodes after major joint arthroplasties.</w:t>
            </w:r>
          </w:p>
          <w:p w:rsidR="00F64210" w:rsidRPr="0022554A" w:rsidRDefault="00F64210" w:rsidP="00F64210">
            <w:pPr>
              <w:tabs>
                <w:tab w:val="left" w:pos="5400"/>
              </w:tabs>
              <w:rPr>
                <w:sz w:val="20"/>
              </w:rPr>
            </w:pPr>
          </w:p>
        </w:tc>
      </w:tr>
      <w:tr w:rsidR="00F64210" w:rsidRPr="0022554A">
        <w:tc>
          <w:tcPr>
            <w:tcW w:w="0" w:type="auto"/>
          </w:tcPr>
          <w:p w:rsidR="00F64210" w:rsidRPr="0022554A" w:rsidRDefault="00F64210" w:rsidP="00F64210">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64210" w:rsidRPr="0022554A" w:rsidRDefault="00F64210" w:rsidP="00F64210">
            <w:pPr>
              <w:tabs>
                <w:tab w:val="left" w:pos="5400"/>
              </w:tabs>
              <w:jc w:val="center"/>
              <w:rPr>
                <w:sz w:val="20"/>
              </w:rPr>
            </w:pPr>
            <w:r w:rsidRPr="0022554A">
              <w:rPr>
                <w:sz w:val="20"/>
              </w:rPr>
              <w:t>3</w:t>
            </w:r>
          </w:p>
        </w:tc>
        <w:tc>
          <w:tcPr>
            <w:tcW w:w="0" w:type="auto"/>
          </w:tcPr>
          <w:p w:rsidR="00F64210" w:rsidRDefault="00F64210" w:rsidP="00F64210">
            <w:pPr>
              <w:autoSpaceDE w:val="0"/>
              <w:autoSpaceDN w:val="0"/>
              <w:adjustRightInd w:val="0"/>
              <w:spacing w:line="480" w:lineRule="auto"/>
              <w:ind w:firstLine="357"/>
              <w:rPr>
                <w:sz w:val="20"/>
              </w:rPr>
            </w:pPr>
            <w:r w:rsidRPr="0022554A">
              <w:rPr>
                <w:sz w:val="20"/>
              </w:rPr>
              <w:t>State specific objectives, including any prespecified hypotheses</w:t>
            </w:r>
          </w:p>
          <w:p w:rsidR="00F64210" w:rsidRPr="0011384A" w:rsidRDefault="00863405" w:rsidP="00F64210">
            <w:pPr>
              <w:autoSpaceDE w:val="0"/>
              <w:autoSpaceDN w:val="0"/>
              <w:adjustRightInd w:val="0"/>
              <w:spacing w:line="240" w:lineRule="auto"/>
              <w:rPr>
                <w:rFonts w:cs="AdvP7C2E"/>
                <w:szCs w:val="24"/>
                <w:lang w:val="en-US"/>
              </w:rPr>
            </w:pPr>
            <w:r>
              <w:rPr>
                <w:b/>
                <w:color w:val="0000FF"/>
                <w:sz w:val="20"/>
              </w:rPr>
              <w:lastRenderedPageBreak/>
              <w:t>PAGE 6</w:t>
            </w:r>
            <w:r w:rsidR="00F64210" w:rsidRPr="006E2CBA">
              <w:rPr>
                <w:b/>
                <w:color w:val="0000FF"/>
                <w:sz w:val="20"/>
              </w:rPr>
              <w:t>:</w:t>
            </w:r>
            <w:r w:rsidR="00F64210" w:rsidRPr="006E2CBA">
              <w:rPr>
                <w:color w:val="0000FF"/>
                <w:sz w:val="20"/>
              </w:rPr>
              <w:t xml:space="preserve"> </w:t>
            </w:r>
            <w:r w:rsidR="00F64210" w:rsidRPr="006E2CBA">
              <w:rPr>
                <w:color w:val="0000FF"/>
                <w:lang w:val="en-US"/>
              </w:rPr>
              <w:t>The aim of the this prospective study is to evaluate the prevalence of factors, related to patients genetic profile and to the specific anticoagulants (LMWH or fondaparinux), in the development of a thrombotic episode after major joint arthroplasty for hip or knee osteoarthritis.  The influence of different types of anticoagulation on platelet counts, anti-PF4/heparin antibodies and thrombotic episodes and the influence of MTHFR, FII, and FV mutations on thrombotic episodes are evaluated.</w:t>
            </w:r>
          </w:p>
          <w:p w:rsidR="00F64210" w:rsidRPr="0022554A" w:rsidRDefault="00F64210" w:rsidP="00F64210">
            <w:pPr>
              <w:tabs>
                <w:tab w:val="left" w:pos="5400"/>
              </w:tabs>
              <w:rPr>
                <w:sz w:val="20"/>
              </w:rPr>
            </w:pPr>
          </w:p>
        </w:tc>
      </w:tr>
      <w:tr w:rsidR="00F64210" w:rsidRPr="0022554A">
        <w:tc>
          <w:tcPr>
            <w:tcW w:w="0" w:type="auto"/>
            <w:gridSpan w:val="3"/>
          </w:tcPr>
          <w:p w:rsidR="00F64210" w:rsidRPr="0022554A" w:rsidRDefault="00F64210" w:rsidP="00F64210">
            <w:pPr>
              <w:pStyle w:val="TableSubHead"/>
              <w:tabs>
                <w:tab w:val="left" w:pos="5400"/>
              </w:tabs>
              <w:rPr>
                <w:sz w:val="20"/>
              </w:rPr>
            </w:pPr>
            <w:bookmarkStart w:id="21" w:name="bold11"/>
            <w:bookmarkStart w:id="22" w:name="italic12"/>
            <w:bookmarkEnd w:id="19"/>
            <w:bookmarkEnd w:id="20"/>
            <w:r w:rsidRPr="0022554A">
              <w:rPr>
                <w:sz w:val="20"/>
              </w:rPr>
              <w:lastRenderedPageBreak/>
              <w:t>Methods</w:t>
            </w:r>
            <w:bookmarkEnd w:id="21"/>
            <w:bookmarkEnd w:id="22"/>
          </w:p>
        </w:tc>
      </w:tr>
      <w:tr w:rsidR="00F64210" w:rsidRPr="0022554A">
        <w:tc>
          <w:tcPr>
            <w:tcW w:w="0" w:type="auto"/>
          </w:tcPr>
          <w:p w:rsidR="00F64210" w:rsidRPr="0022554A" w:rsidRDefault="00F64210" w:rsidP="00F64210">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64210" w:rsidRPr="0022554A" w:rsidRDefault="00F64210" w:rsidP="00F64210">
            <w:pPr>
              <w:tabs>
                <w:tab w:val="left" w:pos="5400"/>
              </w:tabs>
              <w:jc w:val="center"/>
              <w:rPr>
                <w:sz w:val="20"/>
              </w:rPr>
            </w:pPr>
            <w:r w:rsidRPr="0022554A">
              <w:rPr>
                <w:sz w:val="20"/>
              </w:rPr>
              <w:t>4</w:t>
            </w:r>
          </w:p>
        </w:tc>
        <w:tc>
          <w:tcPr>
            <w:tcW w:w="0" w:type="auto"/>
          </w:tcPr>
          <w:p w:rsidR="00F64210" w:rsidRDefault="00F64210" w:rsidP="00F64210">
            <w:pPr>
              <w:tabs>
                <w:tab w:val="left" w:pos="5400"/>
              </w:tabs>
              <w:rPr>
                <w:sz w:val="20"/>
              </w:rPr>
            </w:pPr>
            <w:r w:rsidRPr="0022554A">
              <w:rPr>
                <w:sz w:val="20"/>
              </w:rPr>
              <w:t>Present key elements of study design early in the paper</w:t>
            </w:r>
          </w:p>
          <w:p w:rsidR="00F64210" w:rsidRPr="00AB1217" w:rsidRDefault="00863405" w:rsidP="00F64210">
            <w:pPr>
              <w:pStyle w:val="Heading3"/>
              <w:numPr>
                <w:ilvl w:val="0"/>
                <w:numId w:val="0"/>
              </w:numPr>
              <w:rPr>
                <w:rFonts w:ascii="Times New Roman" w:hAnsi="Times New Roman"/>
                <w:color w:val="0000FF"/>
                <w:lang w:val="en-US"/>
              </w:rPr>
            </w:pPr>
            <w:r>
              <w:rPr>
                <w:rFonts w:ascii="Times New Roman" w:hAnsi="Times New Roman"/>
                <w:b/>
                <w:color w:val="0000FF"/>
                <w:sz w:val="20"/>
              </w:rPr>
              <w:t>PAGE 6</w:t>
            </w:r>
            <w:r w:rsidR="00F64210" w:rsidRPr="00AB1217">
              <w:rPr>
                <w:rFonts w:ascii="Times New Roman" w:hAnsi="Times New Roman"/>
                <w:b/>
                <w:color w:val="0000FF"/>
                <w:sz w:val="20"/>
              </w:rPr>
              <w:t>:</w:t>
            </w:r>
            <w:r w:rsidR="00F64210" w:rsidRPr="00AB1217">
              <w:rPr>
                <w:rFonts w:ascii="Times New Roman" w:hAnsi="Times New Roman"/>
                <w:color w:val="0000FF"/>
                <w:sz w:val="20"/>
              </w:rPr>
              <w:t xml:space="preserve"> </w:t>
            </w:r>
            <w:r w:rsidR="00F64210" w:rsidRPr="00AB1217">
              <w:rPr>
                <w:rFonts w:ascii="Times New Roman" w:hAnsi="Times New Roman"/>
                <w:color w:val="0000FF"/>
                <w:lang w:val="en-US"/>
              </w:rPr>
              <w:t xml:space="preserve">Two hundred twelve consecutive patients that underwent primary total hip or knee arthroplasty due to osteoarthritis during a period of nine months were enrolled prospectively in the study that was approved from the hospital’s ethical committee. Patients with previous thrombotic events were excluded from this study. </w:t>
            </w:r>
          </w:p>
          <w:p w:rsidR="00F64210" w:rsidRPr="0022554A" w:rsidRDefault="00F64210" w:rsidP="00F64210">
            <w:pPr>
              <w:tabs>
                <w:tab w:val="left" w:pos="5400"/>
              </w:tabs>
              <w:spacing w:line="240" w:lineRule="auto"/>
              <w:rPr>
                <w:sz w:val="20"/>
              </w:rPr>
            </w:pPr>
          </w:p>
        </w:tc>
      </w:tr>
      <w:tr w:rsidR="00F64210" w:rsidRPr="0022554A">
        <w:tc>
          <w:tcPr>
            <w:tcW w:w="0" w:type="auto"/>
          </w:tcPr>
          <w:p w:rsidR="00F64210" w:rsidRPr="0022554A" w:rsidRDefault="00F64210" w:rsidP="00F64210">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64210" w:rsidRPr="0022554A" w:rsidRDefault="00F64210" w:rsidP="00F64210">
            <w:pPr>
              <w:tabs>
                <w:tab w:val="left" w:pos="5400"/>
              </w:tabs>
              <w:jc w:val="center"/>
              <w:rPr>
                <w:sz w:val="20"/>
              </w:rPr>
            </w:pPr>
            <w:r w:rsidRPr="0022554A">
              <w:rPr>
                <w:sz w:val="20"/>
              </w:rPr>
              <w:t>5</w:t>
            </w:r>
          </w:p>
        </w:tc>
        <w:tc>
          <w:tcPr>
            <w:tcW w:w="0" w:type="auto"/>
          </w:tcPr>
          <w:p w:rsidR="00F64210" w:rsidRPr="00904822" w:rsidRDefault="00F64210" w:rsidP="00F64210">
            <w:pPr>
              <w:tabs>
                <w:tab w:val="left" w:pos="5400"/>
              </w:tabs>
              <w:spacing w:line="240" w:lineRule="auto"/>
              <w:rPr>
                <w:sz w:val="20"/>
              </w:rPr>
            </w:pPr>
            <w:r w:rsidRPr="00904822">
              <w:rPr>
                <w:sz w:val="20"/>
              </w:rPr>
              <w:t>Describe the setting, locations, and relevant dates, including periods of recruitment, exposure, follow-up, and data collection</w:t>
            </w:r>
          </w:p>
          <w:p w:rsidR="00F64210" w:rsidRPr="00AB1217" w:rsidRDefault="00863405" w:rsidP="00F64210">
            <w:pPr>
              <w:pStyle w:val="Heading3"/>
              <w:numPr>
                <w:ilvl w:val="0"/>
                <w:numId w:val="0"/>
              </w:numPr>
              <w:rPr>
                <w:rFonts w:ascii="Times New Roman" w:hAnsi="Times New Roman"/>
                <w:color w:val="0000FF"/>
                <w:lang w:val="en-US"/>
              </w:rPr>
            </w:pPr>
            <w:r>
              <w:rPr>
                <w:rFonts w:ascii="Times New Roman" w:hAnsi="Times New Roman"/>
                <w:b/>
                <w:color w:val="0000FF"/>
                <w:sz w:val="20"/>
              </w:rPr>
              <w:t>PAGE 6-7</w:t>
            </w:r>
            <w:r w:rsidR="00F64210" w:rsidRPr="00ED3F97">
              <w:rPr>
                <w:rFonts w:ascii="Times New Roman" w:hAnsi="Times New Roman"/>
                <w:b/>
                <w:color w:val="0000FF"/>
                <w:sz w:val="20"/>
              </w:rPr>
              <w:t>:</w:t>
            </w:r>
            <w:r w:rsidR="00F64210" w:rsidRPr="00996228">
              <w:rPr>
                <w:rFonts w:ascii="Times New Roman" w:hAnsi="Times New Roman"/>
                <w:color w:val="0000FF"/>
                <w:lang w:val="en-US"/>
              </w:rPr>
              <w:t xml:space="preserve"> </w:t>
            </w:r>
            <w:r w:rsidR="00F64210" w:rsidRPr="00AB1217">
              <w:rPr>
                <w:rFonts w:ascii="Times New Roman" w:hAnsi="Times New Roman"/>
                <w:color w:val="0000FF"/>
                <w:lang w:val="en-US"/>
              </w:rPr>
              <w:t>Two hundred twelve consecutive patients that underwent primary total hip or knee arthroplasty due to osteoa</w:t>
            </w:r>
            <w:r>
              <w:rPr>
                <w:rFonts w:ascii="Times New Roman" w:hAnsi="Times New Roman"/>
                <w:color w:val="0000FF"/>
                <w:lang w:val="en-US"/>
              </w:rPr>
              <w:t>rthritis during a period of 12</w:t>
            </w:r>
            <w:r w:rsidR="00F64210" w:rsidRPr="00AB1217">
              <w:rPr>
                <w:rFonts w:ascii="Times New Roman" w:hAnsi="Times New Roman"/>
                <w:color w:val="0000FF"/>
                <w:lang w:val="en-US"/>
              </w:rPr>
              <w:t xml:space="preserve"> months were enrolled prospectively in the study </w:t>
            </w:r>
            <w:r w:rsidR="00F64210">
              <w:rPr>
                <w:rFonts w:ascii="Times New Roman" w:hAnsi="Times New Roman"/>
                <w:color w:val="0000FF"/>
                <w:lang w:val="en-US"/>
              </w:rPr>
              <w:t>…..</w:t>
            </w:r>
          </w:p>
          <w:p w:rsidR="00F64210" w:rsidRDefault="00F64210" w:rsidP="00F64210">
            <w:pPr>
              <w:widowControl w:val="0"/>
              <w:autoSpaceDE w:val="0"/>
              <w:autoSpaceDN w:val="0"/>
              <w:adjustRightInd w:val="0"/>
              <w:spacing w:line="240" w:lineRule="auto"/>
              <w:ind w:firstLine="357"/>
              <w:rPr>
                <w:color w:val="0000FF"/>
                <w:lang w:val="en-US"/>
              </w:rPr>
            </w:pPr>
            <w:r w:rsidRPr="00AB1217">
              <w:rPr>
                <w:color w:val="0000FF"/>
                <w:lang w:val="en-US"/>
              </w:rPr>
              <w:t xml:space="preserve">Platelet counts were obtained from all patients preoperatively and daily for the first seven postoperative days, and at the 20th and 60th postoperative days, while the presence of anti-PF4/heparin antibodies was evaluated with an immunoassay during the preoperative check and at the 3rd, 7th, 20th and 60th postoperative days </w:t>
            </w:r>
            <w:r>
              <w:rPr>
                <w:color w:val="0000FF"/>
                <w:lang w:val="en-US"/>
              </w:rPr>
              <w:t>…….</w:t>
            </w:r>
            <w:r w:rsidRPr="00AB1217">
              <w:rPr>
                <w:color w:val="0000FF"/>
                <w:lang w:val="en-US"/>
              </w:rPr>
              <w:t xml:space="preserve"> Finally protein C, protein S, von Willebrand factor (vWF), Lupus Anticoagulant (LA), Antithrombin III (AT III), 677C/T mutation of MTHFR gene, factor V Leiden (G/A) and prothrombin gene G20210A mutations were detected. Genomic DNA was extracted from fresh blood using </w:t>
            </w:r>
            <w:r>
              <w:rPr>
                <w:color w:val="0000FF"/>
                <w:lang w:val="en-US"/>
              </w:rPr>
              <w:t>…...</w:t>
            </w:r>
            <w:r w:rsidRPr="00AB1217">
              <w:rPr>
                <w:color w:val="0000FF"/>
                <w:lang w:val="en-US"/>
              </w:rPr>
              <w:t>.</w:t>
            </w:r>
            <w:r w:rsidRPr="00996228">
              <w:rPr>
                <w:color w:val="0000FF"/>
                <w:lang w:val="en-US"/>
              </w:rPr>
              <w:t xml:space="preserve"> </w:t>
            </w:r>
          </w:p>
          <w:p w:rsidR="00F64210" w:rsidRDefault="00F64210" w:rsidP="00F64210">
            <w:pPr>
              <w:widowControl w:val="0"/>
              <w:autoSpaceDE w:val="0"/>
              <w:autoSpaceDN w:val="0"/>
              <w:adjustRightInd w:val="0"/>
              <w:spacing w:line="240" w:lineRule="auto"/>
              <w:ind w:firstLine="357"/>
              <w:rPr>
                <w:color w:val="0000FF"/>
                <w:lang w:val="en-US"/>
              </w:rPr>
            </w:pPr>
            <w:r w:rsidRPr="00AB1217">
              <w:rPr>
                <w:color w:val="0000FF"/>
                <w:lang w:val="en-US"/>
              </w:rPr>
              <w:t xml:space="preserve">All patients received anticoagulation for a total of 6 weeks, according to surgeon’s preference. </w:t>
            </w:r>
            <w:r>
              <w:rPr>
                <w:color w:val="0000FF"/>
                <w:lang w:val="en-US"/>
              </w:rPr>
              <w:t>……….</w:t>
            </w:r>
          </w:p>
          <w:p w:rsidR="00F64210" w:rsidRPr="00996228" w:rsidRDefault="00F64210" w:rsidP="00F64210">
            <w:pPr>
              <w:widowControl w:val="0"/>
              <w:autoSpaceDE w:val="0"/>
              <w:autoSpaceDN w:val="0"/>
              <w:adjustRightInd w:val="0"/>
              <w:spacing w:line="240" w:lineRule="auto"/>
              <w:ind w:firstLine="357"/>
              <w:rPr>
                <w:color w:val="0000FF"/>
                <w:lang w:val="en-US"/>
              </w:rPr>
            </w:pPr>
            <w:r w:rsidRPr="00996228">
              <w:rPr>
                <w:color w:val="0000FF"/>
                <w:lang w:val="en-US"/>
              </w:rPr>
              <w:t>All patients were followed for a minimum period of 3 years (36-44 months). Sixteen patients were lost to follow up and excluded from the study and thus 196 patients remained to the final follow-up…..Patients were monitored clinically for the development of arterial or venous thrombotic events, such as deep venous thrombosis (DVT), pulmonary embolism (PE), cerebrovascular accident, and myocardial infarction (MI). In suspicion of a thrombotic event the necessary examinations (triplex, pulmonary ventilation/perfusion scan) were performed, to rule out or to confirm the thrombotic incident.</w:t>
            </w:r>
          </w:p>
          <w:p w:rsidR="00F64210" w:rsidRPr="00996228" w:rsidRDefault="00F64210" w:rsidP="00F64210">
            <w:pPr>
              <w:tabs>
                <w:tab w:val="left" w:pos="5400"/>
              </w:tabs>
              <w:spacing w:line="240" w:lineRule="auto"/>
              <w:rPr>
                <w:color w:val="0000FF"/>
                <w:lang w:val="en-US"/>
              </w:rPr>
            </w:pPr>
          </w:p>
        </w:tc>
      </w:tr>
      <w:bookmarkEnd w:id="25"/>
      <w:bookmarkEnd w:id="26"/>
      <w:tr w:rsidR="00F64210" w:rsidRPr="0022554A">
        <w:tc>
          <w:tcPr>
            <w:tcW w:w="0" w:type="auto"/>
            <w:vMerge w:val="restart"/>
          </w:tcPr>
          <w:p w:rsidR="00F64210" w:rsidRPr="0022554A" w:rsidRDefault="00F64210" w:rsidP="00F64210">
            <w:pPr>
              <w:tabs>
                <w:tab w:val="left" w:pos="5400"/>
              </w:tabs>
              <w:rPr>
                <w:bCs/>
                <w:sz w:val="20"/>
              </w:rPr>
            </w:pPr>
            <w:r w:rsidRPr="0022554A">
              <w:rPr>
                <w:bCs/>
                <w:sz w:val="20"/>
              </w:rPr>
              <w:t>Participants</w:t>
            </w:r>
          </w:p>
        </w:tc>
        <w:tc>
          <w:tcPr>
            <w:tcW w:w="0" w:type="auto"/>
            <w:vMerge w:val="restart"/>
          </w:tcPr>
          <w:p w:rsidR="00F64210" w:rsidRPr="0022554A" w:rsidRDefault="00F64210" w:rsidP="00F64210">
            <w:pPr>
              <w:tabs>
                <w:tab w:val="left" w:pos="5400"/>
              </w:tabs>
              <w:jc w:val="center"/>
              <w:rPr>
                <w:sz w:val="20"/>
              </w:rPr>
            </w:pPr>
            <w:r w:rsidRPr="0022554A">
              <w:rPr>
                <w:sz w:val="20"/>
              </w:rPr>
              <w:t>6</w:t>
            </w:r>
          </w:p>
        </w:tc>
        <w:tc>
          <w:tcPr>
            <w:tcW w:w="0" w:type="auto"/>
          </w:tcPr>
          <w:p w:rsidR="00F64210" w:rsidRPr="009C3503" w:rsidRDefault="00F64210" w:rsidP="00F64210">
            <w:pPr>
              <w:tabs>
                <w:tab w:val="left" w:pos="5400"/>
              </w:tabs>
              <w:rPr>
                <w:sz w:val="20"/>
              </w:rPr>
            </w:pPr>
            <w:r w:rsidRPr="009C3503">
              <w:rPr>
                <w:sz w:val="20"/>
              </w:rPr>
              <w:t>(</w:t>
            </w:r>
            <w:r w:rsidRPr="009C3503">
              <w:rPr>
                <w:i/>
                <w:sz w:val="20"/>
              </w:rPr>
              <w:t>a</w:t>
            </w:r>
            <w:r w:rsidRPr="009C3503">
              <w:rPr>
                <w:sz w:val="20"/>
              </w:rPr>
              <w:t xml:space="preserve">) </w:t>
            </w:r>
            <w:r w:rsidRPr="009C3503">
              <w:rPr>
                <w:i/>
                <w:sz w:val="20"/>
              </w:rPr>
              <w:t>Cohort study</w:t>
            </w:r>
            <w:r w:rsidRPr="009C3503">
              <w:rPr>
                <w:sz w:val="20"/>
              </w:rPr>
              <w:t>—Give the eligibility criteria, and the sources and methods of selection of participants. Describe methods of follow-up</w:t>
            </w:r>
          </w:p>
          <w:p w:rsidR="00F64210" w:rsidRPr="00863405" w:rsidRDefault="00621B7A" w:rsidP="00863405">
            <w:pPr>
              <w:pStyle w:val="Heading3"/>
              <w:numPr>
                <w:ilvl w:val="0"/>
                <w:numId w:val="0"/>
              </w:numPr>
              <w:rPr>
                <w:rFonts w:ascii="Times New Roman" w:hAnsi="Times New Roman"/>
                <w:color w:val="0070C0"/>
                <w:szCs w:val="24"/>
                <w:lang w:val="en-US"/>
              </w:rPr>
            </w:pPr>
            <w:r>
              <w:rPr>
                <w:rFonts w:ascii="Times New Roman" w:hAnsi="Times New Roman"/>
                <w:b/>
                <w:color w:val="0000FF"/>
                <w:sz w:val="20"/>
              </w:rPr>
              <w:t>PAGE 6</w:t>
            </w:r>
            <w:r w:rsidR="00F64210" w:rsidRPr="00AB1217">
              <w:rPr>
                <w:rFonts w:ascii="Times New Roman" w:hAnsi="Times New Roman"/>
                <w:b/>
                <w:color w:val="0000FF"/>
                <w:sz w:val="20"/>
              </w:rPr>
              <w:t>:</w:t>
            </w:r>
            <w:r w:rsidR="00F64210" w:rsidRPr="00AB1217">
              <w:rPr>
                <w:rFonts w:ascii="Times New Roman" w:hAnsi="Times New Roman"/>
                <w:color w:val="0000FF"/>
                <w:sz w:val="20"/>
              </w:rPr>
              <w:t xml:space="preserve"> </w:t>
            </w:r>
            <w:r w:rsidR="00F64210" w:rsidRPr="00863405">
              <w:rPr>
                <w:rFonts w:ascii="Times New Roman" w:hAnsi="Times New Roman"/>
                <w:color w:val="0000FF"/>
                <w:lang w:val="en-US"/>
              </w:rPr>
              <w:t>Two hundred twelve consecutive patients that underwent primary total hip or knee arthroplasty due to osteoa</w:t>
            </w:r>
            <w:r w:rsidR="00863405" w:rsidRPr="00863405">
              <w:rPr>
                <w:rFonts w:ascii="Times New Roman" w:hAnsi="Times New Roman"/>
                <w:color w:val="0000FF"/>
                <w:lang w:val="en-US"/>
              </w:rPr>
              <w:t>rthritis during a period of 12</w:t>
            </w:r>
            <w:r w:rsidR="00F64210" w:rsidRPr="00863405">
              <w:rPr>
                <w:rFonts w:ascii="Times New Roman" w:hAnsi="Times New Roman"/>
                <w:color w:val="0000FF"/>
                <w:lang w:val="en-US"/>
              </w:rPr>
              <w:t xml:space="preserve"> months were enrolled prospectively in the study that was approved from the hospital’s ethical committee. Patients with previous </w:t>
            </w:r>
            <w:r w:rsidR="00F64210" w:rsidRPr="00863405">
              <w:rPr>
                <w:rFonts w:ascii="Times New Roman" w:hAnsi="Times New Roman"/>
                <w:color w:val="0000FF"/>
                <w:lang w:val="en-US"/>
              </w:rPr>
              <w:lastRenderedPageBreak/>
              <w:t>thrombotic events were excluded from this study.</w:t>
            </w:r>
            <w:r w:rsidR="00863405" w:rsidRPr="00863405">
              <w:rPr>
                <w:rFonts w:ascii="Times New Roman" w:hAnsi="Times New Roman"/>
                <w:noProof/>
                <w:color w:val="0000FF"/>
                <w:lang w:val="en-US"/>
              </w:rPr>
              <w:t xml:space="preserve"> </w:t>
            </w:r>
            <w:r w:rsidR="00863405" w:rsidRPr="00863405">
              <w:rPr>
                <w:rFonts w:ascii="Times New Roman" w:hAnsi="Times New Roman"/>
                <w:noProof/>
                <w:color w:val="0000FF"/>
                <w:szCs w:val="24"/>
                <w:lang w:val="en-US"/>
              </w:rPr>
              <w:t>Patients with other causes of arthritis (rheumatoid arthritis, AVN, seronegative spondyloarthropathies, crystal deposition disease etc)as well as patients with previous thrombotic events or other major risk factors for thrombosis (including malignancy, diabetes, hypertension, BMI &gt;35, age &gt;80y, operative time &gt;100min, congestive heart failure, arrhythmia, smoking, varicose veins)were excluded from this study.</w:t>
            </w:r>
            <w:r w:rsidR="00F64210" w:rsidRPr="00863405">
              <w:rPr>
                <w:rFonts w:ascii="Times New Roman" w:hAnsi="Times New Roman"/>
                <w:color w:val="0000FF"/>
                <w:szCs w:val="24"/>
                <w:lang w:val="en-US"/>
              </w:rPr>
              <w:t xml:space="preserve"> </w:t>
            </w:r>
            <w:r w:rsidR="00F64210" w:rsidRPr="00863405">
              <w:rPr>
                <w:rFonts w:ascii="Times New Roman" w:hAnsi="Times New Roman"/>
                <w:color w:val="0000FF"/>
                <w:lang w:val="en-US"/>
              </w:rPr>
              <w:t>All patients were followed for a minimum period of 3 years (36-44 months). Sixteen patients were lost to follow up and excluded from the study and thus 196 patients remained to the final follow-up</w:t>
            </w:r>
          </w:p>
          <w:p w:rsidR="00F64210" w:rsidRPr="00904822" w:rsidRDefault="00F64210" w:rsidP="00F64210">
            <w:pPr>
              <w:tabs>
                <w:tab w:val="left" w:pos="5400"/>
              </w:tabs>
              <w:rPr>
                <w:sz w:val="20"/>
                <w:highlight w:val="yellow"/>
              </w:rPr>
            </w:pPr>
          </w:p>
        </w:tc>
      </w:tr>
      <w:tr w:rsidR="00F64210" w:rsidRPr="0022554A">
        <w:tc>
          <w:tcPr>
            <w:tcW w:w="0" w:type="auto"/>
            <w:vMerge/>
          </w:tcPr>
          <w:p w:rsidR="00F64210" w:rsidRPr="0022554A" w:rsidRDefault="00F64210" w:rsidP="00F64210">
            <w:pPr>
              <w:tabs>
                <w:tab w:val="left" w:pos="5400"/>
              </w:tabs>
              <w:rPr>
                <w:bCs/>
                <w:sz w:val="20"/>
              </w:rPr>
            </w:pPr>
            <w:bookmarkStart w:id="27" w:name="bold14" w:colFirst="0" w:colLast="0"/>
            <w:bookmarkStart w:id="28" w:name="italic15" w:colFirst="0" w:colLast="0"/>
          </w:p>
        </w:tc>
        <w:tc>
          <w:tcPr>
            <w:tcW w:w="0" w:type="auto"/>
            <w:vMerge/>
          </w:tcPr>
          <w:p w:rsidR="00F64210" w:rsidRPr="0022554A" w:rsidRDefault="00F64210" w:rsidP="00F64210">
            <w:pPr>
              <w:tabs>
                <w:tab w:val="left" w:pos="5400"/>
              </w:tabs>
              <w:jc w:val="center"/>
              <w:rPr>
                <w:sz w:val="20"/>
              </w:rPr>
            </w:pPr>
          </w:p>
        </w:tc>
        <w:tc>
          <w:tcPr>
            <w:tcW w:w="0" w:type="auto"/>
          </w:tcPr>
          <w:p w:rsidR="00F64210" w:rsidRPr="007D674E" w:rsidRDefault="00F64210" w:rsidP="00F64210">
            <w:pPr>
              <w:tabs>
                <w:tab w:val="left" w:pos="5400"/>
              </w:tabs>
              <w:rPr>
                <w:sz w:val="20"/>
              </w:rPr>
            </w:pPr>
            <w:r w:rsidRPr="007D674E">
              <w:rPr>
                <w:sz w:val="20"/>
              </w:rPr>
              <w:t>(</w:t>
            </w:r>
            <w:r w:rsidRPr="007D674E">
              <w:rPr>
                <w:i/>
                <w:sz w:val="20"/>
              </w:rPr>
              <w:t>b</w:t>
            </w:r>
            <w:r w:rsidRPr="007D674E">
              <w:rPr>
                <w:sz w:val="20"/>
              </w:rPr>
              <w:t>)</w:t>
            </w:r>
            <w:r w:rsidRPr="007D674E">
              <w:rPr>
                <w:b/>
                <w:bCs/>
                <w:sz w:val="20"/>
              </w:rPr>
              <w:t xml:space="preserve"> </w:t>
            </w:r>
            <w:r w:rsidRPr="007D674E">
              <w:rPr>
                <w:bCs/>
                <w:i/>
                <w:sz w:val="20"/>
              </w:rPr>
              <w:t>Cohort study</w:t>
            </w:r>
            <w:r w:rsidRPr="007D674E">
              <w:rPr>
                <w:sz w:val="20"/>
              </w:rPr>
              <w:t>—For matched studies, give matching criteria and number of exposed and unexposed</w:t>
            </w:r>
          </w:p>
          <w:p w:rsidR="00F64210" w:rsidRPr="007D674E" w:rsidRDefault="00621B7A" w:rsidP="00F64210">
            <w:pPr>
              <w:widowControl w:val="0"/>
              <w:autoSpaceDE w:val="0"/>
              <w:autoSpaceDN w:val="0"/>
              <w:adjustRightInd w:val="0"/>
              <w:spacing w:line="240" w:lineRule="auto"/>
              <w:rPr>
                <w:color w:val="0000FF"/>
                <w:lang w:val="en-US"/>
              </w:rPr>
            </w:pPr>
            <w:r>
              <w:rPr>
                <w:b/>
                <w:color w:val="0000FF"/>
                <w:sz w:val="20"/>
              </w:rPr>
              <w:t>PAGES 7</w:t>
            </w:r>
            <w:r w:rsidR="00F64210" w:rsidRPr="007D674E">
              <w:rPr>
                <w:b/>
                <w:color w:val="0000FF"/>
                <w:sz w:val="20"/>
              </w:rPr>
              <w:t>:</w:t>
            </w:r>
            <w:r w:rsidR="00F64210">
              <w:rPr>
                <w:b/>
                <w:color w:val="0000FF"/>
                <w:sz w:val="20"/>
              </w:rPr>
              <w:t xml:space="preserve"> </w:t>
            </w:r>
            <w:r w:rsidR="00F64210" w:rsidRPr="007D674E">
              <w:rPr>
                <w:color w:val="0000FF"/>
                <w:lang w:val="en-US"/>
              </w:rPr>
              <w:t>All patients were followed for a minimum period of 3 years (36-44 months). Sixteen patients were lost to follow up and excluded from the study and thus 196 patients (42 male and 154 female) remained to the final follow-up. The majority of these patients (173) received low-molecular-weight heparin (LMWH) for prevention of thrombosis, while 23 patients received fondaparinux. Patients were monitored clinically for the development of arterial or venous thrombotic events, such as deep venous thrombosis (DVT), pulmonary embolism (PE), cerebrovascular accident, and myocardial infarction (MI). In suspicion of a thrombotic event the necessary examinations (triplex, pulmonary ventilation/perfusion scan) were performed, to rule out or to confirm the thrombotic incident.</w:t>
            </w:r>
          </w:p>
          <w:p w:rsidR="00F64210" w:rsidRPr="0022554A" w:rsidRDefault="00F64210" w:rsidP="00F64210">
            <w:pPr>
              <w:tabs>
                <w:tab w:val="left" w:pos="5400"/>
              </w:tabs>
              <w:rPr>
                <w:i/>
                <w:sz w:val="20"/>
              </w:rPr>
            </w:pPr>
          </w:p>
        </w:tc>
      </w:tr>
      <w:tr w:rsidR="00F64210" w:rsidRPr="0022554A">
        <w:tc>
          <w:tcPr>
            <w:tcW w:w="0" w:type="auto"/>
          </w:tcPr>
          <w:p w:rsidR="00F64210" w:rsidRPr="0022554A" w:rsidRDefault="00F64210" w:rsidP="00F64210">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F64210" w:rsidRPr="0022554A" w:rsidRDefault="00F64210" w:rsidP="00F64210">
            <w:pPr>
              <w:tabs>
                <w:tab w:val="left" w:pos="5400"/>
              </w:tabs>
              <w:jc w:val="center"/>
              <w:rPr>
                <w:sz w:val="20"/>
              </w:rPr>
            </w:pPr>
            <w:r w:rsidRPr="0022554A">
              <w:rPr>
                <w:sz w:val="20"/>
              </w:rPr>
              <w:t>7</w:t>
            </w:r>
          </w:p>
        </w:tc>
        <w:tc>
          <w:tcPr>
            <w:tcW w:w="0" w:type="auto"/>
          </w:tcPr>
          <w:p w:rsidR="00F64210" w:rsidRDefault="00F64210" w:rsidP="00F64210">
            <w:pPr>
              <w:tabs>
                <w:tab w:val="left" w:pos="5400"/>
              </w:tabs>
              <w:rPr>
                <w:sz w:val="20"/>
              </w:rPr>
            </w:pPr>
            <w:r w:rsidRPr="0022554A">
              <w:rPr>
                <w:sz w:val="20"/>
              </w:rPr>
              <w:t>Clearly define all outcomes, exposures, predictors, potential confounders, and effect modifiers. Give diagnostic criteria, if applicable</w:t>
            </w:r>
          </w:p>
          <w:p w:rsidR="00F64210" w:rsidRPr="00AB1217" w:rsidRDefault="00621B7A" w:rsidP="00F64210">
            <w:pPr>
              <w:pStyle w:val="Heading3"/>
              <w:numPr>
                <w:ilvl w:val="0"/>
                <w:numId w:val="0"/>
              </w:numPr>
              <w:rPr>
                <w:rFonts w:ascii="Times New Roman" w:hAnsi="Times New Roman"/>
                <w:color w:val="0000FF"/>
                <w:lang w:val="en-US"/>
              </w:rPr>
            </w:pPr>
            <w:r>
              <w:rPr>
                <w:rFonts w:ascii="Times New Roman" w:hAnsi="Times New Roman"/>
                <w:b/>
                <w:color w:val="0000FF"/>
                <w:sz w:val="20"/>
              </w:rPr>
              <w:t>PAGE 7</w:t>
            </w:r>
            <w:r w:rsidR="00F64210" w:rsidRPr="00ED3F97">
              <w:rPr>
                <w:rFonts w:ascii="Times New Roman" w:hAnsi="Times New Roman"/>
                <w:b/>
                <w:color w:val="0000FF"/>
                <w:sz w:val="20"/>
              </w:rPr>
              <w:t>:</w:t>
            </w:r>
            <w:r w:rsidR="00F64210" w:rsidRPr="00996228">
              <w:rPr>
                <w:rFonts w:ascii="Times New Roman" w:hAnsi="Times New Roman"/>
                <w:color w:val="0000FF"/>
                <w:lang w:val="en-US"/>
              </w:rPr>
              <w:t xml:space="preserve"> </w:t>
            </w:r>
            <w:r w:rsidR="00F64210" w:rsidRPr="00AB1217">
              <w:rPr>
                <w:rFonts w:ascii="Times New Roman" w:hAnsi="Times New Roman"/>
                <w:color w:val="0000FF"/>
                <w:lang w:val="en-US"/>
              </w:rPr>
              <w:t xml:space="preserve">Two hundred twelve consecutive patients that underwent primary total hip or knee arthroplasty due to osteoarthritis during a period of nine months were enrolled prospectively in the study </w:t>
            </w:r>
            <w:r w:rsidR="00F64210">
              <w:rPr>
                <w:rFonts w:ascii="Times New Roman" w:hAnsi="Times New Roman"/>
                <w:color w:val="0000FF"/>
                <w:lang w:val="en-US"/>
              </w:rPr>
              <w:t>…..</w:t>
            </w:r>
          </w:p>
          <w:p w:rsidR="00F64210" w:rsidRDefault="00F64210" w:rsidP="00F64210">
            <w:pPr>
              <w:widowControl w:val="0"/>
              <w:autoSpaceDE w:val="0"/>
              <w:autoSpaceDN w:val="0"/>
              <w:adjustRightInd w:val="0"/>
              <w:spacing w:line="240" w:lineRule="auto"/>
              <w:ind w:firstLine="357"/>
              <w:rPr>
                <w:color w:val="0000FF"/>
                <w:lang w:val="en-US"/>
              </w:rPr>
            </w:pPr>
            <w:r w:rsidRPr="00AB1217">
              <w:rPr>
                <w:color w:val="0000FF"/>
                <w:lang w:val="en-US"/>
              </w:rPr>
              <w:t xml:space="preserve">Platelet counts were obtained from all patients preoperatively and daily for the first seven postoperative days, and at the 20th and 60th postoperative days, while the presence of anti-PF4/heparin antibodies was evaluated with an immunoassay during the preoperative check and at the 3rd, 7th, 20th and 60th postoperative days </w:t>
            </w:r>
            <w:r>
              <w:rPr>
                <w:color w:val="0000FF"/>
                <w:lang w:val="en-US"/>
              </w:rPr>
              <w:t>…….</w:t>
            </w:r>
            <w:r w:rsidRPr="00AB1217">
              <w:rPr>
                <w:color w:val="0000FF"/>
                <w:lang w:val="en-US"/>
              </w:rPr>
              <w:t xml:space="preserve"> Finally protein C, protein S, von Willebrand factor (vWF), Lupus Anticoagulant (LA), Antithrombin III (AT III), 677C/T mutation of MTHFR gene, factor V Leiden (G/A) and prothrombin gene G20210A mutations were detected. Genomic DNA was extracted from fresh blood using </w:t>
            </w:r>
            <w:r>
              <w:rPr>
                <w:color w:val="0000FF"/>
                <w:lang w:val="en-US"/>
              </w:rPr>
              <w:t>…...</w:t>
            </w:r>
            <w:r w:rsidRPr="00AB1217">
              <w:rPr>
                <w:color w:val="0000FF"/>
                <w:lang w:val="en-US"/>
              </w:rPr>
              <w:t>.</w:t>
            </w:r>
            <w:r w:rsidRPr="00996228">
              <w:rPr>
                <w:color w:val="0000FF"/>
                <w:lang w:val="en-US"/>
              </w:rPr>
              <w:t xml:space="preserve"> </w:t>
            </w:r>
          </w:p>
          <w:p w:rsidR="00F64210" w:rsidRDefault="00F64210" w:rsidP="00F64210">
            <w:pPr>
              <w:tabs>
                <w:tab w:val="left" w:pos="5400"/>
              </w:tabs>
              <w:rPr>
                <w:sz w:val="20"/>
              </w:rPr>
            </w:pPr>
          </w:p>
          <w:p w:rsidR="00F64210" w:rsidRDefault="00621B7A" w:rsidP="00F64210">
            <w:pPr>
              <w:widowControl w:val="0"/>
              <w:autoSpaceDE w:val="0"/>
              <w:autoSpaceDN w:val="0"/>
              <w:adjustRightInd w:val="0"/>
              <w:spacing w:line="240" w:lineRule="auto"/>
              <w:rPr>
                <w:color w:val="0000FF"/>
                <w:lang w:val="en-US"/>
              </w:rPr>
            </w:pPr>
            <w:r>
              <w:rPr>
                <w:b/>
                <w:color w:val="0000FF"/>
                <w:sz w:val="20"/>
              </w:rPr>
              <w:t>PAGE 7-8</w:t>
            </w:r>
            <w:r w:rsidR="00F64210" w:rsidRPr="007D674E">
              <w:rPr>
                <w:b/>
                <w:color w:val="0000FF"/>
                <w:sz w:val="20"/>
              </w:rPr>
              <w:t>:</w:t>
            </w:r>
            <w:r w:rsidR="00F64210">
              <w:rPr>
                <w:b/>
                <w:color w:val="0000FF"/>
                <w:sz w:val="20"/>
              </w:rPr>
              <w:t xml:space="preserve"> </w:t>
            </w:r>
            <w:r w:rsidR="00F64210" w:rsidRPr="00E5406F">
              <w:rPr>
                <w:color w:val="0000FF"/>
                <w:lang w:val="en-US"/>
              </w:rPr>
              <w:t>Patients were monitored clinically for the development of arterial or venous thrombotic events, such as deep venous thrombosis (DVT), pulmonary embolism (PE), cerebrovascular accident, and myocardial infarction (MI). In suspicion of a thrombotic event the necessary examinations (triplex, pulmonary ventilation/perfusion scan) were performed, to rule out or to confirm the thrombotic incident</w:t>
            </w:r>
          </w:p>
          <w:p w:rsidR="00F64210" w:rsidRDefault="00F64210" w:rsidP="00F64210">
            <w:pPr>
              <w:widowControl w:val="0"/>
              <w:autoSpaceDE w:val="0"/>
              <w:autoSpaceDN w:val="0"/>
              <w:adjustRightInd w:val="0"/>
              <w:spacing w:line="240" w:lineRule="auto"/>
              <w:rPr>
                <w:color w:val="0000FF"/>
                <w:lang w:val="en-US"/>
              </w:rPr>
            </w:pPr>
            <w:r>
              <w:rPr>
                <w:color w:val="0000FF"/>
                <w:lang w:val="en-US"/>
              </w:rPr>
              <w:t>…..</w:t>
            </w:r>
          </w:p>
          <w:p w:rsidR="00F64210" w:rsidRPr="00E5406F" w:rsidRDefault="00F64210" w:rsidP="00F64210">
            <w:pPr>
              <w:widowControl w:val="0"/>
              <w:autoSpaceDE w:val="0"/>
              <w:autoSpaceDN w:val="0"/>
              <w:adjustRightInd w:val="0"/>
              <w:spacing w:line="240" w:lineRule="auto"/>
              <w:rPr>
                <w:color w:val="0000FF"/>
                <w:lang w:val="en-US"/>
              </w:rPr>
            </w:pPr>
            <w:r w:rsidRPr="00E5406F">
              <w:rPr>
                <w:color w:val="0000FF"/>
                <w:lang w:val="en-US"/>
              </w:rPr>
              <w:t xml:space="preserve">       Thrombocytopenia, defined as 50% decrease of platelets from the pre-operative (and pre-anticoagulant administra</w:t>
            </w:r>
            <w:r w:rsidR="00621B7A">
              <w:rPr>
                <w:color w:val="0000FF"/>
                <w:lang w:val="en-US"/>
              </w:rPr>
              <w:t>tion) platelet count</w:t>
            </w:r>
          </w:p>
          <w:p w:rsidR="00F64210" w:rsidRPr="00E5406F" w:rsidRDefault="00621B7A" w:rsidP="00F64210">
            <w:pPr>
              <w:widowControl w:val="0"/>
              <w:autoSpaceDE w:val="0"/>
              <w:autoSpaceDN w:val="0"/>
              <w:adjustRightInd w:val="0"/>
              <w:spacing w:line="240" w:lineRule="auto"/>
              <w:rPr>
                <w:color w:val="0000FF"/>
                <w:lang w:val="en-US"/>
              </w:rPr>
            </w:pPr>
            <w:r>
              <w:rPr>
                <w:b/>
                <w:color w:val="0000FF"/>
                <w:sz w:val="20"/>
              </w:rPr>
              <w:lastRenderedPageBreak/>
              <w:t>PAGE 9</w:t>
            </w:r>
            <w:r w:rsidR="00F64210" w:rsidRPr="007D674E">
              <w:rPr>
                <w:b/>
                <w:color w:val="0000FF"/>
                <w:sz w:val="20"/>
              </w:rPr>
              <w:t>:</w:t>
            </w:r>
            <w:r w:rsidR="00F64210">
              <w:rPr>
                <w:b/>
                <w:color w:val="0000FF"/>
                <w:sz w:val="20"/>
              </w:rPr>
              <w:t xml:space="preserve"> </w:t>
            </w:r>
            <w:r w:rsidR="00F64210" w:rsidRPr="00E5406F">
              <w:rPr>
                <w:color w:val="0000FF"/>
                <w:lang w:val="en-US"/>
              </w:rPr>
              <w:t>HIT (defined as platelet counts &lt;50% of preoperative values and presence of anti-PF4/heparin antibodies).</w:t>
            </w:r>
          </w:p>
          <w:p w:rsidR="00F64210" w:rsidRPr="0022554A" w:rsidRDefault="00F64210" w:rsidP="00F64210">
            <w:pPr>
              <w:tabs>
                <w:tab w:val="left" w:pos="5400"/>
              </w:tabs>
              <w:rPr>
                <w:sz w:val="20"/>
              </w:rPr>
            </w:pPr>
          </w:p>
        </w:tc>
      </w:tr>
      <w:tr w:rsidR="00F64210" w:rsidRPr="0022554A">
        <w:trPr>
          <w:trHeight w:val="294"/>
        </w:trPr>
        <w:tc>
          <w:tcPr>
            <w:tcW w:w="0" w:type="auto"/>
          </w:tcPr>
          <w:p w:rsidR="00F64210" w:rsidRPr="0022554A" w:rsidRDefault="00F64210" w:rsidP="00F64210">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F64210" w:rsidRPr="0022554A" w:rsidRDefault="00F64210" w:rsidP="00F64210">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F64210" w:rsidRDefault="00F64210" w:rsidP="00F64210">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p w:rsidR="00F64210" w:rsidRPr="00FF6816" w:rsidRDefault="00621B7A" w:rsidP="00F64210">
            <w:pPr>
              <w:pStyle w:val="Heading3"/>
              <w:numPr>
                <w:ilvl w:val="0"/>
                <w:numId w:val="0"/>
              </w:numPr>
              <w:rPr>
                <w:rFonts w:ascii="Times New Roman" w:hAnsi="Times New Roman"/>
                <w:color w:val="0000FF"/>
                <w:lang w:val="en-US"/>
              </w:rPr>
            </w:pPr>
            <w:r>
              <w:rPr>
                <w:rFonts w:ascii="Times New Roman" w:hAnsi="Times New Roman"/>
                <w:b/>
                <w:color w:val="0000FF"/>
                <w:sz w:val="20"/>
              </w:rPr>
              <w:t>PAGE 8</w:t>
            </w:r>
            <w:r w:rsidR="00F64210" w:rsidRPr="00FF6816">
              <w:rPr>
                <w:rFonts w:ascii="Times New Roman" w:hAnsi="Times New Roman"/>
                <w:b/>
                <w:color w:val="0000FF"/>
                <w:sz w:val="20"/>
              </w:rPr>
              <w:t>:</w:t>
            </w:r>
            <w:r w:rsidR="00F64210">
              <w:rPr>
                <w:sz w:val="20"/>
              </w:rPr>
              <w:t xml:space="preserve"> </w:t>
            </w:r>
            <w:r w:rsidR="00F64210" w:rsidRPr="00FF6816">
              <w:rPr>
                <w:rFonts w:ascii="Times New Roman" w:hAnsi="Times New Roman"/>
                <w:color w:val="0000FF"/>
                <w:lang w:val="en-US"/>
              </w:rPr>
              <w:t>All P-values were based on two-tailed tests and the level of statistical significance was set at P&lt;0.05. The tests used to obtain p-values were the Pearson Chi-Square and Fisher’s Exact. Logistic regression analysis was used to study the significant correlations. Repeated measurements analysis was applied to test differences in platelets levels between the two anticoagulants. Analysis was conducted using SPSS 14 (SPSS, Inc., Chicago, IL).</w:t>
            </w:r>
          </w:p>
          <w:p w:rsidR="00F64210" w:rsidRPr="0022554A" w:rsidRDefault="00F64210" w:rsidP="00F64210">
            <w:pPr>
              <w:tabs>
                <w:tab w:val="left" w:pos="5400"/>
              </w:tabs>
              <w:rPr>
                <w:sz w:val="20"/>
              </w:rPr>
            </w:pPr>
          </w:p>
        </w:tc>
      </w:tr>
      <w:tr w:rsidR="00F64210" w:rsidRPr="0022554A">
        <w:tc>
          <w:tcPr>
            <w:tcW w:w="0" w:type="auto"/>
          </w:tcPr>
          <w:p w:rsidR="00F64210" w:rsidRPr="0022554A" w:rsidRDefault="00F64210" w:rsidP="00F64210">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F64210" w:rsidRPr="0022554A" w:rsidRDefault="00F64210" w:rsidP="00F64210">
            <w:pPr>
              <w:tabs>
                <w:tab w:val="left" w:pos="5400"/>
              </w:tabs>
              <w:jc w:val="center"/>
              <w:rPr>
                <w:sz w:val="20"/>
              </w:rPr>
            </w:pPr>
            <w:r w:rsidRPr="0022554A">
              <w:rPr>
                <w:sz w:val="20"/>
              </w:rPr>
              <w:t>9</w:t>
            </w:r>
          </w:p>
        </w:tc>
        <w:tc>
          <w:tcPr>
            <w:tcW w:w="0" w:type="auto"/>
          </w:tcPr>
          <w:p w:rsidR="00F64210" w:rsidRDefault="00F64210" w:rsidP="00F64210">
            <w:pPr>
              <w:tabs>
                <w:tab w:val="left" w:pos="5400"/>
              </w:tabs>
              <w:rPr>
                <w:color w:val="000000"/>
                <w:sz w:val="20"/>
              </w:rPr>
            </w:pPr>
            <w:r w:rsidRPr="0022554A">
              <w:rPr>
                <w:color w:val="000000"/>
                <w:sz w:val="20"/>
              </w:rPr>
              <w:t>Describe any efforts to address potential sources of bias</w:t>
            </w:r>
          </w:p>
          <w:p w:rsidR="00621B7A" w:rsidRPr="00621B7A" w:rsidRDefault="00621B7A" w:rsidP="00F64210">
            <w:pPr>
              <w:tabs>
                <w:tab w:val="left" w:pos="5400"/>
              </w:tabs>
              <w:rPr>
                <w:color w:val="0000FF"/>
                <w:szCs w:val="24"/>
              </w:rPr>
            </w:pPr>
            <w:r w:rsidRPr="00621B7A">
              <w:rPr>
                <w:color w:val="0000FF"/>
                <w:szCs w:val="24"/>
              </w:rPr>
              <w:t>PAGE 6 :</w:t>
            </w:r>
            <w:r w:rsidRPr="00621B7A">
              <w:rPr>
                <w:noProof/>
                <w:color w:val="0000FF"/>
                <w:szCs w:val="24"/>
                <w:lang w:val="en-US"/>
              </w:rPr>
              <w:t xml:space="preserve"> Patients with other causes of arthritis (rheumatoid arthritis, AVN, seronegative spondyloarthropathies, crystal deposition disease etc)as well as patients with previous thrombotic events or other major risk factors for thrombosis (including malignancy, diabetes, hypertension, BMI &gt;35, age &gt;80y, operative time &gt;100min, congestive heart failure, arrhythmia, smoking, varicose veins)were excluded from this study. The mean age of the patients was 65.8 years (range, 43-80). </w:t>
            </w:r>
            <w:r w:rsidRPr="00621B7A">
              <w:rPr>
                <w:color w:val="0000FF"/>
                <w:szCs w:val="24"/>
                <w:lang w:val="en-US"/>
              </w:rPr>
              <w:t>None of the patients had any history of previous heparin exposure within the past 90 days.</w:t>
            </w:r>
          </w:p>
        </w:tc>
      </w:tr>
      <w:tr w:rsidR="00F64210" w:rsidRPr="0022554A">
        <w:tc>
          <w:tcPr>
            <w:tcW w:w="0" w:type="auto"/>
          </w:tcPr>
          <w:p w:rsidR="00F64210" w:rsidRPr="0022554A" w:rsidRDefault="00F64210" w:rsidP="00F64210">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F64210" w:rsidRPr="0022554A" w:rsidRDefault="00F64210" w:rsidP="00F64210">
            <w:pPr>
              <w:tabs>
                <w:tab w:val="left" w:pos="5400"/>
              </w:tabs>
              <w:jc w:val="center"/>
              <w:rPr>
                <w:sz w:val="20"/>
              </w:rPr>
            </w:pPr>
            <w:r w:rsidRPr="0022554A">
              <w:rPr>
                <w:sz w:val="20"/>
              </w:rPr>
              <w:t>10</w:t>
            </w:r>
          </w:p>
        </w:tc>
        <w:tc>
          <w:tcPr>
            <w:tcW w:w="0" w:type="auto"/>
          </w:tcPr>
          <w:p w:rsidR="00F64210" w:rsidRDefault="00F64210" w:rsidP="00F64210">
            <w:pPr>
              <w:tabs>
                <w:tab w:val="left" w:pos="5400"/>
              </w:tabs>
              <w:rPr>
                <w:sz w:val="20"/>
              </w:rPr>
            </w:pPr>
            <w:r w:rsidRPr="00FF6816">
              <w:rPr>
                <w:sz w:val="20"/>
              </w:rPr>
              <w:t>Explain how the study size was arrived at</w:t>
            </w:r>
          </w:p>
          <w:p w:rsidR="00F64210" w:rsidRPr="0022554A" w:rsidRDefault="00F64210" w:rsidP="00F64210">
            <w:pPr>
              <w:tabs>
                <w:tab w:val="left" w:pos="5400"/>
              </w:tabs>
              <w:rPr>
                <w:sz w:val="20"/>
              </w:rPr>
            </w:pPr>
            <w:r w:rsidRPr="00FF6816">
              <w:rPr>
                <w:color w:val="0000FF"/>
                <w:lang w:val="en-US"/>
              </w:rPr>
              <w:t>Due to extended number of variables and data acquired at different time points the authors decided to limit the sample of consecutive patients to 200.</w:t>
            </w:r>
          </w:p>
        </w:tc>
      </w:tr>
      <w:tr w:rsidR="00F64210" w:rsidRPr="0022554A">
        <w:tc>
          <w:tcPr>
            <w:tcW w:w="0" w:type="auto"/>
          </w:tcPr>
          <w:p w:rsidR="00F64210" w:rsidRPr="0022554A" w:rsidRDefault="00F64210" w:rsidP="00F64210">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F64210" w:rsidRPr="0022554A" w:rsidRDefault="00F64210" w:rsidP="00F64210">
            <w:pPr>
              <w:tabs>
                <w:tab w:val="left" w:pos="5400"/>
              </w:tabs>
              <w:jc w:val="center"/>
              <w:rPr>
                <w:sz w:val="20"/>
              </w:rPr>
            </w:pPr>
            <w:r w:rsidRPr="0022554A">
              <w:rPr>
                <w:sz w:val="20"/>
              </w:rPr>
              <w:t>11</w:t>
            </w:r>
          </w:p>
        </w:tc>
        <w:tc>
          <w:tcPr>
            <w:tcW w:w="0" w:type="auto"/>
          </w:tcPr>
          <w:p w:rsidR="00F64210" w:rsidRPr="00FF6816" w:rsidRDefault="00F64210" w:rsidP="00F64210">
            <w:pPr>
              <w:tabs>
                <w:tab w:val="left" w:pos="5400"/>
              </w:tabs>
              <w:rPr>
                <w:sz w:val="20"/>
              </w:rPr>
            </w:pPr>
            <w:r w:rsidRPr="00FF6816">
              <w:rPr>
                <w:sz w:val="20"/>
              </w:rPr>
              <w:t>Explain how quantitative variables were handled in the analyses. If applicable, describe which groupings were chosen and why</w:t>
            </w:r>
          </w:p>
          <w:p w:rsidR="00F64210" w:rsidRPr="00FF6816" w:rsidRDefault="00621B7A" w:rsidP="00F64210">
            <w:pPr>
              <w:tabs>
                <w:tab w:val="left" w:pos="5400"/>
              </w:tabs>
              <w:rPr>
                <w:sz w:val="20"/>
              </w:rPr>
            </w:pPr>
            <w:r>
              <w:rPr>
                <w:b/>
                <w:color w:val="0000FF"/>
                <w:sz w:val="20"/>
              </w:rPr>
              <w:t>PAGE 7</w:t>
            </w:r>
            <w:r w:rsidR="00F64210" w:rsidRPr="00FF6816">
              <w:rPr>
                <w:b/>
                <w:color w:val="0000FF"/>
                <w:sz w:val="20"/>
              </w:rPr>
              <w:t>:</w:t>
            </w:r>
            <w:r w:rsidR="00F64210" w:rsidRPr="00FF6816">
              <w:rPr>
                <w:sz w:val="20"/>
              </w:rPr>
              <w:t xml:space="preserve"> </w:t>
            </w:r>
            <w:r w:rsidR="00F64210" w:rsidRPr="00FF6816">
              <w:rPr>
                <w:color w:val="0000FF"/>
                <w:lang w:val="en-US"/>
              </w:rPr>
              <w:t xml:space="preserve">Repeated measurements analysis was applied to test differences in platelets levels between the two anticoagulants. </w:t>
            </w:r>
          </w:p>
        </w:tc>
      </w:tr>
      <w:tr w:rsidR="00F64210" w:rsidRPr="0022554A">
        <w:tc>
          <w:tcPr>
            <w:tcW w:w="0" w:type="auto"/>
            <w:vMerge w:val="restart"/>
          </w:tcPr>
          <w:p w:rsidR="00F64210" w:rsidRPr="0022554A" w:rsidRDefault="00F64210" w:rsidP="00F64210">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F64210" w:rsidRPr="0022554A" w:rsidRDefault="00F64210" w:rsidP="00F64210">
            <w:pPr>
              <w:tabs>
                <w:tab w:val="left" w:pos="5400"/>
              </w:tabs>
              <w:jc w:val="center"/>
              <w:rPr>
                <w:sz w:val="20"/>
              </w:rPr>
            </w:pPr>
            <w:r w:rsidRPr="0022554A">
              <w:rPr>
                <w:sz w:val="20"/>
              </w:rPr>
              <w:t>12</w:t>
            </w:r>
          </w:p>
        </w:tc>
        <w:tc>
          <w:tcPr>
            <w:tcW w:w="0" w:type="auto"/>
          </w:tcPr>
          <w:p w:rsidR="00F64210" w:rsidRPr="00FF6816" w:rsidRDefault="00F64210" w:rsidP="00F64210">
            <w:pPr>
              <w:tabs>
                <w:tab w:val="left" w:pos="5400"/>
              </w:tabs>
              <w:rPr>
                <w:sz w:val="20"/>
              </w:rPr>
            </w:pPr>
            <w:r w:rsidRPr="00FF6816">
              <w:rPr>
                <w:sz w:val="20"/>
              </w:rPr>
              <w:t>(</w:t>
            </w:r>
            <w:r w:rsidRPr="00FF6816">
              <w:rPr>
                <w:i/>
                <w:sz w:val="20"/>
              </w:rPr>
              <w:t>a</w:t>
            </w:r>
            <w:r w:rsidRPr="00FF6816">
              <w:rPr>
                <w:sz w:val="20"/>
              </w:rPr>
              <w:t>) Describe all statistical methods, including those used to control for confounding</w:t>
            </w:r>
          </w:p>
          <w:p w:rsidR="00F64210" w:rsidRPr="00FF6816" w:rsidRDefault="00621B7A" w:rsidP="00F64210">
            <w:pPr>
              <w:tabs>
                <w:tab w:val="left" w:pos="5400"/>
              </w:tabs>
              <w:rPr>
                <w:sz w:val="20"/>
              </w:rPr>
            </w:pPr>
            <w:r>
              <w:rPr>
                <w:b/>
                <w:color w:val="0000FF"/>
                <w:sz w:val="20"/>
              </w:rPr>
              <w:t>PAGE 8</w:t>
            </w:r>
            <w:r w:rsidR="00F64210" w:rsidRPr="00FF6816">
              <w:rPr>
                <w:b/>
                <w:color w:val="0000FF"/>
                <w:sz w:val="20"/>
              </w:rPr>
              <w:t>:</w:t>
            </w:r>
            <w:r w:rsidR="00F64210" w:rsidRPr="00FF6816">
              <w:rPr>
                <w:sz w:val="20"/>
              </w:rPr>
              <w:t xml:space="preserve"> </w:t>
            </w:r>
            <w:r w:rsidR="00F64210" w:rsidRPr="00FF6816">
              <w:rPr>
                <w:color w:val="0000FF"/>
                <w:lang w:val="en-US"/>
              </w:rPr>
              <w:t>All P-values were based on two-tailed tests and the level of statistical significance was set at P&lt;0.05. The tests used to obtain p-values were the Pearson Chi-Square and Fisher’s Exact. Logistic regression analysis was used to study the significant correlations. Repeated measurements analysis was applied to test differences in platelets levels between the two anticoagulants. Analysis was conducted using SPSS 14 (SPSS, Inc., Chicago, IL).</w:t>
            </w:r>
          </w:p>
          <w:p w:rsidR="00F64210" w:rsidRPr="00FF6816" w:rsidRDefault="00F64210" w:rsidP="00F64210">
            <w:pPr>
              <w:tabs>
                <w:tab w:val="left" w:pos="5400"/>
              </w:tabs>
              <w:rPr>
                <w:sz w:val="20"/>
              </w:rPr>
            </w:pPr>
          </w:p>
        </w:tc>
      </w:tr>
      <w:tr w:rsidR="00F64210" w:rsidRPr="0022554A">
        <w:tc>
          <w:tcPr>
            <w:tcW w:w="0" w:type="auto"/>
            <w:vMerge/>
          </w:tcPr>
          <w:p w:rsidR="00F64210" w:rsidRPr="0022554A" w:rsidRDefault="00F64210" w:rsidP="00F64210">
            <w:pPr>
              <w:tabs>
                <w:tab w:val="left" w:pos="5400"/>
              </w:tabs>
              <w:rPr>
                <w:bCs/>
                <w:sz w:val="20"/>
              </w:rPr>
            </w:pPr>
            <w:bookmarkStart w:id="46" w:name="bold24" w:colFirst="0" w:colLast="0"/>
            <w:bookmarkStart w:id="47" w:name="italic26" w:colFirst="0" w:colLast="0"/>
          </w:p>
        </w:tc>
        <w:tc>
          <w:tcPr>
            <w:tcW w:w="0" w:type="auto"/>
            <w:vMerge/>
          </w:tcPr>
          <w:p w:rsidR="00F64210" w:rsidRPr="0022554A" w:rsidRDefault="00F64210" w:rsidP="00F64210">
            <w:pPr>
              <w:tabs>
                <w:tab w:val="left" w:pos="5400"/>
              </w:tabs>
              <w:jc w:val="center"/>
              <w:rPr>
                <w:sz w:val="20"/>
              </w:rPr>
            </w:pPr>
          </w:p>
        </w:tc>
        <w:tc>
          <w:tcPr>
            <w:tcW w:w="0" w:type="auto"/>
          </w:tcPr>
          <w:p w:rsidR="00F64210" w:rsidRDefault="00F64210" w:rsidP="00F64210">
            <w:pPr>
              <w:tabs>
                <w:tab w:val="left" w:pos="5400"/>
              </w:tabs>
              <w:rPr>
                <w:sz w:val="20"/>
              </w:rPr>
            </w:pPr>
            <w:r w:rsidRPr="00C55146">
              <w:rPr>
                <w:sz w:val="20"/>
              </w:rPr>
              <w:t>(</w:t>
            </w:r>
            <w:r w:rsidRPr="00C55146">
              <w:rPr>
                <w:i/>
                <w:sz w:val="20"/>
              </w:rPr>
              <w:t>b</w:t>
            </w:r>
            <w:r w:rsidRPr="00C55146">
              <w:rPr>
                <w:sz w:val="20"/>
              </w:rPr>
              <w:t>) Describe any methods used to examine subgroups and interactions</w:t>
            </w:r>
          </w:p>
          <w:p w:rsidR="00F64210" w:rsidRPr="00C55146" w:rsidRDefault="00737A1C" w:rsidP="00F64210">
            <w:pPr>
              <w:tabs>
                <w:tab w:val="left" w:pos="5400"/>
              </w:tabs>
              <w:rPr>
                <w:sz w:val="20"/>
              </w:rPr>
            </w:pPr>
            <w:r>
              <w:rPr>
                <w:b/>
                <w:color w:val="0000FF"/>
                <w:sz w:val="20"/>
              </w:rPr>
              <w:t>PAGE 7-8</w:t>
            </w:r>
            <w:r w:rsidR="00F64210" w:rsidRPr="00C55146">
              <w:rPr>
                <w:b/>
                <w:color w:val="0000FF"/>
                <w:sz w:val="20"/>
              </w:rPr>
              <w:t>:</w:t>
            </w:r>
            <w:r w:rsidR="00F64210" w:rsidRPr="00C55146">
              <w:rPr>
                <w:sz w:val="20"/>
              </w:rPr>
              <w:t xml:space="preserve"> </w:t>
            </w:r>
            <w:r w:rsidR="00F64210" w:rsidRPr="00C55146">
              <w:rPr>
                <w:color w:val="0000FF"/>
                <w:lang w:val="en-US"/>
              </w:rPr>
              <w:t xml:space="preserve">Logistic regression analysis was used to study the significant correlations. Repeated measurements analysis was applied to test differences in platelets levels between the two anticoagulants. </w:t>
            </w:r>
          </w:p>
        </w:tc>
      </w:tr>
      <w:tr w:rsidR="00F64210" w:rsidRPr="0022554A">
        <w:tc>
          <w:tcPr>
            <w:tcW w:w="0" w:type="auto"/>
            <w:vMerge/>
          </w:tcPr>
          <w:p w:rsidR="00F64210" w:rsidRPr="0022554A" w:rsidRDefault="00F64210" w:rsidP="00F64210">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F64210" w:rsidRPr="0022554A" w:rsidRDefault="00F64210" w:rsidP="00F64210">
            <w:pPr>
              <w:tabs>
                <w:tab w:val="left" w:pos="5400"/>
              </w:tabs>
              <w:jc w:val="center"/>
              <w:rPr>
                <w:sz w:val="20"/>
              </w:rPr>
            </w:pPr>
          </w:p>
        </w:tc>
        <w:tc>
          <w:tcPr>
            <w:tcW w:w="0" w:type="auto"/>
          </w:tcPr>
          <w:p w:rsidR="00F64210" w:rsidRPr="00D62602" w:rsidRDefault="00F64210" w:rsidP="00F64210">
            <w:pPr>
              <w:tabs>
                <w:tab w:val="left" w:pos="5400"/>
              </w:tabs>
              <w:rPr>
                <w:sz w:val="20"/>
              </w:rPr>
            </w:pPr>
            <w:r w:rsidRPr="00D62602">
              <w:rPr>
                <w:sz w:val="20"/>
              </w:rPr>
              <w:t>(</w:t>
            </w:r>
            <w:r w:rsidRPr="00D62602">
              <w:rPr>
                <w:i/>
                <w:sz w:val="20"/>
              </w:rPr>
              <w:t>c</w:t>
            </w:r>
            <w:r w:rsidRPr="00D62602">
              <w:rPr>
                <w:sz w:val="20"/>
              </w:rPr>
              <w:t>) Explain how missing data were addressed</w:t>
            </w:r>
          </w:p>
          <w:p w:rsidR="00F64210" w:rsidRPr="00D62602" w:rsidRDefault="00737A1C" w:rsidP="00F64210">
            <w:pPr>
              <w:tabs>
                <w:tab w:val="left" w:pos="5400"/>
              </w:tabs>
              <w:rPr>
                <w:sz w:val="20"/>
              </w:rPr>
            </w:pPr>
            <w:r>
              <w:rPr>
                <w:b/>
                <w:color w:val="0000FF"/>
                <w:sz w:val="20"/>
              </w:rPr>
              <w:t>PAGES 7</w:t>
            </w:r>
            <w:r w:rsidR="00F64210" w:rsidRPr="00C55146">
              <w:rPr>
                <w:b/>
                <w:color w:val="0000FF"/>
                <w:sz w:val="20"/>
              </w:rPr>
              <w:t>:</w:t>
            </w:r>
            <w:r w:rsidR="00F64210" w:rsidRPr="00C55146">
              <w:rPr>
                <w:sz w:val="20"/>
              </w:rPr>
              <w:t xml:space="preserve"> </w:t>
            </w:r>
            <w:r w:rsidR="00F64210" w:rsidRPr="00D62602">
              <w:rPr>
                <w:color w:val="0000FF"/>
                <w:lang w:val="en-US"/>
              </w:rPr>
              <w:t>Patients that were lost to follow-up were excluded form the study</w:t>
            </w:r>
          </w:p>
        </w:tc>
      </w:tr>
      <w:tr w:rsidR="00F64210" w:rsidRPr="0022554A">
        <w:tc>
          <w:tcPr>
            <w:tcW w:w="0" w:type="auto"/>
            <w:vMerge/>
          </w:tcPr>
          <w:p w:rsidR="00F64210" w:rsidRPr="0022554A" w:rsidRDefault="00F64210" w:rsidP="00F64210">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F64210" w:rsidRPr="0022554A" w:rsidRDefault="00F64210" w:rsidP="00F64210">
            <w:pPr>
              <w:tabs>
                <w:tab w:val="left" w:pos="5400"/>
              </w:tabs>
              <w:jc w:val="center"/>
              <w:rPr>
                <w:sz w:val="20"/>
              </w:rPr>
            </w:pPr>
          </w:p>
        </w:tc>
        <w:tc>
          <w:tcPr>
            <w:tcW w:w="0" w:type="auto"/>
          </w:tcPr>
          <w:p w:rsidR="00F64210" w:rsidRPr="00D62602" w:rsidRDefault="00F64210" w:rsidP="00F64210">
            <w:pPr>
              <w:tabs>
                <w:tab w:val="left" w:pos="5400"/>
              </w:tabs>
              <w:rPr>
                <w:sz w:val="20"/>
              </w:rPr>
            </w:pPr>
            <w:r w:rsidRPr="00D62602">
              <w:rPr>
                <w:sz w:val="20"/>
              </w:rPr>
              <w:t>(</w:t>
            </w:r>
            <w:r w:rsidRPr="00D62602">
              <w:rPr>
                <w:i/>
                <w:sz w:val="20"/>
              </w:rPr>
              <w:t>d</w:t>
            </w:r>
            <w:r w:rsidRPr="00D62602">
              <w:rPr>
                <w:sz w:val="20"/>
              </w:rPr>
              <w:t xml:space="preserve">) </w:t>
            </w:r>
            <w:r w:rsidRPr="00D62602">
              <w:rPr>
                <w:bCs/>
                <w:i/>
                <w:sz w:val="20"/>
              </w:rPr>
              <w:t>Cohort study</w:t>
            </w:r>
            <w:r w:rsidRPr="00D62602">
              <w:rPr>
                <w:sz w:val="20"/>
              </w:rPr>
              <w:t>—If applicable, explain how loss to follow-up was addressed</w:t>
            </w:r>
          </w:p>
          <w:p w:rsidR="00F64210" w:rsidRPr="00D62602" w:rsidRDefault="00C3217B" w:rsidP="00F64210">
            <w:pPr>
              <w:tabs>
                <w:tab w:val="left" w:pos="5400"/>
              </w:tabs>
              <w:rPr>
                <w:sz w:val="20"/>
              </w:rPr>
            </w:pPr>
            <w:r>
              <w:rPr>
                <w:b/>
                <w:color w:val="0000FF"/>
                <w:sz w:val="20"/>
              </w:rPr>
              <w:t>PAGES 8</w:t>
            </w:r>
            <w:r w:rsidR="00F64210" w:rsidRPr="00C55146">
              <w:rPr>
                <w:b/>
                <w:color w:val="0000FF"/>
                <w:sz w:val="20"/>
              </w:rPr>
              <w:t>:</w:t>
            </w:r>
            <w:r w:rsidR="00F64210" w:rsidRPr="00C55146">
              <w:rPr>
                <w:sz w:val="20"/>
              </w:rPr>
              <w:t xml:space="preserve"> </w:t>
            </w:r>
            <w:r w:rsidR="00F64210" w:rsidRPr="00112260">
              <w:rPr>
                <w:color w:val="0000FF"/>
                <w:lang w:val="en-US"/>
              </w:rPr>
              <w:t>All patients were followed for a minimum period of 3 years (36-44 months). Sixteen patients were lost to follow up and excluded from the study and thus 196 patients (42 male and 154 female) remained to the final follow-up. The majority of these patients (173) received low-molecular-weight heparin (LMWH) for prevention of thrombosis, while 23 patients received fondaparinux.</w:t>
            </w:r>
          </w:p>
        </w:tc>
      </w:tr>
      <w:tr w:rsidR="00F64210" w:rsidRPr="0022554A">
        <w:tc>
          <w:tcPr>
            <w:tcW w:w="0" w:type="auto"/>
            <w:vMerge/>
          </w:tcPr>
          <w:p w:rsidR="00F64210" w:rsidRPr="0022554A" w:rsidRDefault="00F64210" w:rsidP="00F64210">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F64210" w:rsidRPr="0022554A" w:rsidRDefault="00F64210" w:rsidP="00F64210">
            <w:pPr>
              <w:tabs>
                <w:tab w:val="left" w:pos="5400"/>
              </w:tabs>
              <w:jc w:val="center"/>
              <w:rPr>
                <w:sz w:val="20"/>
              </w:rPr>
            </w:pPr>
          </w:p>
        </w:tc>
        <w:tc>
          <w:tcPr>
            <w:tcW w:w="0" w:type="auto"/>
          </w:tcPr>
          <w:p w:rsidR="00F64210" w:rsidRPr="0022554A" w:rsidRDefault="00F64210" w:rsidP="00F64210">
            <w:pPr>
              <w:tabs>
                <w:tab w:val="left" w:pos="5400"/>
              </w:tabs>
              <w:rPr>
                <w:sz w:val="20"/>
              </w:rPr>
            </w:pPr>
            <w:r w:rsidRPr="0022554A">
              <w:rPr>
                <w:sz w:val="20"/>
              </w:rPr>
              <w:t>(</w:t>
            </w:r>
            <w:r w:rsidRPr="00112260">
              <w:rPr>
                <w:i/>
                <w:sz w:val="20"/>
                <w:u w:val="single"/>
              </w:rPr>
              <w:t>e</w:t>
            </w:r>
            <w:r w:rsidRPr="00112260">
              <w:rPr>
                <w:sz w:val="20"/>
              </w:rPr>
              <w:t>) Describe any sensitivity analyses</w:t>
            </w:r>
          </w:p>
        </w:tc>
      </w:tr>
    </w:tbl>
    <w:p w:rsidR="00F64210" w:rsidRPr="004A32C8" w:rsidRDefault="00F64210">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25539" w:type="dxa"/>
        <w:tblBorders>
          <w:insideH w:val="single" w:sz="4" w:space="0" w:color="auto"/>
        </w:tblBorders>
        <w:tblLook w:val="0000"/>
      </w:tblPr>
      <w:tblGrid>
        <w:gridCol w:w="1510"/>
        <w:gridCol w:w="516"/>
        <w:gridCol w:w="15521"/>
        <w:gridCol w:w="222"/>
        <w:gridCol w:w="7770"/>
      </w:tblGrid>
      <w:tr w:rsidR="00F64210" w:rsidRPr="0022554A">
        <w:trPr>
          <w:gridAfter w:val="2"/>
        </w:trPr>
        <w:tc>
          <w:tcPr>
            <w:tcW w:w="0" w:type="auto"/>
            <w:gridSpan w:val="3"/>
          </w:tcPr>
          <w:p w:rsidR="00F64210" w:rsidRPr="0022554A" w:rsidRDefault="00F64210" w:rsidP="00F64210">
            <w:pPr>
              <w:pStyle w:val="TableSubHead"/>
              <w:tabs>
                <w:tab w:val="left" w:pos="5400"/>
              </w:tabs>
              <w:rPr>
                <w:sz w:val="20"/>
              </w:rPr>
            </w:pPr>
            <w:r w:rsidRPr="0022554A">
              <w:rPr>
                <w:sz w:val="20"/>
              </w:rPr>
              <w:lastRenderedPageBreak/>
              <w:t>Results</w:t>
            </w:r>
            <w:bookmarkEnd w:id="54"/>
            <w:bookmarkEnd w:id="55"/>
          </w:p>
        </w:tc>
      </w:tr>
      <w:tr w:rsidR="00F64210" w:rsidRPr="0022554A">
        <w:trPr>
          <w:gridAfter w:val="2"/>
        </w:trPr>
        <w:tc>
          <w:tcPr>
            <w:tcW w:w="0" w:type="auto"/>
            <w:vMerge w:val="restart"/>
          </w:tcPr>
          <w:p w:rsidR="00F64210" w:rsidRPr="0022554A" w:rsidRDefault="00F64210" w:rsidP="00F64210">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F64210" w:rsidRPr="0022554A" w:rsidRDefault="00F64210" w:rsidP="00F64210">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F64210" w:rsidRDefault="00F64210" w:rsidP="00F64210">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p w:rsidR="00F64210" w:rsidRDefault="00C3217B" w:rsidP="00F64210">
            <w:pPr>
              <w:tabs>
                <w:tab w:val="left" w:pos="5400"/>
              </w:tabs>
              <w:rPr>
                <w:color w:val="0000FF"/>
                <w:lang w:val="en-US"/>
              </w:rPr>
            </w:pPr>
            <w:r>
              <w:rPr>
                <w:b/>
                <w:color w:val="0000FF"/>
                <w:sz w:val="20"/>
              </w:rPr>
              <w:t>PAGES 8</w:t>
            </w:r>
            <w:r w:rsidR="00F64210" w:rsidRPr="00C55146">
              <w:rPr>
                <w:b/>
                <w:color w:val="0000FF"/>
                <w:sz w:val="20"/>
              </w:rPr>
              <w:t>:</w:t>
            </w:r>
            <w:r w:rsidR="00F64210" w:rsidRPr="00C55146">
              <w:rPr>
                <w:sz w:val="20"/>
              </w:rPr>
              <w:t xml:space="preserve"> </w:t>
            </w:r>
            <w:r w:rsidR="00F64210" w:rsidRPr="00112260">
              <w:rPr>
                <w:color w:val="0000FF"/>
                <w:lang w:val="en-US"/>
              </w:rPr>
              <w:t xml:space="preserve">All patients were followed for a minimum period of 3 years (36-44 months). </w:t>
            </w:r>
          </w:p>
          <w:p w:rsidR="00F64210" w:rsidRDefault="00F64210" w:rsidP="00F64210">
            <w:pPr>
              <w:tabs>
                <w:tab w:val="left" w:pos="5400"/>
              </w:tabs>
              <w:rPr>
                <w:color w:val="0000FF"/>
                <w:lang w:val="en-US"/>
              </w:rPr>
            </w:pPr>
            <w:r w:rsidRPr="00112260">
              <w:rPr>
                <w:color w:val="0000FF"/>
                <w:lang w:val="en-US"/>
              </w:rPr>
              <w:t xml:space="preserve">Sixteen patients were lost to follow up and excluded from the study and thus 196 patients </w:t>
            </w:r>
          </w:p>
          <w:p w:rsidR="00F64210" w:rsidRDefault="00F64210" w:rsidP="00F64210">
            <w:pPr>
              <w:tabs>
                <w:tab w:val="left" w:pos="5400"/>
              </w:tabs>
              <w:rPr>
                <w:color w:val="0000FF"/>
                <w:lang w:val="en-US"/>
              </w:rPr>
            </w:pPr>
            <w:r w:rsidRPr="00112260">
              <w:rPr>
                <w:color w:val="0000FF"/>
                <w:lang w:val="en-US"/>
              </w:rPr>
              <w:t xml:space="preserve">(42 male and 154 female) remained to the final follow-up. The majority of these patients </w:t>
            </w:r>
          </w:p>
          <w:p w:rsidR="00F64210" w:rsidRDefault="00F64210" w:rsidP="00F64210">
            <w:pPr>
              <w:tabs>
                <w:tab w:val="left" w:pos="5400"/>
              </w:tabs>
              <w:rPr>
                <w:color w:val="0000FF"/>
                <w:lang w:val="en-US"/>
              </w:rPr>
            </w:pPr>
            <w:r w:rsidRPr="00112260">
              <w:rPr>
                <w:color w:val="0000FF"/>
                <w:lang w:val="en-US"/>
              </w:rPr>
              <w:t xml:space="preserve">(173) received low-molecular-weight heparin (LMWH) for prevention of thrombosis, </w:t>
            </w:r>
          </w:p>
          <w:p w:rsidR="00F64210" w:rsidRPr="0022554A" w:rsidRDefault="00F64210" w:rsidP="00F64210">
            <w:pPr>
              <w:tabs>
                <w:tab w:val="left" w:pos="5400"/>
              </w:tabs>
              <w:rPr>
                <w:sz w:val="20"/>
              </w:rPr>
            </w:pPr>
            <w:r w:rsidRPr="00112260">
              <w:rPr>
                <w:color w:val="0000FF"/>
                <w:lang w:val="en-US"/>
              </w:rPr>
              <w:t>while 23 patients received fondaparinux.</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59" w:name="bold31" w:colFirst="0" w:colLast="0"/>
            <w:bookmarkStart w:id="60" w:name="italic32" w:colFirst="0" w:colLast="0"/>
          </w:p>
        </w:tc>
        <w:tc>
          <w:tcPr>
            <w:tcW w:w="0" w:type="auto"/>
            <w:vMerge/>
          </w:tcPr>
          <w:p w:rsidR="00F64210" w:rsidRPr="0022554A" w:rsidRDefault="00F64210" w:rsidP="00F64210">
            <w:pPr>
              <w:tabs>
                <w:tab w:val="left" w:pos="5400"/>
              </w:tabs>
              <w:jc w:val="center"/>
              <w:rPr>
                <w:sz w:val="20"/>
              </w:rPr>
            </w:pPr>
          </w:p>
        </w:tc>
        <w:tc>
          <w:tcPr>
            <w:tcW w:w="0" w:type="auto"/>
          </w:tcPr>
          <w:p w:rsidR="00F64210" w:rsidRPr="00112260" w:rsidRDefault="00F64210" w:rsidP="00F64210">
            <w:pPr>
              <w:tabs>
                <w:tab w:val="left" w:pos="5400"/>
              </w:tabs>
              <w:rPr>
                <w:sz w:val="20"/>
              </w:rPr>
            </w:pPr>
            <w:r w:rsidRPr="00112260">
              <w:rPr>
                <w:sz w:val="20"/>
              </w:rPr>
              <w:t>(b) Give reasons for non-participation at each stage</w:t>
            </w:r>
          </w:p>
          <w:p w:rsidR="00F64210" w:rsidRPr="00112260" w:rsidRDefault="00F64210" w:rsidP="00F64210">
            <w:pPr>
              <w:tabs>
                <w:tab w:val="left" w:pos="5400"/>
              </w:tabs>
              <w:rPr>
                <w:color w:val="0000FF"/>
                <w:sz w:val="20"/>
                <w:lang w:val="en-US"/>
              </w:rPr>
            </w:pPr>
            <w:r w:rsidRPr="00112260">
              <w:rPr>
                <w:color w:val="0000FF"/>
                <w:sz w:val="20"/>
                <w:lang w:val="en-US"/>
              </w:rPr>
              <w:t>PLEASE REFER TO PREVIOUS COMMENT</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F64210" w:rsidRPr="0022554A" w:rsidRDefault="00F64210" w:rsidP="00F64210">
            <w:pPr>
              <w:tabs>
                <w:tab w:val="left" w:pos="5400"/>
              </w:tabs>
              <w:jc w:val="center"/>
              <w:rPr>
                <w:sz w:val="20"/>
              </w:rPr>
            </w:pPr>
          </w:p>
        </w:tc>
        <w:tc>
          <w:tcPr>
            <w:tcW w:w="0" w:type="auto"/>
          </w:tcPr>
          <w:p w:rsidR="00F64210" w:rsidRPr="0022554A" w:rsidRDefault="00F64210" w:rsidP="00F64210">
            <w:pPr>
              <w:tabs>
                <w:tab w:val="left" w:pos="5400"/>
              </w:tabs>
              <w:rPr>
                <w:sz w:val="20"/>
              </w:rPr>
            </w:pPr>
            <w:bookmarkStart w:id="63" w:name="OLE_LINK4"/>
            <w:r>
              <w:rPr>
                <w:sz w:val="20"/>
              </w:rPr>
              <w:t xml:space="preserve">(c) </w:t>
            </w:r>
            <w:r w:rsidRPr="0022554A">
              <w:rPr>
                <w:sz w:val="20"/>
              </w:rPr>
              <w:t>Consider use of a flow diagram</w:t>
            </w:r>
            <w:bookmarkEnd w:id="63"/>
          </w:p>
        </w:tc>
      </w:tr>
      <w:tr w:rsidR="00F64210" w:rsidRPr="0022554A">
        <w:trPr>
          <w:gridAfter w:val="2"/>
        </w:trPr>
        <w:tc>
          <w:tcPr>
            <w:tcW w:w="0" w:type="auto"/>
            <w:vMerge w:val="restart"/>
          </w:tcPr>
          <w:p w:rsidR="00F64210" w:rsidRPr="0022554A" w:rsidRDefault="00F64210" w:rsidP="00F64210">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F64210" w:rsidRPr="0022554A" w:rsidRDefault="00F64210" w:rsidP="00F64210">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F64210" w:rsidRDefault="00F64210" w:rsidP="00F64210">
            <w:pPr>
              <w:tabs>
                <w:tab w:val="left" w:pos="5400"/>
              </w:tabs>
              <w:rPr>
                <w:sz w:val="20"/>
              </w:rPr>
            </w:pPr>
            <w:r>
              <w:rPr>
                <w:sz w:val="20"/>
              </w:rPr>
              <w:t xml:space="preserve">(a) </w:t>
            </w:r>
            <w:r w:rsidRPr="0022554A">
              <w:rPr>
                <w:sz w:val="20"/>
              </w:rPr>
              <w:t>Give characteristics of study participants (eg demographic, clinical, social) and information on exposures</w:t>
            </w:r>
          </w:p>
          <w:p w:rsidR="00F64210" w:rsidRDefault="00F64210" w:rsidP="00F64210">
            <w:pPr>
              <w:tabs>
                <w:tab w:val="left" w:pos="5400"/>
              </w:tabs>
              <w:rPr>
                <w:sz w:val="20"/>
              </w:rPr>
            </w:pPr>
            <w:r w:rsidRPr="0022554A">
              <w:rPr>
                <w:sz w:val="20"/>
              </w:rPr>
              <w:t xml:space="preserve"> and potential confounders</w:t>
            </w:r>
          </w:p>
          <w:p w:rsidR="00F64210" w:rsidRDefault="00737A1C" w:rsidP="00F64210">
            <w:pPr>
              <w:tabs>
                <w:tab w:val="left" w:pos="5400"/>
              </w:tabs>
              <w:rPr>
                <w:color w:val="0000FF"/>
                <w:lang w:val="en-US"/>
              </w:rPr>
            </w:pPr>
            <w:r>
              <w:rPr>
                <w:b/>
                <w:color w:val="0000FF"/>
                <w:sz w:val="20"/>
              </w:rPr>
              <w:t>PAGES 7-8</w:t>
            </w:r>
            <w:r w:rsidR="00F64210" w:rsidRPr="00C55146">
              <w:rPr>
                <w:b/>
                <w:color w:val="0000FF"/>
                <w:sz w:val="20"/>
              </w:rPr>
              <w:t>:</w:t>
            </w:r>
            <w:r w:rsidR="00F64210" w:rsidRPr="00C55146">
              <w:rPr>
                <w:sz w:val="20"/>
              </w:rPr>
              <w:t xml:space="preserve"> </w:t>
            </w:r>
            <w:r w:rsidR="00F64210" w:rsidRPr="00112260">
              <w:rPr>
                <w:color w:val="0000FF"/>
                <w:lang w:val="en-US"/>
              </w:rPr>
              <w:t xml:space="preserve">All patients were followed for a minimum period of 3 years (36-44 months). </w:t>
            </w:r>
          </w:p>
          <w:p w:rsidR="00F64210" w:rsidRDefault="00F64210" w:rsidP="00F64210">
            <w:pPr>
              <w:tabs>
                <w:tab w:val="left" w:pos="5400"/>
              </w:tabs>
              <w:rPr>
                <w:color w:val="0000FF"/>
                <w:lang w:val="en-US"/>
              </w:rPr>
            </w:pPr>
            <w:r w:rsidRPr="00112260">
              <w:rPr>
                <w:color w:val="0000FF"/>
                <w:lang w:val="en-US"/>
              </w:rPr>
              <w:t xml:space="preserve">Sixteen patients were lost to follow up and excluded from the study and thus 196 patients </w:t>
            </w:r>
          </w:p>
          <w:p w:rsidR="00F64210" w:rsidRDefault="00F64210" w:rsidP="00F64210">
            <w:pPr>
              <w:tabs>
                <w:tab w:val="left" w:pos="5400"/>
              </w:tabs>
              <w:rPr>
                <w:color w:val="0000FF"/>
                <w:lang w:val="en-US"/>
              </w:rPr>
            </w:pPr>
            <w:r w:rsidRPr="00112260">
              <w:rPr>
                <w:color w:val="0000FF"/>
                <w:lang w:val="en-US"/>
              </w:rPr>
              <w:t xml:space="preserve">(42 male and 154 female) remained to the final follow-up. The majority of these patients </w:t>
            </w:r>
          </w:p>
          <w:p w:rsidR="00F64210" w:rsidRDefault="00F64210" w:rsidP="00F64210">
            <w:pPr>
              <w:tabs>
                <w:tab w:val="left" w:pos="5400"/>
              </w:tabs>
              <w:rPr>
                <w:color w:val="0000FF"/>
                <w:lang w:val="en-US"/>
              </w:rPr>
            </w:pPr>
            <w:r w:rsidRPr="00112260">
              <w:rPr>
                <w:color w:val="0000FF"/>
                <w:lang w:val="en-US"/>
              </w:rPr>
              <w:t xml:space="preserve">(173) received low-molecular-weight heparin (LMWH) for prevention of thrombosis, </w:t>
            </w:r>
          </w:p>
          <w:p w:rsidR="00F64210" w:rsidRPr="0022554A" w:rsidRDefault="00F64210" w:rsidP="00F64210">
            <w:pPr>
              <w:tabs>
                <w:tab w:val="left" w:pos="5400"/>
              </w:tabs>
              <w:rPr>
                <w:sz w:val="20"/>
              </w:rPr>
            </w:pPr>
            <w:r w:rsidRPr="00112260">
              <w:rPr>
                <w:color w:val="0000FF"/>
                <w:lang w:val="en-US"/>
              </w:rPr>
              <w:t>while 23 patients received fondaparinux</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69" w:name="bold36" w:colFirst="0" w:colLast="0"/>
            <w:bookmarkStart w:id="70" w:name="italic36" w:colFirst="0" w:colLast="0"/>
          </w:p>
        </w:tc>
        <w:tc>
          <w:tcPr>
            <w:tcW w:w="0" w:type="auto"/>
            <w:vMerge/>
          </w:tcPr>
          <w:p w:rsidR="00F64210" w:rsidRPr="0022554A" w:rsidRDefault="00F64210" w:rsidP="00F64210">
            <w:pPr>
              <w:tabs>
                <w:tab w:val="left" w:pos="5400"/>
              </w:tabs>
              <w:jc w:val="center"/>
              <w:rPr>
                <w:sz w:val="20"/>
              </w:rPr>
            </w:pPr>
          </w:p>
        </w:tc>
        <w:tc>
          <w:tcPr>
            <w:tcW w:w="0" w:type="auto"/>
          </w:tcPr>
          <w:p w:rsidR="00F64210" w:rsidRDefault="00F64210" w:rsidP="00F64210">
            <w:pPr>
              <w:tabs>
                <w:tab w:val="left" w:pos="5400"/>
              </w:tabs>
              <w:rPr>
                <w:sz w:val="20"/>
              </w:rPr>
            </w:pPr>
            <w:r>
              <w:rPr>
                <w:sz w:val="20"/>
              </w:rPr>
              <w:t xml:space="preserve">(b) </w:t>
            </w:r>
            <w:r w:rsidRPr="0022554A">
              <w:rPr>
                <w:sz w:val="20"/>
              </w:rPr>
              <w:t>Indicate number of participants with missing data for each variable of interest</w:t>
            </w:r>
          </w:p>
          <w:p w:rsidR="00F64210" w:rsidRPr="00112260" w:rsidRDefault="00F64210" w:rsidP="00F64210">
            <w:pPr>
              <w:tabs>
                <w:tab w:val="left" w:pos="5400"/>
              </w:tabs>
              <w:rPr>
                <w:sz w:val="20"/>
              </w:rPr>
            </w:pPr>
            <w:r w:rsidRPr="00112260">
              <w:rPr>
                <w:color w:val="0000FF"/>
                <w:sz w:val="20"/>
                <w:lang w:val="en-US"/>
              </w:rPr>
              <w:t>PLEASE REFER TO PREVIOUS COMMENT</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F64210" w:rsidRPr="0022554A" w:rsidRDefault="00F64210" w:rsidP="00F64210">
            <w:pPr>
              <w:tabs>
                <w:tab w:val="left" w:pos="5400"/>
              </w:tabs>
              <w:jc w:val="center"/>
              <w:rPr>
                <w:sz w:val="20"/>
              </w:rPr>
            </w:pPr>
          </w:p>
        </w:tc>
        <w:tc>
          <w:tcPr>
            <w:tcW w:w="0" w:type="auto"/>
          </w:tcPr>
          <w:p w:rsidR="00F64210" w:rsidRDefault="00F64210" w:rsidP="00F64210">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p w:rsidR="00F64210" w:rsidRPr="00112260" w:rsidRDefault="00F64210" w:rsidP="00F64210">
            <w:pPr>
              <w:tabs>
                <w:tab w:val="left" w:pos="5400"/>
              </w:tabs>
              <w:rPr>
                <w:sz w:val="20"/>
              </w:rPr>
            </w:pPr>
            <w:r w:rsidRPr="00112260">
              <w:rPr>
                <w:color w:val="0000FF"/>
                <w:sz w:val="20"/>
                <w:lang w:val="en-US"/>
              </w:rPr>
              <w:t>PLEASE REFER TO PREVIOUS COMMENT</w:t>
            </w:r>
          </w:p>
        </w:tc>
      </w:tr>
      <w:tr w:rsidR="00F64210" w:rsidRPr="0022554A">
        <w:trPr>
          <w:gridAfter w:val="2"/>
          <w:trHeight w:val="295"/>
        </w:trPr>
        <w:tc>
          <w:tcPr>
            <w:tcW w:w="0" w:type="auto"/>
            <w:vMerge w:val="restart"/>
          </w:tcPr>
          <w:p w:rsidR="00F64210" w:rsidRPr="0022554A" w:rsidRDefault="00F64210" w:rsidP="00F64210">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F64210" w:rsidRPr="0022554A" w:rsidRDefault="00F64210" w:rsidP="00F64210">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rsidR="00F64210" w:rsidRDefault="00F64210" w:rsidP="00F64210">
            <w:pPr>
              <w:tabs>
                <w:tab w:val="left" w:pos="5400"/>
              </w:tabs>
              <w:rPr>
                <w:sz w:val="20"/>
              </w:rPr>
            </w:pPr>
            <w:r w:rsidRPr="0022554A">
              <w:rPr>
                <w:i/>
                <w:sz w:val="20"/>
              </w:rPr>
              <w:t>Cohort study</w:t>
            </w:r>
            <w:r w:rsidRPr="0022554A">
              <w:rPr>
                <w:sz w:val="20"/>
              </w:rPr>
              <w:t>—Report numbers of outcome events or summary measures over time</w:t>
            </w:r>
          </w:p>
          <w:p w:rsidR="00F64210" w:rsidRDefault="00737A1C" w:rsidP="00F64210">
            <w:pPr>
              <w:tabs>
                <w:tab w:val="left" w:pos="5400"/>
              </w:tabs>
              <w:rPr>
                <w:color w:val="0000FF"/>
                <w:lang w:val="en-US"/>
              </w:rPr>
            </w:pPr>
            <w:r>
              <w:rPr>
                <w:b/>
                <w:color w:val="0000FF"/>
                <w:sz w:val="20"/>
              </w:rPr>
              <w:t>PAGES 7-10</w:t>
            </w:r>
            <w:r w:rsidR="00F64210" w:rsidRPr="00C55146">
              <w:rPr>
                <w:b/>
                <w:color w:val="0000FF"/>
                <w:sz w:val="20"/>
              </w:rPr>
              <w:t>:</w:t>
            </w:r>
            <w:r w:rsidR="00F64210" w:rsidRPr="00C55146">
              <w:rPr>
                <w:sz w:val="20"/>
              </w:rPr>
              <w:t xml:space="preserve"> </w:t>
            </w:r>
            <w:r w:rsidR="00F64210" w:rsidRPr="006408E0">
              <w:rPr>
                <w:color w:val="0000FF"/>
                <w:lang w:val="en-US"/>
              </w:rPr>
              <w:t xml:space="preserve">Thrombocytopenia, defined as 50% decrease of platelets from the </w:t>
            </w:r>
          </w:p>
          <w:p w:rsidR="00F64210" w:rsidRDefault="00F64210" w:rsidP="00F64210">
            <w:pPr>
              <w:tabs>
                <w:tab w:val="left" w:pos="5400"/>
              </w:tabs>
              <w:rPr>
                <w:color w:val="0000FF"/>
                <w:lang w:val="en-US"/>
              </w:rPr>
            </w:pPr>
            <w:r w:rsidRPr="006408E0">
              <w:rPr>
                <w:color w:val="0000FF"/>
                <w:lang w:val="en-US"/>
              </w:rPr>
              <w:t xml:space="preserve">pre-operative (and pre-anticoagulant administration) platelet count [4,9,22-24] was </w:t>
            </w:r>
          </w:p>
          <w:p w:rsidR="00F64210" w:rsidRDefault="00F64210" w:rsidP="00F64210">
            <w:pPr>
              <w:tabs>
                <w:tab w:val="left" w:pos="5400"/>
              </w:tabs>
              <w:spacing w:line="240" w:lineRule="auto"/>
              <w:rPr>
                <w:color w:val="0000FF"/>
                <w:lang w:val="en-US"/>
              </w:rPr>
            </w:pPr>
            <w:r w:rsidRPr="006408E0">
              <w:rPr>
                <w:color w:val="0000FF"/>
                <w:lang w:val="en-US"/>
              </w:rPr>
              <w:t xml:space="preserve">observed in 30 patients (15.3%) the first 4 postoperative days and in 2 additional patients </w:t>
            </w:r>
          </w:p>
          <w:p w:rsidR="00F64210" w:rsidRPr="0042352F" w:rsidRDefault="00F64210" w:rsidP="00F64210">
            <w:pPr>
              <w:tabs>
                <w:tab w:val="left" w:pos="5400"/>
              </w:tabs>
              <w:spacing w:line="240" w:lineRule="auto"/>
              <w:rPr>
                <w:color w:val="0000FF"/>
                <w:lang w:val="en-US"/>
              </w:rPr>
            </w:pPr>
            <w:r w:rsidRPr="0042352F">
              <w:rPr>
                <w:color w:val="0000FF"/>
                <w:lang w:val="en-US"/>
              </w:rPr>
              <w:t>the postoperative days 5-7.</w:t>
            </w:r>
          </w:p>
          <w:p w:rsidR="00F64210" w:rsidRPr="0042352F" w:rsidRDefault="00F64210" w:rsidP="00F64210">
            <w:pPr>
              <w:tabs>
                <w:tab w:val="left" w:pos="5400"/>
              </w:tabs>
              <w:spacing w:line="240" w:lineRule="auto"/>
              <w:rPr>
                <w:color w:val="0000FF"/>
                <w:lang w:val="en-US"/>
              </w:rPr>
            </w:pPr>
            <w:r w:rsidRPr="0042352F">
              <w:rPr>
                <w:color w:val="0000FF"/>
                <w:lang w:val="en-US"/>
              </w:rPr>
              <w:t>…….</w:t>
            </w:r>
          </w:p>
          <w:p w:rsidR="00F64210" w:rsidRPr="0042352F" w:rsidRDefault="00F64210" w:rsidP="00F64210">
            <w:pPr>
              <w:tabs>
                <w:tab w:val="left" w:pos="5400"/>
              </w:tabs>
              <w:spacing w:line="240" w:lineRule="auto"/>
              <w:rPr>
                <w:color w:val="0000FF"/>
                <w:lang w:val="en-US"/>
              </w:rPr>
            </w:pPr>
            <w:r w:rsidRPr="0042352F">
              <w:rPr>
                <w:color w:val="0000FF"/>
                <w:lang w:val="en-US"/>
              </w:rPr>
              <w:t xml:space="preserve">Repeated measurements analysis for the comparison of the platelet counts </w:t>
            </w:r>
          </w:p>
          <w:p w:rsidR="00F64210" w:rsidRPr="0042352F" w:rsidRDefault="00F64210" w:rsidP="00F64210">
            <w:pPr>
              <w:tabs>
                <w:tab w:val="left" w:pos="5400"/>
              </w:tabs>
              <w:spacing w:line="240" w:lineRule="auto"/>
              <w:rPr>
                <w:color w:val="0000FF"/>
                <w:lang w:val="en-US"/>
              </w:rPr>
            </w:pPr>
            <w:r w:rsidRPr="0042352F">
              <w:rPr>
                <w:color w:val="0000FF"/>
                <w:lang w:val="en-US"/>
              </w:rPr>
              <w:t>pre-operatively and the first post-operative days show a fluctuation in counts.</w:t>
            </w:r>
          </w:p>
          <w:p w:rsidR="00F64210" w:rsidRPr="0042352F" w:rsidRDefault="00F64210" w:rsidP="00F64210">
            <w:pPr>
              <w:tabs>
                <w:tab w:val="left" w:pos="5400"/>
              </w:tabs>
              <w:spacing w:line="240" w:lineRule="auto"/>
              <w:rPr>
                <w:color w:val="0000FF"/>
                <w:lang w:val="en-US"/>
              </w:rPr>
            </w:pPr>
            <w:r w:rsidRPr="0042352F">
              <w:rPr>
                <w:color w:val="0000FF"/>
                <w:lang w:val="en-US"/>
              </w:rPr>
              <w:t>……</w:t>
            </w:r>
          </w:p>
          <w:p w:rsidR="00F64210" w:rsidRPr="0042352F" w:rsidRDefault="00F64210" w:rsidP="00F64210">
            <w:pPr>
              <w:tabs>
                <w:tab w:val="left" w:pos="5400"/>
              </w:tabs>
              <w:spacing w:line="240" w:lineRule="auto"/>
              <w:rPr>
                <w:color w:val="0000FF"/>
                <w:lang w:val="en-US"/>
              </w:rPr>
            </w:pPr>
            <w:r w:rsidRPr="0042352F">
              <w:rPr>
                <w:color w:val="0000FF"/>
                <w:lang w:val="en-US"/>
              </w:rPr>
              <w:t xml:space="preserve">Eighteen of 196 patients (9.2%) developed anti-PF4/heparin antibodies. </w:t>
            </w:r>
          </w:p>
          <w:p w:rsidR="00F64210" w:rsidRPr="0042352F" w:rsidRDefault="00F64210" w:rsidP="00F64210">
            <w:pPr>
              <w:tabs>
                <w:tab w:val="left" w:pos="5400"/>
              </w:tabs>
              <w:spacing w:line="240" w:lineRule="auto"/>
              <w:rPr>
                <w:color w:val="0000FF"/>
                <w:lang w:val="en-US"/>
              </w:rPr>
            </w:pPr>
            <w:r w:rsidRPr="0042352F">
              <w:rPr>
                <w:color w:val="0000FF"/>
                <w:lang w:val="en-US"/>
              </w:rPr>
              <w:t xml:space="preserve">The incidence of these antibodies was 12/173 (6.9%) for LMWH and 6/23 (26.1 %) for </w:t>
            </w:r>
          </w:p>
          <w:p w:rsidR="00F64210" w:rsidRPr="0042352F" w:rsidRDefault="00F64210" w:rsidP="00F64210">
            <w:pPr>
              <w:tabs>
                <w:tab w:val="left" w:pos="5400"/>
              </w:tabs>
              <w:spacing w:line="240" w:lineRule="auto"/>
              <w:rPr>
                <w:color w:val="0000FF"/>
                <w:lang w:val="en-US"/>
              </w:rPr>
            </w:pPr>
            <w:r w:rsidRPr="0042352F">
              <w:rPr>
                <w:color w:val="0000FF"/>
                <w:lang w:val="en-US"/>
              </w:rPr>
              <w:t>fondaparinux.</w:t>
            </w:r>
          </w:p>
          <w:p w:rsidR="00F64210" w:rsidRDefault="00F64210" w:rsidP="00F64210">
            <w:pPr>
              <w:tabs>
                <w:tab w:val="left" w:pos="5400"/>
              </w:tabs>
              <w:spacing w:line="240" w:lineRule="auto"/>
              <w:rPr>
                <w:color w:val="0000FF"/>
                <w:lang w:val="en-US"/>
              </w:rPr>
            </w:pPr>
            <w:r w:rsidRPr="0042352F">
              <w:rPr>
                <w:color w:val="0000FF"/>
                <w:lang w:val="en-US"/>
              </w:rPr>
              <w:t>……</w:t>
            </w:r>
          </w:p>
          <w:p w:rsidR="00F64210" w:rsidRDefault="00F64210" w:rsidP="00F64210">
            <w:pPr>
              <w:tabs>
                <w:tab w:val="left" w:pos="5400"/>
              </w:tabs>
              <w:spacing w:line="240" w:lineRule="auto"/>
              <w:rPr>
                <w:color w:val="0000FF"/>
                <w:lang w:val="en-US"/>
              </w:rPr>
            </w:pPr>
            <w:r w:rsidRPr="0042352F">
              <w:rPr>
                <w:color w:val="0000FF"/>
                <w:lang w:val="en-US"/>
              </w:rPr>
              <w:t xml:space="preserve">There was a peak for the appearance of anti-PF4/heparin antibodies during the 7th </w:t>
            </w:r>
            <w:r>
              <w:rPr>
                <w:color w:val="0000FF"/>
                <w:lang w:val="en-US"/>
              </w:rPr>
              <w:t xml:space="preserve"> </w:t>
            </w:r>
          </w:p>
          <w:p w:rsidR="00F64210" w:rsidRDefault="00F64210" w:rsidP="00F64210">
            <w:pPr>
              <w:tabs>
                <w:tab w:val="left" w:pos="5400"/>
              </w:tabs>
              <w:spacing w:line="240" w:lineRule="auto"/>
              <w:rPr>
                <w:color w:val="0000FF"/>
                <w:lang w:val="en-US"/>
              </w:rPr>
            </w:pPr>
            <w:r w:rsidRPr="0042352F">
              <w:rPr>
                <w:color w:val="0000FF"/>
                <w:lang w:val="en-US"/>
              </w:rPr>
              <w:t xml:space="preserve">postoperative day (9/18 patients, 50.0%). </w:t>
            </w:r>
          </w:p>
          <w:p w:rsidR="00F64210" w:rsidRDefault="00F64210" w:rsidP="00F64210">
            <w:pPr>
              <w:tabs>
                <w:tab w:val="left" w:pos="5400"/>
              </w:tabs>
              <w:spacing w:line="240" w:lineRule="auto"/>
              <w:rPr>
                <w:color w:val="0000FF"/>
                <w:lang w:val="en-US"/>
              </w:rPr>
            </w:pPr>
            <w:r w:rsidRPr="0042352F">
              <w:rPr>
                <w:color w:val="0000FF"/>
                <w:lang w:val="en-US"/>
              </w:rPr>
              <w:t>……..</w:t>
            </w:r>
          </w:p>
          <w:p w:rsidR="00F64210" w:rsidRDefault="00F64210" w:rsidP="00F64210">
            <w:pPr>
              <w:tabs>
                <w:tab w:val="left" w:pos="5400"/>
              </w:tabs>
              <w:spacing w:line="240" w:lineRule="auto"/>
              <w:rPr>
                <w:color w:val="0000FF"/>
                <w:lang w:val="en-US"/>
              </w:rPr>
            </w:pPr>
            <w:r w:rsidRPr="0042352F">
              <w:rPr>
                <w:color w:val="0000FF"/>
                <w:lang w:val="en-US"/>
              </w:rPr>
              <w:t xml:space="preserve">Four of 196 patients (2.04 %) developed HIT (defined as platelet counts &lt;50% of </w:t>
            </w:r>
          </w:p>
          <w:p w:rsidR="00F64210" w:rsidRDefault="00F64210" w:rsidP="00F64210">
            <w:pPr>
              <w:tabs>
                <w:tab w:val="left" w:pos="5400"/>
              </w:tabs>
              <w:spacing w:line="240" w:lineRule="auto"/>
              <w:rPr>
                <w:color w:val="0000FF"/>
                <w:lang w:val="en-US"/>
              </w:rPr>
            </w:pPr>
            <w:r w:rsidRPr="0042352F">
              <w:rPr>
                <w:color w:val="0000FF"/>
                <w:lang w:val="en-US"/>
              </w:rPr>
              <w:t xml:space="preserve">preoperative values and presence of anti-PF4/heparin antibodies). Two of these patients </w:t>
            </w:r>
          </w:p>
          <w:p w:rsidR="00F64210" w:rsidRDefault="00F64210" w:rsidP="00F64210">
            <w:pPr>
              <w:tabs>
                <w:tab w:val="left" w:pos="5400"/>
              </w:tabs>
              <w:spacing w:line="240" w:lineRule="auto"/>
              <w:rPr>
                <w:color w:val="0000FF"/>
                <w:lang w:val="en-US"/>
              </w:rPr>
            </w:pPr>
            <w:r w:rsidRPr="0042352F">
              <w:rPr>
                <w:color w:val="0000FF"/>
                <w:lang w:val="en-US"/>
              </w:rPr>
              <w:t xml:space="preserve">developed the antibodies in the first postoperative week, while the other 2 patients </w:t>
            </w:r>
          </w:p>
          <w:p w:rsidR="00F64210" w:rsidRDefault="00F64210" w:rsidP="00F64210">
            <w:pPr>
              <w:tabs>
                <w:tab w:val="left" w:pos="5400"/>
              </w:tabs>
              <w:spacing w:line="240" w:lineRule="auto"/>
              <w:rPr>
                <w:color w:val="0000FF"/>
                <w:lang w:val="en-US"/>
              </w:rPr>
            </w:pPr>
            <w:r w:rsidRPr="0042352F">
              <w:rPr>
                <w:color w:val="0000FF"/>
                <w:lang w:val="en-US"/>
              </w:rPr>
              <w:t xml:space="preserve">developed the antibodies later, between the second postoperative week and the third month. </w:t>
            </w:r>
          </w:p>
          <w:p w:rsidR="00F64210" w:rsidRDefault="00F64210" w:rsidP="00F64210">
            <w:pPr>
              <w:tabs>
                <w:tab w:val="left" w:pos="5400"/>
              </w:tabs>
              <w:spacing w:line="240" w:lineRule="auto"/>
              <w:rPr>
                <w:color w:val="0000FF"/>
                <w:lang w:val="en-US"/>
              </w:rPr>
            </w:pPr>
            <w:r w:rsidRPr="0042352F">
              <w:rPr>
                <w:color w:val="0000FF"/>
                <w:lang w:val="en-US"/>
              </w:rPr>
              <w:t>……..</w:t>
            </w:r>
          </w:p>
          <w:p w:rsidR="00F64210" w:rsidRDefault="00F64210" w:rsidP="00F64210">
            <w:pPr>
              <w:tabs>
                <w:tab w:val="left" w:pos="5400"/>
              </w:tabs>
              <w:spacing w:line="240" w:lineRule="auto"/>
              <w:rPr>
                <w:color w:val="0000FF"/>
                <w:lang w:val="en-US"/>
              </w:rPr>
            </w:pPr>
            <w:r w:rsidRPr="0042352F">
              <w:rPr>
                <w:color w:val="0000FF"/>
                <w:lang w:val="en-US"/>
              </w:rPr>
              <w:t xml:space="preserve">The FV1691G/A mutation was detected in five patients (2.6%), while heterozygosity </w:t>
            </w:r>
          </w:p>
          <w:p w:rsidR="00F64210" w:rsidRDefault="00F64210" w:rsidP="00F64210">
            <w:pPr>
              <w:tabs>
                <w:tab w:val="left" w:pos="5400"/>
              </w:tabs>
              <w:spacing w:line="240" w:lineRule="auto"/>
              <w:rPr>
                <w:color w:val="0000FF"/>
                <w:lang w:val="en-US"/>
              </w:rPr>
            </w:pPr>
            <w:r w:rsidRPr="0042352F">
              <w:rPr>
                <w:color w:val="0000FF"/>
                <w:lang w:val="en-US"/>
              </w:rPr>
              <w:t xml:space="preserve">and homozygosity for the G20210A mutation in the prothrombin gene was demonstrated </w:t>
            </w:r>
          </w:p>
          <w:p w:rsidR="00F64210" w:rsidRDefault="00F64210" w:rsidP="00F64210">
            <w:pPr>
              <w:tabs>
                <w:tab w:val="left" w:pos="5400"/>
              </w:tabs>
              <w:spacing w:line="240" w:lineRule="auto"/>
              <w:rPr>
                <w:color w:val="0000FF"/>
                <w:lang w:val="en-US"/>
              </w:rPr>
            </w:pPr>
            <w:r w:rsidRPr="0042352F">
              <w:rPr>
                <w:color w:val="0000FF"/>
                <w:lang w:val="en-US"/>
              </w:rPr>
              <w:t xml:space="preserve">in 8 (4.1%) and 2 (1%) patients, respectively. </w:t>
            </w:r>
          </w:p>
          <w:p w:rsidR="00F64210" w:rsidRDefault="00F64210" w:rsidP="00F64210">
            <w:pPr>
              <w:tabs>
                <w:tab w:val="left" w:pos="5400"/>
              </w:tabs>
              <w:spacing w:line="240" w:lineRule="auto"/>
              <w:rPr>
                <w:color w:val="0000FF"/>
                <w:lang w:val="en-US"/>
              </w:rPr>
            </w:pPr>
            <w:r w:rsidRPr="0042352F">
              <w:rPr>
                <w:color w:val="0000FF"/>
                <w:lang w:val="en-US"/>
              </w:rPr>
              <w:t>…….</w:t>
            </w:r>
          </w:p>
          <w:p w:rsidR="00F64210" w:rsidRDefault="00F64210" w:rsidP="00F64210">
            <w:pPr>
              <w:tabs>
                <w:tab w:val="left" w:pos="5400"/>
              </w:tabs>
              <w:spacing w:line="240" w:lineRule="auto"/>
              <w:rPr>
                <w:color w:val="0000FF"/>
                <w:lang w:val="en-US"/>
              </w:rPr>
            </w:pPr>
            <w:r w:rsidRPr="0042352F">
              <w:rPr>
                <w:color w:val="0000FF"/>
                <w:lang w:val="en-US"/>
              </w:rPr>
              <w:t xml:space="preserve">Symptomatic thrombotic events were observed in five of the 196 patients (two incidents </w:t>
            </w:r>
          </w:p>
          <w:p w:rsidR="00F64210" w:rsidRDefault="00F64210" w:rsidP="00F64210">
            <w:pPr>
              <w:tabs>
                <w:tab w:val="left" w:pos="5400"/>
              </w:tabs>
              <w:spacing w:line="240" w:lineRule="auto"/>
              <w:rPr>
                <w:color w:val="0000FF"/>
                <w:lang w:val="en-US"/>
              </w:rPr>
            </w:pPr>
            <w:r w:rsidRPr="0042352F">
              <w:rPr>
                <w:color w:val="0000FF"/>
                <w:lang w:val="en-US"/>
              </w:rPr>
              <w:t xml:space="preserve">of DVT, the 7th and 8th postoperative day; two incidents of PE, the 2nd and 14th </w:t>
            </w:r>
          </w:p>
          <w:p w:rsidR="00F64210" w:rsidRDefault="00F64210" w:rsidP="00F64210">
            <w:pPr>
              <w:tabs>
                <w:tab w:val="left" w:pos="5400"/>
              </w:tabs>
              <w:spacing w:line="240" w:lineRule="auto"/>
              <w:rPr>
                <w:color w:val="0000FF"/>
                <w:lang w:val="en-US"/>
              </w:rPr>
            </w:pPr>
            <w:r w:rsidRPr="0042352F">
              <w:rPr>
                <w:color w:val="0000FF"/>
                <w:lang w:val="en-US"/>
              </w:rPr>
              <w:t xml:space="preserve">postoperative day; and one MI, the 5th postoperative week], while the suspicion for DVT </w:t>
            </w:r>
          </w:p>
          <w:p w:rsidR="00F64210" w:rsidRPr="0042352F" w:rsidRDefault="00F64210" w:rsidP="00F64210">
            <w:pPr>
              <w:tabs>
                <w:tab w:val="left" w:pos="5400"/>
              </w:tabs>
              <w:spacing w:line="240" w:lineRule="auto"/>
              <w:rPr>
                <w:color w:val="0000FF"/>
                <w:lang w:val="en-US"/>
              </w:rPr>
            </w:pPr>
            <w:r w:rsidRPr="0042352F">
              <w:rPr>
                <w:color w:val="0000FF"/>
                <w:lang w:val="en-US"/>
              </w:rPr>
              <w:lastRenderedPageBreak/>
              <w:t>in 10 patients (between the 4th and 56th postoperative day)</w:t>
            </w:r>
            <w:r>
              <w:rPr>
                <w:color w:val="0000FF"/>
                <w:lang w:val="en-US"/>
              </w:rPr>
              <w:t xml:space="preserve"> </w:t>
            </w:r>
            <w:r w:rsidRPr="0042352F">
              <w:rPr>
                <w:color w:val="0000FF"/>
                <w:lang w:val="en-US"/>
              </w:rPr>
              <w:t xml:space="preserve">or PE in 2 patients (the 4th and 7th postoperative day) was not confirmed by the triplex or the pulmonary </w:t>
            </w:r>
          </w:p>
          <w:p w:rsidR="00F64210" w:rsidRPr="0042352F" w:rsidRDefault="00F64210" w:rsidP="00F64210">
            <w:pPr>
              <w:autoSpaceDE w:val="0"/>
              <w:autoSpaceDN w:val="0"/>
              <w:adjustRightInd w:val="0"/>
              <w:spacing w:line="240" w:lineRule="auto"/>
              <w:rPr>
                <w:color w:val="0000FF"/>
                <w:lang w:val="en-US"/>
              </w:rPr>
            </w:pPr>
            <w:r w:rsidRPr="0042352F">
              <w:rPr>
                <w:color w:val="0000FF"/>
                <w:lang w:val="en-US"/>
              </w:rPr>
              <w:t xml:space="preserve">ventilation/perfusion scan. </w:t>
            </w:r>
          </w:p>
          <w:p w:rsidR="00F64210" w:rsidRDefault="00F64210" w:rsidP="00F64210">
            <w:pPr>
              <w:autoSpaceDE w:val="0"/>
              <w:autoSpaceDN w:val="0"/>
              <w:adjustRightInd w:val="0"/>
              <w:spacing w:line="240" w:lineRule="auto"/>
              <w:rPr>
                <w:color w:val="0000FF"/>
                <w:lang w:val="en-US"/>
              </w:rPr>
            </w:pPr>
            <w:r w:rsidRPr="0042352F">
              <w:rPr>
                <w:color w:val="0000FF"/>
                <w:lang w:val="en-US"/>
              </w:rPr>
              <w:t xml:space="preserve">From the 5 patients that developed thrombotic complications, 2 had positive </w:t>
            </w:r>
          </w:p>
          <w:p w:rsidR="00F64210" w:rsidRDefault="00F64210" w:rsidP="00F64210">
            <w:pPr>
              <w:autoSpaceDE w:val="0"/>
              <w:autoSpaceDN w:val="0"/>
              <w:adjustRightInd w:val="0"/>
              <w:spacing w:line="240" w:lineRule="auto"/>
              <w:rPr>
                <w:color w:val="0000FF"/>
                <w:lang w:val="en-US"/>
              </w:rPr>
            </w:pPr>
            <w:r w:rsidRPr="0042352F">
              <w:rPr>
                <w:color w:val="0000FF"/>
                <w:lang w:val="en-US"/>
              </w:rPr>
              <w:t xml:space="preserve">anti-PF4/heparin antibodies and 2 patients (suffering from DVT and PE) were </w:t>
            </w:r>
          </w:p>
          <w:p w:rsidR="00F64210" w:rsidRPr="0042352F" w:rsidRDefault="00F64210" w:rsidP="00F64210">
            <w:pPr>
              <w:autoSpaceDE w:val="0"/>
              <w:autoSpaceDN w:val="0"/>
              <w:adjustRightInd w:val="0"/>
              <w:spacing w:line="240" w:lineRule="auto"/>
              <w:rPr>
                <w:color w:val="0000FF"/>
                <w:lang w:val="en-US"/>
              </w:rPr>
            </w:pPr>
            <w:r w:rsidRPr="0042352F">
              <w:rPr>
                <w:color w:val="0000FF"/>
                <w:lang w:val="en-US"/>
              </w:rPr>
              <w:t>heterozygote to both factor II and V mutations. ……………..</w:t>
            </w:r>
          </w:p>
          <w:p w:rsidR="00F64210" w:rsidRDefault="00F64210" w:rsidP="00F64210">
            <w:pPr>
              <w:tabs>
                <w:tab w:val="left" w:pos="5400"/>
              </w:tabs>
              <w:rPr>
                <w:color w:val="000000"/>
                <w:lang w:val="en-US"/>
              </w:rPr>
            </w:pPr>
          </w:p>
          <w:p w:rsidR="00F64210" w:rsidRPr="006408E0" w:rsidRDefault="00F64210" w:rsidP="00F64210">
            <w:pPr>
              <w:tabs>
                <w:tab w:val="left" w:pos="5400"/>
              </w:tabs>
              <w:rPr>
                <w:color w:val="0000FF"/>
                <w:lang w:val="en-US"/>
              </w:rPr>
            </w:pPr>
          </w:p>
        </w:tc>
      </w:tr>
      <w:bookmarkEnd w:id="73"/>
      <w:bookmarkEnd w:id="74"/>
      <w:tr w:rsidR="00F64210" w:rsidRPr="0022554A">
        <w:trPr>
          <w:gridAfter w:val="2"/>
          <w:trHeight w:val="294"/>
        </w:trPr>
        <w:tc>
          <w:tcPr>
            <w:tcW w:w="0" w:type="auto"/>
            <w:vMerge/>
          </w:tcPr>
          <w:p w:rsidR="00F64210" w:rsidRPr="0022554A" w:rsidRDefault="00F64210" w:rsidP="00F64210">
            <w:pPr>
              <w:tabs>
                <w:tab w:val="left" w:pos="5400"/>
              </w:tabs>
              <w:rPr>
                <w:bCs/>
                <w:sz w:val="20"/>
              </w:rPr>
            </w:pPr>
          </w:p>
        </w:tc>
        <w:tc>
          <w:tcPr>
            <w:tcW w:w="0" w:type="auto"/>
            <w:vMerge/>
          </w:tcPr>
          <w:p w:rsidR="00F64210" w:rsidRPr="0022554A" w:rsidRDefault="00F64210" w:rsidP="00F64210">
            <w:pPr>
              <w:tabs>
                <w:tab w:val="left" w:pos="5400"/>
              </w:tabs>
              <w:jc w:val="center"/>
              <w:rPr>
                <w:sz w:val="20"/>
              </w:rPr>
            </w:pPr>
          </w:p>
        </w:tc>
        <w:tc>
          <w:tcPr>
            <w:tcW w:w="0" w:type="auto"/>
          </w:tcPr>
          <w:p w:rsidR="00F64210" w:rsidRPr="006149D3" w:rsidRDefault="00F64210" w:rsidP="00F64210">
            <w:pPr>
              <w:tabs>
                <w:tab w:val="left" w:pos="5400"/>
              </w:tabs>
              <w:rPr>
                <w:sz w:val="20"/>
              </w:rPr>
            </w:pPr>
            <w:r w:rsidRPr="0022554A">
              <w:rPr>
                <w:i/>
                <w:sz w:val="20"/>
              </w:rPr>
              <w:t>Case-control study—</w:t>
            </w:r>
            <w:r w:rsidRPr="0022554A">
              <w:rPr>
                <w:sz w:val="20"/>
              </w:rPr>
              <w:t>Report numbers in each exposure category, or summary measures of exposure</w:t>
            </w:r>
            <w:r w:rsidR="00737A1C">
              <w:rPr>
                <w:sz w:val="20"/>
              </w:rPr>
              <w:t xml:space="preserve"> </w:t>
            </w: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r>
      <w:tr w:rsidR="00F64210" w:rsidRPr="0022554A">
        <w:trPr>
          <w:gridAfter w:val="2"/>
          <w:trHeight w:val="294"/>
        </w:trPr>
        <w:tc>
          <w:tcPr>
            <w:tcW w:w="0" w:type="auto"/>
            <w:vMerge/>
          </w:tcPr>
          <w:p w:rsidR="00F64210" w:rsidRPr="0022554A" w:rsidRDefault="00F64210" w:rsidP="00F64210">
            <w:pPr>
              <w:tabs>
                <w:tab w:val="left" w:pos="5400"/>
              </w:tabs>
              <w:rPr>
                <w:bCs/>
                <w:sz w:val="20"/>
              </w:rPr>
            </w:pPr>
          </w:p>
        </w:tc>
        <w:tc>
          <w:tcPr>
            <w:tcW w:w="0" w:type="auto"/>
            <w:vMerge/>
          </w:tcPr>
          <w:p w:rsidR="00F64210" w:rsidRPr="0022554A" w:rsidRDefault="00F64210" w:rsidP="00F64210">
            <w:pPr>
              <w:tabs>
                <w:tab w:val="left" w:pos="5400"/>
              </w:tabs>
              <w:jc w:val="center"/>
              <w:rPr>
                <w:sz w:val="20"/>
              </w:rPr>
            </w:pPr>
          </w:p>
        </w:tc>
        <w:tc>
          <w:tcPr>
            <w:tcW w:w="0" w:type="auto"/>
          </w:tcPr>
          <w:p w:rsidR="00F64210" w:rsidRPr="006149D3" w:rsidRDefault="00F64210" w:rsidP="00F64210">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r>
      <w:tr w:rsidR="00F64210" w:rsidRPr="0022554A">
        <w:trPr>
          <w:gridAfter w:val="2"/>
        </w:trPr>
        <w:tc>
          <w:tcPr>
            <w:tcW w:w="0" w:type="auto"/>
            <w:vMerge w:val="restart"/>
          </w:tcPr>
          <w:p w:rsidR="00F64210" w:rsidRPr="0022554A" w:rsidRDefault="00F64210" w:rsidP="00F64210">
            <w:pPr>
              <w:tabs>
                <w:tab w:val="left" w:pos="5400"/>
              </w:tabs>
              <w:rPr>
                <w:bCs/>
                <w:sz w:val="20"/>
              </w:rPr>
            </w:pPr>
            <w:bookmarkStart w:id="76" w:name="italic40" w:colFirst="0" w:colLast="0"/>
            <w:bookmarkStart w:id="77" w:name="bold41" w:colFirst="0" w:colLast="0"/>
            <w:r w:rsidRPr="0022554A">
              <w:rPr>
                <w:bCs/>
                <w:sz w:val="20"/>
              </w:rPr>
              <w:t>Main results</w:t>
            </w:r>
          </w:p>
        </w:tc>
        <w:tc>
          <w:tcPr>
            <w:tcW w:w="0" w:type="auto"/>
            <w:vMerge w:val="restart"/>
          </w:tcPr>
          <w:p w:rsidR="00F64210" w:rsidRPr="0022554A" w:rsidRDefault="00F64210" w:rsidP="00F64210">
            <w:pPr>
              <w:tabs>
                <w:tab w:val="left" w:pos="5400"/>
              </w:tabs>
              <w:jc w:val="center"/>
              <w:rPr>
                <w:sz w:val="20"/>
              </w:rPr>
            </w:pPr>
            <w:r w:rsidRPr="0022554A">
              <w:rPr>
                <w:sz w:val="20"/>
              </w:rPr>
              <w:t>16</w:t>
            </w:r>
          </w:p>
        </w:tc>
        <w:tc>
          <w:tcPr>
            <w:tcW w:w="0" w:type="auto"/>
          </w:tcPr>
          <w:p w:rsidR="00F64210" w:rsidRPr="006149D3" w:rsidRDefault="00F64210" w:rsidP="00F6421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F64210" w:rsidRPr="0022554A" w:rsidRDefault="00F64210" w:rsidP="00F64210">
            <w:pPr>
              <w:tabs>
                <w:tab w:val="left" w:pos="5400"/>
              </w:tabs>
              <w:jc w:val="center"/>
              <w:rPr>
                <w:sz w:val="20"/>
              </w:rPr>
            </w:pPr>
          </w:p>
        </w:tc>
        <w:tc>
          <w:tcPr>
            <w:tcW w:w="0" w:type="auto"/>
          </w:tcPr>
          <w:p w:rsidR="00F64210" w:rsidRDefault="00F64210" w:rsidP="00F64210">
            <w:pPr>
              <w:tabs>
                <w:tab w:val="left" w:pos="5400"/>
              </w:tabs>
              <w:rPr>
                <w:sz w:val="20"/>
              </w:rPr>
            </w:pPr>
            <w:r w:rsidRPr="0022554A">
              <w:rPr>
                <w:sz w:val="20"/>
              </w:rPr>
              <w:t>Report other analyses done—eg analyses of subgroups and interactions, and sensitivity analyses</w:t>
            </w:r>
          </w:p>
          <w:p w:rsidR="00F64210" w:rsidRPr="0022554A" w:rsidRDefault="00F64210" w:rsidP="00F64210">
            <w:pPr>
              <w:tabs>
                <w:tab w:val="left" w:pos="5400"/>
              </w:tabs>
              <w:rPr>
                <w:sz w:val="20"/>
              </w:rPr>
            </w:pPr>
            <w:r w:rsidRPr="0019128B">
              <w:rPr>
                <w:color w:val="0000FF"/>
                <w:lang w:val="en-US"/>
              </w:rPr>
              <w:t xml:space="preserve">PELASE REFER TO PAGES </w:t>
            </w:r>
            <w:r>
              <w:rPr>
                <w:color w:val="0000FF"/>
                <w:lang w:val="en-US"/>
              </w:rPr>
              <w:t>4-7</w:t>
            </w:r>
          </w:p>
        </w:tc>
      </w:tr>
      <w:tr w:rsidR="00F64210" w:rsidRPr="0022554A">
        <w:trPr>
          <w:gridAfter w:val="2"/>
        </w:trPr>
        <w:tc>
          <w:tcPr>
            <w:tcW w:w="0" w:type="auto"/>
            <w:vMerge/>
          </w:tcPr>
          <w:p w:rsidR="00F64210" w:rsidRPr="0022554A" w:rsidRDefault="00F64210" w:rsidP="00F64210">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F64210" w:rsidRPr="0022554A" w:rsidRDefault="00F64210" w:rsidP="00F64210">
            <w:pPr>
              <w:tabs>
                <w:tab w:val="left" w:pos="5400"/>
              </w:tabs>
              <w:jc w:val="center"/>
              <w:rPr>
                <w:sz w:val="20"/>
              </w:rPr>
            </w:pPr>
          </w:p>
        </w:tc>
        <w:tc>
          <w:tcPr>
            <w:tcW w:w="0" w:type="auto"/>
          </w:tcPr>
          <w:p w:rsidR="00F64210" w:rsidRPr="006149D3" w:rsidRDefault="00F64210" w:rsidP="00F6421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r>
      <w:tr w:rsidR="00F64210" w:rsidRPr="0022554A">
        <w:trPr>
          <w:gridAfter w:val="2"/>
        </w:trPr>
        <w:tc>
          <w:tcPr>
            <w:tcW w:w="0" w:type="auto"/>
          </w:tcPr>
          <w:p w:rsidR="00F64210" w:rsidRPr="0022554A" w:rsidRDefault="00F64210" w:rsidP="00F64210">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F64210" w:rsidRPr="0022554A" w:rsidRDefault="00F64210" w:rsidP="00F64210">
            <w:pPr>
              <w:tabs>
                <w:tab w:val="left" w:pos="5400"/>
              </w:tabs>
              <w:jc w:val="center"/>
              <w:rPr>
                <w:sz w:val="20"/>
              </w:rPr>
            </w:pPr>
            <w:r w:rsidRPr="0022554A">
              <w:rPr>
                <w:sz w:val="20"/>
              </w:rPr>
              <w:t>17</w:t>
            </w:r>
          </w:p>
        </w:tc>
        <w:tc>
          <w:tcPr>
            <w:tcW w:w="0" w:type="auto"/>
          </w:tcPr>
          <w:p w:rsidR="00F64210" w:rsidRDefault="00F64210" w:rsidP="00F64210">
            <w:pPr>
              <w:tabs>
                <w:tab w:val="left" w:pos="5400"/>
              </w:tabs>
              <w:rPr>
                <w:sz w:val="20"/>
              </w:rPr>
            </w:pPr>
            <w:r w:rsidRPr="0022554A">
              <w:rPr>
                <w:sz w:val="20"/>
              </w:rPr>
              <w:t>Summarise key results with reference to study objectives</w:t>
            </w:r>
          </w:p>
          <w:p w:rsidR="00F64210" w:rsidRPr="0022554A" w:rsidRDefault="00F64210" w:rsidP="00F64210">
            <w:pPr>
              <w:tabs>
                <w:tab w:val="left" w:pos="5400"/>
              </w:tabs>
              <w:rPr>
                <w:sz w:val="20"/>
              </w:rPr>
            </w:pPr>
            <w:r w:rsidRPr="0019128B">
              <w:rPr>
                <w:color w:val="0000FF"/>
                <w:lang w:val="en-US"/>
              </w:rPr>
              <w:t xml:space="preserve">PELASE REFER TO PAGES </w:t>
            </w:r>
            <w:r>
              <w:rPr>
                <w:color w:val="0000FF"/>
                <w:lang w:val="en-US"/>
              </w:rPr>
              <w:t>4-7</w:t>
            </w:r>
          </w:p>
        </w:tc>
      </w:tr>
      <w:tr w:rsidR="00F64210" w:rsidRPr="0022554A">
        <w:tc>
          <w:tcPr>
            <w:tcW w:w="0" w:type="auto"/>
            <w:gridSpan w:val="3"/>
          </w:tcPr>
          <w:p w:rsidR="00F64210" w:rsidRPr="0022554A" w:rsidRDefault="00F64210" w:rsidP="00F64210">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0" w:type="auto"/>
          </w:tcPr>
          <w:p w:rsidR="00F64210" w:rsidRPr="0022554A" w:rsidRDefault="00F64210">
            <w:pPr>
              <w:spacing w:line="240" w:lineRule="auto"/>
              <w:rPr>
                <w:sz w:val="20"/>
              </w:rPr>
            </w:pPr>
          </w:p>
        </w:tc>
        <w:tc>
          <w:tcPr>
            <w:tcW w:w="0" w:type="auto"/>
          </w:tcPr>
          <w:p w:rsidR="00F64210" w:rsidRPr="0022554A" w:rsidRDefault="00F64210" w:rsidP="00F64210">
            <w:pPr>
              <w:tabs>
                <w:tab w:val="left" w:pos="5400"/>
              </w:tabs>
              <w:rPr>
                <w:sz w:val="20"/>
              </w:rPr>
            </w:pPr>
            <w:r w:rsidRPr="0022554A">
              <w:rPr>
                <w:sz w:val="20"/>
              </w:rPr>
              <w:t>Discuss limitations of the study, taking into account sources of potential bias or imprecision. Discuss both direction and magnitude of any potential bias</w:t>
            </w:r>
          </w:p>
        </w:tc>
      </w:tr>
      <w:tr w:rsidR="00F64210" w:rsidRPr="0022554A">
        <w:trPr>
          <w:gridAfter w:val="2"/>
        </w:trPr>
        <w:tc>
          <w:tcPr>
            <w:tcW w:w="0" w:type="auto"/>
          </w:tcPr>
          <w:p w:rsidR="00F64210" w:rsidRPr="0022554A" w:rsidRDefault="00F64210" w:rsidP="00F64210">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F64210" w:rsidRPr="0022554A" w:rsidRDefault="00F64210" w:rsidP="00F64210">
            <w:pPr>
              <w:tabs>
                <w:tab w:val="left" w:pos="5400"/>
              </w:tabs>
              <w:jc w:val="center"/>
              <w:rPr>
                <w:sz w:val="20"/>
              </w:rPr>
            </w:pPr>
            <w:r w:rsidRPr="0022554A">
              <w:rPr>
                <w:sz w:val="20"/>
              </w:rPr>
              <w:t>18</w:t>
            </w:r>
          </w:p>
        </w:tc>
        <w:tc>
          <w:tcPr>
            <w:tcW w:w="0" w:type="auto"/>
          </w:tcPr>
          <w:p w:rsidR="00F64210" w:rsidRDefault="00F64210" w:rsidP="00F64210">
            <w:pPr>
              <w:tabs>
                <w:tab w:val="left" w:pos="5400"/>
              </w:tabs>
              <w:rPr>
                <w:sz w:val="20"/>
              </w:rPr>
            </w:pPr>
            <w:r w:rsidRPr="0022554A">
              <w:rPr>
                <w:sz w:val="20"/>
              </w:rPr>
              <w:t xml:space="preserve">Give a cautious overall interpretation of results considering objectives, limitations, multiplicity of analyses, </w:t>
            </w:r>
          </w:p>
          <w:p w:rsidR="00F64210" w:rsidRDefault="00F64210" w:rsidP="00F64210">
            <w:pPr>
              <w:tabs>
                <w:tab w:val="left" w:pos="5400"/>
              </w:tabs>
              <w:rPr>
                <w:sz w:val="20"/>
              </w:rPr>
            </w:pPr>
            <w:r w:rsidRPr="0022554A">
              <w:rPr>
                <w:sz w:val="20"/>
              </w:rPr>
              <w:t>results from similar studies, and other relevant evidence</w:t>
            </w:r>
          </w:p>
          <w:p w:rsidR="00F64210" w:rsidRDefault="00F64210" w:rsidP="00F64210">
            <w:pPr>
              <w:spacing w:line="240" w:lineRule="auto"/>
              <w:rPr>
                <w:color w:val="3366FF"/>
                <w:lang w:val="en-US"/>
              </w:rPr>
            </w:pPr>
            <w:r>
              <w:rPr>
                <w:b/>
                <w:color w:val="3366FF"/>
                <w:lang w:val="en-US"/>
              </w:rPr>
              <w:t>PAGE 12</w:t>
            </w:r>
            <w:r w:rsidR="00C3217B">
              <w:rPr>
                <w:b/>
                <w:color w:val="3366FF"/>
                <w:lang w:val="en-US"/>
              </w:rPr>
              <w:t>-16</w:t>
            </w:r>
            <w:r w:rsidRPr="0019128B">
              <w:rPr>
                <w:b/>
                <w:color w:val="3366FF"/>
                <w:lang w:val="en-US"/>
              </w:rPr>
              <w:t>:</w:t>
            </w:r>
            <w:r w:rsidRPr="0019128B">
              <w:rPr>
                <w:color w:val="3366FF"/>
                <w:lang w:val="en-US"/>
              </w:rPr>
              <w:t xml:space="preserve"> Although the number of patients of our series was relatively small, statistical </w:t>
            </w:r>
          </w:p>
          <w:p w:rsidR="00F64210" w:rsidRDefault="00F64210" w:rsidP="00F64210">
            <w:pPr>
              <w:spacing w:line="240" w:lineRule="auto"/>
              <w:rPr>
                <w:color w:val="3366FF"/>
                <w:lang w:val="en-US"/>
              </w:rPr>
            </w:pPr>
            <w:r w:rsidRPr="0019128B">
              <w:rPr>
                <w:color w:val="3366FF"/>
                <w:lang w:val="en-US"/>
              </w:rPr>
              <w:t xml:space="preserve">analysis indicated that symptomatic thrombotic events were not correlated to </w:t>
            </w:r>
          </w:p>
          <w:p w:rsidR="00F64210" w:rsidRDefault="00F64210" w:rsidP="00F64210">
            <w:pPr>
              <w:spacing w:line="240" w:lineRule="auto"/>
              <w:rPr>
                <w:color w:val="3366FF"/>
                <w:lang w:val="en-US"/>
              </w:rPr>
            </w:pPr>
            <w:r w:rsidRPr="0019128B">
              <w:rPr>
                <w:color w:val="3366FF"/>
                <w:lang w:val="en-US"/>
              </w:rPr>
              <w:t xml:space="preserve">thrombocytopenia or HIT. The correlation of thrombotic events to the formation of </w:t>
            </w:r>
          </w:p>
          <w:p w:rsidR="00F64210" w:rsidRDefault="00F64210" w:rsidP="00F64210">
            <w:pPr>
              <w:spacing w:line="240" w:lineRule="auto"/>
              <w:rPr>
                <w:color w:val="3366FF"/>
                <w:lang w:val="en-US"/>
              </w:rPr>
            </w:pPr>
            <w:r w:rsidRPr="0019128B">
              <w:rPr>
                <w:color w:val="3366FF"/>
                <w:lang w:val="en-US"/>
              </w:rPr>
              <w:t xml:space="preserve">anti-PF4/heparin antibodies approached significance whereas mutations of factors II and </w:t>
            </w:r>
          </w:p>
          <w:p w:rsidR="00F64210" w:rsidRDefault="00F64210" w:rsidP="00F64210">
            <w:pPr>
              <w:spacing w:line="240" w:lineRule="auto"/>
              <w:rPr>
                <w:color w:val="3366FF"/>
                <w:lang w:val="en-US"/>
              </w:rPr>
            </w:pPr>
            <w:r w:rsidRPr="0019128B">
              <w:rPr>
                <w:color w:val="3366FF"/>
                <w:lang w:val="en-US"/>
              </w:rPr>
              <w:t xml:space="preserve">V were significantly correlated to symptomatic thrombosis. Thus the evaluation of </w:t>
            </w:r>
          </w:p>
          <w:p w:rsidR="00F64210" w:rsidRDefault="00F64210" w:rsidP="00F64210">
            <w:pPr>
              <w:spacing w:line="240" w:lineRule="auto"/>
              <w:rPr>
                <w:color w:val="3366FF"/>
                <w:lang w:val="en-US"/>
              </w:rPr>
            </w:pPr>
            <w:r w:rsidRPr="0019128B">
              <w:rPr>
                <w:color w:val="3366FF"/>
                <w:lang w:val="en-US"/>
              </w:rPr>
              <w:t xml:space="preserve">mutations of factors II and V preoperatively and the monitoring for formation of </w:t>
            </w:r>
          </w:p>
          <w:p w:rsidR="00F64210" w:rsidRDefault="00F64210" w:rsidP="00F64210">
            <w:pPr>
              <w:spacing w:line="240" w:lineRule="auto"/>
              <w:rPr>
                <w:color w:val="3366FF"/>
                <w:lang w:val="en-US"/>
              </w:rPr>
            </w:pPr>
            <w:r w:rsidRPr="0019128B">
              <w:rPr>
                <w:color w:val="3366FF"/>
                <w:lang w:val="en-US"/>
              </w:rPr>
              <w:t xml:space="preserve">anti-PF4/heparin antibodies post-anticoagulants administration may reduce thrombotic </w:t>
            </w:r>
          </w:p>
          <w:p w:rsidR="00F64210" w:rsidRDefault="00F64210" w:rsidP="00F64210">
            <w:pPr>
              <w:spacing w:line="240" w:lineRule="auto"/>
              <w:rPr>
                <w:color w:val="3366FF"/>
                <w:lang w:val="en-US"/>
              </w:rPr>
            </w:pPr>
            <w:r w:rsidRPr="0019128B">
              <w:rPr>
                <w:color w:val="3366FF"/>
                <w:lang w:val="en-US"/>
              </w:rPr>
              <w:t xml:space="preserve">complications in patients undergoing major joint arthroplasties. In addition, both LMWH </w:t>
            </w:r>
          </w:p>
          <w:p w:rsidR="00F64210" w:rsidRDefault="00F64210" w:rsidP="00F64210">
            <w:pPr>
              <w:spacing w:line="240" w:lineRule="auto"/>
              <w:rPr>
                <w:color w:val="3366FF"/>
                <w:lang w:val="en-US"/>
              </w:rPr>
            </w:pPr>
            <w:r w:rsidRPr="0019128B">
              <w:rPr>
                <w:color w:val="3366FF"/>
                <w:lang w:val="en-US"/>
              </w:rPr>
              <w:t xml:space="preserve">and fondaparinux were found responsible for the formation of anti-PF4/heparin </w:t>
            </w:r>
          </w:p>
          <w:p w:rsidR="00F64210" w:rsidRDefault="00F64210" w:rsidP="00F64210">
            <w:pPr>
              <w:spacing w:line="240" w:lineRule="auto"/>
              <w:rPr>
                <w:color w:val="3366FF"/>
                <w:lang w:val="en-US"/>
              </w:rPr>
            </w:pPr>
            <w:r w:rsidRPr="0019128B">
              <w:rPr>
                <w:color w:val="3366FF"/>
                <w:lang w:val="en-US"/>
              </w:rPr>
              <w:t xml:space="preserve">antibodies-fondaparinux in larger percentages than LMWH. Consequently, </w:t>
            </w:r>
          </w:p>
          <w:p w:rsidR="00F64210" w:rsidRDefault="00F64210" w:rsidP="00F64210">
            <w:pPr>
              <w:spacing w:line="240" w:lineRule="auto"/>
              <w:rPr>
                <w:color w:val="3366FF"/>
                <w:lang w:val="en-US"/>
              </w:rPr>
            </w:pPr>
            <w:r w:rsidRPr="0019128B">
              <w:rPr>
                <w:color w:val="3366FF"/>
                <w:lang w:val="en-US"/>
              </w:rPr>
              <w:t xml:space="preserve">fondaparinux should not be administered as a substitute of LMWH in cases of HIT and </w:t>
            </w:r>
          </w:p>
          <w:p w:rsidR="00F64210" w:rsidRPr="0019128B" w:rsidRDefault="00F64210" w:rsidP="00F64210">
            <w:pPr>
              <w:spacing w:line="240" w:lineRule="auto"/>
              <w:rPr>
                <w:color w:val="3366FF"/>
                <w:lang w:val="en-US"/>
              </w:rPr>
            </w:pPr>
            <w:r w:rsidRPr="0019128B">
              <w:rPr>
                <w:color w:val="3366FF"/>
                <w:lang w:val="en-US"/>
              </w:rPr>
              <w:t>physicians</w:t>
            </w:r>
            <w:r w:rsidRPr="0011384A">
              <w:rPr>
                <w:lang w:val="en-US"/>
              </w:rPr>
              <w:t xml:space="preserve"> </w:t>
            </w:r>
            <w:r w:rsidRPr="0019128B">
              <w:rPr>
                <w:color w:val="3366FF"/>
                <w:lang w:val="en-US"/>
              </w:rPr>
              <w:t>should consider that in rare cases fon</w:t>
            </w:r>
            <w:r w:rsidR="00737A1C">
              <w:rPr>
                <w:color w:val="3366FF"/>
                <w:lang w:val="en-US"/>
              </w:rPr>
              <w:t>daparinux can also cause HIT</w:t>
            </w:r>
            <w:r w:rsidRPr="0019128B">
              <w:rPr>
                <w:color w:val="3366FF"/>
                <w:lang w:val="en-US"/>
              </w:rPr>
              <w:t>.</w:t>
            </w:r>
          </w:p>
          <w:p w:rsidR="00F64210" w:rsidRPr="0022554A" w:rsidRDefault="00F64210" w:rsidP="00F64210">
            <w:pPr>
              <w:tabs>
                <w:tab w:val="left" w:pos="5400"/>
              </w:tabs>
              <w:rPr>
                <w:sz w:val="20"/>
              </w:rPr>
            </w:pPr>
          </w:p>
        </w:tc>
      </w:tr>
      <w:tr w:rsidR="00F64210" w:rsidRPr="0022554A">
        <w:trPr>
          <w:gridAfter w:val="2"/>
        </w:trPr>
        <w:tc>
          <w:tcPr>
            <w:tcW w:w="0" w:type="auto"/>
          </w:tcPr>
          <w:p w:rsidR="00F64210" w:rsidRPr="0022554A" w:rsidRDefault="00F64210" w:rsidP="00F64210">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F64210" w:rsidRPr="0022554A" w:rsidRDefault="00F64210" w:rsidP="00F64210">
            <w:pPr>
              <w:tabs>
                <w:tab w:val="left" w:pos="5400"/>
              </w:tabs>
              <w:jc w:val="center"/>
              <w:rPr>
                <w:sz w:val="20"/>
              </w:rPr>
            </w:pPr>
            <w:r w:rsidRPr="0022554A">
              <w:rPr>
                <w:sz w:val="20"/>
              </w:rPr>
              <w:t>19</w:t>
            </w:r>
          </w:p>
        </w:tc>
        <w:tc>
          <w:tcPr>
            <w:tcW w:w="0" w:type="auto"/>
          </w:tcPr>
          <w:p w:rsidR="00F64210" w:rsidRDefault="00F64210" w:rsidP="00F64210">
            <w:pPr>
              <w:tabs>
                <w:tab w:val="left" w:pos="5400"/>
              </w:tabs>
              <w:rPr>
                <w:sz w:val="20"/>
              </w:rPr>
            </w:pPr>
            <w:r w:rsidRPr="0022554A">
              <w:rPr>
                <w:sz w:val="20"/>
              </w:rPr>
              <w:t>Discuss the generalisability (external validity) of the study results</w:t>
            </w:r>
          </w:p>
          <w:p w:rsidR="00F64210" w:rsidRDefault="00F64210" w:rsidP="00F64210">
            <w:pPr>
              <w:autoSpaceDE w:val="0"/>
              <w:autoSpaceDN w:val="0"/>
              <w:adjustRightInd w:val="0"/>
              <w:spacing w:line="240" w:lineRule="auto"/>
              <w:rPr>
                <w:color w:val="3366FF"/>
                <w:lang w:val="en-US"/>
              </w:rPr>
            </w:pPr>
            <w:r w:rsidRPr="0019128B">
              <w:rPr>
                <w:b/>
                <w:color w:val="3366FF"/>
                <w:lang w:val="en-US"/>
              </w:rPr>
              <w:t>PAGE</w:t>
            </w:r>
            <w:r>
              <w:rPr>
                <w:b/>
                <w:color w:val="3366FF"/>
                <w:lang w:val="en-US"/>
              </w:rPr>
              <w:t>S</w:t>
            </w:r>
            <w:r w:rsidRPr="0019128B">
              <w:rPr>
                <w:b/>
                <w:color w:val="3366FF"/>
                <w:lang w:val="en-US"/>
              </w:rPr>
              <w:t xml:space="preserve"> </w:t>
            </w:r>
            <w:r w:rsidR="00C3217B">
              <w:rPr>
                <w:b/>
                <w:color w:val="3366FF"/>
                <w:lang w:val="en-US"/>
              </w:rPr>
              <w:t>12-16</w:t>
            </w:r>
            <w:r w:rsidRPr="0019128B">
              <w:rPr>
                <w:b/>
                <w:color w:val="3366FF"/>
                <w:lang w:val="en-US"/>
              </w:rPr>
              <w:t>:</w:t>
            </w:r>
            <w:r w:rsidRPr="0019128B">
              <w:rPr>
                <w:color w:val="3366FF"/>
                <w:lang w:val="en-US"/>
              </w:rPr>
              <w:t xml:space="preserve"> </w:t>
            </w:r>
            <w:r w:rsidRPr="00877A46">
              <w:rPr>
                <w:color w:val="3366FF"/>
                <w:lang w:val="en-US"/>
              </w:rPr>
              <w:t xml:space="preserve">In the relevant literature, it is emphasized that all patients on heparin and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LMWH need close monitoring of platelet counts for early recognition of HIT and in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case of thrombocytopenia occurrence, heparin administration must be discontinued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and a test to detect anti-PF4/heparin antibodies should be made. If a diagnosis of HIT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is confirmed the treating physicians must be cautious to avoid all kinds of heparin.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However, in our series the simple measure of platelet monitoring is questioned, as it does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not necessarily uncover cases of formation of anti-PF4/heparin antibodies that may be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correlated to thrombotic events. A careful screening of the coagulation profile before a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major lower limb reconstruction procedure in combination to platelet monitoring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postoperatively and anti-PF4/heparin antibodies screening the 7th post-anticoagulants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administration day, is a safe way to minimize the risk of thrombosis. In confirmed HIT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syndrome heparin/LMWH must be replaced with other agents, however, the use of </w:t>
            </w:r>
          </w:p>
          <w:p w:rsidR="00F64210" w:rsidRPr="00877A46" w:rsidRDefault="00F64210" w:rsidP="00F64210">
            <w:pPr>
              <w:autoSpaceDE w:val="0"/>
              <w:autoSpaceDN w:val="0"/>
              <w:adjustRightInd w:val="0"/>
              <w:spacing w:line="240" w:lineRule="auto"/>
              <w:rPr>
                <w:color w:val="3366FF"/>
                <w:lang w:val="en-US"/>
              </w:rPr>
            </w:pPr>
            <w:r w:rsidRPr="00877A46">
              <w:rPr>
                <w:color w:val="3366FF"/>
                <w:lang w:val="en-US"/>
              </w:rPr>
              <w:t>fondaparinux as an alternative treatment of HIT is also questioned.</w:t>
            </w:r>
          </w:p>
          <w:p w:rsidR="00F64210" w:rsidRPr="0022554A" w:rsidRDefault="00F64210" w:rsidP="00F64210">
            <w:pPr>
              <w:tabs>
                <w:tab w:val="left" w:pos="5400"/>
              </w:tabs>
              <w:rPr>
                <w:sz w:val="20"/>
              </w:rPr>
            </w:pPr>
          </w:p>
        </w:tc>
      </w:tr>
      <w:tr w:rsidR="00F64210" w:rsidRPr="0022554A">
        <w:trPr>
          <w:gridAfter w:val="2"/>
        </w:trPr>
        <w:tc>
          <w:tcPr>
            <w:tcW w:w="0" w:type="auto"/>
          </w:tcPr>
          <w:p w:rsidR="00F64210" w:rsidRPr="0022554A" w:rsidRDefault="00F64210" w:rsidP="00F64210">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F64210" w:rsidRPr="0022554A" w:rsidRDefault="00F64210" w:rsidP="00F64210">
            <w:pPr>
              <w:tabs>
                <w:tab w:val="left" w:pos="5400"/>
              </w:tabs>
              <w:jc w:val="center"/>
              <w:rPr>
                <w:sz w:val="20"/>
              </w:rPr>
            </w:pPr>
            <w:r w:rsidRPr="0022554A">
              <w:rPr>
                <w:sz w:val="20"/>
              </w:rPr>
              <w:t>20</w:t>
            </w:r>
          </w:p>
        </w:tc>
        <w:tc>
          <w:tcPr>
            <w:tcW w:w="0" w:type="auto"/>
          </w:tcPr>
          <w:p w:rsidR="00F64210" w:rsidRDefault="00F64210" w:rsidP="00F64210">
            <w:pPr>
              <w:tabs>
                <w:tab w:val="left" w:pos="5400"/>
              </w:tabs>
              <w:rPr>
                <w:sz w:val="20"/>
              </w:rPr>
            </w:pPr>
            <w:r w:rsidRPr="0022554A">
              <w:rPr>
                <w:sz w:val="20"/>
              </w:rPr>
              <w:t xml:space="preserve">Give a cautious overall interpretation of results considering objectives, limitations, multiplicity of analyses, </w:t>
            </w:r>
          </w:p>
          <w:p w:rsidR="00F64210" w:rsidRDefault="00F64210" w:rsidP="00F64210">
            <w:pPr>
              <w:tabs>
                <w:tab w:val="left" w:pos="5400"/>
              </w:tabs>
              <w:rPr>
                <w:sz w:val="20"/>
              </w:rPr>
            </w:pPr>
            <w:r w:rsidRPr="0022554A">
              <w:rPr>
                <w:sz w:val="20"/>
              </w:rPr>
              <w:lastRenderedPageBreak/>
              <w:t>results from similar studies, and other relevant evidence</w:t>
            </w:r>
          </w:p>
          <w:p w:rsidR="00F64210" w:rsidRDefault="00F64210" w:rsidP="00F64210">
            <w:pPr>
              <w:spacing w:line="240" w:lineRule="auto"/>
              <w:rPr>
                <w:color w:val="3366FF"/>
                <w:lang w:val="en-US"/>
              </w:rPr>
            </w:pPr>
            <w:r w:rsidRPr="0019128B">
              <w:rPr>
                <w:b/>
                <w:color w:val="3366FF"/>
                <w:lang w:val="en-US"/>
              </w:rPr>
              <w:t>PAGE</w:t>
            </w:r>
            <w:r>
              <w:rPr>
                <w:b/>
                <w:color w:val="3366FF"/>
                <w:lang w:val="en-US"/>
              </w:rPr>
              <w:t>S</w:t>
            </w:r>
            <w:r w:rsidRPr="0019128B">
              <w:rPr>
                <w:b/>
                <w:color w:val="3366FF"/>
                <w:lang w:val="en-US"/>
              </w:rPr>
              <w:t xml:space="preserve"> </w:t>
            </w:r>
            <w:r w:rsidR="00C3217B">
              <w:rPr>
                <w:b/>
                <w:color w:val="3366FF"/>
                <w:lang w:val="en-US"/>
              </w:rPr>
              <w:t>12-16</w:t>
            </w:r>
            <w:r w:rsidRPr="0019128B">
              <w:rPr>
                <w:b/>
                <w:color w:val="3366FF"/>
                <w:lang w:val="en-US"/>
              </w:rPr>
              <w:t>:</w:t>
            </w:r>
            <w:r w:rsidRPr="0019128B">
              <w:rPr>
                <w:color w:val="3366FF"/>
                <w:lang w:val="en-US"/>
              </w:rPr>
              <w:t xml:space="preserve"> Although the number of patients of our series was relatively small, statistical </w:t>
            </w:r>
          </w:p>
          <w:p w:rsidR="00F64210" w:rsidRDefault="00F64210" w:rsidP="00F64210">
            <w:pPr>
              <w:spacing w:line="240" w:lineRule="auto"/>
              <w:rPr>
                <w:color w:val="3366FF"/>
                <w:lang w:val="en-US"/>
              </w:rPr>
            </w:pPr>
            <w:r w:rsidRPr="0019128B">
              <w:rPr>
                <w:color w:val="3366FF"/>
                <w:lang w:val="en-US"/>
              </w:rPr>
              <w:t xml:space="preserve">analysis indicated that symptomatic thrombotic events were not correlated to </w:t>
            </w:r>
          </w:p>
          <w:p w:rsidR="00F64210" w:rsidRDefault="00F64210" w:rsidP="00F64210">
            <w:pPr>
              <w:spacing w:line="240" w:lineRule="auto"/>
              <w:rPr>
                <w:color w:val="3366FF"/>
                <w:lang w:val="en-US"/>
              </w:rPr>
            </w:pPr>
            <w:r w:rsidRPr="0019128B">
              <w:rPr>
                <w:color w:val="3366FF"/>
                <w:lang w:val="en-US"/>
              </w:rPr>
              <w:t xml:space="preserve">thrombocytopenia or HIT. The correlation of thrombotic events to the formation of </w:t>
            </w:r>
          </w:p>
          <w:p w:rsidR="00F64210" w:rsidRDefault="00F64210" w:rsidP="00F64210">
            <w:pPr>
              <w:spacing w:line="240" w:lineRule="auto"/>
              <w:rPr>
                <w:color w:val="3366FF"/>
                <w:lang w:val="en-US"/>
              </w:rPr>
            </w:pPr>
            <w:r w:rsidRPr="0019128B">
              <w:rPr>
                <w:color w:val="3366FF"/>
                <w:lang w:val="en-US"/>
              </w:rPr>
              <w:t xml:space="preserve">anti-PF4/heparin antibodies approached significance whereas mutations of factors II and </w:t>
            </w:r>
          </w:p>
          <w:p w:rsidR="00F64210" w:rsidRDefault="00F64210" w:rsidP="00F64210">
            <w:pPr>
              <w:spacing w:line="240" w:lineRule="auto"/>
              <w:rPr>
                <w:color w:val="3366FF"/>
                <w:lang w:val="en-US"/>
              </w:rPr>
            </w:pPr>
            <w:r w:rsidRPr="0019128B">
              <w:rPr>
                <w:color w:val="3366FF"/>
                <w:lang w:val="en-US"/>
              </w:rPr>
              <w:t xml:space="preserve">V were significantly correlated to symptomatic thrombosis. Thus the evaluation of </w:t>
            </w:r>
          </w:p>
          <w:p w:rsidR="00F64210" w:rsidRDefault="00F64210" w:rsidP="00F64210">
            <w:pPr>
              <w:spacing w:line="240" w:lineRule="auto"/>
              <w:rPr>
                <w:color w:val="3366FF"/>
                <w:lang w:val="en-US"/>
              </w:rPr>
            </w:pPr>
            <w:r w:rsidRPr="0019128B">
              <w:rPr>
                <w:color w:val="3366FF"/>
                <w:lang w:val="en-US"/>
              </w:rPr>
              <w:t xml:space="preserve">mutations of factors II and V preoperatively and the monitoring for formation of </w:t>
            </w:r>
          </w:p>
          <w:p w:rsidR="00F64210" w:rsidRDefault="00F64210" w:rsidP="00F64210">
            <w:pPr>
              <w:spacing w:line="240" w:lineRule="auto"/>
              <w:rPr>
                <w:color w:val="3366FF"/>
                <w:lang w:val="en-US"/>
              </w:rPr>
            </w:pPr>
            <w:r w:rsidRPr="0019128B">
              <w:rPr>
                <w:color w:val="3366FF"/>
                <w:lang w:val="en-US"/>
              </w:rPr>
              <w:t xml:space="preserve">anti-PF4/heparin antibodies post-anticoagulants administration may reduce thrombotic </w:t>
            </w:r>
          </w:p>
          <w:p w:rsidR="00F64210" w:rsidRDefault="00F64210" w:rsidP="00F64210">
            <w:pPr>
              <w:spacing w:line="240" w:lineRule="auto"/>
              <w:rPr>
                <w:color w:val="3366FF"/>
                <w:lang w:val="en-US"/>
              </w:rPr>
            </w:pPr>
            <w:r w:rsidRPr="0019128B">
              <w:rPr>
                <w:color w:val="3366FF"/>
                <w:lang w:val="en-US"/>
              </w:rPr>
              <w:t xml:space="preserve">complications in patients undergoing major joint arthroplasties. In addition, both LMWH </w:t>
            </w:r>
          </w:p>
          <w:p w:rsidR="00F64210" w:rsidRDefault="00F64210" w:rsidP="00F64210">
            <w:pPr>
              <w:spacing w:line="240" w:lineRule="auto"/>
              <w:rPr>
                <w:color w:val="3366FF"/>
                <w:lang w:val="en-US"/>
              </w:rPr>
            </w:pPr>
            <w:r w:rsidRPr="0019128B">
              <w:rPr>
                <w:color w:val="3366FF"/>
                <w:lang w:val="en-US"/>
              </w:rPr>
              <w:t xml:space="preserve">and fondaparinux were found responsible for the formation of anti-PF4/heparin </w:t>
            </w:r>
          </w:p>
          <w:p w:rsidR="00F64210" w:rsidRDefault="00F64210" w:rsidP="00F64210">
            <w:pPr>
              <w:spacing w:line="240" w:lineRule="auto"/>
              <w:rPr>
                <w:color w:val="3366FF"/>
                <w:lang w:val="en-US"/>
              </w:rPr>
            </w:pPr>
            <w:r w:rsidRPr="0019128B">
              <w:rPr>
                <w:color w:val="3366FF"/>
                <w:lang w:val="en-US"/>
              </w:rPr>
              <w:t xml:space="preserve">antibodies-fondaparinux in larger percentages than LMWH. Consequently, </w:t>
            </w:r>
          </w:p>
          <w:p w:rsidR="00F64210" w:rsidRDefault="00F64210" w:rsidP="00F64210">
            <w:pPr>
              <w:spacing w:line="240" w:lineRule="auto"/>
              <w:rPr>
                <w:color w:val="3366FF"/>
                <w:lang w:val="en-US"/>
              </w:rPr>
            </w:pPr>
            <w:r w:rsidRPr="0019128B">
              <w:rPr>
                <w:color w:val="3366FF"/>
                <w:lang w:val="en-US"/>
              </w:rPr>
              <w:t xml:space="preserve">fondaparinux should not be administered as a substitute of LMWH in cases of HIT and </w:t>
            </w:r>
          </w:p>
          <w:p w:rsidR="00F64210" w:rsidRDefault="00F64210" w:rsidP="00F64210">
            <w:pPr>
              <w:tabs>
                <w:tab w:val="left" w:pos="5400"/>
              </w:tabs>
              <w:rPr>
                <w:color w:val="3366FF"/>
                <w:lang w:val="en-US"/>
              </w:rPr>
            </w:pPr>
            <w:r w:rsidRPr="0019128B">
              <w:rPr>
                <w:color w:val="3366FF"/>
                <w:lang w:val="en-US"/>
              </w:rPr>
              <w:t>physicians</w:t>
            </w:r>
            <w:r w:rsidRPr="0011384A">
              <w:rPr>
                <w:lang w:val="en-US"/>
              </w:rPr>
              <w:t xml:space="preserve"> </w:t>
            </w:r>
            <w:r w:rsidRPr="0019128B">
              <w:rPr>
                <w:color w:val="3366FF"/>
                <w:lang w:val="en-US"/>
              </w:rPr>
              <w:t>should consider that in rare cases fondaparinux can also cause HIT [8].</w:t>
            </w:r>
          </w:p>
          <w:p w:rsidR="00F64210" w:rsidRDefault="00F64210" w:rsidP="00F64210">
            <w:pPr>
              <w:autoSpaceDE w:val="0"/>
              <w:autoSpaceDN w:val="0"/>
              <w:adjustRightInd w:val="0"/>
              <w:spacing w:line="240" w:lineRule="auto"/>
              <w:rPr>
                <w:color w:val="3366FF"/>
                <w:lang w:val="en-US"/>
              </w:rPr>
            </w:pPr>
            <w:r>
              <w:rPr>
                <w:b/>
                <w:color w:val="3366FF"/>
                <w:lang w:val="en-US"/>
              </w:rPr>
              <w:t xml:space="preserve">     </w:t>
            </w:r>
            <w:r w:rsidRPr="00877A46">
              <w:rPr>
                <w:color w:val="3366FF"/>
                <w:lang w:val="en-US"/>
              </w:rPr>
              <w:t xml:space="preserve">In the relevant literature, it is emphasized that all patients on heparin and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LMWH need close monitoring of platelet counts for early recognition of HIT and in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case of thrombocytopenia occurrence, heparin administration must be discontinued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and a test to detect anti-PF4/heparin antibodies should be made. If a diagnosis of HIT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is confirmed the treating physicians must be cautious to avoid all kinds of heparin.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However, in our series the simple measure of platelet monitoring is questioned, as it does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not necessarily uncover cases of formation of anti-PF4/heparin antibodies that may be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correlated to thrombotic events. A careful screening of the coagulation profile before a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major lower limb reconstruction procedure in combination to platelet monitoring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postoperatively and anti-PF4/heparin antibodies screening the 7th post-anticoagulants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administration day, is a safe way to minimize the risk of thrombosis. In confirmed HIT </w:t>
            </w:r>
          </w:p>
          <w:p w:rsidR="00F64210" w:rsidRDefault="00F64210" w:rsidP="00F64210">
            <w:pPr>
              <w:autoSpaceDE w:val="0"/>
              <w:autoSpaceDN w:val="0"/>
              <w:adjustRightInd w:val="0"/>
              <w:spacing w:line="240" w:lineRule="auto"/>
              <w:rPr>
                <w:color w:val="3366FF"/>
                <w:lang w:val="en-US"/>
              </w:rPr>
            </w:pPr>
            <w:r w:rsidRPr="00877A46">
              <w:rPr>
                <w:color w:val="3366FF"/>
                <w:lang w:val="en-US"/>
              </w:rPr>
              <w:t xml:space="preserve">syndrome heparin/LMWH must be replaced with other agents, however, the use of </w:t>
            </w:r>
          </w:p>
          <w:p w:rsidR="00F64210" w:rsidRPr="00877A46" w:rsidRDefault="00F64210" w:rsidP="00F64210">
            <w:pPr>
              <w:autoSpaceDE w:val="0"/>
              <w:autoSpaceDN w:val="0"/>
              <w:adjustRightInd w:val="0"/>
              <w:spacing w:line="240" w:lineRule="auto"/>
              <w:rPr>
                <w:color w:val="3366FF"/>
                <w:lang w:val="en-US"/>
              </w:rPr>
            </w:pPr>
            <w:r w:rsidRPr="00877A46">
              <w:rPr>
                <w:color w:val="3366FF"/>
                <w:lang w:val="en-US"/>
              </w:rPr>
              <w:t>fondaparinux as an alternative treatment of HIT is also questioned.</w:t>
            </w:r>
          </w:p>
          <w:p w:rsidR="00F64210" w:rsidRPr="0022554A" w:rsidRDefault="00F64210" w:rsidP="00F64210">
            <w:pPr>
              <w:tabs>
                <w:tab w:val="left" w:pos="5400"/>
              </w:tabs>
              <w:rPr>
                <w:sz w:val="20"/>
              </w:rPr>
            </w:pPr>
          </w:p>
        </w:tc>
      </w:tr>
      <w:tr w:rsidR="00F64210" w:rsidRPr="0022554A">
        <w:trPr>
          <w:gridAfter w:val="2"/>
        </w:trPr>
        <w:tc>
          <w:tcPr>
            <w:tcW w:w="0" w:type="auto"/>
          </w:tcPr>
          <w:p w:rsidR="00F64210" w:rsidRPr="0022554A" w:rsidRDefault="00F64210" w:rsidP="00F64210">
            <w:pPr>
              <w:tabs>
                <w:tab w:val="left" w:pos="5400"/>
              </w:tabs>
              <w:rPr>
                <w:bCs/>
                <w:sz w:val="20"/>
              </w:rPr>
            </w:pPr>
            <w:bookmarkStart w:id="92" w:name="italic48" w:colFirst="0" w:colLast="0"/>
            <w:bookmarkStart w:id="93" w:name="bold49" w:colFirst="0" w:colLast="0"/>
            <w:bookmarkEnd w:id="90"/>
            <w:bookmarkEnd w:id="91"/>
            <w:r w:rsidRPr="0022554A">
              <w:rPr>
                <w:bCs/>
                <w:sz w:val="20"/>
              </w:rPr>
              <w:lastRenderedPageBreak/>
              <w:t>Generalisability</w:t>
            </w:r>
          </w:p>
        </w:tc>
        <w:tc>
          <w:tcPr>
            <w:tcW w:w="0" w:type="auto"/>
          </w:tcPr>
          <w:p w:rsidR="00F64210" w:rsidRPr="0022554A" w:rsidRDefault="00F64210" w:rsidP="00F64210">
            <w:pPr>
              <w:tabs>
                <w:tab w:val="left" w:pos="5400"/>
              </w:tabs>
              <w:jc w:val="center"/>
              <w:rPr>
                <w:sz w:val="20"/>
              </w:rPr>
            </w:pPr>
            <w:r w:rsidRPr="0022554A">
              <w:rPr>
                <w:sz w:val="20"/>
              </w:rPr>
              <w:t>21</w:t>
            </w:r>
          </w:p>
        </w:tc>
        <w:tc>
          <w:tcPr>
            <w:tcW w:w="0" w:type="auto"/>
          </w:tcPr>
          <w:p w:rsidR="00F64210" w:rsidRDefault="00F64210" w:rsidP="00F64210">
            <w:pPr>
              <w:tabs>
                <w:tab w:val="left" w:pos="5400"/>
              </w:tabs>
              <w:rPr>
                <w:sz w:val="20"/>
              </w:rPr>
            </w:pPr>
            <w:r w:rsidRPr="0022554A">
              <w:rPr>
                <w:sz w:val="20"/>
              </w:rPr>
              <w:t xml:space="preserve">Give the source of funding and the role of the funders for the present study and, if applicable, for the </w:t>
            </w:r>
          </w:p>
          <w:p w:rsidR="00F64210" w:rsidRDefault="00F64210" w:rsidP="00F64210">
            <w:pPr>
              <w:tabs>
                <w:tab w:val="left" w:pos="5400"/>
              </w:tabs>
              <w:rPr>
                <w:sz w:val="20"/>
              </w:rPr>
            </w:pPr>
            <w:r w:rsidRPr="0022554A">
              <w:rPr>
                <w:sz w:val="20"/>
              </w:rPr>
              <w:t>original study on which the present article is based</w:t>
            </w:r>
          </w:p>
          <w:p w:rsidR="00F64210" w:rsidRDefault="00F64210" w:rsidP="00F64210">
            <w:pPr>
              <w:spacing w:line="240" w:lineRule="auto"/>
              <w:rPr>
                <w:color w:val="3366FF"/>
                <w:lang w:val="en-US"/>
              </w:rPr>
            </w:pPr>
            <w:r w:rsidRPr="00F16E78">
              <w:rPr>
                <w:color w:val="3366FF"/>
                <w:lang w:val="en-US"/>
              </w:rPr>
              <w:t>The study was supported by a grant form the Hellenic Association of Orthopaedic Surgery</w:t>
            </w:r>
          </w:p>
          <w:p w:rsidR="00F64210" w:rsidRPr="00F16E78" w:rsidRDefault="00F64210" w:rsidP="00F64210">
            <w:pPr>
              <w:spacing w:line="240" w:lineRule="auto"/>
              <w:rPr>
                <w:color w:val="3366FF"/>
                <w:lang w:val="en-US"/>
              </w:rPr>
            </w:pPr>
            <w:r w:rsidRPr="00F16E78">
              <w:rPr>
                <w:color w:val="3366FF"/>
                <w:lang w:val="en-US"/>
              </w:rPr>
              <w:t xml:space="preserve"> and Traumatology. </w:t>
            </w:r>
          </w:p>
          <w:p w:rsidR="00F64210" w:rsidRDefault="00F64210" w:rsidP="00F64210">
            <w:pPr>
              <w:spacing w:line="240" w:lineRule="auto"/>
              <w:rPr>
                <w:color w:val="3366FF"/>
                <w:lang w:val="en-US"/>
              </w:rPr>
            </w:pPr>
            <w:r w:rsidRPr="00F16E78">
              <w:rPr>
                <w:color w:val="3366FF"/>
                <w:lang w:val="en-US"/>
              </w:rPr>
              <w:t xml:space="preserve">The Hellenic Association of Orthopaedic Surgery and Traumatology, had no role in the </w:t>
            </w:r>
          </w:p>
          <w:p w:rsidR="00F64210" w:rsidRDefault="00F64210" w:rsidP="00F64210">
            <w:pPr>
              <w:spacing w:line="240" w:lineRule="auto"/>
              <w:rPr>
                <w:color w:val="3366FF"/>
                <w:lang w:val="en-US"/>
              </w:rPr>
            </w:pPr>
            <w:r w:rsidRPr="00F16E78">
              <w:rPr>
                <w:color w:val="3366FF"/>
                <w:lang w:val="en-US"/>
              </w:rPr>
              <w:t xml:space="preserve">study design, collection, analysis and interpretation of data or in the writing of the </w:t>
            </w:r>
          </w:p>
          <w:p w:rsidR="00F64210" w:rsidRPr="00F16E78" w:rsidRDefault="00F64210" w:rsidP="00F64210">
            <w:pPr>
              <w:spacing w:line="240" w:lineRule="auto"/>
              <w:rPr>
                <w:color w:val="3366FF"/>
                <w:lang w:val="en-US"/>
              </w:rPr>
            </w:pPr>
            <w:r w:rsidRPr="00F16E78">
              <w:rPr>
                <w:color w:val="3366FF"/>
                <w:lang w:val="en-US"/>
              </w:rPr>
              <w:t>manuscript.</w:t>
            </w:r>
          </w:p>
          <w:p w:rsidR="00F64210" w:rsidRPr="0022554A" w:rsidRDefault="00F64210" w:rsidP="00F64210">
            <w:pPr>
              <w:tabs>
                <w:tab w:val="left" w:pos="5400"/>
              </w:tabs>
              <w:rPr>
                <w:sz w:val="20"/>
              </w:rPr>
            </w:pPr>
          </w:p>
        </w:tc>
      </w:tr>
      <w:bookmarkEnd w:id="92"/>
      <w:bookmarkEnd w:id="93"/>
      <w:tr w:rsidR="00F64210" w:rsidRPr="0022554A">
        <w:trPr>
          <w:gridAfter w:val="2"/>
        </w:trPr>
        <w:tc>
          <w:tcPr>
            <w:tcW w:w="0" w:type="auto"/>
            <w:gridSpan w:val="3"/>
          </w:tcPr>
          <w:p w:rsidR="00F64210" w:rsidRPr="0022554A" w:rsidRDefault="00F64210" w:rsidP="00F64210">
            <w:pPr>
              <w:pStyle w:val="TableSubHead"/>
              <w:tabs>
                <w:tab w:val="left" w:pos="5400"/>
              </w:tabs>
              <w:rPr>
                <w:sz w:val="20"/>
              </w:rPr>
            </w:pPr>
          </w:p>
        </w:tc>
      </w:tr>
      <w:tr w:rsidR="00F64210" w:rsidRPr="0022554A">
        <w:trPr>
          <w:gridAfter w:val="2"/>
        </w:trPr>
        <w:tc>
          <w:tcPr>
            <w:tcW w:w="0" w:type="auto"/>
          </w:tcPr>
          <w:p w:rsidR="00F64210" w:rsidRPr="0022554A" w:rsidRDefault="00F64210" w:rsidP="00F64210">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F64210" w:rsidRPr="0022554A" w:rsidRDefault="00F64210" w:rsidP="00F64210">
            <w:pPr>
              <w:tabs>
                <w:tab w:val="left" w:pos="5400"/>
              </w:tabs>
              <w:jc w:val="center"/>
              <w:rPr>
                <w:sz w:val="20"/>
              </w:rPr>
            </w:pPr>
            <w:r w:rsidRPr="0022554A">
              <w:rPr>
                <w:sz w:val="20"/>
              </w:rPr>
              <w:t>22</w:t>
            </w:r>
          </w:p>
        </w:tc>
        <w:tc>
          <w:tcPr>
            <w:tcW w:w="0" w:type="auto"/>
          </w:tcPr>
          <w:p w:rsidR="00F64210" w:rsidRDefault="00F64210" w:rsidP="00F64210">
            <w:pPr>
              <w:spacing w:line="240" w:lineRule="auto"/>
              <w:rPr>
                <w:color w:val="3366FF"/>
                <w:lang w:val="en-US"/>
              </w:rPr>
            </w:pPr>
            <w:r w:rsidRPr="00F16E78">
              <w:rPr>
                <w:color w:val="3366FF"/>
                <w:lang w:val="en-US"/>
              </w:rPr>
              <w:t>The study was supported by a grant form the Hellenic Association of Orthopaedic Surgery</w:t>
            </w:r>
          </w:p>
          <w:p w:rsidR="00F64210" w:rsidRPr="00F16E78" w:rsidRDefault="00F64210" w:rsidP="00F64210">
            <w:pPr>
              <w:spacing w:line="240" w:lineRule="auto"/>
              <w:rPr>
                <w:color w:val="3366FF"/>
                <w:lang w:val="en-US"/>
              </w:rPr>
            </w:pPr>
            <w:r w:rsidRPr="00F16E78">
              <w:rPr>
                <w:color w:val="3366FF"/>
                <w:lang w:val="en-US"/>
              </w:rPr>
              <w:t xml:space="preserve"> and Traumatology. </w:t>
            </w:r>
          </w:p>
          <w:p w:rsidR="00F64210" w:rsidRPr="0022554A" w:rsidRDefault="00F64210" w:rsidP="00F64210">
            <w:pPr>
              <w:tabs>
                <w:tab w:val="left" w:pos="5400"/>
              </w:tabs>
              <w:rPr>
                <w:sz w:val="20"/>
              </w:rPr>
            </w:pPr>
          </w:p>
        </w:tc>
      </w:tr>
      <w:bookmarkEnd w:id="94"/>
      <w:bookmarkEnd w:id="95"/>
    </w:tbl>
    <w:p w:rsidR="00F64210" w:rsidRDefault="00F64210" w:rsidP="00F64210">
      <w:pPr>
        <w:pStyle w:val="TableNote"/>
        <w:tabs>
          <w:tab w:val="left" w:pos="5400"/>
        </w:tabs>
        <w:rPr>
          <w:bCs/>
          <w:sz w:val="20"/>
        </w:rPr>
      </w:pPr>
    </w:p>
    <w:p w:rsidR="00F64210" w:rsidRPr="0022554A" w:rsidRDefault="00F64210" w:rsidP="00F64210">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rsidR="00F64210" w:rsidRDefault="00F64210" w:rsidP="00F64210">
      <w:pPr>
        <w:pStyle w:val="TableNote"/>
        <w:tabs>
          <w:tab w:val="left" w:pos="5400"/>
        </w:tabs>
        <w:rPr>
          <w:sz w:val="20"/>
        </w:rPr>
      </w:pPr>
    </w:p>
    <w:p w:rsidR="00F64210" w:rsidRPr="002602FB" w:rsidRDefault="00F64210" w:rsidP="00F64210">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F64210" w:rsidRPr="002602FB" w:rsidSect="00F64210">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1C" w:rsidRDefault="0059221C">
      <w:r>
        <w:separator/>
      </w:r>
    </w:p>
  </w:endnote>
  <w:endnote w:type="continuationSeparator" w:id="1">
    <w:p w:rsidR="0059221C" w:rsidRDefault="00592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dvP7C2E">
    <w:altName w:val="Times New Roman"/>
    <w:panose1 w:val="00000000000000000000"/>
    <w:charset w:val="00"/>
    <w:family w:val="roman"/>
    <w:notTrueType/>
    <w:pitch w:val="default"/>
    <w:sig w:usb0="00000003" w:usb1="00000000" w:usb2="00000000" w:usb3="00000000" w:csb0="00000001" w:csb1="00000000"/>
  </w:font>
  <w:font w:name="AdvP4C4E51">
    <w:panose1 w:val="00000000000000000000"/>
    <w:charset w:val="4D"/>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10" w:rsidRDefault="0053450F" w:rsidP="00F64210">
    <w:pPr>
      <w:pStyle w:val="Footer"/>
      <w:framePr w:wrap="around" w:vAnchor="text" w:hAnchor="margin" w:xAlign="center" w:y="1"/>
      <w:rPr>
        <w:rStyle w:val="PageNumber"/>
      </w:rPr>
    </w:pPr>
    <w:r>
      <w:rPr>
        <w:rStyle w:val="PageNumber"/>
      </w:rPr>
      <w:fldChar w:fldCharType="begin"/>
    </w:r>
    <w:r w:rsidR="00F64210">
      <w:rPr>
        <w:rStyle w:val="PageNumber"/>
      </w:rPr>
      <w:instrText xml:space="preserve">PAGE  </w:instrText>
    </w:r>
    <w:r>
      <w:rPr>
        <w:rStyle w:val="PageNumber"/>
      </w:rPr>
      <w:fldChar w:fldCharType="end"/>
    </w:r>
  </w:p>
  <w:p w:rsidR="00F64210" w:rsidRDefault="00F64210" w:rsidP="00F642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10" w:rsidRDefault="0053450F" w:rsidP="00F64210">
    <w:pPr>
      <w:pStyle w:val="Footer"/>
      <w:framePr w:wrap="around" w:vAnchor="text" w:hAnchor="margin" w:xAlign="center" w:y="1"/>
      <w:rPr>
        <w:rStyle w:val="PageNumber"/>
      </w:rPr>
    </w:pPr>
    <w:r>
      <w:rPr>
        <w:rStyle w:val="PageNumber"/>
      </w:rPr>
      <w:fldChar w:fldCharType="begin"/>
    </w:r>
    <w:r w:rsidR="00F64210">
      <w:rPr>
        <w:rStyle w:val="PageNumber"/>
      </w:rPr>
      <w:instrText xml:space="preserve">PAGE  </w:instrText>
    </w:r>
    <w:r>
      <w:rPr>
        <w:rStyle w:val="PageNumber"/>
      </w:rPr>
      <w:fldChar w:fldCharType="separate"/>
    </w:r>
    <w:r w:rsidR="00C3217B">
      <w:rPr>
        <w:rStyle w:val="PageNumber"/>
        <w:noProof/>
      </w:rPr>
      <w:t>6</w:t>
    </w:r>
    <w:r>
      <w:rPr>
        <w:rStyle w:val="PageNumber"/>
      </w:rPr>
      <w:fldChar w:fldCharType="end"/>
    </w:r>
  </w:p>
  <w:p w:rsidR="00F64210" w:rsidRDefault="00F64210" w:rsidP="00F642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1C" w:rsidRDefault="0059221C">
      <w:r>
        <w:separator/>
      </w:r>
    </w:p>
  </w:footnote>
  <w:footnote w:type="continuationSeparator" w:id="1">
    <w:p w:rsidR="0059221C" w:rsidRDefault="00592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423986"/>
    <w:multiLevelType w:val="singleLevel"/>
    <w:tmpl w:val="FF863E6C"/>
    <w:lvl w:ilvl="0">
      <w:start w:val="207"/>
      <w:numFmt w:val="decimal"/>
      <w:lvlText w:val="%1."/>
      <w:lvlJc w:val="left"/>
      <w:pPr>
        <w:tabs>
          <w:tab w:val="num" w:pos="1146"/>
        </w:tabs>
        <w:ind w:left="1146" w:hanging="720"/>
      </w:pPr>
      <w:rPr>
        <w:rFonts w:hint="default"/>
        <w:b/>
      </w:rPr>
    </w:lvl>
  </w:abstractNum>
  <w:abstractNum w:abstractNumId="19">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1"/>
  </w:num>
  <w:num w:numId="2">
    <w:abstractNumId w:val="11"/>
  </w:num>
  <w:num w:numId="3">
    <w:abstractNumId w:val="19"/>
  </w:num>
  <w:num w:numId="4">
    <w:abstractNumId w:val="16"/>
  </w:num>
  <w:num w:numId="5">
    <w:abstractNumId w:val="15"/>
  </w:num>
  <w:num w:numId="6">
    <w:abstractNumId w:val="20"/>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stylePaneFormatFilter w:val="3F01"/>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54DB"/>
    <w:rsid w:val="002D1ABE"/>
    <w:rsid w:val="004B2F1E"/>
    <w:rsid w:val="0053450F"/>
    <w:rsid w:val="0059221C"/>
    <w:rsid w:val="00621B7A"/>
    <w:rsid w:val="00737A1C"/>
    <w:rsid w:val="00863405"/>
    <w:rsid w:val="00886285"/>
    <w:rsid w:val="008E7374"/>
    <w:rsid w:val="00C3217B"/>
    <w:rsid w:val="00D2625E"/>
    <w:rsid w:val="00F64210"/>
    <w:rsid w:val="00F90AA9"/>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link w:val="Heading3Char"/>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phy1">
    <w:name w:val="Bibliography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olorfulGrid-Accent11">
    <w:name w:val="Colorful Grid - Accent 1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ing3Char">
    <w:name w:val="Heading 3 Char"/>
    <w:basedOn w:val="DefaultParagraphFont"/>
    <w:link w:val="Heading3"/>
    <w:rsid w:val="00FF6816"/>
    <w:rPr>
      <w:rFonts w:ascii="Arial" w:hAnsi="Arial"/>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8</Pages>
  <Words>3539</Words>
  <Characters>19116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lar29</cp:lastModifiedBy>
  <cp:revision>2</cp:revision>
  <cp:lastPrinted>2007-10-15T10:39:00Z</cp:lastPrinted>
  <dcterms:created xsi:type="dcterms:W3CDTF">2020-07-08T06:20:00Z</dcterms:created>
  <dcterms:modified xsi:type="dcterms:W3CDTF">2020-07-08T06:20:00Z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