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2370A" w14:textId="77777777" w:rsidR="00A77B3E" w:rsidRDefault="000252C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FB63AC6" w14:textId="77777777" w:rsidR="00A77B3E" w:rsidRDefault="000252C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57819</w:t>
      </w:r>
    </w:p>
    <w:p w14:paraId="4CF983FD" w14:textId="77777777" w:rsidR="00A77B3E" w:rsidRDefault="000252C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1B495462" w14:textId="77777777" w:rsidR="00A77B3E" w:rsidRDefault="00A77B3E">
      <w:pPr>
        <w:spacing w:line="360" w:lineRule="auto"/>
        <w:jc w:val="both"/>
      </w:pPr>
    </w:p>
    <w:p w14:paraId="6736F46A" w14:textId="426F12D1" w:rsidR="00A77B3E" w:rsidRDefault="000252C0">
      <w:pPr>
        <w:spacing w:line="360" w:lineRule="auto"/>
        <w:jc w:val="both"/>
      </w:pPr>
      <w:r>
        <w:rPr>
          <w:rFonts w:ascii="Book Antiqua" w:eastAsia="Book Antiqua" w:hAnsi="Book Antiqua" w:cs="Book Antiqua"/>
          <w:b/>
          <w:color w:val="000000"/>
        </w:rPr>
        <w:t>Anterior</w:t>
      </w:r>
      <w:r w:rsidR="00535C3E">
        <w:rPr>
          <w:rFonts w:ascii="Book Antiqua" w:eastAsia="Book Antiqua" w:hAnsi="Book Antiqua" w:cs="Book Antiqua"/>
          <w:b/>
          <w:color w:val="000000"/>
        </w:rPr>
        <w:t xml:space="preserve"> glenohumeral instability: Current review with technical pearls and pitfalls of arthroscopic soft-tissue stabili</w:t>
      </w:r>
      <w:r>
        <w:rPr>
          <w:rFonts w:ascii="Book Antiqua" w:eastAsia="Book Antiqua" w:hAnsi="Book Antiqua" w:cs="Book Antiqua"/>
          <w:b/>
          <w:color w:val="000000"/>
        </w:rPr>
        <w:t>zation</w:t>
      </w:r>
    </w:p>
    <w:p w14:paraId="424B64EB" w14:textId="77777777" w:rsidR="00A77B3E" w:rsidRDefault="00A77B3E">
      <w:pPr>
        <w:spacing w:line="360" w:lineRule="auto"/>
        <w:jc w:val="both"/>
      </w:pPr>
    </w:p>
    <w:p w14:paraId="616B601D" w14:textId="04F60CF6" w:rsidR="00A77B3E" w:rsidRDefault="00535C3E">
      <w:pPr>
        <w:spacing w:line="360" w:lineRule="auto"/>
        <w:jc w:val="both"/>
      </w:pPr>
      <w:r>
        <w:rPr>
          <w:rFonts w:ascii="Book Antiqua" w:eastAsia="Book Antiqua" w:hAnsi="Book Antiqua" w:cs="Book Antiqua"/>
          <w:color w:val="000000"/>
        </w:rPr>
        <w:t xml:space="preserve">Apostolakos JM </w:t>
      </w:r>
      <w:r w:rsidRPr="00332DB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252C0">
        <w:rPr>
          <w:rFonts w:ascii="Book Antiqua" w:eastAsia="Book Antiqua" w:hAnsi="Book Antiqua" w:cs="Book Antiqua"/>
          <w:color w:val="000000"/>
        </w:rPr>
        <w:t>Arthroscopic stabilization in anterior shoulder instability</w:t>
      </w:r>
    </w:p>
    <w:p w14:paraId="6F532315" w14:textId="77777777" w:rsidR="00A77B3E" w:rsidRDefault="00A77B3E">
      <w:pPr>
        <w:spacing w:line="360" w:lineRule="auto"/>
        <w:jc w:val="both"/>
      </w:pPr>
    </w:p>
    <w:p w14:paraId="6375C1B5" w14:textId="77777777" w:rsidR="00A77B3E" w:rsidRDefault="000252C0">
      <w:pPr>
        <w:spacing w:line="360" w:lineRule="auto"/>
        <w:jc w:val="both"/>
      </w:pPr>
      <w:r>
        <w:rPr>
          <w:rFonts w:ascii="Book Antiqua" w:eastAsia="Book Antiqua" w:hAnsi="Book Antiqua" w:cs="Book Antiqua"/>
          <w:color w:val="000000"/>
        </w:rPr>
        <w:t xml:space="preserve">John M </w:t>
      </w:r>
      <w:proofErr w:type="spellStart"/>
      <w:r>
        <w:rPr>
          <w:rFonts w:ascii="Book Antiqua" w:eastAsia="Book Antiqua" w:hAnsi="Book Antiqua" w:cs="Book Antiqua"/>
          <w:color w:val="000000"/>
        </w:rPr>
        <w:t>Apostolakos</w:t>
      </w:r>
      <w:proofErr w:type="spellEnd"/>
      <w:r>
        <w:rPr>
          <w:rFonts w:ascii="Book Antiqua" w:eastAsia="Book Antiqua" w:hAnsi="Book Antiqua" w:cs="Book Antiqua"/>
          <w:color w:val="000000"/>
        </w:rPr>
        <w:t>, Joshua Wright-</w:t>
      </w:r>
      <w:proofErr w:type="spellStart"/>
      <w:r>
        <w:rPr>
          <w:rFonts w:ascii="Book Antiqua" w:eastAsia="Book Antiqua" w:hAnsi="Book Antiqua" w:cs="Book Antiqua"/>
          <w:color w:val="000000"/>
        </w:rPr>
        <w:t>Chisem</w:t>
      </w:r>
      <w:proofErr w:type="spellEnd"/>
      <w:r>
        <w:rPr>
          <w:rFonts w:ascii="Book Antiqua" w:eastAsia="Book Antiqua" w:hAnsi="Book Antiqua" w:cs="Book Antiqua"/>
          <w:color w:val="000000"/>
        </w:rPr>
        <w:t xml:space="preserve">, Lawrence V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Samuel A Taylor, Joshua S Dines</w:t>
      </w:r>
    </w:p>
    <w:p w14:paraId="379517F1" w14:textId="77777777" w:rsidR="00A77B3E" w:rsidRDefault="00A77B3E">
      <w:pPr>
        <w:spacing w:line="360" w:lineRule="auto"/>
        <w:jc w:val="both"/>
      </w:pPr>
    </w:p>
    <w:p w14:paraId="6DC4548F" w14:textId="77777777" w:rsidR="00A77B3E" w:rsidRDefault="000252C0">
      <w:pPr>
        <w:spacing w:line="360" w:lineRule="auto"/>
        <w:jc w:val="both"/>
      </w:pPr>
      <w:r>
        <w:rPr>
          <w:rFonts w:ascii="Book Antiqua" w:eastAsia="Book Antiqua" w:hAnsi="Book Antiqua" w:cs="Book Antiqua"/>
          <w:b/>
          <w:bCs/>
          <w:color w:val="000000"/>
        </w:rPr>
        <w:t xml:space="preserve">John M </w:t>
      </w:r>
      <w:proofErr w:type="spellStart"/>
      <w:r>
        <w:rPr>
          <w:rFonts w:ascii="Book Antiqua" w:eastAsia="Book Antiqua" w:hAnsi="Book Antiqua" w:cs="Book Antiqua"/>
          <w:b/>
          <w:bCs/>
          <w:color w:val="000000"/>
        </w:rPr>
        <w:t>Apostolakos</w:t>
      </w:r>
      <w:proofErr w:type="spellEnd"/>
      <w:r>
        <w:rPr>
          <w:rFonts w:ascii="Book Antiqua" w:eastAsia="Book Antiqua" w:hAnsi="Book Antiqua" w:cs="Book Antiqua"/>
          <w:b/>
          <w:bCs/>
          <w:color w:val="000000"/>
        </w:rPr>
        <w:t>, Joshua Wright-</w:t>
      </w:r>
      <w:proofErr w:type="spellStart"/>
      <w:r>
        <w:rPr>
          <w:rFonts w:ascii="Book Antiqua" w:eastAsia="Book Antiqua" w:hAnsi="Book Antiqua" w:cs="Book Antiqua"/>
          <w:b/>
          <w:bCs/>
          <w:color w:val="000000"/>
        </w:rPr>
        <w:t>Chisem</w:t>
      </w:r>
      <w:proofErr w:type="spellEnd"/>
      <w:r>
        <w:rPr>
          <w:rFonts w:ascii="Book Antiqua" w:eastAsia="Book Antiqua" w:hAnsi="Book Antiqua" w:cs="Book Antiqua"/>
          <w:b/>
          <w:bCs/>
          <w:color w:val="000000"/>
        </w:rPr>
        <w:t xml:space="preserve">, Lawrence V </w:t>
      </w:r>
      <w:proofErr w:type="spellStart"/>
      <w:r>
        <w:rPr>
          <w:rFonts w:ascii="Book Antiqua" w:eastAsia="Book Antiqua" w:hAnsi="Book Antiqua" w:cs="Book Antiqua"/>
          <w:b/>
          <w:bCs/>
          <w:color w:val="000000"/>
        </w:rPr>
        <w:t>Gulotta</w:t>
      </w:r>
      <w:proofErr w:type="spellEnd"/>
      <w:r>
        <w:rPr>
          <w:rFonts w:ascii="Book Antiqua" w:eastAsia="Book Antiqua" w:hAnsi="Book Antiqua" w:cs="Book Antiqua"/>
          <w:b/>
          <w:bCs/>
          <w:color w:val="000000"/>
        </w:rPr>
        <w:t xml:space="preserve">, Samuel A Taylor, Joshua S Dines, </w:t>
      </w:r>
      <w:r>
        <w:rPr>
          <w:rFonts w:ascii="Book Antiqua" w:eastAsia="Book Antiqua" w:hAnsi="Book Antiqua" w:cs="Book Antiqua"/>
          <w:color w:val="000000"/>
        </w:rPr>
        <w:t>Department of Sports Medicine and Shoulder Surgery, Hospital for Special Surgery, New York, NY 10021, United States</w:t>
      </w:r>
    </w:p>
    <w:p w14:paraId="1FECF440" w14:textId="77777777" w:rsidR="00A77B3E" w:rsidRDefault="00A77B3E">
      <w:pPr>
        <w:spacing w:line="360" w:lineRule="auto"/>
        <w:jc w:val="both"/>
      </w:pPr>
    </w:p>
    <w:p w14:paraId="5CDEEFDC" w14:textId="390D64EE" w:rsidR="00A77B3E" w:rsidRDefault="000252C0">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Apostolakos</w:t>
      </w:r>
      <w:proofErr w:type="spellEnd"/>
      <w:r>
        <w:rPr>
          <w:rFonts w:ascii="Book Antiqua" w:eastAsia="Book Antiqua" w:hAnsi="Book Antiqua" w:cs="Book Antiqua"/>
          <w:color w:val="000000"/>
        </w:rPr>
        <w:t xml:space="preserve"> </w:t>
      </w:r>
      <w:r w:rsidR="00535C3E">
        <w:rPr>
          <w:rFonts w:ascii="Book Antiqua" w:eastAsia="Book Antiqua" w:hAnsi="Book Antiqua" w:cs="Book Antiqua"/>
          <w:color w:val="000000"/>
        </w:rPr>
        <w:t xml:space="preserve">JM </w:t>
      </w:r>
      <w:r>
        <w:rPr>
          <w:rFonts w:ascii="Book Antiqua" w:eastAsia="Book Antiqua" w:hAnsi="Book Antiqua" w:cs="Book Antiqua"/>
          <w:color w:val="000000"/>
        </w:rPr>
        <w:t>was the author primarily responsible for the writing and editing of the text</w:t>
      </w:r>
      <w:r w:rsidR="00535C3E">
        <w:rPr>
          <w:rFonts w:ascii="Book Antiqua" w:eastAsia="Book Antiqua" w:hAnsi="Book Antiqua" w:cs="Book Antiqua"/>
          <w:color w:val="000000"/>
        </w:rPr>
        <w:t xml:space="preserve">; </w:t>
      </w:r>
      <w:r>
        <w:rPr>
          <w:rFonts w:ascii="Book Antiqua" w:eastAsia="Book Antiqua" w:hAnsi="Book Antiqua" w:cs="Book Antiqua"/>
          <w:color w:val="000000"/>
        </w:rPr>
        <w:t>Wright-</w:t>
      </w:r>
      <w:proofErr w:type="spellStart"/>
      <w:r>
        <w:rPr>
          <w:rFonts w:ascii="Book Antiqua" w:eastAsia="Book Antiqua" w:hAnsi="Book Antiqua" w:cs="Book Antiqua"/>
          <w:color w:val="000000"/>
        </w:rPr>
        <w:t>Chisem</w:t>
      </w:r>
      <w:proofErr w:type="spellEnd"/>
      <w:r>
        <w:rPr>
          <w:rFonts w:ascii="Book Antiqua" w:eastAsia="Book Antiqua" w:hAnsi="Book Antiqua" w:cs="Book Antiqua"/>
          <w:color w:val="000000"/>
        </w:rPr>
        <w:t xml:space="preserve"> </w:t>
      </w:r>
      <w:r w:rsidR="00535C3E">
        <w:rPr>
          <w:rFonts w:ascii="Book Antiqua" w:eastAsia="Book Antiqua" w:hAnsi="Book Antiqua" w:cs="Book Antiqua"/>
          <w:color w:val="000000"/>
        </w:rPr>
        <w:t xml:space="preserve">J </w:t>
      </w:r>
      <w:r>
        <w:rPr>
          <w:rFonts w:ascii="Book Antiqua" w:eastAsia="Book Antiqua" w:hAnsi="Book Antiqua" w:cs="Book Antiqua"/>
          <w:color w:val="000000"/>
        </w:rPr>
        <w:t>assisted in the writing and editing of the text</w:t>
      </w:r>
      <w:r w:rsidR="00535C3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w:t>
      </w:r>
      <w:r w:rsidR="00535C3E">
        <w:rPr>
          <w:rFonts w:ascii="Book Antiqua" w:eastAsia="Book Antiqua" w:hAnsi="Book Antiqua" w:cs="Book Antiqua"/>
          <w:color w:val="000000"/>
        </w:rPr>
        <w:t xml:space="preserve">LV </w:t>
      </w:r>
      <w:r>
        <w:rPr>
          <w:rFonts w:ascii="Book Antiqua" w:eastAsia="Book Antiqua" w:hAnsi="Book Antiqua" w:cs="Book Antiqua"/>
          <w:color w:val="000000"/>
        </w:rPr>
        <w:t>provided critical expertise and input into the material of the text</w:t>
      </w:r>
      <w:r w:rsidR="00535C3E">
        <w:rPr>
          <w:rFonts w:ascii="Book Antiqua" w:eastAsia="Book Antiqua" w:hAnsi="Book Antiqua" w:cs="Book Antiqua"/>
          <w:color w:val="000000"/>
        </w:rPr>
        <w:t>;</w:t>
      </w:r>
      <w:r w:rsidR="00700C7E">
        <w:rPr>
          <w:rFonts w:ascii="Book Antiqua" w:eastAsia="Book Antiqua" w:hAnsi="Book Antiqua" w:cs="Book Antiqua"/>
          <w:color w:val="000000"/>
        </w:rPr>
        <w:t xml:space="preserve"> </w:t>
      </w:r>
      <w:r>
        <w:rPr>
          <w:rFonts w:ascii="Book Antiqua" w:eastAsia="Book Antiqua" w:hAnsi="Book Antiqua" w:cs="Book Antiqua"/>
          <w:color w:val="000000"/>
        </w:rPr>
        <w:t xml:space="preserve">Taylor </w:t>
      </w:r>
      <w:r w:rsidR="00700C7E">
        <w:rPr>
          <w:rFonts w:ascii="Book Antiqua" w:eastAsia="Book Antiqua" w:hAnsi="Book Antiqua" w:cs="Book Antiqua"/>
          <w:color w:val="000000"/>
        </w:rPr>
        <w:t xml:space="preserve">SA </w:t>
      </w:r>
      <w:r>
        <w:rPr>
          <w:rFonts w:ascii="Book Antiqua" w:eastAsia="Book Antiqua" w:hAnsi="Book Antiqua" w:cs="Book Antiqua"/>
          <w:color w:val="000000"/>
        </w:rPr>
        <w:t>provided critical expertise and input into the material of the text</w:t>
      </w:r>
      <w:r w:rsidR="00700C7E">
        <w:rPr>
          <w:rFonts w:ascii="Book Antiqua" w:eastAsia="Book Antiqua" w:hAnsi="Book Antiqua" w:cs="Book Antiqua"/>
          <w:color w:val="000000"/>
        </w:rPr>
        <w:t xml:space="preserve">; </w:t>
      </w:r>
      <w:r>
        <w:rPr>
          <w:rFonts w:ascii="Book Antiqua" w:eastAsia="Book Antiqua" w:hAnsi="Book Antiqua" w:cs="Book Antiqua"/>
          <w:color w:val="000000"/>
        </w:rPr>
        <w:t xml:space="preserve">Dines </w:t>
      </w:r>
      <w:r w:rsidR="00700C7E">
        <w:rPr>
          <w:rFonts w:ascii="Book Antiqua" w:eastAsia="Book Antiqua" w:hAnsi="Book Antiqua" w:cs="Book Antiqua"/>
          <w:color w:val="000000"/>
        </w:rPr>
        <w:t xml:space="preserve">JS </w:t>
      </w:r>
      <w:r>
        <w:rPr>
          <w:rFonts w:ascii="Book Antiqua" w:eastAsia="Book Antiqua" w:hAnsi="Book Antiqua" w:cs="Book Antiqua"/>
          <w:color w:val="000000"/>
        </w:rPr>
        <w:t>provided critical expertise and input into the material of the text.</w:t>
      </w:r>
    </w:p>
    <w:p w14:paraId="6FA4A548" w14:textId="77777777" w:rsidR="00A77B3E" w:rsidRDefault="00A77B3E">
      <w:pPr>
        <w:spacing w:line="360" w:lineRule="auto"/>
        <w:jc w:val="both"/>
      </w:pPr>
    </w:p>
    <w:p w14:paraId="1A65BD9C" w14:textId="77777777" w:rsidR="00A77B3E" w:rsidRDefault="000252C0">
      <w:pPr>
        <w:spacing w:line="360" w:lineRule="auto"/>
        <w:jc w:val="both"/>
      </w:pPr>
      <w:r>
        <w:rPr>
          <w:rFonts w:ascii="Book Antiqua" w:eastAsia="Book Antiqua" w:hAnsi="Book Antiqua" w:cs="Book Antiqua"/>
          <w:b/>
          <w:bCs/>
          <w:color w:val="000000"/>
        </w:rPr>
        <w:t xml:space="preserve">Corresponding author: John M </w:t>
      </w:r>
      <w:proofErr w:type="spellStart"/>
      <w:r>
        <w:rPr>
          <w:rFonts w:ascii="Book Antiqua" w:eastAsia="Book Antiqua" w:hAnsi="Book Antiqua" w:cs="Book Antiqua"/>
          <w:b/>
          <w:bCs/>
          <w:color w:val="000000"/>
        </w:rPr>
        <w:t>Apostolakos</w:t>
      </w:r>
      <w:proofErr w:type="spellEnd"/>
      <w:r>
        <w:rPr>
          <w:rFonts w:ascii="Book Antiqua" w:eastAsia="Book Antiqua" w:hAnsi="Book Antiqua" w:cs="Book Antiqua"/>
          <w:b/>
          <w:bCs/>
          <w:color w:val="000000"/>
        </w:rPr>
        <w:t xml:space="preserve">, MD, Surgeon, </w:t>
      </w:r>
      <w:r>
        <w:rPr>
          <w:rFonts w:ascii="Book Antiqua" w:eastAsia="Book Antiqua" w:hAnsi="Book Antiqua" w:cs="Book Antiqua"/>
          <w:color w:val="000000"/>
        </w:rPr>
        <w:t>Department of Sports Medicine and Shoulder Surgery, Hospital for Special Surgery, 535 East 70</w:t>
      </w:r>
      <w:r w:rsidRPr="00AE6BFB">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Street, New York, NY 10021, United States. apostolakosj@hss.edu</w:t>
      </w:r>
    </w:p>
    <w:p w14:paraId="4C27C64A" w14:textId="77777777" w:rsidR="00A77B3E" w:rsidRDefault="00A77B3E">
      <w:pPr>
        <w:spacing w:line="360" w:lineRule="auto"/>
        <w:jc w:val="both"/>
      </w:pPr>
    </w:p>
    <w:p w14:paraId="2CEEDCB3" w14:textId="77777777" w:rsidR="00A77B3E" w:rsidRDefault="000252C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2020</w:t>
      </w:r>
    </w:p>
    <w:p w14:paraId="6295945E" w14:textId="77777777" w:rsidR="00A77B3E" w:rsidRDefault="000252C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16, 2020</w:t>
      </w:r>
    </w:p>
    <w:p w14:paraId="1F69D615" w14:textId="70DC5DB4" w:rsidR="00A77B3E" w:rsidRDefault="000252C0">
      <w:pPr>
        <w:spacing w:line="360" w:lineRule="auto"/>
        <w:jc w:val="both"/>
      </w:pPr>
      <w:r>
        <w:rPr>
          <w:rFonts w:ascii="Book Antiqua" w:eastAsia="Book Antiqua" w:hAnsi="Book Antiqua" w:cs="Book Antiqua"/>
          <w:b/>
          <w:bCs/>
          <w:color w:val="000000"/>
        </w:rPr>
        <w:t xml:space="preserve">Accepted: </w:t>
      </w:r>
      <w:r w:rsidR="00294306" w:rsidRPr="00294306">
        <w:rPr>
          <w:rFonts w:ascii="Book Antiqua" w:eastAsia="Book Antiqua" w:hAnsi="Book Antiqua" w:cs="Book Antiqua"/>
          <w:color w:val="000000"/>
        </w:rPr>
        <w:t>December 23, 2020</w:t>
      </w:r>
    </w:p>
    <w:p w14:paraId="3A46A7BD" w14:textId="77777777" w:rsidR="00A77B3E" w:rsidRDefault="000252C0">
      <w:pPr>
        <w:spacing w:line="360" w:lineRule="auto"/>
        <w:jc w:val="both"/>
      </w:pPr>
      <w:r>
        <w:rPr>
          <w:rFonts w:ascii="Book Antiqua" w:eastAsia="Book Antiqua" w:hAnsi="Book Antiqua" w:cs="Book Antiqua"/>
          <w:b/>
          <w:bCs/>
          <w:color w:val="000000"/>
        </w:rPr>
        <w:lastRenderedPageBreak/>
        <w:t xml:space="preserve">Published online: </w:t>
      </w:r>
    </w:p>
    <w:p w14:paraId="439DDBC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A04F3CE" w14:textId="77777777" w:rsidR="00A77B3E" w:rsidRDefault="000252C0">
      <w:pPr>
        <w:spacing w:line="360" w:lineRule="auto"/>
        <w:jc w:val="both"/>
      </w:pPr>
      <w:r>
        <w:rPr>
          <w:rFonts w:ascii="Book Antiqua" w:eastAsia="Book Antiqua" w:hAnsi="Book Antiqua" w:cs="Book Antiqua"/>
          <w:b/>
          <w:color w:val="000000"/>
        </w:rPr>
        <w:lastRenderedPageBreak/>
        <w:t>Abstract</w:t>
      </w:r>
    </w:p>
    <w:p w14:paraId="4B09D424" w14:textId="23E66A4C" w:rsidR="00A77B3E" w:rsidRDefault="000252C0" w:rsidP="005E435E">
      <w:pPr>
        <w:spacing w:line="360" w:lineRule="auto"/>
        <w:jc w:val="both"/>
      </w:pPr>
      <w:r>
        <w:rPr>
          <w:rFonts w:ascii="Book Antiqua" w:eastAsia="Book Antiqua" w:hAnsi="Book Antiqua" w:cs="Book Antiqua"/>
          <w:color w:val="000000"/>
        </w:rPr>
        <w:t xml:space="preserve">The glenohumeral joint (GHJ) allows for a wide range of motion, but is also particularly vulnerable to episodes of instability. Anterior GHJ instability is especially frequent among young, athletic populations during contact sporting events. Many first time </w:t>
      </w:r>
      <w:proofErr w:type="spellStart"/>
      <w:r>
        <w:rPr>
          <w:rFonts w:ascii="Book Antiqua" w:eastAsia="Book Antiqua" w:hAnsi="Book Antiqua" w:cs="Book Antiqua"/>
          <w:color w:val="000000"/>
        </w:rPr>
        <w:t>dislocators</w:t>
      </w:r>
      <w:proofErr w:type="spellEnd"/>
      <w:r>
        <w:rPr>
          <w:rFonts w:ascii="Book Antiqua" w:eastAsia="Book Antiqua" w:hAnsi="Book Antiqua" w:cs="Book Antiqua"/>
          <w:color w:val="000000"/>
        </w:rPr>
        <w:t xml:space="preserve"> can be managed non-operatively with a period of immobilization and rehabilitation, however certain patient populations are at higher risk for recurrent instability and may require surgical intervention for adequate stabilization. Determination of the optimal treatment strategy should be made on a case-by-case basis while weighing both patient specific factors and injury patterns (</w:t>
      </w:r>
      <w:r w:rsidRPr="005E435E">
        <w:rPr>
          <w:rFonts w:ascii="Book Antiqua" w:eastAsia="Book Antiqua" w:hAnsi="Book Antiqua" w:cs="Book Antiqua"/>
          <w:i/>
          <w:iCs/>
          <w:color w:val="000000"/>
        </w:rPr>
        <w:t>i.e.</w:t>
      </w:r>
      <w:r w:rsidR="005E435E">
        <w:rPr>
          <w:rFonts w:ascii="Book Antiqua" w:eastAsia="Book Antiqua" w:hAnsi="Book Antiqua" w:cs="Book Antiqua"/>
          <w:color w:val="000000"/>
        </w:rPr>
        <w:t>,</w:t>
      </w:r>
      <w:r>
        <w:rPr>
          <w:rFonts w:ascii="Book Antiqua" w:eastAsia="Book Antiqua" w:hAnsi="Book Antiqua" w:cs="Book Antiqua"/>
          <w:color w:val="000000"/>
        </w:rPr>
        <w:t xml:space="preserve"> bone loss). The purpose of this review is to describe the relevant anatomical stabilizers of the GHJ, risk factors for recurrent instability including bony lesions, indications for arthroscopic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surgical management, clinical history and physical examination techniques, imaging modalities, and pearls/pitfalls of arthroscopic soft-tissue stabilization for anterior glenohumeral instability. </w:t>
      </w:r>
    </w:p>
    <w:p w14:paraId="531C4CA8" w14:textId="77777777" w:rsidR="00A77B3E" w:rsidRDefault="00A77B3E" w:rsidP="005E435E">
      <w:pPr>
        <w:spacing w:line="360" w:lineRule="auto"/>
        <w:jc w:val="both"/>
      </w:pPr>
    </w:p>
    <w:p w14:paraId="7FB5B23A" w14:textId="771D939E" w:rsidR="00A77B3E" w:rsidRDefault="000252C0">
      <w:pPr>
        <w:spacing w:line="360" w:lineRule="auto"/>
        <w:jc w:val="both"/>
      </w:pPr>
      <w:r>
        <w:rPr>
          <w:rFonts w:ascii="Book Antiqua" w:eastAsia="Book Antiqua" w:hAnsi="Book Antiqua" w:cs="Book Antiqua"/>
          <w:b/>
          <w:bCs/>
          <w:color w:val="000000"/>
        </w:rPr>
        <w:t xml:space="preserve">Key Words: </w:t>
      </w:r>
      <w:r w:rsidR="005E435E">
        <w:rPr>
          <w:rFonts w:ascii="Book Antiqua" w:eastAsia="Book Antiqua" w:hAnsi="Book Antiqua" w:cs="Book Antiqua"/>
          <w:color w:val="000000"/>
        </w:rPr>
        <w:t>A</w:t>
      </w:r>
      <w:r>
        <w:rPr>
          <w:rFonts w:ascii="Book Antiqua" w:eastAsia="Book Antiqua" w:hAnsi="Book Antiqua" w:cs="Book Antiqua"/>
          <w:color w:val="000000"/>
        </w:rPr>
        <w:t xml:space="preserve">rthroscopic; </w:t>
      </w:r>
      <w:r w:rsidR="005E435E">
        <w:rPr>
          <w:rFonts w:ascii="Book Antiqua" w:eastAsia="Book Antiqua" w:hAnsi="Book Antiqua" w:cs="Book Antiqua"/>
          <w:color w:val="000000"/>
        </w:rPr>
        <w:t>S</w:t>
      </w:r>
      <w:r>
        <w:rPr>
          <w:rFonts w:ascii="Book Antiqua" w:eastAsia="Book Antiqua" w:hAnsi="Book Antiqua" w:cs="Book Antiqua"/>
          <w:color w:val="000000"/>
        </w:rPr>
        <w:t xml:space="preserve">oft-tissue; </w:t>
      </w:r>
      <w:r w:rsidR="005E435E">
        <w:rPr>
          <w:rFonts w:ascii="Book Antiqua" w:eastAsia="Book Antiqua" w:hAnsi="Book Antiqua" w:cs="Book Antiqua"/>
          <w:color w:val="000000"/>
        </w:rPr>
        <w:t>A</w:t>
      </w:r>
      <w:r>
        <w:rPr>
          <w:rFonts w:ascii="Book Antiqua" w:eastAsia="Book Antiqua" w:hAnsi="Book Antiqua" w:cs="Book Antiqua"/>
          <w:color w:val="000000"/>
        </w:rPr>
        <w:t xml:space="preserve">nterior instability; </w:t>
      </w:r>
      <w:r w:rsidR="005E435E">
        <w:rPr>
          <w:rFonts w:ascii="Book Antiqua" w:eastAsia="Book Antiqua" w:hAnsi="Book Antiqua" w:cs="Book Antiqua"/>
          <w:color w:val="000000"/>
        </w:rPr>
        <w:t>G</w:t>
      </w:r>
      <w:r>
        <w:rPr>
          <w:rFonts w:ascii="Book Antiqua" w:eastAsia="Book Antiqua" w:hAnsi="Book Antiqua" w:cs="Book Antiqua"/>
          <w:color w:val="000000"/>
        </w:rPr>
        <w:t xml:space="preserve">lenohumeral; </w:t>
      </w:r>
      <w:r w:rsidR="005E435E">
        <w:rPr>
          <w:rFonts w:ascii="Book Antiqua" w:eastAsia="Book Antiqua" w:hAnsi="Book Antiqua" w:cs="Book Antiqua"/>
          <w:color w:val="000000"/>
        </w:rPr>
        <w:t>F</w:t>
      </w:r>
      <w:r>
        <w:rPr>
          <w:rFonts w:ascii="Book Antiqua" w:eastAsia="Book Antiqua" w:hAnsi="Book Antiqua" w:cs="Book Antiqua"/>
          <w:color w:val="000000"/>
        </w:rPr>
        <w:t xml:space="preserve">unctional anatomy; </w:t>
      </w:r>
      <w:r w:rsidR="005E435E">
        <w:rPr>
          <w:rFonts w:ascii="Book Antiqua" w:eastAsia="Book Antiqua" w:hAnsi="Book Antiqua" w:cs="Book Antiqua"/>
          <w:color w:val="000000"/>
        </w:rPr>
        <w:t>R</w:t>
      </w:r>
      <w:r>
        <w:rPr>
          <w:rFonts w:ascii="Book Antiqua" w:eastAsia="Book Antiqua" w:hAnsi="Book Antiqua" w:cs="Book Antiqua"/>
          <w:color w:val="000000"/>
        </w:rPr>
        <w:t>ecurrent instability</w:t>
      </w:r>
    </w:p>
    <w:p w14:paraId="78835C2B" w14:textId="77777777" w:rsidR="00A77B3E" w:rsidRDefault="00A77B3E">
      <w:pPr>
        <w:spacing w:line="360" w:lineRule="auto"/>
        <w:jc w:val="both"/>
      </w:pPr>
    </w:p>
    <w:p w14:paraId="6273DC9F" w14:textId="3A9F4E8A" w:rsidR="00A77B3E" w:rsidRDefault="000252C0">
      <w:pPr>
        <w:spacing w:line="360" w:lineRule="auto"/>
        <w:jc w:val="both"/>
      </w:pPr>
      <w:proofErr w:type="spellStart"/>
      <w:r>
        <w:rPr>
          <w:rFonts w:ascii="Book Antiqua" w:eastAsia="Book Antiqua" w:hAnsi="Book Antiqua" w:cs="Book Antiqua"/>
          <w:color w:val="000000"/>
        </w:rPr>
        <w:t>Apostolakos</w:t>
      </w:r>
      <w:proofErr w:type="spellEnd"/>
      <w:r>
        <w:rPr>
          <w:rFonts w:ascii="Book Antiqua" w:eastAsia="Book Antiqua" w:hAnsi="Book Antiqua" w:cs="Book Antiqua"/>
          <w:color w:val="000000"/>
        </w:rPr>
        <w:t xml:space="preserve"> JM, Wright-</w:t>
      </w:r>
      <w:proofErr w:type="spellStart"/>
      <w:r>
        <w:rPr>
          <w:rFonts w:ascii="Book Antiqua" w:eastAsia="Book Antiqua" w:hAnsi="Book Antiqua" w:cs="Book Antiqua"/>
          <w:color w:val="000000"/>
        </w:rPr>
        <w:t>Chisem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Taylor SA, Dines JS. Anterior </w:t>
      </w:r>
      <w:r w:rsidR="005E435E">
        <w:rPr>
          <w:rFonts w:ascii="Book Antiqua" w:eastAsia="Book Antiqua" w:hAnsi="Book Antiqua" w:cs="Book Antiqua"/>
          <w:color w:val="000000"/>
        </w:rPr>
        <w:t>glenohumeral ins</w:t>
      </w:r>
      <w:r>
        <w:rPr>
          <w:rFonts w:ascii="Book Antiqua" w:eastAsia="Book Antiqua" w:hAnsi="Book Antiqua" w:cs="Book Antiqua"/>
          <w:color w:val="000000"/>
        </w:rPr>
        <w:t>tability: Current</w:t>
      </w:r>
      <w:r w:rsidR="005E435E">
        <w:rPr>
          <w:rFonts w:ascii="Book Antiqua" w:eastAsia="Book Antiqua" w:hAnsi="Book Antiqua" w:cs="Book Antiqua"/>
          <w:color w:val="000000"/>
        </w:rPr>
        <w:t xml:space="preserve"> review with technical pearls and pitfalls of arthroscopic soft-tissue stab</w:t>
      </w:r>
      <w:r>
        <w:rPr>
          <w:rFonts w:ascii="Book Antiqua" w:eastAsia="Book Antiqua" w:hAnsi="Book Antiqua" w:cs="Book Antiqua"/>
          <w:color w:val="000000"/>
        </w:rPr>
        <w:t xml:space="preserve">ilization.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In press</w:t>
      </w:r>
    </w:p>
    <w:p w14:paraId="11E3BB79" w14:textId="77777777" w:rsidR="00A77B3E" w:rsidRDefault="00A77B3E">
      <w:pPr>
        <w:spacing w:line="360" w:lineRule="auto"/>
        <w:jc w:val="both"/>
      </w:pPr>
    </w:p>
    <w:p w14:paraId="689BC029" w14:textId="69E11E35" w:rsidR="00A77B3E" w:rsidRDefault="000252C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Management of the patient with anterior shoulder instability is a common yet complex condition for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clinician. To optimize the evaluation and management of these patients the clinician must ensure a detailed and thorough clinical and radiographic workup, have a thorough understanding of the dynamic, static, and bony stabilizers of the </w:t>
      </w:r>
      <w:r w:rsidR="005E435E">
        <w:rPr>
          <w:rFonts w:ascii="Book Antiqua" w:eastAsia="Book Antiqua" w:hAnsi="Book Antiqua" w:cs="Book Antiqua"/>
          <w:color w:val="000000"/>
        </w:rPr>
        <w:t>glenohumeral joint</w:t>
      </w:r>
      <w:r>
        <w:rPr>
          <w:rFonts w:ascii="Book Antiqua" w:eastAsia="Book Antiqua" w:hAnsi="Book Antiqua" w:cs="Book Antiqua"/>
          <w:color w:val="000000"/>
        </w:rPr>
        <w:t xml:space="preserve">, and understand the common causes of failed surgical intervention in order to address these concerns when appropriate. This review describes the current evidence on anterior glenohumeral instability including functional </w:t>
      </w:r>
      <w:r>
        <w:rPr>
          <w:rFonts w:ascii="Book Antiqua" w:eastAsia="Book Antiqua" w:hAnsi="Book Antiqua" w:cs="Book Antiqua"/>
          <w:color w:val="000000"/>
        </w:rPr>
        <w:lastRenderedPageBreak/>
        <w:t>anatomy, risk factors for recurrent instability, clinical history and physical exam</w:t>
      </w:r>
      <w:r w:rsidR="00530C8B">
        <w:rPr>
          <w:rFonts w:ascii="Book Antiqua" w:eastAsia="Book Antiqua" w:hAnsi="Book Antiqua" w:cs="Book Antiqua"/>
          <w:color w:val="000000"/>
        </w:rPr>
        <w:t>ination techniques</w:t>
      </w:r>
      <w:r>
        <w:rPr>
          <w:rFonts w:ascii="Book Antiqua" w:eastAsia="Book Antiqua" w:hAnsi="Book Antiqua" w:cs="Book Antiqua"/>
          <w:color w:val="000000"/>
        </w:rPr>
        <w:t>, imaging</w:t>
      </w:r>
      <w:r w:rsidR="00530C8B">
        <w:rPr>
          <w:rFonts w:ascii="Book Antiqua" w:eastAsia="Book Antiqua" w:hAnsi="Book Antiqua" w:cs="Book Antiqua"/>
          <w:color w:val="000000"/>
        </w:rPr>
        <w:t xml:space="preserve"> modalities</w:t>
      </w:r>
      <w:r>
        <w:rPr>
          <w:rFonts w:ascii="Book Antiqua" w:eastAsia="Book Antiqua" w:hAnsi="Book Antiqua" w:cs="Book Antiqua"/>
          <w:color w:val="000000"/>
        </w:rPr>
        <w:t>, and operative pearls and pitfalls.</w:t>
      </w:r>
    </w:p>
    <w:p w14:paraId="3DAF9BBF" w14:textId="77777777" w:rsidR="005E435E" w:rsidRDefault="005E435E" w:rsidP="005E435E">
      <w:pPr>
        <w:spacing w:line="360" w:lineRule="auto"/>
        <w:jc w:val="both"/>
      </w:pPr>
      <w:r>
        <w:br w:type="page"/>
      </w:r>
      <w:r w:rsidR="000252C0">
        <w:rPr>
          <w:rFonts w:ascii="Book Antiqua" w:eastAsia="Book Antiqua" w:hAnsi="Book Antiqua" w:cs="Book Antiqua"/>
          <w:b/>
          <w:caps/>
          <w:color w:val="000000"/>
          <w:u w:val="single"/>
        </w:rPr>
        <w:lastRenderedPageBreak/>
        <w:t>INTRODUCTION</w:t>
      </w:r>
    </w:p>
    <w:p w14:paraId="722DEE35" w14:textId="78D0C8C5" w:rsidR="00A77B3E" w:rsidRDefault="000252C0" w:rsidP="005E435E">
      <w:pPr>
        <w:spacing w:line="360" w:lineRule="auto"/>
        <w:jc w:val="both"/>
      </w:pPr>
      <w:r>
        <w:rPr>
          <w:rFonts w:ascii="Book Antiqua" w:eastAsia="Book Antiqua" w:hAnsi="Book Antiqua" w:cs="Book Antiqua"/>
          <w:color w:val="000000"/>
        </w:rPr>
        <w:t xml:space="preserve">The unique structure of the glenohumeral joint (GHJ) allows for a wide range of motion, but also makes the joint particularly vulnerable to episodes of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Anterior instability is the most common form, accounting for 80</w:t>
      </w:r>
      <w:r w:rsidR="005E435E">
        <w:rPr>
          <w:rFonts w:ascii="Book Antiqua" w:eastAsia="Book Antiqua" w:hAnsi="Book Antiqua" w:cs="Book Antiqua"/>
          <w:color w:val="000000"/>
        </w:rPr>
        <w:t>%-</w:t>
      </w:r>
      <w:r>
        <w:rPr>
          <w:rFonts w:ascii="Book Antiqua" w:eastAsia="Book Antiqua" w:hAnsi="Book Antiqua" w:cs="Book Antiqua"/>
          <w:color w:val="000000"/>
        </w:rPr>
        <w:t xml:space="preserve">98% of all GHJ instability events among young, athletic populations particularly during contact sporting events with the shoulder in the abducted and externally rotated </w:t>
      </w:r>
      <w:proofErr w:type="gramStart"/>
      <w:r>
        <w:rPr>
          <w:rFonts w:ascii="Book Antiqua" w:eastAsia="Book Antiqua" w:hAnsi="Book Antiqua" w:cs="Book Antiqua"/>
          <w:color w:val="000000"/>
        </w:rPr>
        <w:t>position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2-10]</w:t>
      </w:r>
      <w:r>
        <w:rPr>
          <w:rFonts w:ascii="Book Antiqua" w:eastAsia="Book Antiqua" w:hAnsi="Book Antiqua" w:cs="Book Antiqua"/>
          <w:color w:val="000000"/>
        </w:rPr>
        <w:t xml:space="preserve">. In 2018, the MOON Shoulder Instability Study reported on the descriptive epidemiology of 863 patients who underwent surgical intervention for GHJ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They found the mean age for the cohort was 24 years with males representing 82% of all patients. The primary direction of instability was most commonly anterior for male (74%) and female (73%) patients with football (24%) and basketball (13%) the most common sports during which the injury occurred. The etiology of instability events ranges from ligamentous laxity to traumatic dislocation events, with the latter being the most common with an overall incidence of 1.7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7,12]</w:t>
      </w:r>
      <w:r>
        <w:rPr>
          <w:rFonts w:ascii="Book Antiqua" w:eastAsia="Book Antiqua" w:hAnsi="Book Antiqua" w:cs="Book Antiqua"/>
          <w:color w:val="000000"/>
        </w:rPr>
        <w:t xml:space="preserve">. </w:t>
      </w:r>
    </w:p>
    <w:p w14:paraId="67186249" w14:textId="297BA9BE" w:rsidR="00A77B3E" w:rsidRDefault="000252C0" w:rsidP="005E435E">
      <w:pPr>
        <w:spacing w:line="360" w:lineRule="auto"/>
        <w:ind w:firstLineChars="100" w:firstLine="240"/>
        <w:jc w:val="both"/>
      </w:pPr>
      <w:r>
        <w:rPr>
          <w:rFonts w:ascii="Book Antiqua" w:eastAsia="Book Antiqua" w:hAnsi="Book Antiqua" w:cs="Book Antiqua"/>
          <w:color w:val="000000"/>
        </w:rPr>
        <w:t xml:space="preserve">Many first time </w:t>
      </w:r>
      <w:proofErr w:type="spellStart"/>
      <w:r>
        <w:rPr>
          <w:rFonts w:ascii="Book Antiqua" w:eastAsia="Book Antiqua" w:hAnsi="Book Antiqua" w:cs="Book Antiqua"/>
          <w:color w:val="000000"/>
        </w:rPr>
        <w:t>dislocators</w:t>
      </w:r>
      <w:proofErr w:type="spellEnd"/>
      <w:r>
        <w:rPr>
          <w:rFonts w:ascii="Book Antiqua" w:eastAsia="Book Antiqua" w:hAnsi="Book Antiqua" w:cs="Book Antiqua"/>
          <w:color w:val="000000"/>
        </w:rPr>
        <w:t xml:space="preserve"> can be managed non-operatively with a period of immobilization and rehabilitation, however, certain patient populations are at higher risk for recurrent instability which can lead to substantial time loss from active participation/training and may require surgical intervention for adequate </w:t>
      </w:r>
      <w:proofErr w:type="gramStart"/>
      <w:r>
        <w:rPr>
          <w:rFonts w:ascii="Book Antiqua" w:eastAsia="Book Antiqua" w:hAnsi="Book Antiqua" w:cs="Book Antiqua"/>
          <w:color w:val="000000"/>
        </w:rPr>
        <w:t>stabilization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4,13,14]</w:t>
      </w:r>
      <w:r>
        <w:rPr>
          <w:rFonts w:ascii="Book Antiqua" w:eastAsia="Book Antiqua" w:hAnsi="Book Antiqua" w:cs="Book Antiqua"/>
          <w:color w:val="000000"/>
        </w:rPr>
        <w:t xml:space="preserve">. Operative techniques aimed at addressing GHJ instability are variable and range from arthroscopic soft-tissue stabilization, open soft-tissue stabilization, as well as techniques aimed at addressing bone loss such as the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 autologous bone graft transfer, and allograft bone transfers. Determination of the optimal treatment strategy should be made on a case-by-case basis while weighing patient specific factors such as age, activity/sport/working status, goals, and previous history of instability events. Additionally, injury specific factors </w:t>
      </w:r>
      <w:r w:rsidR="006F56FB">
        <w:rPr>
          <w:rFonts w:ascii="Book Antiqua" w:eastAsia="Book Antiqua" w:hAnsi="Book Antiqua" w:cs="Book Antiqua"/>
          <w:color w:val="000000"/>
        </w:rPr>
        <w:t xml:space="preserve">should </w:t>
      </w:r>
      <w:r>
        <w:rPr>
          <w:rFonts w:ascii="Book Antiqua" w:eastAsia="Book Antiqua" w:hAnsi="Book Antiqua" w:cs="Book Antiqua"/>
          <w:color w:val="000000"/>
        </w:rPr>
        <w:t>also be considered such as acuity of injury and the degree of bone loss which will be discussed in more detail later in this text.</w:t>
      </w:r>
    </w:p>
    <w:p w14:paraId="2D7F6E40" w14:textId="1D3E6D68" w:rsidR="00A77B3E" w:rsidRDefault="000252C0" w:rsidP="005E435E">
      <w:pPr>
        <w:spacing w:line="360" w:lineRule="auto"/>
        <w:ind w:firstLineChars="100" w:firstLine="240"/>
        <w:jc w:val="both"/>
      </w:pPr>
      <w:r>
        <w:rPr>
          <w:rFonts w:ascii="Book Antiqua" w:eastAsia="Book Antiqua" w:hAnsi="Book Antiqua" w:cs="Book Antiqua"/>
          <w:color w:val="000000"/>
        </w:rPr>
        <w:t xml:space="preserve">The purpose of this review is to describe the relevant anatomical stabilizers of the GHJ, risk factors for recurrent instability including bony lesions, indications for arthroscopic </w:t>
      </w:r>
      <w:r>
        <w:rPr>
          <w:rFonts w:ascii="Book Antiqua" w:eastAsia="Book Antiqua" w:hAnsi="Book Antiqua" w:cs="Book Antiqua"/>
          <w:i/>
          <w:iCs/>
          <w:color w:val="000000"/>
        </w:rPr>
        <w:lastRenderedPageBreak/>
        <w:t>vs</w:t>
      </w:r>
      <w:r>
        <w:rPr>
          <w:rFonts w:ascii="Book Antiqua" w:eastAsia="Book Antiqua" w:hAnsi="Book Antiqua" w:cs="Book Antiqua"/>
          <w:color w:val="000000"/>
        </w:rPr>
        <w:t xml:space="preserve"> open surgical management, clinical history and physical examination techniques, imaging modalities, and pearls/pitfalls of arthroscopic soft-tissue stabilization for anterior glenohumeral instability. </w:t>
      </w:r>
    </w:p>
    <w:p w14:paraId="0CB55E07" w14:textId="77777777" w:rsidR="00A77B3E" w:rsidRDefault="00A77B3E">
      <w:pPr>
        <w:spacing w:line="360" w:lineRule="auto"/>
        <w:jc w:val="both"/>
      </w:pPr>
    </w:p>
    <w:p w14:paraId="24E4DEAD" w14:textId="77777777" w:rsidR="00A77B3E" w:rsidRDefault="000252C0">
      <w:pPr>
        <w:spacing w:line="360" w:lineRule="auto"/>
        <w:jc w:val="both"/>
      </w:pPr>
      <w:r>
        <w:rPr>
          <w:rFonts w:ascii="Book Antiqua" w:eastAsia="Book Antiqua" w:hAnsi="Book Antiqua" w:cs="Book Antiqua"/>
          <w:b/>
          <w:bCs/>
          <w:caps/>
          <w:color w:val="000000"/>
          <w:u w:val="single"/>
        </w:rPr>
        <w:t>Functional Anatomy</w:t>
      </w:r>
    </w:p>
    <w:p w14:paraId="7B3F6C29" w14:textId="38921A6C" w:rsidR="00A77B3E" w:rsidRDefault="000252C0">
      <w:pPr>
        <w:spacing w:line="360" w:lineRule="auto"/>
        <w:jc w:val="both"/>
      </w:pPr>
      <w:r>
        <w:rPr>
          <w:rFonts w:ascii="Book Antiqua" w:eastAsia="Book Antiqua" w:hAnsi="Book Antiqua" w:cs="Book Antiqua"/>
          <w:color w:val="000000"/>
        </w:rPr>
        <w:t xml:space="preserve">GHJ stability is provided through a complex interplay of passive and dynamic </w:t>
      </w:r>
      <w:proofErr w:type="gramStart"/>
      <w:r>
        <w:rPr>
          <w:rFonts w:ascii="Book Antiqua" w:eastAsia="Book Antiqua" w:hAnsi="Book Antiqua" w:cs="Book Antiqua"/>
          <w:color w:val="000000"/>
        </w:rPr>
        <w:t>stabilizers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1,15-19]</w:t>
      </w:r>
      <w:r>
        <w:rPr>
          <w:rFonts w:ascii="Book Antiqua" w:eastAsia="Book Antiqua" w:hAnsi="Book Antiqua" w:cs="Book Antiqua"/>
          <w:color w:val="000000"/>
        </w:rPr>
        <w:t xml:space="preserve">. Passive stabilizers include the rotator interval </w:t>
      </w:r>
      <w:r w:rsidR="005E435E">
        <w:rPr>
          <w:rFonts w:ascii="Book Antiqua" w:eastAsia="Book Antiqua" w:hAnsi="Book Antiqua" w:cs="Book Antiqua"/>
          <w:color w:val="000000"/>
        </w:rPr>
        <w:t>[</w:t>
      </w:r>
      <w:r>
        <w:rPr>
          <w:rFonts w:ascii="Book Antiqua" w:eastAsia="Book Antiqua" w:hAnsi="Book Antiqua" w:cs="Book Antiqua"/>
          <w:color w:val="000000"/>
        </w:rPr>
        <w:t xml:space="preserve">superior glenohumeral ligament </w:t>
      </w:r>
      <w:r w:rsidR="005E435E">
        <w:rPr>
          <w:rFonts w:ascii="Book Antiqua" w:eastAsia="Book Antiqua" w:hAnsi="Book Antiqua" w:cs="Book Antiqua"/>
          <w:color w:val="000000"/>
        </w:rPr>
        <w:t>(</w:t>
      </w:r>
      <w:r>
        <w:rPr>
          <w:rFonts w:ascii="Book Antiqua" w:eastAsia="Book Antiqua" w:hAnsi="Book Antiqua" w:cs="Book Antiqua"/>
          <w:color w:val="000000"/>
        </w:rPr>
        <w:t>SGHL</w:t>
      </w:r>
      <w:r w:rsidR="005E435E">
        <w:rPr>
          <w:rFonts w:ascii="Book Antiqua" w:eastAsia="Book Antiqua" w:hAnsi="Book Antiqua" w:cs="Book Antiqua"/>
          <w:color w:val="000000"/>
        </w:rPr>
        <w:t>)</w:t>
      </w:r>
      <w:r>
        <w:rPr>
          <w:rFonts w:ascii="Book Antiqua" w:eastAsia="Book Antiqua" w:hAnsi="Book Antiqua" w:cs="Book Antiqua"/>
          <w:color w:val="000000"/>
        </w:rPr>
        <w:t>, coracohumeral ligament, and joint capsule</w:t>
      </w:r>
      <w:r w:rsidR="005E435E">
        <w:rPr>
          <w:rFonts w:ascii="Book Antiqua" w:eastAsia="Book Antiqua" w:hAnsi="Book Antiqua" w:cs="Book Antiqua"/>
          <w:color w:val="000000"/>
        </w:rPr>
        <w:t>]</w:t>
      </w:r>
      <w:r>
        <w:rPr>
          <w:rFonts w:ascii="Book Antiqua" w:eastAsia="Book Antiqua" w:hAnsi="Book Antiqua" w:cs="Book Antiqua"/>
          <w:color w:val="000000"/>
        </w:rPr>
        <w:t>, the middle glenohumeral ligament (MGHL), and most importantly the inferior glenohumeral ligament complex (IGHL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5E435E">
        <w:rPr>
          <w:rFonts w:ascii="Book Antiqua" w:eastAsia="Book Antiqua" w:hAnsi="Book Antiqua" w:cs="Book Antiqua"/>
          <w:color w:val="000000"/>
        </w:rPr>
        <w:t xml:space="preserve"> </w:t>
      </w:r>
      <w:r>
        <w:rPr>
          <w:rFonts w:ascii="Book Antiqua" w:eastAsia="Book Antiqua" w:hAnsi="Book Antiqua" w:cs="Book Antiqua"/>
          <w:color w:val="000000"/>
        </w:rPr>
        <w:t xml:space="preserve">The glenoid labrum runs circumferentially along the glenoid rim and serves as the point of insertion for all of the GH </w:t>
      </w:r>
      <w:proofErr w:type="gramStart"/>
      <w:r>
        <w:rPr>
          <w:rFonts w:ascii="Book Antiqua" w:eastAsia="Book Antiqua" w:hAnsi="Book Antiqua" w:cs="Book Antiqua"/>
          <w:color w:val="000000"/>
        </w:rPr>
        <w:t>ligaments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SGHL prevents inferior translation of the adducted shoulder, the MGHL resists anterior translation in the externally rotated shoulder in abduction up to 45 degrees, and the IGHL can be broken down into the anterior band which is the major restraint to anteroinferior translation in external rotation with abduction &gt;</w:t>
      </w:r>
      <w:r w:rsidR="005E435E">
        <w:rPr>
          <w:rFonts w:ascii="Book Antiqua" w:eastAsia="Book Antiqua" w:hAnsi="Book Antiqua" w:cs="Book Antiqua"/>
          <w:color w:val="000000"/>
        </w:rPr>
        <w:t xml:space="preserve"> </w:t>
      </w:r>
      <w:r>
        <w:rPr>
          <w:rFonts w:ascii="Book Antiqua" w:eastAsia="Book Antiqua" w:hAnsi="Book Antiqua" w:cs="Book Antiqua"/>
          <w:color w:val="000000"/>
        </w:rPr>
        <w:t xml:space="preserve">45 degrees and the posterior band which resists posterior translation in the flexed and internally rotated </w:t>
      </w:r>
      <w:proofErr w:type="gramStart"/>
      <w:r>
        <w:rPr>
          <w:rFonts w:ascii="Book Antiqua" w:eastAsia="Book Antiqua" w:hAnsi="Book Antiqua" w:cs="Book Antiqua"/>
          <w:color w:val="000000"/>
        </w:rPr>
        <w:t>shoulder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1,20-25]</w:t>
      </w:r>
      <w:r>
        <w:rPr>
          <w:rFonts w:ascii="Book Antiqua" w:eastAsia="Book Antiqua" w:hAnsi="Book Antiqua" w:cs="Book Antiqua"/>
          <w:color w:val="000000"/>
        </w:rPr>
        <w:t xml:space="preserve">. The labrum deepens the glenoid socket and acts as a physiologic bumper to prevent GHJ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Furthermore, the fibrocartilaginous labrum which circumferentially surrounds the glenoid and provides stabilization to the GHJ is tight in its anteroinferior attachment and loose in the superior attachment with a great deal of anatomic </w:t>
      </w:r>
      <w:proofErr w:type="gramStart"/>
      <w:r>
        <w:rPr>
          <w:rFonts w:ascii="Book Antiqua" w:eastAsia="Book Antiqua" w:hAnsi="Book Antiqua" w:cs="Book Antiqua"/>
          <w:color w:val="000000"/>
        </w:rPr>
        <w:t>variation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Acting in accordance with these ligamentous and capsular stabilizers are surrounding muscles providing dynamic stabilization which include the deltoid, biceps brachii, and the rotator cuff muscles. The basis for dynamic stability is the theory that instability occurs at end-range positions which place the GHJ at its maximum vulnerability in regards to dislocation. Muscular activity acts to compress the humeral head against the center of the glenoid fossa thereby stabilizing during these end-range </w:t>
      </w:r>
      <w:proofErr w:type="gramStart"/>
      <w:r>
        <w:rPr>
          <w:rFonts w:ascii="Book Antiqua" w:eastAsia="Book Antiqua" w:hAnsi="Book Antiqua" w:cs="Book Antiqua"/>
          <w:color w:val="000000"/>
        </w:rPr>
        <w:t>motions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15,17-19,26]</w:t>
      </w:r>
      <w:r>
        <w:rPr>
          <w:rFonts w:ascii="Book Antiqua" w:eastAsia="Book Antiqua" w:hAnsi="Book Antiqua" w:cs="Book Antiqua"/>
          <w:color w:val="000000"/>
        </w:rPr>
        <w:t>.</w:t>
      </w:r>
    </w:p>
    <w:p w14:paraId="4B254E84" w14:textId="580C7920" w:rsidR="00A77B3E" w:rsidRDefault="000252C0" w:rsidP="005E435E">
      <w:pPr>
        <w:spacing w:line="360" w:lineRule="auto"/>
        <w:ind w:firstLineChars="100" w:firstLine="240"/>
        <w:jc w:val="both"/>
      </w:pPr>
      <w:r>
        <w:rPr>
          <w:rFonts w:ascii="Book Antiqua" w:eastAsia="Book Antiqua" w:hAnsi="Book Antiqua" w:cs="Book Antiqua"/>
          <w:color w:val="000000"/>
        </w:rPr>
        <w:t xml:space="preserve">While there are several ligamentous and muscular components to stability, the glenoid and humeral head add an additional osseous component for stabilization. Therefore, in the evaluation of GHJ instability a proper understanding of the bony anatomy and </w:t>
      </w:r>
      <w:proofErr w:type="spellStart"/>
      <w:r>
        <w:rPr>
          <w:rFonts w:ascii="Book Antiqua" w:eastAsia="Book Antiqua" w:hAnsi="Book Antiqua" w:cs="Book Antiqua"/>
          <w:color w:val="000000"/>
        </w:rPr>
        <w:lastRenderedPageBreak/>
        <w:t>pathoanatomy</w:t>
      </w:r>
      <w:proofErr w:type="spellEnd"/>
      <w:r>
        <w:rPr>
          <w:rFonts w:ascii="Book Antiqua" w:eastAsia="Book Antiqua" w:hAnsi="Book Antiqua" w:cs="Book Antiqua"/>
          <w:color w:val="000000"/>
        </w:rPr>
        <w:t xml:space="preserve"> is critical to determine an accurate diagnosis and treatment plan. When considering the size of the glenoid in comparison to the humeral head it is clear that even a small bony lesion can lead to significant instability by altering the bony articulation of the glenoid and humeral </w:t>
      </w:r>
      <w:proofErr w:type="gramStart"/>
      <w:r>
        <w:rPr>
          <w:rFonts w:ascii="Book Antiqua" w:eastAsia="Book Antiqua" w:hAnsi="Book Antiqua" w:cs="Book Antiqua"/>
          <w:color w:val="000000"/>
        </w:rPr>
        <w:t>head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21,27-29]</w:t>
      </w:r>
      <w:r>
        <w:rPr>
          <w:rFonts w:ascii="Book Antiqua" w:eastAsia="Book Antiqua" w:hAnsi="Book Antiqua" w:cs="Book Antiqua"/>
          <w:color w:val="000000"/>
        </w:rPr>
        <w:t xml:space="preserve">. The glenoid is a pear shaped bone which is widest in the inferior half and is tilted </w:t>
      </w:r>
      <w:proofErr w:type="gramStart"/>
      <w:r>
        <w:rPr>
          <w:rFonts w:ascii="Book Antiqua" w:eastAsia="Book Antiqua" w:hAnsi="Book Antiqua" w:cs="Book Antiqua"/>
          <w:color w:val="000000"/>
        </w:rPr>
        <w:t>anteriorly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Wide variability in the size and inclination of the glenoid make bony lesions related to instability especially challenging to treat. The articulation between the glenoid and humeral head is important to consider in the patient with recurrent anterior instability. Burkhart and </w:t>
      </w:r>
      <w:proofErr w:type="spellStart"/>
      <w:proofErr w:type="gramStart"/>
      <w:r>
        <w:rPr>
          <w:rFonts w:ascii="Book Antiqua" w:eastAsia="Book Antiqua" w:hAnsi="Book Antiqua" w:cs="Book Antiqua"/>
          <w:color w:val="000000"/>
        </w:rPr>
        <w:t>Danaceau</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described the “articular arc” between these bones and determined that defects in this arc could lead to engaging lesions and instability events.</w:t>
      </w:r>
    </w:p>
    <w:p w14:paraId="7141EDE6" w14:textId="77777777" w:rsidR="00A77B3E" w:rsidRDefault="000252C0" w:rsidP="005E435E">
      <w:pPr>
        <w:spacing w:line="360" w:lineRule="auto"/>
        <w:ind w:firstLineChars="100" w:firstLine="240"/>
        <w:jc w:val="both"/>
      </w:pPr>
      <w:r>
        <w:rPr>
          <w:rFonts w:ascii="Book Antiqua" w:eastAsia="Book Antiqua" w:hAnsi="Book Antiqua" w:cs="Book Antiqua"/>
          <w:color w:val="000000"/>
        </w:rPr>
        <w:t xml:space="preserve">A proper understanding of the anatomy related to the GHJ is critical to properly evaluate, diagnose, and treat anterior GHJ instability. The surgeon needs to have a precise understanding of both the normal and variant anatomy of the </w:t>
      </w:r>
      <w:proofErr w:type="spellStart"/>
      <w:r>
        <w:rPr>
          <w:rFonts w:ascii="Book Antiqua" w:eastAsia="Book Antiqua" w:hAnsi="Book Antiqua" w:cs="Book Antiqua"/>
          <w:color w:val="000000"/>
        </w:rPr>
        <w:t>capsulolabral</w:t>
      </w:r>
      <w:proofErr w:type="spellEnd"/>
      <w:r>
        <w:rPr>
          <w:rFonts w:ascii="Book Antiqua" w:eastAsia="Book Antiqua" w:hAnsi="Book Antiqua" w:cs="Book Antiqua"/>
          <w:color w:val="000000"/>
        </w:rPr>
        <w:t xml:space="preserve"> complex as well as the dynamic muscular stabilizers to properly evaluate and surgically manage injury. Additionally, an understanding of the bony anatomy of the glenoid and humeral head come into play as the clinician needs to thoroughly evaluate and manage these defects. These challenges will be described further in later sections of this text. </w:t>
      </w:r>
    </w:p>
    <w:p w14:paraId="0950897E" w14:textId="77777777" w:rsidR="00A77B3E" w:rsidRDefault="00A77B3E" w:rsidP="005E435E">
      <w:pPr>
        <w:spacing w:line="360" w:lineRule="auto"/>
        <w:jc w:val="both"/>
      </w:pPr>
    </w:p>
    <w:p w14:paraId="71B760D7" w14:textId="77777777" w:rsidR="00A77B3E" w:rsidRDefault="000252C0">
      <w:pPr>
        <w:spacing w:line="360" w:lineRule="auto"/>
        <w:jc w:val="both"/>
      </w:pPr>
      <w:r>
        <w:rPr>
          <w:rFonts w:ascii="Book Antiqua" w:eastAsia="Book Antiqua" w:hAnsi="Book Antiqua" w:cs="Book Antiqua"/>
          <w:b/>
          <w:bCs/>
          <w:caps/>
          <w:color w:val="000000"/>
          <w:u w:val="single"/>
        </w:rPr>
        <w:t>Risk Factors for Recurrent Glenohumeral Instability</w:t>
      </w:r>
    </w:p>
    <w:p w14:paraId="230B0F8B" w14:textId="15E142EC" w:rsidR="00A77B3E" w:rsidRDefault="000252C0" w:rsidP="005E435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Although GHJ instability is considered a relatively common event in young athletes and physically active patient populations, oftentimes first-time </w:t>
      </w:r>
      <w:proofErr w:type="spellStart"/>
      <w:r>
        <w:rPr>
          <w:rFonts w:ascii="Book Antiqua" w:eastAsia="Book Antiqua" w:hAnsi="Book Antiqua" w:cs="Book Antiqua"/>
          <w:color w:val="000000"/>
        </w:rPr>
        <w:t>dislocators</w:t>
      </w:r>
      <w:proofErr w:type="spellEnd"/>
      <w:r>
        <w:rPr>
          <w:rFonts w:ascii="Book Antiqua" w:eastAsia="Book Antiqua" w:hAnsi="Book Antiqua" w:cs="Book Antiqua"/>
          <w:color w:val="000000"/>
        </w:rPr>
        <w:t xml:space="preserve"> can be effectively managed non-</w:t>
      </w:r>
      <w:proofErr w:type="gramStart"/>
      <w:r>
        <w:rPr>
          <w:rFonts w:ascii="Book Antiqua" w:eastAsia="Book Antiqua" w:hAnsi="Book Antiqua" w:cs="Book Antiqua"/>
          <w:color w:val="000000"/>
        </w:rPr>
        <w:t>operatively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5E435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6,31]</w:t>
      </w:r>
      <w:r>
        <w:rPr>
          <w:rFonts w:ascii="Book Antiqua" w:eastAsia="Book Antiqua" w:hAnsi="Book Antiqua" w:cs="Book Antiqua"/>
          <w:color w:val="000000"/>
        </w:rPr>
        <w:t>. However, several proposed risk factors associated with recurrent instability events have been described. Of these reported risk factors, the most closely associated with recurrence include a history of instability events, age at the time of initial injury, contact sports, overhead athletes, and those with ligamentous laxity</w:t>
      </w:r>
      <w:r>
        <w:rPr>
          <w:rFonts w:ascii="Book Antiqua" w:eastAsia="Book Antiqua" w:hAnsi="Book Antiqua" w:cs="Book Antiqua"/>
          <w:color w:val="000000"/>
          <w:szCs w:val="30"/>
          <w:vertAlign w:val="superscript"/>
        </w:rPr>
        <w:t>[4,7,21,32-36]</w:t>
      </w:r>
      <w:r>
        <w:rPr>
          <w:rFonts w:ascii="Book Antiqua" w:eastAsia="Book Antiqua" w:hAnsi="Book Antiqua" w:cs="Book Antiqua"/>
          <w:color w:val="000000"/>
        </w:rPr>
        <w:t xml:space="preserve">. In addition, the most challenging injuries to treat are those with concomitant bony pathologies. During an anterior GHJ instability event there can be bony injury to the glenoid (referred to as a bony Bankart lesion), the humeral head (referred to as a Hill-Sachs lesions), or to both structures (bipolar lesions). Several studies have </w:t>
      </w:r>
      <w:r>
        <w:rPr>
          <w:rFonts w:ascii="Book Antiqua" w:eastAsia="Book Antiqua" w:hAnsi="Book Antiqua" w:cs="Book Antiqua"/>
          <w:color w:val="000000"/>
        </w:rPr>
        <w:lastRenderedPageBreak/>
        <w:t xml:space="preserve">reported on the relationship between GHJ instability and bony deficits with recurrent instability rates in correlation with the size of the bony </w:t>
      </w:r>
      <w:proofErr w:type="gramStart"/>
      <w:r>
        <w:rPr>
          <w:rFonts w:ascii="Book Antiqua" w:eastAsia="Book Antiqua" w:hAnsi="Book Antiqua" w:cs="Book Antiqua"/>
          <w:color w:val="000000"/>
        </w:rPr>
        <w:t>lesion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34,37]</w:t>
      </w:r>
      <w:r>
        <w:rPr>
          <w:rFonts w:ascii="Book Antiqua" w:eastAsia="Book Antiqua" w:hAnsi="Book Antiqua" w:cs="Book Antiqua"/>
          <w:color w:val="000000"/>
        </w:rPr>
        <w:t xml:space="preserve">. In the past these injuries were managed with isolated soft tissue repairs, however growing evidence of recurrent instability raised questions as to the appropriate management of these injuries. An investigation performed by Burkhart </w:t>
      </w:r>
      <w:r w:rsidR="005E435E" w:rsidRPr="005E435E">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reported on 194 consecutive arthroscopic Bankart cases and found recurrence rates of 4% in those without significant bone defects as compared to 67% in those with humeral and/or glenoid lesions. These findings added evidence to the recurrent instability in those with untreated bony lesions and increased the awareness and treatment of these pathologies. In the management of patients with anterior GHJ instability it is important to think about the bony risk factors for recurrent instability and to modify these risk factors when possible to improve clinical results. Some of these potential risk factors related to bony defects have been researched in the literature and include</w:t>
      </w:r>
      <w:r w:rsidR="005E435E">
        <w:rPr>
          <w:rFonts w:ascii="Book Antiqua" w:eastAsia="Book Antiqua" w:hAnsi="Book Antiqua" w:cs="Book Antiqua"/>
          <w:color w:val="000000"/>
        </w:rPr>
        <w:t>.</w:t>
      </w:r>
    </w:p>
    <w:p w14:paraId="7DD10284" w14:textId="77777777" w:rsidR="005E435E" w:rsidRDefault="005E435E" w:rsidP="005E435E">
      <w:pPr>
        <w:spacing w:line="360" w:lineRule="auto"/>
        <w:jc w:val="both"/>
      </w:pPr>
    </w:p>
    <w:p w14:paraId="7A600FA6" w14:textId="7890C9A1" w:rsidR="00A77B3E" w:rsidRPr="005E435E" w:rsidRDefault="005E435E">
      <w:pPr>
        <w:spacing w:line="360" w:lineRule="auto"/>
        <w:jc w:val="both"/>
        <w:rPr>
          <w:b/>
          <w:bCs/>
        </w:rPr>
      </w:pPr>
      <w:r w:rsidRPr="005E435E">
        <w:rPr>
          <w:rFonts w:ascii="Book Antiqua" w:eastAsia="Book Antiqua" w:hAnsi="Book Antiqua" w:cs="Book Antiqua"/>
          <w:b/>
          <w:bCs/>
          <w:i/>
          <w:iCs/>
          <w:color w:val="000000"/>
        </w:rPr>
        <w:t xml:space="preserve">Glenoid defects: the bony </w:t>
      </w:r>
      <w:r w:rsidR="00841D4B" w:rsidRPr="005E435E">
        <w:rPr>
          <w:rFonts w:ascii="Book Antiqua" w:eastAsia="Book Antiqua" w:hAnsi="Book Antiqua" w:cs="Book Antiqua"/>
          <w:b/>
          <w:bCs/>
          <w:i/>
          <w:iCs/>
          <w:color w:val="000000"/>
        </w:rPr>
        <w:t>B</w:t>
      </w:r>
      <w:r w:rsidRPr="005E435E">
        <w:rPr>
          <w:rFonts w:ascii="Book Antiqua" w:eastAsia="Book Antiqua" w:hAnsi="Book Antiqua" w:cs="Book Antiqua"/>
          <w:b/>
          <w:bCs/>
          <w:i/>
          <w:iCs/>
          <w:color w:val="000000"/>
        </w:rPr>
        <w:t>ankart</w:t>
      </w:r>
    </w:p>
    <w:p w14:paraId="5245506F" w14:textId="082BA37C" w:rsidR="00A77B3E" w:rsidRDefault="000252C0" w:rsidP="005E435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Glenoid lesions have been reported to occur in 22%-41% of first time dislocation events and up to 86% of recurrent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28,32,38,39]</w:t>
      </w:r>
      <w:r>
        <w:rPr>
          <w:rFonts w:ascii="Book Antiqua" w:eastAsia="Book Antiqua" w:hAnsi="Book Antiqua" w:cs="Book Antiqua"/>
          <w:color w:val="000000"/>
        </w:rPr>
        <w:t xml:space="preserve">. Bony Bankart lesions occur during anterior GHJ instability as the dislocation of the humeral head creates a bony lesion on the anteroinferior aspect of the glenoid in addition to avulsion of the anteroinferior labrum. Burkhart </w:t>
      </w:r>
      <w:r w:rsidR="005E435E" w:rsidRPr="005E435E">
        <w:rPr>
          <w:rFonts w:ascii="Book Antiqua" w:eastAsia="Book Antiqua" w:hAnsi="Book Antiqua" w:cs="Book Antiqua"/>
          <w:i/>
          <w:iCs/>
          <w:color w:val="000000"/>
        </w:rPr>
        <w:t xml:space="preserve">et </w:t>
      </w:r>
      <w:proofErr w:type="gramStart"/>
      <w:r w:rsidR="005E435E" w:rsidRPr="005E435E">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described the normal glenoid to appear pear shaped with a wider diameter in the inferior aspect as compared to the superior aspect. They went on to describe the “inverted pear” phenomenon which was in reference to the pathologic appearance of the glenoid resulting from a bony Bankart injury where the superior aspect of the glenoid appeared wider in diameter as compared to the inferior aspect. This change disrupts the arc of motion while the arm is abducted and externally which places the GHJ at a higher risk of </w:t>
      </w:r>
      <w:proofErr w:type="spellStart"/>
      <w:r>
        <w:rPr>
          <w:rFonts w:ascii="Book Antiqua" w:eastAsia="Book Antiqua" w:hAnsi="Book Antiqua" w:cs="Book Antiqua"/>
          <w:color w:val="000000"/>
        </w:rPr>
        <w:t>redislocation</w:t>
      </w:r>
      <w:proofErr w:type="spellEnd"/>
      <w:r>
        <w:rPr>
          <w:rFonts w:ascii="Book Antiqua" w:eastAsia="Book Antiqua" w:hAnsi="Book Antiqua" w:cs="Book Antiqua"/>
          <w:color w:val="000000"/>
        </w:rPr>
        <w:t xml:space="preserve">. This theory was then confirmed by the biomechanical work of Gerber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r w:rsidR="001E41A2">
        <w:rPr>
          <w:rFonts w:ascii="Book Antiqua" w:eastAsia="Book Antiqua" w:hAnsi="Book Antiqua" w:cs="Book Antiqua"/>
          <w:color w:val="000000"/>
        </w:rPr>
        <w:t>who reported</w:t>
      </w:r>
      <w:r>
        <w:rPr>
          <w:rFonts w:ascii="Book Antiqua" w:eastAsia="Book Antiqua" w:hAnsi="Book Antiqua" w:cs="Book Antiqua"/>
          <w:color w:val="000000"/>
        </w:rPr>
        <w:t xml:space="preserve"> that increasing loss of the anteroinferior glenoid arc was associated with decreased resistance to dislocation. </w:t>
      </w:r>
      <w:proofErr w:type="spellStart"/>
      <w:r>
        <w:rPr>
          <w:rFonts w:ascii="Book Antiqua" w:eastAsia="Book Antiqua" w:hAnsi="Book Antiqua" w:cs="Book Antiqua"/>
          <w:color w:val="000000"/>
        </w:rPr>
        <w:t>Bigliani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further categorized glenoid lesions and provided prognostic factors as follows: Type 1 Lesions </w:t>
      </w:r>
      <w:r>
        <w:rPr>
          <w:rFonts w:ascii="Book Antiqua" w:eastAsia="Book Antiqua" w:hAnsi="Book Antiqua" w:cs="Book Antiqua"/>
          <w:color w:val="000000"/>
        </w:rPr>
        <w:lastRenderedPageBreak/>
        <w:t>involve a non-displaced anterior glenoid fragment, type 2 Lesions involve a small anterior fragment detached from the labrum, type 3a lesions involve &lt;</w:t>
      </w:r>
      <w:r w:rsidR="005E435E">
        <w:rPr>
          <w:rFonts w:ascii="Book Antiqua" w:eastAsia="Book Antiqua" w:hAnsi="Book Antiqua" w:cs="Book Antiqua"/>
          <w:color w:val="000000"/>
        </w:rPr>
        <w:t xml:space="preserve"> </w:t>
      </w:r>
      <w:r>
        <w:rPr>
          <w:rFonts w:ascii="Book Antiqua" w:eastAsia="Book Antiqua" w:hAnsi="Book Antiqua" w:cs="Book Antiqua"/>
          <w:color w:val="000000"/>
        </w:rPr>
        <w:t>25% anterior glenoid deficiency, and type 3b lesions involve &gt;</w:t>
      </w:r>
      <w:r w:rsidR="005E435E">
        <w:rPr>
          <w:rFonts w:ascii="Book Antiqua" w:eastAsia="Book Antiqua" w:hAnsi="Book Antiqua" w:cs="Book Antiqua"/>
          <w:color w:val="000000"/>
        </w:rPr>
        <w:t xml:space="preserve"> </w:t>
      </w:r>
      <w:r>
        <w:rPr>
          <w:rFonts w:ascii="Book Antiqua" w:eastAsia="Book Antiqua" w:hAnsi="Book Antiqua" w:cs="Book Antiqua"/>
          <w:color w:val="000000"/>
        </w:rPr>
        <w:t xml:space="preserve">25% anterior glenoid deficiency. </w:t>
      </w:r>
    </w:p>
    <w:p w14:paraId="1E97F6F3" w14:textId="77777777" w:rsidR="005E435E" w:rsidRDefault="005E435E" w:rsidP="005E435E">
      <w:pPr>
        <w:spacing w:line="360" w:lineRule="auto"/>
        <w:jc w:val="both"/>
      </w:pPr>
    </w:p>
    <w:p w14:paraId="482B995A" w14:textId="173F28CA" w:rsidR="00A77B3E" w:rsidRPr="005E435E" w:rsidRDefault="000252C0">
      <w:pPr>
        <w:spacing w:line="360" w:lineRule="auto"/>
        <w:jc w:val="both"/>
        <w:rPr>
          <w:b/>
          <w:bCs/>
        </w:rPr>
      </w:pPr>
      <w:r w:rsidRPr="005E435E">
        <w:rPr>
          <w:rFonts w:ascii="Book Antiqua" w:eastAsia="Book Antiqua" w:hAnsi="Book Antiqua" w:cs="Book Antiqua"/>
          <w:b/>
          <w:bCs/>
          <w:i/>
          <w:iCs/>
          <w:color w:val="000000"/>
        </w:rPr>
        <w:t>Humera</w:t>
      </w:r>
      <w:r w:rsidR="005E435E" w:rsidRPr="005E435E">
        <w:rPr>
          <w:rFonts w:ascii="Book Antiqua" w:eastAsia="Book Antiqua" w:hAnsi="Book Antiqua" w:cs="Book Antiqua"/>
          <w:b/>
          <w:bCs/>
          <w:i/>
          <w:iCs/>
          <w:color w:val="000000"/>
        </w:rPr>
        <w:t>l head def</w:t>
      </w:r>
      <w:r w:rsidRPr="005E435E">
        <w:rPr>
          <w:rFonts w:ascii="Book Antiqua" w:eastAsia="Book Antiqua" w:hAnsi="Book Antiqua" w:cs="Book Antiqua"/>
          <w:b/>
          <w:bCs/>
          <w:i/>
          <w:iCs/>
          <w:color w:val="000000"/>
        </w:rPr>
        <w:t>ects</w:t>
      </w:r>
      <w:r w:rsidR="005E435E" w:rsidRPr="005E435E">
        <w:rPr>
          <w:rFonts w:ascii="Book Antiqua" w:eastAsia="Book Antiqua" w:hAnsi="Book Antiqua" w:cs="Book Antiqua"/>
          <w:b/>
          <w:bCs/>
          <w:i/>
          <w:iCs/>
          <w:color w:val="000000"/>
        </w:rPr>
        <w:t>: t</w:t>
      </w:r>
      <w:r w:rsidRPr="005E435E">
        <w:rPr>
          <w:rFonts w:ascii="Book Antiqua" w:eastAsia="Book Antiqua" w:hAnsi="Book Antiqua" w:cs="Book Antiqua"/>
          <w:b/>
          <w:bCs/>
          <w:i/>
          <w:iCs/>
          <w:color w:val="000000"/>
        </w:rPr>
        <w:t xml:space="preserve">he Hill-Sachs </w:t>
      </w:r>
      <w:r w:rsidR="005E435E" w:rsidRPr="005E435E">
        <w:rPr>
          <w:rFonts w:ascii="Book Antiqua" w:eastAsia="Book Antiqua" w:hAnsi="Book Antiqua" w:cs="Book Antiqua"/>
          <w:b/>
          <w:bCs/>
          <w:i/>
          <w:iCs/>
          <w:color w:val="000000"/>
        </w:rPr>
        <w:t>l</w:t>
      </w:r>
      <w:r w:rsidRPr="005E435E">
        <w:rPr>
          <w:rFonts w:ascii="Book Antiqua" w:eastAsia="Book Antiqua" w:hAnsi="Book Antiqua" w:cs="Book Antiqua"/>
          <w:b/>
          <w:bCs/>
          <w:i/>
          <w:iCs/>
          <w:color w:val="000000"/>
        </w:rPr>
        <w:t>esion</w:t>
      </w:r>
    </w:p>
    <w:p w14:paraId="4BA6E22B" w14:textId="5AF89022" w:rsidR="00A77B3E" w:rsidRDefault="000252C0" w:rsidP="005E435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addition to glenoid sided lesions, a bony lesion to the posterolateral aspect of the humeral head is referred to as a “Hill-Sachs” lesion and can also lead to GHJ instability. These bony defects following first time GHJ dislocation have been reported to be found in up to 70%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32,41]</w:t>
      </w:r>
      <w:r>
        <w:rPr>
          <w:rFonts w:ascii="Book Antiqua" w:eastAsia="Book Antiqua" w:hAnsi="Book Antiqua" w:cs="Book Antiqua"/>
          <w:color w:val="000000"/>
        </w:rPr>
        <w:t xml:space="preserve">. In their review of 91 patients, Boileau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found Hill</w:t>
      </w:r>
      <w:r w:rsidR="003E74CF">
        <w:rPr>
          <w:rFonts w:ascii="Book Antiqua" w:eastAsia="Book Antiqua" w:hAnsi="Book Antiqua" w:cs="Book Antiqua"/>
          <w:color w:val="000000"/>
        </w:rPr>
        <w:t>-</w:t>
      </w:r>
      <w:r>
        <w:rPr>
          <w:rFonts w:ascii="Book Antiqua" w:eastAsia="Book Antiqua" w:hAnsi="Book Antiqua" w:cs="Book Antiqua"/>
          <w:color w:val="000000"/>
        </w:rPr>
        <w:t>Sachs lesions to be significantly related to failure. The failures resulting from Hill-Sachs lesions are theorized to result secondary to the articular arc defect which causes engagement of the humerus against the anterior glenoid rim referred to as the “engaging Hill</w:t>
      </w:r>
      <w:r w:rsidR="00AC26BD">
        <w:rPr>
          <w:rFonts w:ascii="Book Antiqua" w:eastAsia="Book Antiqua" w:hAnsi="Book Antiqua" w:cs="Book Antiqua"/>
          <w:color w:val="000000"/>
        </w:rPr>
        <w:t>-</w:t>
      </w:r>
      <w:r>
        <w:rPr>
          <w:rFonts w:ascii="Book Antiqua" w:eastAsia="Book Antiqua" w:hAnsi="Book Antiqua" w:cs="Book Antiqua"/>
          <w:color w:val="000000"/>
        </w:rPr>
        <w:t xml:space="preserve">Sachs” </w:t>
      </w:r>
      <w:proofErr w:type="gramStart"/>
      <w:r>
        <w:rPr>
          <w:rFonts w:ascii="Book Antiqua" w:eastAsia="Book Antiqua" w:hAnsi="Book Antiqua" w:cs="Book Antiqua"/>
          <w:color w:val="000000"/>
        </w:rPr>
        <w:t>lesion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29,35]</w:t>
      </w:r>
      <w:r>
        <w:rPr>
          <w:rFonts w:ascii="Book Antiqua" w:eastAsia="Book Antiqua" w:hAnsi="Book Antiqua" w:cs="Book Antiqua"/>
          <w:color w:val="000000"/>
        </w:rPr>
        <w:t xml:space="preserve">. In their investigation, Burkhart </w:t>
      </w:r>
      <w:r w:rsidR="005E435E" w:rsidRPr="005E435E">
        <w:rPr>
          <w:rFonts w:ascii="Book Antiqua" w:eastAsia="Book Antiqua" w:hAnsi="Book Antiqua" w:cs="Book Antiqua"/>
          <w:i/>
          <w:iCs/>
          <w:color w:val="000000"/>
        </w:rPr>
        <w:t xml:space="preserve">et </w:t>
      </w:r>
      <w:proofErr w:type="gramStart"/>
      <w:r w:rsidR="005E435E" w:rsidRPr="005E435E">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reported recurrent anterior GHJ instability in 100% (</w:t>
      </w:r>
      <w:r>
        <w:rPr>
          <w:rFonts w:ascii="Book Antiqua" w:eastAsia="Book Antiqua" w:hAnsi="Book Antiqua" w:cs="Book Antiqua"/>
          <w:i/>
          <w:iCs/>
          <w:color w:val="000000"/>
        </w:rPr>
        <w:t>n</w:t>
      </w:r>
      <w:r>
        <w:rPr>
          <w:rFonts w:ascii="Book Antiqua" w:eastAsia="Book Antiqua" w:hAnsi="Book Antiqua" w:cs="Book Antiqua"/>
          <w:color w:val="000000"/>
        </w:rPr>
        <w:t xml:space="preserve"> = 3) of patients found to have an “engaging” Hill-Sachs lesion treated with arthroscopic Bankart repairs for traumatic anteroinferior instability. Although the clinical correlation between humeral defects and recurrent dislocation has been reported, there is a lack of current information regarding the size of the defect and relation to instability.</w:t>
      </w:r>
    </w:p>
    <w:p w14:paraId="62DD75E3" w14:textId="77777777" w:rsidR="005E435E" w:rsidRDefault="005E435E" w:rsidP="005E435E">
      <w:pPr>
        <w:spacing w:line="360" w:lineRule="auto"/>
        <w:jc w:val="both"/>
      </w:pPr>
    </w:p>
    <w:p w14:paraId="5C3F689B" w14:textId="1CCF26AB" w:rsidR="00A77B3E" w:rsidRPr="00841D4B" w:rsidRDefault="000252C0">
      <w:pPr>
        <w:spacing w:line="360" w:lineRule="auto"/>
        <w:jc w:val="both"/>
        <w:rPr>
          <w:b/>
          <w:bCs/>
        </w:rPr>
      </w:pPr>
      <w:r w:rsidRPr="00841D4B">
        <w:rPr>
          <w:rFonts w:ascii="Book Antiqua" w:eastAsia="Book Antiqua" w:hAnsi="Book Antiqua" w:cs="Book Antiqua"/>
          <w:b/>
          <w:bCs/>
          <w:i/>
          <w:iCs/>
          <w:color w:val="000000"/>
        </w:rPr>
        <w:t xml:space="preserve">The </w:t>
      </w:r>
      <w:r w:rsidR="005E435E" w:rsidRPr="00841D4B">
        <w:rPr>
          <w:rFonts w:ascii="Book Antiqua" w:eastAsia="Book Antiqua" w:hAnsi="Book Antiqua" w:cs="Book Antiqua"/>
          <w:b/>
          <w:bCs/>
          <w:i/>
          <w:iCs/>
          <w:color w:val="000000"/>
        </w:rPr>
        <w:t xml:space="preserve">combined bony </w:t>
      </w:r>
      <w:r w:rsidR="00841D4B" w:rsidRPr="00841D4B">
        <w:rPr>
          <w:rFonts w:ascii="Book Antiqua" w:eastAsia="Book Antiqua" w:hAnsi="Book Antiqua" w:cs="Book Antiqua"/>
          <w:b/>
          <w:bCs/>
          <w:i/>
          <w:iCs/>
          <w:color w:val="000000"/>
        </w:rPr>
        <w:t>B</w:t>
      </w:r>
      <w:r w:rsidR="005E435E" w:rsidRPr="00841D4B">
        <w:rPr>
          <w:rFonts w:ascii="Book Antiqua" w:eastAsia="Book Antiqua" w:hAnsi="Book Antiqua" w:cs="Book Antiqua"/>
          <w:b/>
          <w:bCs/>
          <w:i/>
          <w:iCs/>
          <w:color w:val="000000"/>
        </w:rPr>
        <w:t>a</w:t>
      </w:r>
      <w:r w:rsidRPr="00841D4B">
        <w:rPr>
          <w:rFonts w:ascii="Book Antiqua" w:eastAsia="Book Antiqua" w:hAnsi="Book Antiqua" w:cs="Book Antiqua"/>
          <w:b/>
          <w:bCs/>
          <w:i/>
          <w:iCs/>
          <w:color w:val="000000"/>
        </w:rPr>
        <w:t xml:space="preserve">nkart and Hill-Sachs </w:t>
      </w:r>
      <w:r w:rsidR="00841D4B" w:rsidRPr="00841D4B">
        <w:rPr>
          <w:rFonts w:ascii="Book Antiqua" w:eastAsia="Book Antiqua" w:hAnsi="Book Antiqua" w:cs="Book Antiqua"/>
          <w:b/>
          <w:bCs/>
          <w:i/>
          <w:iCs/>
          <w:color w:val="000000"/>
        </w:rPr>
        <w:t>i</w:t>
      </w:r>
      <w:r w:rsidRPr="00841D4B">
        <w:rPr>
          <w:rFonts w:ascii="Book Antiqua" w:eastAsia="Book Antiqua" w:hAnsi="Book Antiqua" w:cs="Book Antiqua"/>
          <w:b/>
          <w:bCs/>
          <w:i/>
          <w:iCs/>
          <w:color w:val="000000"/>
        </w:rPr>
        <w:t>njury</w:t>
      </w:r>
    </w:p>
    <w:p w14:paraId="079CEC1C" w14:textId="3ED28748" w:rsidR="00A77B3E" w:rsidRDefault="000252C0" w:rsidP="00841D4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While bony Bankart and Hill-Sachs lesions can occur in isolation, these injuries may also occur concurrently. A recent cadaveric study by </w:t>
      </w:r>
      <w:proofErr w:type="spellStart"/>
      <w:r>
        <w:rPr>
          <w:rFonts w:ascii="Book Antiqua" w:eastAsia="Book Antiqua" w:hAnsi="Book Antiqua" w:cs="Book Antiqua"/>
          <w:color w:val="000000"/>
        </w:rPr>
        <w:t>Arciero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reported on these combined injuries. The study developed models for bony lesions based on </w:t>
      </w:r>
      <w:bookmarkStart w:id="0" w:name="_Hlk54004097"/>
      <w:r w:rsidR="00841D4B" w:rsidRPr="00313B45">
        <w:rPr>
          <w:rFonts w:ascii="Book Antiqua" w:eastAsia="Book Antiqua" w:hAnsi="Book Antiqua" w:cs="Book Antiqua"/>
          <w:color w:val="000000"/>
        </w:rPr>
        <w:t>computed tomography</w:t>
      </w:r>
      <w:bookmarkEnd w:id="0"/>
      <w:r w:rsidR="00841D4B">
        <w:rPr>
          <w:rFonts w:ascii="Book Antiqua" w:eastAsia="Book Antiqua" w:hAnsi="Book Antiqua" w:cs="Book Antiqua"/>
          <w:color w:val="000000"/>
        </w:rPr>
        <w:t xml:space="preserve"> (</w:t>
      </w:r>
      <w:r>
        <w:rPr>
          <w:rFonts w:ascii="Book Antiqua" w:eastAsia="Book Antiqua" w:hAnsi="Book Antiqua" w:cs="Book Antiqua"/>
          <w:color w:val="000000"/>
        </w:rPr>
        <w:t>CT</w:t>
      </w:r>
      <w:r w:rsidR="00841D4B">
        <w:rPr>
          <w:rFonts w:ascii="Book Antiqua" w:eastAsia="Book Antiqua" w:hAnsi="Book Antiqua" w:cs="Book Antiqua"/>
          <w:color w:val="000000"/>
        </w:rPr>
        <w:t>)</w:t>
      </w:r>
      <w:r>
        <w:rPr>
          <w:rFonts w:ascii="Book Antiqua" w:eastAsia="Book Antiqua" w:hAnsi="Book Antiqua" w:cs="Book Antiqua"/>
          <w:color w:val="000000"/>
        </w:rPr>
        <w:t xml:space="preserve"> scans from 142 consecutive patients presenting with GHJ instability. The authors found that combined glenoid and humeral lesions displayed an additive and negative effect on GHJ stability. More specifically, they found that in patients with moderate sized Hill-Sachs lesions (defined as 50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within the population of 142 consecutive patients), a glenoid lesion as small as 2 mm significantly compromised the stability of a soft tissue Bankart repair. These findings led to the conclusion that combined </w:t>
      </w:r>
      <w:r>
        <w:rPr>
          <w:rFonts w:ascii="Book Antiqua" w:eastAsia="Book Antiqua" w:hAnsi="Book Antiqua" w:cs="Book Antiqua"/>
          <w:color w:val="000000"/>
        </w:rPr>
        <w:lastRenderedPageBreak/>
        <w:t>glenoid and humeral head defects have an additive and negative effect on glenohumeral stability.</w:t>
      </w:r>
    </w:p>
    <w:p w14:paraId="2D9CA315" w14:textId="77777777" w:rsidR="00841D4B" w:rsidRDefault="00841D4B" w:rsidP="00841D4B">
      <w:pPr>
        <w:spacing w:line="360" w:lineRule="auto"/>
        <w:jc w:val="both"/>
      </w:pPr>
    </w:p>
    <w:p w14:paraId="2A1AB3EF" w14:textId="3EE3E0DE" w:rsidR="00A77B3E" w:rsidRPr="00DC365D" w:rsidRDefault="00DC365D">
      <w:pPr>
        <w:spacing w:line="360" w:lineRule="auto"/>
        <w:jc w:val="both"/>
        <w:rPr>
          <w:b/>
          <w:bCs/>
        </w:rPr>
      </w:pPr>
      <w:r w:rsidRPr="00DC365D">
        <w:rPr>
          <w:rFonts w:ascii="Book Antiqua" w:eastAsia="Book Antiqua" w:hAnsi="Book Antiqua" w:cs="Book Antiqua"/>
          <w:b/>
          <w:bCs/>
          <w:i/>
          <w:iCs/>
          <w:color w:val="000000"/>
        </w:rPr>
        <w:t>The “glenoid track” concept</w:t>
      </w:r>
    </w:p>
    <w:p w14:paraId="5D758F6B" w14:textId="73A312F7" w:rsidR="00A77B3E" w:rsidRDefault="000252C0" w:rsidP="00841D4B">
      <w:pPr>
        <w:spacing w:line="360" w:lineRule="auto"/>
        <w:jc w:val="both"/>
      </w:pPr>
      <w:r>
        <w:rPr>
          <w:rFonts w:ascii="Book Antiqua" w:eastAsia="Book Antiqua" w:hAnsi="Book Antiqua" w:cs="Book Antiqua"/>
          <w:color w:val="000000"/>
        </w:rPr>
        <w:t xml:space="preserve">This description of the zone of contact between the glenoid and humeral head during elevation of the arm is termed the “glenoid </w:t>
      </w:r>
      <w:proofErr w:type="gramStart"/>
      <w:r>
        <w:rPr>
          <w:rFonts w:ascii="Book Antiqua" w:eastAsia="Book Antiqua" w:hAnsi="Book Antiqua" w:cs="Book Antiqua"/>
          <w:color w:val="000000"/>
        </w:rPr>
        <w:t>track”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This concept was initially described by Yamamoto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 a cadaveric study focused on the location and width of this “glenoid track” during various degrees of abduction while maintaining maximum external rotation and horizontal extension. The investigators found that the zone of contact shifted from the inferomedial to the superolateral portion aspect of the humeral head. They determined the width of the track from the rotator cuff attachment site of the greater tuberosity to be 84% </w:t>
      </w:r>
      <w:r w:rsidR="00DC365D" w:rsidRPr="00DC365D">
        <w:rPr>
          <w:rFonts w:ascii="Book Antiqua" w:eastAsia="宋体" w:hAnsi="Book Antiqua"/>
          <w:color w:val="000000"/>
          <w:lang w:eastAsia="zh-CN"/>
        </w:rPr>
        <w:t>±</w:t>
      </w:r>
      <w:r w:rsidR="00DC365D">
        <w:rPr>
          <w:rFonts w:ascii="Book Antiqua" w:eastAsia="Book Antiqua" w:hAnsi="Book Antiqua" w:cs="Book Antiqua"/>
          <w:color w:val="000000"/>
        </w:rPr>
        <w:t xml:space="preserve"> </w:t>
      </w:r>
      <w:r>
        <w:rPr>
          <w:rFonts w:ascii="Book Antiqua" w:eastAsia="Book Antiqua" w:hAnsi="Book Antiqua" w:cs="Book Antiqua"/>
          <w:color w:val="000000"/>
        </w:rPr>
        <w:t xml:space="preserve">14% of the width of the glenoid (assuming no bone injury to the glenoid) and used this concept to determine the risk of a Hill-Sachs lesion engaging the glenoid rim in cases with and without bony injury. If the bony injury to the humeral head is located within the width of the glenoid track then there is no opportunity for the Hill-Sachs lesion to over-ride the glenoid creating a potential instability event. However, in cases where the Hill-Sachs lesion extends beyond the width of the glenoid track this creates an opportunity for instability. Another important aspect of this concept is that the width of the glenoid track is determined solely on the width of the glenoid meaning that a bony Bankart directly correlates with a decrease in width of the glenoid track. This concept was not the first to describe bony lesions as they relate to anterior glenohumeral instability, however this provided a new concept to evaluate both humeral and glenoid sided lesions simultaneously as the authors concluded that if the medial margin of a Hill-Sachs lesion is more medial than the glenoid track then standard stabilization techniques are unlikely to adequately address the bony sources of instability. Several investigations have identified “off-track” lesions to be at higher risk for recurrent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sidR="00DC365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Most recently, in a 2020 investigation by </w:t>
      </w:r>
      <w:proofErr w:type="spellStart"/>
      <w:r>
        <w:rPr>
          <w:rFonts w:ascii="Book Antiqua" w:eastAsia="Book Antiqua" w:hAnsi="Book Antiqua" w:cs="Book Antiqua"/>
          <w:color w:val="000000"/>
        </w:rPr>
        <w:t>Yian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 authors reported on 540 patients undergoing primary arthroscopic Bankart repair and found “off-track” glenoid lesions to </w:t>
      </w:r>
      <w:r>
        <w:rPr>
          <w:rFonts w:ascii="Book Antiqua" w:eastAsia="Book Antiqua" w:hAnsi="Book Antiqua" w:cs="Book Antiqua"/>
          <w:color w:val="000000"/>
        </w:rPr>
        <w:lastRenderedPageBreak/>
        <w:t>be statistically significantly associated with higher rates of recurrent instability (</w:t>
      </w:r>
      <w:bookmarkStart w:id="1" w:name="_Hlk50367577"/>
      <w:r w:rsidR="00DC365D" w:rsidRPr="00616F4C">
        <w:rPr>
          <w:rFonts w:ascii="Book Antiqua" w:eastAsia="Malgun Gothic" w:hAnsi="Book Antiqua"/>
        </w:rPr>
        <w:t>odds ratio</w:t>
      </w:r>
      <w:bookmarkEnd w:id="1"/>
      <w:r w:rsidR="00DC365D">
        <w:rPr>
          <w:rFonts w:ascii="Book Antiqua" w:eastAsia="Malgun Gothic" w:hAnsi="Book Antiqua"/>
        </w:rPr>
        <w:t>,</w:t>
      </w:r>
      <w:r w:rsidR="00DC365D">
        <w:rPr>
          <w:rFonts w:ascii="Book Antiqua" w:eastAsia="Book Antiqua" w:hAnsi="Book Antiqua" w:cs="Book Antiqua"/>
          <w:color w:val="000000"/>
        </w:rPr>
        <w:t xml:space="preserve"> </w:t>
      </w:r>
      <w:r>
        <w:rPr>
          <w:rFonts w:ascii="Book Antiqua" w:eastAsia="Book Antiqua" w:hAnsi="Book Antiqua" w:cs="Book Antiqua"/>
          <w:color w:val="000000"/>
        </w:rPr>
        <w:t xml:space="preserve">OR 2.86). </w:t>
      </w:r>
    </w:p>
    <w:p w14:paraId="020BF389" w14:textId="77777777" w:rsidR="00A77B3E" w:rsidRDefault="00A77B3E" w:rsidP="00332DBA">
      <w:pPr>
        <w:spacing w:line="360" w:lineRule="auto"/>
        <w:jc w:val="both"/>
      </w:pPr>
    </w:p>
    <w:p w14:paraId="1F8A8552" w14:textId="77777777" w:rsidR="00A77B3E" w:rsidRDefault="000252C0">
      <w:pPr>
        <w:spacing w:line="360" w:lineRule="auto"/>
        <w:jc w:val="both"/>
      </w:pPr>
      <w:r>
        <w:rPr>
          <w:rFonts w:ascii="Book Antiqua" w:eastAsia="Book Antiqua" w:hAnsi="Book Antiqua" w:cs="Book Antiqua"/>
          <w:b/>
          <w:bCs/>
          <w:caps/>
          <w:color w:val="000000"/>
          <w:u w:val="single"/>
        </w:rPr>
        <w:t xml:space="preserve">Indications for Arthroscopic </w:t>
      </w:r>
      <w:r>
        <w:rPr>
          <w:rFonts w:ascii="Book Antiqua" w:eastAsia="Book Antiqua" w:hAnsi="Book Antiqua" w:cs="Book Antiqua"/>
          <w:b/>
          <w:bCs/>
          <w:i/>
          <w:iCs/>
          <w:caps/>
          <w:color w:val="000000"/>
          <w:u w:val="single"/>
        </w:rPr>
        <w:t>vs</w:t>
      </w:r>
      <w:r>
        <w:rPr>
          <w:rFonts w:ascii="Book Antiqua" w:eastAsia="Book Antiqua" w:hAnsi="Book Antiqua" w:cs="Book Antiqua"/>
          <w:b/>
          <w:bCs/>
          <w:caps/>
          <w:color w:val="000000"/>
          <w:u w:val="single"/>
        </w:rPr>
        <w:t xml:space="preserve"> Open Surgical Management</w:t>
      </w:r>
    </w:p>
    <w:p w14:paraId="20295743" w14:textId="732244F8" w:rsidR="00A77B3E" w:rsidRDefault="000252C0">
      <w:pPr>
        <w:spacing w:line="360" w:lineRule="auto"/>
        <w:jc w:val="both"/>
      </w:pPr>
      <w:r>
        <w:rPr>
          <w:rFonts w:ascii="Book Antiqua" w:eastAsia="Book Antiqua" w:hAnsi="Book Antiqua" w:cs="Book Antiqua"/>
          <w:color w:val="000000"/>
        </w:rPr>
        <w:t>The purpose of surgical management of anteroinferior labral injuries is to reduce the risk of recurrent instability events. Historically, the rate of recurrent glenohumeral dislocations following open surgical repair have been lower (5</w:t>
      </w:r>
      <w:r w:rsidR="00DC365D">
        <w:rPr>
          <w:rFonts w:ascii="Book Antiqua" w:eastAsia="Book Antiqua" w:hAnsi="Book Antiqua" w:cs="Book Antiqua"/>
          <w:color w:val="000000"/>
        </w:rPr>
        <w:t>%-</w:t>
      </w:r>
      <w:r>
        <w:rPr>
          <w:rFonts w:ascii="Book Antiqua" w:eastAsia="Book Antiqua" w:hAnsi="Book Antiqua" w:cs="Book Antiqua"/>
          <w:color w:val="000000"/>
        </w:rPr>
        <w:t>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49-51]</w:t>
      </w:r>
      <w:r>
        <w:rPr>
          <w:rFonts w:ascii="Book Antiqua" w:eastAsia="Book Antiqua" w:hAnsi="Book Antiqua" w:cs="Book Antiqua"/>
          <w:color w:val="000000"/>
        </w:rPr>
        <w:t xml:space="preserve"> as compared to arthroscopic interventions (5</w:t>
      </w:r>
      <w:r w:rsidR="00DC365D">
        <w:rPr>
          <w:rFonts w:ascii="Book Antiqua" w:eastAsia="Book Antiqua" w:hAnsi="Book Antiqua" w:cs="Book Antiqua"/>
          <w:color w:val="000000"/>
        </w:rPr>
        <w:t>%</w:t>
      </w:r>
      <w:r>
        <w:rPr>
          <w:rFonts w:ascii="Book Antiqua" w:eastAsia="Book Antiqua" w:hAnsi="Book Antiqua" w:cs="Book Antiqua"/>
          <w:color w:val="000000"/>
        </w:rPr>
        <w:t>-33%)</w:t>
      </w:r>
      <w:r>
        <w:rPr>
          <w:rFonts w:ascii="Book Antiqua" w:eastAsia="Book Antiqua" w:hAnsi="Book Antiqua" w:cs="Book Antiqua"/>
          <w:color w:val="000000"/>
          <w:szCs w:val="30"/>
          <w:vertAlign w:val="superscript"/>
        </w:rPr>
        <w:t>[52-54]</w:t>
      </w:r>
      <w:r>
        <w:rPr>
          <w:rFonts w:ascii="Book Antiqua" w:eastAsia="Book Antiqua" w:hAnsi="Book Antiqua" w:cs="Book Antiqua"/>
          <w:color w:val="000000"/>
        </w:rPr>
        <w:t xml:space="preserve">. Traditionally, open Bankart repair performed simultaneously with a capsular shift was considered the preferred management option, however improvements in arthroscopic techniques and implants have resulted in arthroscopic stabilization becoming the currently preferred technique for management of recurrent anterior GHJ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55-57]</w:t>
      </w:r>
      <w:r>
        <w:rPr>
          <w:rFonts w:ascii="Book Antiqua" w:eastAsia="Book Antiqua" w:hAnsi="Book Antiqua" w:cs="Book Antiqua"/>
          <w:color w:val="000000"/>
        </w:rPr>
        <w:t xml:space="preserve">. One of the major advantages of the arthroscopic technique is that it does not violate the subscapularis which could potentially lead to functional deficits in external </w:t>
      </w:r>
      <w:proofErr w:type="gramStart"/>
      <w:r>
        <w:rPr>
          <w:rFonts w:ascii="Book Antiqua" w:eastAsia="Book Antiqua" w:hAnsi="Book Antiqua" w:cs="Book Antiqua"/>
          <w:color w:val="000000"/>
        </w:rPr>
        <w:t>rotation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Several high level investigations have reported similar rates of recurrent instability following arthroscopic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53,55,58,59]</w:t>
      </w:r>
      <w:r>
        <w:rPr>
          <w:rFonts w:ascii="Book Antiqua" w:eastAsia="Book Antiqua" w:hAnsi="Book Antiqua" w:cs="Book Antiqua"/>
          <w:color w:val="000000"/>
        </w:rPr>
        <w:t>. While these investigations found similar outcomes in results following both arthroscopic and open stabilization procedures, only short term outcomes were reported. Others have argued that outcomes between arthroscopic and open stabilization cannot be established in 2</w:t>
      </w:r>
      <w:r w:rsidR="00DC365D">
        <w:rPr>
          <w:rFonts w:ascii="Book Antiqua" w:eastAsia="Book Antiqua" w:hAnsi="Book Antiqua" w:cs="Book Antiqua"/>
          <w:color w:val="000000"/>
        </w:rPr>
        <w:t>-</w:t>
      </w:r>
      <w:r>
        <w:rPr>
          <w:rFonts w:ascii="Book Antiqua" w:eastAsia="Book Antiqua" w:hAnsi="Book Antiqua" w:cs="Book Antiqua"/>
          <w:color w:val="000000"/>
        </w:rPr>
        <w:t xml:space="preserve">3 years of </w:t>
      </w:r>
      <w:proofErr w:type="spellStart"/>
      <w:proofErr w:type="gramStart"/>
      <w:r>
        <w:rPr>
          <w:rFonts w:ascii="Book Antiqua" w:eastAsia="Book Antiqua" w:hAnsi="Book Antiqua" w:cs="Book Antiqua"/>
          <w:color w:val="000000"/>
        </w:rPr>
        <w:t>followup</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Supporting this argument, longer-term studies have found much higher rates of recurrent shoulder instability following arthroscopic repair ranging from 17</w:t>
      </w:r>
      <w:r w:rsidR="00DC365D">
        <w:rPr>
          <w:rFonts w:ascii="Book Antiqua" w:eastAsia="Book Antiqua" w:hAnsi="Book Antiqua" w:cs="Book Antiqua"/>
          <w:color w:val="000000"/>
        </w:rPr>
        <w:t>%</w:t>
      </w:r>
      <w:r>
        <w:rPr>
          <w:rFonts w:ascii="Book Antiqua" w:eastAsia="Book Antiqua" w:hAnsi="Book Antiqua" w:cs="Book Antiqua"/>
          <w:color w:val="000000"/>
        </w:rPr>
        <w:t>-35% at 5-10 years</w:t>
      </w:r>
      <w:r>
        <w:rPr>
          <w:rFonts w:ascii="Book Antiqua" w:eastAsia="Book Antiqua" w:hAnsi="Book Antiqua" w:cs="Book Antiqua"/>
          <w:color w:val="000000"/>
          <w:szCs w:val="30"/>
          <w:vertAlign w:val="superscript"/>
        </w:rPr>
        <w:t>[60-63]</w:t>
      </w:r>
      <w:r>
        <w:rPr>
          <w:rFonts w:ascii="Book Antiqua" w:eastAsia="Book Antiqua" w:hAnsi="Book Antiqua" w:cs="Book Antiqua"/>
          <w:color w:val="000000"/>
        </w:rPr>
        <w:t>. This is in comparison to longer-term studies reporting on outcomes of open Bankart repairs with recurrence rates of 15</w:t>
      </w:r>
      <w:r w:rsidR="00DC365D">
        <w:rPr>
          <w:rFonts w:ascii="Book Antiqua" w:eastAsia="Book Antiqua" w:hAnsi="Book Antiqua" w:cs="Book Antiqua"/>
          <w:color w:val="000000"/>
        </w:rPr>
        <w:t>%</w:t>
      </w:r>
      <w:r>
        <w:rPr>
          <w:rFonts w:ascii="Book Antiqua" w:eastAsia="Book Antiqua" w:hAnsi="Book Antiqua" w:cs="Book Antiqua"/>
          <w:color w:val="000000"/>
        </w:rPr>
        <w:t xml:space="preserve">-17.5% at 10-20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61,62,64]</w:t>
      </w:r>
      <w:r>
        <w:rPr>
          <w:rFonts w:ascii="Book Antiqua" w:eastAsia="Book Antiqua" w:hAnsi="Book Antiqua" w:cs="Book Antiqua"/>
          <w:color w:val="000000"/>
        </w:rPr>
        <w:t xml:space="preserve">. Although it may seem reasonable to utilize an open Bankart repair following initial failure of an arthroscopic technique, the current literature shows inferior outcomes in patients undergoing revision open Bankart compared to primary open </w:t>
      </w:r>
      <w:proofErr w:type="gramStart"/>
      <w:r>
        <w:rPr>
          <w:rFonts w:ascii="Book Antiqua" w:eastAsia="Book Antiqua" w:hAnsi="Book Antiqua" w:cs="Book Antiqua"/>
          <w:color w:val="000000"/>
        </w:rPr>
        <w:t>Bankart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65-67]</w:t>
      </w:r>
      <w:r>
        <w:rPr>
          <w:rFonts w:ascii="Book Antiqua" w:eastAsia="Book Antiqua" w:hAnsi="Book Antiqua" w:cs="Book Antiqua"/>
          <w:color w:val="000000"/>
        </w:rPr>
        <w:t xml:space="preserve">. Despite the abundance of clinical outcomes on this topic, indications for primary open Bankart repair remain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Some advocate for open Bankart repair in the setting of male collision athletes younger than 20 years, patients with subcritical (10</w:t>
      </w:r>
      <w:r w:rsidR="00DC365D">
        <w:rPr>
          <w:rFonts w:ascii="Book Antiqua" w:eastAsia="Book Antiqua" w:hAnsi="Book Antiqua" w:cs="Book Antiqua"/>
          <w:color w:val="000000"/>
        </w:rPr>
        <w:t>%</w:t>
      </w:r>
      <w:r>
        <w:rPr>
          <w:rFonts w:ascii="Book Antiqua" w:eastAsia="Book Antiqua" w:hAnsi="Book Antiqua" w:cs="Book Antiqua"/>
          <w:color w:val="000000"/>
        </w:rPr>
        <w:t xml:space="preserve">-20%) glenoid bone loss, patients with 10 or more </w:t>
      </w:r>
      <w:r>
        <w:rPr>
          <w:rFonts w:ascii="Book Antiqua" w:eastAsia="Book Antiqua" w:hAnsi="Book Antiqua" w:cs="Book Antiqua"/>
          <w:color w:val="000000"/>
        </w:rPr>
        <w:lastRenderedPageBreak/>
        <w:t xml:space="preserve">shoulder dislocations, patients who have failed arthroscopic Bankart repair with less than 20% glenoid bone loss, and those with poor </w:t>
      </w:r>
      <w:proofErr w:type="spellStart"/>
      <w:r>
        <w:rPr>
          <w:rFonts w:ascii="Book Antiqua" w:eastAsia="Book Antiqua" w:hAnsi="Book Antiqua" w:cs="Book Antiqua"/>
          <w:color w:val="000000"/>
        </w:rPr>
        <w:t>capsulolabral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6D055FDB" w14:textId="316A620D" w:rsidR="00A77B3E" w:rsidRDefault="000252C0" w:rsidP="00DC365D">
      <w:pPr>
        <w:spacing w:line="360" w:lineRule="auto"/>
        <w:ind w:firstLineChars="100" w:firstLine="240"/>
        <w:jc w:val="both"/>
      </w:pPr>
      <w:r>
        <w:rPr>
          <w:rFonts w:ascii="Book Antiqua" w:eastAsia="Book Antiqua" w:hAnsi="Book Antiqua" w:cs="Book Antiqua"/>
          <w:color w:val="000000"/>
        </w:rPr>
        <w:t xml:space="preserve">When considering operative intervention it is also critical to evaluate associated bony injuries as discussed in previous sections of this manuscript. Amounts of bone loss initially thought to be adequately treated with Bankart repair is shrinking. Historically, anteroinferior glenoid bone loss of </w:t>
      </w:r>
      <w:bookmarkStart w:id="2" w:name="_Hlk52799984"/>
      <w:r w:rsidR="00DC365D" w:rsidRPr="00736AB0">
        <w:rPr>
          <w:rFonts w:ascii="Book Antiqua" w:eastAsia="宋体" w:hAnsi="Book Antiqua"/>
          <w:bCs/>
        </w:rPr>
        <w:t>≥</w:t>
      </w:r>
      <w:bookmarkEnd w:id="2"/>
      <w:r>
        <w:rPr>
          <w:rFonts w:ascii="Book Antiqua" w:eastAsia="Book Antiqua" w:hAnsi="Book Antiqua" w:cs="Book Antiqua"/>
          <w:color w:val="000000"/>
        </w:rPr>
        <w:t xml:space="preserve"> 25% of the inferior glenoid diameter is managed with glenoid bone grafting with a coracoid autograft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iliac autograft, or allograft</w:t>
      </w:r>
      <w:r>
        <w:rPr>
          <w:rFonts w:ascii="Book Antiqua" w:eastAsia="Book Antiqua" w:hAnsi="Book Antiqua" w:cs="Book Antiqua"/>
          <w:color w:val="000000"/>
          <w:szCs w:val="30"/>
          <w:vertAlign w:val="superscript"/>
        </w:rPr>
        <w:t>[29,35,40,54,68</w:t>
      </w:r>
      <w:r w:rsidR="00DC365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Cadaveric investigations have shown that bone loss of &gt; 21% </w:t>
      </w:r>
      <w:r w:rsidR="00D36DB3">
        <w:rPr>
          <w:rFonts w:ascii="Book Antiqua" w:eastAsia="Book Antiqua" w:hAnsi="Book Antiqua" w:cs="Book Antiqua"/>
          <w:color w:val="000000"/>
        </w:rPr>
        <w:t xml:space="preserve">has </w:t>
      </w:r>
      <w:r>
        <w:rPr>
          <w:rFonts w:ascii="Book Antiqua" w:eastAsia="Book Antiqua" w:hAnsi="Book Antiqua" w:cs="Book Antiqua"/>
          <w:color w:val="000000"/>
        </w:rPr>
        <w:t>resulted in residual instability, resulting in some advocating for a threshold of 20% glenoid bone defect to be an indication for bony stabilization</w:t>
      </w:r>
      <w:r>
        <w:rPr>
          <w:rFonts w:ascii="Book Antiqua" w:eastAsia="Book Antiqua" w:hAnsi="Book Antiqua" w:cs="Book Antiqua"/>
          <w:color w:val="000000"/>
          <w:szCs w:val="30"/>
          <w:vertAlign w:val="superscript"/>
        </w:rPr>
        <w:t>[54,72]</w:t>
      </w:r>
      <w:r>
        <w:rPr>
          <w:rFonts w:ascii="Book Antiqua" w:eastAsia="Book Antiqua" w:hAnsi="Book Antiqua" w:cs="Book Antiqua"/>
          <w:color w:val="000000"/>
        </w:rPr>
        <w:t xml:space="preserve">. A 2015 investigation by </w:t>
      </w:r>
      <w:proofErr w:type="spellStart"/>
      <w:r>
        <w:rPr>
          <w:rFonts w:ascii="Book Antiqua" w:eastAsia="Book Antiqua" w:hAnsi="Book Antiqua" w:cs="Book Antiqua"/>
          <w:color w:val="000000"/>
        </w:rPr>
        <w:t>Shaha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reported increased shoulder pain and decreased function in patients after arthroscopic Bankart repair with bone loss of 13.5</w:t>
      </w:r>
      <w:r w:rsidR="00DC365D">
        <w:rPr>
          <w:rFonts w:ascii="Book Antiqua" w:eastAsia="Book Antiqua" w:hAnsi="Book Antiqua" w:cs="Book Antiqua"/>
          <w:color w:val="000000"/>
        </w:rPr>
        <w:t>%</w:t>
      </w:r>
      <w:r>
        <w:rPr>
          <w:rFonts w:ascii="Book Antiqua" w:eastAsia="Book Antiqua" w:hAnsi="Book Antiqua" w:cs="Book Antiqua"/>
          <w:color w:val="000000"/>
        </w:rPr>
        <w:t xml:space="preserve">-19.8% of the inferior glenoid which they termed “subcritical” bone loss. This investigation led to the potential role of bony augmentation in patients with this “subcritical” bone loss of the glenoid. More recently, Pickett and </w:t>
      </w:r>
      <w:proofErr w:type="gramStart"/>
      <w:r>
        <w:rPr>
          <w:rFonts w:ascii="Book Antiqua" w:eastAsia="Book Antiqua" w:hAnsi="Book Antiqua" w:cs="Book Antiqua"/>
          <w:color w:val="000000"/>
        </w:rPr>
        <w:t>Svoboda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reported their threshold for a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 to be 20% glenoid bone loss while also considering the procedure in contact athletes with “subcritical” (13</w:t>
      </w:r>
      <w:r w:rsidR="00DC365D">
        <w:rPr>
          <w:rFonts w:ascii="Book Antiqua" w:eastAsia="Book Antiqua" w:hAnsi="Book Antiqua" w:cs="Book Antiqua"/>
          <w:color w:val="000000"/>
        </w:rPr>
        <w:t>%</w:t>
      </w:r>
      <w:r>
        <w:rPr>
          <w:rFonts w:ascii="Book Antiqua" w:eastAsia="Book Antiqua" w:hAnsi="Book Antiqua" w:cs="Book Antiqua"/>
          <w:color w:val="000000"/>
        </w:rPr>
        <w:t>-19%) glenoid bone loss.</w:t>
      </w:r>
    </w:p>
    <w:p w14:paraId="023B4F72" w14:textId="303E64BC" w:rsidR="00A77B3E" w:rsidRDefault="000252C0" w:rsidP="00DC365D">
      <w:pPr>
        <w:spacing w:line="360" w:lineRule="auto"/>
        <w:ind w:firstLineChars="100" w:firstLine="240"/>
        <w:jc w:val="both"/>
      </w:pPr>
      <w:r>
        <w:rPr>
          <w:rFonts w:ascii="Book Antiqua" w:eastAsia="Book Antiqua" w:hAnsi="Book Antiqua" w:cs="Book Antiqua"/>
          <w:color w:val="000000"/>
        </w:rPr>
        <w:t>The clinical implications of Hill-Sachs lesions is not completely understood, original thought was that lesions &gt; 16% of the humeral head diameter, those whose volume exceed 1000</w:t>
      </w:r>
      <w:r w:rsidR="00DC365D">
        <w:rPr>
          <w:rFonts w:ascii="Book Antiqua" w:eastAsia="Book Antiqua" w:hAnsi="Book Antiqua" w:cs="Book Antiqua"/>
          <w:color w:val="000000"/>
        </w:rPr>
        <w:t xml:space="preserve"> </w:t>
      </w:r>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or patients who experienced a clunking sensation with the arm in 90 degrees of abduction and 90 degrees of external rotation required operative intervention</w:t>
      </w:r>
      <w:r>
        <w:rPr>
          <w:rFonts w:ascii="Book Antiqua" w:eastAsia="Book Antiqua" w:hAnsi="Book Antiqua" w:cs="Book Antiqua"/>
          <w:color w:val="000000"/>
          <w:szCs w:val="30"/>
          <w:vertAlign w:val="superscript"/>
        </w:rPr>
        <w:t>[54,74]</w:t>
      </w:r>
      <w:r>
        <w:rPr>
          <w:rFonts w:ascii="Book Antiqua" w:eastAsia="Book Antiqua" w:hAnsi="Book Antiqua" w:cs="Book Antiqua"/>
          <w:color w:val="000000"/>
        </w:rPr>
        <w:t>. Others advocated that defects &gt; 20</w:t>
      </w:r>
      <w:r w:rsidR="00DC365D">
        <w:rPr>
          <w:rFonts w:ascii="Book Antiqua" w:eastAsia="Book Antiqua" w:hAnsi="Book Antiqua" w:cs="Book Antiqua"/>
          <w:color w:val="000000"/>
        </w:rPr>
        <w:t>%</w:t>
      </w:r>
      <w:r>
        <w:rPr>
          <w:rFonts w:ascii="Book Antiqua" w:eastAsia="Book Antiqua" w:hAnsi="Book Antiqua" w:cs="Book Antiqua"/>
          <w:color w:val="000000"/>
        </w:rPr>
        <w:t xml:space="preserve">-25% of the humeral head diameter required management with an </w:t>
      </w:r>
      <w:proofErr w:type="gramStart"/>
      <w:r>
        <w:rPr>
          <w:rFonts w:ascii="Book Antiqua" w:eastAsia="Book Antiqua" w:hAnsi="Book Antiqua" w:cs="Book Antiqua"/>
          <w:color w:val="000000"/>
        </w:rPr>
        <w:t>allograft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54,75]</w:t>
      </w:r>
      <w:r>
        <w:rPr>
          <w:rFonts w:ascii="Book Antiqua" w:eastAsia="Book Antiqua" w:hAnsi="Book Antiqua" w:cs="Book Antiqua"/>
          <w:color w:val="000000"/>
        </w:rPr>
        <w:t xml:space="preserve">. These investigations preceded the concept of the glenoid track by Yamamoto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which was discussed earlier in this text. </w:t>
      </w:r>
    </w:p>
    <w:p w14:paraId="4A270F9C" w14:textId="594062F7" w:rsidR="00A77B3E" w:rsidRDefault="000252C0" w:rsidP="00903EE8">
      <w:pPr>
        <w:spacing w:line="360" w:lineRule="auto"/>
        <w:ind w:firstLineChars="100" w:firstLine="240"/>
        <w:jc w:val="both"/>
      </w:pPr>
      <w:r>
        <w:rPr>
          <w:rFonts w:ascii="Book Antiqua" w:eastAsia="Book Antiqua" w:hAnsi="Book Antiqua" w:cs="Book Antiqua"/>
          <w:color w:val="000000"/>
        </w:rPr>
        <w:t xml:space="preserve">While many investigations have reported on glenoid or humeral sided bone lesions, in practice these injuries can occur concurrently. Di Giacomo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proposed an algorithm in patients with bipolar lesions with varying degrees of glenoid and humeral head involvement. The authors broke patients down into the following four groups with their associated treatment:</w:t>
      </w:r>
      <w:r w:rsidR="00DC365D">
        <w:rPr>
          <w:rFonts w:ascii="Book Antiqua" w:eastAsia="Book Antiqua" w:hAnsi="Book Antiqua" w:cs="Book Antiqua"/>
          <w:color w:val="000000"/>
        </w:rPr>
        <w:t xml:space="preserve"> (1) </w:t>
      </w:r>
      <w:r>
        <w:rPr>
          <w:rFonts w:ascii="Book Antiqua" w:eastAsia="Book Antiqua" w:hAnsi="Book Antiqua" w:cs="Book Antiqua"/>
          <w:color w:val="000000"/>
        </w:rPr>
        <w:t>Group 1</w:t>
      </w:r>
      <w:r w:rsidR="00DC365D">
        <w:rPr>
          <w:rFonts w:ascii="Book Antiqua" w:eastAsia="Book Antiqua" w:hAnsi="Book Antiqua" w:cs="Book Antiqua"/>
          <w:color w:val="000000"/>
        </w:rPr>
        <w:t>:</w:t>
      </w:r>
      <w:r>
        <w:rPr>
          <w:rFonts w:ascii="Book Antiqua" w:eastAsia="Book Antiqua" w:hAnsi="Book Antiqua" w:cs="Book Antiqua"/>
          <w:color w:val="000000"/>
        </w:rPr>
        <w:t xml:space="preserve"> &lt; 25% glenoid bone loss and on-track Hill-Sachs defect </w:t>
      </w:r>
      <w:r>
        <w:rPr>
          <w:rFonts w:ascii="Book Antiqua" w:eastAsia="Book Antiqua" w:hAnsi="Book Antiqua" w:cs="Book Antiqua"/>
          <w:color w:val="000000"/>
        </w:rPr>
        <w:lastRenderedPageBreak/>
        <w:t>can be treated with an arthroscopic Bankart repair</w:t>
      </w:r>
      <w:r w:rsidR="00903EE8">
        <w:rPr>
          <w:rFonts w:ascii="Book Antiqua" w:eastAsia="Book Antiqua" w:hAnsi="Book Antiqua" w:cs="Book Antiqua"/>
          <w:color w:val="000000"/>
        </w:rPr>
        <w:t xml:space="preserve">; (2) </w:t>
      </w:r>
      <w:r>
        <w:rPr>
          <w:rFonts w:ascii="Book Antiqua" w:eastAsia="Book Antiqua" w:hAnsi="Book Antiqua" w:cs="Book Antiqua"/>
          <w:color w:val="000000"/>
        </w:rPr>
        <w:t>Group 2</w:t>
      </w:r>
      <w:r w:rsidR="00903EE8">
        <w:rPr>
          <w:rFonts w:ascii="Book Antiqua" w:eastAsia="Book Antiqua" w:hAnsi="Book Antiqua" w:cs="Book Antiqua"/>
          <w:color w:val="000000"/>
        </w:rPr>
        <w:t>:</w:t>
      </w:r>
      <w:r>
        <w:rPr>
          <w:rFonts w:ascii="Book Antiqua" w:eastAsia="Book Antiqua" w:hAnsi="Book Antiqua" w:cs="Book Antiqua"/>
          <w:color w:val="000000"/>
        </w:rPr>
        <w:t xml:space="preserve"> &lt; 25% glenoid bone loss and off-track Hill-Sachs defect can be treated with an arthroscopic Bankart repair and </w:t>
      </w:r>
      <w:proofErr w:type="spellStart"/>
      <w:r>
        <w:rPr>
          <w:rFonts w:ascii="Book Antiqua" w:eastAsia="Book Antiqua" w:hAnsi="Book Antiqua" w:cs="Book Antiqua"/>
          <w:color w:val="000000"/>
        </w:rPr>
        <w:t>remplissage</w:t>
      </w:r>
      <w:proofErr w:type="spellEnd"/>
      <w:r w:rsidR="00903EE8">
        <w:rPr>
          <w:rFonts w:ascii="Book Antiqua" w:eastAsia="Book Antiqua" w:hAnsi="Book Antiqua" w:cs="Book Antiqua"/>
          <w:color w:val="000000"/>
        </w:rPr>
        <w:t xml:space="preserve">; (3) </w:t>
      </w:r>
      <w:r>
        <w:rPr>
          <w:rFonts w:ascii="Book Antiqua" w:eastAsia="Book Antiqua" w:hAnsi="Book Antiqua" w:cs="Book Antiqua"/>
          <w:color w:val="000000"/>
        </w:rPr>
        <w:t>Group 3</w:t>
      </w:r>
      <w:r w:rsidR="00903EE8">
        <w:rPr>
          <w:rFonts w:ascii="Book Antiqua" w:eastAsia="Book Antiqua" w:hAnsi="Book Antiqua" w:cs="Book Antiqua"/>
          <w:color w:val="000000"/>
        </w:rPr>
        <w:t>:</w:t>
      </w:r>
      <w:r>
        <w:rPr>
          <w:rFonts w:ascii="Book Antiqua" w:eastAsia="Book Antiqua" w:hAnsi="Book Antiqua" w:cs="Book Antiqua"/>
          <w:color w:val="000000"/>
        </w:rPr>
        <w:t xml:space="preserve"> &gt; 25% glenoid bone loss and on-track Hill-Sachs defect require a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w:t>
      </w:r>
      <w:r w:rsidR="00903EE8">
        <w:rPr>
          <w:rFonts w:ascii="Book Antiqua" w:eastAsia="Book Antiqua" w:hAnsi="Book Antiqua" w:cs="Book Antiqua"/>
          <w:color w:val="000000"/>
        </w:rPr>
        <w:t xml:space="preserve">; and (4) </w:t>
      </w:r>
      <w:r>
        <w:rPr>
          <w:rFonts w:ascii="Book Antiqua" w:eastAsia="Book Antiqua" w:hAnsi="Book Antiqua" w:cs="Book Antiqua"/>
          <w:color w:val="000000"/>
        </w:rPr>
        <w:t>Group 4</w:t>
      </w:r>
      <w:r w:rsidR="00903EE8">
        <w:rPr>
          <w:rFonts w:ascii="Book Antiqua" w:eastAsia="Book Antiqua" w:hAnsi="Book Antiqua" w:cs="Book Antiqua"/>
          <w:color w:val="000000"/>
        </w:rPr>
        <w:t>:</w:t>
      </w:r>
      <w:r>
        <w:rPr>
          <w:rFonts w:ascii="Book Antiqua" w:eastAsia="Book Antiqua" w:hAnsi="Book Antiqua" w:cs="Book Antiqua"/>
          <w:color w:val="000000"/>
        </w:rPr>
        <w:t xml:space="preserve"> &gt; 25% glenoid bone loss and off-track Hill-Sachs defect require a </w:t>
      </w:r>
      <w:proofErr w:type="spellStart"/>
      <w:r w:rsidR="00400538">
        <w:rPr>
          <w:rFonts w:ascii="Book Antiqua" w:eastAsia="Book Antiqua" w:hAnsi="Book Antiqua" w:cs="Book Antiqua"/>
          <w:color w:val="000000"/>
        </w:rPr>
        <w:t>Latarjet</w:t>
      </w:r>
      <w:proofErr w:type="spellEnd"/>
      <w:r w:rsidR="00400538">
        <w:rPr>
          <w:rFonts w:ascii="Book Antiqua" w:eastAsia="Book Antiqua" w:hAnsi="Book Antiqua" w:cs="Book Antiqua"/>
          <w:color w:val="000000"/>
        </w:rPr>
        <w:t xml:space="preserve"> </w:t>
      </w:r>
      <w:r>
        <w:rPr>
          <w:rFonts w:ascii="Book Antiqua" w:eastAsia="Book Antiqua" w:hAnsi="Book Antiqua" w:cs="Book Antiqua"/>
          <w:color w:val="000000"/>
        </w:rPr>
        <w:t>procedure and may need an additional bony procedure to address the humeral head.</w:t>
      </w:r>
    </w:p>
    <w:p w14:paraId="578EA292" w14:textId="16217A32" w:rsidR="00A77B3E" w:rsidRDefault="000252C0" w:rsidP="00903EE8">
      <w:pPr>
        <w:spacing w:line="360" w:lineRule="auto"/>
        <w:ind w:firstLineChars="100" w:firstLine="240"/>
        <w:jc w:val="both"/>
      </w:pPr>
      <w:r>
        <w:rPr>
          <w:rFonts w:ascii="Book Antiqua" w:eastAsia="Book Antiqua" w:hAnsi="Book Antiqua" w:cs="Book Antiqua"/>
          <w:color w:val="000000"/>
        </w:rPr>
        <w:t xml:space="preserve">It would seem practical to utilize the glenoid track concept to assist in surgical planning as it incorporates bony lesions to both the glenoid and humeral head. Due to the fact that this initial concept was described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some theorized it may not represent true conditions of recurrent instability due to its lack of including factors such as laxity of the </w:t>
      </w:r>
      <w:proofErr w:type="spellStart"/>
      <w:r w:rsidR="00400538">
        <w:rPr>
          <w:rFonts w:ascii="Book Antiqua" w:eastAsia="Book Antiqua" w:hAnsi="Book Antiqua" w:cs="Book Antiqua"/>
          <w:color w:val="000000"/>
        </w:rPr>
        <w:t>capsulolabral</w:t>
      </w:r>
      <w:proofErr w:type="spellEnd"/>
      <w:r w:rsidR="00400538">
        <w:rPr>
          <w:rFonts w:ascii="Book Antiqua" w:eastAsia="Book Antiqua" w:hAnsi="Book Antiqua" w:cs="Book Antiqua"/>
          <w:color w:val="000000"/>
        </w:rPr>
        <w:t xml:space="preserve"> </w:t>
      </w:r>
      <w:r>
        <w:rPr>
          <w:rFonts w:ascii="Book Antiqua" w:eastAsia="Book Antiqua" w:hAnsi="Book Antiqua" w:cs="Book Antiqua"/>
          <w:color w:val="000000"/>
        </w:rPr>
        <w:t xml:space="preserve">complex. In theory, this could lead to a smaller sized Hill-Sachs lesion facilitating an engaging bipolar lesion causing recurrent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44,76]</w:t>
      </w:r>
      <w:r>
        <w:rPr>
          <w:rFonts w:ascii="Book Antiqua" w:eastAsia="Book Antiqua" w:hAnsi="Book Antiqua" w:cs="Book Antiqua"/>
          <w:color w:val="000000"/>
        </w:rPr>
        <w:t xml:space="preserve">. However, there is growing evidence supporting clinical outcomes using the glenoid track concept while lowering the threshold for glenoid bone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48,77]</w:t>
      </w:r>
      <w:r>
        <w:rPr>
          <w:rFonts w:ascii="Book Antiqua" w:eastAsia="Book Antiqua" w:hAnsi="Book Antiqua" w:cs="Book Antiqua"/>
          <w:color w:val="000000"/>
        </w:rPr>
        <w:t xml:space="preserve">. More specifically, Metzger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reported on 205 patients with recurrent anterior shoulder instability. The patients had a mean glenoid bone loss of 7.6% (range 0</w:t>
      </w:r>
      <w:r w:rsidR="00903EE8">
        <w:rPr>
          <w:rFonts w:ascii="Book Antiqua" w:eastAsia="Book Antiqua" w:hAnsi="Book Antiqua" w:cs="Book Antiqua"/>
          <w:color w:val="000000"/>
        </w:rPr>
        <w:t>%</w:t>
      </w:r>
      <w:r>
        <w:rPr>
          <w:rFonts w:ascii="Book Antiqua" w:eastAsia="Book Antiqua" w:hAnsi="Book Antiqua" w:cs="Book Antiqua"/>
          <w:color w:val="000000"/>
        </w:rPr>
        <w:t>-29%) with 22% of patients engaging on clinical exam under anesthesia (EUA). When comparing clinical EUA findings with radiographic findings, 84.5% of patients with radiographic findings suggestive of an engaging lesion displayed clinical evidence of an engaging lesion on EUA while only 12.4% clinically engaged during EUA without radiographic evidence of engagement (</w:t>
      </w:r>
      <w:r w:rsidR="00903EE8" w:rsidRPr="00903EE8">
        <w:rPr>
          <w:rFonts w:ascii="Book Antiqua" w:eastAsia="Book Antiqua" w:hAnsi="Book Antiqua" w:cs="Book Antiqua"/>
          <w:i/>
          <w:iCs/>
          <w:color w:val="000000"/>
        </w:rPr>
        <w:t>P</w:t>
      </w:r>
      <w:r>
        <w:rPr>
          <w:rFonts w:ascii="Book Antiqua" w:eastAsia="Book Antiqua" w:hAnsi="Book Antiqua" w:cs="Book Antiqua"/>
          <w:color w:val="000000"/>
        </w:rPr>
        <w:t xml:space="preserve"> &lt; 0.001). The investigation demonstrated that glenohumeral engagement was well predicted based on preoperative glenoid and humeral head bone loss measurements using the glenoid track concept. Supporting these findings, a 2016 investigation by </w:t>
      </w:r>
      <w:proofErr w:type="spellStart"/>
      <w:r>
        <w:rPr>
          <w:rFonts w:ascii="Book Antiqua" w:eastAsia="Book Antiqua" w:hAnsi="Book Antiqua" w:cs="Book Antiqua"/>
          <w:color w:val="000000"/>
        </w:rPr>
        <w:t>Shaha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reported on 57 shoulders over a two year period treated with a primary arthroscopic Bankart reconstruction. The authors reported 10 instability recurrences (18%) with 4 (8%) failures in the on-track patients as compared to 6 (75%) in the off-track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Importantly, they reported the positive predictive value (PPV) of an off-track measurement was 75% compared to a 44% PPV in those with glenoid bone loss of &gt; 20%. </w:t>
      </w:r>
      <w:r>
        <w:rPr>
          <w:rFonts w:ascii="Book Antiqua" w:eastAsia="Book Antiqua" w:hAnsi="Book Antiqua" w:cs="Book Antiqua"/>
          <w:color w:val="000000"/>
        </w:rPr>
        <w:lastRenderedPageBreak/>
        <w:t>They concluded that the application of the glenoid track concept was superior to using glenoid bone loss alone when predicting post-operative stability.</w:t>
      </w:r>
    </w:p>
    <w:p w14:paraId="15FF9F25" w14:textId="1D598930" w:rsidR="00A77B3E" w:rsidRDefault="000252C0" w:rsidP="00903EE8">
      <w:pPr>
        <w:spacing w:line="360" w:lineRule="auto"/>
        <w:ind w:firstLineChars="100" w:firstLine="240"/>
        <w:jc w:val="both"/>
      </w:pPr>
      <w:r>
        <w:rPr>
          <w:rFonts w:ascii="Book Antiqua" w:eastAsia="Book Antiqua" w:hAnsi="Book Antiqua" w:cs="Book Antiqua"/>
          <w:color w:val="000000"/>
        </w:rPr>
        <w:t xml:space="preserve">More recently, a 2018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investigated the relationship between the Hill-Sachs interval and the glenoid track. The investigators retrospectively reviewed 160 patients who underwent an arthroscopic Bankart repair with a minimum of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 up. They reported that a Hill-Sachs interval to glenoid track width ratio (H/G ratio) of </w:t>
      </w:r>
      <w:r w:rsidR="00903EE8" w:rsidRPr="00736AB0">
        <w:rPr>
          <w:rFonts w:ascii="Book Antiqua" w:eastAsia="宋体" w:hAnsi="Book Antiqua"/>
          <w:bCs/>
        </w:rPr>
        <w:t>≥</w:t>
      </w:r>
      <w:r>
        <w:rPr>
          <w:rFonts w:ascii="Book Antiqua" w:eastAsia="Book Antiqua" w:hAnsi="Book Antiqua" w:cs="Book Antiqua"/>
          <w:color w:val="000000"/>
        </w:rPr>
        <w:t xml:space="preserve"> 0.7 was a significant predictor of higher risk for recurrent instability. This value was validated by the recent findings of Chen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who found the H/G ratio of </w:t>
      </w:r>
      <w:r w:rsidR="00903EE8" w:rsidRPr="00736AB0">
        <w:rPr>
          <w:rFonts w:ascii="Book Antiqua" w:eastAsia="宋体" w:hAnsi="Book Antiqua"/>
          <w:bCs/>
        </w:rPr>
        <w:t>≥</w:t>
      </w:r>
      <w:r>
        <w:rPr>
          <w:rFonts w:ascii="Book Antiqua" w:eastAsia="Book Antiqua" w:hAnsi="Book Antiqua" w:cs="Book Antiqua"/>
          <w:color w:val="000000"/>
        </w:rPr>
        <w:t xml:space="preserve"> 0.7 to be comparable to the instability severity index score (ISIS) for predicting an increased risk of recurrent instability after arthroscopic Bankart repair. The ISIS was initially developed by </w:t>
      </w:r>
      <w:proofErr w:type="spellStart"/>
      <w:r>
        <w:rPr>
          <w:rFonts w:ascii="Book Antiqua" w:eastAsia="Book Antiqua" w:hAnsi="Book Antiqua" w:cs="Book Antiqua"/>
          <w:color w:val="000000"/>
        </w:rPr>
        <w:t>Balg</w:t>
      </w:r>
      <w:proofErr w:type="spellEnd"/>
      <w:r>
        <w:rPr>
          <w:rFonts w:ascii="Book Antiqua" w:eastAsia="Book Antiqua" w:hAnsi="Book Antiqua" w:cs="Book Antiqua"/>
          <w:color w:val="000000"/>
        </w:rPr>
        <w:t xml:space="preserve"> </w:t>
      </w:r>
      <w:r w:rsidR="00903EE8" w:rsidRPr="00903EE8">
        <w:rPr>
          <w:rFonts w:ascii="Book Antiqua" w:eastAsia="Book Antiqua" w:hAnsi="Book Antiqua" w:cs="Book Antiqua"/>
          <w:i/>
          <w:iCs/>
          <w:color w:val="000000"/>
        </w:rPr>
        <w:t xml:space="preserve">et </w:t>
      </w:r>
      <w:proofErr w:type="gramStart"/>
      <w:r w:rsidR="00903EE8" w:rsidRPr="00903EE8">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and utilizes a combination of clinical characteristics and radiographic findings to predict risk for recurrent instability. It has been validated by several studies as a useful tool in predicting recurrent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44,79</w:t>
      </w:r>
      <w:r w:rsidR="00903EE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w:t>
      </w:r>
    </w:p>
    <w:p w14:paraId="0A891BB2" w14:textId="77777777" w:rsidR="00A77B3E" w:rsidRDefault="00A77B3E" w:rsidP="00903EE8">
      <w:pPr>
        <w:spacing w:line="360" w:lineRule="auto"/>
        <w:jc w:val="both"/>
      </w:pPr>
    </w:p>
    <w:p w14:paraId="48F8398E" w14:textId="77777777" w:rsidR="00A77B3E" w:rsidRDefault="000252C0">
      <w:pPr>
        <w:spacing w:line="360" w:lineRule="auto"/>
        <w:jc w:val="both"/>
      </w:pPr>
      <w:r>
        <w:rPr>
          <w:rFonts w:ascii="Book Antiqua" w:eastAsia="Book Antiqua" w:hAnsi="Book Antiqua" w:cs="Book Antiqua"/>
          <w:b/>
          <w:bCs/>
          <w:caps/>
          <w:color w:val="000000"/>
          <w:u w:val="single"/>
        </w:rPr>
        <w:t>Clinical History and Physical Exam</w:t>
      </w:r>
    </w:p>
    <w:p w14:paraId="75C4D7C5" w14:textId="0EF0B2AF" w:rsidR="00A77B3E" w:rsidRDefault="000252C0" w:rsidP="00903EE8">
      <w:pPr>
        <w:spacing w:line="360" w:lineRule="auto"/>
        <w:jc w:val="both"/>
      </w:pPr>
      <w:r>
        <w:rPr>
          <w:rFonts w:ascii="Book Antiqua" w:eastAsia="Book Antiqua" w:hAnsi="Book Antiqua" w:cs="Book Antiqua"/>
          <w:color w:val="000000"/>
        </w:rPr>
        <w:t xml:space="preserve">The history of injury should include a description of the position of the arm, force applied, and point of </w:t>
      </w:r>
      <w:proofErr w:type="gramStart"/>
      <w:r>
        <w:rPr>
          <w:rFonts w:ascii="Book Antiqua" w:eastAsia="Book Antiqua" w:hAnsi="Book Antiqua" w:cs="Book Antiqua"/>
          <w:color w:val="000000"/>
        </w:rPr>
        <w:t>force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The typical mechanism for an anterior GHJ dislocation is a force to an extended, abducted, and externally rotated upper </w:t>
      </w:r>
      <w:proofErr w:type="gramStart"/>
      <w:r>
        <w:rPr>
          <w:rFonts w:ascii="Book Antiqua" w:eastAsia="Book Antiqua" w:hAnsi="Book Antiqua" w:cs="Book Antiqua"/>
          <w:color w:val="000000"/>
        </w:rPr>
        <w:t>extremity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Clinical history elicited during the initial encounter should also include evaluation of other sources of instability such as connective tissue disorders or generalized joint laxity. Connective tissue disorders such as Ehlers Danlos or Marfan’s syndrome should be ruled out by inspecting for skin </w:t>
      </w:r>
      <w:r w:rsidR="00400538">
        <w:rPr>
          <w:rFonts w:ascii="Book Antiqua" w:eastAsia="Book Antiqua" w:hAnsi="Book Antiqua" w:cs="Book Antiqua"/>
          <w:color w:val="000000"/>
        </w:rPr>
        <w:t>hyper</w:t>
      </w:r>
      <w:r w:rsidR="005B2E47">
        <w:rPr>
          <w:rFonts w:ascii="Book Antiqua" w:eastAsia="Book Antiqua" w:hAnsi="Book Antiqua" w:cs="Book Antiqua"/>
          <w:color w:val="000000"/>
        </w:rPr>
        <w:t>-</w:t>
      </w:r>
      <w:r w:rsidR="00400538">
        <w:rPr>
          <w:rFonts w:ascii="Book Antiqua" w:eastAsia="Book Antiqua" w:hAnsi="Book Antiqua" w:cs="Book Antiqua"/>
          <w:color w:val="000000"/>
        </w:rPr>
        <w:t>extensibility</w:t>
      </w:r>
      <w:r>
        <w:rPr>
          <w:rFonts w:ascii="Book Antiqua" w:eastAsia="Book Antiqua" w:hAnsi="Book Antiqua" w:cs="Book Antiqua"/>
          <w:color w:val="000000"/>
        </w:rPr>
        <w:t>, widened atrophic scarring, family history, personal history of instability events, and evaluation of joint hypermobility utilizing the Beighton criteria when clinically appropriate</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Evaluation should always include comparison to the contralateral shoulder.</w:t>
      </w:r>
    </w:p>
    <w:p w14:paraId="1B96A2F2" w14:textId="77777777" w:rsidR="00A77B3E" w:rsidRDefault="000252C0" w:rsidP="00903EE8">
      <w:pPr>
        <w:spacing w:line="360" w:lineRule="auto"/>
        <w:ind w:firstLineChars="100" w:firstLine="240"/>
        <w:jc w:val="both"/>
      </w:pPr>
      <w:r>
        <w:rPr>
          <w:rFonts w:ascii="Book Antiqua" w:eastAsia="Book Antiqua" w:hAnsi="Book Antiqua" w:cs="Book Antiqua"/>
          <w:color w:val="000000"/>
        </w:rPr>
        <w:t xml:space="preserve">Examination of the shoulder should include evaluation of the cervical spine, visualization of bilateral shoulders for evidence of muscular atrophy or deformities, active and passive range of motion, and a neurovascular exam with careful evaluation of the axillary </w:t>
      </w:r>
      <w:proofErr w:type="gramStart"/>
      <w:r>
        <w:rPr>
          <w:rFonts w:ascii="Book Antiqua" w:eastAsia="Book Antiqua" w:hAnsi="Book Antiqua" w:cs="Book Antiqua"/>
          <w:color w:val="000000"/>
        </w:rPr>
        <w:t>nerve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Finally, evaluation should include specific laxity and instability </w:t>
      </w:r>
      <w:r>
        <w:rPr>
          <w:rFonts w:ascii="Book Antiqua" w:eastAsia="Book Antiqua" w:hAnsi="Book Antiqua" w:cs="Book Antiqua"/>
          <w:color w:val="000000"/>
        </w:rPr>
        <w:lastRenderedPageBreak/>
        <w:t>testing. It is important for the clinician to differentiate GHJ instability which is described as symptomatic and reproducible dislocation of the joint as compared to generalized joint laxity which is characterized by loose ligamentous tissue causing chronic pain and instability during minor events.</w:t>
      </w:r>
    </w:p>
    <w:p w14:paraId="69554490" w14:textId="77777777" w:rsidR="00903EE8" w:rsidRDefault="000252C0" w:rsidP="00903EE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Tests specific to joint laxity include the load and shift test and the sulcus test. In the load and shift test an axial load is placed on the shoulder to center the humeral head onto the glenoid cavity and the examiner stabilizes the shoulder girdle with one hand while applying an anterior or posterior load to the proximal humerus with the other </w:t>
      </w:r>
      <w:proofErr w:type="gramStart"/>
      <w:r>
        <w:rPr>
          <w:rFonts w:ascii="Book Antiqua" w:eastAsia="Book Antiqua" w:hAnsi="Book Antiqua" w:cs="Book Antiqua"/>
          <w:color w:val="000000"/>
        </w:rPr>
        <w:t>hand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Increased translation in the anterior or posterior directions indicates joint laxity in that plane. The sulcus test is performed while the patient stands with their arm at the side while the examiner places a downward force onto the arm. It can be indicative of inferior laxity if a sulcus, or hollowing, occurs inferior to the acromion. Both of these tests should be performed in comparison to the contralateral side. In regards to testing for joint stability the clinician may perform the apprehension test and the jerk test. The apprehension test is performed with the patient in a supine or standing position. The arm is held in 90 degrees of abduction and in external rotation. The examiner places one hand behind the scapula for stabilization while simultaneously pulling back on the wrist putting the patient into further external rotation. The patient with anterior instability becomes apprehensive during this </w:t>
      </w:r>
      <w:proofErr w:type="gramStart"/>
      <w:r>
        <w:rPr>
          <w:rFonts w:ascii="Book Antiqua" w:eastAsia="Book Antiqua" w:hAnsi="Book Antiqua" w:cs="Book Antiqua"/>
          <w:color w:val="000000"/>
        </w:rPr>
        <w:t>maneuver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The jerk test is performed with the patient in internal rotation and flexed to 90 degrees. With one hand stabilizing the scapula the examiner grasps the elbow and places an axial load onto the humerus while simultaneously moving the arm horizontally across the body. The clinician is evaluating for a sudden “jerk” of the humeral head sliding off of the posterior glenoid followed by a “clunk” when the arm is brought back to the original </w:t>
      </w:r>
      <w:proofErr w:type="gramStart"/>
      <w:r>
        <w:rPr>
          <w:rFonts w:ascii="Book Antiqua" w:eastAsia="Book Antiqua" w:hAnsi="Book Antiqua" w:cs="Book Antiqua"/>
          <w:color w:val="000000"/>
        </w:rPr>
        <w:t>positioning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A positive jerk test is indicative of posterior instability.</w:t>
      </w:r>
    </w:p>
    <w:p w14:paraId="7CF5D37C" w14:textId="07342574" w:rsidR="00A77B3E" w:rsidRPr="00903EE8" w:rsidRDefault="000252C0" w:rsidP="00903EE8">
      <w:pPr>
        <w:spacing w:line="360" w:lineRule="auto"/>
        <w:jc w:val="both"/>
        <w:rPr>
          <w:i/>
          <w:iCs/>
        </w:rPr>
      </w:pPr>
      <w:r w:rsidRPr="00903EE8">
        <w:rPr>
          <w:rFonts w:ascii="Book Antiqua" w:eastAsia="Book Antiqua" w:hAnsi="Book Antiqua" w:cs="Book Antiqua"/>
          <w:b/>
          <w:bCs/>
          <w:i/>
          <w:iCs/>
          <w:color w:val="000000"/>
        </w:rPr>
        <w:t>Imaging</w:t>
      </w:r>
    </w:p>
    <w:p w14:paraId="7DBF3760" w14:textId="77777777" w:rsidR="00A77B3E" w:rsidRDefault="000252C0" w:rsidP="00903EE8">
      <w:pPr>
        <w:spacing w:line="360" w:lineRule="auto"/>
        <w:jc w:val="both"/>
      </w:pPr>
      <w:r>
        <w:rPr>
          <w:rFonts w:ascii="Book Antiqua" w:eastAsia="Book Antiqua" w:hAnsi="Book Antiqua" w:cs="Book Antiqua"/>
          <w:color w:val="000000"/>
        </w:rPr>
        <w:t xml:space="preserve">Initial radiographic workup of GHJ dislocation should include plain radiographs with anteroposterior (AP), infraspinatus outlet, and axillary views to evaluate for bony pathology and the version of the glenoid. Angled views such as the apical oblique view, </w:t>
      </w:r>
      <w:r>
        <w:rPr>
          <w:rFonts w:ascii="Book Antiqua" w:eastAsia="Book Antiqua" w:hAnsi="Book Antiqua" w:cs="Book Antiqua"/>
          <w:color w:val="000000"/>
        </w:rPr>
        <w:lastRenderedPageBreak/>
        <w:t xml:space="preserve">Stryker notch view, and the West Point view could also be obtained to better visualize bony defects to the glenoid and posterolateral humeral </w:t>
      </w:r>
      <w:proofErr w:type="gramStart"/>
      <w:r>
        <w:rPr>
          <w:rFonts w:ascii="Book Antiqua" w:eastAsia="Book Antiqua" w:hAnsi="Book Antiqua" w:cs="Book Antiqua"/>
          <w:color w:val="000000"/>
        </w:rPr>
        <w:t>head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If there is further clinical or radiographic concern for bony pathology, or in cases of recurrent episodes of instability, computed tomography (CT) imaging with 3D reconstruction remains the gold standard for evaluation of bony injury</w:t>
      </w:r>
      <w:r>
        <w:rPr>
          <w:rFonts w:ascii="Book Antiqua" w:eastAsia="Book Antiqua" w:hAnsi="Book Antiqua" w:cs="Book Antiqua"/>
          <w:color w:val="000000"/>
          <w:szCs w:val="30"/>
          <w:vertAlign w:val="superscript"/>
        </w:rPr>
        <w:t>[28,32]</w:t>
      </w:r>
      <w:r>
        <w:rPr>
          <w:rFonts w:ascii="Book Antiqua" w:eastAsia="Book Antiqua" w:hAnsi="Book Antiqua" w:cs="Book Antiqua"/>
          <w:color w:val="000000"/>
        </w:rPr>
        <w:t>. In addition to evaluation of bony deficits, magnetic resonance imaging (MRI) is the preferred method for evaluation of the soft tissues of the shoulder joint, specifically for evaluation of the glenoid labrum and rotator cuff. Based on its location, the GHJ is inherently difficult to image and the best positioning is with the arm in a neutral or externally rotated position as internal rotation of the shoulder can cause labral and/or anteroinferior capsule redundancy which obscures tears</w:t>
      </w:r>
      <w:r>
        <w:rPr>
          <w:rFonts w:ascii="Book Antiqua" w:eastAsia="Book Antiqua" w:hAnsi="Book Antiqua" w:cs="Book Antiqua"/>
          <w:color w:val="000000"/>
          <w:szCs w:val="30"/>
          <w:vertAlign w:val="superscript"/>
        </w:rPr>
        <w:t>[1,86]</w:t>
      </w:r>
      <w:r>
        <w:rPr>
          <w:rFonts w:ascii="Book Antiqua" w:eastAsia="Book Antiqua" w:hAnsi="Book Antiqua" w:cs="Book Antiqua"/>
          <w:color w:val="000000"/>
        </w:rPr>
        <w:t xml:space="preserve">. In general, several consecutive images should be reviewed when evaluating an MRI and MR arthrography may also be utilized to increase </w:t>
      </w:r>
      <w:proofErr w:type="gramStart"/>
      <w:r>
        <w:rPr>
          <w:rFonts w:ascii="Book Antiqua" w:eastAsia="Book Antiqua" w:hAnsi="Book Antiqua" w:cs="Book Antiqua"/>
          <w:color w:val="000000"/>
        </w:rPr>
        <w:t>visualization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 xml:space="preserve">. </w:t>
      </w:r>
    </w:p>
    <w:p w14:paraId="2BBC5D7B" w14:textId="77777777" w:rsidR="00A77B3E" w:rsidRDefault="00A77B3E" w:rsidP="00903EE8">
      <w:pPr>
        <w:spacing w:line="360" w:lineRule="auto"/>
        <w:jc w:val="both"/>
      </w:pPr>
    </w:p>
    <w:p w14:paraId="745AF80B" w14:textId="77777777" w:rsidR="00A77B3E" w:rsidRDefault="000252C0">
      <w:pPr>
        <w:spacing w:line="360" w:lineRule="auto"/>
        <w:jc w:val="both"/>
      </w:pPr>
      <w:r>
        <w:rPr>
          <w:rFonts w:ascii="Book Antiqua" w:eastAsia="Book Antiqua" w:hAnsi="Book Antiqua" w:cs="Book Antiqua"/>
          <w:b/>
          <w:bCs/>
          <w:caps/>
          <w:color w:val="000000"/>
          <w:u w:val="single"/>
        </w:rPr>
        <w:t>Operative Pearls and Pitfalls of Arthroscopic Bankart Repair</w:t>
      </w:r>
    </w:p>
    <w:p w14:paraId="60EABF52" w14:textId="183DC420" w:rsidR="00A77B3E" w:rsidRPr="00903EE8" w:rsidRDefault="000252C0">
      <w:pPr>
        <w:spacing w:line="360" w:lineRule="auto"/>
        <w:jc w:val="both"/>
        <w:rPr>
          <w:b/>
          <w:bCs/>
        </w:rPr>
      </w:pPr>
      <w:r w:rsidRPr="00903EE8">
        <w:rPr>
          <w:rFonts w:ascii="Book Antiqua" w:eastAsia="Book Antiqua" w:hAnsi="Book Antiqua" w:cs="Book Antiqua"/>
          <w:b/>
          <w:bCs/>
          <w:i/>
          <w:iCs/>
          <w:color w:val="000000"/>
        </w:rPr>
        <w:t>Patient positioning</w:t>
      </w:r>
    </w:p>
    <w:p w14:paraId="28BA9A69" w14:textId="77777777" w:rsidR="00A77B3E" w:rsidRDefault="000252C0" w:rsidP="00903EE8">
      <w:pPr>
        <w:spacing w:line="360" w:lineRule="auto"/>
        <w:jc w:val="both"/>
      </w:pPr>
      <w:r>
        <w:rPr>
          <w:rFonts w:ascii="Book Antiqua" w:eastAsia="Book Antiqua" w:hAnsi="Book Antiqua" w:cs="Book Antiqua"/>
          <w:color w:val="000000"/>
        </w:rPr>
        <w:t xml:space="preserve">Based on the importance of the inferior anchor placement the clinician should consider the benefits and disadvantages of beach chair </w:t>
      </w:r>
      <w:r>
        <w:rPr>
          <w:rFonts w:ascii="Book Antiqua" w:eastAsia="Book Antiqua" w:hAnsi="Book Antiqua" w:cs="Book Antiqua"/>
          <w:i/>
          <w:iCs/>
          <w:color w:val="000000"/>
        </w:rPr>
        <w:t>vs</w:t>
      </w:r>
      <w:r>
        <w:rPr>
          <w:rFonts w:ascii="Book Antiqua" w:eastAsia="Book Antiqua" w:hAnsi="Book Antiqua" w:cs="Book Antiqua"/>
          <w:color w:val="000000"/>
        </w:rPr>
        <w:t xml:space="preserve"> lateral decubitus positions. In regards to the beach chair positioning the benefits include easier conversion from arthroscopic to open, anatomic orientation of the joint, rotational control of the shoulder, and optimal visualization of the subacromial joint. Despite these advantages, the major difficulty with beach chair orientation is decreased visualization of the inferior aspects of the joint. In comparison, the lateral decubitus positioning allows for increased joint space as traction can be applied in addition to improved access and visualization to the inferior GHJ. Despite this advantage it’s important to note that the disadvantages of lateral decubitus positioning include non-anatomic orientation, difficult conversion from arthroscopic to open, challenging positioning for the anesthesia team, and the possibility of traction related injury.</w:t>
      </w:r>
    </w:p>
    <w:p w14:paraId="19C27E05" w14:textId="6CD22C30" w:rsidR="00A77B3E" w:rsidRDefault="000252C0" w:rsidP="00903EE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regards to the optimized visualization/access to the inferior joint, a systematic review with meta-regression analysis conducted by Frank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on outcomes of </w:t>
      </w:r>
      <w:r>
        <w:rPr>
          <w:rFonts w:ascii="Book Antiqua" w:eastAsia="Book Antiqua" w:hAnsi="Book Antiqua" w:cs="Book Antiqua"/>
          <w:color w:val="000000"/>
        </w:rPr>
        <w:lastRenderedPageBreak/>
        <w:t xml:space="preserve">arthroscopic anterior shoulder instability cases in beach chair </w:t>
      </w:r>
      <w:r>
        <w:rPr>
          <w:rFonts w:ascii="Book Antiqua" w:eastAsia="Book Antiqua" w:hAnsi="Book Antiqua" w:cs="Book Antiqua"/>
          <w:i/>
          <w:iCs/>
          <w:color w:val="000000"/>
        </w:rPr>
        <w:t>vs</w:t>
      </w:r>
      <w:r>
        <w:rPr>
          <w:rFonts w:ascii="Book Antiqua" w:eastAsia="Book Antiqua" w:hAnsi="Book Antiqua" w:cs="Book Antiqua"/>
          <w:color w:val="000000"/>
        </w:rPr>
        <w:t xml:space="preserve"> lateral positioning. The study reported on 64 studies including 3668 shoulders and found the overall recurrent instability rates were 14.65% in the beach chair positioning patients as compared to 8.5% in the lateral decubitus positioning. Although the study reported decreased recurrence rates within the lateral decubitus group the differences in range of motion, return to activity, and Rowe scores between groups were not significant. Although patient positioning may be related to recurrent instability events it is important to recognize that these results do not necessarily suggest a more or less successful surgery as clinical outcome scores were similar and the fact that recurrence is a difficult measure of operative success based on the wide spectrum inherit to the term “instability.”</w:t>
      </w:r>
    </w:p>
    <w:p w14:paraId="55F62493" w14:textId="77777777" w:rsidR="00903EE8" w:rsidRDefault="00903EE8" w:rsidP="00903EE8">
      <w:pPr>
        <w:spacing w:line="360" w:lineRule="auto"/>
        <w:jc w:val="both"/>
      </w:pPr>
    </w:p>
    <w:p w14:paraId="5569516B" w14:textId="16F74065" w:rsidR="00A77B3E" w:rsidRPr="00903EE8" w:rsidRDefault="00903EE8">
      <w:pPr>
        <w:spacing w:line="360" w:lineRule="auto"/>
        <w:jc w:val="both"/>
        <w:rPr>
          <w:b/>
          <w:bCs/>
        </w:rPr>
      </w:pPr>
      <w:r w:rsidRPr="00903EE8">
        <w:rPr>
          <w:rFonts w:ascii="Book Antiqua" w:eastAsia="Book Antiqua" w:hAnsi="Book Antiqua" w:cs="Book Antiqua"/>
          <w:b/>
          <w:bCs/>
          <w:i/>
          <w:iCs/>
          <w:color w:val="000000"/>
        </w:rPr>
        <w:t>Portal placement</w:t>
      </w:r>
    </w:p>
    <w:p w14:paraId="44655A46" w14:textId="266E23CE" w:rsidR="00A77B3E" w:rsidRDefault="000252C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Optimal portal placement is crucial during the operative management of GHJ instability. With incorrect or inadequate portal placement the visualization into the joint can be severely compromised and can also dramatically increase the technical difficulty. Ideal placement of the portals allows for adequate visualization for proper diagnostic arthroscopy and eases the technical demands of anchor placement. Initial portal placement begins with standard posterior portal located roughly 2 cm inferior and 1 cm medial to the posterolateral corner of the acromion. Next, the anterosuperior (AS) portal is placed anterolateral to the edge of the acromion and lateral to the coracoid under direct visualization. Ideal intraarticular placement of this portal is just posterior to the insertion of the long head of the biceps. The primary purpose of the AS portal is to visualize the inferior, anterior, and posterior capsule while allowing for a thorough diagnostic scope to evaluate and recognize the anatomy of the shoulder. During this stage of the procedure the surgeon will evaluate the capsular volume, biceps tendon, glenohumeral ligaments, rotator cuff, and the anterior, posterior, and inferior labrum. Next, the anterior and posterior working portals can be created under direct visualization. During creation of these portals an “outside in” technique is utilized meaning a spinal needed is used to ensure ideal placement. For the anterior portal the needle should be placed between the </w:t>
      </w:r>
      <w:r>
        <w:rPr>
          <w:rFonts w:ascii="Book Antiqua" w:eastAsia="Book Antiqua" w:hAnsi="Book Antiqua" w:cs="Book Antiqua"/>
          <w:color w:val="000000"/>
        </w:rPr>
        <w:lastRenderedPageBreak/>
        <w:t xml:space="preserve">acromioclavicular joint and the lateral coracoid. Intraarticularly the needed will ideally pierce the capsule just superior to the subscapularis tendon directly parallel to the surface of the glenoid. The posterior portal is created slightly inferior to the arch of the acromion and directed towards the coracoid process. Proper placement of these portals will allow the surgeon to visually appreciate the entire </w:t>
      </w:r>
      <w:proofErr w:type="spellStart"/>
      <w:r>
        <w:rPr>
          <w:rFonts w:ascii="Book Antiqua" w:eastAsia="Book Antiqua" w:hAnsi="Book Antiqua" w:cs="Book Antiqua"/>
          <w:color w:val="000000"/>
        </w:rPr>
        <w:t>capsulolabral</w:t>
      </w:r>
      <w:proofErr w:type="spellEnd"/>
      <w:r>
        <w:rPr>
          <w:rFonts w:ascii="Book Antiqua" w:eastAsia="Book Antiqua" w:hAnsi="Book Antiqua" w:cs="Book Antiqua"/>
          <w:color w:val="000000"/>
        </w:rPr>
        <w:t xml:space="preserve"> complex.</w:t>
      </w:r>
    </w:p>
    <w:p w14:paraId="6A6069C1" w14:textId="77777777" w:rsidR="00903EE8" w:rsidRDefault="00903EE8">
      <w:pPr>
        <w:spacing w:line="360" w:lineRule="auto"/>
        <w:jc w:val="both"/>
      </w:pPr>
    </w:p>
    <w:p w14:paraId="7F45188D" w14:textId="558451E8" w:rsidR="00A77B3E" w:rsidRPr="00903EE8" w:rsidRDefault="000252C0">
      <w:pPr>
        <w:spacing w:line="360" w:lineRule="auto"/>
        <w:jc w:val="both"/>
        <w:rPr>
          <w:b/>
          <w:bCs/>
        </w:rPr>
      </w:pPr>
      <w:r w:rsidRPr="00903EE8">
        <w:rPr>
          <w:rFonts w:ascii="Book Antiqua" w:eastAsia="Book Antiqua" w:hAnsi="Book Antiqua" w:cs="Book Antiqua"/>
          <w:b/>
          <w:bCs/>
          <w:i/>
          <w:iCs/>
          <w:color w:val="000000"/>
        </w:rPr>
        <w:t>Labrum and</w:t>
      </w:r>
      <w:r w:rsidR="00903EE8" w:rsidRPr="00903EE8">
        <w:rPr>
          <w:rFonts w:ascii="Book Antiqua" w:eastAsia="Book Antiqua" w:hAnsi="Book Antiqua" w:cs="Book Antiqua"/>
          <w:b/>
          <w:bCs/>
          <w:i/>
          <w:iCs/>
          <w:color w:val="000000"/>
        </w:rPr>
        <w:t xml:space="preserve"> glenoid pr</w:t>
      </w:r>
      <w:r w:rsidRPr="00903EE8">
        <w:rPr>
          <w:rFonts w:ascii="Book Antiqua" w:eastAsia="Book Antiqua" w:hAnsi="Book Antiqua" w:cs="Book Antiqua"/>
          <w:b/>
          <w:bCs/>
          <w:i/>
          <w:iCs/>
          <w:color w:val="000000"/>
        </w:rPr>
        <w:t>eparation</w:t>
      </w:r>
    </w:p>
    <w:p w14:paraId="18CBD35C" w14:textId="50471FBA" w:rsidR="00A77B3E" w:rsidRDefault="000252C0" w:rsidP="00903E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Adequate labral preparation is a critical component of anterior GHJ instability repairs as error during this step may lead to recurrent instability due to inadequate </w:t>
      </w:r>
      <w:proofErr w:type="spellStart"/>
      <w:r>
        <w:rPr>
          <w:rFonts w:ascii="Book Antiqua" w:eastAsia="Book Antiqua" w:hAnsi="Book Antiqua" w:cs="Book Antiqua"/>
          <w:color w:val="000000"/>
        </w:rPr>
        <w:t>capsulolabral</w:t>
      </w:r>
      <w:proofErr w:type="spellEnd"/>
      <w:r>
        <w:rPr>
          <w:rFonts w:ascii="Book Antiqua" w:eastAsia="Book Antiqua" w:hAnsi="Book Antiqua" w:cs="Book Antiqua"/>
          <w:color w:val="000000"/>
        </w:rPr>
        <w:t xml:space="preserve"> plication. An elevator device can be used during this step to peel the labrum off the glenoid surface. After elevating the labrum from the glenoid neck a small shaver can be used to prepare the surface of the glenoid for anchor placement. Preparation of the labrum should be completed prior to preparation of the glenoid surface and anchor placement.</w:t>
      </w:r>
    </w:p>
    <w:p w14:paraId="5398F25E" w14:textId="77777777" w:rsidR="00903EE8" w:rsidRDefault="00903EE8" w:rsidP="00903EE8">
      <w:pPr>
        <w:spacing w:line="360" w:lineRule="auto"/>
        <w:jc w:val="both"/>
      </w:pPr>
    </w:p>
    <w:p w14:paraId="5E7826E5" w14:textId="0983DE4C" w:rsidR="00A77B3E" w:rsidRPr="00903EE8" w:rsidRDefault="00903EE8">
      <w:pPr>
        <w:spacing w:line="360" w:lineRule="auto"/>
        <w:jc w:val="both"/>
        <w:rPr>
          <w:b/>
          <w:bCs/>
        </w:rPr>
      </w:pPr>
      <w:r w:rsidRPr="00903EE8">
        <w:rPr>
          <w:rFonts w:ascii="Book Antiqua" w:eastAsia="Book Antiqua" w:hAnsi="Book Antiqua" w:cs="Book Antiqua"/>
          <w:b/>
          <w:bCs/>
          <w:i/>
          <w:iCs/>
          <w:color w:val="000000"/>
        </w:rPr>
        <w:t>Anchor placement</w:t>
      </w:r>
    </w:p>
    <w:p w14:paraId="4278FB0E" w14:textId="22F3BA64" w:rsidR="00A77B3E" w:rsidRDefault="000252C0" w:rsidP="00903E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Ideal anchor placement is below the 3 o’clock position placed 2-3 mm from the glenoid rim at a 45 degree angle relative to the anterior glenoid </w:t>
      </w:r>
      <w:proofErr w:type="gramStart"/>
      <w:r>
        <w:rPr>
          <w:rFonts w:ascii="Book Antiqua" w:eastAsia="Book Antiqua" w:hAnsi="Book Antiqua" w:cs="Book Antiqua"/>
          <w:color w:val="000000"/>
        </w:rPr>
        <w:t>rim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Anchors can then be placed approximately 7 mm apart. Based on the study performed by Boileau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at least 4 suture anchors should be utilized as 3 or fewer were found to be at higher risk for recurrent instability. During this stage of the procedure it is critical to achieve inferior anchor placement onto the glenoid. There are several portal positions and guides available to the surgeon to achieve this low placement however there remains no perfect option. A biomechanical study by Frank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reported on inferior anchor placement in 30 cadavers which were randomized into 3 test groups based on portal location and drill guide. The study found that there was no significant difference in ultimate load to failure among anchors placed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3 techniques. However, the authors did conclude that </w:t>
      </w:r>
      <w:proofErr w:type="spellStart"/>
      <w:r>
        <w:rPr>
          <w:rFonts w:ascii="Book Antiqua" w:eastAsia="Book Antiqua" w:hAnsi="Book Antiqua" w:cs="Book Antiqua"/>
          <w:color w:val="000000"/>
        </w:rPr>
        <w:t>midglenoid</w:t>
      </w:r>
      <w:proofErr w:type="spellEnd"/>
      <w:r>
        <w:rPr>
          <w:rFonts w:ascii="Book Antiqua" w:eastAsia="Book Antiqua" w:hAnsi="Book Antiqua" w:cs="Book Antiqua"/>
          <w:color w:val="000000"/>
        </w:rPr>
        <w:t xml:space="preserve"> portal anchors drilled with a straight or curved guide placed at the 5 o’clock position displayed significantly increased risk of opposite cortex perforation. Although </w:t>
      </w:r>
      <w:r>
        <w:rPr>
          <w:rFonts w:ascii="Book Antiqua" w:eastAsia="Book Antiqua" w:hAnsi="Book Antiqua" w:cs="Book Antiqua"/>
          <w:color w:val="000000"/>
        </w:rPr>
        <w:lastRenderedPageBreak/>
        <w:t xml:space="preserve">the clinical applicability of these findings remained unclear, the study prompted discussion regarding ideal patient positioning in order to visualize the inferior glenoid in order to place the inferior anchor. </w:t>
      </w:r>
    </w:p>
    <w:p w14:paraId="7B424B51" w14:textId="77777777" w:rsidR="00903EE8" w:rsidRDefault="00903EE8" w:rsidP="00903EE8">
      <w:pPr>
        <w:spacing w:line="360" w:lineRule="auto"/>
        <w:jc w:val="both"/>
      </w:pPr>
    </w:p>
    <w:p w14:paraId="36441616" w14:textId="39505D16" w:rsidR="00A77B3E" w:rsidRPr="00903EE8" w:rsidRDefault="000252C0">
      <w:pPr>
        <w:spacing w:line="360" w:lineRule="auto"/>
        <w:jc w:val="both"/>
        <w:rPr>
          <w:b/>
          <w:bCs/>
        </w:rPr>
      </w:pPr>
      <w:r w:rsidRPr="00903EE8">
        <w:rPr>
          <w:rFonts w:ascii="Book Antiqua" w:eastAsia="Book Antiqua" w:hAnsi="Book Antiqua" w:cs="Book Antiqua"/>
          <w:b/>
          <w:bCs/>
          <w:i/>
          <w:iCs/>
          <w:color w:val="000000"/>
        </w:rPr>
        <w:t>Rehabilitation</w:t>
      </w:r>
    </w:p>
    <w:p w14:paraId="6D102733" w14:textId="6CBC8E8F" w:rsidR="00A77B3E" w:rsidRDefault="000252C0" w:rsidP="00903EE8">
      <w:pPr>
        <w:spacing w:line="360" w:lineRule="auto"/>
        <w:jc w:val="both"/>
      </w:pPr>
      <w:r>
        <w:rPr>
          <w:rFonts w:ascii="Book Antiqua" w:eastAsia="Book Antiqua" w:hAnsi="Book Antiqua" w:cs="Book Antiqua"/>
          <w:color w:val="000000"/>
        </w:rPr>
        <w:t xml:space="preserve">The authors prefer an abduction sling post-operatively in order to keep the shoulder in neutral positioning. Physical therapy then begins 7-10 d post-operatively with passive and active </w:t>
      </w:r>
      <w:r w:rsidR="0095291E" w:rsidRPr="0095291E">
        <w:rPr>
          <w:rFonts w:ascii="Book Antiqua" w:eastAsia="Book Antiqua" w:hAnsi="Book Antiqua" w:cs="Book Antiqua"/>
          <w:color w:val="000000"/>
        </w:rPr>
        <w:t xml:space="preserve">range of motion </w:t>
      </w:r>
      <w:r w:rsidR="0095291E">
        <w:rPr>
          <w:rFonts w:ascii="Book Antiqua" w:eastAsia="Book Antiqua" w:hAnsi="Book Antiqua" w:cs="Book Antiqua"/>
          <w:color w:val="000000"/>
        </w:rPr>
        <w:t>(</w:t>
      </w:r>
      <w:r>
        <w:rPr>
          <w:rFonts w:ascii="Book Antiqua" w:eastAsia="Book Antiqua" w:hAnsi="Book Antiqua" w:cs="Book Antiqua"/>
          <w:color w:val="000000"/>
        </w:rPr>
        <w:t>ROM</w:t>
      </w:r>
      <w:r w:rsidR="0095291E">
        <w:rPr>
          <w:rFonts w:ascii="Book Antiqua" w:eastAsia="Book Antiqua" w:hAnsi="Book Antiqua" w:cs="Book Antiqua"/>
          <w:color w:val="000000"/>
        </w:rPr>
        <w:t>)</w:t>
      </w:r>
      <w:r>
        <w:rPr>
          <w:rFonts w:ascii="Book Antiqua" w:eastAsia="Book Antiqua" w:hAnsi="Book Antiqua" w:cs="Book Antiqua"/>
          <w:color w:val="000000"/>
        </w:rPr>
        <w:t xml:space="preserve"> for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(forward flexion to 130 degrees, external rotation to 30 degrees), ROM progression from 4-6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(forward flexion to 180 degrees, external rotation to 60 degrees), followed by resistive strengthening from 8-12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return to full sports and activities at 4-6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1FBCCE3C" w14:textId="77777777" w:rsidR="00A77B3E" w:rsidRDefault="00A77B3E" w:rsidP="00903EE8">
      <w:pPr>
        <w:spacing w:line="360" w:lineRule="auto"/>
        <w:jc w:val="both"/>
      </w:pPr>
    </w:p>
    <w:p w14:paraId="29408D45" w14:textId="77777777" w:rsidR="00A77B3E" w:rsidRDefault="000252C0">
      <w:pPr>
        <w:spacing w:line="360" w:lineRule="auto"/>
        <w:jc w:val="both"/>
      </w:pPr>
      <w:r>
        <w:rPr>
          <w:rFonts w:ascii="Book Antiqua" w:eastAsia="Book Antiqua" w:hAnsi="Book Antiqua" w:cs="Book Antiqua"/>
          <w:b/>
          <w:caps/>
          <w:color w:val="000000"/>
          <w:u w:val="single"/>
        </w:rPr>
        <w:t>CONCLUSION</w:t>
      </w:r>
    </w:p>
    <w:p w14:paraId="2C784FC2" w14:textId="49D27EC4" w:rsidR="00A77B3E" w:rsidRDefault="000252C0">
      <w:pPr>
        <w:spacing w:line="360" w:lineRule="auto"/>
        <w:jc w:val="both"/>
      </w:pPr>
      <w:r>
        <w:rPr>
          <w:rFonts w:ascii="Book Antiqua" w:eastAsia="Book Antiqua" w:hAnsi="Book Antiqua" w:cs="Book Antiqua"/>
          <w:color w:val="000000"/>
        </w:rPr>
        <w:t xml:space="preserve">Management of the patient with anterior shoulder instability is a common yet complex condition for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surgeon. To optimize the evaluation and management of these patients the provider must ensure a detailed and thorough clinical and radiographic workup, have a thorough understanding of the dynamic, static, and bony stabilizers of the GHJ, and understand the common causes of failed surgical intervention in order to address these concerns when appropriate.</w:t>
      </w:r>
    </w:p>
    <w:p w14:paraId="1E988817" w14:textId="77777777" w:rsidR="00A77B3E" w:rsidRDefault="00A77B3E">
      <w:pPr>
        <w:spacing w:line="360" w:lineRule="auto"/>
        <w:jc w:val="both"/>
      </w:pPr>
    </w:p>
    <w:p w14:paraId="5CA9A030" w14:textId="77777777" w:rsidR="00A77B3E" w:rsidRDefault="000252C0">
      <w:pPr>
        <w:spacing w:line="360" w:lineRule="auto"/>
        <w:jc w:val="both"/>
      </w:pPr>
      <w:r>
        <w:rPr>
          <w:rFonts w:ascii="Book Antiqua" w:eastAsia="Book Antiqua" w:hAnsi="Book Antiqua" w:cs="Book Antiqua"/>
          <w:b/>
          <w:color w:val="000000"/>
        </w:rPr>
        <w:t>REFERENCES</w:t>
      </w:r>
    </w:p>
    <w:p w14:paraId="7273365D" w14:textId="7075564D" w:rsidR="00A77B3E" w:rsidRDefault="000252C0">
      <w:pPr>
        <w:spacing w:line="360" w:lineRule="auto"/>
        <w:jc w:val="both"/>
      </w:pPr>
      <w:r w:rsidRPr="00A51F86">
        <w:rPr>
          <w:rFonts w:ascii="Book Antiqua" w:eastAsia="Book Antiqua" w:hAnsi="Book Antiqua" w:cs="Book Antiqua"/>
          <w:color w:val="000000"/>
          <w:highlight w:val="yellow"/>
        </w:rPr>
        <w:t xml:space="preserve">1 </w:t>
      </w:r>
      <w:proofErr w:type="spellStart"/>
      <w:r w:rsidRPr="00A51F86">
        <w:rPr>
          <w:rFonts w:ascii="Book Antiqua" w:eastAsia="Book Antiqua" w:hAnsi="Book Antiqua" w:cs="Book Antiqua"/>
          <w:b/>
          <w:bCs/>
          <w:color w:val="000000"/>
          <w:highlight w:val="yellow"/>
        </w:rPr>
        <w:t>Apostolakos</w:t>
      </w:r>
      <w:proofErr w:type="spellEnd"/>
      <w:r w:rsidRPr="00A51F86">
        <w:rPr>
          <w:rFonts w:ascii="Book Antiqua" w:eastAsia="Book Antiqua" w:hAnsi="Book Antiqua" w:cs="Book Antiqua"/>
          <w:b/>
          <w:bCs/>
          <w:color w:val="000000"/>
          <w:highlight w:val="yellow"/>
        </w:rPr>
        <w:t xml:space="preserve"> J</w:t>
      </w:r>
      <w:r w:rsidRPr="00A51F86">
        <w:rPr>
          <w:rFonts w:ascii="Book Antiqua" w:eastAsia="Book Antiqua" w:hAnsi="Book Antiqua" w:cs="Book Antiqua"/>
          <w:color w:val="000000"/>
          <w:highlight w:val="yellow"/>
        </w:rPr>
        <w:t xml:space="preserve">, Yang J, Hoberman A, Shoji M, </w:t>
      </w:r>
      <w:proofErr w:type="spellStart"/>
      <w:r w:rsidRPr="00A51F86">
        <w:rPr>
          <w:rFonts w:ascii="Book Antiqua" w:eastAsia="Book Antiqua" w:hAnsi="Book Antiqua" w:cs="Book Antiqua"/>
          <w:color w:val="000000"/>
          <w:highlight w:val="yellow"/>
        </w:rPr>
        <w:t>Weinreb</w:t>
      </w:r>
      <w:proofErr w:type="spellEnd"/>
      <w:r w:rsidRPr="00A51F86">
        <w:rPr>
          <w:rFonts w:ascii="Book Antiqua" w:eastAsia="Book Antiqua" w:hAnsi="Book Antiqua" w:cs="Book Antiqua"/>
          <w:color w:val="000000"/>
          <w:highlight w:val="yellow"/>
        </w:rPr>
        <w:t xml:space="preserve"> J, Voss A, </w:t>
      </w:r>
      <w:proofErr w:type="spellStart"/>
      <w:r w:rsidRPr="00A51F86">
        <w:rPr>
          <w:rFonts w:ascii="Book Antiqua" w:eastAsia="Book Antiqua" w:hAnsi="Book Antiqua" w:cs="Book Antiqua"/>
          <w:color w:val="000000"/>
          <w:highlight w:val="yellow"/>
        </w:rPr>
        <w:t>DiVenere</w:t>
      </w:r>
      <w:proofErr w:type="spellEnd"/>
      <w:r w:rsidRPr="00A51F86">
        <w:rPr>
          <w:rFonts w:ascii="Book Antiqua" w:eastAsia="Book Antiqua" w:hAnsi="Book Antiqua" w:cs="Book Antiqua"/>
          <w:color w:val="000000"/>
          <w:highlight w:val="yellow"/>
        </w:rPr>
        <w:t xml:space="preserve"> J, </w:t>
      </w:r>
      <w:proofErr w:type="spellStart"/>
      <w:r w:rsidRPr="00A51F86">
        <w:rPr>
          <w:rFonts w:ascii="Book Antiqua" w:eastAsia="Book Antiqua" w:hAnsi="Book Antiqua" w:cs="Book Antiqua"/>
          <w:color w:val="000000"/>
          <w:highlight w:val="yellow"/>
        </w:rPr>
        <w:t>Mazzocca</w:t>
      </w:r>
      <w:proofErr w:type="spellEnd"/>
      <w:r w:rsidRPr="00A51F86">
        <w:rPr>
          <w:rFonts w:ascii="Book Antiqua" w:eastAsia="Book Antiqua" w:hAnsi="Book Antiqua" w:cs="Book Antiqua"/>
          <w:color w:val="000000"/>
          <w:highlight w:val="yellow"/>
        </w:rPr>
        <w:t xml:space="preserve"> A. Glenoid Labrum. In: Bain G, </w:t>
      </w:r>
      <w:proofErr w:type="spellStart"/>
      <w:r w:rsidRPr="00A51F86">
        <w:rPr>
          <w:rFonts w:ascii="Book Antiqua" w:eastAsia="Book Antiqua" w:hAnsi="Book Antiqua" w:cs="Book Antiqua"/>
          <w:color w:val="000000"/>
          <w:highlight w:val="yellow"/>
        </w:rPr>
        <w:t>Itoi</w:t>
      </w:r>
      <w:proofErr w:type="spellEnd"/>
      <w:r w:rsidRPr="00A51F86">
        <w:rPr>
          <w:rFonts w:ascii="Book Antiqua" w:eastAsia="Book Antiqua" w:hAnsi="Book Antiqua" w:cs="Book Antiqua"/>
          <w:color w:val="000000"/>
          <w:highlight w:val="yellow"/>
        </w:rPr>
        <w:t xml:space="preserve"> E, Di Giacomo G, </w:t>
      </w:r>
      <w:proofErr w:type="spellStart"/>
      <w:r w:rsidRPr="00A51F86">
        <w:rPr>
          <w:rFonts w:ascii="Book Antiqua" w:eastAsia="Book Antiqua" w:hAnsi="Book Antiqua" w:cs="Book Antiqua"/>
          <w:color w:val="000000"/>
          <w:highlight w:val="yellow"/>
        </w:rPr>
        <w:t>Sugaya</w:t>
      </w:r>
      <w:proofErr w:type="spellEnd"/>
      <w:r w:rsidRPr="00A51F86">
        <w:rPr>
          <w:rFonts w:ascii="Book Antiqua" w:eastAsia="Book Antiqua" w:hAnsi="Book Antiqua" w:cs="Book Antiqua"/>
          <w:color w:val="000000"/>
          <w:highlight w:val="yellow"/>
        </w:rPr>
        <w:t xml:space="preserve"> H. Normal and Pathological Anatomy of the Shoulder. Springer</w:t>
      </w:r>
      <w:r w:rsidR="00A51F86" w:rsidRPr="00A51F86">
        <w:rPr>
          <w:rFonts w:ascii="Book Antiqua" w:eastAsia="Book Antiqua" w:hAnsi="Book Antiqua" w:cs="Book Antiqua"/>
          <w:color w:val="000000"/>
          <w:highlight w:val="yellow"/>
        </w:rPr>
        <w:t xml:space="preserve">, </w:t>
      </w:r>
      <w:r w:rsidRPr="00A51F86">
        <w:rPr>
          <w:rFonts w:ascii="Book Antiqua" w:eastAsia="Book Antiqua" w:hAnsi="Book Antiqua" w:cs="Book Antiqua"/>
          <w:color w:val="000000"/>
          <w:highlight w:val="yellow"/>
        </w:rPr>
        <w:t>2015:</w:t>
      </w:r>
      <w:r w:rsidR="00A51F86" w:rsidRPr="00A51F86">
        <w:rPr>
          <w:rFonts w:ascii="Book Antiqua" w:eastAsia="Book Antiqua" w:hAnsi="Book Antiqua" w:cs="Book Antiqua"/>
          <w:color w:val="000000"/>
          <w:highlight w:val="yellow"/>
        </w:rPr>
        <w:t xml:space="preserve"> </w:t>
      </w:r>
      <w:r w:rsidRPr="00A51F86">
        <w:rPr>
          <w:rFonts w:ascii="Book Antiqua" w:eastAsia="Book Antiqua" w:hAnsi="Book Antiqua" w:cs="Book Antiqua"/>
          <w:color w:val="000000"/>
          <w:highlight w:val="yellow"/>
        </w:rPr>
        <w:t>83-91</w:t>
      </w:r>
    </w:p>
    <w:p w14:paraId="48F98153" w14:textId="77777777" w:rsidR="00A77B3E" w:rsidRDefault="000252C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Campbell SE, Cameron KL. Risk factors for anterior glenohumeral instability.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2591-2596 [PMID: 25248922 DOI: 10.1177/0363546514551149]</w:t>
      </w:r>
    </w:p>
    <w:p w14:paraId="26E32A97" w14:textId="77777777" w:rsidR="00A77B3E" w:rsidRDefault="000252C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Duffey ML, Nelson BJ, </w:t>
      </w:r>
      <w:proofErr w:type="spellStart"/>
      <w:r>
        <w:rPr>
          <w:rFonts w:ascii="Book Antiqua" w:eastAsia="Book Antiqua" w:hAnsi="Book Antiqua" w:cs="Book Antiqua"/>
          <w:color w:val="000000"/>
        </w:rPr>
        <w:t>DeBerardino</w:t>
      </w:r>
      <w:proofErr w:type="spellEnd"/>
      <w:r>
        <w:rPr>
          <w:rFonts w:ascii="Book Antiqua" w:eastAsia="Book Antiqua" w:hAnsi="Book Antiqua" w:cs="Book Antiqua"/>
          <w:color w:val="000000"/>
        </w:rPr>
        <w:t xml:space="preserve"> TM, Taylor DC, </w:t>
      </w:r>
      <w:proofErr w:type="spellStart"/>
      <w:r>
        <w:rPr>
          <w:rFonts w:ascii="Book Antiqua" w:eastAsia="Book Antiqua" w:hAnsi="Book Antiqua" w:cs="Book Antiqua"/>
          <w:color w:val="000000"/>
        </w:rPr>
        <w:t>Mountcastle</w:t>
      </w:r>
      <w:proofErr w:type="spellEnd"/>
      <w:r>
        <w:rPr>
          <w:rFonts w:ascii="Book Antiqua" w:eastAsia="Book Antiqua" w:hAnsi="Book Antiqua" w:cs="Book Antiqua"/>
          <w:color w:val="000000"/>
        </w:rPr>
        <w:t xml:space="preserve"> SB. The incidence and characteristics of shoulder instability at the United States Military </w:t>
      </w:r>
      <w:r>
        <w:rPr>
          <w:rFonts w:ascii="Book Antiqua" w:eastAsia="Book Antiqua" w:hAnsi="Book Antiqua" w:cs="Book Antiqua"/>
          <w:color w:val="000000"/>
        </w:rPr>
        <w:lastRenderedPageBreak/>
        <w:t xml:space="preserve">Academy.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1168-1173 [PMID: 17581976 DOI: 10.1177/0363546506295179]</w:t>
      </w:r>
    </w:p>
    <w:p w14:paraId="73E5A9BC" w14:textId="77777777" w:rsidR="00A77B3E" w:rsidRDefault="000252C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Cameron KL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Mountcastle</w:t>
      </w:r>
      <w:proofErr w:type="spellEnd"/>
      <w:r>
        <w:rPr>
          <w:rFonts w:ascii="Book Antiqua" w:eastAsia="Book Antiqua" w:hAnsi="Book Antiqua" w:cs="Book Antiqua"/>
          <w:color w:val="000000"/>
        </w:rPr>
        <w:t xml:space="preserve"> SB, Nelson BJ, </w:t>
      </w:r>
      <w:proofErr w:type="spellStart"/>
      <w:r>
        <w:rPr>
          <w:rFonts w:ascii="Book Antiqua" w:eastAsia="Book Antiqua" w:hAnsi="Book Antiqua" w:cs="Book Antiqua"/>
          <w:color w:val="000000"/>
        </w:rPr>
        <w:t>DeBerardino</w:t>
      </w:r>
      <w:proofErr w:type="spellEnd"/>
      <w:r>
        <w:rPr>
          <w:rFonts w:ascii="Book Antiqua" w:eastAsia="Book Antiqua" w:hAnsi="Book Antiqua" w:cs="Book Antiqua"/>
          <w:color w:val="000000"/>
        </w:rPr>
        <w:t xml:space="preserve"> TM, Duffey ML, Svoboda SJ, Owens BD. History of shoulder instability and subsequent injury during four years of follow-up: a survival analysis.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439-445 [PMID: 23467867 DOI: 10.2106/JBJS.L.00252]</w:t>
      </w:r>
    </w:p>
    <w:p w14:paraId="4CAD8B0E" w14:textId="77777777" w:rsidR="00A77B3E" w:rsidRDefault="000252C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Mountcastle</w:t>
      </w:r>
      <w:proofErr w:type="spellEnd"/>
      <w:r>
        <w:rPr>
          <w:rFonts w:ascii="Book Antiqua" w:eastAsia="Book Antiqua" w:hAnsi="Book Antiqua" w:cs="Book Antiqua"/>
          <w:color w:val="000000"/>
        </w:rPr>
        <w:t xml:space="preserve"> SB, Cameron KL, Nelson BJ. Incidence of glenohumeral instability in collegiate athletics.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1750-1754 [PMID: 19556471 DOI: 10.1177/0363546509334591]</w:t>
      </w:r>
    </w:p>
    <w:p w14:paraId="38BC785F" w14:textId="77777777" w:rsidR="00A77B3E" w:rsidRDefault="000252C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Kerr ZY</w:t>
      </w:r>
      <w:r>
        <w:rPr>
          <w:rFonts w:ascii="Book Antiqua" w:eastAsia="Book Antiqua" w:hAnsi="Book Antiqua" w:cs="Book Antiqua"/>
          <w:color w:val="000000"/>
        </w:rPr>
        <w:t xml:space="preserve">, Collins CL, </w:t>
      </w:r>
      <w:proofErr w:type="spellStart"/>
      <w:r>
        <w:rPr>
          <w:rFonts w:ascii="Book Antiqua" w:eastAsia="Book Antiqua" w:hAnsi="Book Antiqua" w:cs="Book Antiqua"/>
          <w:color w:val="000000"/>
        </w:rPr>
        <w:t>Pommering</w:t>
      </w:r>
      <w:proofErr w:type="spellEnd"/>
      <w:r>
        <w:rPr>
          <w:rFonts w:ascii="Book Antiqua" w:eastAsia="Book Antiqua" w:hAnsi="Book Antiqua" w:cs="Book Antiqua"/>
          <w:color w:val="000000"/>
        </w:rPr>
        <w:t xml:space="preserve"> TL, Fields SK, Comstock RD. Dislocation/separation injuries among US high school athletes in 9 selected sports: 2005-2009. </w:t>
      </w:r>
      <w:r>
        <w:rPr>
          <w:rFonts w:ascii="Book Antiqua" w:eastAsia="Book Antiqua" w:hAnsi="Book Antiqua" w:cs="Book Antiqua"/>
          <w:i/>
          <w:iCs/>
          <w:color w:val="000000"/>
        </w:rPr>
        <w:t>Clin J Sport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101-108 [PMID: 21358499 DOI: 10.1097/JSM.0b013e31820bd1b6]</w:t>
      </w:r>
    </w:p>
    <w:p w14:paraId="316297A6" w14:textId="77777777" w:rsidR="00A77B3E" w:rsidRDefault="000252C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Frank RM</w:t>
      </w:r>
      <w:r>
        <w:rPr>
          <w:rFonts w:ascii="Book Antiqua" w:eastAsia="Book Antiqua" w:hAnsi="Book Antiqua" w:cs="Book Antiqua"/>
          <w:color w:val="000000"/>
        </w:rPr>
        <w:t xml:space="preserve">, Romeo AA. Arthroscopic soft tissue reconstruction in anterior shoulder instability. </w:t>
      </w:r>
      <w:proofErr w:type="spellStart"/>
      <w:r>
        <w:rPr>
          <w:rFonts w:ascii="Book Antiqua" w:eastAsia="Book Antiqua" w:hAnsi="Book Antiqua" w:cs="Book Antiqua"/>
          <w:i/>
          <w:iCs/>
          <w:color w:val="000000"/>
        </w:rPr>
        <w:t>Orthopade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121-128 [PMID: 29435624 DOI: 10.1007/s00132-018-3532-9]</w:t>
      </w:r>
    </w:p>
    <w:p w14:paraId="2E608B8E" w14:textId="77777777" w:rsidR="00A77B3E" w:rsidRDefault="000252C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Krøner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Lind T, Jensen J. The epidemiology of shoulder dislocations.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Surg</w:t>
      </w:r>
      <w:r>
        <w:rPr>
          <w:rFonts w:ascii="Book Antiqua" w:eastAsia="Book Antiqua" w:hAnsi="Book Antiqua" w:cs="Book Antiqua"/>
          <w:color w:val="000000"/>
        </w:rPr>
        <w:t xml:space="preserve"> 1989; </w:t>
      </w:r>
      <w:r>
        <w:rPr>
          <w:rFonts w:ascii="Book Antiqua" w:eastAsia="Book Antiqua" w:hAnsi="Book Antiqua" w:cs="Book Antiqua"/>
          <w:b/>
          <w:bCs/>
          <w:color w:val="000000"/>
        </w:rPr>
        <w:t>108</w:t>
      </w:r>
      <w:r>
        <w:rPr>
          <w:rFonts w:ascii="Book Antiqua" w:eastAsia="Book Antiqua" w:hAnsi="Book Antiqua" w:cs="Book Antiqua"/>
          <w:color w:val="000000"/>
        </w:rPr>
        <w:t>: 288-290 [PMID: 2789505 DOI: 10.1007/BF00932317]</w:t>
      </w:r>
    </w:p>
    <w:p w14:paraId="48D68EAB" w14:textId="77777777" w:rsidR="00A77B3E" w:rsidRDefault="000252C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Yeap</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Lee DJ, </w:t>
      </w:r>
      <w:proofErr w:type="spellStart"/>
      <w:r>
        <w:rPr>
          <w:rFonts w:ascii="Book Antiqua" w:eastAsia="Book Antiqua" w:hAnsi="Book Antiqua" w:cs="Book Antiqua"/>
          <w:color w:val="000000"/>
        </w:rPr>
        <w:t>Fazir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Borhan</w:t>
      </w:r>
      <w:proofErr w:type="spellEnd"/>
      <w:r>
        <w:rPr>
          <w:rFonts w:ascii="Book Antiqua" w:eastAsia="Book Antiqua" w:hAnsi="Book Antiqua" w:cs="Book Antiqua"/>
          <w:color w:val="000000"/>
        </w:rPr>
        <w:t xml:space="preserve"> TA, Kareem BA. The epidemiology of shoulder dislocations in Malaysia. </w:t>
      </w:r>
      <w:r>
        <w:rPr>
          <w:rFonts w:ascii="Book Antiqua" w:eastAsia="Book Antiqua" w:hAnsi="Book Antiqua" w:cs="Book Antiqua"/>
          <w:i/>
          <w:iCs/>
          <w:color w:val="000000"/>
        </w:rPr>
        <w:t>Med J Malaysia</w:t>
      </w:r>
      <w:r>
        <w:rPr>
          <w:rFonts w:ascii="Book Antiqua" w:eastAsia="Book Antiqua" w:hAnsi="Book Antiqua" w:cs="Book Antiqua"/>
          <w:color w:val="000000"/>
        </w:rPr>
        <w:t xml:space="preserve"> 2004; </w:t>
      </w:r>
      <w:r>
        <w:rPr>
          <w:rFonts w:ascii="Book Antiqua" w:eastAsia="Book Antiqua" w:hAnsi="Book Antiqua" w:cs="Book Antiqua"/>
          <w:b/>
          <w:bCs/>
          <w:color w:val="000000"/>
        </w:rPr>
        <w:t>59 Suppl F</w:t>
      </w:r>
      <w:r>
        <w:rPr>
          <w:rFonts w:ascii="Book Antiqua" w:eastAsia="Book Antiqua" w:hAnsi="Book Antiqua" w:cs="Book Antiqua"/>
          <w:color w:val="000000"/>
        </w:rPr>
        <w:t>: 19-23 [PMID: 15941156]</w:t>
      </w:r>
    </w:p>
    <w:p w14:paraId="6A2C05EB" w14:textId="77777777" w:rsidR="00A77B3E" w:rsidRDefault="000252C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Trojan JD</w:t>
      </w:r>
      <w:r>
        <w:rPr>
          <w:rFonts w:ascii="Book Antiqua" w:eastAsia="Book Antiqua" w:hAnsi="Book Antiqua" w:cs="Book Antiqua"/>
          <w:color w:val="000000"/>
        </w:rPr>
        <w:t xml:space="preserve">, Meyer LE, Edgar CM, Brown SM, </w:t>
      </w:r>
      <w:proofErr w:type="spellStart"/>
      <w:r>
        <w:rPr>
          <w:rFonts w:ascii="Book Antiqua" w:eastAsia="Book Antiqua" w:hAnsi="Book Antiqua" w:cs="Book Antiqua"/>
          <w:color w:val="000000"/>
        </w:rPr>
        <w:t>Mulcahey</w:t>
      </w:r>
      <w:proofErr w:type="spellEnd"/>
      <w:r>
        <w:rPr>
          <w:rFonts w:ascii="Book Antiqua" w:eastAsia="Book Antiqua" w:hAnsi="Book Antiqua" w:cs="Book Antiqua"/>
          <w:color w:val="000000"/>
        </w:rPr>
        <w:t xml:space="preserve"> MK. Epidemiology of Shoulder Instability Injuries in Collision Collegiate Sports From 2009 to 2014.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36-43 [PMID: 31864594 DOI: 10.1016/j.arthro.2019.07.008]</w:t>
      </w:r>
    </w:p>
    <w:p w14:paraId="35EBF35F" w14:textId="77777777" w:rsidR="00A77B3E" w:rsidRDefault="000252C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Kraeutler</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McCarty EC, Belk JW, Wolf BR, </w:t>
      </w:r>
      <w:proofErr w:type="spellStart"/>
      <w:r>
        <w:rPr>
          <w:rFonts w:ascii="Book Antiqua" w:eastAsia="Book Antiqua" w:hAnsi="Book Antiqua" w:cs="Book Antiqua"/>
          <w:color w:val="000000"/>
        </w:rPr>
        <w:t>Hettrich</w:t>
      </w:r>
      <w:proofErr w:type="spellEnd"/>
      <w:r>
        <w:rPr>
          <w:rFonts w:ascii="Book Antiqua" w:eastAsia="Book Antiqua" w:hAnsi="Book Antiqua" w:cs="Book Antiqua"/>
          <w:color w:val="000000"/>
        </w:rPr>
        <w:t xml:space="preserve"> CM, Ortiz SF; MOON Shoulder Instability Group, </w:t>
      </w:r>
      <w:proofErr w:type="spellStart"/>
      <w:r>
        <w:rPr>
          <w:rFonts w:ascii="Book Antiqua" w:eastAsia="Book Antiqua" w:hAnsi="Book Antiqua" w:cs="Book Antiqua"/>
          <w:color w:val="000000"/>
        </w:rPr>
        <w:t>Bravman</w:t>
      </w:r>
      <w:proofErr w:type="spellEnd"/>
      <w:r>
        <w:rPr>
          <w:rFonts w:ascii="Book Antiqua" w:eastAsia="Book Antiqua" w:hAnsi="Book Antiqua" w:cs="Book Antiqua"/>
          <w:color w:val="000000"/>
        </w:rPr>
        <w:t xml:space="preserve"> JT, Baumgarten KM, Bishop JY, </w:t>
      </w:r>
      <w:proofErr w:type="spellStart"/>
      <w:r>
        <w:rPr>
          <w:rFonts w:ascii="Book Antiqua" w:eastAsia="Book Antiqua" w:hAnsi="Book Antiqua" w:cs="Book Antiqua"/>
          <w:color w:val="000000"/>
        </w:rPr>
        <w:t>Bollier</w:t>
      </w:r>
      <w:proofErr w:type="spellEnd"/>
      <w:r>
        <w:rPr>
          <w:rFonts w:ascii="Book Antiqua" w:eastAsia="Book Antiqua" w:hAnsi="Book Antiqua" w:cs="Book Antiqua"/>
          <w:color w:val="000000"/>
        </w:rPr>
        <w:t xml:space="preserve"> MJ, Brophy RH, Carey JL, Carpenter JE, Cox CL, Feeley BT, Grant JA, Jones GL, Kuhn JE, Kelly JD, Ma CB, Marx RG, Miller BS, Sennett BJ, Smith MV, Wright RW, Zhang AL. Descriptive Epidemiology of the MOON Shoulder Instability Cohort.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1064-1069 [PMID: 29505730 DOI: 10.1177/0363546518755752]</w:t>
      </w:r>
    </w:p>
    <w:p w14:paraId="37E445AD" w14:textId="77777777" w:rsidR="00A77B3E" w:rsidRDefault="000252C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Romeo AA</w:t>
      </w:r>
      <w:r>
        <w:rPr>
          <w:rFonts w:ascii="Book Antiqua" w:eastAsia="Book Antiqua" w:hAnsi="Book Antiqua" w:cs="Book Antiqua"/>
          <w:color w:val="000000"/>
        </w:rPr>
        <w:t xml:space="preserve">, Cohen BS, </w:t>
      </w:r>
      <w:proofErr w:type="spellStart"/>
      <w:r>
        <w:rPr>
          <w:rFonts w:ascii="Book Antiqua" w:eastAsia="Book Antiqua" w:hAnsi="Book Antiqua" w:cs="Book Antiqua"/>
          <w:color w:val="000000"/>
        </w:rPr>
        <w:t>Carreira</w:t>
      </w:r>
      <w:proofErr w:type="spellEnd"/>
      <w:r>
        <w:rPr>
          <w:rFonts w:ascii="Book Antiqua" w:eastAsia="Book Antiqua" w:hAnsi="Book Antiqua" w:cs="Book Antiqua"/>
          <w:color w:val="000000"/>
        </w:rPr>
        <w:t xml:space="preserve"> DS. Traumatic anterior shoulder instability.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2001; </w:t>
      </w:r>
      <w:r>
        <w:rPr>
          <w:rFonts w:ascii="Book Antiqua" w:eastAsia="Book Antiqua" w:hAnsi="Book Antiqua" w:cs="Book Antiqua"/>
          <w:b/>
          <w:bCs/>
          <w:color w:val="000000"/>
        </w:rPr>
        <w:t>32</w:t>
      </w:r>
      <w:r>
        <w:rPr>
          <w:rFonts w:ascii="Book Antiqua" w:eastAsia="Book Antiqua" w:hAnsi="Book Antiqua" w:cs="Book Antiqua"/>
          <w:color w:val="000000"/>
        </w:rPr>
        <w:t>: 399-409 [PMID: 11888135 DOI: 10.1016/s0030-5898(05)70209-1]</w:t>
      </w:r>
    </w:p>
    <w:p w14:paraId="4B51C03C" w14:textId="3CE2BC3E" w:rsidR="00A77B3E" w:rsidRDefault="000252C0">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Bishop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Crall</w:t>
      </w:r>
      <w:proofErr w:type="spellEnd"/>
      <w:r>
        <w:rPr>
          <w:rFonts w:ascii="Book Antiqua" w:eastAsia="Book Antiqua" w:hAnsi="Book Antiqua" w:cs="Book Antiqua"/>
          <w:color w:val="000000"/>
        </w:rPr>
        <w:t xml:space="preserve"> TS, Kocher MS. Operative </w:t>
      </w:r>
      <w:r w:rsidRPr="00566A97">
        <w:rPr>
          <w:rFonts w:ascii="Book Antiqua" w:eastAsia="Book Antiqua" w:hAnsi="Book Antiqua" w:cs="Book Antiqua"/>
          <w:color w:val="000000"/>
        </w:rPr>
        <w:t>v</w:t>
      </w:r>
      <w:r w:rsidR="00566A97">
        <w:rPr>
          <w:rFonts w:ascii="Book Antiqua" w:eastAsia="Book Antiqua" w:hAnsi="Book Antiqua" w:cs="Book Antiqua"/>
          <w:color w:val="000000"/>
        </w:rPr>
        <w:t>ersu</w:t>
      </w:r>
      <w:r w:rsidRPr="00566A97">
        <w:rPr>
          <w:rFonts w:ascii="Book Antiqua" w:eastAsia="Book Antiqua" w:hAnsi="Book Antiqua" w:cs="Book Antiqua"/>
          <w:color w:val="000000"/>
        </w:rPr>
        <w:t>s</w:t>
      </w:r>
      <w:r>
        <w:rPr>
          <w:rFonts w:ascii="Book Antiqua" w:eastAsia="Book Antiqua" w:hAnsi="Book Antiqua" w:cs="Book Antiqua"/>
          <w:color w:val="000000"/>
        </w:rPr>
        <w:t xml:space="preserve"> nonoperative treatment after primary traumatic anterior glenohumeral dislocation: expected-value decision analysis.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1087-1094 [PMID: 21530321 DOI: 10.1016/j.jse.2011.01.031]</w:t>
      </w:r>
    </w:p>
    <w:p w14:paraId="1A489517" w14:textId="543F9D74" w:rsidR="00A77B3E" w:rsidRDefault="000252C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Handoll</w:t>
      </w:r>
      <w:proofErr w:type="spellEnd"/>
      <w:r>
        <w:rPr>
          <w:rFonts w:ascii="Book Antiqua" w:eastAsia="Book Antiqua" w:hAnsi="Book Antiqua" w:cs="Book Antiqua"/>
          <w:b/>
          <w:bCs/>
          <w:color w:val="000000"/>
        </w:rPr>
        <w:t xml:space="preserve"> 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Almaiyah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Rangan</w:t>
      </w:r>
      <w:proofErr w:type="spellEnd"/>
      <w:r>
        <w:rPr>
          <w:rFonts w:ascii="Book Antiqua" w:eastAsia="Book Antiqua" w:hAnsi="Book Antiqua" w:cs="Book Antiqua"/>
          <w:color w:val="000000"/>
        </w:rPr>
        <w:t xml:space="preserve"> A. Surgical </w:t>
      </w:r>
      <w:r w:rsidR="00566A97" w:rsidRPr="00566A97">
        <w:rPr>
          <w:rFonts w:ascii="Book Antiqua" w:eastAsia="Book Antiqua" w:hAnsi="Book Antiqua" w:cs="Book Antiqua"/>
          <w:color w:val="000000"/>
        </w:rPr>
        <w:t>v</w:t>
      </w:r>
      <w:r w:rsidR="00566A97">
        <w:rPr>
          <w:rFonts w:ascii="Book Antiqua" w:eastAsia="Book Antiqua" w:hAnsi="Book Antiqua" w:cs="Book Antiqua"/>
          <w:color w:val="000000"/>
        </w:rPr>
        <w:t>ersu</w:t>
      </w:r>
      <w:r w:rsidR="00566A97" w:rsidRPr="00566A97">
        <w:rPr>
          <w:rFonts w:ascii="Book Antiqua" w:eastAsia="Book Antiqua" w:hAnsi="Book Antiqua" w:cs="Book Antiqua"/>
          <w:color w:val="000000"/>
        </w:rPr>
        <w:t>s</w:t>
      </w:r>
      <w:r>
        <w:rPr>
          <w:rFonts w:ascii="Book Antiqua" w:eastAsia="Book Antiqua" w:hAnsi="Book Antiqua" w:cs="Book Antiqua"/>
          <w:color w:val="000000"/>
        </w:rPr>
        <w:t xml:space="preserve"> non-surgical treatment for acute anterior shoulder dislocation.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2004: CD004325 [PMID: 14974064 DOI: 10.1002/14651858.CD004325.pub2]</w:t>
      </w:r>
    </w:p>
    <w:p w14:paraId="6D8C5E48" w14:textId="77777777" w:rsidR="00A77B3E" w:rsidRDefault="000252C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Howell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Galinat</w:t>
      </w:r>
      <w:proofErr w:type="spellEnd"/>
      <w:r>
        <w:rPr>
          <w:rFonts w:ascii="Book Antiqua" w:eastAsia="Book Antiqua" w:hAnsi="Book Antiqua" w:cs="Book Antiqua"/>
          <w:color w:val="000000"/>
        </w:rPr>
        <w:t xml:space="preserve"> BJ, Renzi AJ, </w:t>
      </w:r>
      <w:proofErr w:type="spellStart"/>
      <w:r>
        <w:rPr>
          <w:rFonts w:ascii="Book Antiqua" w:eastAsia="Book Antiqua" w:hAnsi="Book Antiqua" w:cs="Book Antiqua"/>
          <w:color w:val="000000"/>
        </w:rPr>
        <w:t>Marone</w:t>
      </w:r>
      <w:proofErr w:type="spellEnd"/>
      <w:r>
        <w:rPr>
          <w:rFonts w:ascii="Book Antiqua" w:eastAsia="Book Antiqua" w:hAnsi="Book Antiqua" w:cs="Book Antiqua"/>
          <w:color w:val="000000"/>
        </w:rPr>
        <w:t xml:space="preserve"> PJ. Normal and abnormal mechanics of the glenohumeral joint in the horizontal plane.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1988; </w:t>
      </w:r>
      <w:r>
        <w:rPr>
          <w:rFonts w:ascii="Book Antiqua" w:eastAsia="Book Antiqua" w:hAnsi="Book Antiqua" w:cs="Book Antiqua"/>
          <w:b/>
          <w:bCs/>
          <w:color w:val="000000"/>
        </w:rPr>
        <w:t>70</w:t>
      </w:r>
      <w:r>
        <w:rPr>
          <w:rFonts w:ascii="Book Antiqua" w:eastAsia="Book Antiqua" w:hAnsi="Book Antiqua" w:cs="Book Antiqua"/>
          <w:color w:val="000000"/>
        </w:rPr>
        <w:t>: 227-232 [PMID: 3343267]</w:t>
      </w:r>
    </w:p>
    <w:p w14:paraId="3D09E292" w14:textId="77777777" w:rsidR="00A77B3E" w:rsidRDefault="000252C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Newman SR, </w:t>
      </w:r>
      <w:proofErr w:type="spellStart"/>
      <w:r>
        <w:rPr>
          <w:rFonts w:ascii="Book Antiqua" w:eastAsia="Book Antiqua" w:hAnsi="Book Antiqua" w:cs="Book Antiqua"/>
          <w:color w:val="000000"/>
        </w:rPr>
        <w:t>Kuechle</w:t>
      </w:r>
      <w:proofErr w:type="spellEnd"/>
      <w:r>
        <w:rPr>
          <w:rFonts w:ascii="Book Antiqua" w:eastAsia="Book Antiqua" w:hAnsi="Book Antiqua" w:cs="Book Antiqua"/>
          <w:color w:val="000000"/>
        </w:rPr>
        <w:t xml:space="preserve"> DK, Morrey BF, An KN. Dynamic anterior </w:t>
      </w:r>
      <w:proofErr w:type="spellStart"/>
      <w:r>
        <w:rPr>
          <w:rFonts w:ascii="Book Antiqua" w:eastAsia="Book Antiqua" w:hAnsi="Book Antiqua" w:cs="Book Antiqua"/>
          <w:color w:val="000000"/>
        </w:rPr>
        <w:t>stabilisers</w:t>
      </w:r>
      <w:proofErr w:type="spellEnd"/>
      <w:r>
        <w:rPr>
          <w:rFonts w:ascii="Book Antiqua" w:eastAsia="Book Antiqua" w:hAnsi="Book Antiqua" w:cs="Book Antiqua"/>
          <w:color w:val="000000"/>
        </w:rPr>
        <w:t xml:space="preserve"> of the shoulder with the arm in abduction.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1994; </w:t>
      </w:r>
      <w:r>
        <w:rPr>
          <w:rFonts w:ascii="Book Antiqua" w:eastAsia="Book Antiqua" w:hAnsi="Book Antiqua" w:cs="Book Antiqua"/>
          <w:b/>
          <w:bCs/>
          <w:color w:val="000000"/>
        </w:rPr>
        <w:t>76</w:t>
      </w:r>
      <w:r>
        <w:rPr>
          <w:rFonts w:ascii="Book Antiqua" w:eastAsia="Book Antiqua" w:hAnsi="Book Antiqua" w:cs="Book Antiqua"/>
          <w:color w:val="000000"/>
        </w:rPr>
        <w:t>: 834-836 [PMID: 8083280]</w:t>
      </w:r>
    </w:p>
    <w:p w14:paraId="3F45E2F7" w14:textId="77777777" w:rsidR="00A77B3E" w:rsidRDefault="000252C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Karduna</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Williams GR, Williams JL, </w:t>
      </w:r>
      <w:proofErr w:type="spellStart"/>
      <w:r>
        <w:rPr>
          <w:rFonts w:ascii="Book Antiqua" w:eastAsia="Book Antiqua" w:hAnsi="Book Antiqua" w:cs="Book Antiqua"/>
          <w:color w:val="000000"/>
        </w:rPr>
        <w:t>Iannotti</w:t>
      </w:r>
      <w:proofErr w:type="spellEnd"/>
      <w:r>
        <w:rPr>
          <w:rFonts w:ascii="Book Antiqua" w:eastAsia="Book Antiqua" w:hAnsi="Book Antiqua" w:cs="Book Antiqua"/>
          <w:color w:val="000000"/>
        </w:rPr>
        <w:t xml:space="preserve"> JP. Kinematics of the glenohumeral joint: influences of muscle forces, ligamentous constraints, and articular geometry.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1996; </w:t>
      </w:r>
      <w:r>
        <w:rPr>
          <w:rFonts w:ascii="Book Antiqua" w:eastAsia="Book Antiqua" w:hAnsi="Book Antiqua" w:cs="Book Antiqua"/>
          <w:b/>
          <w:bCs/>
          <w:color w:val="000000"/>
        </w:rPr>
        <w:t>14</w:t>
      </w:r>
      <w:r>
        <w:rPr>
          <w:rFonts w:ascii="Book Antiqua" w:eastAsia="Book Antiqua" w:hAnsi="Book Antiqua" w:cs="Book Antiqua"/>
          <w:color w:val="000000"/>
        </w:rPr>
        <w:t>: 986-993 [PMID: 8982143 DOI: 10.1002/jor.1100140620]</w:t>
      </w:r>
    </w:p>
    <w:p w14:paraId="7720F518" w14:textId="77777777" w:rsidR="00A77B3E" w:rsidRDefault="000252C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Kelkar R</w:t>
      </w:r>
      <w:r>
        <w:rPr>
          <w:rFonts w:ascii="Book Antiqua" w:eastAsia="Book Antiqua" w:hAnsi="Book Antiqua" w:cs="Book Antiqua"/>
          <w:color w:val="000000"/>
        </w:rPr>
        <w:t xml:space="preserve">, Wang VM, </w:t>
      </w:r>
      <w:proofErr w:type="spellStart"/>
      <w:r>
        <w:rPr>
          <w:rFonts w:ascii="Book Antiqua" w:eastAsia="Book Antiqua" w:hAnsi="Book Antiqua" w:cs="Book Antiqua"/>
          <w:color w:val="000000"/>
        </w:rPr>
        <w:t>Flatow</w:t>
      </w:r>
      <w:proofErr w:type="spellEnd"/>
      <w:r>
        <w:rPr>
          <w:rFonts w:ascii="Book Antiqua" w:eastAsia="Book Antiqua" w:hAnsi="Book Antiqua" w:cs="Book Antiqua"/>
          <w:color w:val="000000"/>
        </w:rPr>
        <w:t xml:space="preserve"> EL, Newton PM, </w:t>
      </w:r>
      <w:proofErr w:type="spellStart"/>
      <w:r>
        <w:rPr>
          <w:rFonts w:ascii="Book Antiqua" w:eastAsia="Book Antiqua" w:hAnsi="Book Antiqua" w:cs="Book Antiqua"/>
          <w:color w:val="000000"/>
        </w:rPr>
        <w:t>Ateshian</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Bigliani</w:t>
      </w:r>
      <w:proofErr w:type="spellEnd"/>
      <w:r>
        <w:rPr>
          <w:rFonts w:ascii="Book Antiqua" w:eastAsia="Book Antiqua" w:hAnsi="Book Antiqua" w:cs="Book Antiqua"/>
          <w:color w:val="000000"/>
        </w:rPr>
        <w:t xml:space="preserve"> LU, </w:t>
      </w:r>
      <w:proofErr w:type="spellStart"/>
      <w:r>
        <w:rPr>
          <w:rFonts w:ascii="Book Antiqua" w:eastAsia="Book Antiqua" w:hAnsi="Book Antiqua" w:cs="Book Antiqua"/>
          <w:color w:val="000000"/>
        </w:rPr>
        <w:t>Pawluk</w:t>
      </w:r>
      <w:proofErr w:type="spellEnd"/>
      <w:r>
        <w:rPr>
          <w:rFonts w:ascii="Book Antiqua" w:eastAsia="Book Antiqua" w:hAnsi="Book Antiqua" w:cs="Book Antiqua"/>
          <w:color w:val="000000"/>
        </w:rPr>
        <w:t xml:space="preserve"> RJ, Mow VC. Glenohumeral mechanics: a study of articular geometry, contact, and kinematics.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10</w:t>
      </w:r>
      <w:r>
        <w:rPr>
          <w:rFonts w:ascii="Book Antiqua" w:eastAsia="Book Antiqua" w:hAnsi="Book Antiqua" w:cs="Book Antiqua"/>
          <w:color w:val="000000"/>
        </w:rPr>
        <w:t>: 73-84 [PMID: 11182740 DOI: 10.1067/mse.2001.111959]</w:t>
      </w:r>
    </w:p>
    <w:p w14:paraId="466791FB" w14:textId="77777777" w:rsidR="00A77B3E" w:rsidRDefault="000252C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Poppen</w:t>
      </w:r>
      <w:proofErr w:type="spellEnd"/>
      <w:r>
        <w:rPr>
          <w:rFonts w:ascii="Book Antiqua" w:eastAsia="Book Antiqua" w:hAnsi="Book Antiqua" w:cs="Book Antiqua"/>
          <w:b/>
          <w:bCs/>
          <w:color w:val="000000"/>
        </w:rPr>
        <w:t xml:space="preserve"> NK</w:t>
      </w:r>
      <w:r>
        <w:rPr>
          <w:rFonts w:ascii="Book Antiqua" w:eastAsia="Book Antiqua" w:hAnsi="Book Antiqua" w:cs="Book Antiqua"/>
          <w:color w:val="000000"/>
        </w:rPr>
        <w:t xml:space="preserve">, Walker PS. Normal and abnormal motion of the shoulder.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1976; </w:t>
      </w:r>
      <w:r>
        <w:rPr>
          <w:rFonts w:ascii="Book Antiqua" w:eastAsia="Book Antiqua" w:hAnsi="Book Antiqua" w:cs="Book Antiqua"/>
          <w:b/>
          <w:bCs/>
          <w:color w:val="000000"/>
        </w:rPr>
        <w:t>58</w:t>
      </w:r>
      <w:r>
        <w:rPr>
          <w:rFonts w:ascii="Book Antiqua" w:eastAsia="Book Antiqua" w:hAnsi="Book Antiqua" w:cs="Book Antiqua"/>
          <w:color w:val="000000"/>
        </w:rPr>
        <w:t>: 195-201 [PMID: 1254624]</w:t>
      </w:r>
    </w:p>
    <w:p w14:paraId="0E581231" w14:textId="77777777" w:rsidR="00A77B3E" w:rsidRDefault="000252C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O'Brien SJ</w:t>
      </w:r>
      <w:r>
        <w:rPr>
          <w:rFonts w:ascii="Book Antiqua" w:eastAsia="Book Antiqua" w:hAnsi="Book Antiqua" w:cs="Book Antiqua"/>
          <w:color w:val="000000"/>
        </w:rPr>
        <w:t xml:space="preserve">, Neves MC, </w:t>
      </w:r>
      <w:proofErr w:type="spellStart"/>
      <w:r>
        <w:rPr>
          <w:rFonts w:ascii="Book Antiqua" w:eastAsia="Book Antiqua" w:hAnsi="Book Antiqua" w:cs="Book Antiqua"/>
          <w:color w:val="000000"/>
        </w:rPr>
        <w:t>Arnoczky</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Rozbruck</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Dicarlo</w:t>
      </w:r>
      <w:proofErr w:type="spellEnd"/>
      <w:r>
        <w:rPr>
          <w:rFonts w:ascii="Book Antiqua" w:eastAsia="Book Antiqua" w:hAnsi="Book Antiqua" w:cs="Book Antiqua"/>
          <w:color w:val="000000"/>
        </w:rPr>
        <w:t xml:space="preserve"> EF, Warren RF, Schwartz R, </w:t>
      </w:r>
      <w:proofErr w:type="spellStart"/>
      <w:r>
        <w:rPr>
          <w:rFonts w:ascii="Book Antiqua" w:eastAsia="Book Antiqua" w:hAnsi="Book Antiqua" w:cs="Book Antiqua"/>
          <w:color w:val="000000"/>
        </w:rPr>
        <w:t>Wickiewicz</w:t>
      </w:r>
      <w:proofErr w:type="spellEnd"/>
      <w:r>
        <w:rPr>
          <w:rFonts w:ascii="Book Antiqua" w:eastAsia="Book Antiqua" w:hAnsi="Book Antiqua" w:cs="Book Antiqua"/>
          <w:color w:val="000000"/>
        </w:rPr>
        <w:t xml:space="preserve"> TL. The anatomy and histology of the inferior glenohumeral ligament complex of the shoulder.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18</w:t>
      </w:r>
      <w:r>
        <w:rPr>
          <w:rFonts w:ascii="Book Antiqua" w:eastAsia="Book Antiqua" w:hAnsi="Book Antiqua" w:cs="Book Antiqua"/>
          <w:color w:val="000000"/>
        </w:rPr>
        <w:t>: 449-456 [PMID: 2252083 DOI: 10.1177/036354659001800501]</w:t>
      </w:r>
    </w:p>
    <w:p w14:paraId="63BEAAA1" w14:textId="77777777" w:rsidR="00A77B3E" w:rsidRDefault="000252C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Provencher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Ghodadra</w:t>
      </w:r>
      <w:proofErr w:type="spellEnd"/>
      <w:r>
        <w:rPr>
          <w:rFonts w:ascii="Book Antiqua" w:eastAsia="Book Antiqua" w:hAnsi="Book Antiqua" w:cs="Book Antiqua"/>
          <w:color w:val="000000"/>
        </w:rPr>
        <w:t xml:space="preserve"> N, Romeo AA. Arthroscopic management of anterior instability: pearls, pitfalls, and lessons learned.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41</w:t>
      </w:r>
      <w:r>
        <w:rPr>
          <w:rFonts w:ascii="Book Antiqua" w:eastAsia="Book Antiqua" w:hAnsi="Book Antiqua" w:cs="Book Antiqua"/>
          <w:color w:val="000000"/>
        </w:rPr>
        <w:t>: 325-337 [PMID: 20497809 DOI: 10.1016/j.ocl.2010.02.007]</w:t>
      </w:r>
    </w:p>
    <w:p w14:paraId="24A4D19C" w14:textId="77777777" w:rsidR="00A77B3E" w:rsidRDefault="000252C0">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Burkart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Debski</w:t>
      </w:r>
      <w:proofErr w:type="spellEnd"/>
      <w:r>
        <w:rPr>
          <w:rFonts w:ascii="Book Antiqua" w:eastAsia="Book Antiqua" w:hAnsi="Book Antiqua" w:cs="Book Antiqua"/>
          <w:color w:val="000000"/>
        </w:rPr>
        <w:t xml:space="preserve"> RE. Anatomy and function of the glenohumeral ligaments in anterior shoulder instability.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2002: 32-39 [PMID: 12072743 DOI: 10.1097/00003086-200207000-00005]</w:t>
      </w:r>
    </w:p>
    <w:p w14:paraId="620A0F75" w14:textId="77777777" w:rsidR="00A77B3E" w:rsidRDefault="000252C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Soslowsky</w:t>
      </w:r>
      <w:proofErr w:type="spellEnd"/>
      <w:r>
        <w:rPr>
          <w:rFonts w:ascii="Book Antiqua" w:eastAsia="Book Antiqua" w:hAnsi="Book Antiqua" w:cs="Book Antiqua"/>
          <w:b/>
          <w:bCs/>
          <w:color w:val="000000"/>
        </w:rPr>
        <w:t xml:space="preserve"> LJ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Malicky</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Blasier</w:t>
      </w:r>
      <w:proofErr w:type="spellEnd"/>
      <w:r>
        <w:rPr>
          <w:rFonts w:ascii="Book Antiqua" w:eastAsia="Book Antiqua" w:hAnsi="Book Antiqua" w:cs="Book Antiqua"/>
          <w:color w:val="000000"/>
        </w:rPr>
        <w:t xml:space="preserve"> RB. Active and passive factors in inferior glenohumeral stabilization: a biomechanical model.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6</w:t>
      </w:r>
      <w:r>
        <w:rPr>
          <w:rFonts w:ascii="Book Antiqua" w:eastAsia="Book Antiqua" w:hAnsi="Book Antiqua" w:cs="Book Antiqua"/>
          <w:color w:val="000000"/>
        </w:rPr>
        <w:t>: 371-379 [PMID: 9285877 DOI: 10.1016/s1058-2746(97)90005-7]</w:t>
      </w:r>
    </w:p>
    <w:p w14:paraId="36FFE7C7" w14:textId="77777777" w:rsidR="00A77B3E" w:rsidRDefault="000252C0">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Turkel</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Panio</w:t>
      </w:r>
      <w:proofErr w:type="spellEnd"/>
      <w:r>
        <w:rPr>
          <w:rFonts w:ascii="Book Antiqua" w:eastAsia="Book Antiqua" w:hAnsi="Book Antiqua" w:cs="Book Antiqua"/>
          <w:color w:val="000000"/>
        </w:rPr>
        <w:t xml:space="preserve"> MW, Marshall JL, Girgis FG. Stabilizing mechanisms preventing anterior dislocation of the glenohumeral joint.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1981; </w:t>
      </w:r>
      <w:r>
        <w:rPr>
          <w:rFonts w:ascii="Book Antiqua" w:eastAsia="Book Antiqua" w:hAnsi="Book Antiqua" w:cs="Book Antiqua"/>
          <w:b/>
          <w:bCs/>
          <w:color w:val="000000"/>
        </w:rPr>
        <w:t>63</w:t>
      </w:r>
      <w:r>
        <w:rPr>
          <w:rFonts w:ascii="Book Antiqua" w:eastAsia="Book Antiqua" w:hAnsi="Book Antiqua" w:cs="Book Antiqua"/>
          <w:color w:val="000000"/>
        </w:rPr>
        <w:t>: 1208-1217 [PMID: 7287791]</w:t>
      </w:r>
    </w:p>
    <w:p w14:paraId="126B82D4" w14:textId="77777777" w:rsidR="00A77B3E" w:rsidRDefault="000252C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Warner JJ</w:t>
      </w:r>
      <w:r>
        <w:rPr>
          <w:rFonts w:ascii="Book Antiqua" w:eastAsia="Book Antiqua" w:hAnsi="Book Antiqua" w:cs="Book Antiqua"/>
          <w:color w:val="000000"/>
        </w:rPr>
        <w:t xml:space="preserve">, Deng XH, Warren RF, </w:t>
      </w:r>
      <w:proofErr w:type="spellStart"/>
      <w:r>
        <w:rPr>
          <w:rFonts w:ascii="Book Antiqua" w:eastAsia="Book Antiqua" w:hAnsi="Book Antiqua" w:cs="Book Antiqua"/>
          <w:color w:val="000000"/>
        </w:rPr>
        <w:t>Torzilli</w:t>
      </w:r>
      <w:proofErr w:type="spellEnd"/>
      <w:r>
        <w:rPr>
          <w:rFonts w:ascii="Book Antiqua" w:eastAsia="Book Antiqua" w:hAnsi="Book Antiqua" w:cs="Book Antiqua"/>
          <w:color w:val="000000"/>
        </w:rPr>
        <w:t xml:space="preserve"> PA. Static capsuloligamentous restraints to superior-inferior translation of the glenohumeral joint.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20</w:t>
      </w:r>
      <w:r>
        <w:rPr>
          <w:rFonts w:ascii="Book Antiqua" w:eastAsia="Book Antiqua" w:hAnsi="Book Antiqua" w:cs="Book Antiqua"/>
          <w:color w:val="000000"/>
        </w:rPr>
        <w:t>: 675-685 [PMID: 1456361 DOI: 10.1177/036354659202000608]</w:t>
      </w:r>
    </w:p>
    <w:p w14:paraId="4186C812" w14:textId="77777777" w:rsidR="00A77B3E" w:rsidRDefault="000252C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Rothman RH</w:t>
      </w:r>
      <w:r>
        <w:rPr>
          <w:rFonts w:ascii="Book Antiqua" w:eastAsia="Book Antiqua" w:hAnsi="Book Antiqua" w:cs="Book Antiqua"/>
          <w:color w:val="000000"/>
        </w:rPr>
        <w:t xml:space="preserve">, Marvel JP Jr, </w:t>
      </w:r>
      <w:proofErr w:type="spellStart"/>
      <w:r>
        <w:rPr>
          <w:rFonts w:ascii="Book Antiqua" w:eastAsia="Book Antiqua" w:hAnsi="Book Antiqua" w:cs="Book Antiqua"/>
          <w:color w:val="000000"/>
        </w:rPr>
        <w:t>Heppenstall</w:t>
      </w:r>
      <w:proofErr w:type="spellEnd"/>
      <w:r>
        <w:rPr>
          <w:rFonts w:ascii="Book Antiqua" w:eastAsia="Book Antiqua" w:hAnsi="Book Antiqua" w:cs="Book Antiqua"/>
          <w:color w:val="000000"/>
        </w:rPr>
        <w:t xml:space="preserve"> RB. Anatomic considerations in glenohumeral joint.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1975; </w:t>
      </w:r>
      <w:r>
        <w:rPr>
          <w:rFonts w:ascii="Book Antiqua" w:eastAsia="Book Antiqua" w:hAnsi="Book Antiqua" w:cs="Book Antiqua"/>
          <w:b/>
          <w:bCs/>
          <w:color w:val="000000"/>
        </w:rPr>
        <w:t>6</w:t>
      </w:r>
      <w:r>
        <w:rPr>
          <w:rFonts w:ascii="Book Antiqua" w:eastAsia="Book Antiqua" w:hAnsi="Book Antiqua" w:cs="Book Antiqua"/>
          <w:color w:val="000000"/>
        </w:rPr>
        <w:t>: 341-352 [PMID: 1093084]</w:t>
      </w:r>
    </w:p>
    <w:p w14:paraId="6AB63832" w14:textId="77777777" w:rsidR="00A77B3E" w:rsidRDefault="000252C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Ferrari DA</w:t>
      </w:r>
      <w:r>
        <w:rPr>
          <w:rFonts w:ascii="Book Antiqua" w:eastAsia="Book Antiqua" w:hAnsi="Book Antiqua" w:cs="Book Antiqua"/>
          <w:color w:val="000000"/>
        </w:rPr>
        <w:t xml:space="preserve">. Capsular ligaments of the shoulder. Anatomical and functional study of the anterior superior capsule.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18</w:t>
      </w:r>
      <w:r>
        <w:rPr>
          <w:rFonts w:ascii="Book Antiqua" w:eastAsia="Book Antiqua" w:hAnsi="Book Antiqua" w:cs="Book Antiqua"/>
          <w:color w:val="000000"/>
        </w:rPr>
        <w:t>: 20-24 [PMID: 2301686 DOI: 10.1177/036354659001800103]</w:t>
      </w:r>
    </w:p>
    <w:p w14:paraId="6B96D850" w14:textId="77777777" w:rsidR="00A77B3E" w:rsidRDefault="000252C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Bigliani</w:t>
      </w:r>
      <w:proofErr w:type="spellEnd"/>
      <w:r>
        <w:rPr>
          <w:rFonts w:ascii="Book Antiqua" w:eastAsia="Book Antiqua" w:hAnsi="Book Antiqua" w:cs="Book Antiqua"/>
          <w:b/>
          <w:bCs/>
          <w:color w:val="000000"/>
        </w:rPr>
        <w:t xml:space="preserve"> LU</w:t>
      </w:r>
      <w:r>
        <w:rPr>
          <w:rFonts w:ascii="Book Antiqua" w:eastAsia="Book Antiqua" w:hAnsi="Book Antiqua" w:cs="Book Antiqua"/>
          <w:color w:val="000000"/>
        </w:rPr>
        <w:t xml:space="preserve">, Newton PM, Steinmann SP, Connor PM, </w:t>
      </w:r>
      <w:proofErr w:type="spellStart"/>
      <w:r>
        <w:rPr>
          <w:rFonts w:ascii="Book Antiqua" w:eastAsia="Book Antiqua" w:hAnsi="Book Antiqua" w:cs="Book Antiqua"/>
          <w:color w:val="000000"/>
        </w:rPr>
        <w:t>Mcllveen</w:t>
      </w:r>
      <w:proofErr w:type="spellEnd"/>
      <w:r>
        <w:rPr>
          <w:rFonts w:ascii="Book Antiqua" w:eastAsia="Book Antiqua" w:hAnsi="Book Antiqua" w:cs="Book Antiqua"/>
          <w:color w:val="000000"/>
        </w:rPr>
        <w:t xml:space="preserve"> SJ. Glenoid rim lesions associated with recurrent anterior dislocation of the shoulder.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26</w:t>
      </w:r>
      <w:r>
        <w:rPr>
          <w:rFonts w:ascii="Book Antiqua" w:eastAsia="Book Antiqua" w:hAnsi="Book Antiqua" w:cs="Book Antiqua"/>
          <w:color w:val="000000"/>
        </w:rPr>
        <w:t>: 41-45 [PMID: 9474399 DOI: 10.1177/03635465980260012301]</w:t>
      </w:r>
    </w:p>
    <w:p w14:paraId="14F56276" w14:textId="77777777" w:rsidR="00A77B3E" w:rsidRDefault="000252C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Burkhart SS</w:t>
      </w:r>
      <w:r>
        <w:rPr>
          <w:rFonts w:ascii="Book Antiqua" w:eastAsia="Book Antiqua" w:hAnsi="Book Antiqua" w:cs="Book Antiqua"/>
          <w:color w:val="000000"/>
        </w:rPr>
        <w:t xml:space="preserve">, De Beer JF. Traumatic glenohumeral bone defects and their relationship to failure of arthroscopic Bankart repairs: significance of the inverted-pear glenoid and the humeral engaging Hill-Sachs lesion.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677-694 [PMID: 11027751 DOI: 10.1053/jars.2000.17715]</w:t>
      </w:r>
    </w:p>
    <w:p w14:paraId="24CF03D6" w14:textId="77777777" w:rsidR="00A77B3E" w:rsidRDefault="000252C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Burkhart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Danaceau</w:t>
      </w:r>
      <w:proofErr w:type="spellEnd"/>
      <w:r>
        <w:rPr>
          <w:rFonts w:ascii="Book Antiqua" w:eastAsia="Book Antiqua" w:hAnsi="Book Antiqua" w:cs="Book Antiqua"/>
          <w:color w:val="000000"/>
        </w:rPr>
        <w:t xml:space="preserve"> SM. Articular arc length mismatch as a cause of failed </w:t>
      </w:r>
      <w:proofErr w:type="spellStart"/>
      <w:r>
        <w:rPr>
          <w:rFonts w:ascii="Book Antiqua" w:eastAsia="Book Antiqua" w:hAnsi="Book Antiqua" w:cs="Book Antiqua"/>
          <w:color w:val="000000"/>
        </w:rPr>
        <w:t>bankart</w:t>
      </w:r>
      <w:proofErr w:type="spellEnd"/>
      <w:r>
        <w:rPr>
          <w:rFonts w:ascii="Book Antiqua" w:eastAsia="Book Antiqua" w:hAnsi="Book Antiqua" w:cs="Book Antiqua"/>
          <w:color w:val="000000"/>
        </w:rPr>
        <w:t xml:space="preserve"> repair.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740-744 [PMID: 11027759 DOI: 10.1053/jars.2000.7794]</w:t>
      </w:r>
    </w:p>
    <w:p w14:paraId="34D300B6" w14:textId="77777777" w:rsidR="00A77B3E" w:rsidRDefault="000252C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Dawson L, Burks R, Cameron KL. Incidence of shoulder dislocation in the United States military: demographic considerations from a high-risk population.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91</w:t>
      </w:r>
      <w:r>
        <w:rPr>
          <w:rFonts w:ascii="Book Antiqua" w:eastAsia="Book Antiqua" w:hAnsi="Book Antiqua" w:cs="Book Antiqua"/>
          <w:color w:val="000000"/>
        </w:rPr>
        <w:t>: 791-796 [PMID: 19339562 DOI: 10.2106/JBJS.H.00514]</w:t>
      </w:r>
    </w:p>
    <w:p w14:paraId="1DCF0309" w14:textId="77777777" w:rsidR="00A77B3E" w:rsidRDefault="000252C0">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Garcia GH</w:t>
      </w:r>
      <w:r>
        <w:rPr>
          <w:rFonts w:ascii="Book Antiqua" w:eastAsia="Book Antiqua" w:hAnsi="Book Antiqua" w:cs="Book Antiqua"/>
          <w:color w:val="000000"/>
        </w:rPr>
        <w:t xml:space="preserve">, Liu JN, Dines DM, Dines JS. Effect of bone loss in anterior shoulder instability.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421-433 [PMID: 26085984 DOI: 10.5312/wjo.v6.i5.421]</w:t>
      </w:r>
    </w:p>
    <w:p w14:paraId="29B43D99" w14:textId="77777777" w:rsidR="00A77B3E" w:rsidRDefault="000252C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Taylor DC</w:t>
      </w:r>
      <w:r>
        <w:rPr>
          <w:rFonts w:ascii="Book Antiqua" w:eastAsia="Book Antiqua" w:hAnsi="Book Antiqua" w:cs="Book Antiqua"/>
          <w:color w:val="000000"/>
        </w:rPr>
        <w:t xml:space="preserve">, Krasinski KL. Adolescent shoulder injuries: consensus and controversies.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91</w:t>
      </w:r>
      <w:r>
        <w:rPr>
          <w:rFonts w:ascii="Book Antiqua" w:eastAsia="Book Antiqua" w:hAnsi="Book Antiqua" w:cs="Book Antiqua"/>
          <w:color w:val="000000"/>
        </w:rPr>
        <w:t>: 462-473 [PMID: 19181993]</w:t>
      </w:r>
    </w:p>
    <w:p w14:paraId="02ABDB72" w14:textId="77777777" w:rsidR="00A77B3E" w:rsidRDefault="000252C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Kralinger</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Golser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Wischatta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Wambacher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Sperner</w:t>
      </w:r>
      <w:proofErr w:type="spellEnd"/>
      <w:r>
        <w:rPr>
          <w:rFonts w:ascii="Book Antiqua" w:eastAsia="Book Antiqua" w:hAnsi="Book Antiqua" w:cs="Book Antiqua"/>
          <w:color w:val="000000"/>
        </w:rPr>
        <w:t xml:space="preserve"> G. Predicting recurrence after primary anterior shoulder dislocation.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30</w:t>
      </w:r>
      <w:r>
        <w:rPr>
          <w:rFonts w:ascii="Book Antiqua" w:eastAsia="Book Antiqua" w:hAnsi="Book Antiqua" w:cs="Book Antiqua"/>
          <w:color w:val="000000"/>
        </w:rPr>
        <w:t>: 116-120 [PMID: 11799007 DOI: 10.1177/03635465020300010501]</w:t>
      </w:r>
    </w:p>
    <w:p w14:paraId="160E551F" w14:textId="77777777" w:rsidR="00A77B3E" w:rsidRDefault="000252C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Boileau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Villalba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Héry</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Balg</w:t>
      </w:r>
      <w:proofErr w:type="spellEnd"/>
      <w:r>
        <w:rPr>
          <w:rFonts w:ascii="Book Antiqua" w:eastAsia="Book Antiqua" w:hAnsi="Book Antiqua" w:cs="Book Antiqua"/>
          <w:color w:val="000000"/>
        </w:rPr>
        <w:t xml:space="preserve"> F, Ahrens P, </w:t>
      </w:r>
      <w:proofErr w:type="spellStart"/>
      <w:r>
        <w:rPr>
          <w:rFonts w:ascii="Book Antiqua" w:eastAsia="Book Antiqua" w:hAnsi="Book Antiqua" w:cs="Book Antiqua"/>
          <w:color w:val="000000"/>
        </w:rPr>
        <w:t>Neyton</w:t>
      </w:r>
      <w:proofErr w:type="spellEnd"/>
      <w:r>
        <w:rPr>
          <w:rFonts w:ascii="Book Antiqua" w:eastAsia="Book Antiqua" w:hAnsi="Book Antiqua" w:cs="Book Antiqua"/>
          <w:color w:val="000000"/>
        </w:rPr>
        <w:t xml:space="preserve"> L. Risk factors for recurrence of shoulder instability after arthroscopic Bankart repair.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2006; </w:t>
      </w:r>
      <w:r>
        <w:rPr>
          <w:rFonts w:ascii="Book Antiqua" w:eastAsia="Book Antiqua" w:hAnsi="Book Antiqua" w:cs="Book Antiqua"/>
          <w:b/>
          <w:bCs/>
          <w:color w:val="000000"/>
        </w:rPr>
        <w:t>88</w:t>
      </w:r>
      <w:r>
        <w:rPr>
          <w:rFonts w:ascii="Book Antiqua" w:eastAsia="Book Antiqua" w:hAnsi="Book Antiqua" w:cs="Book Antiqua"/>
          <w:color w:val="000000"/>
        </w:rPr>
        <w:t>: 1755-1763 [PMID: 16882898 DOI: 10.2106/JBJS.E.00817]</w:t>
      </w:r>
    </w:p>
    <w:p w14:paraId="3EE43C4A" w14:textId="77777777" w:rsidR="00A77B3E" w:rsidRDefault="000252C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Yian</w:t>
      </w:r>
      <w:proofErr w:type="spellEnd"/>
      <w:r>
        <w:rPr>
          <w:rFonts w:ascii="Book Antiqua" w:eastAsia="Book Antiqua" w:hAnsi="Book Antiqua" w:cs="Book Antiqua"/>
          <w:b/>
          <w:bCs/>
          <w:color w:val="000000"/>
        </w:rPr>
        <w:t xml:space="preserve"> EH</w:t>
      </w:r>
      <w:r>
        <w:rPr>
          <w:rFonts w:ascii="Book Antiqua" w:eastAsia="Book Antiqua" w:hAnsi="Book Antiqua" w:cs="Book Antiqua"/>
          <w:color w:val="000000"/>
        </w:rPr>
        <w:t xml:space="preserve">, Weathers M, Knott JR, </w:t>
      </w:r>
      <w:proofErr w:type="spellStart"/>
      <w:r>
        <w:rPr>
          <w:rFonts w:ascii="Book Antiqua" w:eastAsia="Book Antiqua" w:hAnsi="Book Antiqua" w:cs="Book Antiqua"/>
          <w:color w:val="000000"/>
        </w:rPr>
        <w:t>Sodl</w:t>
      </w:r>
      <w:proofErr w:type="spellEnd"/>
      <w:r>
        <w:rPr>
          <w:rFonts w:ascii="Book Antiqua" w:eastAsia="Book Antiqua" w:hAnsi="Book Antiqua" w:cs="Book Antiqua"/>
          <w:color w:val="000000"/>
        </w:rPr>
        <w:t xml:space="preserve"> JF, Spencer HT. Predicting Failure After Primary Arthroscopic Bankart Repair: Analysis of a Statistical Model Using Anatomic Risk Factors.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964-970 [PMID: 31926270 DOI: 10.1016/j.arthro.2019.11.109]</w:t>
      </w:r>
    </w:p>
    <w:p w14:paraId="54E9ABF0" w14:textId="77777777" w:rsidR="00A77B3E" w:rsidRDefault="000252C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Cetik</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Ozsar</w:t>
      </w:r>
      <w:proofErr w:type="spellEnd"/>
      <w:r>
        <w:rPr>
          <w:rFonts w:ascii="Book Antiqua" w:eastAsia="Book Antiqua" w:hAnsi="Book Antiqua" w:cs="Book Antiqua"/>
          <w:color w:val="000000"/>
        </w:rPr>
        <w:t xml:space="preserve"> BK. The relationship between Hill-Sachs lesion and recurrent anterior shoulder dislocation.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73</w:t>
      </w:r>
      <w:r>
        <w:rPr>
          <w:rFonts w:ascii="Book Antiqua" w:eastAsia="Book Antiqua" w:hAnsi="Book Antiqua" w:cs="Book Antiqua"/>
          <w:color w:val="000000"/>
        </w:rPr>
        <w:t>: 175-178 [PMID: 17515227]</w:t>
      </w:r>
    </w:p>
    <w:p w14:paraId="2375F3DA" w14:textId="77777777" w:rsidR="00A77B3E" w:rsidRDefault="000252C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Taylor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Arciero</w:t>
      </w:r>
      <w:proofErr w:type="spellEnd"/>
      <w:r>
        <w:rPr>
          <w:rFonts w:ascii="Book Antiqua" w:eastAsia="Book Antiqua" w:hAnsi="Book Antiqua" w:cs="Book Antiqua"/>
          <w:color w:val="000000"/>
        </w:rPr>
        <w:t xml:space="preserve"> RA. Pathologic changes associated with shoulder dislocations. Arthroscopic and physical examination findings in first-time, traumatic anterior dislocations.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25</w:t>
      </w:r>
      <w:r>
        <w:rPr>
          <w:rFonts w:ascii="Book Antiqua" w:eastAsia="Book Antiqua" w:hAnsi="Book Antiqua" w:cs="Book Antiqua"/>
          <w:color w:val="000000"/>
        </w:rPr>
        <w:t>: 306-311 [PMID: 9167808 DOI: 10.1177/036354659702500306]</w:t>
      </w:r>
    </w:p>
    <w:p w14:paraId="7F18A79E" w14:textId="77777777" w:rsidR="00A77B3E" w:rsidRDefault="000252C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Griffith JF</w:t>
      </w:r>
      <w:r>
        <w:rPr>
          <w:rFonts w:ascii="Book Antiqua" w:eastAsia="Book Antiqua" w:hAnsi="Book Antiqua" w:cs="Book Antiqua"/>
          <w:color w:val="000000"/>
        </w:rPr>
        <w:t xml:space="preserve">, Antonio GE, Yung PS, Wong EM, Yu AB, Ahuja AT, Chan KM. Prevalence, pattern, and spectrum of glenoid bone loss in anterior shoulder dislocation: CT analysis of 218 patients.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190</w:t>
      </w:r>
      <w:r>
        <w:rPr>
          <w:rFonts w:ascii="Book Antiqua" w:eastAsia="Book Antiqua" w:hAnsi="Book Antiqua" w:cs="Book Antiqua"/>
          <w:color w:val="000000"/>
        </w:rPr>
        <w:t>: 1247-1254 [PMID: 18430839 DOI: 10.2214/AJR.07.3009]</w:t>
      </w:r>
    </w:p>
    <w:p w14:paraId="6FE345CB" w14:textId="5611F893" w:rsidR="00A77B3E" w:rsidRDefault="000252C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Gerber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Nyffeler</w:t>
      </w:r>
      <w:proofErr w:type="spellEnd"/>
      <w:r>
        <w:rPr>
          <w:rFonts w:ascii="Book Antiqua" w:eastAsia="Book Antiqua" w:hAnsi="Book Antiqua" w:cs="Book Antiqua"/>
          <w:color w:val="000000"/>
        </w:rPr>
        <w:t xml:space="preserve"> RW. Classification of glenohumeral joint instability.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2002: 65-76 [PMID: 12072747</w:t>
      </w:r>
      <w:r w:rsidR="00A51F86">
        <w:rPr>
          <w:rFonts w:ascii="Book Antiqua" w:eastAsia="Book Antiqua" w:hAnsi="Book Antiqua" w:cs="Book Antiqua"/>
          <w:color w:val="000000"/>
        </w:rPr>
        <w:t xml:space="preserve"> </w:t>
      </w:r>
      <w:r w:rsidR="00A51F86" w:rsidRPr="00A51F86">
        <w:rPr>
          <w:rFonts w:ascii="Book Antiqua" w:eastAsia="Book Antiqua" w:hAnsi="Book Antiqua" w:cs="Book Antiqua"/>
          <w:color w:val="000000"/>
        </w:rPr>
        <w:t>DOI: 10.1097/00003086-200207000-00009</w:t>
      </w:r>
      <w:r>
        <w:rPr>
          <w:rFonts w:ascii="Book Antiqua" w:eastAsia="Book Antiqua" w:hAnsi="Book Antiqua" w:cs="Book Antiqua"/>
          <w:color w:val="000000"/>
        </w:rPr>
        <w:t>]</w:t>
      </w:r>
    </w:p>
    <w:p w14:paraId="7CF95E13" w14:textId="77777777" w:rsidR="00A77B3E" w:rsidRDefault="000252C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Robinson CM</w:t>
      </w:r>
      <w:r>
        <w:rPr>
          <w:rFonts w:ascii="Book Antiqua" w:eastAsia="Book Antiqua" w:hAnsi="Book Antiqua" w:cs="Book Antiqua"/>
          <w:color w:val="000000"/>
        </w:rPr>
        <w:t xml:space="preserve">, Dobson RJ. Anterior instability of the shoulder after trauma.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2004; </w:t>
      </w:r>
      <w:r>
        <w:rPr>
          <w:rFonts w:ascii="Book Antiqua" w:eastAsia="Book Antiqua" w:hAnsi="Book Antiqua" w:cs="Book Antiqua"/>
          <w:b/>
          <w:bCs/>
          <w:color w:val="000000"/>
        </w:rPr>
        <w:t>86</w:t>
      </w:r>
      <w:r>
        <w:rPr>
          <w:rFonts w:ascii="Book Antiqua" w:eastAsia="Book Antiqua" w:hAnsi="Book Antiqua" w:cs="Book Antiqua"/>
          <w:color w:val="000000"/>
        </w:rPr>
        <w:t>: 469-479 [PMID: 15174539 DOI: 10.1302/0301-620x.86b4]</w:t>
      </w:r>
    </w:p>
    <w:p w14:paraId="059AFD4F" w14:textId="77777777" w:rsidR="00A77B3E" w:rsidRDefault="000252C0">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Arciero</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Parrino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Bernhardson</w:t>
      </w:r>
      <w:proofErr w:type="spellEnd"/>
      <w:r>
        <w:rPr>
          <w:rFonts w:ascii="Book Antiqua" w:eastAsia="Book Antiqua" w:hAnsi="Book Antiqua" w:cs="Book Antiqua"/>
          <w:color w:val="000000"/>
        </w:rPr>
        <w:t xml:space="preserve"> AS, Diaz-Doran V, </w:t>
      </w:r>
      <w:proofErr w:type="spellStart"/>
      <w:r>
        <w:rPr>
          <w:rFonts w:ascii="Book Antiqua" w:eastAsia="Book Antiqua" w:hAnsi="Book Antiqua" w:cs="Book Antiqua"/>
          <w:color w:val="000000"/>
        </w:rPr>
        <w:t>Obopilwe</w:t>
      </w:r>
      <w:proofErr w:type="spellEnd"/>
      <w:r>
        <w:rPr>
          <w:rFonts w:ascii="Book Antiqua" w:eastAsia="Book Antiqua" w:hAnsi="Book Antiqua" w:cs="Book Antiqua"/>
          <w:color w:val="000000"/>
        </w:rPr>
        <w:t xml:space="preserve"> E, Cote MP, </w:t>
      </w:r>
      <w:proofErr w:type="spellStart"/>
      <w:r>
        <w:rPr>
          <w:rFonts w:ascii="Book Antiqua" w:eastAsia="Book Antiqua" w:hAnsi="Book Antiqua" w:cs="Book Antiqua"/>
          <w:color w:val="000000"/>
        </w:rPr>
        <w:t>Golijanin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Mazzocca</w:t>
      </w:r>
      <w:proofErr w:type="spellEnd"/>
      <w:r>
        <w:rPr>
          <w:rFonts w:ascii="Book Antiqua" w:eastAsia="Book Antiqua" w:hAnsi="Book Antiqua" w:cs="Book Antiqua"/>
          <w:color w:val="000000"/>
        </w:rPr>
        <w:t xml:space="preserve"> AD, Provencher MT. The effect of a combined glenoid and Hill-</w:t>
      </w:r>
      <w:r>
        <w:rPr>
          <w:rFonts w:ascii="Book Antiqua" w:eastAsia="Book Antiqua" w:hAnsi="Book Antiqua" w:cs="Book Antiqua"/>
          <w:color w:val="000000"/>
        </w:rPr>
        <w:lastRenderedPageBreak/>
        <w:t xml:space="preserve">Sachs defect on glenohumeral stability: a biomechanical cadaveric study using 3-dimensional modeling of 142 patients.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1422-1429 [PMID: 25794869 DOI: 10.1177/0363546515574677]</w:t>
      </w:r>
    </w:p>
    <w:p w14:paraId="25F483A9" w14:textId="77777777" w:rsidR="00A77B3E" w:rsidRDefault="000252C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Yamamoto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E, Abe H, Minagawa H, Seki N, Shimada Y, Okada K. Contact between the glenoid and the humeral head in abduction, external rotation, and horizontal extension: a new concept of glenoid track.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649-656 [PMID: 17644006 DOI: 10.1016/j.jse.2006.12.012]</w:t>
      </w:r>
    </w:p>
    <w:p w14:paraId="306BBA92" w14:textId="77777777" w:rsidR="00A77B3E" w:rsidRDefault="000252C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Chen KH</w:t>
      </w:r>
      <w:r>
        <w:rPr>
          <w:rFonts w:ascii="Book Antiqua" w:eastAsia="Book Antiqua" w:hAnsi="Book Antiqua" w:cs="Book Antiqua"/>
          <w:color w:val="000000"/>
        </w:rPr>
        <w:t xml:space="preserve">, Yang TC, Chiang ER, Wang HY, Ma HL. The Hill-Sachs interval to glenoid track width ratio is comparable to the instability severity index score for predicting risk of recurrent instability after arthroscopic Bankart repair. </w:t>
      </w:r>
      <w:r>
        <w:rPr>
          <w:rFonts w:ascii="Book Antiqua" w:eastAsia="Book Antiqua" w:hAnsi="Book Antiqua" w:cs="Book Antiqua"/>
          <w:i/>
          <w:iCs/>
          <w:color w:val="000000"/>
        </w:rPr>
        <w:t xml:space="preserve">Knee Surg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2020 [PMID: 32253482 DOI: 10.1007/s00167-020-05955-0]</w:t>
      </w:r>
    </w:p>
    <w:p w14:paraId="2FE13427" w14:textId="77777777" w:rsidR="00A77B3E" w:rsidRDefault="000252C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Hatta T</w:t>
      </w:r>
      <w:r>
        <w:rPr>
          <w:rFonts w:ascii="Book Antiqua" w:eastAsia="Book Antiqua" w:hAnsi="Book Antiqua" w:cs="Book Antiqua"/>
          <w:color w:val="000000"/>
        </w:rPr>
        <w:t xml:space="preserve">, Yamamoto N, Shinagawa K, Kawakami J,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E. Surgical decision making based on the on-track/off-track concept for anterior shoulder instability: a case-control study. </w:t>
      </w:r>
      <w:r>
        <w:rPr>
          <w:rFonts w:ascii="Book Antiqua" w:eastAsia="Book Antiqua" w:hAnsi="Book Antiqua" w:cs="Book Antiqua"/>
          <w:i/>
          <w:iCs/>
          <w:color w:val="000000"/>
        </w:rPr>
        <w:t>JSES Open Access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25-28 [PMID: 30976732 DOI: 10.1016/j.jses.2018.10.001]</w:t>
      </w:r>
    </w:p>
    <w:p w14:paraId="6D9A9016" w14:textId="77777777" w:rsidR="00A77B3E" w:rsidRDefault="000252C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Locher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Wilken F, </w:t>
      </w:r>
      <w:proofErr w:type="spellStart"/>
      <w:r>
        <w:rPr>
          <w:rFonts w:ascii="Book Antiqua" w:eastAsia="Book Antiqua" w:hAnsi="Book Antiqua" w:cs="Book Antiqua"/>
          <w:color w:val="000000"/>
        </w:rPr>
        <w:t>Beitzel</w:t>
      </w:r>
      <w:proofErr w:type="spellEnd"/>
      <w:r>
        <w:rPr>
          <w:rFonts w:ascii="Book Antiqua" w:eastAsia="Book Antiqua" w:hAnsi="Book Antiqua" w:cs="Book Antiqua"/>
          <w:color w:val="000000"/>
        </w:rPr>
        <w:t xml:space="preserve"> K, Buchmann S, Longo UG, </w:t>
      </w:r>
      <w:proofErr w:type="spellStart"/>
      <w:r>
        <w:rPr>
          <w:rFonts w:ascii="Book Antiqua" w:eastAsia="Book Antiqua" w:hAnsi="Book Antiqua" w:cs="Book Antiqua"/>
          <w:color w:val="000000"/>
        </w:rPr>
        <w:t>Denaro</w:t>
      </w:r>
      <w:proofErr w:type="spellEnd"/>
      <w:r>
        <w:rPr>
          <w:rFonts w:ascii="Book Antiqua" w:eastAsia="Book Antiqua" w:hAnsi="Book Antiqua" w:cs="Book Antiqua"/>
          <w:color w:val="000000"/>
        </w:rPr>
        <w:t xml:space="preserve"> V, Imhoff AB. Hill-Sachs Off-track Lesions as Risk Factor for Recurrence of Instability After Arthroscopic Bankart Repair.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1993-1999 [PMID: 27161511 DOI: 10.1016/j.arthro.2016.03.005]</w:t>
      </w:r>
    </w:p>
    <w:p w14:paraId="5D96869D" w14:textId="77777777" w:rsidR="00A77B3E" w:rsidRDefault="000252C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Momaya</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Tokish</w:t>
      </w:r>
      <w:proofErr w:type="spellEnd"/>
      <w:r>
        <w:rPr>
          <w:rFonts w:ascii="Book Antiqua" w:eastAsia="Book Antiqua" w:hAnsi="Book Antiqua" w:cs="Book Antiqua"/>
          <w:color w:val="000000"/>
        </w:rPr>
        <w:t xml:space="preserve"> JM. Applying the Glenoid Track Concept in the Management of Patients with Anterior Shoulder Instability.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463-468 [PMID: 28994025 DOI: 10.1007/s12178-017-9436-1]</w:t>
      </w:r>
    </w:p>
    <w:p w14:paraId="72B72127" w14:textId="77777777" w:rsidR="00A77B3E" w:rsidRDefault="000252C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Shaha</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Cook JB, Rowles DJ, </w:t>
      </w:r>
      <w:proofErr w:type="spellStart"/>
      <w:r>
        <w:rPr>
          <w:rFonts w:ascii="Book Antiqua" w:eastAsia="Book Antiqua" w:hAnsi="Book Antiqua" w:cs="Book Antiqua"/>
          <w:color w:val="000000"/>
        </w:rPr>
        <w:t>Bottoni</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Shaha</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Tokish</w:t>
      </w:r>
      <w:proofErr w:type="spellEnd"/>
      <w:r>
        <w:rPr>
          <w:rFonts w:ascii="Book Antiqua" w:eastAsia="Book Antiqua" w:hAnsi="Book Antiqua" w:cs="Book Antiqua"/>
          <w:color w:val="000000"/>
        </w:rPr>
        <w:t xml:space="preserve"> JM. Clinical Validation of the Glenoid Track Concept in Anterior Glenohumeral Instability.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98</w:t>
      </w:r>
      <w:r>
        <w:rPr>
          <w:rFonts w:ascii="Book Antiqua" w:eastAsia="Book Antiqua" w:hAnsi="Book Antiqua" w:cs="Book Antiqua"/>
          <w:color w:val="000000"/>
        </w:rPr>
        <w:t>: 1918-1923 [PMID: 27852909 DOI: 10.2106/JBJS.15.01099]</w:t>
      </w:r>
    </w:p>
    <w:p w14:paraId="767FD97D" w14:textId="77777777" w:rsidR="00A77B3E" w:rsidRDefault="000252C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Gill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Micheli</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Gebhard</w:t>
      </w:r>
      <w:proofErr w:type="spellEnd"/>
      <w:r>
        <w:rPr>
          <w:rFonts w:ascii="Book Antiqua" w:eastAsia="Book Antiqua" w:hAnsi="Book Antiqua" w:cs="Book Antiqua"/>
          <w:color w:val="000000"/>
        </w:rPr>
        <w:t xml:space="preserve"> F, Binder C. Bankart repair for anterior instability of the shoulder. Long-term outcome.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1997; </w:t>
      </w:r>
      <w:r>
        <w:rPr>
          <w:rFonts w:ascii="Book Antiqua" w:eastAsia="Book Antiqua" w:hAnsi="Book Antiqua" w:cs="Book Antiqua"/>
          <w:b/>
          <w:bCs/>
          <w:color w:val="000000"/>
        </w:rPr>
        <w:t>79</w:t>
      </w:r>
      <w:r>
        <w:rPr>
          <w:rFonts w:ascii="Book Antiqua" w:eastAsia="Book Antiqua" w:hAnsi="Book Antiqua" w:cs="Book Antiqua"/>
          <w:color w:val="000000"/>
        </w:rPr>
        <w:t>: 850-857 [PMID: 9199382 DOI: 10.2106/00004623-199706000-00008]</w:t>
      </w:r>
    </w:p>
    <w:p w14:paraId="21C78839" w14:textId="51CEACD4" w:rsidR="00A77B3E" w:rsidRDefault="000252C0">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Guanche CA</w:t>
      </w:r>
      <w:r>
        <w:rPr>
          <w:rFonts w:ascii="Book Antiqua" w:eastAsia="Book Antiqua" w:hAnsi="Book Antiqua" w:cs="Book Antiqua"/>
          <w:color w:val="000000"/>
        </w:rPr>
        <w:t xml:space="preserve">, Quick DC, Sodergren KM, Buss DD. Arthroscopic </w:t>
      </w:r>
      <w:r w:rsidR="00DD73BB" w:rsidRPr="00566A97">
        <w:rPr>
          <w:rFonts w:ascii="Book Antiqua" w:eastAsia="Book Antiqua" w:hAnsi="Book Antiqua" w:cs="Book Antiqua"/>
          <w:color w:val="000000"/>
        </w:rPr>
        <w:t>v</w:t>
      </w:r>
      <w:r w:rsidR="00DD73BB">
        <w:rPr>
          <w:rFonts w:ascii="Book Antiqua" w:eastAsia="Book Antiqua" w:hAnsi="Book Antiqua" w:cs="Book Antiqua"/>
          <w:color w:val="000000"/>
        </w:rPr>
        <w:t>ersu</w:t>
      </w:r>
      <w:r w:rsidR="00DD73BB" w:rsidRPr="00566A97">
        <w:rPr>
          <w:rFonts w:ascii="Book Antiqua" w:eastAsia="Book Antiqua" w:hAnsi="Book Antiqua" w:cs="Book Antiqua"/>
          <w:color w:val="000000"/>
        </w:rPr>
        <w:t>s</w:t>
      </w:r>
      <w:r>
        <w:rPr>
          <w:rFonts w:ascii="Book Antiqua" w:eastAsia="Book Antiqua" w:hAnsi="Book Antiqua" w:cs="Book Antiqua"/>
          <w:color w:val="000000"/>
        </w:rPr>
        <w:t xml:space="preserve"> open reconstruction of the shoulder in patients with isolated Bankart lesions.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24</w:t>
      </w:r>
      <w:r>
        <w:rPr>
          <w:rFonts w:ascii="Book Antiqua" w:eastAsia="Book Antiqua" w:hAnsi="Book Antiqua" w:cs="Book Antiqua"/>
          <w:color w:val="000000"/>
        </w:rPr>
        <w:t>: 144-148 [PMID: 8775110 DOI: 10.1177/036354659602400204]</w:t>
      </w:r>
    </w:p>
    <w:p w14:paraId="7EC1B743" w14:textId="77777777" w:rsidR="00A77B3E" w:rsidRDefault="000252C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Cole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L'Insalata</w:t>
      </w:r>
      <w:proofErr w:type="spellEnd"/>
      <w:r>
        <w:rPr>
          <w:rFonts w:ascii="Book Antiqua" w:eastAsia="Book Antiqua" w:hAnsi="Book Antiqua" w:cs="Book Antiqua"/>
          <w:color w:val="000000"/>
        </w:rPr>
        <w:t xml:space="preserve"> J, Irrgang J, Warner JJ. Comparison of arthroscopic and open anterior shoulder stabilization. A two to six-year follow-up study.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2000; </w:t>
      </w:r>
      <w:r>
        <w:rPr>
          <w:rFonts w:ascii="Book Antiqua" w:eastAsia="Book Antiqua" w:hAnsi="Book Antiqua" w:cs="Book Antiqua"/>
          <w:b/>
          <w:bCs/>
          <w:color w:val="000000"/>
        </w:rPr>
        <w:t>82</w:t>
      </w:r>
      <w:r>
        <w:rPr>
          <w:rFonts w:ascii="Book Antiqua" w:eastAsia="Book Antiqua" w:hAnsi="Book Antiqua" w:cs="Book Antiqua"/>
          <w:color w:val="000000"/>
        </w:rPr>
        <w:t>: 1108-1114 [PMID: 10954100 DOI: 10.2106/00004623-200008000-00007]</w:t>
      </w:r>
    </w:p>
    <w:p w14:paraId="68A08D42" w14:textId="77777777" w:rsidR="00A77B3E" w:rsidRDefault="000252C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DeBerardino</w:t>
      </w:r>
      <w:proofErr w:type="spellEnd"/>
      <w:r>
        <w:rPr>
          <w:rFonts w:ascii="Book Antiqua" w:eastAsia="Book Antiqua" w:hAnsi="Book Antiqua" w:cs="Book Antiqua"/>
          <w:color w:val="000000"/>
        </w:rPr>
        <w:t xml:space="preserve"> TM, Nelson BJ, Thurman J, Cameron KL, Taylor DC, </w:t>
      </w:r>
      <w:proofErr w:type="spellStart"/>
      <w:r>
        <w:rPr>
          <w:rFonts w:ascii="Book Antiqua" w:eastAsia="Book Antiqua" w:hAnsi="Book Antiqua" w:cs="Book Antiqua"/>
          <w:color w:val="000000"/>
        </w:rPr>
        <w:t>Uhorchak</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Arciero</w:t>
      </w:r>
      <w:proofErr w:type="spellEnd"/>
      <w:r>
        <w:rPr>
          <w:rFonts w:ascii="Book Antiqua" w:eastAsia="Book Antiqua" w:hAnsi="Book Antiqua" w:cs="Book Antiqua"/>
          <w:color w:val="000000"/>
        </w:rPr>
        <w:t xml:space="preserve"> RA. Long-term follow-up of acute arthroscopic Bankart repair for initial anterior shoulder dislocations in young athletes.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669-673 [PMID: 19218560 DOI: 10.1177/0363546508328416]</w:t>
      </w:r>
    </w:p>
    <w:p w14:paraId="725809FF" w14:textId="415C8F99" w:rsidR="00A77B3E" w:rsidRDefault="000252C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Bottoni</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Smith EL, Berkowitz MJ, Towle RB, Moore JH. Arthroscopic </w:t>
      </w:r>
      <w:r w:rsidR="00DD73BB" w:rsidRPr="00566A97">
        <w:rPr>
          <w:rFonts w:ascii="Book Antiqua" w:eastAsia="Book Antiqua" w:hAnsi="Book Antiqua" w:cs="Book Antiqua"/>
          <w:color w:val="000000"/>
        </w:rPr>
        <w:t>v</w:t>
      </w:r>
      <w:r w:rsidR="00DD73BB">
        <w:rPr>
          <w:rFonts w:ascii="Book Antiqua" w:eastAsia="Book Antiqua" w:hAnsi="Book Antiqua" w:cs="Book Antiqua"/>
          <w:color w:val="000000"/>
        </w:rPr>
        <w:t>ersu</w:t>
      </w:r>
      <w:r w:rsidR="00DD73BB" w:rsidRPr="00566A97">
        <w:rPr>
          <w:rFonts w:ascii="Book Antiqua" w:eastAsia="Book Antiqua" w:hAnsi="Book Antiqua" w:cs="Book Antiqua"/>
          <w:color w:val="000000"/>
        </w:rPr>
        <w:t>s</w:t>
      </w:r>
      <w:r>
        <w:rPr>
          <w:rFonts w:ascii="Book Antiqua" w:eastAsia="Book Antiqua" w:hAnsi="Book Antiqua" w:cs="Book Antiqua"/>
          <w:color w:val="000000"/>
        </w:rPr>
        <w:t xml:space="preserve"> open shoulder stabilization for recurrent anterior instability: a prospective randomized clinical trial.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1730-1737 [PMID: 16735589 DOI: 10.1177/0363546506288239]</w:t>
      </w:r>
    </w:p>
    <w:p w14:paraId="3684607E" w14:textId="77777777" w:rsidR="00A77B3E" w:rsidRDefault="000252C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Pickett A</w:t>
      </w:r>
      <w:r>
        <w:rPr>
          <w:rFonts w:ascii="Book Antiqua" w:eastAsia="Book Antiqua" w:hAnsi="Book Antiqua" w:cs="Book Antiqua"/>
          <w:color w:val="000000"/>
        </w:rPr>
        <w:t xml:space="preserve">, Svoboda S. Anterior Glenohumeral Instability. </w:t>
      </w:r>
      <w:r>
        <w:rPr>
          <w:rFonts w:ascii="Book Antiqua" w:eastAsia="Book Antiqua" w:hAnsi="Book Antiqua" w:cs="Book Antiqua"/>
          <w:i/>
          <w:iCs/>
          <w:color w:val="000000"/>
        </w:rPr>
        <w:t xml:space="preserve">Sports Med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156-162 [PMID: 28777219 DOI: 10.1097/JSA.0000000000000157]</w:t>
      </w:r>
    </w:p>
    <w:p w14:paraId="0F768822" w14:textId="77777777" w:rsidR="00A77B3E" w:rsidRDefault="000252C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Cameron KL, Peck KY, </w:t>
      </w:r>
      <w:proofErr w:type="spellStart"/>
      <w:r>
        <w:rPr>
          <w:rFonts w:ascii="Book Antiqua" w:eastAsia="Book Antiqua" w:hAnsi="Book Antiqua" w:cs="Book Antiqua"/>
          <w:color w:val="000000"/>
        </w:rPr>
        <w:t>DeBerardino</w:t>
      </w:r>
      <w:proofErr w:type="spellEnd"/>
      <w:r>
        <w:rPr>
          <w:rFonts w:ascii="Book Antiqua" w:eastAsia="Book Antiqua" w:hAnsi="Book Antiqua" w:cs="Book Antiqua"/>
          <w:color w:val="000000"/>
        </w:rPr>
        <w:t xml:space="preserve"> TM, Nelson BJ, Taylor DC, </w:t>
      </w:r>
      <w:proofErr w:type="spellStart"/>
      <w:r>
        <w:rPr>
          <w:rFonts w:ascii="Book Antiqua" w:eastAsia="Book Antiqua" w:hAnsi="Book Antiqua" w:cs="Book Antiqua"/>
          <w:color w:val="000000"/>
        </w:rPr>
        <w:t>Tenuta</w:t>
      </w:r>
      <w:proofErr w:type="spellEnd"/>
      <w:r>
        <w:rPr>
          <w:rFonts w:ascii="Book Antiqua" w:eastAsia="Book Antiqua" w:hAnsi="Book Antiqua" w:cs="Book Antiqua"/>
          <w:color w:val="000000"/>
        </w:rPr>
        <w:t xml:space="preserve"> J, Svoboda SJ. Arthroscopic Versus Open Stabilization for Anterior Shoulder Subluxations.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2325967115571084 [PMID: 26535374 DOI: 10.1177/2325967115571084]</w:t>
      </w:r>
    </w:p>
    <w:p w14:paraId="51514955" w14:textId="77777777" w:rsidR="00A77B3E" w:rsidRDefault="000252C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Frank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Arciero</w:t>
      </w:r>
      <w:proofErr w:type="spellEnd"/>
      <w:r>
        <w:rPr>
          <w:rFonts w:ascii="Book Antiqua" w:eastAsia="Book Antiqua" w:hAnsi="Book Antiqua" w:cs="Book Antiqua"/>
          <w:color w:val="000000"/>
        </w:rPr>
        <w:t xml:space="preserve"> RA, Erickson BJ, </w:t>
      </w:r>
      <w:proofErr w:type="spellStart"/>
      <w:r>
        <w:rPr>
          <w:rFonts w:ascii="Book Antiqua" w:eastAsia="Book Antiqua" w:hAnsi="Book Antiqua" w:cs="Book Antiqua"/>
          <w:color w:val="000000"/>
        </w:rPr>
        <w:t>Trenhaile</w:t>
      </w:r>
      <w:proofErr w:type="spellEnd"/>
      <w:r>
        <w:rPr>
          <w:rFonts w:ascii="Book Antiqua" w:eastAsia="Book Antiqua" w:hAnsi="Book Antiqua" w:cs="Book Antiqua"/>
          <w:color w:val="000000"/>
        </w:rPr>
        <w:t xml:space="preserve"> ST, Provencher MT, Verma NN. Shoulder Instability: An American Perspective. </w:t>
      </w:r>
      <w:proofErr w:type="spellStart"/>
      <w:r>
        <w:rPr>
          <w:rFonts w:ascii="Book Antiqua" w:eastAsia="Book Antiqua" w:hAnsi="Book Antiqua" w:cs="Book Antiqua"/>
          <w:i/>
          <w:iCs/>
          <w:color w:val="000000"/>
        </w:rPr>
        <w:t>Instr</w:t>
      </w:r>
      <w:proofErr w:type="spellEnd"/>
      <w:r>
        <w:rPr>
          <w:rFonts w:ascii="Book Antiqua" w:eastAsia="Book Antiqua" w:hAnsi="Book Antiqua" w:cs="Book Antiqua"/>
          <w:i/>
          <w:iCs/>
          <w:color w:val="000000"/>
        </w:rPr>
        <w:t xml:space="preserve"> Course </w:t>
      </w:r>
      <w:proofErr w:type="spellStart"/>
      <w:r>
        <w:rPr>
          <w:rFonts w:ascii="Book Antiqua" w:eastAsia="Book Antiqua" w:hAnsi="Book Antiqua" w:cs="Book Antiqua"/>
          <w:i/>
          <w:iCs/>
          <w:color w:val="000000"/>
        </w:rPr>
        <w:t>Lect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415-432 [PMID: 31411429]</w:t>
      </w:r>
    </w:p>
    <w:p w14:paraId="36771892" w14:textId="77777777" w:rsidR="00A77B3E" w:rsidRDefault="000252C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Harrast</w:t>
      </w:r>
      <w:proofErr w:type="spellEnd"/>
      <w:r>
        <w:rPr>
          <w:rFonts w:ascii="Book Antiqua" w:eastAsia="Book Antiqua" w:hAnsi="Book Antiqua" w:cs="Book Antiqua"/>
          <w:color w:val="000000"/>
        </w:rPr>
        <w:t xml:space="preserve"> JJ, Hurwitz SR, Thompson TL, Wolf JM. Surgical trends in Bankart repair: an analysis of data from the American Board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certification examination.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1865-1869 [PMID: 21628637 DOI: 10.1177/0363546511406869]</w:t>
      </w:r>
    </w:p>
    <w:p w14:paraId="11F678F3" w14:textId="1D561059" w:rsidR="00A77B3E" w:rsidRDefault="000252C0">
      <w:pPr>
        <w:spacing w:line="360" w:lineRule="auto"/>
        <w:jc w:val="both"/>
      </w:pPr>
      <w:r>
        <w:rPr>
          <w:rFonts w:ascii="Book Antiqua" w:eastAsia="Book Antiqua" w:hAnsi="Book Antiqua" w:cs="Book Antiqua"/>
          <w:color w:val="000000"/>
        </w:rPr>
        <w:lastRenderedPageBreak/>
        <w:t xml:space="preserve">58 </w:t>
      </w:r>
      <w:proofErr w:type="spellStart"/>
      <w:r>
        <w:rPr>
          <w:rFonts w:ascii="Book Antiqua" w:eastAsia="Book Antiqua" w:hAnsi="Book Antiqua" w:cs="Book Antiqua"/>
          <w:b/>
          <w:bCs/>
          <w:color w:val="000000"/>
        </w:rPr>
        <w:t>Jørgensen</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Svend</w:t>
      </w:r>
      <w:proofErr w:type="spellEnd"/>
      <w:r>
        <w:rPr>
          <w:rFonts w:ascii="Book Antiqua" w:eastAsia="Book Antiqua" w:hAnsi="Book Antiqua" w:cs="Book Antiqua"/>
          <w:color w:val="000000"/>
        </w:rPr>
        <w:t xml:space="preserve">-Hansen H,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K, Pedersen I. Recurrent post-traumatic anterior shoulder dislocation--open </w:t>
      </w:r>
      <w:r w:rsidR="00DD73BB" w:rsidRPr="00566A97">
        <w:rPr>
          <w:rFonts w:ascii="Book Antiqua" w:eastAsia="Book Antiqua" w:hAnsi="Book Antiqua" w:cs="Book Antiqua"/>
          <w:color w:val="000000"/>
        </w:rPr>
        <w:t>v</w:t>
      </w:r>
      <w:r w:rsidR="00DD73BB">
        <w:rPr>
          <w:rFonts w:ascii="Book Antiqua" w:eastAsia="Book Antiqua" w:hAnsi="Book Antiqua" w:cs="Book Antiqua"/>
          <w:color w:val="000000"/>
        </w:rPr>
        <w:t>ersu</w:t>
      </w:r>
      <w:r w:rsidR="00DD73BB" w:rsidRPr="00566A97">
        <w:rPr>
          <w:rFonts w:ascii="Book Antiqua" w:eastAsia="Book Antiqua" w:hAnsi="Book Antiqua" w:cs="Book Antiqua"/>
          <w:color w:val="000000"/>
        </w:rPr>
        <w:t>s</w:t>
      </w:r>
      <w:r>
        <w:rPr>
          <w:rFonts w:ascii="Book Antiqua" w:eastAsia="Book Antiqua" w:hAnsi="Book Antiqua" w:cs="Book Antiqua"/>
          <w:color w:val="000000"/>
        </w:rPr>
        <w:t xml:space="preserve"> arthroscopic repair. </w:t>
      </w:r>
      <w:r>
        <w:rPr>
          <w:rFonts w:ascii="Book Antiqua" w:eastAsia="Book Antiqua" w:hAnsi="Book Antiqua" w:cs="Book Antiqua"/>
          <w:i/>
          <w:iCs/>
          <w:color w:val="000000"/>
        </w:rPr>
        <w:t xml:space="preserve">Knee Surg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7</w:t>
      </w:r>
      <w:r>
        <w:rPr>
          <w:rFonts w:ascii="Book Antiqua" w:eastAsia="Book Antiqua" w:hAnsi="Book Antiqua" w:cs="Book Antiqua"/>
          <w:color w:val="000000"/>
        </w:rPr>
        <w:t>: 118-124 [PMID: 10223535 DOI: 10.1007/s001670050133]</w:t>
      </w:r>
    </w:p>
    <w:p w14:paraId="378AC8F0" w14:textId="7A524627" w:rsidR="00A77B3E" w:rsidRDefault="000252C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Fabbriciani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Milano G, </w:t>
      </w:r>
      <w:proofErr w:type="spellStart"/>
      <w:r>
        <w:rPr>
          <w:rFonts w:ascii="Book Antiqua" w:eastAsia="Book Antiqua" w:hAnsi="Book Antiqua" w:cs="Book Antiqua"/>
          <w:color w:val="000000"/>
        </w:rPr>
        <w:t>Demontis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Fadda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Mulas</w:t>
      </w:r>
      <w:proofErr w:type="spellEnd"/>
      <w:r>
        <w:rPr>
          <w:rFonts w:ascii="Book Antiqua" w:eastAsia="Book Antiqua" w:hAnsi="Book Antiqua" w:cs="Book Antiqua"/>
          <w:color w:val="000000"/>
        </w:rPr>
        <w:t xml:space="preserve"> PD. Arthroscopic </w:t>
      </w:r>
      <w:r w:rsidR="00E075EE" w:rsidRPr="00566A97">
        <w:rPr>
          <w:rFonts w:ascii="Book Antiqua" w:eastAsia="Book Antiqua" w:hAnsi="Book Antiqua" w:cs="Book Antiqua"/>
          <w:color w:val="000000"/>
        </w:rPr>
        <w:t>v</w:t>
      </w:r>
      <w:r w:rsidR="00E075EE">
        <w:rPr>
          <w:rFonts w:ascii="Book Antiqua" w:eastAsia="Book Antiqua" w:hAnsi="Book Antiqua" w:cs="Book Antiqua"/>
          <w:color w:val="000000"/>
        </w:rPr>
        <w:t>ersu</w:t>
      </w:r>
      <w:r w:rsidR="00E075EE" w:rsidRPr="00566A97">
        <w:rPr>
          <w:rFonts w:ascii="Book Antiqua" w:eastAsia="Book Antiqua" w:hAnsi="Book Antiqua" w:cs="Book Antiqua"/>
          <w:color w:val="000000"/>
        </w:rPr>
        <w:t>s</w:t>
      </w:r>
      <w:r>
        <w:rPr>
          <w:rFonts w:ascii="Book Antiqua" w:eastAsia="Book Antiqua" w:hAnsi="Book Antiqua" w:cs="Book Antiqua"/>
          <w:color w:val="000000"/>
        </w:rPr>
        <w:t xml:space="preserve"> open treatment of Bankart lesion of the shoulder: a prospective randomized study.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456-462 [PMID: 15122134 DOI: 10.1016/j.arthro.2004.03.001]</w:t>
      </w:r>
    </w:p>
    <w:p w14:paraId="624B5DAD" w14:textId="77777777" w:rsidR="00A77B3E" w:rsidRDefault="000252C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Castagna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Rose G, </w:t>
      </w:r>
      <w:proofErr w:type="spellStart"/>
      <w:r>
        <w:rPr>
          <w:rFonts w:ascii="Book Antiqua" w:eastAsia="Book Antiqua" w:hAnsi="Book Antiqua" w:cs="Book Antiqua"/>
          <w:color w:val="000000"/>
        </w:rPr>
        <w:t>Borroni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Cillis</w:t>
      </w:r>
      <w:proofErr w:type="spellEnd"/>
      <w:r>
        <w:rPr>
          <w:rFonts w:ascii="Book Antiqua" w:eastAsia="Book Antiqua" w:hAnsi="Book Antiqua" w:cs="Book Antiqua"/>
          <w:color w:val="000000"/>
        </w:rPr>
        <w:t xml:space="preserve"> BD, Conti M, Garofalo R, Ferguson D, </w:t>
      </w:r>
      <w:proofErr w:type="spellStart"/>
      <w:r>
        <w:rPr>
          <w:rFonts w:ascii="Book Antiqua" w:eastAsia="Book Antiqua" w:hAnsi="Book Antiqua" w:cs="Book Antiqua"/>
          <w:color w:val="000000"/>
        </w:rPr>
        <w:t>Portinaro</w:t>
      </w:r>
      <w:proofErr w:type="spellEnd"/>
      <w:r>
        <w:rPr>
          <w:rFonts w:ascii="Book Antiqua" w:eastAsia="Book Antiqua" w:hAnsi="Book Antiqua" w:cs="Book Antiqua"/>
          <w:color w:val="000000"/>
        </w:rPr>
        <w:t xml:space="preserve"> N. Arthroscopic stabilization of the shoulder in adolescent athletes participating in overhead or contact sports.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309-315 [PMID: 22130494 DOI: 10.1016/j.arthro.2011.08.302]</w:t>
      </w:r>
    </w:p>
    <w:p w14:paraId="0055A26C" w14:textId="77777777" w:rsidR="00A77B3E" w:rsidRDefault="000252C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van der Linde JA</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Kampen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Terwee</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Dijksman</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Kleinjan</w:t>
      </w:r>
      <w:proofErr w:type="spellEnd"/>
      <w:r>
        <w:rPr>
          <w:rFonts w:ascii="Book Antiqua" w:eastAsia="Book Antiqua" w:hAnsi="Book Antiqua" w:cs="Book Antiqua"/>
          <w:color w:val="000000"/>
        </w:rPr>
        <w:t xml:space="preserve"> G, Willems WJ. Long-term results after arthroscopic shoulder stabilization using suture anchors: an 8- to 10-year follow-up.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2396-2403 [PMID: 21803980 DOI: 10.1177/0363546511415657]</w:t>
      </w:r>
    </w:p>
    <w:p w14:paraId="7044C446" w14:textId="77777777" w:rsidR="00A77B3E" w:rsidRDefault="000252C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Castagna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Markopoulos N, Conti M,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Rose G, </w:t>
      </w:r>
      <w:proofErr w:type="spellStart"/>
      <w:r>
        <w:rPr>
          <w:rFonts w:ascii="Book Antiqua" w:eastAsia="Book Antiqua" w:hAnsi="Book Antiqua" w:cs="Book Antiqua"/>
          <w:color w:val="000000"/>
        </w:rPr>
        <w:t>Papadakou</w:t>
      </w:r>
      <w:proofErr w:type="spellEnd"/>
      <w:r>
        <w:rPr>
          <w:rFonts w:ascii="Book Antiqua" w:eastAsia="Book Antiqua" w:hAnsi="Book Antiqua" w:cs="Book Antiqua"/>
          <w:color w:val="000000"/>
        </w:rPr>
        <w:t xml:space="preserve"> E, Garofalo R. Arthroscopic </w:t>
      </w:r>
      <w:proofErr w:type="spellStart"/>
      <w:r>
        <w:rPr>
          <w:rFonts w:ascii="Book Antiqua" w:eastAsia="Book Antiqua" w:hAnsi="Book Antiqua" w:cs="Book Antiqua"/>
          <w:color w:val="000000"/>
        </w:rPr>
        <w:t>bankart</w:t>
      </w:r>
      <w:proofErr w:type="spellEnd"/>
      <w:r>
        <w:rPr>
          <w:rFonts w:ascii="Book Antiqua" w:eastAsia="Book Antiqua" w:hAnsi="Book Antiqua" w:cs="Book Antiqua"/>
          <w:color w:val="000000"/>
        </w:rPr>
        <w:t xml:space="preserve"> suture-anchor repair: radiological and clinical outcome at minimum 10 years of follow-up.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2012-2016 [PMID: 20595552 DOI: 10.1177/0363546510372614]</w:t>
      </w:r>
    </w:p>
    <w:p w14:paraId="192AB6BB" w14:textId="77777777" w:rsidR="00A77B3E" w:rsidRDefault="000252C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Plath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Aboalata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Seppel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Juretzko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Waldt</w:t>
      </w:r>
      <w:proofErr w:type="spellEnd"/>
      <w:r>
        <w:rPr>
          <w:rFonts w:ascii="Book Antiqua" w:eastAsia="Book Antiqua" w:hAnsi="Book Antiqua" w:cs="Book Antiqua"/>
          <w:color w:val="000000"/>
        </w:rPr>
        <w:t xml:space="preserve"> S, Vogt S, Imhoff AB. Prevalence of and Risk Factors for Dislocation Arthropathy: Radiological Long-term Outcome of Arthroscopic Bankart Repair in 100 Shoulders at an Average 13-Year Follow-up.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1084-1090 [PMID: 25731974 DOI: 10.1177/0363546515570621]</w:t>
      </w:r>
    </w:p>
    <w:p w14:paraId="16B0EB31" w14:textId="77777777" w:rsidR="00A77B3E" w:rsidRDefault="000252C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Moroder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Odorizzi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Pizzinini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Demetz</w:t>
      </w:r>
      <w:proofErr w:type="spellEnd"/>
      <w:r>
        <w:rPr>
          <w:rFonts w:ascii="Book Antiqua" w:eastAsia="Book Antiqua" w:hAnsi="Book Antiqua" w:cs="Book Antiqua"/>
          <w:color w:val="000000"/>
        </w:rPr>
        <w:t xml:space="preserve"> E, Resch H, Moroder P. Open Bankart Repair for the Treatment of Anterior Shoulder Instability without Substantial Osseous Glenoid Defects: Results After a Minimum Follow-up of Twenty Years.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97</w:t>
      </w:r>
      <w:r>
        <w:rPr>
          <w:rFonts w:ascii="Book Antiqua" w:eastAsia="Book Antiqua" w:hAnsi="Book Antiqua" w:cs="Book Antiqua"/>
          <w:color w:val="000000"/>
        </w:rPr>
        <w:t>: 1398-1405 [PMID: 26333734 DOI: 10.2106/JBJS.N.01214]</w:t>
      </w:r>
    </w:p>
    <w:p w14:paraId="1C3B86AD" w14:textId="77777777" w:rsidR="00A77B3E" w:rsidRDefault="000252C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Cho NS</w:t>
      </w:r>
      <w:r>
        <w:rPr>
          <w:rFonts w:ascii="Book Antiqua" w:eastAsia="Book Antiqua" w:hAnsi="Book Antiqua" w:cs="Book Antiqua"/>
          <w:color w:val="000000"/>
        </w:rPr>
        <w:t xml:space="preserve">, Yi JW, Lee BG, Rhee YG. Revision open Bankart surgery after arthroscopic repair for traumatic anterior shoulder instability.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2158-2164 [PMID: 19776342 DOI: 10.1177/0363546509339015]</w:t>
      </w:r>
    </w:p>
    <w:p w14:paraId="32AA6674" w14:textId="77777777" w:rsidR="00A77B3E" w:rsidRDefault="000252C0">
      <w:pPr>
        <w:spacing w:line="360" w:lineRule="auto"/>
        <w:jc w:val="both"/>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Sisto</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Revision of failed arthroscopic </w:t>
      </w:r>
      <w:proofErr w:type="spellStart"/>
      <w:r>
        <w:rPr>
          <w:rFonts w:ascii="Book Antiqua" w:eastAsia="Book Antiqua" w:hAnsi="Book Antiqua" w:cs="Book Antiqua"/>
          <w:color w:val="000000"/>
        </w:rPr>
        <w:t>bankart</w:t>
      </w:r>
      <w:proofErr w:type="spellEnd"/>
      <w:r>
        <w:rPr>
          <w:rFonts w:ascii="Book Antiqua" w:eastAsia="Book Antiqua" w:hAnsi="Book Antiqua" w:cs="Book Antiqua"/>
          <w:color w:val="000000"/>
        </w:rPr>
        <w:t xml:space="preserve"> repairs.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537-541 [PMID: 17244898 DOI: 10.1177/0363546506296520]</w:t>
      </w:r>
    </w:p>
    <w:p w14:paraId="4E292E2E" w14:textId="77777777" w:rsidR="00A77B3E" w:rsidRDefault="000252C0">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Neviaser</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Benke</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Neviaser</w:t>
      </w:r>
      <w:proofErr w:type="spellEnd"/>
      <w:r>
        <w:rPr>
          <w:rFonts w:ascii="Book Antiqua" w:eastAsia="Book Antiqua" w:hAnsi="Book Antiqua" w:cs="Book Antiqua"/>
          <w:color w:val="000000"/>
        </w:rPr>
        <w:t xml:space="preserve"> RJ. Open Bankart repair for revision of failed prior stabilization: outcome analysis at a mean of more than 10 years.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897-901 [PMID: 25498480 DOI: 10.1016/j.jse.2014.11.036]</w:t>
      </w:r>
    </w:p>
    <w:p w14:paraId="1CDD83D6" w14:textId="77777777" w:rsidR="00A77B3E" w:rsidRDefault="000252C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Di Giacomo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E, Burkhart SS. Evolving concept of bipolar bone loss and the Hill-Sachs lesion: from "engaging/non-engaging" lesion to "on-track/off-track" lesion.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90-98 [PMID: 24384275 DOI: 10.1016/j.arthro.2013.10.004]</w:t>
      </w:r>
    </w:p>
    <w:p w14:paraId="79177C82" w14:textId="77777777" w:rsidR="00A77B3E" w:rsidRDefault="000252C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Di Giacomo G</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Gasperis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Costantini</w:t>
      </w:r>
      <w:proofErr w:type="spellEnd"/>
      <w:r>
        <w:rPr>
          <w:rFonts w:ascii="Book Antiqua" w:eastAsia="Book Antiqua" w:hAnsi="Book Antiqua" w:cs="Book Antiqua"/>
          <w:color w:val="000000"/>
        </w:rPr>
        <w:t xml:space="preserve"> A, De Vita A, </w:t>
      </w:r>
      <w:proofErr w:type="spellStart"/>
      <w:r>
        <w:rPr>
          <w:rFonts w:ascii="Book Antiqua" w:eastAsia="Book Antiqua" w:hAnsi="Book Antiqua" w:cs="Book Antiqua"/>
          <w:color w:val="000000"/>
        </w:rPr>
        <w:t>Beccaglia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Pouliart</w:t>
      </w:r>
      <w:proofErr w:type="spellEnd"/>
      <w:r>
        <w:rPr>
          <w:rFonts w:ascii="Book Antiqua" w:eastAsia="Book Antiqua" w:hAnsi="Book Antiqua" w:cs="Book Antiqua"/>
          <w:color w:val="000000"/>
        </w:rPr>
        <w:t xml:space="preserve"> N. Does the presence of glenoid bone loss influence coracoid bone graft osteolysis after the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 A computed tomography scan study in 2 groups of patients with and without glenoid bone loss.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514-518 [PMID: 24406124 DOI: 10.1016/j.jse.2013.10.005]</w:t>
      </w:r>
    </w:p>
    <w:p w14:paraId="15108A47" w14:textId="77777777" w:rsidR="00A77B3E" w:rsidRDefault="000252C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Provencher MT</w:t>
      </w:r>
      <w:r>
        <w:rPr>
          <w:rFonts w:ascii="Book Antiqua" w:eastAsia="Book Antiqua" w:hAnsi="Book Antiqua" w:cs="Book Antiqua"/>
          <w:color w:val="000000"/>
        </w:rPr>
        <w:t xml:space="preserve">, Bhatia S, </w:t>
      </w:r>
      <w:proofErr w:type="spellStart"/>
      <w:r>
        <w:rPr>
          <w:rFonts w:ascii="Book Antiqua" w:eastAsia="Book Antiqua" w:hAnsi="Book Antiqua" w:cs="Book Antiqua"/>
          <w:color w:val="000000"/>
        </w:rPr>
        <w:t>Ghodadra</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Grumet</w:t>
      </w:r>
      <w:proofErr w:type="spellEnd"/>
      <w:r>
        <w:rPr>
          <w:rFonts w:ascii="Book Antiqua" w:eastAsia="Book Antiqua" w:hAnsi="Book Antiqua" w:cs="Book Antiqua"/>
          <w:color w:val="000000"/>
        </w:rPr>
        <w:t xml:space="preserve"> RC, Bach BR Jr, Dewing CB, </w:t>
      </w:r>
      <w:proofErr w:type="spellStart"/>
      <w:r>
        <w:rPr>
          <w:rFonts w:ascii="Book Antiqua" w:eastAsia="Book Antiqua" w:hAnsi="Book Antiqua" w:cs="Book Antiqua"/>
          <w:color w:val="000000"/>
        </w:rPr>
        <w:t>LeClere</w:t>
      </w:r>
      <w:proofErr w:type="spellEnd"/>
      <w:r>
        <w:rPr>
          <w:rFonts w:ascii="Book Antiqua" w:eastAsia="Book Antiqua" w:hAnsi="Book Antiqua" w:cs="Book Antiqua"/>
          <w:color w:val="000000"/>
        </w:rPr>
        <w:t xml:space="preserve"> L, Romeo AA. Recurrent shoulder instability: current concepts for evaluation and management of glenoid bone loss.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92 Suppl 2</w:t>
      </w:r>
      <w:r>
        <w:rPr>
          <w:rFonts w:ascii="Book Antiqua" w:eastAsia="Book Antiqua" w:hAnsi="Book Antiqua" w:cs="Book Antiqua"/>
          <w:color w:val="000000"/>
        </w:rPr>
        <w:t>: 133-151 [PMID: 21123597 DOI: 10.2106/JBJS.J.00906]</w:t>
      </w:r>
    </w:p>
    <w:p w14:paraId="369593CB" w14:textId="77777777" w:rsidR="00A77B3E" w:rsidRDefault="000252C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Burkhart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Debeer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Tehrany</w:t>
      </w:r>
      <w:proofErr w:type="spellEnd"/>
      <w:r>
        <w:rPr>
          <w:rFonts w:ascii="Book Antiqua" w:eastAsia="Book Antiqua" w:hAnsi="Book Antiqua" w:cs="Book Antiqua"/>
          <w:color w:val="000000"/>
        </w:rPr>
        <w:t xml:space="preserve"> AM, Parten PM. Quantifying glenoid bone loss arthroscopically in shoulder instability.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2002; </w:t>
      </w:r>
      <w:r>
        <w:rPr>
          <w:rFonts w:ascii="Book Antiqua" w:eastAsia="Book Antiqua" w:hAnsi="Book Antiqua" w:cs="Book Antiqua"/>
          <w:b/>
          <w:bCs/>
          <w:color w:val="000000"/>
        </w:rPr>
        <w:t>18</w:t>
      </w:r>
      <w:r>
        <w:rPr>
          <w:rFonts w:ascii="Book Antiqua" w:eastAsia="Book Antiqua" w:hAnsi="Book Antiqua" w:cs="Book Antiqua"/>
          <w:color w:val="000000"/>
        </w:rPr>
        <w:t>: 488-491 [PMID: 11987058 DOI: 10.1053/jars.2002.32212]</w:t>
      </w:r>
    </w:p>
    <w:p w14:paraId="2353AFF5" w14:textId="77777777" w:rsidR="00A77B3E" w:rsidRDefault="000252C0">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Lee SB, Berglund LJ, Berge LL, An KN. The effect of a glenoid defect on anteroinferior stability of the shoulder after Bankart repair: a cadaveric study.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2000; </w:t>
      </w:r>
      <w:r>
        <w:rPr>
          <w:rFonts w:ascii="Book Antiqua" w:eastAsia="Book Antiqua" w:hAnsi="Book Antiqua" w:cs="Book Antiqua"/>
          <w:b/>
          <w:bCs/>
          <w:color w:val="000000"/>
        </w:rPr>
        <w:t>82</w:t>
      </w:r>
      <w:r>
        <w:rPr>
          <w:rFonts w:ascii="Book Antiqua" w:eastAsia="Book Antiqua" w:hAnsi="Book Antiqua" w:cs="Book Antiqua"/>
          <w:color w:val="000000"/>
        </w:rPr>
        <w:t>: 35-46 [PMID: 10653082 DOI: 10.2106/00004623-200001000-00005]</w:t>
      </w:r>
    </w:p>
    <w:p w14:paraId="5C922258" w14:textId="77777777" w:rsidR="00A77B3E" w:rsidRDefault="000252C0">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Shaha</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Cook JB, Song DJ, Rowles DJ, </w:t>
      </w:r>
      <w:proofErr w:type="spellStart"/>
      <w:r>
        <w:rPr>
          <w:rFonts w:ascii="Book Antiqua" w:eastAsia="Book Antiqua" w:hAnsi="Book Antiqua" w:cs="Book Antiqua"/>
          <w:color w:val="000000"/>
        </w:rPr>
        <w:t>Bottoni</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Shaha</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Tokish</w:t>
      </w:r>
      <w:proofErr w:type="spellEnd"/>
      <w:r>
        <w:rPr>
          <w:rFonts w:ascii="Book Antiqua" w:eastAsia="Book Antiqua" w:hAnsi="Book Antiqua" w:cs="Book Antiqua"/>
          <w:color w:val="000000"/>
        </w:rPr>
        <w:t xml:space="preserve"> JM. Redefining "Critical" Bone Loss in Shoulder Instability: Functional Outcomes Worsen With "Subcritical" Bone Loss.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1719-1725 [PMID: 25883168 DOI: 10.1177/0363546515578250]</w:t>
      </w:r>
    </w:p>
    <w:p w14:paraId="6D3C69BA" w14:textId="77777777" w:rsidR="00A77B3E" w:rsidRDefault="000252C0">
      <w:pPr>
        <w:spacing w:line="360" w:lineRule="auto"/>
        <w:jc w:val="both"/>
      </w:pPr>
      <w:r>
        <w:rPr>
          <w:rFonts w:ascii="Book Antiqua" w:eastAsia="Book Antiqua" w:hAnsi="Book Antiqua" w:cs="Book Antiqua"/>
          <w:color w:val="000000"/>
        </w:rPr>
        <w:lastRenderedPageBreak/>
        <w:t xml:space="preserve">74 </w:t>
      </w:r>
      <w:proofErr w:type="spellStart"/>
      <w:r>
        <w:rPr>
          <w:rFonts w:ascii="Book Antiqua" w:eastAsia="Book Antiqua" w:hAnsi="Book Antiqua" w:cs="Book Antiqua"/>
          <w:b/>
          <w:bCs/>
          <w:color w:val="000000"/>
        </w:rPr>
        <w:t>Skendzel</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Sekiya JK. Diagnosis and management of humeral head bone loss in shoulder instability.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2633-2644 [PMID: 22343756 DOI: 10.1177/0363546512437314]</w:t>
      </w:r>
    </w:p>
    <w:p w14:paraId="41B0E3A8" w14:textId="77777777" w:rsidR="00A77B3E" w:rsidRDefault="000252C0">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Bühler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Gerber C. Shoulder instability related to epileptic seizures.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11</w:t>
      </w:r>
      <w:r>
        <w:rPr>
          <w:rFonts w:ascii="Book Antiqua" w:eastAsia="Book Antiqua" w:hAnsi="Book Antiqua" w:cs="Book Antiqua"/>
          <w:color w:val="000000"/>
        </w:rPr>
        <w:t>: 339-344 [PMID: 12195251 DOI: 10.1067/mse.2002.124524]</w:t>
      </w:r>
    </w:p>
    <w:p w14:paraId="3A1A6AD7" w14:textId="77777777" w:rsidR="00A77B3E" w:rsidRDefault="000252C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Yang TC</w:t>
      </w:r>
      <w:r>
        <w:rPr>
          <w:rFonts w:ascii="Book Antiqua" w:eastAsia="Book Antiqua" w:hAnsi="Book Antiqua" w:cs="Book Antiqua"/>
          <w:color w:val="000000"/>
        </w:rPr>
        <w:t xml:space="preserve">, Chen KH, Chiang ER, Chang MC, Ma HL. Using the "Hill-Sachs interval to glenoid track width ratio" for prediction of recurrent instability after arthroscopic Bankart repair.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797-801 [PMID: 29654932 DOI: 10.1016/j.otsr.2018.02.013]</w:t>
      </w:r>
    </w:p>
    <w:p w14:paraId="22818689" w14:textId="77777777" w:rsidR="00A77B3E" w:rsidRDefault="000252C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Metzger PD</w:t>
      </w:r>
      <w:r>
        <w:rPr>
          <w:rFonts w:ascii="Book Antiqua" w:eastAsia="Book Antiqua" w:hAnsi="Book Antiqua" w:cs="Book Antiqua"/>
          <w:color w:val="000000"/>
        </w:rPr>
        <w:t xml:space="preserve">, Barlow B, </w:t>
      </w:r>
      <w:proofErr w:type="spellStart"/>
      <w:r>
        <w:rPr>
          <w:rFonts w:ascii="Book Antiqua" w:eastAsia="Book Antiqua" w:hAnsi="Book Antiqua" w:cs="Book Antiqua"/>
          <w:color w:val="000000"/>
        </w:rPr>
        <w:t>Leonardelli</w:t>
      </w:r>
      <w:proofErr w:type="spellEnd"/>
      <w:r>
        <w:rPr>
          <w:rFonts w:ascii="Book Antiqua" w:eastAsia="Book Antiqua" w:hAnsi="Book Antiqua" w:cs="Book Antiqua"/>
          <w:color w:val="000000"/>
        </w:rPr>
        <w:t xml:space="preserve"> D, Peace W, Solomon DJ, Provencher MT. Clinical Application of the "Glenoid Track" Concept for Defining Humeral Head Engagement in Anterior Shoulder Instability: A Preliminary Report.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 Sports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2325967113496213 [PMID: 26535236 DOI: 10.1177/2325967113496213]</w:t>
      </w:r>
    </w:p>
    <w:p w14:paraId="5E12F3BC" w14:textId="77777777" w:rsidR="00A77B3E" w:rsidRDefault="000252C0">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Balg</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Boileau P. The instability severity index score. A simple pre-operative score to select patients for arthroscopic or open shoulder </w:t>
      </w:r>
      <w:proofErr w:type="spellStart"/>
      <w:r>
        <w:rPr>
          <w:rFonts w:ascii="Book Antiqua" w:eastAsia="Book Antiqua" w:hAnsi="Book Antiqua" w:cs="Book Antiqua"/>
          <w:color w:val="000000"/>
        </w:rPr>
        <w:t>stabilisation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2007; </w:t>
      </w:r>
      <w:r>
        <w:rPr>
          <w:rFonts w:ascii="Book Antiqua" w:eastAsia="Book Antiqua" w:hAnsi="Book Antiqua" w:cs="Book Antiqua"/>
          <w:b/>
          <w:bCs/>
          <w:color w:val="000000"/>
        </w:rPr>
        <w:t>89</w:t>
      </w:r>
      <w:r>
        <w:rPr>
          <w:rFonts w:ascii="Book Antiqua" w:eastAsia="Book Antiqua" w:hAnsi="Book Antiqua" w:cs="Book Antiqua"/>
          <w:color w:val="000000"/>
        </w:rPr>
        <w:t>: 1470-1477 [PMID: 17998184 DOI: 10.1302/0301-620X.89B11.18962]</w:t>
      </w:r>
    </w:p>
    <w:p w14:paraId="181D5575" w14:textId="77777777" w:rsidR="00A77B3E" w:rsidRDefault="000252C0">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Boughebri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Maqdes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Moraiti</w:t>
      </w:r>
      <w:proofErr w:type="spellEnd"/>
      <w:r>
        <w:rPr>
          <w:rFonts w:ascii="Book Antiqua" w:eastAsia="Book Antiqua" w:hAnsi="Book Antiqua" w:cs="Book Antiqua"/>
          <w:color w:val="000000"/>
        </w:rPr>
        <w:t xml:space="preserve"> C, Dib C, </w:t>
      </w:r>
      <w:proofErr w:type="spellStart"/>
      <w:r>
        <w:rPr>
          <w:rFonts w:ascii="Book Antiqua" w:eastAsia="Book Antiqua" w:hAnsi="Book Antiqua" w:cs="Book Antiqua"/>
          <w:color w:val="000000"/>
        </w:rPr>
        <w:t>Leclère</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P. Results of 45 arthroscopic Bankart procedures: Does the ISIS remain a reliable prognostic assessment after 5 years?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709-716 [PMID: 25480327 DOI: 10.1007/s00590-014-1562-5]</w:t>
      </w:r>
    </w:p>
    <w:p w14:paraId="38641B08" w14:textId="77777777" w:rsidR="00A77B3E" w:rsidRDefault="000252C0">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Loppini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Rose G, </w:t>
      </w:r>
      <w:proofErr w:type="spellStart"/>
      <w:r>
        <w:rPr>
          <w:rFonts w:ascii="Book Antiqua" w:eastAsia="Book Antiqua" w:hAnsi="Book Antiqua" w:cs="Book Antiqua"/>
          <w:color w:val="000000"/>
        </w:rPr>
        <w:t>Borroni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Morenghi</w:t>
      </w:r>
      <w:proofErr w:type="spellEnd"/>
      <w:r>
        <w:rPr>
          <w:rFonts w:ascii="Book Antiqua" w:eastAsia="Book Antiqua" w:hAnsi="Book Antiqua" w:cs="Book Antiqua"/>
          <w:color w:val="000000"/>
        </w:rPr>
        <w:t xml:space="preserve"> E, Pitino D, Domínguez Zamora C,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Is the Instability Severity Index Score a Valid Tool for Predicting Failure After Primary Arthroscopic Stabilization for Anterior Glenohumeral Instability?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361-366 [PMID: 30611589 DOI: 10.1016/j.arthro.2018.09.027]</w:t>
      </w:r>
    </w:p>
    <w:p w14:paraId="736DDE37" w14:textId="77777777" w:rsidR="00A77B3E" w:rsidRDefault="000252C0">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Phadnis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Arnold C, </w:t>
      </w:r>
      <w:proofErr w:type="spellStart"/>
      <w:r>
        <w:rPr>
          <w:rFonts w:ascii="Book Antiqua" w:eastAsia="Book Antiqua" w:hAnsi="Book Antiqua" w:cs="Book Antiqua"/>
          <w:color w:val="000000"/>
        </w:rPr>
        <w:t>Elmorsy</w:t>
      </w:r>
      <w:proofErr w:type="spellEnd"/>
      <w:r>
        <w:rPr>
          <w:rFonts w:ascii="Book Antiqua" w:eastAsia="Book Antiqua" w:hAnsi="Book Antiqua" w:cs="Book Antiqua"/>
          <w:color w:val="000000"/>
        </w:rPr>
        <w:t xml:space="preserve"> A, Flannery M. Utility of the Instability Severity Index Score in Predicting Failure After Arthroscopic Anterior Stabilization of the Shoulder.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1983-1988 [PMID: 26122385 DOI: 10.1177/0363546515587083]</w:t>
      </w:r>
    </w:p>
    <w:p w14:paraId="58F2DBCA" w14:textId="77777777" w:rsidR="00A77B3E" w:rsidRDefault="000252C0">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Thomazeau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Courage O, Barth J, </w:t>
      </w:r>
      <w:proofErr w:type="spellStart"/>
      <w:r>
        <w:rPr>
          <w:rFonts w:ascii="Book Antiqua" w:eastAsia="Book Antiqua" w:hAnsi="Book Antiqua" w:cs="Book Antiqua"/>
          <w:color w:val="000000"/>
        </w:rPr>
        <w:t>Pélégri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Charousset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Lespagnol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Nourissat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Audebert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Guillo</w:t>
      </w:r>
      <w:proofErr w:type="spellEnd"/>
      <w:r>
        <w:rPr>
          <w:rFonts w:ascii="Book Antiqua" w:eastAsia="Book Antiqua" w:hAnsi="Book Antiqua" w:cs="Book Antiqua"/>
          <w:color w:val="000000"/>
        </w:rPr>
        <w:t xml:space="preserve"> S, Toussaint B, </w:t>
      </w:r>
      <w:proofErr w:type="spellStart"/>
      <w:r>
        <w:rPr>
          <w:rFonts w:ascii="Book Antiqua" w:eastAsia="Book Antiqua" w:hAnsi="Book Antiqua" w:cs="Book Antiqua"/>
          <w:color w:val="000000"/>
        </w:rPr>
        <w:t>Lafosse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Bradel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Veillard</w:t>
      </w:r>
      <w:proofErr w:type="spellEnd"/>
      <w:r>
        <w:rPr>
          <w:rFonts w:ascii="Book Antiqua" w:eastAsia="Book Antiqua" w:hAnsi="Book Antiqua" w:cs="Book Antiqua"/>
          <w:color w:val="000000"/>
        </w:rPr>
        <w:t xml:space="preserve"> D, Boileau P; French </w:t>
      </w:r>
      <w:r>
        <w:rPr>
          <w:rFonts w:ascii="Book Antiqua" w:eastAsia="Book Antiqua" w:hAnsi="Book Antiqua" w:cs="Book Antiqua"/>
          <w:color w:val="000000"/>
        </w:rPr>
        <w:lastRenderedPageBreak/>
        <w:t xml:space="preserve">Arthroscopy Society. Can we improve the indication for Bankart arthroscopic repair? A preliminary clinical study using the ISIS score.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96</w:t>
      </w:r>
      <w:r>
        <w:rPr>
          <w:rFonts w:ascii="Book Antiqua" w:eastAsia="Book Antiqua" w:hAnsi="Book Antiqua" w:cs="Book Antiqua"/>
          <w:color w:val="000000"/>
        </w:rPr>
        <w:t>: S77-S83 [PMID: 21035419 DOI: 10.1016/j.otsr.2010.09.007]</w:t>
      </w:r>
    </w:p>
    <w:p w14:paraId="77E6BF4D" w14:textId="77777777" w:rsidR="00A77B3E" w:rsidRDefault="000252C0">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Thomazeau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Langlais</w:t>
      </w:r>
      <w:proofErr w:type="spellEnd"/>
      <w:r>
        <w:rPr>
          <w:rFonts w:ascii="Book Antiqua" w:eastAsia="Book Antiqua" w:hAnsi="Book Antiqua" w:cs="Book Antiqua"/>
          <w:color w:val="000000"/>
        </w:rPr>
        <w:t xml:space="preserve"> T, Hardy A, </w:t>
      </w:r>
      <w:proofErr w:type="spellStart"/>
      <w:r>
        <w:rPr>
          <w:rFonts w:ascii="Book Antiqua" w:eastAsia="Book Antiqua" w:hAnsi="Book Antiqua" w:cs="Book Antiqua"/>
          <w:color w:val="000000"/>
        </w:rPr>
        <w:t>Curado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Herisson</w:t>
      </w:r>
      <w:proofErr w:type="spellEnd"/>
      <w:r>
        <w:rPr>
          <w:rFonts w:ascii="Book Antiqua" w:eastAsia="Book Antiqua" w:hAnsi="Book Antiqua" w:cs="Book Antiqua"/>
          <w:color w:val="000000"/>
        </w:rPr>
        <w:t xml:space="preserve"> O, Mouton J, </w:t>
      </w:r>
      <w:proofErr w:type="spellStart"/>
      <w:r>
        <w:rPr>
          <w:rFonts w:ascii="Book Antiqua" w:eastAsia="Book Antiqua" w:hAnsi="Book Antiqua" w:cs="Book Antiqua"/>
          <w:color w:val="000000"/>
        </w:rPr>
        <w:t>Charousset</w:t>
      </w:r>
      <w:proofErr w:type="spellEnd"/>
      <w:r>
        <w:rPr>
          <w:rFonts w:ascii="Book Antiqua" w:eastAsia="Book Antiqua" w:hAnsi="Book Antiqua" w:cs="Book Antiqua"/>
          <w:color w:val="000000"/>
        </w:rPr>
        <w:t xml:space="preserve"> C, Courage O; French Arthroscopy Society, </w:t>
      </w:r>
      <w:proofErr w:type="spellStart"/>
      <w:r>
        <w:rPr>
          <w:rFonts w:ascii="Book Antiqua" w:eastAsia="Book Antiqua" w:hAnsi="Book Antiqua" w:cs="Book Antiqua"/>
          <w:color w:val="000000"/>
        </w:rPr>
        <w:t>Nourissat</w:t>
      </w:r>
      <w:proofErr w:type="spellEnd"/>
      <w:r>
        <w:rPr>
          <w:rFonts w:ascii="Book Antiqua" w:eastAsia="Book Antiqua" w:hAnsi="Book Antiqua" w:cs="Book Antiqua"/>
          <w:color w:val="000000"/>
        </w:rPr>
        <w:t xml:space="preserve"> G. Long-term, Prospective, Multicenter Study of Isolated Bankart Repair for a Patient Selection Method Based on the Instability Severity Index Score.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1057-1061 [PMID: 30883182 DOI: 10.1177/0363546519833920]</w:t>
      </w:r>
    </w:p>
    <w:p w14:paraId="6A45F4E4" w14:textId="16A64F2C" w:rsidR="00A77B3E" w:rsidRDefault="000252C0">
      <w:pPr>
        <w:spacing w:line="360" w:lineRule="auto"/>
        <w:jc w:val="both"/>
      </w:pPr>
      <w:r w:rsidRPr="00A51F86">
        <w:rPr>
          <w:rFonts w:ascii="Book Antiqua" w:eastAsia="Book Antiqua" w:hAnsi="Book Antiqua" w:cs="Book Antiqua"/>
          <w:color w:val="000000"/>
          <w:highlight w:val="yellow"/>
        </w:rPr>
        <w:t xml:space="preserve">84 </w:t>
      </w:r>
      <w:r w:rsidRPr="00A51F86">
        <w:rPr>
          <w:rFonts w:ascii="Book Antiqua" w:eastAsia="Book Antiqua" w:hAnsi="Book Antiqua" w:cs="Book Antiqua"/>
          <w:b/>
          <w:bCs/>
          <w:color w:val="000000"/>
          <w:highlight w:val="yellow"/>
        </w:rPr>
        <w:t>Barnes L</w:t>
      </w:r>
      <w:r w:rsidRPr="00A51F86">
        <w:rPr>
          <w:rFonts w:ascii="Book Antiqua" w:eastAsia="Book Antiqua" w:hAnsi="Book Antiqua" w:cs="Book Antiqua"/>
          <w:color w:val="000000"/>
          <w:highlight w:val="yellow"/>
        </w:rPr>
        <w:t xml:space="preserve">, Parsons B, Lippitt S, </w:t>
      </w:r>
      <w:proofErr w:type="spellStart"/>
      <w:r w:rsidRPr="00A51F86">
        <w:rPr>
          <w:rFonts w:ascii="Book Antiqua" w:eastAsia="Book Antiqua" w:hAnsi="Book Antiqua" w:cs="Book Antiqua"/>
          <w:color w:val="000000"/>
          <w:highlight w:val="yellow"/>
        </w:rPr>
        <w:t>Flatow</w:t>
      </w:r>
      <w:proofErr w:type="spellEnd"/>
      <w:r w:rsidRPr="00A51F86">
        <w:rPr>
          <w:rFonts w:ascii="Book Antiqua" w:eastAsia="Book Antiqua" w:hAnsi="Book Antiqua" w:cs="Book Antiqua"/>
          <w:color w:val="000000"/>
          <w:highlight w:val="yellow"/>
        </w:rPr>
        <w:t xml:space="preserve"> E, FA M. Glenohumeral Instability. In: Rockwood Jr C, </w:t>
      </w:r>
      <w:proofErr w:type="spellStart"/>
      <w:r w:rsidRPr="00A51F86">
        <w:rPr>
          <w:rFonts w:ascii="Book Antiqua" w:eastAsia="Book Antiqua" w:hAnsi="Book Antiqua" w:cs="Book Antiqua"/>
          <w:color w:val="000000"/>
          <w:highlight w:val="yellow"/>
        </w:rPr>
        <w:t>Matsen</w:t>
      </w:r>
      <w:proofErr w:type="spellEnd"/>
      <w:r w:rsidRPr="00A51F86">
        <w:rPr>
          <w:rFonts w:ascii="Book Antiqua" w:eastAsia="Book Antiqua" w:hAnsi="Book Antiqua" w:cs="Book Antiqua"/>
          <w:color w:val="000000"/>
          <w:highlight w:val="yellow"/>
        </w:rPr>
        <w:t xml:space="preserve"> F, Wirth M, Lippitt S, </w:t>
      </w:r>
      <w:proofErr w:type="spellStart"/>
      <w:r w:rsidRPr="00A51F86">
        <w:rPr>
          <w:rFonts w:ascii="Book Antiqua" w:eastAsia="Book Antiqua" w:hAnsi="Book Antiqua" w:cs="Book Antiqua"/>
          <w:color w:val="000000"/>
          <w:highlight w:val="yellow"/>
        </w:rPr>
        <w:t>Fehringer</w:t>
      </w:r>
      <w:proofErr w:type="spellEnd"/>
      <w:r w:rsidRPr="00A51F86">
        <w:rPr>
          <w:rFonts w:ascii="Book Antiqua" w:eastAsia="Book Antiqua" w:hAnsi="Book Antiqua" w:cs="Book Antiqua"/>
          <w:color w:val="000000"/>
          <w:highlight w:val="yellow"/>
        </w:rPr>
        <w:t xml:space="preserve"> E, Sperling J. Rockwood and </w:t>
      </w:r>
      <w:proofErr w:type="spellStart"/>
      <w:r w:rsidRPr="00A51F86">
        <w:rPr>
          <w:rFonts w:ascii="Book Antiqua" w:eastAsia="Book Antiqua" w:hAnsi="Book Antiqua" w:cs="Book Antiqua"/>
          <w:color w:val="000000"/>
          <w:highlight w:val="yellow"/>
        </w:rPr>
        <w:t>Matsen's</w:t>
      </w:r>
      <w:proofErr w:type="spellEnd"/>
      <w:r w:rsidRPr="00A51F86">
        <w:rPr>
          <w:rFonts w:ascii="Book Antiqua" w:eastAsia="Book Antiqua" w:hAnsi="Book Antiqua" w:cs="Book Antiqua"/>
          <w:color w:val="000000"/>
          <w:highlight w:val="yellow"/>
        </w:rPr>
        <w:t xml:space="preserve"> The Shoulder. </w:t>
      </w:r>
      <w:r w:rsidR="00A51F86" w:rsidRPr="00A51F86">
        <w:rPr>
          <w:rFonts w:ascii="Book Antiqua" w:eastAsia="Book Antiqua" w:hAnsi="Book Antiqua" w:cs="Book Antiqua"/>
          <w:color w:val="000000"/>
          <w:highlight w:val="yellow"/>
        </w:rPr>
        <w:t>5th</w:t>
      </w:r>
      <w:r w:rsidRPr="00A51F86">
        <w:rPr>
          <w:rFonts w:ascii="Book Antiqua" w:eastAsia="Book Antiqua" w:hAnsi="Book Antiqua" w:cs="Book Antiqua"/>
          <w:color w:val="000000"/>
          <w:highlight w:val="yellow"/>
        </w:rPr>
        <w:t xml:space="preserve"> ed.</w:t>
      </w:r>
      <w:r w:rsidR="00A51F86" w:rsidRPr="00A51F86">
        <w:rPr>
          <w:rFonts w:ascii="Book Antiqua" w:eastAsia="Book Antiqua" w:hAnsi="Book Antiqua" w:cs="Book Antiqua"/>
          <w:color w:val="000000"/>
          <w:highlight w:val="yellow"/>
        </w:rPr>
        <w:t xml:space="preserve"> </w:t>
      </w:r>
      <w:r w:rsidRPr="00A51F86">
        <w:rPr>
          <w:rFonts w:ascii="Book Antiqua" w:eastAsia="Book Antiqua" w:hAnsi="Book Antiqua" w:cs="Book Antiqua"/>
          <w:color w:val="000000"/>
          <w:highlight w:val="yellow"/>
        </w:rPr>
        <w:t>Elsevier</w:t>
      </w:r>
      <w:r w:rsidR="00A51F86" w:rsidRPr="00A51F86">
        <w:rPr>
          <w:rFonts w:ascii="Book Antiqua" w:eastAsia="Book Antiqua" w:hAnsi="Book Antiqua" w:cs="Book Antiqua"/>
          <w:color w:val="000000"/>
          <w:highlight w:val="yellow"/>
        </w:rPr>
        <w:t>,</w:t>
      </w:r>
      <w:r w:rsidRPr="00A51F86">
        <w:rPr>
          <w:rFonts w:ascii="Book Antiqua" w:eastAsia="Book Antiqua" w:hAnsi="Book Antiqua" w:cs="Book Antiqua"/>
          <w:color w:val="000000"/>
          <w:highlight w:val="yellow"/>
        </w:rPr>
        <w:t xml:space="preserve"> 2017:</w:t>
      </w:r>
      <w:r w:rsidR="00A51F86" w:rsidRPr="00A51F86">
        <w:rPr>
          <w:rFonts w:ascii="Book Antiqua" w:eastAsia="Book Antiqua" w:hAnsi="Book Antiqua" w:cs="Book Antiqua"/>
          <w:color w:val="000000"/>
          <w:highlight w:val="yellow"/>
        </w:rPr>
        <w:t xml:space="preserve"> </w:t>
      </w:r>
      <w:r w:rsidRPr="00A51F86">
        <w:rPr>
          <w:rFonts w:ascii="Book Antiqua" w:eastAsia="Book Antiqua" w:hAnsi="Book Antiqua" w:cs="Book Antiqua"/>
          <w:color w:val="000000"/>
          <w:highlight w:val="yellow"/>
        </w:rPr>
        <w:t>543-649</w:t>
      </w:r>
    </w:p>
    <w:p w14:paraId="18D0BBDA" w14:textId="77777777" w:rsidR="00A77B3E" w:rsidRDefault="000252C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Beighton P</w:t>
      </w:r>
      <w:r>
        <w:rPr>
          <w:rFonts w:ascii="Book Antiqua" w:eastAsia="Book Antiqua" w:hAnsi="Book Antiqua" w:cs="Book Antiqua"/>
          <w:color w:val="000000"/>
        </w:rPr>
        <w:t xml:space="preserve">, Horan 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aspects of the Ehlers-Danlos syndrome.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1969; </w:t>
      </w:r>
      <w:r>
        <w:rPr>
          <w:rFonts w:ascii="Book Antiqua" w:eastAsia="Book Antiqua" w:hAnsi="Book Antiqua" w:cs="Book Antiqua"/>
          <w:b/>
          <w:bCs/>
          <w:color w:val="000000"/>
        </w:rPr>
        <w:t>51</w:t>
      </w:r>
      <w:r>
        <w:rPr>
          <w:rFonts w:ascii="Book Antiqua" w:eastAsia="Book Antiqua" w:hAnsi="Book Antiqua" w:cs="Book Antiqua"/>
          <w:color w:val="000000"/>
        </w:rPr>
        <w:t>: 444-453 [PMID: 5820785]</w:t>
      </w:r>
    </w:p>
    <w:p w14:paraId="1AC358B0" w14:textId="77777777" w:rsidR="00A77B3E" w:rsidRDefault="000252C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Carroll KW</w:t>
      </w:r>
      <w:r>
        <w:rPr>
          <w:rFonts w:ascii="Book Antiqua" w:eastAsia="Book Antiqua" w:hAnsi="Book Antiqua" w:cs="Book Antiqua"/>
          <w:color w:val="000000"/>
        </w:rPr>
        <w:t xml:space="preserve">, Helms CA. Magnetic resonance imaging of the shoulder: a review of potential sources of diagnostic errors. </w:t>
      </w:r>
      <w:r>
        <w:rPr>
          <w:rFonts w:ascii="Book Antiqua" w:eastAsia="Book Antiqua" w:hAnsi="Book Antiqua" w:cs="Book Antiqua"/>
          <w:i/>
          <w:iCs/>
          <w:color w:val="000000"/>
        </w:rPr>
        <w:t xml:space="preserve">Skeletal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31</w:t>
      </w:r>
      <w:r>
        <w:rPr>
          <w:rFonts w:ascii="Book Antiqua" w:eastAsia="Book Antiqua" w:hAnsi="Book Antiqua" w:cs="Book Antiqua"/>
          <w:color w:val="000000"/>
        </w:rPr>
        <w:t>: 373-383 [PMID: 12107570 DOI: 10.1007/s00256-002-0528-6]</w:t>
      </w:r>
    </w:p>
    <w:p w14:paraId="532E1E25" w14:textId="77777777" w:rsidR="00A77B3E" w:rsidRDefault="000252C0">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Motamedi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Everist</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Mahanty</w:t>
      </w:r>
      <w:proofErr w:type="spellEnd"/>
      <w:r>
        <w:rPr>
          <w:rFonts w:ascii="Book Antiqua" w:eastAsia="Book Antiqua" w:hAnsi="Book Antiqua" w:cs="Book Antiqua"/>
          <w:color w:val="000000"/>
        </w:rPr>
        <w:t xml:space="preserve"> SR, Steinbach LS. Pitfalls in shoulder MRI: part 1--normal anatomy and anatomic variants.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203</w:t>
      </w:r>
      <w:r>
        <w:rPr>
          <w:rFonts w:ascii="Book Antiqua" w:eastAsia="Book Antiqua" w:hAnsi="Book Antiqua" w:cs="Book Antiqua"/>
          <w:color w:val="000000"/>
        </w:rPr>
        <w:t>: 501-507 [PMID: 25148152 DOI: 10.2214/AJR.14.12848]</w:t>
      </w:r>
    </w:p>
    <w:p w14:paraId="2B4752DA" w14:textId="3BFA8256" w:rsidR="00A77B3E" w:rsidRDefault="000252C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Frank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Saccomanno</w:t>
      </w:r>
      <w:proofErr w:type="spellEnd"/>
      <w:r>
        <w:rPr>
          <w:rFonts w:ascii="Book Antiqua" w:eastAsia="Book Antiqua" w:hAnsi="Book Antiqua" w:cs="Book Antiqua"/>
          <w:color w:val="000000"/>
        </w:rPr>
        <w:t xml:space="preserve"> MF, McDonald LS, </w:t>
      </w:r>
      <w:proofErr w:type="spellStart"/>
      <w:r>
        <w:rPr>
          <w:rFonts w:ascii="Book Antiqua" w:eastAsia="Book Antiqua" w:hAnsi="Book Antiqua" w:cs="Book Antiqua"/>
          <w:color w:val="000000"/>
        </w:rPr>
        <w:t>Moric</w:t>
      </w:r>
      <w:proofErr w:type="spellEnd"/>
      <w:r>
        <w:rPr>
          <w:rFonts w:ascii="Book Antiqua" w:eastAsia="Book Antiqua" w:hAnsi="Book Antiqua" w:cs="Book Antiqua"/>
          <w:color w:val="000000"/>
        </w:rPr>
        <w:t xml:space="preserve"> M, Romeo AA, Provencher MT. Outcomes of arthroscopic anterior shoulder instability in the beach chair </w:t>
      </w:r>
      <w:r w:rsidR="00E075EE" w:rsidRPr="00566A97">
        <w:rPr>
          <w:rFonts w:ascii="Book Antiqua" w:eastAsia="Book Antiqua" w:hAnsi="Book Antiqua" w:cs="Book Antiqua"/>
          <w:color w:val="000000"/>
        </w:rPr>
        <w:t>v</w:t>
      </w:r>
      <w:r w:rsidR="00E075EE">
        <w:rPr>
          <w:rFonts w:ascii="Book Antiqua" w:eastAsia="Book Antiqua" w:hAnsi="Book Antiqua" w:cs="Book Antiqua"/>
          <w:color w:val="000000"/>
        </w:rPr>
        <w:t>ersu</w:t>
      </w:r>
      <w:r w:rsidR="00E075EE" w:rsidRPr="00566A97">
        <w:rPr>
          <w:rFonts w:ascii="Book Antiqua" w:eastAsia="Book Antiqua" w:hAnsi="Book Antiqua" w:cs="Book Antiqua"/>
          <w:color w:val="000000"/>
        </w:rPr>
        <w:t>s</w:t>
      </w:r>
      <w:r>
        <w:rPr>
          <w:rFonts w:ascii="Book Antiqua" w:eastAsia="Book Antiqua" w:hAnsi="Book Antiqua" w:cs="Book Antiqua"/>
          <w:color w:val="000000"/>
        </w:rPr>
        <w:t xml:space="preserve"> lateral decubitus position: a systematic review and meta-regression analysis.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1349-1365 [PMID: 25000864 DOI: 10.1016/j.arthro.2014.05.008]</w:t>
      </w:r>
    </w:p>
    <w:p w14:paraId="6A422DC4" w14:textId="77777777" w:rsidR="00A77B3E" w:rsidRDefault="000252C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Frank RM</w:t>
      </w:r>
      <w:r>
        <w:rPr>
          <w:rFonts w:ascii="Book Antiqua" w:eastAsia="Book Antiqua" w:hAnsi="Book Antiqua" w:cs="Book Antiqua"/>
          <w:color w:val="000000"/>
        </w:rPr>
        <w:t xml:space="preserve">, Mall NA, Gupta D, </w:t>
      </w:r>
      <w:proofErr w:type="spellStart"/>
      <w:r>
        <w:rPr>
          <w:rFonts w:ascii="Book Antiqua" w:eastAsia="Book Antiqua" w:hAnsi="Book Antiqua" w:cs="Book Antiqua"/>
          <w:color w:val="000000"/>
        </w:rPr>
        <w:t>Shewman</w:t>
      </w:r>
      <w:proofErr w:type="spellEnd"/>
      <w:r>
        <w:rPr>
          <w:rFonts w:ascii="Book Antiqua" w:eastAsia="Book Antiqua" w:hAnsi="Book Antiqua" w:cs="Book Antiqua"/>
          <w:color w:val="000000"/>
        </w:rPr>
        <w:t xml:space="preserve"> E, Wang VM, Romeo AA, Cole BJ, Bach BR Jr, Provencher MT, Verma NN. Inferior suture anchor placement during arthroscopic Bankart repair: influence of portal placement and curved drill guide.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1182-1189 [PMID: 24576744 DOI: 10.1177/0363546514523722]</w:t>
      </w:r>
    </w:p>
    <w:p w14:paraId="07E2975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D5987D" w14:textId="77777777" w:rsidR="00A77B3E" w:rsidRDefault="000252C0">
      <w:pPr>
        <w:spacing w:line="360" w:lineRule="auto"/>
        <w:jc w:val="both"/>
      </w:pPr>
      <w:r>
        <w:rPr>
          <w:rFonts w:ascii="Book Antiqua" w:eastAsia="Book Antiqua" w:hAnsi="Book Antiqua" w:cs="Book Antiqua"/>
          <w:b/>
          <w:color w:val="000000"/>
        </w:rPr>
        <w:lastRenderedPageBreak/>
        <w:t>Footnotes</w:t>
      </w:r>
    </w:p>
    <w:p w14:paraId="3033CB8C" w14:textId="0620D5C0" w:rsidR="00A77B3E" w:rsidRDefault="000252C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Drs. </w:t>
      </w:r>
      <w:proofErr w:type="spellStart"/>
      <w:r>
        <w:rPr>
          <w:rFonts w:ascii="Book Antiqua" w:eastAsia="Book Antiqua" w:hAnsi="Book Antiqua" w:cs="Book Antiqua"/>
          <w:color w:val="000000"/>
        </w:rPr>
        <w:t>Apostolakos</w:t>
      </w:r>
      <w:proofErr w:type="spellEnd"/>
      <w:r>
        <w:rPr>
          <w:rFonts w:ascii="Book Antiqua" w:eastAsia="Book Antiqua" w:hAnsi="Book Antiqua" w:cs="Book Antiqua"/>
          <w:color w:val="000000"/>
        </w:rPr>
        <w:t xml:space="preserve"> and Wright-</w:t>
      </w:r>
      <w:proofErr w:type="spellStart"/>
      <w:r>
        <w:rPr>
          <w:rFonts w:ascii="Book Antiqua" w:eastAsia="Book Antiqua" w:hAnsi="Book Antiqua" w:cs="Book Antiqua"/>
          <w:color w:val="000000"/>
        </w:rPr>
        <w:t>Chisem</w:t>
      </w:r>
      <w:proofErr w:type="spellEnd"/>
      <w:r>
        <w:rPr>
          <w:rFonts w:ascii="Book Antiqua" w:eastAsia="Book Antiqua" w:hAnsi="Book Antiqua" w:cs="Book Antiqua"/>
          <w:color w:val="000000"/>
        </w:rPr>
        <w:t xml:space="preserve"> have nothing to disclose.</w:t>
      </w:r>
      <w:r w:rsidR="0095291E">
        <w:rPr>
          <w:rFonts w:ascii="Book Antiqua" w:eastAsia="Book Antiqua" w:hAnsi="Book Antiqua" w:cs="Book Antiqua"/>
          <w:color w:val="000000"/>
        </w:rPr>
        <w:t xml:space="preserve"> </w:t>
      </w:r>
      <w:r>
        <w:rPr>
          <w:rFonts w:ascii="Book Antiqua" w:eastAsia="Book Antiqua" w:hAnsi="Book Antiqua" w:cs="Book Antiqua"/>
          <w:color w:val="000000"/>
        </w:rPr>
        <w:t xml:space="preserve">Dr.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is a paid consultant, present, or speaker and received research support from Biomet. He is a paid presenter or speaker for </w:t>
      </w:r>
      <w:proofErr w:type="spellStart"/>
      <w:r>
        <w:rPr>
          <w:rFonts w:ascii="Book Antiqua" w:eastAsia="Book Antiqua" w:hAnsi="Book Antiqua" w:cs="Book Antiqua"/>
          <w:color w:val="000000"/>
        </w:rPr>
        <w:t>Exactech</w:t>
      </w:r>
      <w:proofErr w:type="spellEnd"/>
      <w:r>
        <w:rPr>
          <w:rFonts w:ascii="Book Antiqua" w:eastAsia="Book Antiqua" w:hAnsi="Book Antiqua" w:cs="Book Antiqua"/>
          <w:color w:val="000000"/>
        </w:rPr>
        <w:t xml:space="preserve">, Inc and receives IP royalties. He is on the editorial or governing board for the HSS Journal. Dr.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has stock or stock options with Imagen, Inc and Responsive Arthroscopy, Inc. He is a paid presenter or speaker for Smith </w:t>
      </w:r>
      <w:r w:rsidR="0095291E">
        <w:rPr>
          <w:rFonts w:ascii="Book Antiqua" w:eastAsia="Book Antiqua" w:hAnsi="Book Antiqua" w:cs="Book Antiqua"/>
          <w:color w:val="000000"/>
        </w:rPr>
        <w:t>and</w:t>
      </w:r>
      <w:r>
        <w:rPr>
          <w:rFonts w:ascii="Book Antiqua" w:eastAsia="Book Antiqua" w:hAnsi="Book Antiqua" w:cs="Book Antiqua"/>
          <w:color w:val="000000"/>
        </w:rPr>
        <w:t xml:space="preserve"> Nephew, outside the submitted work.</w:t>
      </w:r>
      <w:r w:rsidR="0095291E">
        <w:rPr>
          <w:rFonts w:ascii="Book Antiqua" w:eastAsia="Book Antiqua" w:hAnsi="Book Antiqua" w:cs="Book Antiqua"/>
          <w:color w:val="000000"/>
        </w:rPr>
        <w:t xml:space="preserve"> </w:t>
      </w:r>
      <w:r>
        <w:rPr>
          <w:rFonts w:ascii="Book Antiqua" w:eastAsia="Book Antiqua" w:hAnsi="Book Antiqua" w:cs="Book Antiqua"/>
          <w:color w:val="000000"/>
        </w:rPr>
        <w:t xml:space="preserve">Dr. Taylor is a paid consultant for DJ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Mitek</w:t>
      </w:r>
      <w:proofErr w:type="spellEnd"/>
      <w:r>
        <w:rPr>
          <w:rFonts w:ascii="Book Antiqua" w:eastAsia="Book Antiqua" w:hAnsi="Book Antiqua" w:cs="Book Antiqua"/>
          <w:color w:val="000000"/>
        </w:rPr>
        <w:t>, outside the submitted work.</w:t>
      </w:r>
      <w:r w:rsidR="0095291E">
        <w:rPr>
          <w:rFonts w:ascii="Book Antiqua" w:eastAsia="Book Antiqua" w:hAnsi="Book Antiqua" w:cs="Book Antiqua"/>
          <w:color w:val="000000"/>
        </w:rPr>
        <w:t xml:space="preserve"> </w:t>
      </w:r>
      <w:r>
        <w:rPr>
          <w:rFonts w:ascii="Book Antiqua" w:eastAsia="Book Antiqua" w:hAnsi="Book Antiqua" w:cs="Book Antiqua"/>
          <w:color w:val="000000"/>
        </w:rPr>
        <w:t xml:space="preserve">Dr. Dines is a board or committee member for the American Shoulder and Elbow Surgeons. He is a paid consultant, presenter, or speaker with research support from Arthrex, Inc and is on the editorial or governing board for the Journal of Shoulder and Elbow Surgery. He receives IP royalties from </w:t>
      </w:r>
      <w:proofErr w:type="spellStart"/>
      <w:r>
        <w:rPr>
          <w:rFonts w:ascii="Book Antiqua" w:eastAsia="Book Antiqua" w:hAnsi="Book Antiqua" w:cs="Book Antiqua"/>
          <w:color w:val="000000"/>
        </w:rPr>
        <w:t>Linvatec</w:t>
      </w:r>
      <w:proofErr w:type="spellEnd"/>
      <w:r>
        <w:rPr>
          <w:rFonts w:ascii="Book Antiqua" w:eastAsia="Book Antiqua" w:hAnsi="Book Antiqua" w:cs="Book Antiqua"/>
          <w:color w:val="000000"/>
        </w:rPr>
        <w:t xml:space="preserve"> and publishing royalties with financial or material support from </w:t>
      </w:r>
      <w:proofErr w:type="spellStart"/>
      <w:r>
        <w:rPr>
          <w:rFonts w:ascii="Book Antiqua" w:eastAsia="Book Antiqua" w:hAnsi="Book Antiqua" w:cs="Book Antiqua"/>
          <w:color w:val="000000"/>
        </w:rPr>
        <w:t>Thieme</w:t>
      </w:r>
      <w:proofErr w:type="spellEnd"/>
      <w:r>
        <w:rPr>
          <w:rFonts w:ascii="Book Antiqua" w:eastAsia="Book Antiqua" w:hAnsi="Book Antiqua" w:cs="Book Antiqua"/>
          <w:color w:val="000000"/>
        </w:rPr>
        <w:t xml:space="preserve"> and Wolters Kluwer Health.</w:t>
      </w:r>
    </w:p>
    <w:p w14:paraId="4E148649" w14:textId="77777777" w:rsidR="00A77B3E" w:rsidRDefault="00A77B3E">
      <w:pPr>
        <w:spacing w:line="360" w:lineRule="auto"/>
        <w:jc w:val="both"/>
      </w:pPr>
    </w:p>
    <w:p w14:paraId="047082DA" w14:textId="77777777" w:rsidR="00A77B3E" w:rsidRDefault="000252C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58A0FC" w14:textId="77777777" w:rsidR="00A77B3E" w:rsidRDefault="00A77B3E">
      <w:pPr>
        <w:spacing w:line="360" w:lineRule="auto"/>
        <w:jc w:val="both"/>
      </w:pPr>
    </w:p>
    <w:p w14:paraId="4224E1CD" w14:textId="7C74AECD" w:rsidR="00A77B3E" w:rsidRDefault="000252C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51F86">
        <w:rPr>
          <w:rFonts w:ascii="Book Antiqua" w:eastAsia="Book Antiqua" w:hAnsi="Book Antiqua" w:cs="Book Antiqua"/>
          <w:color w:val="000000"/>
        </w:rPr>
        <w:t>m</w:t>
      </w:r>
      <w:r>
        <w:rPr>
          <w:rFonts w:ascii="Book Antiqua" w:eastAsia="Book Antiqua" w:hAnsi="Book Antiqua" w:cs="Book Antiqua"/>
          <w:color w:val="000000"/>
        </w:rPr>
        <w:t>anuscript</w:t>
      </w:r>
    </w:p>
    <w:p w14:paraId="1BF751DD" w14:textId="77777777" w:rsidR="00A77B3E" w:rsidRDefault="00A77B3E">
      <w:pPr>
        <w:spacing w:line="360" w:lineRule="auto"/>
        <w:jc w:val="both"/>
      </w:pPr>
    </w:p>
    <w:p w14:paraId="7A0C3D56" w14:textId="77777777" w:rsidR="00A77B3E" w:rsidRDefault="000252C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30, 2020</w:t>
      </w:r>
    </w:p>
    <w:p w14:paraId="4299F2F8" w14:textId="77777777" w:rsidR="00A77B3E" w:rsidRDefault="000252C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11, 2020</w:t>
      </w:r>
    </w:p>
    <w:p w14:paraId="270AEF22" w14:textId="77777777" w:rsidR="00A77B3E" w:rsidRDefault="000252C0">
      <w:pPr>
        <w:spacing w:line="360" w:lineRule="auto"/>
        <w:jc w:val="both"/>
      </w:pPr>
      <w:r>
        <w:rPr>
          <w:rFonts w:ascii="Book Antiqua" w:eastAsia="Book Antiqua" w:hAnsi="Book Antiqua" w:cs="Book Antiqua"/>
          <w:b/>
          <w:color w:val="000000"/>
        </w:rPr>
        <w:t xml:space="preserve">Article in press: </w:t>
      </w:r>
    </w:p>
    <w:p w14:paraId="6984B96D" w14:textId="77777777" w:rsidR="00A77B3E" w:rsidRDefault="00A77B3E">
      <w:pPr>
        <w:spacing w:line="360" w:lineRule="auto"/>
        <w:jc w:val="both"/>
      </w:pPr>
    </w:p>
    <w:p w14:paraId="23CA6EC7" w14:textId="77777777" w:rsidR="00A77B3E" w:rsidRDefault="000252C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28089C84" w14:textId="77777777" w:rsidR="00A77B3E" w:rsidRDefault="000252C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D692DB8" w14:textId="77777777" w:rsidR="00A77B3E" w:rsidRDefault="000252C0">
      <w:pPr>
        <w:spacing w:line="360" w:lineRule="auto"/>
        <w:jc w:val="both"/>
      </w:pPr>
      <w:r>
        <w:rPr>
          <w:rFonts w:ascii="Book Antiqua" w:eastAsia="Book Antiqua" w:hAnsi="Book Antiqua" w:cs="Book Antiqua"/>
          <w:b/>
          <w:color w:val="000000"/>
        </w:rPr>
        <w:lastRenderedPageBreak/>
        <w:t>Peer-review report’s scientific quality classification</w:t>
      </w:r>
    </w:p>
    <w:p w14:paraId="770BEDC4" w14:textId="77777777" w:rsidR="00A77B3E" w:rsidRDefault="000252C0">
      <w:pPr>
        <w:spacing w:line="360" w:lineRule="auto"/>
        <w:jc w:val="both"/>
      </w:pPr>
      <w:r>
        <w:rPr>
          <w:rFonts w:ascii="Book Antiqua" w:eastAsia="Book Antiqua" w:hAnsi="Book Antiqua" w:cs="Book Antiqua"/>
          <w:color w:val="000000"/>
        </w:rPr>
        <w:t>Grade A (Excellent): 0</w:t>
      </w:r>
    </w:p>
    <w:p w14:paraId="1FAD7735" w14:textId="77777777" w:rsidR="00A77B3E" w:rsidRDefault="000252C0">
      <w:pPr>
        <w:spacing w:line="360" w:lineRule="auto"/>
        <w:jc w:val="both"/>
      </w:pPr>
      <w:r>
        <w:rPr>
          <w:rFonts w:ascii="Book Antiqua" w:eastAsia="Book Antiqua" w:hAnsi="Book Antiqua" w:cs="Book Antiqua"/>
          <w:color w:val="000000"/>
        </w:rPr>
        <w:t>Grade B (Very good): 0</w:t>
      </w:r>
    </w:p>
    <w:p w14:paraId="5CC30199" w14:textId="77777777" w:rsidR="00A77B3E" w:rsidRDefault="000252C0">
      <w:pPr>
        <w:spacing w:line="360" w:lineRule="auto"/>
        <w:jc w:val="both"/>
      </w:pPr>
      <w:r>
        <w:rPr>
          <w:rFonts w:ascii="Book Antiqua" w:eastAsia="Book Antiqua" w:hAnsi="Book Antiqua" w:cs="Book Antiqua"/>
          <w:color w:val="000000"/>
        </w:rPr>
        <w:t>Grade C (Good): C</w:t>
      </w:r>
    </w:p>
    <w:p w14:paraId="40212027" w14:textId="77777777" w:rsidR="00A77B3E" w:rsidRDefault="000252C0">
      <w:pPr>
        <w:spacing w:line="360" w:lineRule="auto"/>
        <w:jc w:val="both"/>
      </w:pPr>
      <w:r>
        <w:rPr>
          <w:rFonts w:ascii="Book Antiqua" w:eastAsia="Book Antiqua" w:hAnsi="Book Antiqua" w:cs="Book Antiqua"/>
          <w:color w:val="000000"/>
        </w:rPr>
        <w:t>Grade D (Fair): 0</w:t>
      </w:r>
    </w:p>
    <w:p w14:paraId="51DB3C47" w14:textId="77777777" w:rsidR="00A77B3E" w:rsidRDefault="000252C0">
      <w:pPr>
        <w:spacing w:line="360" w:lineRule="auto"/>
        <w:jc w:val="both"/>
      </w:pPr>
      <w:r>
        <w:rPr>
          <w:rFonts w:ascii="Book Antiqua" w:eastAsia="Book Antiqua" w:hAnsi="Book Antiqua" w:cs="Book Antiqua"/>
          <w:color w:val="000000"/>
        </w:rPr>
        <w:t>Grade E (Poor): 0</w:t>
      </w:r>
    </w:p>
    <w:p w14:paraId="62A44DE7" w14:textId="77777777" w:rsidR="00A77B3E" w:rsidRDefault="00A77B3E">
      <w:pPr>
        <w:spacing w:line="360" w:lineRule="auto"/>
        <w:jc w:val="both"/>
      </w:pPr>
    </w:p>
    <w:p w14:paraId="544D7627" w14:textId="77777777" w:rsidR="00A77B3E" w:rsidRDefault="000252C0">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Chou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16616" w14:textId="77777777" w:rsidR="005F7DA2" w:rsidRDefault="005F7DA2" w:rsidP="00A51F86">
      <w:r>
        <w:separator/>
      </w:r>
    </w:p>
  </w:endnote>
  <w:endnote w:type="continuationSeparator" w:id="0">
    <w:p w14:paraId="1A4F188B" w14:textId="77777777" w:rsidR="005F7DA2" w:rsidRDefault="005F7DA2" w:rsidP="00A5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54115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0387C06" w14:textId="477A54BE" w:rsidR="008841B6" w:rsidRPr="008841B6" w:rsidRDefault="008841B6" w:rsidP="008841B6">
            <w:pPr>
              <w:pStyle w:val="a5"/>
              <w:jc w:val="right"/>
              <w:rPr>
                <w:rFonts w:ascii="Book Antiqua" w:hAnsi="Book Antiqua"/>
                <w:sz w:val="24"/>
                <w:szCs w:val="24"/>
              </w:rPr>
            </w:pPr>
            <w:r w:rsidRPr="008841B6">
              <w:rPr>
                <w:rFonts w:ascii="Book Antiqua" w:hAnsi="Book Antiqua"/>
                <w:sz w:val="24"/>
                <w:szCs w:val="24"/>
                <w:lang w:val="zh-CN" w:eastAsia="zh-CN"/>
              </w:rPr>
              <w:t xml:space="preserve"> </w:t>
            </w:r>
            <w:r w:rsidRPr="008841B6">
              <w:rPr>
                <w:rFonts w:ascii="Book Antiqua" w:hAnsi="Book Antiqua"/>
                <w:sz w:val="24"/>
                <w:szCs w:val="24"/>
              </w:rPr>
              <w:fldChar w:fldCharType="begin"/>
            </w:r>
            <w:r w:rsidRPr="008841B6">
              <w:rPr>
                <w:rFonts w:ascii="Book Antiqua" w:hAnsi="Book Antiqua"/>
                <w:sz w:val="24"/>
                <w:szCs w:val="24"/>
              </w:rPr>
              <w:instrText>PAGE</w:instrText>
            </w:r>
            <w:r w:rsidRPr="008841B6">
              <w:rPr>
                <w:rFonts w:ascii="Book Antiqua" w:hAnsi="Book Antiqua"/>
                <w:sz w:val="24"/>
                <w:szCs w:val="24"/>
              </w:rPr>
              <w:fldChar w:fldCharType="separate"/>
            </w:r>
            <w:r w:rsidR="00AE6BFB">
              <w:rPr>
                <w:rFonts w:ascii="Book Antiqua" w:hAnsi="Book Antiqua"/>
                <w:noProof/>
                <w:sz w:val="24"/>
                <w:szCs w:val="24"/>
              </w:rPr>
              <w:t>30</w:t>
            </w:r>
            <w:r w:rsidRPr="008841B6">
              <w:rPr>
                <w:rFonts w:ascii="Book Antiqua" w:hAnsi="Book Antiqua"/>
                <w:sz w:val="24"/>
                <w:szCs w:val="24"/>
              </w:rPr>
              <w:fldChar w:fldCharType="end"/>
            </w:r>
            <w:r w:rsidRPr="008841B6">
              <w:rPr>
                <w:rFonts w:ascii="Book Antiqua" w:hAnsi="Book Antiqua"/>
                <w:sz w:val="24"/>
                <w:szCs w:val="24"/>
                <w:lang w:val="zh-CN" w:eastAsia="zh-CN"/>
              </w:rPr>
              <w:t xml:space="preserve"> / </w:t>
            </w:r>
            <w:r w:rsidRPr="008841B6">
              <w:rPr>
                <w:rFonts w:ascii="Book Antiqua" w:hAnsi="Book Antiqua"/>
                <w:sz w:val="24"/>
                <w:szCs w:val="24"/>
              </w:rPr>
              <w:fldChar w:fldCharType="begin"/>
            </w:r>
            <w:r w:rsidRPr="008841B6">
              <w:rPr>
                <w:rFonts w:ascii="Book Antiqua" w:hAnsi="Book Antiqua"/>
                <w:sz w:val="24"/>
                <w:szCs w:val="24"/>
              </w:rPr>
              <w:instrText>NUMPAGES</w:instrText>
            </w:r>
            <w:r w:rsidRPr="008841B6">
              <w:rPr>
                <w:rFonts w:ascii="Book Antiqua" w:hAnsi="Book Antiqua"/>
                <w:sz w:val="24"/>
                <w:szCs w:val="24"/>
              </w:rPr>
              <w:fldChar w:fldCharType="separate"/>
            </w:r>
            <w:r w:rsidR="00AE6BFB">
              <w:rPr>
                <w:rFonts w:ascii="Book Antiqua" w:hAnsi="Book Antiqua"/>
                <w:noProof/>
                <w:sz w:val="24"/>
                <w:szCs w:val="24"/>
              </w:rPr>
              <w:t>31</w:t>
            </w:r>
            <w:r w:rsidRPr="008841B6">
              <w:rPr>
                <w:rFonts w:ascii="Book Antiqua" w:hAnsi="Book Antiqua"/>
                <w:sz w:val="24"/>
                <w:szCs w:val="24"/>
              </w:rPr>
              <w:fldChar w:fldCharType="end"/>
            </w:r>
          </w:p>
        </w:sdtContent>
      </w:sdt>
    </w:sdtContent>
  </w:sdt>
  <w:p w14:paraId="3975A273" w14:textId="77777777" w:rsidR="008841B6" w:rsidRPr="008841B6" w:rsidRDefault="008841B6" w:rsidP="008841B6">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D7284" w14:textId="77777777" w:rsidR="005F7DA2" w:rsidRDefault="005F7DA2" w:rsidP="00A51F86">
      <w:r>
        <w:separator/>
      </w:r>
    </w:p>
  </w:footnote>
  <w:footnote w:type="continuationSeparator" w:id="0">
    <w:p w14:paraId="7F055648" w14:textId="77777777" w:rsidR="005F7DA2" w:rsidRDefault="005F7DA2" w:rsidP="00A51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98C"/>
    <w:rsid w:val="000252C0"/>
    <w:rsid w:val="00073689"/>
    <w:rsid w:val="000B71E8"/>
    <w:rsid w:val="000C0AA7"/>
    <w:rsid w:val="00161A3A"/>
    <w:rsid w:val="0019256E"/>
    <w:rsid w:val="001941C1"/>
    <w:rsid w:val="001E41A2"/>
    <w:rsid w:val="00294306"/>
    <w:rsid w:val="003311AF"/>
    <w:rsid w:val="00332DBA"/>
    <w:rsid w:val="003E74CF"/>
    <w:rsid w:val="00400538"/>
    <w:rsid w:val="0041797E"/>
    <w:rsid w:val="00530C8B"/>
    <w:rsid w:val="00535C3E"/>
    <w:rsid w:val="00553DC7"/>
    <w:rsid w:val="00566A97"/>
    <w:rsid w:val="005B2E47"/>
    <w:rsid w:val="005E435E"/>
    <w:rsid w:val="005F7DA2"/>
    <w:rsid w:val="00680FFB"/>
    <w:rsid w:val="006F56FB"/>
    <w:rsid w:val="00700C7E"/>
    <w:rsid w:val="00777EB2"/>
    <w:rsid w:val="007A0319"/>
    <w:rsid w:val="00841D4B"/>
    <w:rsid w:val="008841B6"/>
    <w:rsid w:val="00903EE8"/>
    <w:rsid w:val="0095291E"/>
    <w:rsid w:val="00A51F86"/>
    <w:rsid w:val="00A77B3E"/>
    <w:rsid w:val="00AC26BD"/>
    <w:rsid w:val="00AE6BFB"/>
    <w:rsid w:val="00B73101"/>
    <w:rsid w:val="00C01D2C"/>
    <w:rsid w:val="00C0417E"/>
    <w:rsid w:val="00C5382F"/>
    <w:rsid w:val="00CA2A55"/>
    <w:rsid w:val="00D36DB3"/>
    <w:rsid w:val="00D71674"/>
    <w:rsid w:val="00DC365D"/>
    <w:rsid w:val="00DD73BB"/>
    <w:rsid w:val="00E075EE"/>
    <w:rsid w:val="00EC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80463"/>
  <w15:docId w15:val="{056D2880-4F0C-4444-9C94-008D9F2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51F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51F86"/>
    <w:rPr>
      <w:sz w:val="18"/>
      <w:szCs w:val="18"/>
    </w:rPr>
  </w:style>
  <w:style w:type="paragraph" w:styleId="a5">
    <w:name w:val="footer"/>
    <w:basedOn w:val="a"/>
    <w:link w:val="a6"/>
    <w:uiPriority w:val="99"/>
    <w:unhideWhenUsed/>
    <w:rsid w:val="00A51F86"/>
    <w:pPr>
      <w:tabs>
        <w:tab w:val="center" w:pos="4153"/>
        <w:tab w:val="right" w:pos="8306"/>
      </w:tabs>
      <w:snapToGrid w:val="0"/>
    </w:pPr>
    <w:rPr>
      <w:sz w:val="18"/>
      <w:szCs w:val="18"/>
    </w:rPr>
  </w:style>
  <w:style w:type="character" w:customStyle="1" w:styleId="a6">
    <w:name w:val="页脚 字符"/>
    <w:basedOn w:val="a0"/>
    <w:link w:val="a5"/>
    <w:uiPriority w:val="99"/>
    <w:rsid w:val="00A51F86"/>
    <w:rPr>
      <w:sz w:val="18"/>
      <w:szCs w:val="18"/>
    </w:rPr>
  </w:style>
  <w:style w:type="paragraph" w:styleId="a7">
    <w:name w:val="Balloon Text"/>
    <w:basedOn w:val="a"/>
    <w:link w:val="a8"/>
    <w:rsid w:val="00535C3E"/>
    <w:rPr>
      <w:sz w:val="18"/>
      <w:szCs w:val="18"/>
    </w:rPr>
  </w:style>
  <w:style w:type="character" w:customStyle="1" w:styleId="a8">
    <w:name w:val="批注框文本 字符"/>
    <w:basedOn w:val="a0"/>
    <w:link w:val="a7"/>
    <w:rsid w:val="00535C3E"/>
    <w:rPr>
      <w:sz w:val="18"/>
      <w:szCs w:val="18"/>
    </w:rPr>
  </w:style>
  <w:style w:type="character" w:styleId="a9">
    <w:name w:val="annotation reference"/>
    <w:basedOn w:val="a0"/>
    <w:semiHidden/>
    <w:unhideWhenUsed/>
    <w:rsid w:val="00553DC7"/>
    <w:rPr>
      <w:sz w:val="21"/>
      <w:szCs w:val="21"/>
    </w:rPr>
  </w:style>
  <w:style w:type="paragraph" w:styleId="aa">
    <w:name w:val="annotation text"/>
    <w:basedOn w:val="a"/>
    <w:link w:val="ab"/>
    <w:semiHidden/>
    <w:unhideWhenUsed/>
    <w:rsid w:val="00553DC7"/>
  </w:style>
  <w:style w:type="character" w:customStyle="1" w:styleId="ab">
    <w:name w:val="批注文字 字符"/>
    <w:basedOn w:val="a0"/>
    <w:link w:val="aa"/>
    <w:semiHidden/>
    <w:rsid w:val="00553DC7"/>
    <w:rPr>
      <w:sz w:val="24"/>
      <w:szCs w:val="24"/>
    </w:rPr>
  </w:style>
  <w:style w:type="paragraph" w:styleId="ac">
    <w:name w:val="annotation subject"/>
    <w:basedOn w:val="aa"/>
    <w:next w:val="aa"/>
    <w:link w:val="ad"/>
    <w:semiHidden/>
    <w:unhideWhenUsed/>
    <w:rsid w:val="00553DC7"/>
    <w:rPr>
      <w:b/>
      <w:bCs/>
    </w:rPr>
  </w:style>
  <w:style w:type="character" w:customStyle="1" w:styleId="ad">
    <w:name w:val="批注主题 字符"/>
    <w:basedOn w:val="ab"/>
    <w:link w:val="ac"/>
    <w:semiHidden/>
    <w:rsid w:val="00553DC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80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9036</Words>
  <Characters>51506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2020-12-22T19:45:00Z</dcterms:created>
  <dcterms:modified xsi:type="dcterms:W3CDTF">2020-12-22T19:45:00Z</dcterms:modified>
</cp:coreProperties>
</file>