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B44F6" w14:textId="77777777" w:rsidR="00A77B3E" w:rsidRDefault="0063365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AC17120" w14:textId="77777777" w:rsidR="00A77B3E" w:rsidRDefault="0063365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58085</w:t>
      </w:r>
    </w:p>
    <w:p w14:paraId="1A1DB7B6" w14:textId="77777777" w:rsidR="00A77B3E" w:rsidRDefault="0063365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11D87DB" w14:textId="77777777" w:rsidR="00A77B3E" w:rsidRDefault="00A77B3E">
      <w:pPr>
        <w:spacing w:line="360" w:lineRule="auto"/>
        <w:jc w:val="both"/>
      </w:pPr>
    </w:p>
    <w:p w14:paraId="64F17BA7" w14:textId="77777777" w:rsidR="00A77B3E" w:rsidRDefault="0063365C">
      <w:pPr>
        <w:spacing w:line="360" w:lineRule="auto"/>
        <w:jc w:val="both"/>
      </w:pPr>
      <w:r>
        <w:rPr>
          <w:rFonts w:ascii="Book Antiqua" w:eastAsia="Book Antiqua" w:hAnsi="Book Antiqua" w:cs="Book Antiqua"/>
          <w:b/>
          <w:i/>
          <w:color w:val="000000"/>
        </w:rPr>
        <w:t>Basic Study</w:t>
      </w:r>
    </w:p>
    <w:p w14:paraId="1F219E1F" w14:textId="77777777" w:rsidR="00A77B3E" w:rsidRDefault="0063365C">
      <w:pPr>
        <w:spacing w:line="360" w:lineRule="auto"/>
        <w:jc w:val="both"/>
      </w:pPr>
      <w:r>
        <w:rPr>
          <w:rFonts w:ascii="Book Antiqua" w:eastAsia="Book Antiqua" w:hAnsi="Book Antiqua" w:cs="Book Antiqua"/>
          <w:b/>
          <w:bCs/>
          <w:color w:val="000000"/>
        </w:rPr>
        <w:t>Glutathione metabolism is essential for self-renewal and chemoresistance of pancreatic cancer stem cells</w:t>
      </w:r>
    </w:p>
    <w:p w14:paraId="67BBD224" w14:textId="77777777" w:rsidR="00A77B3E" w:rsidRDefault="00A77B3E">
      <w:pPr>
        <w:spacing w:line="360" w:lineRule="auto"/>
        <w:jc w:val="both"/>
      </w:pPr>
    </w:p>
    <w:p w14:paraId="2B79A8D7" w14:textId="3BA7F968" w:rsidR="00A77B3E" w:rsidRDefault="006D3DE6">
      <w:pPr>
        <w:spacing w:line="360" w:lineRule="auto"/>
        <w:jc w:val="both"/>
      </w:pP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w:t>
      </w:r>
      <w:r w:rsidRPr="0013023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3365C">
        <w:rPr>
          <w:rFonts w:ascii="Book Antiqua" w:eastAsia="Book Antiqua" w:hAnsi="Book Antiqua" w:cs="Book Antiqua"/>
          <w:color w:val="000000"/>
        </w:rPr>
        <w:t xml:space="preserve">Glutathione metabolism in pancreatic </w:t>
      </w:r>
      <w:r w:rsidR="004B56A9">
        <w:rPr>
          <w:rFonts w:ascii="Book Antiqua" w:eastAsia="Book Antiqua" w:hAnsi="Book Antiqua" w:cs="Book Antiqua"/>
          <w:color w:val="000000"/>
        </w:rPr>
        <w:t>CSC</w:t>
      </w:r>
      <w:r w:rsidR="0063365C">
        <w:rPr>
          <w:rFonts w:ascii="Book Antiqua" w:eastAsia="Book Antiqua" w:hAnsi="Book Antiqua" w:cs="Book Antiqua"/>
          <w:color w:val="000000"/>
        </w:rPr>
        <w:t>s</w:t>
      </w:r>
    </w:p>
    <w:p w14:paraId="754EF9F2" w14:textId="77777777" w:rsidR="00A77B3E" w:rsidRDefault="00A77B3E">
      <w:pPr>
        <w:spacing w:line="360" w:lineRule="auto"/>
        <w:jc w:val="both"/>
      </w:pPr>
    </w:p>
    <w:p w14:paraId="71D7C1CE" w14:textId="3B206714" w:rsidR="00A77B3E" w:rsidRDefault="0063365C">
      <w:pPr>
        <w:spacing w:line="360" w:lineRule="auto"/>
        <w:jc w:val="both"/>
      </w:pPr>
      <w:r>
        <w:rPr>
          <w:rFonts w:ascii="Book Antiqua" w:eastAsia="Book Antiqua" w:hAnsi="Book Antiqua" w:cs="Book Antiqua"/>
          <w:color w:val="000000"/>
        </w:rPr>
        <w:t xml:space="preserve">Petra </w:t>
      </w: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Sonia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Bruno </w:t>
      </w:r>
      <w:proofErr w:type="spellStart"/>
      <w:r>
        <w:rPr>
          <w:rFonts w:ascii="Book Antiqua" w:eastAsia="Book Antiqua" w:hAnsi="Book Antiqua" w:cs="Book Antiqua"/>
          <w:color w:val="000000"/>
        </w:rPr>
        <w:t>Sainz</w:t>
      </w:r>
      <w:proofErr w:type="spellEnd"/>
      <w:r w:rsidR="00490E09">
        <w:rPr>
          <w:rFonts w:ascii="Book Antiqua" w:eastAsia="Book Antiqua" w:hAnsi="Book Antiqua" w:cs="Book Antiqua"/>
          <w:color w:val="000000"/>
        </w:rPr>
        <w:t xml:space="preserve"> Jr</w:t>
      </w:r>
      <w:r>
        <w:rPr>
          <w:rFonts w:ascii="Book Antiqua" w:eastAsia="Book Antiqua" w:hAnsi="Book Antiqua" w:cs="Book Antiqua"/>
          <w:color w:val="000000"/>
        </w:rPr>
        <w:t xml:space="preserve">, Christopher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Patricia Sancho</w:t>
      </w:r>
    </w:p>
    <w:p w14:paraId="7D32F6A4" w14:textId="77777777" w:rsidR="00A77B3E" w:rsidRDefault="00A77B3E">
      <w:pPr>
        <w:spacing w:line="360" w:lineRule="auto"/>
        <w:jc w:val="both"/>
      </w:pPr>
    </w:p>
    <w:p w14:paraId="272CE6B1" w14:textId="77777777" w:rsidR="00A77B3E" w:rsidRDefault="0063365C">
      <w:pPr>
        <w:spacing w:line="360" w:lineRule="auto"/>
        <w:jc w:val="both"/>
      </w:pPr>
      <w:r>
        <w:rPr>
          <w:rFonts w:ascii="Book Antiqua" w:eastAsia="Book Antiqua" w:hAnsi="Book Antiqua" w:cs="Book Antiqua"/>
          <w:b/>
          <w:bCs/>
          <w:color w:val="000000"/>
        </w:rPr>
        <w:t xml:space="preserve">Petra </w:t>
      </w:r>
      <w:proofErr w:type="spellStart"/>
      <w:r>
        <w:rPr>
          <w:rFonts w:ascii="Book Antiqua" w:eastAsia="Book Antiqua" w:hAnsi="Book Antiqua" w:cs="Book Antiqua"/>
          <w:b/>
          <w:bCs/>
          <w:color w:val="000000"/>
        </w:rPr>
        <w:t>Jagust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Molecular Pathology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Spanish National Cancer Research Centre (CNIO), Madrid 28029, Spain</w:t>
      </w:r>
    </w:p>
    <w:p w14:paraId="009AEA8C" w14:textId="77777777" w:rsidR="00A77B3E" w:rsidRDefault="00A77B3E">
      <w:pPr>
        <w:spacing w:line="360" w:lineRule="auto"/>
        <w:jc w:val="both"/>
      </w:pPr>
    </w:p>
    <w:p w14:paraId="5224B2F5" w14:textId="7AE0B8D9" w:rsidR="00A77B3E" w:rsidRDefault="0063365C">
      <w:pPr>
        <w:spacing w:line="360" w:lineRule="auto"/>
        <w:jc w:val="both"/>
      </w:pPr>
      <w:r>
        <w:rPr>
          <w:rFonts w:ascii="Book Antiqua" w:eastAsia="Book Antiqua" w:hAnsi="Book Antiqua" w:cs="Book Antiqua"/>
          <w:b/>
          <w:bCs/>
          <w:color w:val="000000"/>
        </w:rPr>
        <w:t xml:space="preserve">Sonia </w:t>
      </w:r>
      <w:proofErr w:type="spellStart"/>
      <w:r>
        <w:rPr>
          <w:rFonts w:ascii="Book Antiqua" w:eastAsia="Book Antiqua" w:hAnsi="Book Antiqua" w:cs="Book Antiqua"/>
          <w:b/>
          <w:bCs/>
          <w:color w:val="000000"/>
        </w:rPr>
        <w:t>Alcalá</w:t>
      </w:r>
      <w:proofErr w:type="spellEnd"/>
      <w:r>
        <w:rPr>
          <w:rFonts w:ascii="Book Antiqua" w:eastAsia="Book Antiqua" w:hAnsi="Book Antiqua" w:cs="Book Antiqua"/>
          <w:b/>
          <w:bCs/>
          <w:color w:val="000000"/>
        </w:rPr>
        <w:t xml:space="preserve">, Bruno </w:t>
      </w:r>
      <w:proofErr w:type="spellStart"/>
      <w:r>
        <w:rPr>
          <w:rFonts w:ascii="Book Antiqua" w:eastAsia="Book Antiqua" w:hAnsi="Book Antiqua" w:cs="Book Antiqua"/>
          <w:b/>
          <w:bCs/>
          <w:color w:val="000000"/>
        </w:rPr>
        <w:t>Sainz</w:t>
      </w:r>
      <w:proofErr w:type="spellEnd"/>
      <w:r w:rsidR="00490E09">
        <w:rPr>
          <w:rFonts w:ascii="Book Antiqua" w:eastAsia="Book Antiqua" w:hAnsi="Book Antiqua" w:cs="Book Antiqua"/>
          <w:b/>
          <w:bCs/>
          <w:color w:val="000000"/>
        </w:rPr>
        <w:t xml:space="preserve"> Jr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Biochemistry, </w:t>
      </w:r>
      <w:proofErr w:type="spellStart"/>
      <w:r>
        <w:rPr>
          <w:rFonts w:ascii="Book Antiqua" w:eastAsia="Book Antiqua" w:hAnsi="Book Antiqua" w:cs="Book Antiqua"/>
          <w:color w:val="000000"/>
        </w:rPr>
        <w:t>Autónoma</w:t>
      </w:r>
      <w:proofErr w:type="spellEnd"/>
      <w:r>
        <w:rPr>
          <w:rFonts w:ascii="Book Antiqua" w:eastAsia="Book Antiqua" w:hAnsi="Book Antiqua" w:cs="Book Antiqua"/>
          <w:color w:val="000000"/>
        </w:rPr>
        <w:t xml:space="preserve"> University of Madrid, </w:t>
      </w:r>
      <w:r w:rsidR="00490E09" w:rsidRPr="00490E09">
        <w:rPr>
          <w:rFonts w:ascii="Book Antiqua" w:eastAsia="Book Antiqua" w:hAnsi="Book Antiqua" w:cs="Book Antiqua"/>
          <w:color w:val="000000"/>
        </w:rPr>
        <w:t xml:space="preserve">Instituto de </w:t>
      </w:r>
      <w:proofErr w:type="spellStart"/>
      <w:r w:rsidR="00490E09" w:rsidRPr="00490E09">
        <w:rPr>
          <w:rFonts w:ascii="Book Antiqua" w:eastAsia="Book Antiqua" w:hAnsi="Book Antiqua" w:cs="Book Antiqua"/>
          <w:color w:val="000000"/>
        </w:rPr>
        <w:t>Investigaciones</w:t>
      </w:r>
      <w:proofErr w:type="spellEnd"/>
      <w:r w:rsidR="00490E09" w:rsidRPr="00490E09">
        <w:rPr>
          <w:rFonts w:ascii="Book Antiqua" w:eastAsia="Book Antiqua" w:hAnsi="Book Antiqua" w:cs="Book Antiqua"/>
          <w:color w:val="000000"/>
        </w:rPr>
        <w:t xml:space="preserve"> </w:t>
      </w:r>
      <w:proofErr w:type="spellStart"/>
      <w:r w:rsidR="00490E09" w:rsidRPr="00490E09">
        <w:rPr>
          <w:rFonts w:ascii="Book Antiqua" w:eastAsia="Book Antiqua" w:hAnsi="Book Antiqua" w:cs="Book Antiqua"/>
          <w:color w:val="000000"/>
        </w:rPr>
        <w:t>Biomédicas</w:t>
      </w:r>
      <w:proofErr w:type="spellEnd"/>
      <w:r w:rsidR="00490E09" w:rsidRPr="00490E09">
        <w:rPr>
          <w:rFonts w:ascii="Book Antiqua" w:eastAsia="Book Antiqua" w:hAnsi="Book Antiqua" w:cs="Book Antiqua"/>
          <w:color w:val="000000"/>
        </w:rPr>
        <w:t xml:space="preserve"> "Alberto Sols" CSIC-UAM</w:t>
      </w:r>
      <w:r w:rsidR="00490E09">
        <w:rPr>
          <w:rFonts w:ascii="Book Antiqua" w:eastAsia="Book Antiqua" w:hAnsi="Book Antiqua" w:cs="Book Antiqua"/>
          <w:color w:val="000000"/>
        </w:rPr>
        <w:t xml:space="preserve">, </w:t>
      </w:r>
      <w:r>
        <w:rPr>
          <w:rFonts w:ascii="Book Antiqua" w:eastAsia="Book Antiqua" w:hAnsi="Book Antiqua" w:cs="Book Antiqua"/>
          <w:color w:val="000000"/>
        </w:rPr>
        <w:t>Madrid 28029, Spain</w:t>
      </w:r>
    </w:p>
    <w:p w14:paraId="64F24063" w14:textId="77777777" w:rsidR="00A77B3E" w:rsidRDefault="00A77B3E">
      <w:pPr>
        <w:spacing w:line="360" w:lineRule="auto"/>
        <w:jc w:val="both"/>
      </w:pPr>
    </w:p>
    <w:p w14:paraId="3C9D0409" w14:textId="77777777" w:rsidR="00A77B3E" w:rsidRDefault="0063365C">
      <w:pPr>
        <w:spacing w:line="360" w:lineRule="auto"/>
        <w:jc w:val="both"/>
      </w:pPr>
      <w:r>
        <w:rPr>
          <w:rFonts w:ascii="Book Antiqua" w:eastAsia="Book Antiqua" w:hAnsi="Book Antiqua" w:cs="Book Antiqua"/>
          <w:b/>
          <w:bCs/>
          <w:color w:val="000000"/>
        </w:rPr>
        <w:t xml:space="preserve">Christopher </w:t>
      </w:r>
      <w:proofErr w:type="spellStart"/>
      <w:r>
        <w:rPr>
          <w:rFonts w:ascii="Book Antiqua" w:eastAsia="Book Antiqua" w:hAnsi="Book Antiqua" w:cs="Book Antiqua"/>
          <w:b/>
          <w:bCs/>
          <w:color w:val="000000"/>
        </w:rPr>
        <w:t>Heeschen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Center for Single-Cell Omics, Shanghai Jiao Tong University School of Medicine, Shanghai Cancer Institute, Shanghai 200025, China</w:t>
      </w:r>
    </w:p>
    <w:p w14:paraId="6EB0A096" w14:textId="77777777" w:rsidR="00A77B3E" w:rsidRDefault="00A77B3E">
      <w:pPr>
        <w:spacing w:line="360" w:lineRule="auto"/>
        <w:jc w:val="both"/>
      </w:pPr>
    </w:p>
    <w:p w14:paraId="090D9A19" w14:textId="77777777" w:rsidR="00A77B3E" w:rsidRDefault="0063365C">
      <w:pPr>
        <w:spacing w:line="360" w:lineRule="auto"/>
        <w:jc w:val="both"/>
      </w:pPr>
      <w:r>
        <w:rPr>
          <w:rFonts w:ascii="Book Antiqua" w:eastAsia="Book Antiqua" w:hAnsi="Book Antiqua" w:cs="Book Antiqua"/>
          <w:b/>
          <w:bCs/>
          <w:color w:val="000000"/>
        </w:rPr>
        <w:t xml:space="preserve">Patricia Sancho, </w:t>
      </w:r>
      <w:r>
        <w:rPr>
          <w:rFonts w:ascii="Book Antiqua" w:eastAsia="Book Antiqua" w:hAnsi="Book Antiqua" w:cs="Book Antiqua"/>
          <w:color w:val="000000"/>
        </w:rPr>
        <w:t xml:space="preserve">Hospital Universitario Miguel </w:t>
      </w:r>
      <w:proofErr w:type="spellStart"/>
      <w:r>
        <w:rPr>
          <w:rFonts w:ascii="Book Antiqua" w:eastAsia="Book Antiqua" w:hAnsi="Book Antiqua" w:cs="Book Antiqua"/>
          <w:color w:val="000000"/>
        </w:rPr>
        <w:t>Servet</w:t>
      </w:r>
      <w:proofErr w:type="spellEnd"/>
      <w:r>
        <w:rPr>
          <w:rFonts w:ascii="Book Antiqua" w:eastAsia="Book Antiqua" w:hAnsi="Book Antiqua" w:cs="Book Antiqua"/>
          <w:color w:val="000000"/>
        </w:rPr>
        <w:t>, IIS Aragon, Zaragoza 50009, Spain</w:t>
      </w:r>
    </w:p>
    <w:p w14:paraId="69DD7171" w14:textId="77777777" w:rsidR="00A77B3E" w:rsidRDefault="00A77B3E">
      <w:pPr>
        <w:spacing w:line="360" w:lineRule="auto"/>
        <w:jc w:val="both"/>
      </w:pPr>
    </w:p>
    <w:p w14:paraId="6F55FD60" w14:textId="77777777" w:rsidR="00A77B3E" w:rsidRDefault="0063365C">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and Sancho P performed the experiments, acquired and analyzed data;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Jr B compiled and validated the samples for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analysis;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and Sancho P interpreted data, designed the study and wrote the manuscript; all authors approved the final version of the manuscript.</w:t>
      </w:r>
    </w:p>
    <w:p w14:paraId="50E63958" w14:textId="77777777" w:rsidR="00A77B3E" w:rsidRDefault="00A77B3E">
      <w:pPr>
        <w:spacing w:line="360" w:lineRule="auto"/>
        <w:jc w:val="both"/>
      </w:pPr>
    </w:p>
    <w:p w14:paraId="2B32CD58" w14:textId="299B4B35" w:rsidR="00A77B3E" w:rsidRPr="00490E09" w:rsidRDefault="0063365C">
      <w:pPr>
        <w:spacing w:line="360" w:lineRule="auto"/>
        <w:jc w:val="both"/>
        <w:rPr>
          <w:lang w:val="es-ES"/>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ERC Advanced Investigator Grant, No. </w:t>
      </w:r>
      <w:r w:rsidRPr="00490E09">
        <w:rPr>
          <w:rFonts w:ascii="Book Antiqua" w:eastAsia="Book Antiqua" w:hAnsi="Book Antiqua" w:cs="Book Antiqua"/>
          <w:color w:val="000000"/>
          <w:lang w:val="es-ES"/>
        </w:rPr>
        <w:t>Pa-CSC 233460; European Community's Seventh Framework Programme, No. 602783; Instituto de Salud Carlos III and European Funds (FSE: “el FSE invierte en tu futuro” and FEDER: “una manera de hacer Europa”) Miguel Servet Fellowship, No. CP16/00121; and Fondo Investigaciones Sanitarias, No. PI17/00082.</w:t>
      </w:r>
    </w:p>
    <w:p w14:paraId="56FC83C8" w14:textId="77777777" w:rsidR="00A77B3E" w:rsidRPr="00490E09" w:rsidRDefault="00A77B3E">
      <w:pPr>
        <w:spacing w:line="360" w:lineRule="auto"/>
        <w:jc w:val="both"/>
        <w:rPr>
          <w:lang w:val="es-ES"/>
        </w:rPr>
      </w:pPr>
    </w:p>
    <w:p w14:paraId="30586F31" w14:textId="75879800" w:rsidR="00A77B3E" w:rsidRPr="00490E09" w:rsidRDefault="0063365C">
      <w:pPr>
        <w:spacing w:line="360" w:lineRule="auto"/>
        <w:jc w:val="both"/>
        <w:rPr>
          <w:lang w:val="es-ES"/>
        </w:rPr>
      </w:pPr>
      <w:r w:rsidRPr="00490E09">
        <w:rPr>
          <w:rFonts w:ascii="Book Antiqua" w:eastAsia="Book Antiqua" w:hAnsi="Book Antiqua" w:cs="Book Antiqua"/>
          <w:b/>
          <w:bCs/>
          <w:color w:val="000000"/>
          <w:lang w:val="es-ES"/>
        </w:rPr>
        <w:t xml:space="preserve">Corresponding author: Patricia Sancho, PhD, Senior Scientist, </w:t>
      </w:r>
      <w:r w:rsidRPr="00490E09">
        <w:rPr>
          <w:rFonts w:ascii="Book Antiqua" w:eastAsia="Book Antiqua" w:hAnsi="Book Antiqua" w:cs="Book Antiqua"/>
          <w:color w:val="000000"/>
          <w:lang w:val="es-ES"/>
        </w:rPr>
        <w:t>Hospital Universitario Miguel Servet, IIS Aragon, Isabel la Cat</w:t>
      </w:r>
      <w:r w:rsidR="006928DB">
        <w:rPr>
          <w:rFonts w:ascii="Book Antiqua" w:eastAsia="Book Antiqua" w:hAnsi="Book Antiqua" w:cs="Book Antiqua"/>
          <w:color w:val="000000"/>
          <w:lang w:val="es-ES"/>
        </w:rPr>
        <w:t>ó</w:t>
      </w:r>
      <w:r w:rsidRPr="00490E09">
        <w:rPr>
          <w:rFonts w:ascii="Book Antiqua" w:eastAsia="Book Antiqua" w:hAnsi="Book Antiqua" w:cs="Book Antiqua"/>
          <w:color w:val="000000"/>
          <w:lang w:val="es-ES"/>
        </w:rPr>
        <w:t>lica 1-3, Zaragoza 50009, Spain. psancho@iisaragon.es</w:t>
      </w:r>
    </w:p>
    <w:p w14:paraId="4BAE74FB" w14:textId="77777777" w:rsidR="00A77B3E" w:rsidRPr="00490E09" w:rsidRDefault="00A77B3E">
      <w:pPr>
        <w:spacing w:line="360" w:lineRule="auto"/>
        <w:jc w:val="both"/>
        <w:rPr>
          <w:lang w:val="es-ES"/>
        </w:rPr>
      </w:pPr>
    </w:p>
    <w:p w14:paraId="7ECA9447" w14:textId="77777777" w:rsidR="00A77B3E" w:rsidRDefault="0063365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2020</w:t>
      </w:r>
    </w:p>
    <w:p w14:paraId="3CA7527E" w14:textId="77777777" w:rsidR="00A77B3E" w:rsidRDefault="0063365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19, 2020</w:t>
      </w:r>
    </w:p>
    <w:p w14:paraId="7A14786C" w14:textId="675A8949" w:rsidR="00A77B3E" w:rsidRDefault="0063365C">
      <w:pPr>
        <w:spacing w:line="360" w:lineRule="auto"/>
        <w:jc w:val="both"/>
      </w:pPr>
      <w:r>
        <w:rPr>
          <w:rFonts w:ascii="Book Antiqua" w:eastAsia="Book Antiqua" w:hAnsi="Book Antiqua" w:cs="Book Antiqua"/>
          <w:b/>
          <w:bCs/>
          <w:color w:val="000000"/>
        </w:rPr>
        <w:t xml:space="preserve">Accepted: </w:t>
      </w:r>
      <w:r w:rsidR="00844632" w:rsidRPr="00844632">
        <w:rPr>
          <w:rFonts w:ascii="Book Antiqua" w:eastAsia="Book Antiqua" w:hAnsi="Book Antiqua" w:cs="Book Antiqua"/>
          <w:bCs/>
          <w:color w:val="000000"/>
        </w:rPr>
        <w:t>September 25, 2020</w:t>
      </w:r>
    </w:p>
    <w:p w14:paraId="7E5CC077" w14:textId="77777777" w:rsidR="00A77B3E" w:rsidRDefault="0063365C">
      <w:pPr>
        <w:spacing w:line="360" w:lineRule="auto"/>
        <w:jc w:val="both"/>
      </w:pPr>
      <w:r>
        <w:rPr>
          <w:rFonts w:ascii="Book Antiqua" w:eastAsia="Book Antiqua" w:hAnsi="Book Antiqua" w:cs="Book Antiqua"/>
          <w:b/>
          <w:bCs/>
          <w:color w:val="000000"/>
        </w:rPr>
        <w:t xml:space="preserve">Published online: </w:t>
      </w:r>
    </w:p>
    <w:p w14:paraId="4750918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8EC1BCB" w14:textId="77777777" w:rsidR="00A77B3E" w:rsidRDefault="0063365C">
      <w:pPr>
        <w:spacing w:line="360" w:lineRule="auto"/>
        <w:jc w:val="both"/>
      </w:pPr>
      <w:r>
        <w:rPr>
          <w:rFonts w:ascii="Book Antiqua" w:eastAsia="Book Antiqua" w:hAnsi="Book Antiqua" w:cs="Book Antiqua"/>
          <w:b/>
          <w:color w:val="000000"/>
        </w:rPr>
        <w:lastRenderedPageBreak/>
        <w:t>Abstract</w:t>
      </w:r>
    </w:p>
    <w:p w14:paraId="14F33196" w14:textId="77777777" w:rsidR="00A77B3E" w:rsidRDefault="0063365C">
      <w:pPr>
        <w:spacing w:line="360" w:lineRule="auto"/>
        <w:jc w:val="both"/>
      </w:pPr>
      <w:r>
        <w:rPr>
          <w:rFonts w:ascii="Book Antiqua" w:eastAsia="Book Antiqua" w:hAnsi="Book Antiqua" w:cs="Book Antiqua"/>
          <w:color w:val="000000"/>
        </w:rPr>
        <w:t>BACKGROUND</w:t>
      </w:r>
    </w:p>
    <w:p w14:paraId="50C1FE44" w14:textId="1635647B" w:rsidR="00A77B3E" w:rsidRDefault="0063365C">
      <w:pPr>
        <w:spacing w:line="360" w:lineRule="auto"/>
        <w:jc w:val="both"/>
      </w:pPr>
      <w:r>
        <w:rPr>
          <w:rFonts w:ascii="Book Antiqua" w:eastAsia="Book Antiqua" w:hAnsi="Book Antiqua" w:cs="Book Antiqua"/>
          <w:color w:val="000000"/>
        </w:rPr>
        <w:t xml:space="preserve">Cellular metabolism regulates stemness in health and disease.  A reduced redox state is essential for self-renewal of normal and </w:t>
      </w:r>
      <w:bookmarkStart w:id="0" w:name="_Hlk51348999"/>
      <w:r>
        <w:rPr>
          <w:rFonts w:ascii="Book Antiqua" w:eastAsia="Book Antiqua" w:hAnsi="Book Antiqua" w:cs="Book Antiqua"/>
          <w:color w:val="000000"/>
        </w:rPr>
        <w:t>cancer stem cell</w:t>
      </w:r>
      <w:bookmarkEnd w:id="0"/>
      <w:r>
        <w:rPr>
          <w:rFonts w:ascii="Book Antiqua" w:eastAsia="Book Antiqua" w:hAnsi="Book Antiqua" w:cs="Book Antiqua"/>
          <w:color w:val="000000"/>
        </w:rPr>
        <w:t>s (CSCs). However, while stem cell</w:t>
      </w:r>
      <w:r w:rsidR="00490E09">
        <w:rPr>
          <w:rFonts w:ascii="Book Antiqua" w:eastAsia="Book Antiqua" w:hAnsi="Book Antiqua" w:cs="Book Antiqua"/>
          <w:color w:val="000000"/>
        </w:rPr>
        <w:t>s</w:t>
      </w:r>
      <w:r>
        <w:rPr>
          <w:rFonts w:ascii="Book Antiqua" w:eastAsia="Book Antiqua" w:hAnsi="Book Antiqua" w:cs="Book Antiqua"/>
          <w:color w:val="000000"/>
        </w:rPr>
        <w:t xml:space="preserve"> rely on glycolysis, different CSCs, including pancreatic CSCs, favor mitochondrial metabolism as their dominant energy-producing pathway. This suggests that powerful antioxidant networks must be in place to detoxify mitochondrial reactive oxygen species (ROS) and maintain stemness in oxidative CSCs. Since glutathione metabolism is critical for normal </w:t>
      </w:r>
      <w:r w:rsidR="004B56A9">
        <w:rPr>
          <w:rFonts w:ascii="Book Antiqua" w:eastAsia="Book Antiqua" w:hAnsi="Book Antiqua" w:cs="Book Antiqua"/>
          <w:color w:val="000000"/>
        </w:rPr>
        <w:t>stem cell</w:t>
      </w:r>
      <w:r>
        <w:rPr>
          <w:rFonts w:ascii="Book Antiqua" w:eastAsia="Book Antiqua" w:hAnsi="Book Antiqua" w:cs="Book Antiqua"/>
          <w:color w:val="000000"/>
        </w:rPr>
        <w:t xml:space="preserve"> function and CSCs from breast, liver and gastric cancer show increased glutathione content, we hypothesized that pancreatic CSCs also rely on this pathway for ROS detoxification.</w:t>
      </w:r>
    </w:p>
    <w:p w14:paraId="3D444813" w14:textId="77777777" w:rsidR="00A77B3E" w:rsidRDefault="00A77B3E">
      <w:pPr>
        <w:spacing w:line="360" w:lineRule="auto"/>
        <w:jc w:val="both"/>
      </w:pPr>
    </w:p>
    <w:p w14:paraId="7F8DE4C7" w14:textId="77777777" w:rsidR="00A77B3E" w:rsidRDefault="0063365C">
      <w:pPr>
        <w:spacing w:line="360" w:lineRule="auto"/>
        <w:jc w:val="both"/>
      </w:pPr>
      <w:r>
        <w:rPr>
          <w:rFonts w:ascii="Book Antiqua" w:eastAsia="Book Antiqua" w:hAnsi="Book Antiqua" w:cs="Book Antiqua"/>
          <w:color w:val="000000"/>
        </w:rPr>
        <w:t>AIM</w:t>
      </w:r>
    </w:p>
    <w:p w14:paraId="018EAB5F" w14:textId="77777777" w:rsidR="00A77B3E" w:rsidRDefault="0063365C">
      <w:pPr>
        <w:spacing w:line="360" w:lineRule="auto"/>
        <w:jc w:val="both"/>
      </w:pPr>
      <w:r>
        <w:rPr>
          <w:rFonts w:ascii="Book Antiqua" w:eastAsia="Book Antiqua" w:hAnsi="Book Antiqua" w:cs="Book Antiqua"/>
          <w:color w:val="000000"/>
        </w:rPr>
        <w:t>To investigate the role of glutathione metabolism in pancreatic CSCs.</w:t>
      </w:r>
    </w:p>
    <w:p w14:paraId="5950FF67" w14:textId="77777777" w:rsidR="00A77B3E" w:rsidRDefault="00A77B3E">
      <w:pPr>
        <w:spacing w:line="360" w:lineRule="auto"/>
        <w:jc w:val="both"/>
      </w:pPr>
    </w:p>
    <w:p w14:paraId="1362EC7C" w14:textId="77777777" w:rsidR="00A77B3E" w:rsidRDefault="0063365C">
      <w:pPr>
        <w:spacing w:line="360" w:lineRule="auto"/>
        <w:jc w:val="both"/>
      </w:pPr>
      <w:r>
        <w:rPr>
          <w:rFonts w:ascii="Book Antiqua" w:eastAsia="Book Antiqua" w:hAnsi="Book Antiqua" w:cs="Book Antiqua"/>
          <w:color w:val="000000"/>
        </w:rPr>
        <w:t>METHODS</w:t>
      </w:r>
    </w:p>
    <w:p w14:paraId="55171CB9" w14:textId="08D6BAAE" w:rsidR="00A77B3E" w:rsidRDefault="0063365C">
      <w:pPr>
        <w:spacing w:line="360" w:lineRule="auto"/>
        <w:jc w:val="both"/>
      </w:pPr>
      <w:r>
        <w:rPr>
          <w:rFonts w:ascii="Book Antiqua" w:eastAsia="Book Antiqua" w:hAnsi="Book Antiqua" w:cs="Book Antiqua"/>
          <w:color w:val="000000"/>
        </w:rPr>
        <w:t xml:space="preserve">Primary pancreatic cancer cells of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s (PDXs) were cultured in adherent or CSC-enriching sphere conditions to determine the role of glutathione metabolism in stemness. </w:t>
      </w:r>
      <w:bookmarkStart w:id="1" w:name="_Hlk51339010"/>
      <w:r>
        <w:rPr>
          <w:rFonts w:ascii="Book Antiqua" w:eastAsia="Book Antiqua" w:hAnsi="Book Antiqua" w:cs="Book Antiqua"/>
          <w:color w:val="000000"/>
        </w:rPr>
        <w:t xml:space="preserve">Real-time </w:t>
      </w:r>
      <w:r w:rsidR="004B56A9" w:rsidRPr="004B56A9">
        <w:rPr>
          <w:rFonts w:ascii="Book Antiqua" w:eastAsia="Book Antiqua" w:hAnsi="Book Antiqua" w:cs="Book Antiqua"/>
          <w:color w:val="000000"/>
        </w:rPr>
        <w:t>polymerase chain reaction</w:t>
      </w:r>
      <w:bookmarkEnd w:id="1"/>
      <w:r w:rsidR="004B56A9" w:rsidRPr="004B56A9">
        <w:rPr>
          <w:rFonts w:ascii="Book Antiqua" w:eastAsia="Book Antiqua" w:hAnsi="Book Antiqua" w:cs="Book Antiqua"/>
          <w:color w:val="000000"/>
        </w:rPr>
        <w:t xml:space="preserve"> </w:t>
      </w:r>
      <w:r w:rsidR="004B56A9">
        <w:rPr>
          <w:rFonts w:ascii="Book Antiqua" w:eastAsia="Book Antiqua" w:hAnsi="Book Antiqua" w:cs="Book Antiqua"/>
          <w:color w:val="000000"/>
        </w:rPr>
        <w:t>(</w:t>
      </w:r>
      <w:r>
        <w:rPr>
          <w:rFonts w:ascii="Book Antiqua" w:eastAsia="Book Antiqua" w:hAnsi="Book Antiqua" w:cs="Book Antiqua"/>
          <w:color w:val="000000"/>
        </w:rPr>
        <w:t>PCR</w:t>
      </w:r>
      <w:r w:rsidR="004B56A9">
        <w:rPr>
          <w:rFonts w:ascii="Book Antiqua" w:eastAsia="Book Antiqua" w:hAnsi="Book Antiqua" w:cs="Book Antiqua"/>
          <w:color w:val="000000"/>
        </w:rPr>
        <w:t>)</w:t>
      </w:r>
      <w:r>
        <w:rPr>
          <w:rFonts w:ascii="Book Antiqua" w:eastAsia="Book Antiqua" w:hAnsi="Book Antiqua" w:cs="Book Antiqua"/>
          <w:color w:val="000000"/>
        </w:rPr>
        <w:t xml:space="preserve"> was used to validate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results involving glutathione metabolism genes in adherent </w:t>
      </w:r>
      <w:r>
        <w:rPr>
          <w:rFonts w:ascii="Book Antiqua" w:eastAsia="Book Antiqua" w:hAnsi="Book Antiqua" w:cs="Book Antiqua"/>
          <w:i/>
          <w:iCs/>
          <w:color w:val="000000"/>
        </w:rPr>
        <w:t>vs</w:t>
      </w:r>
      <w:r>
        <w:rPr>
          <w:rFonts w:ascii="Book Antiqua" w:eastAsia="Book Antiqua" w:hAnsi="Book Antiqua" w:cs="Book Antiqua"/>
          <w:color w:val="000000"/>
        </w:rPr>
        <w:t xml:space="preserve"> spheres, as well as </w:t>
      </w:r>
      <w:r w:rsidR="00490E09">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pluripotency-related genes following treatment. Public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 from pancreatic cancer </w:t>
      </w:r>
      <w:r>
        <w:rPr>
          <w:rFonts w:ascii="Book Antiqua" w:eastAsia="Book Antiqua" w:hAnsi="Book Antiqua" w:cs="Book Antiqua"/>
          <w:i/>
          <w:iCs/>
          <w:color w:val="000000"/>
        </w:rPr>
        <w:t>vs</w:t>
      </w:r>
      <w:r>
        <w:rPr>
          <w:rFonts w:ascii="Book Antiqua" w:eastAsia="Book Antiqua" w:hAnsi="Book Antiqua" w:cs="Book Antiqua"/>
          <w:color w:val="000000"/>
        </w:rPr>
        <w:t xml:space="preserve"> normal tissue samples were analyzed using the webserver GEPIA2. The glutathione-sensitive fluorescent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was used to determine glutathione content by fluorimetry or flow cytometry. Pharmacological inhibitors of glutathione synthesis and recycling </w:t>
      </w:r>
      <w:r w:rsidR="00386F16">
        <w:rPr>
          <w:rFonts w:ascii="Book Antiqua" w:eastAsia="Book Antiqua" w:hAnsi="Book Antiqua" w:cs="Book Antiqua"/>
          <w:color w:val="000000"/>
        </w:rPr>
        <w:t>[</w:t>
      </w:r>
      <w:r w:rsidR="0013023D">
        <w:rPr>
          <w:rFonts w:ascii="Book Antiqua" w:eastAsia="Book Antiqua" w:hAnsi="Book Antiqua" w:cs="Book Antiqua"/>
          <w:color w:val="000000"/>
        </w:rPr>
        <w:t>buthionine-</w:t>
      </w:r>
      <w:proofErr w:type="spellStart"/>
      <w:r w:rsidR="0013023D">
        <w:rPr>
          <w:rFonts w:ascii="Book Antiqua" w:eastAsia="Book Antiqua" w:hAnsi="Book Antiqua" w:cs="Book Antiqua"/>
          <w:color w:val="000000"/>
        </w:rPr>
        <w:t>sulfoximine</w:t>
      </w:r>
      <w:proofErr w:type="spellEnd"/>
      <w:r>
        <w:rPr>
          <w:rFonts w:ascii="Book Antiqua" w:eastAsia="Book Antiqua" w:hAnsi="Book Antiqua" w:cs="Book Antiqua"/>
          <w:color w:val="000000"/>
        </w:rPr>
        <w:t xml:space="preserve"> </w:t>
      </w:r>
      <w:r w:rsidR="00386F16">
        <w:rPr>
          <w:rFonts w:ascii="Book Antiqua" w:eastAsia="Book Antiqua" w:hAnsi="Book Antiqua" w:cs="Book Antiqua"/>
          <w:color w:val="000000"/>
        </w:rPr>
        <w:t>(</w:t>
      </w:r>
      <w:r>
        <w:rPr>
          <w:rFonts w:ascii="Book Antiqua" w:eastAsia="Book Antiqua" w:hAnsi="Book Antiqua" w:cs="Book Antiqua"/>
          <w:color w:val="000000"/>
        </w:rPr>
        <w:t>BSO</w:t>
      </w:r>
      <w:r w:rsidR="00386F16">
        <w:rPr>
          <w:rFonts w:ascii="Book Antiqua" w:eastAsia="Book Antiqua" w:hAnsi="Book Antiqua" w:cs="Book Antiqua"/>
          <w:color w:val="000000"/>
        </w:rPr>
        <w: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 xml:space="preserve">and 6-Aminonicotinamide </w:t>
      </w:r>
      <w:r w:rsidR="00386F16">
        <w:rPr>
          <w:rFonts w:ascii="Book Antiqua" w:eastAsia="Book Antiqua" w:hAnsi="Book Antiqua" w:cs="Book Antiqua"/>
          <w:color w:val="000000"/>
        </w:rPr>
        <w:t>(</w:t>
      </w:r>
      <w:r>
        <w:rPr>
          <w:rFonts w:ascii="Book Antiqua" w:eastAsia="Book Antiqua" w:hAnsi="Book Antiqua" w:cs="Book Antiqua"/>
          <w:color w:val="000000"/>
        </w:rPr>
        <w:t>6-AN</w:t>
      </w:r>
      <w:r w:rsidR="00386F16">
        <w:rPr>
          <w:rFonts w:ascii="Book Antiqua" w:eastAsia="Book Antiqua" w:hAnsi="Book Antiqua" w:cs="Book Antiqua"/>
          <w:color w:val="000000"/>
        </w:rPr>
        <w: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386F16">
        <w:rPr>
          <w:rFonts w:ascii="Book Antiqua" w:eastAsia="Book Antiqua" w:hAnsi="Book Antiqua" w:cs="Book Antiqua"/>
          <w:color w:val="000000"/>
        </w:rPr>
        <w:t>]</w:t>
      </w:r>
      <w:r>
        <w:rPr>
          <w:rFonts w:ascii="Book Antiqua" w:eastAsia="Book Antiqua" w:hAnsi="Book Antiqua" w:cs="Book Antiqua"/>
          <w:color w:val="000000"/>
        </w:rPr>
        <w:t xml:space="preserve"> were used to investigate the impact of glutathione depletion on CSC-enriched cultures. Staining with propidium iodide (cell cycle), Annexin-V (apoptosis) and CD133 (CSC content) were determined by flow cytometry. Self-renewal was assessed by sphere </w:t>
      </w:r>
      <w:r>
        <w:rPr>
          <w:rFonts w:ascii="Book Antiqua" w:eastAsia="Book Antiqua" w:hAnsi="Book Antiqua" w:cs="Book Antiqua"/>
          <w:color w:val="000000"/>
        </w:rPr>
        <w:lastRenderedPageBreak/>
        <w:t>formation assay and response to gemcitabine treatment was used as a readout for chemoresistance.</w:t>
      </w:r>
    </w:p>
    <w:p w14:paraId="72B5D094" w14:textId="77777777" w:rsidR="00A77B3E" w:rsidRDefault="00A77B3E">
      <w:pPr>
        <w:spacing w:line="360" w:lineRule="auto"/>
        <w:jc w:val="both"/>
      </w:pPr>
    </w:p>
    <w:p w14:paraId="440FA2C5" w14:textId="77777777" w:rsidR="00A77B3E" w:rsidRDefault="0063365C">
      <w:pPr>
        <w:spacing w:line="360" w:lineRule="auto"/>
        <w:jc w:val="both"/>
      </w:pPr>
      <w:r>
        <w:rPr>
          <w:rFonts w:ascii="Book Antiqua" w:eastAsia="Book Antiqua" w:hAnsi="Book Antiqua" w:cs="Book Antiqua"/>
          <w:color w:val="000000"/>
        </w:rPr>
        <w:t>RESULTS</w:t>
      </w:r>
    </w:p>
    <w:p w14:paraId="26E433B6" w14:textId="4420BD72" w:rsidR="00A77B3E" w:rsidRDefault="0063365C">
      <w:pPr>
        <w:spacing w:line="360" w:lineRule="auto"/>
        <w:jc w:val="both"/>
      </w:pPr>
      <w:r>
        <w:rPr>
          <w:rFonts w:ascii="Book Antiqua" w:eastAsia="Book Antiqua" w:hAnsi="Book Antiqua" w:cs="Book Antiqua"/>
          <w:color w:val="000000"/>
        </w:rPr>
        <w:t xml:space="preserve">Analysis of our previously published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revealed up-regulation of genes involved in the KEGG </w:t>
      </w:r>
      <w:r w:rsidR="00C60D78">
        <w:rPr>
          <w:rFonts w:ascii="Book Antiqua" w:eastAsia="Book Antiqua" w:hAnsi="Book Antiqua" w:cs="Book Antiqua"/>
          <w:color w:val="000000"/>
        </w:rPr>
        <w:t>(Kyoto Encyclopedia of Genes and Genomes) P</w:t>
      </w:r>
      <w:r>
        <w:rPr>
          <w:rFonts w:ascii="Book Antiqua" w:eastAsia="Book Antiqua" w:hAnsi="Book Antiqua" w:cs="Book Antiqua"/>
          <w:color w:val="000000"/>
        </w:rPr>
        <w:t xml:space="preserve">athway Glutathione Metabolism in CSC-enriched cultures compared to their differentiated counterparts. Consistently, in pancreatic cancer patient samples the expression of most of these up-regulated genes positively correlated with a stemness signature defined by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OCT4 </w:t>
      </w:r>
      <w:r>
        <w:rPr>
          <w:rFonts w:ascii="Book Antiqua" w:eastAsia="Book Antiqua" w:hAnsi="Book Antiqua" w:cs="Book Antiqua"/>
          <w:color w:val="000000"/>
        </w:rPr>
        <w:t>expression (</w:t>
      </w:r>
      <w:r w:rsidR="004B56A9" w:rsidRPr="004B56A9">
        <w:rPr>
          <w:rFonts w:ascii="Book Antiqua" w:eastAsia="Book Antiqua" w:hAnsi="Book Antiqua" w:cs="Book Antiqua"/>
          <w:i/>
          <w:iCs/>
          <w:color w:val="000000"/>
        </w:rPr>
        <w:t>P</w:t>
      </w:r>
      <w:r w:rsidR="004B56A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B56A9">
        <w:rPr>
          <w:rFonts w:ascii="Book Antiqua" w:eastAsia="Book Antiqua" w:hAnsi="Book Antiqua" w:cs="Book Antiqua"/>
          <w:color w:val="000000"/>
        </w:rPr>
        <w:t xml:space="preserve"> 10</w:t>
      </w:r>
      <w:r w:rsidRPr="0013023D">
        <w:rPr>
          <w:rFonts w:ascii="Book Antiqua" w:eastAsia="Book Antiqua" w:hAnsi="Book Antiqua" w:cs="Book Antiqua"/>
          <w:color w:val="000000"/>
          <w:vertAlign w:val="superscript"/>
        </w:rPr>
        <w:t>-5</w:t>
      </w:r>
      <w:r>
        <w:rPr>
          <w:rFonts w:ascii="Book Antiqua" w:eastAsia="Book Antiqua" w:hAnsi="Book Antiqua" w:cs="Book Antiqua"/>
          <w:color w:val="000000"/>
        </w:rPr>
        <w:t>). Moreover, 3 of the upregulated genes (</w:t>
      </w:r>
      <w:r>
        <w:rPr>
          <w:rFonts w:ascii="Book Antiqua" w:eastAsia="Book Antiqua" w:hAnsi="Book Antiqua" w:cs="Book Antiqua"/>
          <w:i/>
          <w:iCs/>
          <w:color w:val="000000"/>
        </w:rPr>
        <w:t>MGST1, GPX8, GCCT</w:t>
      </w:r>
      <w:r>
        <w:rPr>
          <w:rFonts w:ascii="Book Antiqua" w:eastAsia="Book Antiqua" w:hAnsi="Book Antiqua" w:cs="Book Antiqua"/>
          <w:color w:val="000000"/>
        </w:rPr>
        <w:t xml:space="preserve">) were associated with reduced disease-free survival in patients </w:t>
      </w:r>
      <w:r w:rsidR="001C3AF3">
        <w:rPr>
          <w:rFonts w:ascii="Book Antiqua" w:eastAsia="Book Antiqua" w:hAnsi="Book Antiqua" w:cs="Book Antiqua"/>
          <w:color w:val="000000"/>
        </w:rPr>
        <w:t>[</w:t>
      </w:r>
      <w:r w:rsidR="00D72FE4">
        <w:rPr>
          <w:rFonts w:ascii="Book Antiqua" w:eastAsia="Book Antiqua" w:hAnsi="Book Antiqua" w:cs="Book Antiqua"/>
          <w:color w:val="000000"/>
        </w:rPr>
        <w:t>H</w:t>
      </w:r>
      <w:r w:rsidR="004B56A9">
        <w:rPr>
          <w:rFonts w:ascii="Book Antiqua" w:eastAsia="Book Antiqua" w:hAnsi="Book Antiqua" w:cs="Book Antiqua"/>
          <w:color w:val="000000"/>
        </w:rPr>
        <w:t xml:space="preserve">azard ratio </w:t>
      </w:r>
      <w:r w:rsidR="001C3AF3">
        <w:rPr>
          <w:rFonts w:ascii="Book Antiqua" w:eastAsia="Book Antiqua" w:hAnsi="Book Antiqua" w:cs="Book Antiqua"/>
          <w:color w:val="000000"/>
        </w:rPr>
        <w:t>(</w:t>
      </w:r>
      <w:r>
        <w:rPr>
          <w:rFonts w:ascii="Book Antiqua" w:eastAsia="Book Antiqua" w:hAnsi="Book Antiqua" w:cs="Book Antiqua"/>
          <w:color w:val="000000"/>
        </w:rPr>
        <w:t>HR</w:t>
      </w:r>
      <w:r w:rsidR="001C3AF3">
        <w:rPr>
          <w:rFonts w:ascii="Book Antiqua" w:eastAsia="Book Antiqua" w:hAnsi="Book Antiqua" w:cs="Book Antiqua"/>
          <w:color w:val="000000"/>
        </w:rPr>
        <w:t>)</w:t>
      </w:r>
      <w:r>
        <w:rPr>
          <w:rFonts w:ascii="Book Antiqua" w:eastAsia="Book Antiqua" w:hAnsi="Book Antiqua" w:cs="Book Antiqua"/>
          <w:color w:val="000000"/>
        </w:rPr>
        <w:t xml:space="preserve"> 2.2-2.5; </w:t>
      </w:r>
      <w:r>
        <w:rPr>
          <w:rFonts w:ascii="Book Antiqua" w:eastAsia="Book Antiqua" w:hAnsi="Book Antiqua" w:cs="Book Antiqua"/>
          <w:i/>
          <w:iCs/>
          <w:color w:val="000000"/>
        </w:rPr>
        <w:t>P</w:t>
      </w:r>
      <w:r>
        <w:rPr>
          <w:rFonts w:ascii="Book Antiqua" w:eastAsia="Book Antiqua" w:hAnsi="Book Antiqua" w:cs="Book Antiqua"/>
          <w:color w:val="000000"/>
        </w:rPr>
        <w:t xml:space="preserve"> = 0.03-0.0054</w:t>
      </w:r>
      <w:r w:rsidR="001C3AF3">
        <w:rPr>
          <w:rFonts w:ascii="Book Antiqua" w:eastAsia="Book Antiqua" w:hAnsi="Book Antiqua" w:cs="Book Antiqua"/>
          <w:color w:val="000000"/>
        </w:rPr>
        <w:t>]</w:t>
      </w:r>
      <w:r>
        <w:rPr>
          <w:rFonts w:ascii="Book Antiqua" w:eastAsia="Book Antiqua" w:hAnsi="Book Antiqua" w:cs="Book Antiqua"/>
          <w:color w:val="000000"/>
        </w:rPr>
        <w:t xml:space="preserve">, suggesting a critical role for this pathway in pancreatic cancer progression.  </w:t>
      </w:r>
    </w:p>
    <w:p w14:paraId="1BA0A649" w14:textId="7E37643F" w:rsidR="00A77B3E" w:rsidRDefault="0063365C" w:rsidP="004B56A9">
      <w:pPr>
        <w:spacing w:line="360" w:lineRule="auto"/>
        <w:ind w:firstLineChars="100" w:firstLine="240"/>
        <w:jc w:val="both"/>
      </w:pPr>
      <w:r>
        <w:rPr>
          <w:rFonts w:ascii="Book Antiqua" w:eastAsia="Book Antiqua" w:hAnsi="Book Antiqua" w:cs="Book Antiqua"/>
          <w:color w:val="000000"/>
        </w:rPr>
        <w:t xml:space="preserve">CSC-enriched sphere cultures also showed increased expression of different glutathione metabolism-related genes, as well as enhanced glutathione content in its reduced form (GSH). Glutathione depletion with BSO induced cell cycle arrest and apoptosis in spheres, and diminished the expression of stemness genes. Moreover, treatment with either BSO or the glutathione recycling inhibitor 6-AN inhibited self-renewal and the expression of the CSC marker CD133. GSH content in spheres positively correlated with intrinsic resistance to gemcitabine treatment in different PDXs </w:t>
      </w:r>
      <w:r>
        <w:rPr>
          <w:rFonts w:ascii="Book Antiqua" w:eastAsia="Book Antiqua" w:hAnsi="Book Antiqua" w:cs="Book Antiqua"/>
          <w:i/>
          <w:iCs/>
          <w:color w:val="000000"/>
        </w:rPr>
        <w:t>r</w:t>
      </w:r>
      <w:r>
        <w:rPr>
          <w:rFonts w:ascii="Book Antiqua" w:eastAsia="Book Antiqua" w:hAnsi="Book Antiqua" w:cs="Book Antiqua"/>
          <w:color w:val="000000"/>
        </w:rPr>
        <w:t xml:space="preserve"> = 0.96, </w:t>
      </w:r>
      <w:r>
        <w:rPr>
          <w:rFonts w:ascii="Book Antiqua" w:eastAsia="Book Antiqua" w:hAnsi="Book Antiqua" w:cs="Book Antiqua"/>
          <w:i/>
          <w:iCs/>
          <w:color w:val="000000"/>
        </w:rPr>
        <w:t>P</w:t>
      </w:r>
      <w:r>
        <w:rPr>
          <w:rFonts w:ascii="Book Antiqua" w:eastAsia="Book Antiqua" w:hAnsi="Book Antiqua" w:cs="Book Antiqua"/>
          <w:color w:val="000000"/>
        </w:rPr>
        <w:t xml:space="preserve"> = 5.</w:t>
      </w:r>
      <w:r w:rsidR="004B56A9">
        <w:rPr>
          <w:rFonts w:ascii="Book Antiqua" w:eastAsia="Book Antiqua" w:hAnsi="Book Antiqua" w:cs="Book Antiqua"/>
          <w:color w:val="000000"/>
        </w:rPr>
        <w:t>8 × 10</w:t>
      </w:r>
      <w:r w:rsidR="004B56A9" w:rsidRPr="0013023D">
        <w:rPr>
          <w:rFonts w:ascii="Book Antiqua" w:eastAsia="Book Antiqua" w:hAnsi="Book Antiqua" w:cs="Book Antiqua"/>
          <w:color w:val="000000"/>
          <w:vertAlign w:val="superscript"/>
        </w:rPr>
        <w:t>11</w:t>
      </w:r>
      <w:r>
        <w:rPr>
          <w:rFonts w:ascii="Book Antiqua" w:eastAsia="Book Antiqua" w:hAnsi="Book Antiqua" w:cs="Book Antiqua"/>
          <w:color w:val="000000"/>
        </w:rPr>
        <w:t>). Additionally, CD133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accumulated GSH in response to gemcitabine, which was abrogated by BSO treatment (</w:t>
      </w:r>
      <w:r w:rsidR="004B56A9" w:rsidRPr="004B56A9">
        <w:rPr>
          <w:rFonts w:ascii="Book Antiqua" w:eastAsia="Book Antiqua" w:hAnsi="Book Antiqua" w:cs="Book Antiqua"/>
          <w:i/>
          <w:iCs/>
          <w:color w:val="000000"/>
        </w:rPr>
        <w:t>P</w:t>
      </w:r>
      <w:r w:rsidR="004B56A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0.05). Combined treatment with BSO and gemcitabine</w:t>
      </w:r>
      <w:r w:rsidR="006928DB">
        <w:rPr>
          <w:rFonts w:ascii="Book Antiqua" w:eastAsia="Book Antiqua" w:hAnsi="Book Antiqua" w:cs="Book Antiqua"/>
          <w:color w:val="000000"/>
        </w:rPr>
        <w:t>-</w:t>
      </w:r>
      <w:r>
        <w:rPr>
          <w:rFonts w:ascii="Book Antiqua" w:eastAsia="Book Antiqua" w:hAnsi="Book Antiqua" w:cs="Book Antiqua"/>
          <w:color w:val="000000"/>
        </w:rPr>
        <w:t>induced apoptosis in CD133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to levels comparable to CD133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and significantly diminished self-renewal (</w:t>
      </w:r>
      <w:r w:rsidR="004B56A9" w:rsidRPr="004B56A9">
        <w:rPr>
          <w:rFonts w:ascii="Book Antiqua" w:eastAsia="Book Antiqua" w:hAnsi="Book Antiqua" w:cs="Book Antiqua"/>
          <w:i/>
          <w:iCs/>
          <w:color w:val="000000"/>
        </w:rPr>
        <w:t>P</w:t>
      </w:r>
      <w:r w:rsidR="004B56A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B56A9">
        <w:rPr>
          <w:rFonts w:ascii="Book Antiqua" w:eastAsia="Book Antiqua" w:hAnsi="Book Antiqua" w:cs="Book Antiqua"/>
          <w:color w:val="000000"/>
        </w:rPr>
        <w:t xml:space="preserve"> </w:t>
      </w:r>
      <w:r>
        <w:rPr>
          <w:rFonts w:ascii="Book Antiqua" w:eastAsia="Book Antiqua" w:hAnsi="Book Antiqua" w:cs="Book Antiqua"/>
          <w:color w:val="000000"/>
        </w:rPr>
        <w:t>0.05), suggesting that chemoresistance of CSC</w:t>
      </w:r>
      <w:r w:rsidR="00C44B31">
        <w:rPr>
          <w:rFonts w:ascii="Book Antiqua" w:eastAsia="Book Antiqua" w:hAnsi="Book Antiqua" w:cs="Book Antiqua"/>
          <w:color w:val="000000"/>
        </w:rPr>
        <w:t>s</w:t>
      </w:r>
      <w:r>
        <w:rPr>
          <w:rFonts w:ascii="Book Antiqua" w:eastAsia="Book Antiqua" w:hAnsi="Book Antiqua" w:cs="Book Antiqua"/>
          <w:color w:val="000000"/>
        </w:rPr>
        <w:t xml:space="preserve"> is partially dependent on GSH metabolism.</w:t>
      </w:r>
    </w:p>
    <w:p w14:paraId="7D17F7D6" w14:textId="77777777" w:rsidR="00A77B3E" w:rsidRDefault="00A77B3E">
      <w:pPr>
        <w:spacing w:line="360" w:lineRule="auto"/>
        <w:jc w:val="both"/>
      </w:pPr>
    </w:p>
    <w:p w14:paraId="1B8BCB39" w14:textId="77777777" w:rsidR="00A77B3E" w:rsidRDefault="0063365C">
      <w:pPr>
        <w:spacing w:line="360" w:lineRule="auto"/>
        <w:jc w:val="both"/>
      </w:pPr>
      <w:r>
        <w:rPr>
          <w:rFonts w:ascii="Book Antiqua" w:eastAsia="Book Antiqua" w:hAnsi="Book Antiqua" w:cs="Book Antiqua"/>
          <w:color w:val="000000"/>
        </w:rPr>
        <w:t>CONCLUSION</w:t>
      </w:r>
    </w:p>
    <w:p w14:paraId="5D00148F" w14:textId="77777777" w:rsidR="00A77B3E" w:rsidRDefault="0063365C">
      <w:pPr>
        <w:spacing w:line="360" w:lineRule="auto"/>
        <w:jc w:val="both"/>
      </w:pPr>
      <w:r>
        <w:rPr>
          <w:rFonts w:ascii="Book Antiqua" w:eastAsia="Book Antiqua" w:hAnsi="Book Antiqua" w:cs="Book Antiqua"/>
          <w:color w:val="000000"/>
        </w:rPr>
        <w:lastRenderedPageBreak/>
        <w:t>Our data suggest that pancreatic CSCs depend on glutathione metabolism. Pharmacological targeting of this pathway showed that high GSH content is essential to maintain CSC functionality in terms of self-renewal and chemoresistance.</w:t>
      </w:r>
    </w:p>
    <w:p w14:paraId="67219D65" w14:textId="77777777" w:rsidR="00A77B3E" w:rsidRDefault="00A77B3E">
      <w:pPr>
        <w:spacing w:line="360" w:lineRule="auto"/>
        <w:jc w:val="both"/>
      </w:pPr>
    </w:p>
    <w:p w14:paraId="0FA017AB" w14:textId="77777777" w:rsidR="00A77B3E" w:rsidRDefault="0063365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 cancer; Cancer stem cells; Glutathione; Self-renewal; Chemoresistance; Redox</w:t>
      </w:r>
    </w:p>
    <w:p w14:paraId="0BB8A4C9" w14:textId="77777777" w:rsidR="00A77B3E" w:rsidRDefault="00A77B3E">
      <w:pPr>
        <w:spacing w:line="360" w:lineRule="auto"/>
        <w:jc w:val="both"/>
      </w:pPr>
    </w:p>
    <w:p w14:paraId="45966632" w14:textId="016EB190" w:rsidR="00A77B3E" w:rsidRDefault="0063365C">
      <w:pPr>
        <w:spacing w:line="360" w:lineRule="auto"/>
        <w:jc w:val="both"/>
      </w:pP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w:t>
      </w:r>
      <w:r w:rsidR="00410665">
        <w:rPr>
          <w:rFonts w:ascii="Book Antiqua" w:eastAsia="Book Antiqua" w:hAnsi="Book Antiqua" w:cs="Book Antiqua"/>
          <w:color w:val="000000"/>
        </w:rPr>
        <w:t xml:space="preserve">Jr </w:t>
      </w:r>
      <w:r>
        <w:rPr>
          <w:rFonts w:ascii="Book Antiqua" w:eastAsia="Book Antiqua" w:hAnsi="Book Antiqua" w:cs="Book Antiqua"/>
          <w:color w:val="000000"/>
        </w:rPr>
        <w:t xml:space="preserve">B,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Sancho P. Glutathione metabolism is essential for self-renewal and chemoresistance of pancreatic cancer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35DB6854" w14:textId="77777777" w:rsidR="00A77B3E" w:rsidRDefault="00A77B3E">
      <w:pPr>
        <w:spacing w:line="360" w:lineRule="auto"/>
        <w:jc w:val="both"/>
      </w:pPr>
    </w:p>
    <w:p w14:paraId="3D3E2207" w14:textId="274DF6B5" w:rsidR="00A77B3E" w:rsidRDefault="0063365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Several glutathione metabolism genes are upregulated in pancreatic </w:t>
      </w:r>
      <w:r w:rsidR="00C41D49">
        <w:rPr>
          <w:rFonts w:ascii="Book Antiqua" w:eastAsia="Book Antiqua" w:hAnsi="Book Antiqua" w:cs="Book Antiqua"/>
          <w:color w:val="000000"/>
        </w:rPr>
        <w:t>cancer stem cells (CSCs)</w:t>
      </w:r>
      <w:r w:rsidR="00903AE0">
        <w:rPr>
          <w:rFonts w:ascii="Book Antiqua" w:eastAsia="Book Antiqua" w:hAnsi="Book Antiqua" w:cs="Book Antiqua"/>
          <w:color w:val="000000"/>
        </w:rPr>
        <w:t>,</w:t>
      </w:r>
      <w:r>
        <w:rPr>
          <w:rFonts w:ascii="Book Antiqua" w:eastAsia="Book Antiqua" w:hAnsi="Book Antiqua" w:cs="Book Antiqua"/>
          <w:color w:val="000000"/>
        </w:rPr>
        <w:t xml:space="preserve"> and their expression correlates with a stemness signature and predict</w:t>
      </w:r>
      <w:r w:rsidR="006928DB">
        <w:rPr>
          <w:rFonts w:ascii="Book Antiqua" w:eastAsia="Book Antiqua" w:hAnsi="Book Antiqua" w:cs="Book Antiqua"/>
          <w:color w:val="000000"/>
        </w:rPr>
        <w:t>s</w:t>
      </w:r>
      <w:r>
        <w:rPr>
          <w:rFonts w:ascii="Book Antiqua" w:eastAsia="Book Antiqua" w:hAnsi="Book Antiqua" w:cs="Book Antiqua"/>
          <w:color w:val="000000"/>
        </w:rPr>
        <w:t xml:space="preserve"> survival in clinical samples. Increased glutathione concentration in CSCs promotes viability, cell cycle progression and pluripotency gene expression. Inhibition of glutathione synthesis or recycling impairs CSC functionalities such as self-renewal and chemoresistance. Our data demonstrate a targetable metabolic vulnerability of this aggressive subpopulation of cancer cells.</w:t>
      </w:r>
    </w:p>
    <w:p w14:paraId="5037B7E8" w14:textId="794840C0" w:rsidR="00A77B3E" w:rsidRDefault="00C41D49">
      <w:pPr>
        <w:spacing w:line="360" w:lineRule="auto"/>
        <w:jc w:val="both"/>
      </w:pPr>
      <w:r>
        <w:br w:type="page"/>
      </w:r>
      <w:r w:rsidR="0063365C">
        <w:rPr>
          <w:rFonts w:ascii="Book Antiqua" w:eastAsia="Book Antiqua" w:hAnsi="Book Antiqua" w:cs="Book Antiqua"/>
          <w:b/>
          <w:caps/>
          <w:color w:val="000000"/>
          <w:u w:val="single"/>
        </w:rPr>
        <w:lastRenderedPageBreak/>
        <w:t>INTRODUCTION</w:t>
      </w:r>
    </w:p>
    <w:p w14:paraId="049710F5" w14:textId="6B62E1FE" w:rsidR="00A77B3E" w:rsidRDefault="0063365C">
      <w:pPr>
        <w:spacing w:line="360" w:lineRule="auto"/>
        <w:jc w:val="both"/>
      </w:pPr>
      <w:r>
        <w:rPr>
          <w:rFonts w:ascii="Book Antiqua" w:eastAsia="Book Antiqua" w:hAnsi="Book Antiqua" w:cs="Book Antiqua"/>
          <w:color w:val="000000"/>
        </w:rPr>
        <w:t>Pancreatic cancer has the worst outcome of any cancer in the world, and is currently the 3</w:t>
      </w:r>
      <w:r>
        <w:rPr>
          <w:rFonts w:ascii="Book Antiqua" w:eastAsia="Book Antiqua" w:hAnsi="Book Antiqua" w:cs="Book Antiqua"/>
          <w:color w:val="000000"/>
          <w:szCs w:val="20"/>
          <w:vertAlign w:val="superscript"/>
        </w:rPr>
        <w:t>rd</w:t>
      </w:r>
      <w:r>
        <w:rPr>
          <w:rFonts w:ascii="Book Antiqua" w:eastAsia="Book Antiqua" w:hAnsi="Book Antiqua" w:cs="Book Antiqua"/>
          <w:color w:val="000000"/>
        </w:rPr>
        <w:t xml:space="preserve"> most frequent cause of cancer-related </w:t>
      </w:r>
      <w:proofErr w:type="gramStart"/>
      <w:r>
        <w:rPr>
          <w:rFonts w:ascii="Book Antiqua" w:eastAsia="Book Antiqua" w:hAnsi="Book Antiqua" w:cs="Book Antiqua"/>
          <w:color w:val="000000"/>
        </w:rPr>
        <w:t>deaths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At the same time, the incidence of pancreatic cancer keeps increasing, with </w:t>
      </w:r>
      <w:r w:rsidR="00C44B31">
        <w:rPr>
          <w:rFonts w:ascii="Book Antiqua" w:eastAsia="Book Antiqua" w:hAnsi="Book Antiqua" w:cs="Book Antiqua"/>
          <w:color w:val="000000"/>
        </w:rPr>
        <w:t>approximately</w:t>
      </w:r>
      <w:r w:rsidR="00C41D49">
        <w:rPr>
          <w:rFonts w:ascii="Book Antiqua" w:eastAsia="Book Antiqua" w:hAnsi="Book Antiqua" w:cs="Book Antiqua"/>
          <w:color w:val="000000"/>
        </w:rPr>
        <w:t xml:space="preserve"> </w:t>
      </w:r>
      <w:r>
        <w:rPr>
          <w:rFonts w:ascii="Book Antiqua" w:eastAsia="Book Antiqua" w:hAnsi="Book Antiqua" w:cs="Book Antiqua"/>
          <w:color w:val="000000"/>
        </w:rPr>
        <w:t xml:space="preserve">448000 new cases in 2019. This number is predicted to further increase in the coming years and, due to its extreme lethality and lack of effective treatments </w:t>
      </w:r>
      <w:proofErr w:type="gramStart"/>
      <w:r>
        <w:rPr>
          <w:rFonts w:ascii="Book Antiqua" w:eastAsia="Book Antiqua" w:hAnsi="Book Antiqua" w:cs="Book Antiqua"/>
          <w:color w:val="000000"/>
        </w:rPr>
        <w:t>available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pancreatic cancer may even become the 2</w:t>
      </w:r>
      <w:r>
        <w:rPr>
          <w:rFonts w:ascii="Book Antiqua" w:eastAsia="Book Antiqua" w:hAnsi="Book Antiqua" w:cs="Book Antiqua"/>
          <w:color w:val="000000"/>
          <w:szCs w:val="20"/>
          <w:vertAlign w:val="superscript"/>
        </w:rPr>
        <w:t>nd</w:t>
      </w:r>
      <w:r>
        <w:rPr>
          <w:rFonts w:ascii="Book Antiqua" w:eastAsia="Book Antiqua" w:hAnsi="Book Antiqua" w:cs="Book Antiqua"/>
          <w:color w:val="000000"/>
        </w:rPr>
        <w:t xml:space="preserve"> most frequent cause </w:t>
      </w:r>
      <w:r w:rsidR="00C44B31">
        <w:rPr>
          <w:rFonts w:ascii="Book Antiqua" w:eastAsia="Book Antiqua" w:hAnsi="Book Antiqua" w:cs="Book Antiqua"/>
          <w:color w:val="000000"/>
        </w:rPr>
        <w:t xml:space="preserve">of cancer-related deaths </w:t>
      </w:r>
      <w:r>
        <w:rPr>
          <w:rFonts w:ascii="Book Antiqua" w:eastAsia="Book Antiqua" w:hAnsi="Book Antiqua" w:cs="Book Antiqua"/>
          <w:color w:val="000000"/>
        </w:rPr>
        <w:t>by 2030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32723A08" w14:textId="4B84AF81" w:rsidR="00A77B3E" w:rsidRDefault="0063365C" w:rsidP="00C41D49">
      <w:pPr>
        <w:spacing w:line="360" w:lineRule="auto"/>
        <w:ind w:firstLineChars="100" w:firstLine="240"/>
        <w:jc w:val="both"/>
      </w:pPr>
      <w:r>
        <w:rPr>
          <w:rFonts w:ascii="Book Antiqua" w:eastAsia="Book Antiqua" w:hAnsi="Book Antiqua" w:cs="Book Antiqua"/>
          <w:color w:val="000000"/>
        </w:rPr>
        <w:t xml:space="preserve">One possible explanation for the poor outcome associated with pancreatic cancer is that, previously, only little attention had been paid to the efficient elimination of cancer stem cells (CSCs). Pancreatic cancer contains stem cell-like cells, which are the sole drivers of tumorigenesis, much like normal stem cells fuel proliferation and differentiation in normal tissue, and therefore have been termed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While CSCs represent only a small fraction of all the cancer cells, they are extremely tumorigenic down to a single cell, and exclusively </w:t>
      </w:r>
      <w:proofErr w:type="gramStart"/>
      <w:r>
        <w:rPr>
          <w:rFonts w:ascii="Book Antiqua" w:eastAsia="Book Antiqua" w:hAnsi="Book Antiqua" w:cs="Book Antiqua"/>
          <w:color w:val="000000"/>
        </w:rPr>
        <w:t>metastatic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Current treatment strategies for pancreatic cancer spare CSCs due to their inherent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xml:space="preserve"> and therefore likely represent the key cellular source driving disease relapse. To develop more effective treatment strategies for pancreatic cancer, we need to obtain a thorough understanding of the regulatory machinery of CSCs, including their cellular metabolism.</w:t>
      </w:r>
    </w:p>
    <w:p w14:paraId="63291321" w14:textId="3C4DC6CC" w:rsidR="00A77B3E" w:rsidRDefault="0063365C" w:rsidP="00C41D49">
      <w:pPr>
        <w:spacing w:line="360" w:lineRule="auto"/>
        <w:ind w:firstLineChars="100" w:firstLine="240"/>
        <w:jc w:val="both"/>
      </w:pPr>
      <w:r>
        <w:rPr>
          <w:rFonts w:ascii="Book Antiqua" w:eastAsia="Book Antiqua" w:hAnsi="Book Antiqua" w:cs="Book Antiqua"/>
          <w:color w:val="000000"/>
        </w:rPr>
        <w:t>Increasing evidence suggest</w:t>
      </w:r>
      <w:r w:rsidR="00C44B31">
        <w:rPr>
          <w:rFonts w:ascii="Book Antiqua" w:eastAsia="Book Antiqua" w:hAnsi="Book Antiqua" w:cs="Book Antiqua"/>
          <w:color w:val="000000"/>
        </w:rPr>
        <w:t>s</w:t>
      </w:r>
      <w:r>
        <w:rPr>
          <w:rFonts w:ascii="Book Antiqua" w:eastAsia="Book Antiqua" w:hAnsi="Book Antiqua" w:cs="Book Antiqua"/>
          <w:color w:val="000000"/>
        </w:rPr>
        <w:t xml:space="preserve"> that, similar to normal stem cells, cellular metabolism is highly regulated in CSCs and governs essential aspects of their functionality. Indeed, a reduced intracellular redox state with low reactive oxygen species (ROS) level</w:t>
      </w:r>
      <w:r w:rsidR="00903AE0">
        <w:rPr>
          <w:rFonts w:ascii="Book Antiqua" w:eastAsia="Book Antiqua" w:hAnsi="Book Antiqua" w:cs="Book Antiqua"/>
          <w:color w:val="000000"/>
        </w:rPr>
        <w:t>s</w:t>
      </w:r>
      <w:r>
        <w:rPr>
          <w:rFonts w:ascii="Book Antiqua" w:eastAsia="Book Antiqua" w:hAnsi="Book Antiqua" w:cs="Book Antiqua"/>
          <w:color w:val="000000"/>
        </w:rPr>
        <w:t xml:space="preserve"> allows for self-renewal, while ROS accumulation induces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Since relatively high amounts of ROS are formed as by-products of mitochondrial oxidative phosphorylation, glycolysis was traditionally considered the preferred metabolic pathway for both stem cells and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However, CSCs across a wide range of cancers maintain low ROS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13–15]</w:t>
      </w:r>
      <w:r>
        <w:rPr>
          <w:rFonts w:ascii="Book Antiqua" w:eastAsia="Book Antiqua" w:hAnsi="Book Antiqua" w:cs="Book Antiqua"/>
          <w:color w:val="000000"/>
        </w:rPr>
        <w:t>, even if they favor mitochondrial metabolism as their dominant energy-producing pathway</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In particular, we have shown that pancreatic CSCs are dependent on mitochondrial oxidative phosphorylation for full stemness and tumorigenicity, in a process controlled by the balanced expression of c-MYC and the </w:t>
      </w:r>
      <w:r>
        <w:rPr>
          <w:rFonts w:ascii="Book Antiqua" w:eastAsia="Book Antiqua" w:hAnsi="Book Antiqua" w:cs="Book Antiqua"/>
          <w:color w:val="000000"/>
        </w:rPr>
        <w:lastRenderedPageBreak/>
        <w:t>mitochondrial biogenesis factor PGC-1</w:t>
      </w:r>
      <w:proofErr w:type="gramStart"/>
      <w:r w:rsidR="00EE06F5" w:rsidRPr="00EE06F5">
        <w:rPr>
          <w:rFonts w:ascii="Book Antiqua" w:hAnsi="Book Antiqua" w:cs="Book Antiqua"/>
          <w:color w:val="000000"/>
          <w:lang w:eastAsia="zh-CN"/>
        </w:rPr>
        <w:t>α</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We observed that pancreatic CSCs bear low levels of mitochondrial ROS and they are especially sensitive to the mitochondrial ROS inducer menadione, making </w:t>
      </w:r>
      <w:r w:rsidR="00C44B31">
        <w:rPr>
          <w:rFonts w:ascii="Book Antiqua" w:eastAsia="Book Antiqua" w:hAnsi="Book Antiqua" w:cs="Book Antiqua"/>
          <w:color w:val="000000"/>
        </w:rPr>
        <w:t xml:space="preserve">the </w:t>
      </w:r>
      <w:r>
        <w:rPr>
          <w:rFonts w:ascii="Book Antiqua" w:eastAsia="Book Antiqua" w:hAnsi="Book Antiqua" w:cs="Book Antiqua"/>
          <w:color w:val="000000"/>
        </w:rPr>
        <w:t>redox state of this organelle a relevant target for CSC elimination.</w:t>
      </w:r>
    </w:p>
    <w:p w14:paraId="39CFCB1B" w14:textId="3FEBE701" w:rsidR="00A77B3E" w:rsidRDefault="0063365C" w:rsidP="00C41D49">
      <w:pPr>
        <w:spacing w:line="360" w:lineRule="auto"/>
        <w:ind w:firstLineChars="100" w:firstLine="240"/>
        <w:jc w:val="both"/>
      </w:pPr>
      <w:r>
        <w:rPr>
          <w:rFonts w:ascii="Book Antiqua" w:eastAsia="Book Antiqua" w:hAnsi="Book Antiqua" w:cs="Book Antiqua"/>
          <w:color w:val="000000"/>
        </w:rPr>
        <w:t>Glutathione (L-</w:t>
      </w:r>
      <w:r>
        <w:rPr>
          <w:rFonts w:ascii="Book Antiqua" w:eastAsia="Book Antiqua" w:hAnsi="Book Antiqua" w:cs="Book Antiqua"/>
          <w:i/>
          <w:iCs/>
          <w:color w:val="000000"/>
        </w:rPr>
        <w:t>γ</w:t>
      </w:r>
      <w:r>
        <w:rPr>
          <w:rFonts w:ascii="Book Antiqua" w:eastAsia="Book Antiqua" w:hAnsi="Book Antiqua" w:cs="Book Antiqua"/>
          <w:color w:val="000000"/>
        </w:rPr>
        <w:t>-glutamyl-L-cysteinyl-glycine; GSH) is the most abundant non-protein antioxidant in eukaryotic cells. Although it is synthe</w:t>
      </w:r>
      <w:r w:rsidR="006928DB">
        <w:rPr>
          <w:rFonts w:ascii="Book Antiqua" w:eastAsia="Book Antiqua" w:hAnsi="Book Antiqua" w:cs="Book Antiqua"/>
          <w:color w:val="000000"/>
        </w:rPr>
        <w:t>s</w:t>
      </w:r>
      <w:r>
        <w:rPr>
          <w:rFonts w:ascii="Book Antiqua" w:eastAsia="Book Antiqua" w:hAnsi="Book Antiqua" w:cs="Book Antiqua"/>
          <w:color w:val="000000"/>
        </w:rPr>
        <w:t xml:space="preserve">ized in the cytosol, glutathione levels are particularly high in mitochondria, where it maintains redox balance through ROS detoxification and protects phospholipids in the mitochondrial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Interestingly, glutathione levels are strongly increased in murine embryonic stem cells and mesenchymal stem cells, supporting defense against diverse insults and maintenance of </w:t>
      </w:r>
      <w:proofErr w:type="gramStart"/>
      <w:r>
        <w:rPr>
          <w:rFonts w:ascii="Book Antiqua" w:eastAsia="Book Antiqua" w:hAnsi="Book Antiqua" w:cs="Book Antiqua"/>
          <w:color w:val="000000"/>
        </w:rPr>
        <w:t>stemness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Similarly, glutathione content and specific GSH-related enzymes are up-regulated in CSCs from </w:t>
      </w:r>
      <w:proofErr w:type="gramStart"/>
      <w:r>
        <w:rPr>
          <w:rFonts w:ascii="Book Antiqua" w:eastAsia="Book Antiqua" w:hAnsi="Book Antiqua" w:cs="Book Antiqua"/>
          <w:color w:val="000000"/>
        </w:rPr>
        <w:t>breast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liver</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gastric cancer</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Additionally, different components of the glutathione metabolism pathway have been shown to promote tumor </w:t>
      </w:r>
      <w:proofErr w:type="gramStart"/>
      <w:r>
        <w:rPr>
          <w:rFonts w:ascii="Book Antiqua" w:eastAsia="Book Antiqua" w:hAnsi="Book Antiqua" w:cs="Book Antiqua"/>
          <w:color w:val="000000"/>
        </w:rPr>
        <w:t>initiation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metastasis</w:t>
      </w:r>
      <w:r>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 xml:space="preserve"> and chemoresistance</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features frequently associated with CSCs. </w:t>
      </w:r>
    </w:p>
    <w:p w14:paraId="73AF96C8" w14:textId="77777777" w:rsidR="00A77B3E" w:rsidRDefault="0063365C" w:rsidP="00C41D49">
      <w:pPr>
        <w:spacing w:line="360" w:lineRule="auto"/>
        <w:ind w:firstLineChars="100" w:firstLine="240"/>
        <w:jc w:val="both"/>
      </w:pPr>
      <w:r>
        <w:rPr>
          <w:rFonts w:ascii="Book Antiqua" w:eastAsia="Book Antiqua" w:hAnsi="Book Antiqua" w:cs="Book Antiqua"/>
          <w:color w:val="000000"/>
        </w:rPr>
        <w:t>However, little is known about the role of this pathway in pancreatic CSCs. Here we now show that pancreatic CSCs display increased GSH content and expression of diverse genes involved in the glutathione metabolism pathway, which correlated with stemness and disease-free survival in pancreatic cancer patients. Depletion of GSH levels in sphere cultures with pharmacological inhibitors of glutathione synthesis or recycling induced cell cycle arrest and apoptosis. This translated into diminished self-renewal capacity and reduced expression of the CSC surface marker CD133. Importantly, GSH depletion sensitized CSCs to gemcitabine, suggesting an important role for glutathione in chemoresistance in pancreatic cancer.</w:t>
      </w:r>
    </w:p>
    <w:p w14:paraId="32387DE7" w14:textId="77777777" w:rsidR="00A77B3E" w:rsidRDefault="00A77B3E" w:rsidP="00C41D49">
      <w:pPr>
        <w:spacing w:line="360" w:lineRule="auto"/>
        <w:jc w:val="both"/>
      </w:pPr>
    </w:p>
    <w:p w14:paraId="3C42DB83" w14:textId="77777777" w:rsidR="00A77B3E" w:rsidRDefault="0063365C">
      <w:pPr>
        <w:spacing w:line="360" w:lineRule="auto"/>
        <w:jc w:val="both"/>
      </w:pPr>
      <w:r>
        <w:rPr>
          <w:rFonts w:ascii="Book Antiqua" w:eastAsia="Book Antiqua" w:hAnsi="Book Antiqua" w:cs="Book Antiqua"/>
          <w:b/>
          <w:caps/>
          <w:color w:val="000000"/>
          <w:u w:val="single"/>
        </w:rPr>
        <w:t>MATERIALS AND METHODS</w:t>
      </w:r>
    </w:p>
    <w:p w14:paraId="6BEC0D33" w14:textId="4B0CDB75" w:rsidR="00A77B3E" w:rsidRPr="00C41D49" w:rsidRDefault="00C41D49">
      <w:pPr>
        <w:spacing w:line="360" w:lineRule="auto"/>
        <w:jc w:val="both"/>
        <w:rPr>
          <w:b/>
          <w:bCs/>
        </w:rPr>
      </w:pPr>
      <w:r w:rsidRPr="00C41D49">
        <w:rPr>
          <w:rFonts w:ascii="Book Antiqua" w:eastAsia="Book Antiqua" w:hAnsi="Book Antiqua" w:cs="Book Antiqua"/>
          <w:b/>
          <w:bCs/>
          <w:i/>
          <w:iCs/>
          <w:color w:val="000000"/>
        </w:rPr>
        <w:t>Primary human pancreatic cancer cells</w:t>
      </w:r>
    </w:p>
    <w:p w14:paraId="59C34AD9" w14:textId="6AE3A7C4" w:rsidR="00A77B3E" w:rsidRDefault="0063365C">
      <w:pPr>
        <w:spacing w:line="360" w:lineRule="auto"/>
        <w:jc w:val="both"/>
      </w:pPr>
      <w:r>
        <w:rPr>
          <w:rFonts w:ascii="Book Antiqua" w:eastAsia="Book Antiqua" w:hAnsi="Book Antiqua" w:cs="Book Antiqua"/>
          <w:color w:val="000000"/>
        </w:rPr>
        <w:t>Human pancreatic cancer Patient-Derived Xenograf</w:t>
      </w:r>
      <w:r w:rsidR="00660CC1">
        <w:rPr>
          <w:rFonts w:ascii="Book Antiqua" w:eastAsia="Book Antiqua" w:hAnsi="Book Antiqua" w:cs="Book Antiqua"/>
          <w:color w:val="000000"/>
        </w:rPr>
        <w:t>t</w:t>
      </w:r>
      <w:r>
        <w:rPr>
          <w:rFonts w:ascii="Book Antiqua" w:eastAsia="Book Antiqua" w:hAnsi="Book Antiqua" w:cs="Book Antiqua"/>
          <w:color w:val="000000"/>
        </w:rPr>
        <w:t xml:space="preserve">s </w:t>
      </w:r>
      <w:r w:rsidR="0047123E">
        <w:rPr>
          <w:rFonts w:ascii="Book Antiqua" w:eastAsia="Book Antiqua" w:hAnsi="Book Antiqua" w:cs="Book Antiqua"/>
          <w:color w:val="000000"/>
        </w:rPr>
        <w:t>[</w:t>
      </w:r>
      <w:r>
        <w:rPr>
          <w:rFonts w:ascii="Book Antiqua" w:eastAsia="Book Antiqua" w:hAnsi="Book Antiqua" w:cs="Book Antiqua"/>
          <w:color w:val="000000"/>
        </w:rPr>
        <w:t xml:space="preserve">PDXs, either pancreatic ductal adenocarcinoma </w:t>
      </w:r>
      <w:r w:rsidR="0047123E">
        <w:rPr>
          <w:rFonts w:ascii="Book Antiqua" w:eastAsia="Book Antiqua" w:hAnsi="Book Antiqua" w:cs="Book Antiqua"/>
          <w:color w:val="000000"/>
        </w:rPr>
        <w:t>(</w:t>
      </w:r>
      <w:r>
        <w:rPr>
          <w:rFonts w:ascii="Book Antiqua" w:eastAsia="Book Antiqua" w:hAnsi="Book Antiqua" w:cs="Book Antiqua"/>
          <w:color w:val="000000"/>
        </w:rPr>
        <w:t>PDAC</w:t>
      </w:r>
      <w:r w:rsidR="0047123E">
        <w:rPr>
          <w:rFonts w:ascii="Book Antiqua" w:eastAsia="Book Antiqua" w:hAnsi="Book Antiqua" w:cs="Book Antiqua"/>
          <w:color w:val="000000"/>
        </w:rPr>
        <w:t>)</w:t>
      </w:r>
      <w:r>
        <w:rPr>
          <w:rFonts w:ascii="Book Antiqua" w:eastAsia="Book Antiqua" w:hAnsi="Book Antiqua" w:cs="Book Antiqua"/>
          <w:color w:val="000000"/>
        </w:rPr>
        <w:t xml:space="preserve"> or pancreatic cancer of hepatobiliary origin</w:t>
      </w:r>
      <w:r w:rsidR="0036061D">
        <w:rPr>
          <w:rFonts w:ascii="Book Antiqua" w:eastAsia="Book Antiqua" w:hAnsi="Book Antiqua" w:cs="Book Antiqua"/>
          <w:color w:val="000000"/>
        </w:rPr>
        <w:t>]</w:t>
      </w:r>
      <w:r>
        <w:rPr>
          <w:rFonts w:ascii="Book Antiqua" w:eastAsia="Book Antiqua" w:hAnsi="Book Antiqua" w:cs="Book Antiqua"/>
          <w:color w:val="000000"/>
        </w:rPr>
        <w:t xml:space="preserve"> were obtained </w:t>
      </w:r>
      <w:r>
        <w:rPr>
          <w:rFonts w:ascii="Book Antiqua" w:eastAsia="Book Antiqua" w:hAnsi="Book Antiqua" w:cs="Book Antiqua"/>
          <w:color w:val="000000"/>
        </w:rPr>
        <w:lastRenderedPageBreak/>
        <w:t>through the Biobank of the Spanish National Cancer Research Centre (CNIO), Madrid, Spain (reference 1204090835CHMH). For primary cultures, PDX tissue fragments previously expanded in nude mice (passages 1-13) were minced, enzymatically digested with collagenase (Stem Cell Technologies</w:t>
      </w:r>
      <w:r w:rsidR="009C6B0A">
        <w:rPr>
          <w:rFonts w:ascii="Book Antiqua" w:eastAsia="Book Antiqua" w:hAnsi="Book Antiqua" w:cs="Book Antiqua"/>
          <w:color w:val="000000"/>
        </w:rPr>
        <w:t>, Vancouver, Canada</w:t>
      </w:r>
      <w:r>
        <w:rPr>
          <w:rFonts w:ascii="Book Antiqua" w:eastAsia="Book Antiqua" w:hAnsi="Book Antiqua" w:cs="Book Antiqua"/>
          <w:color w:val="000000"/>
        </w:rPr>
        <w:t>) for 90 min at 37°</w:t>
      </w:r>
      <w:proofErr w:type="gramStart"/>
      <w:r>
        <w:rPr>
          <w:rFonts w:ascii="Book Antiqua" w:eastAsia="Book Antiqua" w:hAnsi="Book Antiqua" w:cs="Book Antiqua"/>
          <w:color w:val="000000"/>
        </w:rPr>
        <w:t>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and after centrifugation for 5 min at 1200 rpm the pellets were resuspended and cultured in RPMI, 10% </w:t>
      </w:r>
      <w:r w:rsidR="00C41D49" w:rsidRPr="00C41D49">
        <w:rPr>
          <w:rFonts w:ascii="Book Antiqua" w:eastAsia="Book Antiqua" w:hAnsi="Book Antiqua" w:cs="Book Antiqua"/>
          <w:color w:val="000000"/>
        </w:rPr>
        <w:t>fetal bovine serum</w:t>
      </w:r>
      <w:r w:rsidR="00C41D49">
        <w:rPr>
          <w:rFonts w:ascii="Book Antiqua" w:eastAsia="Book Antiqua" w:hAnsi="Book Antiqua" w:cs="Book Antiqua"/>
          <w:color w:val="000000"/>
        </w:rPr>
        <w:t xml:space="preserve"> (</w:t>
      </w:r>
      <w:r>
        <w:rPr>
          <w:rFonts w:ascii="Book Antiqua" w:eastAsia="Book Antiqua" w:hAnsi="Book Antiqua" w:cs="Book Antiqua"/>
          <w:color w:val="000000"/>
        </w:rPr>
        <w:t>FBS</w:t>
      </w:r>
      <w:r w:rsidR="00C41D49">
        <w:rPr>
          <w:rFonts w:ascii="Book Antiqua" w:eastAsia="Book Antiqua" w:hAnsi="Book Antiqua" w:cs="Book Antiqua"/>
          <w:color w:val="000000"/>
        </w:rPr>
        <w:t>)</w:t>
      </w:r>
      <w:r>
        <w:rPr>
          <w:rFonts w:ascii="Book Antiqua" w:eastAsia="Book Antiqua" w:hAnsi="Book Antiqua" w:cs="Book Antiqua"/>
          <w:color w:val="000000"/>
        </w:rPr>
        <w:t xml:space="preserve">, and 50 </w:t>
      </w:r>
      <w:r w:rsidR="00C41D49">
        <w:rPr>
          <w:rFonts w:ascii="Book Antiqua" w:eastAsia="Book Antiqua" w:hAnsi="Book Antiqua" w:cs="Book Antiqua"/>
          <w:color w:val="000000"/>
        </w:rPr>
        <w:t>U</w:t>
      </w:r>
      <w:r>
        <w:rPr>
          <w:rFonts w:ascii="Book Antiqua" w:eastAsia="Book Antiqua" w:hAnsi="Book Antiqua" w:cs="Book Antiqua"/>
          <w:color w:val="000000"/>
        </w:rPr>
        <w:t>/mL penicillin/streptomycin. For</w:t>
      </w:r>
      <w:r w:rsidR="00660CC1">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experiments, cells were cultured in </w:t>
      </w:r>
      <w:proofErr w:type="gramStart"/>
      <w:r>
        <w:rPr>
          <w:rFonts w:ascii="Book Antiqua" w:eastAsia="Book Antiqua" w:hAnsi="Book Antiqua" w:cs="Book Antiqua"/>
          <w:color w:val="000000"/>
        </w:rPr>
        <w:t>DMEM:F</w:t>
      </w:r>
      <w:proofErr w:type="gramEnd"/>
      <w:r>
        <w:rPr>
          <w:rFonts w:ascii="Book Antiqua" w:eastAsia="Book Antiqua" w:hAnsi="Book Antiqua" w:cs="Book Antiqua"/>
          <w:color w:val="000000"/>
        </w:rPr>
        <w:t>12 supplemented with B-27, L-Glutamine (all from Gibco, Life Technologies</w:t>
      </w:r>
      <w:r w:rsidR="009C6B0A">
        <w:rPr>
          <w:rFonts w:ascii="Book Antiqua" w:eastAsia="Book Antiqua" w:hAnsi="Book Antiqua" w:cs="Book Antiqua"/>
          <w:color w:val="000000"/>
        </w:rPr>
        <w:t>, Carlsbad, CA, USA</w:t>
      </w:r>
      <w:r>
        <w:rPr>
          <w:rFonts w:ascii="Book Antiqua" w:eastAsia="Book Antiqua" w:hAnsi="Book Antiqua" w:cs="Book Antiqua"/>
          <w:color w:val="000000"/>
        </w:rPr>
        <w:t>), 50 U/mL penicillin–streptomycin (Sigma</w:t>
      </w:r>
      <w:r w:rsidR="009C6B0A">
        <w:rPr>
          <w:rFonts w:ascii="Book Antiqua" w:eastAsia="Book Antiqua" w:hAnsi="Book Antiqua" w:cs="Book Antiqua"/>
          <w:color w:val="000000"/>
        </w:rPr>
        <w:t>-Aldrich, St. L</w:t>
      </w:r>
      <w:r w:rsidR="00D442E2">
        <w:rPr>
          <w:rFonts w:ascii="Book Antiqua" w:eastAsia="Book Antiqua" w:hAnsi="Book Antiqua" w:cs="Book Antiqua"/>
          <w:color w:val="000000"/>
        </w:rPr>
        <w:t>o</w:t>
      </w:r>
      <w:r w:rsidR="009C6B0A">
        <w:rPr>
          <w:rFonts w:ascii="Book Antiqua" w:eastAsia="Book Antiqua" w:hAnsi="Book Antiqua" w:cs="Book Antiqua"/>
          <w:color w:val="000000"/>
        </w:rPr>
        <w:t>uis, MO, USA</w:t>
      </w:r>
      <w:r>
        <w:rPr>
          <w:rFonts w:ascii="Book Antiqua" w:eastAsia="Book Antiqua" w:hAnsi="Book Antiqua" w:cs="Book Antiqua"/>
          <w:color w:val="000000"/>
        </w:rPr>
        <w:t>) and β-FGF (</w:t>
      </w:r>
      <w:proofErr w:type="spellStart"/>
      <w:r>
        <w:rPr>
          <w:rFonts w:ascii="Book Antiqua" w:eastAsia="Book Antiqua" w:hAnsi="Book Antiqua" w:cs="Book Antiqua"/>
          <w:color w:val="000000"/>
        </w:rPr>
        <w:t>PeproTech</w:t>
      </w:r>
      <w:proofErr w:type="spellEnd"/>
      <w:r w:rsidR="009C6B0A">
        <w:rPr>
          <w:rFonts w:ascii="Book Antiqua" w:eastAsia="Book Antiqua" w:hAnsi="Book Antiqua" w:cs="Book Antiqua"/>
          <w:color w:val="000000"/>
        </w:rPr>
        <w:t>, Rocky Hill, NJ, USA</w:t>
      </w:r>
      <w:r>
        <w:rPr>
          <w:rFonts w:ascii="Book Antiqua" w:eastAsia="Book Antiqua" w:hAnsi="Book Antiqua" w:cs="Book Antiqua"/>
          <w:color w:val="000000"/>
        </w:rPr>
        <w:t>).</w:t>
      </w:r>
    </w:p>
    <w:p w14:paraId="341B4146" w14:textId="77777777" w:rsidR="00A77B3E" w:rsidRDefault="00A77B3E">
      <w:pPr>
        <w:spacing w:line="360" w:lineRule="auto"/>
        <w:jc w:val="both"/>
      </w:pPr>
    </w:p>
    <w:p w14:paraId="14A3D720" w14:textId="27FFB878" w:rsidR="00A77B3E" w:rsidRPr="0013023D" w:rsidRDefault="00C41D49">
      <w:pPr>
        <w:spacing w:line="360" w:lineRule="auto"/>
        <w:jc w:val="both"/>
        <w:rPr>
          <w:b/>
          <w:bCs/>
        </w:rPr>
      </w:pPr>
      <w:r>
        <w:rPr>
          <w:rFonts w:ascii="Book Antiqua" w:eastAsia="Book Antiqua" w:hAnsi="Book Antiqua" w:cs="Book Antiqua"/>
          <w:b/>
          <w:bCs/>
          <w:i/>
          <w:iCs/>
          <w:color w:val="000000"/>
        </w:rPr>
        <w:t>CSC</w:t>
      </w:r>
      <w:r w:rsidRPr="00C41D49">
        <w:rPr>
          <w:rFonts w:ascii="Book Antiqua" w:eastAsia="Book Antiqua" w:hAnsi="Book Antiqua" w:cs="Book Antiqua"/>
          <w:b/>
          <w:bCs/>
          <w:i/>
          <w:iCs/>
          <w:color w:val="000000"/>
        </w:rPr>
        <w:t>-enriching culture</w:t>
      </w:r>
    </w:p>
    <w:p w14:paraId="6C809F0B" w14:textId="56DEFC3A" w:rsidR="00A77B3E" w:rsidRDefault="0063365C">
      <w:pPr>
        <w:spacing w:line="360" w:lineRule="auto"/>
        <w:jc w:val="both"/>
      </w:pPr>
      <w:r>
        <w:rPr>
          <w:rFonts w:ascii="Book Antiqua" w:eastAsia="Book Antiqua" w:hAnsi="Book Antiqua" w:cs="Book Antiqua"/>
          <w:color w:val="000000"/>
        </w:rPr>
        <w:t>Pancreatic cancer spheres were generated and expanded in supplemented DMEM-F12. A total of 10</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cells/mL was seeded in ultra-low attachment plates (Corning</w:t>
      </w:r>
      <w:r w:rsidR="009C6B0A">
        <w:rPr>
          <w:rFonts w:ascii="Book Antiqua" w:eastAsia="Book Antiqua" w:hAnsi="Book Antiqua" w:cs="Book Antiqua"/>
          <w:color w:val="000000"/>
        </w:rPr>
        <w:t>, Corning, NY, USA</w:t>
      </w:r>
      <w:r>
        <w:rPr>
          <w:rFonts w:ascii="Book Antiqua" w:eastAsia="Book Antiqua" w:hAnsi="Book Antiqua" w:cs="Book Antiqua"/>
          <w:color w:val="000000"/>
        </w:rPr>
        <w:t xml:space="preserve">)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t>
      </w:r>
    </w:p>
    <w:p w14:paraId="1D626096" w14:textId="77777777" w:rsidR="00A77B3E" w:rsidRDefault="00A77B3E">
      <w:pPr>
        <w:spacing w:line="360" w:lineRule="auto"/>
        <w:jc w:val="both"/>
      </w:pPr>
    </w:p>
    <w:p w14:paraId="62200A12"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Sphere formation assay</w:t>
      </w:r>
    </w:p>
    <w:p w14:paraId="022F3B7F" w14:textId="631A3E48" w:rsidR="00A77B3E" w:rsidRDefault="0063365C">
      <w:pPr>
        <w:spacing w:line="360" w:lineRule="auto"/>
        <w:jc w:val="both"/>
      </w:pPr>
      <w:r>
        <w:rPr>
          <w:rFonts w:ascii="Book Antiqua" w:eastAsia="Book Antiqua" w:hAnsi="Book Antiqua" w:cs="Book Antiqua"/>
          <w:color w:val="000000"/>
        </w:rPr>
        <w:t>Cells were seeded in triplicate in ultra-low attachment 24-well plates (Corning) at 10</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cells/well in supplemented DMEM-F12 with or without the corresponding treatments, which were refreshed every other day.  After 7 d, spheres were counted </w:t>
      </w:r>
      <w:r w:rsidR="00660CC1">
        <w:rPr>
          <w:rFonts w:ascii="Book Antiqua" w:eastAsia="Book Antiqua" w:hAnsi="Book Antiqua" w:cs="Book Antiqua"/>
          <w:color w:val="000000"/>
        </w:rPr>
        <w:t>using</w:t>
      </w:r>
      <w:r>
        <w:rPr>
          <w:rFonts w:ascii="Book Antiqua" w:eastAsia="Book Antiqua" w:hAnsi="Book Antiqua" w:cs="Book Antiqua"/>
          <w:color w:val="000000"/>
        </w:rPr>
        <w:t xml:space="preserve"> a microscope </w:t>
      </w:r>
      <w:r w:rsidR="00660CC1">
        <w:rPr>
          <w:rFonts w:ascii="Book Antiqua" w:eastAsia="Book Antiqua" w:hAnsi="Book Antiqua" w:cs="Book Antiqua"/>
          <w:color w:val="000000"/>
        </w:rPr>
        <w:t>at</w:t>
      </w:r>
      <w:r>
        <w:rPr>
          <w:rFonts w:ascii="Book Antiqua" w:eastAsia="Book Antiqua" w:hAnsi="Book Antiqua" w:cs="Book Antiqua"/>
          <w:color w:val="000000"/>
        </w:rPr>
        <w:t xml:space="preserve"> 20</w:t>
      </w:r>
      <w:r w:rsidR="00C41D49">
        <w:rPr>
          <w:rFonts w:ascii="Book Antiqua" w:eastAsia="Book Antiqua" w:hAnsi="Book Antiqua" w:cs="Book Antiqua"/>
          <w:color w:val="000000"/>
        </w:rPr>
        <w:t>×</w:t>
      </w:r>
      <w:r>
        <w:rPr>
          <w:rFonts w:ascii="Book Antiqua" w:eastAsia="Book Antiqua" w:hAnsi="Book Antiqua" w:cs="Book Antiqua"/>
          <w:color w:val="000000"/>
        </w:rPr>
        <w:t xml:space="preserve"> magnification. </w:t>
      </w:r>
    </w:p>
    <w:p w14:paraId="690A1A47" w14:textId="77777777" w:rsidR="00A77B3E" w:rsidRDefault="00A77B3E">
      <w:pPr>
        <w:spacing w:line="360" w:lineRule="auto"/>
        <w:jc w:val="both"/>
      </w:pPr>
    </w:p>
    <w:p w14:paraId="439EF6E7" w14:textId="036DD526" w:rsidR="00A77B3E" w:rsidRPr="0013023D" w:rsidRDefault="0063365C">
      <w:pPr>
        <w:spacing w:line="360" w:lineRule="auto"/>
        <w:jc w:val="both"/>
        <w:rPr>
          <w:b/>
          <w:bCs/>
        </w:rPr>
      </w:pPr>
      <w:r w:rsidRPr="0013023D">
        <w:rPr>
          <w:rFonts w:ascii="Book Antiqua" w:eastAsia="Book Antiqua" w:hAnsi="Book Antiqua" w:cs="Book Antiqua"/>
          <w:b/>
          <w:bCs/>
          <w:i/>
          <w:iCs/>
          <w:color w:val="000000"/>
        </w:rPr>
        <w:t xml:space="preserve">RNA preparation and </w:t>
      </w:r>
      <w:r w:rsidR="00C41D49">
        <w:rPr>
          <w:rFonts w:ascii="Book Antiqua" w:eastAsia="Book Antiqua" w:hAnsi="Book Antiqua" w:cs="Book Antiqua"/>
          <w:b/>
          <w:bCs/>
          <w:i/>
          <w:iCs/>
          <w:color w:val="000000"/>
        </w:rPr>
        <w:t>r</w:t>
      </w:r>
      <w:r w:rsidR="00C41D49" w:rsidRPr="00C41D49">
        <w:rPr>
          <w:rFonts w:ascii="Book Antiqua" w:eastAsia="Book Antiqua" w:hAnsi="Book Antiqua" w:cs="Book Antiqua"/>
          <w:b/>
          <w:bCs/>
          <w:i/>
          <w:iCs/>
          <w:color w:val="000000"/>
        </w:rPr>
        <w:t xml:space="preserve">eal-time </w:t>
      </w:r>
      <w:bookmarkStart w:id="2" w:name="_Hlk51339031"/>
      <w:r w:rsidR="00C41D49" w:rsidRPr="00C41D49">
        <w:rPr>
          <w:rFonts w:ascii="Book Antiqua" w:eastAsia="Book Antiqua" w:hAnsi="Book Antiqua" w:cs="Book Antiqua"/>
          <w:b/>
          <w:bCs/>
          <w:i/>
          <w:iCs/>
          <w:color w:val="000000"/>
        </w:rPr>
        <w:t>polymerase chain reaction</w:t>
      </w:r>
      <w:bookmarkEnd w:id="2"/>
    </w:p>
    <w:p w14:paraId="4472D5FB" w14:textId="12A280E2" w:rsidR="00A77B3E" w:rsidRDefault="0063365C">
      <w:pPr>
        <w:spacing w:line="360" w:lineRule="auto"/>
        <w:jc w:val="both"/>
      </w:pPr>
      <w:r>
        <w:rPr>
          <w:rFonts w:ascii="Book Antiqua" w:eastAsia="Book Antiqua" w:hAnsi="Book Antiqua" w:cs="Book Antiqua"/>
          <w:color w:val="000000"/>
        </w:rPr>
        <w:t xml:space="preserve">Total RNAs from human primary pancreatic cancer cells and spheres were extracted with </w:t>
      </w:r>
      <w:r w:rsidR="00660CC1">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kit (Life Technologies</w:t>
      </w:r>
      <w:r w:rsidR="009C6B0A">
        <w:rPr>
          <w:rFonts w:ascii="Book Antiqua" w:eastAsia="Book Antiqua" w:hAnsi="Book Antiqua" w:cs="Book Antiqua"/>
          <w:color w:val="000000"/>
        </w:rPr>
        <w:t xml:space="preserve">) </w:t>
      </w:r>
      <w:r>
        <w:rPr>
          <w:rFonts w:ascii="Book Antiqua" w:eastAsia="Book Antiqua" w:hAnsi="Book Antiqua" w:cs="Book Antiqua"/>
          <w:color w:val="000000"/>
        </w:rPr>
        <w:t xml:space="preserve">according to the manufacturer’s instructions. One microgram of total RNA was used for cDNA synthesis with </w:t>
      </w:r>
      <w:proofErr w:type="spellStart"/>
      <w:r>
        <w:rPr>
          <w:rFonts w:ascii="Book Antiqua" w:eastAsia="Book Antiqua" w:hAnsi="Book Antiqua" w:cs="Book Antiqua"/>
          <w:color w:val="000000"/>
        </w:rPr>
        <w:t>SuperScript</w:t>
      </w:r>
      <w:proofErr w:type="spellEnd"/>
      <w:r>
        <w:rPr>
          <w:rFonts w:ascii="Book Antiqua" w:eastAsia="Book Antiqua" w:hAnsi="Book Antiqua" w:cs="Book Antiqua"/>
          <w:color w:val="000000"/>
        </w:rPr>
        <w:t xml:space="preserve"> II reverse transcriptase (Life Technologies) and random hexamers. Quantitative real-time </w:t>
      </w:r>
      <w:r w:rsidR="00C41D49" w:rsidRPr="00C41D49">
        <w:rPr>
          <w:rFonts w:ascii="Book Antiqua" w:eastAsia="Book Antiqua" w:hAnsi="Book Antiqua" w:cs="Book Antiqua"/>
          <w:color w:val="000000"/>
        </w:rPr>
        <w:t>polymerase chain reaction</w:t>
      </w:r>
      <w:r w:rsidR="00C41D49">
        <w:rPr>
          <w:rFonts w:ascii="Book Antiqua" w:eastAsia="Book Antiqua" w:hAnsi="Book Antiqua" w:cs="Book Antiqua"/>
          <w:color w:val="000000"/>
        </w:rPr>
        <w:t xml:space="preserve"> (</w:t>
      </w:r>
      <w:r>
        <w:rPr>
          <w:rFonts w:ascii="Book Antiqua" w:eastAsia="Book Antiqua" w:hAnsi="Book Antiqua" w:cs="Book Antiqua"/>
          <w:color w:val="000000"/>
        </w:rPr>
        <w:t>PCR</w:t>
      </w:r>
      <w:r w:rsidR="00C41D49">
        <w:rPr>
          <w:rFonts w:ascii="Book Antiqua" w:eastAsia="Book Antiqua" w:hAnsi="Book Antiqua" w:cs="Book Antiqua"/>
          <w:color w:val="000000"/>
        </w:rPr>
        <w:t>)</w:t>
      </w:r>
      <w:r>
        <w:rPr>
          <w:rFonts w:ascii="Book Antiqua" w:eastAsia="Book Antiqua" w:hAnsi="Book Antiqua" w:cs="Book Antiqua"/>
          <w:color w:val="000000"/>
        </w:rPr>
        <w:t xml:space="preserve"> was performed using SYBR Green PCR master mix </w:t>
      </w:r>
      <w:r>
        <w:rPr>
          <w:rFonts w:ascii="Book Antiqua" w:eastAsia="Book Antiqua" w:hAnsi="Book Antiqua" w:cs="Book Antiqua"/>
          <w:color w:val="000000"/>
        </w:rPr>
        <w:lastRenderedPageBreak/>
        <w:t xml:space="preserve">(Qiagen, Hilden, Germany), according to the manufacturer’s instructions. The list of utilized primers is </w:t>
      </w:r>
      <w:r w:rsidR="00903AE0">
        <w:rPr>
          <w:rFonts w:ascii="Book Antiqua" w:eastAsia="Book Antiqua" w:hAnsi="Book Antiqua" w:cs="Book Antiqua"/>
          <w:color w:val="000000"/>
        </w:rPr>
        <w:t xml:space="preserve">detailed </w:t>
      </w:r>
      <w:r w:rsidR="007C395F">
        <w:rPr>
          <w:rFonts w:ascii="Book Antiqua" w:eastAsia="Book Antiqua" w:hAnsi="Book Antiqua" w:cs="Book Antiqua"/>
          <w:color w:val="000000"/>
        </w:rPr>
        <w:t>in Table 1</w:t>
      </w:r>
      <w:r>
        <w:rPr>
          <w:rFonts w:ascii="Book Antiqua" w:eastAsia="Book Antiqua" w:hAnsi="Book Antiqua" w:cs="Book Antiqua"/>
          <w:color w:val="000000"/>
        </w:rPr>
        <w:t>.</w:t>
      </w:r>
    </w:p>
    <w:p w14:paraId="11EFCE01" w14:textId="77777777" w:rsidR="00A77B3E" w:rsidRDefault="00A77B3E">
      <w:pPr>
        <w:spacing w:line="360" w:lineRule="auto"/>
        <w:jc w:val="both"/>
      </w:pPr>
    </w:p>
    <w:p w14:paraId="37BEAD4B" w14:textId="77777777" w:rsidR="00A77B3E" w:rsidRPr="00C60D78" w:rsidRDefault="0063365C">
      <w:pPr>
        <w:spacing w:line="360" w:lineRule="auto"/>
        <w:jc w:val="both"/>
        <w:rPr>
          <w:b/>
          <w:bCs/>
        </w:rPr>
      </w:pPr>
      <w:r w:rsidRPr="00C60D78">
        <w:rPr>
          <w:rFonts w:ascii="Book Antiqua" w:eastAsia="Book Antiqua" w:hAnsi="Book Antiqua" w:cs="Book Antiqua"/>
          <w:b/>
          <w:bCs/>
          <w:i/>
          <w:iCs/>
          <w:color w:val="000000"/>
        </w:rPr>
        <w:t>GSH content</w:t>
      </w:r>
    </w:p>
    <w:p w14:paraId="290AE12D" w14:textId="33472D3A" w:rsidR="00A77B3E" w:rsidRDefault="0063365C">
      <w:pPr>
        <w:spacing w:line="360" w:lineRule="auto"/>
        <w:jc w:val="both"/>
      </w:pPr>
      <w:r>
        <w:rPr>
          <w:rFonts w:ascii="Book Antiqua" w:eastAsia="Book Antiqua" w:hAnsi="Book Antiqua" w:cs="Book Antiqua"/>
          <w:color w:val="000000"/>
        </w:rPr>
        <w:t xml:space="preserve">The glutathione-sensitive fluorescent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 xml:space="preserve">, Sigma-Aldrich) was used to analyze the reduced intracellular glutathione content.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on the day of the experiment, washed, protected from light and incubated for 1</w:t>
      </w:r>
      <w:r w:rsidR="00660CC1">
        <w:rPr>
          <w:rFonts w:ascii="Book Antiqua" w:eastAsia="Book Antiqua" w:hAnsi="Book Antiqua" w:cs="Book Antiqua"/>
          <w:color w:val="000000"/>
        </w:rPr>
        <w:t xml:space="preserve"> </w:t>
      </w:r>
      <w:r>
        <w:rPr>
          <w:rFonts w:ascii="Book Antiqua" w:eastAsia="Book Antiqua" w:hAnsi="Book Antiqua" w:cs="Book Antiqua"/>
          <w:color w:val="000000"/>
        </w:rPr>
        <w:t xml:space="preserve">h at 37°C with 2 mmol/L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 xml:space="preserve"> diluted in </w:t>
      </w:r>
      <w:r w:rsidR="00C60D78" w:rsidRPr="00C60D78">
        <w:rPr>
          <w:rFonts w:ascii="Book Antiqua" w:eastAsia="Book Antiqua" w:hAnsi="Book Antiqua" w:cs="Book Antiqua"/>
          <w:color w:val="000000"/>
        </w:rPr>
        <w:t>phosphate buffer</w:t>
      </w:r>
      <w:r w:rsidR="00660CC1">
        <w:rPr>
          <w:rFonts w:ascii="Book Antiqua" w:eastAsia="Book Antiqua" w:hAnsi="Book Antiqua" w:cs="Book Antiqua"/>
          <w:color w:val="000000"/>
        </w:rPr>
        <w:t>ed</w:t>
      </w:r>
      <w:r w:rsidR="00C60D78" w:rsidRPr="00C60D78">
        <w:rPr>
          <w:rFonts w:ascii="Book Antiqua" w:eastAsia="Book Antiqua" w:hAnsi="Book Antiqua" w:cs="Book Antiqua"/>
          <w:color w:val="000000"/>
        </w:rPr>
        <w:t xml:space="preserve"> saline </w:t>
      </w:r>
      <w:r w:rsidR="00C60D78">
        <w:rPr>
          <w:rFonts w:ascii="Book Antiqua" w:eastAsia="Book Antiqua" w:hAnsi="Book Antiqua" w:cs="Book Antiqua"/>
          <w:color w:val="000000"/>
        </w:rPr>
        <w:t>(</w:t>
      </w:r>
      <w:r>
        <w:rPr>
          <w:rFonts w:ascii="Book Antiqua" w:eastAsia="Book Antiqua" w:hAnsi="Book Antiqua" w:cs="Book Antiqua"/>
          <w:color w:val="000000"/>
        </w:rPr>
        <w:t>PBS</w:t>
      </w:r>
      <w:r w:rsidR="00C60D78">
        <w:rPr>
          <w:rFonts w:ascii="Book Antiqua" w:eastAsia="Book Antiqua" w:hAnsi="Book Antiqua" w:cs="Book Antiqua"/>
          <w:color w:val="000000"/>
        </w:rPr>
        <w:t>)</w:t>
      </w:r>
      <w:r>
        <w:rPr>
          <w:rFonts w:ascii="Book Antiqua" w:eastAsia="Book Antiqua" w:hAnsi="Book Antiqua" w:cs="Book Antiqua"/>
          <w:color w:val="000000"/>
        </w:rPr>
        <w:t>. Cells were then washed and resuspended in PBS and fluorescence (excitation: 380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nm, emission: 461</w:t>
      </w:r>
      <w:r w:rsidR="00C60D78">
        <w:rPr>
          <w:rFonts w:ascii="Book Antiqua" w:eastAsia="Book Antiqua" w:hAnsi="Book Antiqua" w:cs="Book Antiqua"/>
          <w:color w:val="000000"/>
        </w:rPr>
        <w:t xml:space="preserve"> </w:t>
      </w:r>
      <w:r>
        <w:rPr>
          <w:rFonts w:ascii="Book Antiqua" w:eastAsia="Book Antiqua" w:hAnsi="Book Antiqua" w:cs="Book Antiqua"/>
          <w:color w:val="000000"/>
        </w:rPr>
        <w:t xml:space="preserve">nm) was measured on a </w:t>
      </w:r>
      <w:proofErr w:type="spellStart"/>
      <w:r>
        <w:rPr>
          <w:rFonts w:ascii="Book Antiqua" w:eastAsia="Book Antiqua" w:hAnsi="Book Antiqua" w:cs="Book Antiqua"/>
          <w:color w:val="000000"/>
        </w:rPr>
        <w:t>FLUOstar</w:t>
      </w:r>
      <w:proofErr w:type="spellEnd"/>
      <w:r>
        <w:rPr>
          <w:rFonts w:ascii="Book Antiqua" w:eastAsia="Book Antiqua" w:hAnsi="Book Antiqua" w:cs="Book Antiqua"/>
          <w:color w:val="000000"/>
        </w:rPr>
        <w:t xml:space="preserve"> OPTIMA Microplate Reader. Values were corrected for cell content by measuring the protein concentration of the sample with </w:t>
      </w:r>
      <w:r w:rsidR="00660CC1">
        <w:rPr>
          <w:rFonts w:ascii="Book Antiqua" w:eastAsia="Book Antiqua" w:hAnsi="Book Antiqua" w:cs="Book Antiqua"/>
          <w:color w:val="000000"/>
        </w:rPr>
        <w:t>the</w:t>
      </w:r>
      <w:r w:rsidR="00903AE0">
        <w:rPr>
          <w:rFonts w:ascii="Book Antiqua" w:eastAsia="Book Antiqua" w:hAnsi="Book Antiqua" w:cs="Book Antiqua"/>
          <w:color w:val="000000"/>
        </w:rPr>
        <w:t xml:space="preserve"> </w:t>
      </w:r>
      <w:r>
        <w:rPr>
          <w:rFonts w:ascii="Book Antiqua" w:eastAsia="Book Antiqua" w:hAnsi="Book Antiqua" w:cs="Book Antiqua"/>
          <w:color w:val="000000"/>
        </w:rPr>
        <w:t>Bradford assay. Alternatively, cells were incubated with DAPI and analyzed by flow cytometry using a FACS Canto II (BD</w:t>
      </w:r>
      <w:r w:rsidR="009C6B0A">
        <w:rPr>
          <w:rFonts w:ascii="Book Antiqua" w:eastAsia="Book Antiqua" w:hAnsi="Book Antiqua" w:cs="Book Antiqua"/>
          <w:color w:val="000000"/>
        </w:rPr>
        <w:t>, Franklin Lakes, NJ, USA</w:t>
      </w:r>
      <w:r>
        <w:rPr>
          <w:rFonts w:ascii="Book Antiqua" w:eastAsia="Book Antiqua" w:hAnsi="Book Antiqua" w:cs="Book Antiqua"/>
          <w:color w:val="000000"/>
        </w:rPr>
        <w:t xml:space="preserve">) and data were analyzed with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9.2 software (Ashland, </w:t>
      </w:r>
      <w:r w:rsidR="009C6B0A">
        <w:rPr>
          <w:rFonts w:ascii="Book Antiqua" w:eastAsia="Book Antiqua" w:hAnsi="Book Antiqua" w:cs="Book Antiqua"/>
          <w:color w:val="000000"/>
        </w:rPr>
        <w:t>OR</w:t>
      </w:r>
      <w:r>
        <w:rPr>
          <w:rFonts w:ascii="Book Antiqua" w:eastAsia="Book Antiqua" w:hAnsi="Book Antiqua" w:cs="Book Antiqua"/>
          <w:color w:val="000000"/>
        </w:rPr>
        <w:t>, U</w:t>
      </w:r>
      <w:r w:rsidR="00D442E2">
        <w:rPr>
          <w:rFonts w:ascii="Book Antiqua" w:eastAsia="Book Antiqua" w:hAnsi="Book Antiqua" w:cs="Book Antiqua"/>
          <w:color w:val="000000"/>
        </w:rPr>
        <w:t>SA</w:t>
      </w:r>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Cytobank</w:t>
      </w:r>
      <w:proofErr w:type="spellEnd"/>
      <w:r>
        <w:rPr>
          <w:rFonts w:ascii="Book Antiqua" w:eastAsia="Book Antiqua" w:hAnsi="Book Antiqua" w:cs="Book Antiqua"/>
          <w:color w:val="000000"/>
        </w:rPr>
        <w:t xml:space="preserve"> (Beckman Coulter, C</w:t>
      </w:r>
      <w:r w:rsidR="00082DE0">
        <w:rPr>
          <w:rFonts w:ascii="Book Antiqua" w:eastAsia="Book Antiqua" w:hAnsi="Book Antiqua" w:cs="Book Antiqua"/>
          <w:color w:val="000000"/>
        </w:rPr>
        <w:t>A</w:t>
      </w:r>
      <w:r>
        <w:rPr>
          <w:rFonts w:ascii="Book Antiqua" w:eastAsia="Book Antiqua" w:hAnsi="Book Antiqua" w:cs="Book Antiqua"/>
          <w:color w:val="000000"/>
        </w:rPr>
        <w:t xml:space="preserve">, </w:t>
      </w:r>
      <w:r w:rsidR="00C60D78">
        <w:rPr>
          <w:rFonts w:ascii="Book Antiqua" w:eastAsia="Book Antiqua" w:hAnsi="Book Antiqua" w:cs="Book Antiqua"/>
          <w:color w:val="000000"/>
        </w:rPr>
        <w:t>U</w:t>
      </w:r>
      <w:r w:rsidR="00D442E2">
        <w:rPr>
          <w:rFonts w:ascii="Book Antiqua" w:eastAsia="Book Antiqua" w:hAnsi="Book Antiqua" w:cs="Book Antiqua"/>
          <w:color w:val="000000"/>
        </w:rPr>
        <w:t>SA</w:t>
      </w:r>
      <w:r>
        <w:rPr>
          <w:rFonts w:ascii="Book Antiqua" w:eastAsia="Book Antiqua" w:hAnsi="Book Antiqua" w:cs="Book Antiqua"/>
          <w:color w:val="000000"/>
        </w:rPr>
        <w:t xml:space="preserve">). </w:t>
      </w:r>
    </w:p>
    <w:p w14:paraId="216D4767" w14:textId="77777777" w:rsidR="00A77B3E" w:rsidRDefault="00A77B3E">
      <w:pPr>
        <w:spacing w:line="360" w:lineRule="auto"/>
        <w:jc w:val="both"/>
      </w:pPr>
    </w:p>
    <w:p w14:paraId="7858FBE7" w14:textId="77777777" w:rsidR="00A77B3E" w:rsidRPr="00C60D78" w:rsidRDefault="0063365C">
      <w:pPr>
        <w:spacing w:line="360" w:lineRule="auto"/>
        <w:jc w:val="both"/>
        <w:rPr>
          <w:b/>
          <w:bCs/>
        </w:rPr>
      </w:pPr>
      <w:r w:rsidRPr="00C60D78">
        <w:rPr>
          <w:rFonts w:ascii="Book Antiqua" w:eastAsia="Book Antiqua" w:hAnsi="Book Antiqua" w:cs="Book Antiqua"/>
          <w:b/>
          <w:bCs/>
          <w:i/>
          <w:iCs/>
          <w:color w:val="000000"/>
        </w:rPr>
        <w:t>CSC content by flow cytometry</w:t>
      </w:r>
    </w:p>
    <w:p w14:paraId="08C4C3AF" w14:textId="18D856FB" w:rsidR="00A77B3E" w:rsidRDefault="0063365C">
      <w:pPr>
        <w:spacing w:line="360" w:lineRule="auto"/>
        <w:jc w:val="both"/>
      </w:pPr>
      <w:r>
        <w:rPr>
          <w:rFonts w:ascii="Book Antiqua" w:eastAsia="Book Antiqua" w:hAnsi="Book Antiqua" w:cs="Book Antiqua"/>
          <w:color w:val="000000"/>
        </w:rPr>
        <w:t xml:space="preserve">To identify pancreatic CSCs, the anti-CD133/1 (APC or PE, </w:t>
      </w:r>
      <w:proofErr w:type="spellStart"/>
      <w:r>
        <w:rPr>
          <w:rFonts w:ascii="Book Antiqua" w:eastAsia="Book Antiqua" w:hAnsi="Book Antiqua" w:cs="Book Antiqua"/>
          <w:color w:val="000000"/>
        </w:rPr>
        <w:t>Miltenyi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Bergisch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Gladbach</w:t>
      </w:r>
      <w:proofErr w:type="spellEnd"/>
      <w:r>
        <w:rPr>
          <w:rFonts w:ascii="Book Antiqua" w:eastAsia="Book Antiqua" w:hAnsi="Book Antiqua" w:cs="Book Antiqua"/>
          <w:color w:val="000000"/>
        </w:rPr>
        <w:t xml:space="preserve">, Germany) or corresponding control </w:t>
      </w:r>
      <w:r w:rsidR="00C60D78" w:rsidRPr="00C60D78">
        <w:rPr>
          <w:rFonts w:ascii="Book Antiqua" w:eastAsia="Book Antiqua" w:hAnsi="Book Antiqua" w:cs="Book Antiqua"/>
          <w:color w:val="000000"/>
        </w:rPr>
        <w:t>Immunoglobulin</w:t>
      </w:r>
      <w:r w:rsidR="00C60D78" w:rsidRPr="00C60D78" w:rsidDel="00C60D78">
        <w:rPr>
          <w:rFonts w:ascii="Book Antiqua" w:eastAsia="Book Antiqua" w:hAnsi="Book Antiqua" w:cs="Book Antiqua"/>
          <w:color w:val="000000"/>
        </w:rPr>
        <w:t xml:space="preserve"> </w:t>
      </w:r>
      <w:r>
        <w:rPr>
          <w:rFonts w:ascii="Book Antiqua" w:eastAsia="Book Antiqua" w:hAnsi="Book Antiqua" w:cs="Book Antiqua"/>
          <w:color w:val="000000"/>
        </w:rPr>
        <w:t>G</w:t>
      </w:r>
      <w:r w:rsidR="00C60D78">
        <w:rPr>
          <w:rFonts w:ascii="Book Antiqua" w:eastAsia="Book Antiqua" w:hAnsi="Book Antiqua" w:cs="Book Antiqua"/>
          <w:color w:val="000000"/>
        </w:rPr>
        <w:t xml:space="preserve"> (IgG) </w:t>
      </w:r>
      <w:r>
        <w:rPr>
          <w:rFonts w:ascii="Book Antiqua" w:eastAsia="Book Antiqua" w:hAnsi="Book Antiqua" w:cs="Book Antiqua"/>
          <w:color w:val="000000"/>
        </w:rPr>
        <w:t>1 antibody were used. Briefly, cells were stained for 30 min on ice with gentle rocking. DAPI was used for exclusion of dead cells (</w:t>
      </w:r>
      <w:proofErr w:type="spellStart"/>
      <w:r>
        <w:rPr>
          <w:rFonts w:ascii="Book Antiqua" w:eastAsia="Book Antiqua" w:hAnsi="Book Antiqua" w:cs="Book Antiqua"/>
          <w:color w:val="000000"/>
        </w:rPr>
        <w:t>eBiosciences</w:t>
      </w:r>
      <w:proofErr w:type="spellEnd"/>
      <w:r w:rsidR="009C6B0A">
        <w:rPr>
          <w:rFonts w:ascii="Book Antiqua" w:eastAsia="Book Antiqua" w:hAnsi="Book Antiqua" w:cs="Book Antiqua"/>
          <w:color w:val="000000"/>
        </w:rPr>
        <w:t>, San Diego, CA, USA</w:t>
      </w:r>
      <w:r>
        <w:rPr>
          <w:rFonts w:ascii="Book Antiqua" w:eastAsia="Book Antiqua" w:hAnsi="Book Antiqua" w:cs="Book Antiqua"/>
          <w:color w:val="000000"/>
        </w:rPr>
        <w:t xml:space="preserve">). All samples were analyzed by flow cytometry using a FACS Canto II (BD) and data were analyzed with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9.2 software or </w:t>
      </w:r>
      <w:proofErr w:type="spellStart"/>
      <w:r>
        <w:rPr>
          <w:rFonts w:ascii="Book Antiqua" w:eastAsia="Book Antiqua" w:hAnsi="Book Antiqua" w:cs="Book Antiqua"/>
          <w:color w:val="000000"/>
        </w:rPr>
        <w:t>Cytobank</w:t>
      </w:r>
      <w:proofErr w:type="spellEnd"/>
      <w:r>
        <w:rPr>
          <w:rFonts w:ascii="Book Antiqua" w:eastAsia="Book Antiqua" w:hAnsi="Book Antiqua" w:cs="Book Antiqua"/>
          <w:color w:val="000000"/>
        </w:rPr>
        <w:t xml:space="preserve">. </w:t>
      </w:r>
    </w:p>
    <w:p w14:paraId="7F93C04D" w14:textId="77777777" w:rsidR="00A77B3E" w:rsidRDefault="00A77B3E">
      <w:pPr>
        <w:spacing w:line="360" w:lineRule="auto"/>
        <w:jc w:val="both"/>
      </w:pPr>
    </w:p>
    <w:p w14:paraId="62453EDC"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Apoptosis assay by flow cytometry</w:t>
      </w:r>
    </w:p>
    <w:p w14:paraId="1589658D" w14:textId="4C9EC6E0" w:rsidR="00A77B3E" w:rsidRDefault="00C60D78">
      <w:pPr>
        <w:spacing w:line="360" w:lineRule="auto"/>
        <w:jc w:val="both"/>
      </w:pPr>
      <w:r>
        <w:rPr>
          <w:rFonts w:ascii="Book Antiqua" w:eastAsia="Book Antiqua" w:hAnsi="Book Antiqua" w:cs="Book Antiqua"/>
          <w:color w:val="000000"/>
        </w:rPr>
        <w:t>Five</w:t>
      </w:r>
      <w:r w:rsidR="0063365C">
        <w:rPr>
          <w:rFonts w:ascii="Book Antiqua" w:eastAsia="Book Antiqua" w:hAnsi="Book Antiqua" w:cs="Book Antiqua"/>
          <w:color w:val="000000"/>
        </w:rPr>
        <w:t xml:space="preserve">-day old spheres or adherent cultures were treated for 48 h in </w:t>
      </w:r>
      <w:r w:rsidR="00660CC1">
        <w:rPr>
          <w:rFonts w:ascii="Book Antiqua" w:eastAsia="Book Antiqua" w:hAnsi="Book Antiqua" w:cs="Book Antiqua"/>
          <w:color w:val="000000"/>
        </w:rPr>
        <w:t xml:space="preserve">the </w:t>
      </w:r>
      <w:r w:rsidR="0063365C">
        <w:rPr>
          <w:rFonts w:ascii="Book Antiqua" w:eastAsia="Book Antiqua" w:hAnsi="Book Antiqua" w:cs="Book Antiqua"/>
          <w:color w:val="000000"/>
        </w:rPr>
        <w:t xml:space="preserve">presence of 100 mmol/L </w:t>
      </w:r>
      <w:r w:rsidR="0013023D">
        <w:rPr>
          <w:rFonts w:ascii="Book Antiqua" w:eastAsia="Book Antiqua" w:hAnsi="Book Antiqua" w:cs="Book Antiqua"/>
          <w:color w:val="000000"/>
        </w:rPr>
        <w:t>buthionine-</w:t>
      </w:r>
      <w:proofErr w:type="spellStart"/>
      <w:r w:rsidR="0013023D">
        <w:rPr>
          <w:rFonts w:ascii="Book Antiqua" w:eastAsia="Book Antiqua" w:hAnsi="Book Antiqua" w:cs="Book Antiqua"/>
          <w:color w:val="000000"/>
        </w:rPr>
        <w:t>sulfoximine</w:t>
      </w:r>
      <w:proofErr w:type="spellEnd"/>
      <w:r>
        <w:rPr>
          <w:rFonts w:ascii="Book Antiqua" w:eastAsia="Book Antiqua" w:hAnsi="Book Antiqua" w:cs="Book Antiqua"/>
          <w:color w:val="000000"/>
        </w:rPr>
        <w:t xml:space="preserve"> (</w:t>
      </w:r>
      <w:r w:rsidR="0063365C">
        <w:rPr>
          <w:rFonts w:ascii="Book Antiqua" w:eastAsia="Book Antiqua" w:hAnsi="Book Antiqua" w:cs="Book Antiqua"/>
          <w:color w:val="000000"/>
        </w:rPr>
        <w:t>BSO</w:t>
      </w:r>
      <w:r>
        <w:rPr>
          <w:rFonts w:ascii="Book Antiqua" w:eastAsia="Book Antiqua" w:hAnsi="Book Antiqua" w:cs="Book Antiqua"/>
          <w:color w:val="000000"/>
        </w:rPr>
        <w:t>)</w:t>
      </w:r>
      <w:r w:rsidR="0063365C">
        <w:rPr>
          <w:rFonts w:ascii="Book Antiqua" w:eastAsia="Book Antiqua" w:hAnsi="Book Antiqua" w:cs="Book Antiqua"/>
          <w:color w:val="000000"/>
        </w:rPr>
        <w:t xml:space="preserve"> or BSO and gemcitabine (1 </w:t>
      </w:r>
      <w:proofErr w:type="spellStart"/>
      <w:r w:rsidR="00EE06F5" w:rsidRPr="00EE06F5">
        <w:rPr>
          <w:rFonts w:ascii="Book Antiqua" w:hAnsi="Book Antiqua" w:cs="Book Antiqua"/>
          <w:color w:val="000000"/>
          <w:lang w:eastAsia="zh-CN"/>
        </w:rPr>
        <w:t>μ</w:t>
      </w:r>
      <w:r w:rsidR="0063365C">
        <w:rPr>
          <w:rFonts w:ascii="Book Antiqua" w:eastAsia="Book Antiqua" w:hAnsi="Book Antiqua" w:cs="Book Antiqua"/>
          <w:color w:val="000000"/>
        </w:rPr>
        <w:t>mol</w:t>
      </w:r>
      <w:proofErr w:type="spellEnd"/>
      <w:r w:rsidR="0063365C">
        <w:rPr>
          <w:rFonts w:ascii="Book Antiqua" w:eastAsia="Book Antiqua" w:hAnsi="Book Antiqua" w:cs="Book Antiqua"/>
          <w:color w:val="000000"/>
        </w:rPr>
        <w:t xml:space="preserve">/L). Attached and floating cells were collected, resuspended and stained with Annexin V (550474) diluted in Annexin V binding buffer (556454, all from </w:t>
      </w:r>
      <w:proofErr w:type="spellStart"/>
      <w:r w:rsidR="0063365C">
        <w:rPr>
          <w:rFonts w:ascii="Book Antiqua" w:eastAsia="Book Antiqua" w:hAnsi="Book Antiqua" w:cs="Book Antiqua"/>
          <w:color w:val="000000"/>
        </w:rPr>
        <w:t>eBiosciences</w:t>
      </w:r>
      <w:proofErr w:type="spellEnd"/>
      <w:r w:rsidR="0063365C">
        <w:rPr>
          <w:rFonts w:ascii="Book Antiqua" w:eastAsia="Book Antiqua" w:hAnsi="Book Antiqua" w:cs="Book Antiqua"/>
          <w:color w:val="000000"/>
        </w:rPr>
        <w:t xml:space="preserve">) for 20 min at room </w:t>
      </w:r>
      <w:r w:rsidR="0063365C">
        <w:rPr>
          <w:rFonts w:ascii="Book Antiqua" w:eastAsia="Book Antiqua" w:hAnsi="Book Antiqua" w:cs="Book Antiqua"/>
          <w:color w:val="000000"/>
        </w:rPr>
        <w:lastRenderedPageBreak/>
        <w:t xml:space="preserve">temperature, following </w:t>
      </w:r>
      <w:r w:rsidR="00660CC1">
        <w:rPr>
          <w:rFonts w:ascii="Book Antiqua" w:eastAsia="Book Antiqua" w:hAnsi="Book Antiqua" w:cs="Book Antiqua"/>
          <w:color w:val="000000"/>
        </w:rPr>
        <w:t xml:space="preserve">the </w:t>
      </w:r>
      <w:r w:rsidR="0063365C">
        <w:rPr>
          <w:rFonts w:ascii="Book Antiqua" w:eastAsia="Book Antiqua" w:hAnsi="Book Antiqua" w:cs="Book Antiqua"/>
          <w:color w:val="000000"/>
        </w:rPr>
        <w:t xml:space="preserve">manufacturer’s instructions. Cells were then incubated with DAPI for </w:t>
      </w:r>
      <w:r w:rsidR="00660CC1">
        <w:rPr>
          <w:rFonts w:ascii="Book Antiqua" w:eastAsia="Book Antiqua" w:hAnsi="Book Antiqua" w:cs="Book Antiqua"/>
          <w:color w:val="000000"/>
        </w:rPr>
        <w:t>an</w:t>
      </w:r>
      <w:r w:rsidR="0063365C">
        <w:rPr>
          <w:rFonts w:ascii="Book Antiqua" w:eastAsia="Book Antiqua" w:hAnsi="Book Antiqua" w:cs="Book Antiqua"/>
          <w:color w:val="000000"/>
        </w:rPr>
        <w:t xml:space="preserve"> additional </w:t>
      </w:r>
      <w:r w:rsidR="00660CC1">
        <w:rPr>
          <w:rFonts w:ascii="Book Antiqua" w:eastAsia="Book Antiqua" w:hAnsi="Book Antiqua" w:cs="Book Antiqua"/>
          <w:color w:val="000000"/>
        </w:rPr>
        <w:t xml:space="preserve">5 </w:t>
      </w:r>
      <w:r w:rsidR="0063365C">
        <w:rPr>
          <w:rFonts w:ascii="Book Antiqua" w:eastAsia="Book Antiqua" w:hAnsi="Book Antiqua" w:cs="Book Antiqua"/>
          <w:color w:val="000000"/>
        </w:rPr>
        <w:t>min.</w:t>
      </w:r>
    </w:p>
    <w:p w14:paraId="53098DB7" w14:textId="77777777" w:rsidR="00A77B3E" w:rsidRDefault="00A77B3E">
      <w:pPr>
        <w:spacing w:line="360" w:lineRule="auto"/>
        <w:jc w:val="both"/>
      </w:pPr>
    </w:p>
    <w:p w14:paraId="308E87DD"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Cell-cycle analysis by flow cytometry</w:t>
      </w:r>
    </w:p>
    <w:p w14:paraId="66FEEFB7" w14:textId="140C6B63" w:rsidR="00A77B3E" w:rsidRDefault="0063365C">
      <w:pPr>
        <w:spacing w:line="360" w:lineRule="auto"/>
        <w:jc w:val="both"/>
      </w:pPr>
      <w:r>
        <w:rPr>
          <w:rFonts w:ascii="Book Antiqua" w:eastAsia="Book Antiqua" w:hAnsi="Book Antiqua" w:cs="Book Antiqua"/>
          <w:color w:val="000000"/>
        </w:rPr>
        <w:t xml:space="preserve">Spheres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washed in PBS, centrifuged, and pellets were fixed in 200 µ</w:t>
      </w:r>
      <w:r w:rsidR="00C60D78">
        <w:rPr>
          <w:rFonts w:ascii="Book Antiqua" w:eastAsia="Book Antiqua" w:hAnsi="Book Antiqua" w:cs="Book Antiqua"/>
          <w:color w:val="000000"/>
        </w:rPr>
        <w:t xml:space="preserve">L </w:t>
      </w:r>
      <w:r>
        <w:rPr>
          <w:rFonts w:ascii="Book Antiqua" w:eastAsia="Book Antiqua" w:hAnsi="Book Antiqua" w:cs="Book Antiqua"/>
          <w:color w:val="000000"/>
        </w:rPr>
        <w:t xml:space="preserve">of 70% ethanol and stored at -20°C until use. </w:t>
      </w:r>
      <w:r w:rsidR="00660CC1">
        <w:rPr>
          <w:rFonts w:ascii="Book Antiqua" w:eastAsia="Book Antiqua" w:hAnsi="Book Antiqua" w:cs="Book Antiqua"/>
          <w:color w:val="000000"/>
        </w:rPr>
        <w:t>The c</w:t>
      </w:r>
      <w:r>
        <w:rPr>
          <w:rFonts w:ascii="Book Antiqua" w:eastAsia="Book Antiqua" w:hAnsi="Book Antiqua" w:cs="Book Antiqua"/>
          <w:color w:val="000000"/>
        </w:rPr>
        <w:t>ells were centrifuged and pellets resuspended in 200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µ</w:t>
      </w:r>
      <w:r w:rsidR="00C60D78">
        <w:rPr>
          <w:rFonts w:ascii="Book Antiqua" w:eastAsia="Book Antiqua" w:hAnsi="Book Antiqua" w:cs="Book Antiqua"/>
          <w:color w:val="000000"/>
        </w:rPr>
        <w:t>L</w:t>
      </w:r>
      <w:r>
        <w:rPr>
          <w:rFonts w:ascii="Book Antiqua" w:eastAsia="Book Antiqua" w:hAnsi="Book Antiqua" w:cs="Book Antiqua"/>
          <w:color w:val="000000"/>
        </w:rPr>
        <w:t xml:space="preserve"> of PBS, 10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 xml:space="preserve">µg/mL of </w:t>
      </w:r>
      <w:proofErr w:type="spellStart"/>
      <w:r>
        <w:rPr>
          <w:rFonts w:ascii="Book Antiqua" w:eastAsia="Book Antiqua" w:hAnsi="Book Antiqua" w:cs="Book Antiqua"/>
          <w:color w:val="000000"/>
        </w:rPr>
        <w:t>RNAse</w:t>
      </w:r>
      <w:proofErr w:type="spellEnd"/>
      <w:r>
        <w:rPr>
          <w:rFonts w:ascii="Book Antiqua" w:eastAsia="Book Antiqua" w:hAnsi="Book Antiqua" w:cs="Book Antiqua"/>
          <w:color w:val="000000"/>
        </w:rPr>
        <w:t xml:space="preserve"> A was </w:t>
      </w:r>
      <w:r w:rsidR="00660CC1">
        <w:rPr>
          <w:rFonts w:ascii="Book Antiqua" w:eastAsia="Book Antiqua" w:hAnsi="Book Antiqua" w:cs="Book Antiqua"/>
          <w:color w:val="000000"/>
        </w:rPr>
        <w:t>added</w:t>
      </w:r>
      <w:r w:rsidR="00E75BB7">
        <w:rPr>
          <w:rFonts w:ascii="Book Antiqua" w:eastAsia="Book Antiqua" w:hAnsi="Book Antiqua" w:cs="Book Antiqua"/>
          <w:color w:val="000000"/>
        </w:rPr>
        <w:t xml:space="preserve"> and the cells were </w:t>
      </w:r>
      <w:r>
        <w:rPr>
          <w:rFonts w:ascii="Book Antiqua" w:eastAsia="Book Antiqua" w:hAnsi="Book Antiqua" w:cs="Book Antiqua"/>
          <w:color w:val="000000"/>
        </w:rPr>
        <w:t xml:space="preserve">incubated for 1 h at 37°C. Subsequently, </w:t>
      </w:r>
      <w:r w:rsidR="00E75BB7">
        <w:rPr>
          <w:rFonts w:ascii="Book Antiqua" w:eastAsia="Book Antiqua" w:hAnsi="Book Antiqua" w:cs="Book Antiqua"/>
          <w:color w:val="000000"/>
        </w:rPr>
        <w:t xml:space="preserve">the </w:t>
      </w:r>
      <w:r>
        <w:rPr>
          <w:rFonts w:ascii="Book Antiqua" w:eastAsia="Book Antiqua" w:hAnsi="Book Antiqua" w:cs="Book Antiqua"/>
          <w:color w:val="000000"/>
        </w:rPr>
        <w:t>cells were resuspended in propidium iodide solution (0.1% sodium citrate, 0.1% TritonX-100, and 50</w:t>
      </w:r>
      <w:r w:rsidR="00C60D78">
        <w:rPr>
          <w:rFonts w:ascii="Book Antiqua" w:eastAsia="Book Antiqua" w:hAnsi="Book Antiqua" w:cs="Book Antiqua"/>
          <w:color w:val="000000"/>
        </w:rPr>
        <w:t xml:space="preserve"> </w:t>
      </w:r>
      <w:r>
        <w:rPr>
          <w:rFonts w:ascii="Book Antiqua" w:eastAsia="Book Antiqua" w:hAnsi="Book Antiqua" w:cs="Book Antiqua"/>
          <w:color w:val="000000"/>
        </w:rPr>
        <w:t xml:space="preserve">µg/mL propidium iodide). </w:t>
      </w:r>
    </w:p>
    <w:p w14:paraId="5D3F35CA" w14:textId="77777777" w:rsidR="00A77B3E" w:rsidRDefault="00A77B3E">
      <w:pPr>
        <w:spacing w:line="360" w:lineRule="auto"/>
        <w:jc w:val="both"/>
      </w:pPr>
    </w:p>
    <w:p w14:paraId="5CFF7F51" w14:textId="77777777" w:rsidR="00A77B3E" w:rsidRPr="0013023D" w:rsidRDefault="0063365C">
      <w:pPr>
        <w:spacing w:line="360" w:lineRule="auto"/>
        <w:jc w:val="both"/>
        <w:rPr>
          <w:b/>
          <w:bCs/>
        </w:rPr>
      </w:pPr>
      <w:proofErr w:type="spellStart"/>
      <w:r w:rsidRPr="0013023D">
        <w:rPr>
          <w:rFonts w:ascii="Book Antiqua" w:eastAsia="Book Antiqua" w:hAnsi="Book Antiqua" w:cs="Book Antiqua"/>
          <w:b/>
          <w:bCs/>
          <w:i/>
          <w:iCs/>
          <w:color w:val="000000"/>
        </w:rPr>
        <w:t>RNAseq</w:t>
      </w:r>
      <w:proofErr w:type="spellEnd"/>
      <w:r w:rsidRPr="0013023D">
        <w:rPr>
          <w:rFonts w:ascii="Book Antiqua" w:eastAsia="Book Antiqua" w:hAnsi="Book Antiqua" w:cs="Book Antiqua"/>
          <w:b/>
          <w:bCs/>
          <w:i/>
          <w:iCs/>
          <w:color w:val="000000"/>
        </w:rPr>
        <w:t xml:space="preserve"> data of CSC-enriched conditions</w:t>
      </w:r>
    </w:p>
    <w:p w14:paraId="50C426B5" w14:textId="3B8069F1" w:rsidR="00A77B3E" w:rsidRDefault="0063365C">
      <w:pPr>
        <w:spacing w:line="360" w:lineRule="auto"/>
        <w:jc w:val="both"/>
      </w:pPr>
      <w:r>
        <w:rPr>
          <w:rFonts w:ascii="Book Antiqua" w:eastAsia="Book Antiqua" w:hAnsi="Book Antiqua" w:cs="Book Antiqua"/>
          <w:color w:val="000000"/>
        </w:rPr>
        <w:t xml:space="preserve">Expression of the genes contained in the KEGG (Kyoto Encyclopedia of Genes and Genomes) Pathway Glutathione Metabolism was investigated in our published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(Array Express), which compares primary PDX cells cultured either </w:t>
      </w:r>
      <w:r w:rsidR="00E75BB7">
        <w:rPr>
          <w:rFonts w:ascii="Book Antiqua" w:eastAsia="Book Antiqua" w:hAnsi="Book Antiqua" w:cs="Book Antiqua"/>
          <w:color w:val="000000"/>
        </w:rPr>
        <w:t>by</w:t>
      </w:r>
      <w:r>
        <w:rPr>
          <w:rFonts w:ascii="Book Antiqua" w:eastAsia="Book Antiqua" w:hAnsi="Book Antiqua" w:cs="Book Antiqua"/>
          <w:color w:val="000000"/>
        </w:rPr>
        <w:t xml:space="preserve"> adherence or as </w:t>
      </w:r>
      <w:proofErr w:type="gramStart"/>
      <w:r>
        <w:rPr>
          <w:rFonts w:ascii="Book Antiqua" w:eastAsia="Book Antiqua" w:hAnsi="Book Antiqua" w:cs="Book Antiqua"/>
          <w:color w:val="000000"/>
        </w:rPr>
        <w:t>spheres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All original bioinformatic analyses on this dataset E-MTAB-3808 were perfo</w:t>
      </w:r>
      <w:r w:rsidR="006928DB">
        <w:rPr>
          <w:rFonts w:ascii="Book Antiqua" w:eastAsia="Book Antiqua" w:hAnsi="Book Antiqua" w:cs="Book Antiqua"/>
          <w:color w:val="000000"/>
        </w:rPr>
        <w:t>r</w:t>
      </w:r>
      <w:r>
        <w:rPr>
          <w:rFonts w:ascii="Book Antiqua" w:eastAsia="Book Antiqua" w:hAnsi="Book Antiqua" w:cs="Book Antiqua"/>
          <w:color w:val="000000"/>
        </w:rPr>
        <w:t>med at the Bioinformatics Unit and Structural Biology</w:t>
      </w:r>
      <w:r w:rsidR="0080633B">
        <w:rPr>
          <w:rFonts w:ascii="Book Antiqua" w:eastAsia="Book Antiqua" w:hAnsi="Book Antiqua" w:cs="Book Antiqua"/>
          <w:color w:val="000000"/>
        </w:rPr>
        <w:t xml:space="preserve"> </w:t>
      </w:r>
      <w:r>
        <w:rPr>
          <w:rFonts w:ascii="Book Antiqua" w:eastAsia="Book Antiqua" w:hAnsi="Book Antiqua" w:cs="Book Antiqua"/>
          <w:color w:val="000000"/>
        </w:rPr>
        <w:t xml:space="preserve">and Biocomputing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Spanish National Cancer Research Centre (CNIO), Madrid 28029, Spain. Differential expression of genes across the different conditions was calculated with </w:t>
      </w:r>
      <w:proofErr w:type="spellStart"/>
      <w:proofErr w:type="gramStart"/>
      <w:r>
        <w:rPr>
          <w:rFonts w:ascii="Book Antiqua" w:eastAsia="Book Antiqua" w:hAnsi="Book Antiqua" w:cs="Book Antiqua"/>
          <w:color w:val="000000"/>
        </w:rPr>
        <w:t>Cuffdiff</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100DD742" w14:textId="77777777" w:rsidR="00A77B3E" w:rsidRDefault="00A77B3E">
      <w:pPr>
        <w:spacing w:line="360" w:lineRule="auto"/>
        <w:jc w:val="both"/>
      </w:pPr>
    </w:p>
    <w:p w14:paraId="7E07A8DC"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Human data analysis</w:t>
      </w:r>
    </w:p>
    <w:p w14:paraId="06E5EE5F" w14:textId="415FDD55" w:rsidR="00A77B3E" w:rsidRDefault="0063365C">
      <w:pPr>
        <w:spacing w:line="360" w:lineRule="auto"/>
        <w:jc w:val="both"/>
      </w:pPr>
      <w:r>
        <w:rPr>
          <w:rFonts w:ascii="Book Antiqua" w:eastAsia="Book Antiqua" w:hAnsi="Book Antiqua" w:cs="Book Antiqua"/>
          <w:color w:val="000000"/>
        </w:rPr>
        <w:t xml:space="preserve">Expression data from pancreatic cancer and normal tissue from the TCGA and the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projects were analyzed using the webserver GEPIA2</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Pearson correlation coefficient was calculated for correlation analysis of glutathione-related genes with a stemness signature defined by the combined expression of the pluripotency-related genes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OCT4. </w:t>
      </w:r>
      <w:r>
        <w:rPr>
          <w:rFonts w:ascii="Book Antiqua" w:eastAsia="Book Antiqua" w:hAnsi="Book Antiqua" w:cs="Book Antiqua"/>
          <w:color w:val="000000"/>
        </w:rPr>
        <w:t xml:space="preserve">For </w:t>
      </w:r>
      <w:r w:rsidR="00E75BB7">
        <w:rPr>
          <w:rFonts w:ascii="Book Antiqua" w:eastAsia="Book Antiqua" w:hAnsi="Book Antiqua" w:cs="Book Antiqua"/>
          <w:color w:val="000000"/>
        </w:rPr>
        <w:t>d</w:t>
      </w:r>
      <w:r>
        <w:rPr>
          <w:rFonts w:ascii="Book Antiqua" w:eastAsia="Book Antiqua" w:hAnsi="Book Antiqua" w:cs="Book Antiqua"/>
          <w:color w:val="000000"/>
        </w:rPr>
        <w:t>isease-</w:t>
      </w:r>
      <w:r w:rsidR="00E75BB7">
        <w:rPr>
          <w:rFonts w:ascii="Book Antiqua" w:eastAsia="Book Antiqua" w:hAnsi="Book Antiqua" w:cs="Book Antiqua"/>
          <w:color w:val="000000"/>
        </w:rPr>
        <w:t>f</w:t>
      </w:r>
      <w:r>
        <w:rPr>
          <w:rFonts w:ascii="Book Antiqua" w:eastAsia="Book Antiqua" w:hAnsi="Book Antiqua" w:cs="Book Antiqua"/>
          <w:color w:val="000000"/>
        </w:rPr>
        <w:t xml:space="preserve">ree </w:t>
      </w:r>
      <w:r w:rsidR="00E75BB7">
        <w:rPr>
          <w:rFonts w:ascii="Book Antiqua" w:eastAsia="Book Antiqua" w:hAnsi="Book Antiqua" w:cs="Book Antiqua"/>
          <w:color w:val="000000"/>
        </w:rPr>
        <w:t>s</w:t>
      </w:r>
      <w:r>
        <w:rPr>
          <w:rFonts w:ascii="Book Antiqua" w:eastAsia="Book Antiqua" w:hAnsi="Book Antiqua" w:cs="Book Antiqua"/>
          <w:color w:val="000000"/>
        </w:rPr>
        <w:t xml:space="preserve">urvival analysis, the Hazard </w:t>
      </w:r>
      <w:r w:rsidR="00D72FE4">
        <w:rPr>
          <w:rFonts w:ascii="Book Antiqua" w:eastAsia="Book Antiqua" w:hAnsi="Book Antiqua" w:cs="Book Antiqua"/>
          <w:color w:val="000000"/>
        </w:rPr>
        <w:t>r</w:t>
      </w:r>
      <w:r>
        <w:rPr>
          <w:rFonts w:ascii="Book Antiqua" w:eastAsia="Book Antiqua" w:hAnsi="Book Antiqua" w:cs="Book Antiqua"/>
          <w:color w:val="000000"/>
        </w:rPr>
        <w:t>atio (HR) was calculated using the C</w:t>
      </w:r>
      <w:r w:rsidR="00E75BB7">
        <w:rPr>
          <w:rFonts w:ascii="Book Antiqua" w:eastAsia="Book Antiqua" w:hAnsi="Book Antiqua" w:cs="Book Antiqua"/>
          <w:color w:val="000000"/>
        </w:rPr>
        <w:t>ox</w:t>
      </w:r>
      <w:r>
        <w:rPr>
          <w:rFonts w:ascii="Book Antiqua" w:eastAsia="Book Antiqua" w:hAnsi="Book Antiqua" w:cs="Book Antiqua"/>
          <w:color w:val="000000"/>
        </w:rPr>
        <w:t xml:space="preserve"> Proportional Hazards model for pancreatic cancer patients from upper and lower quartiles of expression of the indicated genes. </w:t>
      </w:r>
    </w:p>
    <w:p w14:paraId="3DF65C19" w14:textId="77777777" w:rsidR="00A77B3E" w:rsidRDefault="00A77B3E">
      <w:pPr>
        <w:spacing w:line="360" w:lineRule="auto"/>
        <w:jc w:val="both"/>
      </w:pPr>
    </w:p>
    <w:p w14:paraId="2F37FDA8" w14:textId="761622F7" w:rsidR="00A77B3E" w:rsidRPr="0013023D" w:rsidRDefault="0063365C">
      <w:pPr>
        <w:spacing w:line="360" w:lineRule="auto"/>
        <w:jc w:val="both"/>
        <w:rPr>
          <w:b/>
          <w:bCs/>
        </w:rPr>
      </w:pPr>
      <w:r w:rsidRPr="0013023D">
        <w:rPr>
          <w:rFonts w:ascii="Book Antiqua" w:eastAsia="Book Antiqua" w:hAnsi="Book Antiqua" w:cs="Book Antiqua"/>
          <w:b/>
          <w:bCs/>
          <w:i/>
          <w:iCs/>
          <w:color w:val="000000"/>
        </w:rPr>
        <w:t>Statistical</w:t>
      </w:r>
      <w:r w:rsidR="00296886" w:rsidRPr="0013023D">
        <w:rPr>
          <w:rFonts w:ascii="Book Antiqua" w:eastAsia="Book Antiqua" w:hAnsi="Book Antiqua" w:cs="Book Antiqua"/>
          <w:b/>
          <w:bCs/>
          <w:i/>
          <w:iCs/>
          <w:color w:val="000000"/>
        </w:rPr>
        <w:t xml:space="preserve"> an</w:t>
      </w:r>
      <w:r w:rsidRPr="0013023D">
        <w:rPr>
          <w:rFonts w:ascii="Book Antiqua" w:eastAsia="Book Antiqua" w:hAnsi="Book Antiqua" w:cs="Book Antiqua"/>
          <w:b/>
          <w:bCs/>
          <w:i/>
          <w:iCs/>
          <w:color w:val="000000"/>
        </w:rPr>
        <w:t xml:space="preserve">alyses </w:t>
      </w:r>
    </w:p>
    <w:p w14:paraId="120ACFF4" w14:textId="7DE3D00B" w:rsidR="00A77B3E" w:rsidRDefault="0063365C">
      <w:pPr>
        <w:spacing w:line="360" w:lineRule="auto"/>
        <w:jc w:val="both"/>
      </w:pPr>
      <w:r>
        <w:rPr>
          <w:rFonts w:ascii="Book Antiqua" w:eastAsia="Book Antiqua" w:hAnsi="Book Antiqua" w:cs="Book Antiqua"/>
          <w:color w:val="000000"/>
        </w:rPr>
        <w:t xml:space="preserve">Results for continuous variables are presented as mean ± SE unless stated otherwise. Treatment groups were compared with the independent samples </w:t>
      </w:r>
      <w:r w:rsidRPr="0013023D">
        <w:rPr>
          <w:rFonts w:ascii="Book Antiqua" w:eastAsia="Book Antiqua" w:hAnsi="Book Antiqua" w:cs="Book Antiqua"/>
          <w:i/>
          <w:iCs/>
          <w:color w:val="000000"/>
        </w:rPr>
        <w:t>t</w:t>
      </w:r>
      <w:r>
        <w:rPr>
          <w:rFonts w:ascii="Book Antiqua" w:eastAsia="Book Antiqua" w:hAnsi="Book Antiqua" w:cs="Book Antiqua"/>
          <w:color w:val="000000"/>
        </w:rPr>
        <w:t xml:space="preserve">-test. Pair-wise multiple comparisons were performed with the one-way ANOVA (two-sided) with Bonferroni adjustment. Correlation analysis was performed </w:t>
      </w:r>
      <w:r w:rsidR="00E75BB7">
        <w:rPr>
          <w:rFonts w:ascii="Book Antiqua" w:eastAsia="Book Antiqua" w:hAnsi="Book Antiqua" w:cs="Book Antiqua"/>
          <w:color w:val="000000"/>
        </w:rPr>
        <w:t xml:space="preserve">by </w:t>
      </w:r>
      <w:r>
        <w:rPr>
          <w:rFonts w:ascii="Book Antiqua" w:eastAsia="Book Antiqua" w:hAnsi="Book Antiqua" w:cs="Book Antiqua"/>
          <w:color w:val="000000"/>
        </w:rPr>
        <w:t xml:space="preserve">calculating the Pearson correlation coefficient. </w:t>
      </w:r>
      <w:r w:rsidR="00D72FE4" w:rsidRPr="00D72FE4">
        <w:rPr>
          <w:rFonts w:ascii="Book Antiqua" w:eastAsia="Book Antiqua" w:hAnsi="Book Antiqua" w:cs="Book Antiqua"/>
          <w:i/>
          <w:iCs/>
          <w:color w:val="000000"/>
        </w:rPr>
        <w:t>P</w:t>
      </w:r>
      <w:r w:rsidR="00D72FE4">
        <w:rPr>
          <w:rFonts w:ascii="Book Antiqua" w:eastAsia="Book Antiqua" w:hAnsi="Book Antiqua" w:cs="Book Antiqua"/>
          <w:i/>
          <w:iCs/>
          <w:color w:val="000000"/>
        </w:rPr>
        <w:t xml:space="preserve"> </w:t>
      </w:r>
      <w:r>
        <w:rPr>
          <w:rFonts w:ascii="Book Antiqua" w:eastAsia="Book Antiqua" w:hAnsi="Book Antiqua" w:cs="Book Antiqua"/>
          <w:color w:val="000000"/>
        </w:rPr>
        <w:t>values &lt; 0.05 were considered statistically significant. All analyses were performed using Prism GraphPad (version 5.04).</w:t>
      </w:r>
    </w:p>
    <w:p w14:paraId="43D886C7" w14:textId="77777777" w:rsidR="00A77B3E" w:rsidRDefault="00A77B3E">
      <w:pPr>
        <w:spacing w:line="360" w:lineRule="auto"/>
        <w:jc w:val="both"/>
      </w:pPr>
    </w:p>
    <w:p w14:paraId="64B7508A" w14:textId="77777777" w:rsidR="00A77B3E" w:rsidRDefault="0063365C">
      <w:pPr>
        <w:spacing w:line="360" w:lineRule="auto"/>
        <w:jc w:val="both"/>
      </w:pPr>
      <w:r>
        <w:rPr>
          <w:rFonts w:ascii="Book Antiqua" w:eastAsia="Book Antiqua" w:hAnsi="Book Antiqua" w:cs="Book Antiqua"/>
          <w:b/>
          <w:caps/>
          <w:color w:val="000000"/>
          <w:u w:val="single"/>
        </w:rPr>
        <w:t>RESULTS</w:t>
      </w:r>
    </w:p>
    <w:p w14:paraId="6799AC93" w14:textId="77777777" w:rsidR="00A77B3E" w:rsidRPr="0013023D" w:rsidRDefault="0063365C">
      <w:pPr>
        <w:spacing w:line="360" w:lineRule="auto"/>
        <w:jc w:val="both"/>
        <w:rPr>
          <w:b/>
          <w:bCs/>
        </w:rPr>
      </w:pPr>
      <w:r w:rsidRPr="0013023D">
        <w:rPr>
          <w:rFonts w:ascii="Book Antiqua" w:eastAsia="Book Antiqua" w:hAnsi="Book Antiqua" w:cs="Book Antiqua"/>
          <w:b/>
          <w:bCs/>
          <w:i/>
          <w:iCs/>
          <w:color w:val="000000"/>
        </w:rPr>
        <w:t xml:space="preserve">Connection of glutathione metabolism with stemness in human pancreatic cancer samples </w:t>
      </w:r>
    </w:p>
    <w:p w14:paraId="0D7E7991" w14:textId="6C01A6EE" w:rsidR="00A77B3E" w:rsidRDefault="0063365C" w:rsidP="00D72FE4">
      <w:pPr>
        <w:spacing w:line="360" w:lineRule="auto"/>
        <w:jc w:val="both"/>
      </w:pPr>
      <w:r>
        <w:rPr>
          <w:rFonts w:ascii="Book Antiqua" w:eastAsia="Book Antiqua" w:hAnsi="Book Antiqua" w:cs="Book Antiqua"/>
          <w:color w:val="000000"/>
        </w:rPr>
        <w:t xml:space="preserve">In order to determine a possible connection between glutathione metabolism and stemness in pancreatic cancer, we first analyzed our previously published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comparing 5 different PDAC PDX models cultured in differentiating (adherent) or CSC-enriching (spheres) conditions (Figure 1A)</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We focused on genes related to the KEGG </w:t>
      </w:r>
      <w:r w:rsidR="00D72FE4">
        <w:rPr>
          <w:rFonts w:ascii="Book Antiqua" w:eastAsia="Book Antiqua" w:hAnsi="Book Antiqua" w:cs="Book Antiqua"/>
          <w:color w:val="000000"/>
        </w:rPr>
        <w:t>P</w:t>
      </w:r>
      <w:r>
        <w:rPr>
          <w:rFonts w:ascii="Book Antiqua" w:eastAsia="Book Antiqua" w:hAnsi="Book Antiqua" w:cs="Book Antiqua"/>
          <w:color w:val="000000"/>
        </w:rPr>
        <w:t>athway Glutathione Metabolism, which we categorized into four different classes: gamma-</w:t>
      </w:r>
      <w:proofErr w:type="spellStart"/>
      <w:r>
        <w:rPr>
          <w:rFonts w:ascii="Book Antiqua" w:eastAsia="Book Antiqua" w:hAnsi="Book Antiqua" w:cs="Book Antiqua"/>
          <w:color w:val="000000"/>
        </w:rPr>
        <w:t>glutamyltransferases</w:t>
      </w:r>
      <w:proofErr w:type="spellEnd"/>
      <w:r>
        <w:rPr>
          <w:rFonts w:ascii="Book Antiqua" w:eastAsia="Book Antiqua" w:hAnsi="Book Antiqua" w:cs="Book Antiqua"/>
          <w:color w:val="000000"/>
        </w:rPr>
        <w:t xml:space="preserve"> (GGTs), glutathione-s-transferases (GSTs), glutathione peroxidases (GPXs), and genes involved in glutathione synthesis and recycling. As summarized in Table </w:t>
      </w:r>
      <w:r w:rsidR="007C395F">
        <w:rPr>
          <w:rFonts w:ascii="Book Antiqua" w:eastAsia="Book Antiqua" w:hAnsi="Book Antiqua" w:cs="Book Antiqua"/>
          <w:color w:val="000000"/>
        </w:rPr>
        <w:t>2</w:t>
      </w:r>
      <w:r>
        <w:rPr>
          <w:rFonts w:ascii="Book Antiqua" w:eastAsia="Book Antiqua" w:hAnsi="Book Antiqua" w:cs="Book Antiqua"/>
          <w:color w:val="000000"/>
        </w:rPr>
        <w:t>, CSC-enriched cultures generally up-regulated genes from the four classes, although the specific genes varied among the different PDXs.  </w:t>
      </w:r>
    </w:p>
    <w:p w14:paraId="480A744F" w14:textId="78B38A06" w:rsidR="00A77B3E" w:rsidRDefault="0063365C" w:rsidP="00D72FE4">
      <w:pPr>
        <w:spacing w:line="360" w:lineRule="auto"/>
        <w:ind w:firstLineChars="100" w:firstLine="240"/>
        <w:jc w:val="both"/>
      </w:pPr>
      <w:r>
        <w:rPr>
          <w:rFonts w:ascii="Book Antiqua" w:eastAsia="Book Antiqua" w:hAnsi="Book Antiqua" w:cs="Book Antiqua"/>
          <w:color w:val="000000"/>
        </w:rPr>
        <w:t xml:space="preserve">We have previously </w:t>
      </w:r>
      <w:r w:rsidR="00E75BB7">
        <w:rPr>
          <w:rFonts w:ascii="Book Antiqua" w:eastAsia="Book Antiqua" w:hAnsi="Book Antiqua" w:cs="Book Antiqua"/>
          <w:color w:val="000000"/>
        </w:rPr>
        <w:t>demonstrated</w:t>
      </w:r>
      <w:r>
        <w:rPr>
          <w:rFonts w:ascii="Book Antiqua" w:eastAsia="Book Antiqua" w:hAnsi="Book Antiqua" w:cs="Book Antiqua"/>
          <w:color w:val="000000"/>
        </w:rPr>
        <w:t xml:space="preserve"> that pancreatic CSCs show increased expression of several pluripotency-related genes such as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OCT4</w:t>
      </w:r>
      <w:r>
        <w:rPr>
          <w:rFonts w:ascii="Book Antiqua" w:eastAsia="Book Antiqua" w:hAnsi="Book Antiqua" w:cs="Book Antiqua"/>
          <w:color w:val="000000"/>
        </w:rPr>
        <w:t xml:space="preserve">, which we have routinely used as a stemness </w:t>
      </w:r>
      <w:proofErr w:type="gramStart"/>
      <w:r>
        <w:rPr>
          <w:rFonts w:ascii="Book Antiqua" w:eastAsia="Book Antiqua" w:hAnsi="Book Antiqua" w:cs="Book Antiqua"/>
          <w:color w:val="000000"/>
        </w:rPr>
        <w:t>signature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In order to further support a connection between glutathione metabolism and stemness, we used the webserver GEPIA2 to analyze our target genes in human expression data from normal pancreas and PDAC tissues included in the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projects. Thus, we performed gene expression correlation studies between the different glutathione-related genes up-</w:t>
      </w:r>
      <w:r>
        <w:rPr>
          <w:rFonts w:ascii="Book Antiqua" w:eastAsia="Book Antiqua" w:hAnsi="Book Antiqua" w:cs="Book Antiqua"/>
          <w:color w:val="000000"/>
        </w:rPr>
        <w:lastRenderedPageBreak/>
        <w:t xml:space="preserve">regulated in spheres and our defined stemness signature in normal </w:t>
      </w:r>
      <w:r>
        <w:rPr>
          <w:rFonts w:ascii="Book Antiqua" w:eastAsia="Book Antiqua" w:hAnsi="Book Antiqua" w:cs="Book Antiqua"/>
          <w:i/>
          <w:iCs/>
          <w:color w:val="000000"/>
        </w:rPr>
        <w:t>vs</w:t>
      </w:r>
      <w:r>
        <w:rPr>
          <w:rFonts w:ascii="Book Antiqua" w:eastAsia="Book Antiqua" w:hAnsi="Book Antiqua" w:cs="Book Antiqua"/>
          <w:color w:val="000000"/>
        </w:rPr>
        <w:t xml:space="preserve"> PDAC samples. Interestingly, expression of 17 of the 25 genes up-regulated in CSCs positively correlated with the stemness signature in human samples, with </w:t>
      </w:r>
      <w:r w:rsidR="00E75BB7" w:rsidRPr="00EC5790">
        <w:rPr>
          <w:rFonts w:ascii="Book Antiqua" w:eastAsia="Book Antiqua" w:hAnsi="Book Antiqua" w:cs="Book Antiqua"/>
          <w:i/>
          <w:color w:val="000000"/>
        </w:rPr>
        <w:t>P</w:t>
      </w:r>
      <w:r>
        <w:rPr>
          <w:rFonts w:ascii="Book Antiqua" w:eastAsia="Book Antiqua" w:hAnsi="Book Antiqua" w:cs="Book Antiqua"/>
          <w:color w:val="000000"/>
        </w:rPr>
        <w:t>-values below 10</w:t>
      </w:r>
      <w:r>
        <w:rPr>
          <w:rFonts w:ascii="Book Antiqua" w:eastAsia="Book Antiqua" w:hAnsi="Book Antiqua" w:cs="Book Antiqua"/>
          <w:color w:val="000000"/>
          <w:szCs w:val="20"/>
          <w:vertAlign w:val="superscript"/>
        </w:rPr>
        <w:t xml:space="preserve">-5 </w:t>
      </w:r>
      <w:r>
        <w:rPr>
          <w:rFonts w:ascii="Book Antiqua" w:eastAsia="Book Antiqua" w:hAnsi="Book Antiqua" w:cs="Book Antiqua"/>
          <w:color w:val="000000"/>
        </w:rPr>
        <w:t>(Figure 1B). Since disease recurrence can be mainly attributed to CSCs due to their ability to regenerate tumors following treatment, we next investigated whether the expression of any of the 17 genes correlate</w:t>
      </w:r>
      <w:r w:rsidR="00E75BB7">
        <w:rPr>
          <w:rFonts w:ascii="Book Antiqua" w:eastAsia="Book Antiqua" w:hAnsi="Book Antiqua" w:cs="Book Antiqua"/>
          <w:color w:val="000000"/>
        </w:rPr>
        <w:t>d</w:t>
      </w:r>
      <w:r>
        <w:rPr>
          <w:rFonts w:ascii="Book Antiqua" w:eastAsia="Book Antiqua" w:hAnsi="Book Antiqua" w:cs="Book Antiqua"/>
          <w:color w:val="000000"/>
        </w:rPr>
        <w:t xml:space="preserve"> with disease-free survival in patients (Figure 1C). We found that high expression of </w:t>
      </w:r>
      <w:r>
        <w:rPr>
          <w:rFonts w:ascii="Book Antiqua" w:eastAsia="Book Antiqua" w:hAnsi="Book Antiqua" w:cs="Book Antiqua"/>
          <w:i/>
          <w:iCs/>
          <w:color w:val="000000"/>
        </w:rPr>
        <w:t>MGST1</w:t>
      </w:r>
      <w:r>
        <w:rPr>
          <w:rFonts w:ascii="Book Antiqua" w:eastAsia="Book Antiqua" w:hAnsi="Book Antiqua" w:cs="Book Antiqua"/>
          <w:color w:val="000000"/>
        </w:rPr>
        <w:t xml:space="preserve">, </w:t>
      </w:r>
      <w:r>
        <w:rPr>
          <w:rFonts w:ascii="Book Antiqua" w:eastAsia="Book Antiqua" w:hAnsi="Book Antiqua" w:cs="Book Antiqua"/>
          <w:i/>
          <w:iCs/>
          <w:color w:val="000000"/>
        </w:rPr>
        <w:t>GPX8</w:t>
      </w:r>
      <w:r>
        <w:rPr>
          <w:rFonts w:ascii="Book Antiqua" w:eastAsia="Book Antiqua" w:hAnsi="Book Antiqua" w:cs="Book Antiqua"/>
          <w:color w:val="000000"/>
        </w:rPr>
        <w:t xml:space="preserve"> and </w:t>
      </w:r>
      <w:r>
        <w:rPr>
          <w:rFonts w:ascii="Book Antiqua" w:eastAsia="Book Antiqua" w:hAnsi="Book Antiqua" w:cs="Book Antiqua"/>
          <w:i/>
          <w:iCs/>
          <w:color w:val="000000"/>
        </w:rPr>
        <w:t>GGCT</w:t>
      </w:r>
      <w:r>
        <w:rPr>
          <w:rFonts w:ascii="Book Antiqua" w:eastAsia="Book Antiqua" w:hAnsi="Book Antiqua" w:cs="Book Antiqua"/>
          <w:color w:val="000000"/>
        </w:rPr>
        <w:t xml:space="preserve"> predicted between 2.2-2.5 times increased risk of recurrence in PDAC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0.0054, 0.03 and 0.0054, respectively). Together, our results suggest a functional link between glutathione metabolism, stemness and the aggressiveness of pancreatic cancer.  </w:t>
      </w:r>
    </w:p>
    <w:p w14:paraId="541CE339" w14:textId="77777777" w:rsidR="00A77B3E" w:rsidRDefault="00A77B3E" w:rsidP="00D72FE4">
      <w:pPr>
        <w:spacing w:line="360" w:lineRule="auto"/>
        <w:jc w:val="both"/>
      </w:pPr>
    </w:p>
    <w:p w14:paraId="7345EA74" w14:textId="1396BB3F" w:rsidR="00A77B3E" w:rsidRDefault="0063365C">
      <w:pPr>
        <w:spacing w:line="360" w:lineRule="auto"/>
        <w:jc w:val="both"/>
      </w:pPr>
      <w:r w:rsidRPr="00D72FE4">
        <w:rPr>
          <w:rFonts w:ascii="Book Antiqua" w:eastAsia="Book Antiqua" w:hAnsi="Book Antiqua" w:cs="Book Antiqua"/>
          <w:b/>
          <w:bCs/>
          <w:i/>
          <w:iCs/>
          <w:color w:val="000000"/>
        </w:rPr>
        <w:t>Glutathione metabolism is enhanced in primary sphere cultures of pancreatic cancer PDXs</w:t>
      </w:r>
    </w:p>
    <w:p w14:paraId="5C4061CB" w14:textId="47186264" w:rsidR="00A77B3E" w:rsidRDefault="0063365C" w:rsidP="00D72FE4">
      <w:pPr>
        <w:spacing w:line="360" w:lineRule="auto"/>
        <w:jc w:val="both"/>
      </w:pPr>
      <w:r>
        <w:rPr>
          <w:rFonts w:ascii="Book Antiqua" w:eastAsia="Book Antiqua" w:hAnsi="Book Antiqua" w:cs="Book Antiqua"/>
          <w:color w:val="000000"/>
        </w:rPr>
        <w:t xml:space="preserve">Next, we aimed to further validate </w:t>
      </w:r>
      <w:r w:rsidR="00DA5739">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results. Therefore, we analy</w:t>
      </w:r>
      <w:r w:rsidR="00D72FE4">
        <w:rPr>
          <w:rFonts w:ascii="Book Antiqua" w:eastAsia="Book Antiqua" w:hAnsi="Book Antiqua" w:cs="Book Antiqua"/>
          <w:color w:val="000000"/>
        </w:rPr>
        <w:t>z</w:t>
      </w:r>
      <w:r>
        <w:rPr>
          <w:rFonts w:ascii="Book Antiqua" w:eastAsia="Book Antiqua" w:hAnsi="Book Antiqua" w:cs="Book Antiqua"/>
          <w:color w:val="000000"/>
        </w:rPr>
        <w:t xml:space="preserve">ed the expression of 2-4 genes from each subgroup by real-time PCR. We included two additional PDX models </w:t>
      </w:r>
      <w:r w:rsidR="001C3AF3">
        <w:rPr>
          <w:rFonts w:ascii="Book Antiqua" w:eastAsia="Book Antiqua" w:hAnsi="Book Antiqua" w:cs="Book Antiqua"/>
          <w:color w:val="000000"/>
        </w:rPr>
        <w:t>[</w:t>
      </w:r>
      <w:r>
        <w:rPr>
          <w:rFonts w:ascii="Book Antiqua" w:eastAsia="Book Antiqua" w:hAnsi="Book Antiqua" w:cs="Book Antiqua"/>
          <w:color w:val="000000"/>
        </w:rPr>
        <w:t xml:space="preserve">one PDAC </w:t>
      </w:r>
      <w:r w:rsidR="001C3AF3">
        <w:rPr>
          <w:rFonts w:ascii="Book Antiqua" w:eastAsia="Book Antiqua" w:hAnsi="Book Antiqua" w:cs="Book Antiqua"/>
          <w:color w:val="000000"/>
        </w:rPr>
        <w:t>(</w:t>
      </w:r>
      <w:r>
        <w:rPr>
          <w:rFonts w:ascii="Book Antiqua" w:eastAsia="Book Antiqua" w:hAnsi="Book Antiqua" w:cs="Book Antiqua"/>
          <w:color w:val="000000"/>
        </w:rPr>
        <w:t>PDX163</w:t>
      </w:r>
      <w:r w:rsidR="001C3AF3">
        <w:rPr>
          <w:rFonts w:ascii="Book Antiqua" w:eastAsia="Book Antiqua" w:hAnsi="Book Antiqua" w:cs="Book Antiqua"/>
          <w:color w:val="000000"/>
        </w:rPr>
        <w:t>)</w:t>
      </w:r>
      <w:r>
        <w:rPr>
          <w:rFonts w:ascii="Book Antiqua" w:eastAsia="Book Antiqua" w:hAnsi="Book Antiqua" w:cs="Book Antiqua"/>
          <w:color w:val="000000"/>
        </w:rPr>
        <w:t xml:space="preserve"> and one pancreatic tumor of hepatobiliary origin </w:t>
      </w:r>
      <w:r w:rsidR="001C3AF3">
        <w:rPr>
          <w:rFonts w:ascii="Book Antiqua" w:eastAsia="Book Antiqua" w:hAnsi="Book Antiqua" w:cs="Book Antiqua"/>
          <w:color w:val="000000"/>
        </w:rPr>
        <w:t>(</w:t>
      </w:r>
      <w:r>
        <w:rPr>
          <w:rFonts w:ascii="Book Antiqua" w:eastAsia="Book Antiqua" w:hAnsi="Book Antiqua" w:cs="Book Antiqua"/>
          <w:color w:val="000000"/>
        </w:rPr>
        <w:t>PDX247</w:t>
      </w:r>
      <w:r w:rsidR="001C3AF3">
        <w:rPr>
          <w:rFonts w:ascii="Book Antiqua" w:eastAsia="Book Antiqua" w:hAnsi="Book Antiqua" w:cs="Book Antiqua"/>
          <w:color w:val="000000"/>
        </w:rPr>
        <w:t>)</w:t>
      </w:r>
      <w:r w:rsidR="00D72FE4">
        <w:rPr>
          <w:rFonts w:ascii="Book Antiqua" w:eastAsia="Book Antiqua" w:hAnsi="Book Antiqua" w:cs="Book Antiqua"/>
          <w:color w:val="000000"/>
        </w:rPr>
        <w:t>]</w:t>
      </w:r>
      <w:r>
        <w:rPr>
          <w:rFonts w:ascii="Book Antiqua" w:eastAsia="Book Antiqua" w:hAnsi="Book Antiqua" w:cs="Book Antiqua"/>
          <w:color w:val="000000"/>
        </w:rPr>
        <w:t xml:space="preserve"> resulting in a total of seven PDX models for this validation. As shown in Figure 2, we detected enhanced expression of glutathione metabolism genes in CSC-enriching conditions for all seven PDX models, ranging between 2.5 to 600-fold. </w:t>
      </w:r>
    </w:p>
    <w:p w14:paraId="2CF49A1D" w14:textId="1AC30FA7" w:rsidR="00A77B3E" w:rsidRDefault="0063365C" w:rsidP="00D72FE4">
      <w:pPr>
        <w:spacing w:line="360" w:lineRule="auto"/>
        <w:ind w:firstLineChars="100" w:firstLine="240"/>
        <w:jc w:val="both"/>
      </w:pPr>
      <w:r>
        <w:rPr>
          <w:rFonts w:ascii="Book Antiqua" w:eastAsia="Book Antiqua" w:hAnsi="Book Antiqua" w:cs="Book Antiqua"/>
          <w:color w:val="000000"/>
        </w:rPr>
        <w:t xml:space="preserve">For further functional validation, we used the thiol-sensitive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to assess the content of intracellular glutathione content in its reduced form (GSH). First, we measured the GSH content in primary cells cultured in adherent or sphere conditions using the same panel of seven PDX models. Interestingly, except for PDX247 (of hepatobiliary origin) GSH content was 2 to 8 times higher in CSC-enriching conditions (Figure 3A; </w:t>
      </w:r>
      <w:r w:rsidR="00D72FE4" w:rsidRPr="00D72FE4">
        <w:rPr>
          <w:rFonts w:ascii="Book Antiqua" w:eastAsia="Book Antiqua" w:hAnsi="Book Antiqua" w:cs="Book Antiqua"/>
          <w:i/>
          <w:iCs/>
          <w:color w:val="000000"/>
        </w:rPr>
        <w:t>P</w:t>
      </w:r>
      <w:r w:rsidR="00D72FE4">
        <w:rPr>
          <w:rFonts w:ascii="Book Antiqua" w:eastAsia="Book Antiqua" w:hAnsi="Book Antiqua" w:cs="Book Antiqua"/>
          <w:i/>
          <w:iCs/>
          <w:color w:val="000000"/>
        </w:rPr>
        <w:t xml:space="preserve"> </w:t>
      </w:r>
      <w:r>
        <w:rPr>
          <w:rFonts w:ascii="Book Antiqua" w:eastAsia="Book Antiqua" w:hAnsi="Book Antiqua" w:cs="Book Antiqua"/>
          <w:color w:val="000000"/>
        </w:rPr>
        <w:t>values</w:t>
      </w:r>
      <w:r w:rsidR="00D72FE4">
        <w:rPr>
          <w:rFonts w:ascii="Book Antiqua" w:eastAsia="Book Antiqua" w:hAnsi="Book Antiqua" w:cs="Book Antiqua"/>
          <w:color w:val="000000"/>
        </w:rPr>
        <w:t xml:space="preserve"> </w:t>
      </w:r>
      <w:r>
        <w:rPr>
          <w:rFonts w:ascii="Book Antiqua" w:eastAsia="Book Antiqua" w:hAnsi="Book Antiqua" w:cs="Book Antiqua"/>
          <w:color w:val="000000"/>
        </w:rPr>
        <w:t>&lt;</w:t>
      </w:r>
      <w:r w:rsidR="00D72FE4">
        <w:rPr>
          <w:rFonts w:ascii="Book Antiqua" w:eastAsia="Book Antiqua" w:hAnsi="Book Antiqua" w:cs="Book Antiqua"/>
          <w:color w:val="000000"/>
        </w:rPr>
        <w:t xml:space="preserve"> </w:t>
      </w:r>
      <w:r>
        <w:rPr>
          <w:rFonts w:ascii="Book Antiqua" w:eastAsia="Book Antiqua" w:hAnsi="Book Antiqua" w:cs="Book Antiqua"/>
          <w:color w:val="000000"/>
        </w:rPr>
        <w:t>0.05-0.01), reinforcing the results obtained by gene expression analysis. Next, we validated the increased GSH levels observed by analyzing CD133</w:t>
      </w:r>
      <w:r w:rsidRPr="001B2EC8">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subpopulations by flow cytometry. As shown in </w:t>
      </w:r>
      <w:r w:rsidR="00244504">
        <w:rPr>
          <w:rFonts w:ascii="Book Antiqua" w:eastAsia="Book Antiqua" w:hAnsi="Book Antiqua" w:cs="Book Antiqua"/>
          <w:color w:val="000000"/>
        </w:rPr>
        <w:t>F</w:t>
      </w:r>
      <w:r>
        <w:rPr>
          <w:rFonts w:ascii="Book Antiqua" w:eastAsia="Book Antiqua" w:hAnsi="Book Antiqua" w:cs="Book Antiqua"/>
          <w:color w:val="000000"/>
        </w:rPr>
        <w:t>igure 3B and 3C, CD133</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CSCs accumulated more intracellular GSH (1.94-</w:t>
      </w:r>
      <w:r>
        <w:rPr>
          <w:rFonts w:ascii="Book Antiqua" w:eastAsia="Book Antiqua" w:hAnsi="Book Antiqua" w:cs="Book Antiqua"/>
          <w:color w:val="000000"/>
        </w:rPr>
        <w:lastRenderedPageBreak/>
        <w:t xml:space="preserve">fold, </w:t>
      </w:r>
      <w:r>
        <w:rPr>
          <w:rFonts w:ascii="Book Antiqua" w:eastAsia="Book Antiqua" w:hAnsi="Book Antiqua" w:cs="Book Antiqua"/>
          <w:i/>
          <w:iCs/>
          <w:color w:val="000000"/>
        </w:rPr>
        <w:t>P</w:t>
      </w:r>
      <w:r>
        <w:rPr>
          <w:rFonts w:ascii="Book Antiqua" w:eastAsia="Book Antiqua" w:hAnsi="Book Antiqua" w:cs="Book Antiqua"/>
          <w:color w:val="000000"/>
        </w:rPr>
        <w:t xml:space="preserve"> = 0.04). In summary, our results indicate that expression of glutathione metabolism genes and GSH content are upregulated in CSC-enriched conditions.</w:t>
      </w:r>
    </w:p>
    <w:p w14:paraId="3EC91D8E" w14:textId="77777777" w:rsidR="00A77B3E" w:rsidRDefault="00A77B3E" w:rsidP="00D72FE4">
      <w:pPr>
        <w:spacing w:line="360" w:lineRule="auto"/>
        <w:jc w:val="both"/>
      </w:pPr>
    </w:p>
    <w:p w14:paraId="447FB451" w14:textId="77777777" w:rsidR="00A77B3E" w:rsidRPr="00D72FE4" w:rsidRDefault="0063365C">
      <w:pPr>
        <w:spacing w:line="360" w:lineRule="auto"/>
        <w:jc w:val="both"/>
        <w:rPr>
          <w:b/>
          <w:bCs/>
        </w:rPr>
      </w:pPr>
      <w:r w:rsidRPr="00D72FE4">
        <w:rPr>
          <w:rFonts w:ascii="Book Antiqua" w:eastAsia="Book Antiqua" w:hAnsi="Book Antiqua" w:cs="Book Antiqua"/>
          <w:b/>
          <w:bCs/>
          <w:i/>
          <w:iCs/>
          <w:color w:val="000000"/>
        </w:rPr>
        <w:t>Depletion of GSH content impairs CSC functionality</w:t>
      </w:r>
    </w:p>
    <w:p w14:paraId="72355832" w14:textId="36A21353" w:rsidR="00A77B3E" w:rsidRDefault="0063365C" w:rsidP="00D72FE4">
      <w:pPr>
        <w:spacing w:line="360" w:lineRule="auto"/>
        <w:jc w:val="both"/>
      </w:pPr>
      <w:r>
        <w:rPr>
          <w:rFonts w:ascii="Book Antiqua" w:eastAsia="Book Antiqua" w:hAnsi="Book Antiqua" w:cs="Book Antiqua"/>
          <w:color w:val="000000"/>
        </w:rPr>
        <w:t>In order to evaluate the significance of the increased GSH content for CSCs, we performed a series of GSH depletion assays using two distinct pharmacological approaches. We first tested the inhibitor of GSH synthesis BSO, which irreversibly blocks the enzyme gamma-</w:t>
      </w:r>
      <w:proofErr w:type="spellStart"/>
      <w:r>
        <w:rPr>
          <w:rFonts w:ascii="Book Antiqua" w:eastAsia="Book Antiqua" w:hAnsi="Book Antiqua" w:cs="Book Antiqua"/>
          <w:color w:val="000000"/>
        </w:rPr>
        <w:t>glutamylcysteine</w:t>
      </w:r>
      <w:proofErr w:type="spellEnd"/>
      <w:r>
        <w:rPr>
          <w:rFonts w:ascii="Book Antiqua" w:eastAsia="Book Antiqua" w:hAnsi="Book Antiqua" w:cs="Book Antiqua"/>
          <w:color w:val="000000"/>
        </w:rPr>
        <w:t xml:space="preserve"> synthetase (</w:t>
      </w:r>
      <w:r w:rsidR="0073215C" w:rsidRPr="0073215C">
        <w:rPr>
          <w:rFonts w:ascii="Book Antiqua" w:hAnsi="Book Antiqua" w:cs="Book Antiqua"/>
          <w:color w:val="000000"/>
          <w:lang w:eastAsia="zh-CN"/>
        </w:rPr>
        <w:t>γ</w:t>
      </w:r>
      <w:r>
        <w:rPr>
          <w:rFonts w:ascii="Book Antiqua" w:eastAsia="Book Antiqua" w:hAnsi="Book Antiqua" w:cs="Book Antiqua"/>
          <w:color w:val="000000"/>
        </w:rPr>
        <w:t>-GCS). Incubation of CSC-enriched spheres with increasing doses of BSO for 48 h resulted in a dose-dependent decline in GSH content, and with doses &gt;</w:t>
      </w:r>
      <w:r w:rsidR="00D72FE4">
        <w:rPr>
          <w:rFonts w:ascii="Book Antiqua" w:eastAsia="Book Antiqua" w:hAnsi="Book Antiqua" w:cs="Book Antiqua"/>
          <w:color w:val="000000"/>
        </w:rPr>
        <w:t xml:space="preserve"> </w:t>
      </w:r>
      <w:r>
        <w:rPr>
          <w:rFonts w:ascii="Book Antiqua" w:eastAsia="Book Antiqua" w:hAnsi="Book Antiqua" w:cs="Book Antiqua"/>
          <w:color w:val="000000"/>
        </w:rPr>
        <w:t xml:space="preserve">50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depleted the GSH content below 50% (Figure 4A; </w:t>
      </w:r>
      <w:r w:rsidR="00D72FE4" w:rsidRPr="001B2EC8">
        <w:rPr>
          <w:rFonts w:ascii="Book Antiqua" w:eastAsia="Book Antiqua" w:hAnsi="Book Antiqua" w:cs="Book Antiqua"/>
          <w:i/>
          <w:iCs/>
          <w:color w:val="000000"/>
        </w:rPr>
        <w:t>P</w:t>
      </w:r>
      <w:r w:rsidR="00D72FE4" w:rsidRPr="001B2EC8">
        <w:rPr>
          <w:rFonts w:ascii="Book Antiqua" w:eastAsia="Book Antiqua" w:hAnsi="Book Antiqua" w:cs="Book Antiqua"/>
          <w:color w:val="000000"/>
        </w:rPr>
        <w:t xml:space="preserve"> </w:t>
      </w:r>
      <w:r w:rsidRPr="001B2EC8">
        <w:rPr>
          <w:rFonts w:ascii="Book Antiqua" w:eastAsia="Book Antiqua" w:hAnsi="Book Antiqua" w:cs="Book Antiqua"/>
          <w:color w:val="000000"/>
        </w:rPr>
        <w:t>v</w:t>
      </w:r>
      <w:r>
        <w:rPr>
          <w:rFonts w:ascii="Book Antiqua" w:eastAsia="Book Antiqua" w:hAnsi="Book Antiqua" w:cs="Book Antiqua"/>
          <w:color w:val="000000"/>
        </w:rPr>
        <w:t xml:space="preserve">alues ranging between 0.0023 and 0.00032). Treatment of CSC-enriched spheres with BSO </w:t>
      </w:r>
      <w:r w:rsidR="00DA5739">
        <w:rPr>
          <w:rFonts w:ascii="Book Antiqua" w:eastAsia="Book Antiqua" w:hAnsi="Book Antiqua" w:cs="Book Antiqua"/>
          <w:color w:val="000000"/>
        </w:rPr>
        <w:t xml:space="preserve">at </w:t>
      </w:r>
      <w:r>
        <w:rPr>
          <w:rFonts w:ascii="Book Antiqua" w:eastAsia="Book Antiqua" w:hAnsi="Book Antiqua" w:cs="Book Antiqua"/>
          <w:color w:val="000000"/>
        </w:rPr>
        <w:t xml:space="preserve">100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for 48 h resulted in the accumulation of cells in G1 phase, indicative of cell cycle arrest (Figure 4B). In addition, we observed an increase </w:t>
      </w:r>
      <w:r w:rsidR="00DA5739">
        <w:rPr>
          <w:rFonts w:ascii="Book Antiqua" w:eastAsia="Book Antiqua" w:hAnsi="Book Antiqua" w:cs="Book Antiqua"/>
          <w:color w:val="000000"/>
        </w:rPr>
        <w:t xml:space="preserve">in </w:t>
      </w:r>
      <w:r>
        <w:rPr>
          <w:rFonts w:ascii="Book Antiqua" w:eastAsia="Book Antiqua" w:hAnsi="Book Antiqua" w:cs="Book Antiqua"/>
          <w:color w:val="000000"/>
        </w:rPr>
        <w:t xml:space="preserve">the percentage of cells in both early and late apoptosis after BSO treatment, suggesting that full GSH content is necessary for proliferation and survival of CSCs (Figure 4C). </w:t>
      </w:r>
    </w:p>
    <w:p w14:paraId="03856F07" w14:textId="43FFE2C6" w:rsidR="00A77B3E" w:rsidRDefault="0063365C" w:rsidP="00D72FE4">
      <w:pPr>
        <w:spacing w:line="360" w:lineRule="auto"/>
        <w:ind w:firstLineChars="100" w:firstLine="240"/>
        <w:jc w:val="both"/>
      </w:pPr>
      <w:r>
        <w:rPr>
          <w:rFonts w:ascii="Book Antiqua" w:eastAsia="Book Antiqua" w:hAnsi="Book Antiqua" w:cs="Book Antiqua"/>
          <w:color w:val="000000"/>
        </w:rPr>
        <w:t xml:space="preserve">Considering these results, we next focused on alternative features directly linked to CSCs. First, BSO treatment decreased the expression of the aforementioned stemness signature defined by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OCT4</w:t>
      </w:r>
      <w:r>
        <w:rPr>
          <w:rFonts w:ascii="Book Antiqua" w:eastAsia="Book Antiqua" w:hAnsi="Book Antiqua" w:cs="Book Antiqua"/>
          <w:color w:val="000000"/>
        </w:rPr>
        <w:t xml:space="preserve"> (Figure 5A). Next, we measured the effect of BSO on CSC self-renewal. Since we had observed an up-regulation of genes involved in GSH recycling (Table </w:t>
      </w:r>
      <w:r w:rsidR="007C395F">
        <w:rPr>
          <w:rFonts w:ascii="Book Antiqua" w:eastAsia="Book Antiqua" w:hAnsi="Book Antiqua" w:cs="Book Antiqua"/>
          <w:color w:val="000000"/>
        </w:rPr>
        <w:t>2</w:t>
      </w:r>
      <w:r>
        <w:rPr>
          <w:rFonts w:ascii="Book Antiqua" w:eastAsia="Book Antiqua" w:hAnsi="Book Antiqua" w:cs="Book Antiqua"/>
          <w:color w:val="000000"/>
        </w:rPr>
        <w:t>), we also tested the GSH recycling inhibitor 6-aminonicotinamide (6-AN), which blocks the oxidative branch of the pentose phosphate pathway that is necessary for reduction of oxidized GSSG into GSH. Incubation with either BSO or 6-AN consistently reduced the number of spheres formed by day 7, indicative of diminished self-renewal capacity (Figure 5B). Consistently, the percentage of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assessed by flow cytometry was also reduced following treatment with either inhibitor (Figure 5C).  Together these results indicate that depletion of GSH content directly impacts CSC viability and self-renewal.</w:t>
      </w:r>
    </w:p>
    <w:p w14:paraId="31011292" w14:textId="77777777" w:rsidR="00A77B3E" w:rsidRDefault="00A77B3E" w:rsidP="00D72FE4">
      <w:pPr>
        <w:spacing w:line="360" w:lineRule="auto"/>
        <w:jc w:val="both"/>
      </w:pPr>
    </w:p>
    <w:p w14:paraId="11323944" w14:textId="6C4720FA" w:rsidR="00A77B3E" w:rsidRPr="00D72FE4" w:rsidRDefault="0063365C">
      <w:pPr>
        <w:spacing w:line="360" w:lineRule="auto"/>
        <w:jc w:val="both"/>
        <w:rPr>
          <w:b/>
          <w:bCs/>
        </w:rPr>
      </w:pPr>
      <w:r w:rsidRPr="00D72FE4">
        <w:rPr>
          <w:rFonts w:ascii="Book Antiqua" w:eastAsia="Book Antiqua" w:hAnsi="Book Antiqua" w:cs="Book Antiqua"/>
          <w:b/>
          <w:bCs/>
          <w:i/>
          <w:iCs/>
          <w:color w:val="000000"/>
        </w:rPr>
        <w:lastRenderedPageBreak/>
        <w:t xml:space="preserve">Depletion of GSH content in CSC-enriched cultures enhances response to </w:t>
      </w:r>
      <w:r w:rsidR="00D72FE4" w:rsidRPr="00D72FE4">
        <w:rPr>
          <w:rFonts w:ascii="Book Antiqua" w:eastAsia="Book Antiqua" w:hAnsi="Book Antiqua" w:cs="Book Antiqua"/>
          <w:b/>
          <w:bCs/>
          <w:i/>
          <w:iCs/>
          <w:color w:val="000000"/>
        </w:rPr>
        <w:t>g</w:t>
      </w:r>
      <w:r w:rsidRPr="00D72FE4">
        <w:rPr>
          <w:rFonts w:ascii="Book Antiqua" w:eastAsia="Book Antiqua" w:hAnsi="Book Antiqua" w:cs="Book Antiqua"/>
          <w:b/>
          <w:bCs/>
          <w:i/>
          <w:iCs/>
          <w:color w:val="000000"/>
        </w:rPr>
        <w:t>emcitabine</w:t>
      </w:r>
    </w:p>
    <w:p w14:paraId="4ECBB174" w14:textId="5B2F303E" w:rsidR="00A77B3E" w:rsidRDefault="0063365C" w:rsidP="00D72FE4">
      <w:pPr>
        <w:spacing w:line="360" w:lineRule="auto"/>
        <w:jc w:val="both"/>
      </w:pPr>
      <w:r>
        <w:rPr>
          <w:rFonts w:ascii="Book Antiqua" w:eastAsia="Book Antiqua" w:hAnsi="Book Antiqua" w:cs="Book Antiqua"/>
          <w:color w:val="000000"/>
        </w:rPr>
        <w:t xml:space="preserve">Apart from the ability to self-renew, another key feature of CSCs is chemoresistance. Notably, several glutathione-related enzymes such as GSTs are directly implicated in detoxification of xenobiotics, suggesting another potential link between glutathione metabolism and CSC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Indeed, we found that the absolute GSH concentration in spheres, but not adherent cultures, positively correlated with the percentage of surviving cells after gemcitabine treatment (Figure 6A; Pearson’s </w:t>
      </w:r>
      <w:r>
        <w:rPr>
          <w:rFonts w:ascii="Book Antiqua" w:eastAsia="Book Antiqua" w:hAnsi="Book Antiqua" w:cs="Book Antiqua"/>
          <w:i/>
          <w:iCs/>
          <w:color w:val="000000"/>
        </w:rPr>
        <w:t>r</w:t>
      </w:r>
      <w:r>
        <w:rPr>
          <w:rFonts w:ascii="Book Antiqua" w:eastAsia="Book Antiqua" w:hAnsi="Book Antiqua" w:cs="Book Antiqua"/>
          <w:color w:val="000000"/>
        </w:rPr>
        <w:t xml:space="preserve"> = 0.96, </w:t>
      </w:r>
      <w:r>
        <w:rPr>
          <w:rFonts w:ascii="Book Antiqua" w:eastAsia="Book Antiqua" w:hAnsi="Book Antiqua" w:cs="Book Antiqua"/>
          <w:i/>
          <w:iCs/>
          <w:color w:val="000000"/>
        </w:rPr>
        <w:t>P</w:t>
      </w:r>
      <w:r>
        <w:rPr>
          <w:rFonts w:ascii="Book Antiqua" w:eastAsia="Book Antiqua" w:hAnsi="Book Antiqua" w:cs="Book Antiqua"/>
          <w:color w:val="000000"/>
        </w:rPr>
        <w:t xml:space="preserve"> = 5.89</w:t>
      </w:r>
      <w:r w:rsidR="00D72FE4">
        <w:rPr>
          <w:rFonts w:ascii="Book Antiqua" w:eastAsia="Book Antiqua" w:hAnsi="Book Antiqua" w:cs="Book Antiqua"/>
          <w:color w:val="000000"/>
        </w:rPr>
        <w:t xml:space="preserve"> × 10</w:t>
      </w:r>
      <w:r w:rsidRPr="0013023D">
        <w:rPr>
          <w:rFonts w:ascii="Book Antiqua" w:eastAsia="Book Antiqua" w:hAnsi="Book Antiqua" w:cs="Book Antiqua"/>
          <w:color w:val="000000"/>
          <w:vertAlign w:val="superscript"/>
        </w:rPr>
        <w:t>-11</w:t>
      </w:r>
      <w:r>
        <w:rPr>
          <w:rFonts w:ascii="Book Antiqua" w:eastAsia="Book Antiqua" w:hAnsi="Book Antiqua" w:cs="Book Antiqua"/>
          <w:color w:val="000000"/>
        </w:rPr>
        <w:t>). Gemcitabine treatment induced GSH accumulation exclusively in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(Figure 6B), which was abrogated by co-treatment with BSO. This translated in sensitization of CD133</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cells to treatment with gemcitabine, approximating levels of apoptosis observed in differentiated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(Figure 6C), and diminished sphere formation as compared to single treatments (Figure 6D; </w:t>
      </w:r>
      <w:r w:rsidR="005327BA" w:rsidRPr="005327BA">
        <w:rPr>
          <w:rFonts w:ascii="Book Antiqua" w:eastAsia="Book Antiqua" w:hAnsi="Book Antiqua" w:cs="Book Antiqua"/>
          <w:i/>
          <w:iCs/>
          <w:color w:val="000000"/>
        </w:rPr>
        <w:t>P</w:t>
      </w:r>
      <w:r w:rsidR="005327BA">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5327BA">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These results demonstrate that chemoresistance in CSCs is, at least in part, dependent on GSH synthesis. </w:t>
      </w:r>
    </w:p>
    <w:p w14:paraId="4436CC91" w14:textId="77777777"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In summary, our results suggest that glutathione metabolism plays an essential role in PDAC aggressiveness, supporting CSC survival, self-renewal and chemoresistance. </w:t>
      </w:r>
    </w:p>
    <w:p w14:paraId="0552AB46" w14:textId="77777777" w:rsidR="00A77B3E" w:rsidRDefault="00A77B3E">
      <w:pPr>
        <w:spacing w:line="360" w:lineRule="auto"/>
        <w:jc w:val="both"/>
      </w:pPr>
    </w:p>
    <w:p w14:paraId="4F8152AD" w14:textId="77777777" w:rsidR="00A77B3E" w:rsidRDefault="0063365C">
      <w:pPr>
        <w:spacing w:line="360" w:lineRule="auto"/>
        <w:jc w:val="both"/>
      </w:pPr>
      <w:r>
        <w:rPr>
          <w:rFonts w:ascii="Book Antiqua" w:eastAsia="Book Antiqua" w:hAnsi="Book Antiqua" w:cs="Book Antiqua"/>
          <w:b/>
          <w:caps/>
          <w:color w:val="000000"/>
          <w:u w:val="single"/>
        </w:rPr>
        <w:t>DISCUSSION</w:t>
      </w:r>
    </w:p>
    <w:p w14:paraId="2F4DA42B" w14:textId="77777777" w:rsidR="00A77B3E" w:rsidRDefault="0063365C" w:rsidP="005327BA">
      <w:pPr>
        <w:spacing w:line="360" w:lineRule="auto"/>
        <w:jc w:val="both"/>
      </w:pPr>
      <w:r>
        <w:rPr>
          <w:rFonts w:ascii="Book Antiqua" w:eastAsia="Book Antiqua" w:hAnsi="Book Antiqua" w:cs="Book Antiqua"/>
          <w:color w:val="000000"/>
        </w:rPr>
        <w:t>Any living cell produces ROS, either as a by-product of mitochondrial respiration or in a controlled manner by different oxidases to modulate cell signaling. Specifically, intracellular ROS levels regulate the complex balance between symmetric and asymmetric division in stem cells, thus controlling differentiation and self-</w:t>
      </w:r>
      <w:proofErr w:type="gramStart"/>
      <w:r>
        <w:rPr>
          <w:rFonts w:ascii="Book Antiqua" w:eastAsia="Book Antiqua" w:hAnsi="Book Antiqua" w:cs="Book Antiqua"/>
          <w:color w:val="000000"/>
        </w:rPr>
        <w:t>renewal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In these cells, avoiding ROS accumulation is particularly important, since it prevents the accumulation of hereditary mutations and premature </w:t>
      </w:r>
      <w:proofErr w:type="gramStart"/>
      <w:r>
        <w:rPr>
          <w:rFonts w:ascii="Book Antiqua" w:eastAsia="Book Antiqua" w:hAnsi="Book Antiqua" w:cs="Book Antiqua"/>
          <w:color w:val="000000"/>
        </w:rPr>
        <w:t>senescence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For these reasons, quiescent stem cells reside in a low oxygen niche favoring glycolysis over mitochondrial respiration and express </w:t>
      </w:r>
      <w:r>
        <w:rPr>
          <w:rFonts w:ascii="Book Antiqua" w:eastAsia="Book Antiqua" w:hAnsi="Book Antiqua" w:cs="Book Antiqua"/>
          <w:color w:val="000000"/>
          <w:shd w:val="clear" w:color="auto" w:fill="FFFFFF"/>
        </w:rPr>
        <w:t xml:space="preserve">high levels of antioxidant </w:t>
      </w:r>
      <w:proofErr w:type="gramStart"/>
      <w:r>
        <w:rPr>
          <w:rFonts w:ascii="Book Antiqua" w:eastAsia="Book Antiqua" w:hAnsi="Book Antiqua" w:cs="Book Antiqua"/>
          <w:color w:val="000000"/>
          <w:shd w:val="clear" w:color="auto" w:fill="FFFFFF"/>
        </w:rPr>
        <w:t>systems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18,31]</w:t>
      </w:r>
      <w:r>
        <w:rPr>
          <w:rFonts w:ascii="Book Antiqua" w:eastAsia="Book Antiqua" w:hAnsi="Book Antiqua" w:cs="Book Antiqua"/>
          <w:color w:val="000000"/>
          <w:shd w:val="clear" w:color="auto" w:fill="FFFFFF"/>
        </w:rPr>
        <w:t xml:space="preserve">.  </w:t>
      </w:r>
    </w:p>
    <w:p w14:paraId="509FDFFC" w14:textId="49F29B37" w:rsidR="00A77B3E" w:rsidRDefault="0063365C" w:rsidP="005327BA">
      <w:pPr>
        <w:spacing w:line="360" w:lineRule="auto"/>
        <w:ind w:firstLineChars="100" w:firstLine="240"/>
        <w:jc w:val="both"/>
      </w:pPr>
      <w:r>
        <w:rPr>
          <w:rFonts w:ascii="Book Antiqua" w:eastAsia="Book Antiqua" w:hAnsi="Book Antiqua" w:cs="Book Antiqua"/>
          <w:color w:val="000000"/>
        </w:rPr>
        <w:t>S</w:t>
      </w:r>
      <w:r>
        <w:rPr>
          <w:rFonts w:ascii="Book Antiqua" w:eastAsia="Book Antiqua" w:hAnsi="Book Antiqua" w:cs="Book Antiqua"/>
          <w:color w:val="000000"/>
          <w:shd w:val="clear" w:color="auto" w:fill="FFFFFF"/>
        </w:rPr>
        <w:t xml:space="preserve">imilar to normal stem cells, publications </w:t>
      </w:r>
      <w:r w:rsidR="00366490">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rPr>
        <w:t xml:space="preserve">n different cancer types indicate that CSCs </w:t>
      </w:r>
      <w:r w:rsidR="00366490">
        <w:rPr>
          <w:rFonts w:ascii="Book Antiqua" w:eastAsia="Book Antiqua" w:hAnsi="Book Antiqua" w:cs="Book Antiqua"/>
          <w:color w:val="000000"/>
          <w:shd w:val="clear" w:color="auto" w:fill="FFFFFF"/>
        </w:rPr>
        <w:t>have</w:t>
      </w:r>
      <w:r>
        <w:rPr>
          <w:rFonts w:ascii="Book Antiqua" w:eastAsia="Book Antiqua" w:hAnsi="Book Antiqua" w:cs="Book Antiqua"/>
          <w:color w:val="000000"/>
          <w:shd w:val="clear" w:color="auto" w:fill="FFFFFF"/>
        </w:rPr>
        <w:t xml:space="preserve"> lower ROS levels than their differentiated counterparts to support self-renewal and </w:t>
      </w:r>
      <w:proofErr w:type="gramStart"/>
      <w:r>
        <w:rPr>
          <w:rFonts w:ascii="Book Antiqua" w:eastAsia="Book Antiqua" w:hAnsi="Book Antiqua" w:cs="Book Antiqua"/>
          <w:color w:val="000000"/>
          <w:shd w:val="clear" w:color="auto" w:fill="FFFFFF"/>
        </w:rPr>
        <w:t>tumorigenicity</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13,14,19]</w:t>
      </w:r>
      <w:r>
        <w:rPr>
          <w:rFonts w:ascii="Book Antiqua" w:eastAsia="Book Antiqua" w:hAnsi="Book Antiqua" w:cs="Book Antiqua"/>
          <w:color w:val="000000"/>
          <w:shd w:val="clear" w:color="auto" w:fill="FFFFFF"/>
        </w:rPr>
        <w:t xml:space="preserve">. However, the mechanisms by which they keep a reduced </w:t>
      </w:r>
      <w:r>
        <w:rPr>
          <w:rFonts w:ascii="Book Antiqua" w:eastAsia="Book Antiqua" w:hAnsi="Book Antiqua" w:cs="Book Antiqua"/>
          <w:color w:val="000000"/>
          <w:shd w:val="clear" w:color="auto" w:fill="FFFFFF"/>
        </w:rPr>
        <w:lastRenderedPageBreak/>
        <w:t xml:space="preserve">redox state may differ, since many CSCs depend on mitochondrial oxidative </w:t>
      </w:r>
      <w:proofErr w:type="gramStart"/>
      <w:r>
        <w:rPr>
          <w:rFonts w:ascii="Book Antiqua" w:eastAsia="Book Antiqua" w:hAnsi="Book Antiqua" w:cs="Book Antiqua"/>
          <w:color w:val="000000"/>
          <w:shd w:val="clear" w:color="auto" w:fill="FFFFFF"/>
        </w:rPr>
        <w:t>metabolism</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12,16]</w:t>
      </w:r>
      <w:r>
        <w:rPr>
          <w:rFonts w:ascii="Book Antiqua" w:eastAsia="Book Antiqua" w:hAnsi="Book Antiqua" w:cs="Book Antiqua"/>
          <w:color w:val="000000"/>
          <w:shd w:val="clear" w:color="auto" w:fill="FFFFFF"/>
        </w:rPr>
        <w:t xml:space="preserve">. In fact, while glycolysis maintains reduced ROS levels in gemcitabine-resistant pancreatic </w:t>
      </w:r>
      <w:r>
        <w:rPr>
          <w:rFonts w:ascii="Book Antiqua" w:eastAsia="Book Antiqua" w:hAnsi="Book Antiqua" w:cs="Book Antiqua"/>
          <w:color w:val="000000"/>
        </w:rPr>
        <w:t xml:space="preserve">PaTU8988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primary human pancreatic CD133</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xml:space="preserve"> CSCs have low mitochondrial ROS concomitant with full </w:t>
      </w:r>
      <w:r w:rsidR="005327BA" w:rsidRPr="005327BA">
        <w:rPr>
          <w:rFonts w:ascii="Book Antiqua" w:eastAsia="Book Antiqua" w:hAnsi="Book Antiqua" w:cs="Book Antiqua"/>
          <w:color w:val="000000"/>
          <w:shd w:val="clear" w:color="auto" w:fill="FFFFFF"/>
        </w:rPr>
        <w:t>oxidative metaboli</w:t>
      </w:r>
      <w:r w:rsidR="00DA5739">
        <w:rPr>
          <w:rFonts w:ascii="Book Antiqua" w:eastAsia="Book Antiqua" w:hAnsi="Book Antiqua" w:cs="Book Antiqua"/>
          <w:color w:val="000000"/>
          <w:shd w:val="clear" w:color="auto" w:fill="FFFFFF"/>
        </w:rPr>
        <w:t>c</w:t>
      </w:r>
      <w:r w:rsidR="005327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OXPHOS</w:t>
      </w:r>
      <w:r w:rsidR="005327B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activity</w:t>
      </w:r>
      <w:r>
        <w:rPr>
          <w:rFonts w:ascii="Book Antiqua" w:eastAsia="Book Antiqua" w:hAnsi="Book Antiqua" w:cs="Book Antiqua"/>
          <w:color w:val="000000"/>
          <w:szCs w:val="20"/>
          <w:shd w:val="clear" w:color="auto" w:fill="FFFFFF"/>
          <w:vertAlign w:val="superscript"/>
        </w:rPr>
        <w:t>[7]</w:t>
      </w:r>
      <w:r>
        <w:rPr>
          <w:rFonts w:ascii="Book Antiqua" w:eastAsia="Book Antiqua" w:hAnsi="Book Antiqua" w:cs="Book Antiqua"/>
          <w:color w:val="000000"/>
          <w:shd w:val="clear" w:color="auto" w:fill="FFFFFF"/>
        </w:rPr>
        <w:t xml:space="preserve">. These findings suggest that, rather than controlling ROS release from the primary production site, CSCs favor ROS detoxification as a common feature. Indeed, </w:t>
      </w:r>
      <w:r>
        <w:rPr>
          <w:rFonts w:ascii="Book Antiqua" w:eastAsia="Book Antiqua" w:hAnsi="Book Antiqua" w:cs="Book Antiqua"/>
          <w:color w:val="000000"/>
        </w:rPr>
        <w:t>CD44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CD24</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hd w:val="clear" w:color="auto" w:fill="FFFFFF"/>
        </w:rPr>
        <w:t xml:space="preserve">Panc-1 </w:t>
      </w:r>
      <w:r>
        <w:rPr>
          <w:rFonts w:ascii="Book Antiqua" w:eastAsia="Book Antiqua" w:hAnsi="Book Antiqua" w:cs="Book Antiqua"/>
          <w:color w:val="000000"/>
        </w:rPr>
        <w:t xml:space="preserve">cells survive radiation by blocking ROS accumulation, which also points to increased ROS scavenging in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p>
    <w:p w14:paraId="2060A2A3" w14:textId="54F33663"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GSH is a key antioxidant defense in mammalian cells, maintaining intracellular redox homeostasis. Coupled to different enzymes such as GPXs or GSTs, GSH not only reacts with ROS and electrophiles, but also prevents oxidation of thiol groups in proteins, acts as a cysteine reserve pool, and detoxifies </w:t>
      </w:r>
      <w:proofErr w:type="gramStart"/>
      <w:r>
        <w:rPr>
          <w:rFonts w:ascii="Book Antiqua" w:eastAsia="Book Antiqua" w:hAnsi="Book Antiqua" w:cs="Book Antiqua"/>
          <w:color w:val="000000"/>
        </w:rPr>
        <w:t>xenobiotics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Interestingly, most of the representative works describing low ROS content in CSCs also reported high levels of GSH and/or GSH-related enzymes. For example, </w:t>
      </w:r>
      <w:r>
        <w:rPr>
          <w:rFonts w:ascii="Book Antiqua" w:eastAsia="Book Antiqua" w:hAnsi="Book Antiqua" w:cs="Book Antiqua"/>
          <w:i/>
          <w:iCs/>
          <w:color w:val="000000"/>
        </w:rPr>
        <w:t>GCLM</w:t>
      </w:r>
      <w:r>
        <w:rPr>
          <w:rFonts w:ascii="Book Antiqua" w:eastAsia="Book Antiqua" w:hAnsi="Book Antiqua" w:cs="Book Antiqua"/>
          <w:color w:val="000000"/>
        </w:rPr>
        <w:t xml:space="preserve"> and </w:t>
      </w:r>
      <w:r>
        <w:rPr>
          <w:rFonts w:ascii="Book Antiqua" w:eastAsia="Book Antiqua" w:hAnsi="Book Antiqua" w:cs="Book Antiqua"/>
          <w:i/>
          <w:iCs/>
          <w:color w:val="000000"/>
        </w:rPr>
        <w:t>GSS</w:t>
      </w:r>
      <w:r>
        <w:rPr>
          <w:rFonts w:ascii="Book Antiqua" w:eastAsia="Book Antiqua" w:hAnsi="Book Antiqua" w:cs="Book Antiqua"/>
          <w:color w:val="000000"/>
        </w:rPr>
        <w:t xml:space="preserve"> were upregulated in liver CD13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N-cadherin</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CSCs</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and GSH content and GPXs expression were increased in gastric CD44</w:t>
      </w:r>
      <w:r w:rsidRPr="0073215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In addition, breast CSCs defined either as CD24</w:t>
      </w:r>
      <w:r>
        <w:rPr>
          <w:rFonts w:ascii="Book Antiqua" w:eastAsia="Book Antiqua" w:hAnsi="Book Antiqua" w:cs="Book Antiqua"/>
          <w:color w:val="000000"/>
          <w:szCs w:val="20"/>
          <w:vertAlign w:val="superscript"/>
        </w:rPr>
        <w:t>–</w:t>
      </w:r>
      <w:r w:rsidRPr="0013023D">
        <w:rPr>
          <w:rFonts w:ascii="Book Antiqua" w:eastAsia="Book Antiqua" w:hAnsi="Book Antiqua" w:cs="Book Antiqua"/>
          <w:color w:val="000000"/>
          <w:szCs w:val="20"/>
        </w:rPr>
        <w:t>/Low</w:t>
      </w:r>
      <w:r w:rsidR="005327BA">
        <w:rPr>
          <w:rFonts w:ascii="Book Antiqua" w:eastAsia="Book Antiqua" w:hAnsi="Book Antiqua" w:cs="Book Antiqua"/>
          <w:color w:val="000000"/>
          <w:szCs w:val="20"/>
        </w:rPr>
        <w:t xml:space="preserve"> </w:t>
      </w:r>
      <w:r>
        <w:rPr>
          <w:rFonts w:ascii="Book Antiqua" w:eastAsia="Book Antiqua" w:hAnsi="Book Antiqua" w:cs="Book Antiqua"/>
          <w:color w:val="000000"/>
        </w:rPr>
        <w:t>CD44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Lin</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or ALDH</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showed elevated GSH concentration and glutathione synthesis enzymes</w:t>
      </w:r>
      <w:r>
        <w:rPr>
          <w:rFonts w:ascii="Book Antiqua" w:eastAsia="Book Antiqua" w:hAnsi="Book Antiqua" w:cs="Book Antiqua"/>
          <w:color w:val="000000"/>
          <w:szCs w:val="20"/>
          <w:vertAlign w:val="superscript"/>
        </w:rPr>
        <w:t>[13,34]</w:t>
      </w:r>
      <w:r>
        <w:rPr>
          <w:rFonts w:ascii="Book Antiqua" w:eastAsia="Book Antiqua" w:hAnsi="Book Antiqua" w:cs="Book Antiqua"/>
          <w:color w:val="000000"/>
        </w:rPr>
        <w:t>, which, in the case of ALDH</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was further enhanced with upregulation of GPXs and GSTs</w:t>
      </w:r>
      <w:r>
        <w:rPr>
          <w:rFonts w:ascii="Book Antiqua" w:eastAsia="Book Antiqua" w:hAnsi="Book Antiqua" w:cs="Book Antiqua"/>
          <w:color w:val="000000"/>
          <w:szCs w:val="20"/>
          <w:vertAlign w:val="superscript"/>
        </w:rPr>
        <w:t>[34,35]</w:t>
      </w:r>
      <w:r>
        <w:rPr>
          <w:rFonts w:ascii="Book Antiqua" w:eastAsia="Book Antiqua" w:hAnsi="Book Antiqua" w:cs="Book Antiqua"/>
          <w:color w:val="000000"/>
        </w:rPr>
        <w:t xml:space="preserve">. </w:t>
      </w:r>
    </w:p>
    <w:p w14:paraId="364C03C2" w14:textId="3E150CFE"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To date, the few published reports connecting glutathione metabolism and stemness-related features in pancreatic cancer </w:t>
      </w:r>
      <w:r w:rsidR="00DA5739">
        <w:rPr>
          <w:rFonts w:ascii="Book Antiqua" w:eastAsia="Book Antiqua" w:hAnsi="Book Antiqua" w:cs="Book Antiqua"/>
          <w:color w:val="000000"/>
        </w:rPr>
        <w:t xml:space="preserve">have </w:t>
      </w:r>
      <w:r>
        <w:rPr>
          <w:rFonts w:ascii="Book Antiqua" w:eastAsia="Book Antiqua" w:hAnsi="Book Antiqua" w:cs="Book Antiqua"/>
          <w:color w:val="000000"/>
        </w:rPr>
        <w:t xml:space="preserve">focused on GPXs, with different isoforms playing contradictory roles. On the one hand, GPX1 was described to play a tumor suppressor role counteracting features attributed to CSCs in MiaPaca-2 cells. GPX1 overexpression inhibited clonogenicity and tumor growth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while GPX-1 silencing induced EMT</w:t>
      </w:r>
      <w:r w:rsidR="009C6B0A">
        <w:rPr>
          <w:rFonts w:ascii="Book Antiqua" w:eastAsia="Book Antiqua" w:hAnsi="Book Antiqua" w:cs="Book Antiqua"/>
          <w:color w:val="000000"/>
        </w:rPr>
        <w:t xml:space="preserve"> (epithelial-to-mesenchymal transition)</w:t>
      </w:r>
      <w:r>
        <w:rPr>
          <w:rFonts w:ascii="Book Antiqua" w:eastAsia="Book Antiqua" w:hAnsi="Book Antiqua" w:cs="Book Antiqua"/>
          <w:color w:val="000000"/>
        </w:rPr>
        <w:t xml:space="preserve"> and chemoresistance</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On the other hand, Panc-1 spheroids up-regulate GPX1 and GPX4 in hypoxic conditions, but only GPX4 seems to be important for self-renewal and invasion under both </w:t>
      </w:r>
      <w:proofErr w:type="spellStart"/>
      <w:r>
        <w:rPr>
          <w:rFonts w:ascii="Book Antiqua" w:eastAsia="Book Antiqua" w:hAnsi="Book Antiqua" w:cs="Book Antiqua"/>
          <w:color w:val="000000"/>
        </w:rPr>
        <w:t>normoxia</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hypoxia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w:t>
      </w:r>
    </w:p>
    <w:p w14:paraId="3EDF9010" w14:textId="68AA6BC8" w:rsidR="005327BA" w:rsidRDefault="0063365C" w:rsidP="005327BA">
      <w:pPr>
        <w:spacing w:line="360" w:lineRule="auto"/>
        <w:ind w:firstLineChars="100" w:firstLine="240"/>
        <w:jc w:val="both"/>
      </w:pPr>
      <w:r>
        <w:rPr>
          <w:rFonts w:ascii="Book Antiqua" w:eastAsia="Book Antiqua" w:hAnsi="Book Antiqua" w:cs="Book Antiqua"/>
          <w:color w:val="000000"/>
        </w:rPr>
        <w:lastRenderedPageBreak/>
        <w:t>Here, we show that CSC-enriched cultures established from 7 human PDX model</w:t>
      </w:r>
      <w:r w:rsidR="00214F32">
        <w:rPr>
          <w:rFonts w:ascii="Book Antiqua" w:eastAsia="Book Antiqua" w:hAnsi="Book Antiqua" w:cs="Book Antiqua"/>
          <w:color w:val="000000"/>
        </w:rPr>
        <w:t>s</w:t>
      </w:r>
      <w:r>
        <w:rPr>
          <w:rFonts w:ascii="Book Antiqua" w:eastAsia="Book Antiqua" w:hAnsi="Book Antiqua" w:cs="Book Antiqua"/>
          <w:color w:val="000000"/>
        </w:rPr>
        <w:t xml:space="preserve"> not only up-regulate several GPX genes, but also numerous genes related to GSH synthesis and recycling, as well as GSTs (Table </w:t>
      </w:r>
      <w:r w:rsidR="007C395F">
        <w:rPr>
          <w:rFonts w:ascii="Book Antiqua" w:eastAsia="Book Antiqua" w:hAnsi="Book Antiqua" w:cs="Book Antiqua"/>
          <w:color w:val="000000"/>
        </w:rPr>
        <w:t>2</w:t>
      </w:r>
      <w:r w:rsidR="0013023D">
        <w:rPr>
          <w:rFonts w:ascii="Book Antiqua" w:eastAsia="Book Antiqua" w:hAnsi="Book Antiqua" w:cs="Book Antiqua"/>
          <w:color w:val="000000"/>
        </w:rPr>
        <w:t xml:space="preserve"> and</w:t>
      </w:r>
      <w:r>
        <w:rPr>
          <w:rFonts w:ascii="Book Antiqua" w:eastAsia="Book Antiqua" w:hAnsi="Book Antiqua" w:cs="Book Antiqua"/>
          <w:color w:val="000000"/>
        </w:rPr>
        <w:t xml:space="preserve"> Figure 2). However, although there is a global upregulation of the pathway, our results suggest that expression patterns of the specific isoform(s) of GPXs and GSTs expressed vary considerably across patients (Table </w:t>
      </w:r>
      <w:r w:rsidR="007C395F">
        <w:rPr>
          <w:rFonts w:ascii="Book Antiqua" w:eastAsia="Book Antiqua" w:hAnsi="Book Antiqua" w:cs="Book Antiqua"/>
          <w:color w:val="000000"/>
        </w:rPr>
        <w:t>2</w:t>
      </w:r>
      <w:r>
        <w:rPr>
          <w:rFonts w:ascii="Book Antiqua" w:eastAsia="Book Antiqua" w:hAnsi="Book Antiqua" w:cs="Book Antiqua"/>
          <w:color w:val="000000"/>
        </w:rPr>
        <w:t xml:space="preserve">). This apparent heterogeneity argues against the universality of the previously mentioned studies on GPX isoforms, which were based on just one or two established cell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36–38]</w:t>
      </w:r>
      <w:r>
        <w:rPr>
          <w:rFonts w:ascii="Book Antiqua" w:eastAsia="Book Antiqua" w:hAnsi="Book Antiqua" w:cs="Book Antiqua"/>
          <w:color w:val="000000"/>
        </w:rPr>
        <w:t>. Interestingly, our analysis of human normal or PDAC samples indicate a strong correlation of GSH-related genes with stemness and poor outcome (Figure 1). In addition, and in line with the gene expression data, intracellular GSH levels were also increased in spheres and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respectively, as compared to differentiated cells (Figure 2). Together, these results support the notion that pancreatic CSCs resemble CSCs from other cancer types in terms of glutathione metabolism, and </w:t>
      </w:r>
      <w:r w:rsidR="00214F32">
        <w:rPr>
          <w:rFonts w:ascii="Book Antiqua" w:eastAsia="Book Antiqua" w:hAnsi="Book Antiqua" w:cs="Book Antiqua"/>
          <w:color w:val="000000"/>
        </w:rPr>
        <w:t xml:space="preserve">corroborate </w:t>
      </w:r>
      <w:r>
        <w:rPr>
          <w:rFonts w:ascii="Book Antiqua" w:eastAsia="Book Antiqua" w:hAnsi="Book Antiqua" w:cs="Book Antiqua"/>
          <w:color w:val="000000"/>
        </w:rPr>
        <w:t xml:space="preserve">the evidence for </w:t>
      </w:r>
      <w:r w:rsidR="00366490">
        <w:rPr>
          <w:rFonts w:ascii="Book Antiqua" w:eastAsia="Book Antiqua" w:hAnsi="Book Antiqua" w:cs="Book Antiqua"/>
          <w:color w:val="000000"/>
        </w:rPr>
        <w:t xml:space="preserve">the </w:t>
      </w:r>
      <w:r>
        <w:rPr>
          <w:rFonts w:ascii="Book Antiqua" w:eastAsia="Book Antiqua" w:hAnsi="Book Antiqua" w:cs="Book Antiqua"/>
          <w:color w:val="000000"/>
        </w:rPr>
        <w:t xml:space="preserve">crucial role of this pathway in cancer stemness. </w:t>
      </w:r>
    </w:p>
    <w:p w14:paraId="2DE81B9E" w14:textId="095403C0" w:rsidR="00A77B3E" w:rsidRDefault="0063365C" w:rsidP="005327BA">
      <w:pPr>
        <w:spacing w:line="360" w:lineRule="auto"/>
        <w:ind w:firstLineChars="100" w:firstLine="240"/>
        <w:jc w:val="both"/>
      </w:pPr>
      <w:r>
        <w:rPr>
          <w:rFonts w:ascii="Book Antiqua" w:eastAsia="Book Antiqua" w:hAnsi="Book Antiqua" w:cs="Book Antiqua"/>
          <w:color w:val="000000"/>
        </w:rPr>
        <w:t xml:space="preserve">Oxidative CSCs need to counteract ROS produced in cellular respiration. Notably, enhanced GSH metabolism is often linked to increased mitochondrial function, conferring protection from ROS produced during respiration and by detoxifying lipid hydroperoxides and </w:t>
      </w:r>
      <w:proofErr w:type="gramStart"/>
      <w:r>
        <w:rPr>
          <w:rFonts w:ascii="Book Antiqua" w:eastAsia="Book Antiqua" w:hAnsi="Book Antiqua" w:cs="Book Antiqua"/>
          <w:color w:val="000000"/>
        </w:rPr>
        <w:t>electrophiles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In fact, glutathione peroxidases such as GPX4 or transferases such as GSTP have been shown to maintain OXPHOS activity and preserve mitochondrial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39,40]</w:t>
      </w:r>
      <w:r>
        <w:rPr>
          <w:rFonts w:ascii="Book Antiqua" w:eastAsia="Book Antiqua" w:hAnsi="Book Antiqua" w:cs="Book Antiqua"/>
          <w:color w:val="000000"/>
        </w:rPr>
        <w:t xml:space="preserve">. Importantly, OXPHOS metabolism is linked to glutathione metabolism and antioxidative defense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a process controlled by NRF2, thereby promoting breast CSCs maintenance and self-</w:t>
      </w:r>
      <w:proofErr w:type="gramStart"/>
      <w:r>
        <w:rPr>
          <w:rFonts w:ascii="Book Antiqua" w:eastAsia="Book Antiqua" w:hAnsi="Book Antiqua" w:cs="Book Antiqua"/>
          <w:color w:val="000000"/>
        </w:rPr>
        <w:t>renewal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In this context, we have previously shown that 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promotes mitochondrial respiration and is required for full stemness, connecting both processes in pancreatic </w:t>
      </w:r>
      <w:proofErr w:type="gramStart"/>
      <w:r>
        <w:rPr>
          <w:rFonts w:ascii="Book Antiqua" w:eastAsia="Book Antiqua" w:hAnsi="Book Antiqua" w:cs="Book Antiqua"/>
          <w:color w:val="000000"/>
        </w:rPr>
        <w:t>CSCs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Interestingly, one of the main physiological functions of 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is to </w:t>
      </w:r>
      <w:r>
        <w:rPr>
          <w:rFonts w:ascii="Book Antiqua" w:eastAsia="Book Antiqua" w:hAnsi="Book Antiqua" w:cs="Book Antiqua"/>
          <w:color w:val="000000"/>
          <w:shd w:val="clear" w:color="auto" w:fill="FFFFFF"/>
        </w:rPr>
        <w:t xml:space="preserve">balance mitochondrial ROS production and scavenging by coordinating mitochondrial biogenesis and antioxidative response. Indeed, </w:t>
      </w:r>
      <w:r>
        <w:rPr>
          <w:rFonts w:ascii="Book Antiqua" w:eastAsia="Book Antiqua" w:hAnsi="Book Antiqua" w:cs="Book Antiqua"/>
          <w:color w:val="000000"/>
        </w:rPr>
        <w:t>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has been shown to </w:t>
      </w:r>
      <w:r>
        <w:rPr>
          <w:rFonts w:ascii="Book Antiqua" w:eastAsia="Book Antiqua" w:hAnsi="Book Antiqua" w:cs="Book Antiqua"/>
          <w:color w:val="000000"/>
          <w:shd w:val="clear" w:color="auto" w:fill="FFFFFF"/>
        </w:rPr>
        <w:t xml:space="preserve">control the expression of several antioxidants and glutathione-related enzymes such as GPXs and GSTs, likely </w:t>
      </w:r>
      <w:r w:rsidRPr="0013023D">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NRF2 </w:t>
      </w:r>
      <w:proofErr w:type="gramStart"/>
      <w:r>
        <w:rPr>
          <w:rFonts w:ascii="Book Antiqua" w:eastAsia="Book Antiqua" w:hAnsi="Book Antiqua" w:cs="Book Antiqua"/>
          <w:color w:val="000000"/>
          <w:shd w:val="clear" w:color="auto" w:fill="FFFFFF"/>
        </w:rPr>
        <w:t>activation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41,42]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Moreover, it modulates GSH levels by regulating its synthesis through direct </w:t>
      </w:r>
      <w:r w:rsidR="005327BA">
        <w:rPr>
          <w:rFonts w:ascii="Book Antiqua" w:eastAsia="Book Antiqua" w:hAnsi="Book Antiqua" w:cs="Book Antiqua"/>
          <w:color w:val="000000"/>
        </w:rPr>
        <w:t>gamma</w:t>
      </w:r>
      <w:r>
        <w:rPr>
          <w:rFonts w:ascii="Book Antiqua" w:eastAsia="Book Antiqua" w:hAnsi="Book Antiqua" w:cs="Book Antiqua"/>
          <w:color w:val="000000"/>
          <w:shd w:val="clear" w:color="auto" w:fill="FFFFFF"/>
        </w:rPr>
        <w:t>-</w:t>
      </w:r>
      <w:proofErr w:type="spellStart"/>
      <w:r>
        <w:rPr>
          <w:rFonts w:ascii="Book Antiqua" w:eastAsia="Book Antiqua" w:hAnsi="Book Antiqua" w:cs="Book Antiqua"/>
          <w:color w:val="000000"/>
          <w:shd w:val="clear" w:color="auto" w:fill="FFFFFF"/>
        </w:rPr>
        <w:t>glutamylcysteine</w:t>
      </w:r>
      <w:proofErr w:type="spellEnd"/>
      <w:r>
        <w:rPr>
          <w:rFonts w:ascii="Book Antiqua" w:eastAsia="Book Antiqua" w:hAnsi="Book Antiqua" w:cs="Book Antiqua"/>
          <w:color w:val="000000"/>
          <w:shd w:val="clear" w:color="auto" w:fill="FFFFFF"/>
        </w:rPr>
        <w:t xml:space="preserve"> ligase and glutathione synthase transcriptional </w:t>
      </w:r>
      <w:proofErr w:type="gramStart"/>
      <w:r>
        <w:rPr>
          <w:rFonts w:ascii="Book Antiqua" w:eastAsia="Book Antiqua" w:hAnsi="Book Antiqua" w:cs="Book Antiqua"/>
          <w:color w:val="000000"/>
          <w:shd w:val="clear" w:color="auto" w:fill="FFFFFF"/>
        </w:rPr>
        <w:t>control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41,43]</w:t>
      </w:r>
      <w:r>
        <w:rPr>
          <w:rFonts w:ascii="Book Antiqua" w:eastAsia="Book Antiqua" w:hAnsi="Book Antiqua" w:cs="Book Antiqua"/>
          <w:color w:val="000000"/>
          <w:shd w:val="clear" w:color="auto" w:fill="FFFFFF"/>
        </w:rPr>
        <w:t xml:space="preserve">. </w:t>
      </w:r>
      <w:r w:rsidR="00214F32">
        <w:rPr>
          <w:rFonts w:ascii="Book Antiqua" w:eastAsia="Book Antiqua" w:hAnsi="Book Antiqua" w:cs="Book Antiqua"/>
          <w:color w:val="000000"/>
          <w:shd w:val="clear" w:color="auto" w:fill="FFFFFF"/>
        </w:rPr>
        <w:t>Therefore</w:t>
      </w:r>
      <w:r>
        <w:rPr>
          <w:rFonts w:ascii="Book Antiqua" w:eastAsia="Book Antiqua" w:hAnsi="Book Antiqua" w:cs="Book Antiqua"/>
          <w:color w:val="000000"/>
          <w:shd w:val="clear" w:color="auto" w:fill="FFFFFF"/>
        </w:rPr>
        <w:t xml:space="preserve">, glutathione metabolism could support </w:t>
      </w:r>
      <w:r>
        <w:rPr>
          <w:rFonts w:ascii="Book Antiqua" w:eastAsia="Book Antiqua" w:hAnsi="Book Antiqua" w:cs="Book Antiqua"/>
          <w:color w:val="000000"/>
        </w:rPr>
        <w:t xml:space="preserve">stemness </w:t>
      </w:r>
      <w:r>
        <w:rPr>
          <w:rFonts w:ascii="Book Antiqua" w:eastAsia="Book Antiqua" w:hAnsi="Book Antiqua" w:cs="Book Antiqua"/>
          <w:color w:val="000000"/>
          <w:shd w:val="clear" w:color="auto" w:fill="FFFFFF"/>
        </w:rPr>
        <w:t xml:space="preserve">downstream </w:t>
      </w:r>
      <w:r w:rsidR="00214F32">
        <w:rPr>
          <w:rFonts w:ascii="Book Antiqua" w:eastAsia="Book Antiqua" w:hAnsi="Book Antiqua" w:cs="Book Antiqua"/>
          <w:color w:val="000000"/>
          <w:shd w:val="clear" w:color="auto" w:fill="FFFFFF"/>
        </w:rPr>
        <w:t xml:space="preserve">of </w:t>
      </w:r>
      <w:r>
        <w:rPr>
          <w:rFonts w:ascii="Book Antiqua" w:eastAsia="Book Antiqua" w:hAnsi="Book Antiqua" w:cs="Book Antiqua"/>
          <w:color w:val="000000"/>
        </w:rPr>
        <w:t>PGC-1</w:t>
      </w:r>
      <w:r w:rsidR="00C96BC0" w:rsidRPr="00C96BC0">
        <w:rPr>
          <w:rFonts w:ascii="Book Antiqua" w:hAnsi="Book Antiqua" w:cs="Book Antiqua"/>
          <w:color w:val="000000"/>
          <w:lang w:eastAsia="zh-CN"/>
        </w:rPr>
        <w:t>α</w:t>
      </w:r>
      <w:r>
        <w:rPr>
          <w:rFonts w:ascii="Book Antiqua" w:eastAsia="Book Antiqua" w:hAnsi="Book Antiqua" w:cs="Book Antiqua"/>
          <w:color w:val="000000"/>
        </w:rPr>
        <w:t xml:space="preserve"> i</w:t>
      </w:r>
      <w:r>
        <w:rPr>
          <w:rFonts w:ascii="Book Antiqua" w:eastAsia="Book Antiqua" w:hAnsi="Book Antiqua" w:cs="Book Antiqua"/>
          <w:color w:val="000000"/>
          <w:shd w:val="clear" w:color="auto" w:fill="FFFFFF"/>
        </w:rPr>
        <w:t>n pancreatic CSCs</w:t>
      </w:r>
      <w:r>
        <w:rPr>
          <w:rFonts w:ascii="Book Antiqua" w:eastAsia="Book Antiqua" w:hAnsi="Book Antiqua" w:cs="Book Antiqua"/>
          <w:color w:val="000000"/>
        </w:rPr>
        <w:t xml:space="preserve"> by </w:t>
      </w:r>
      <w:r>
        <w:rPr>
          <w:rFonts w:ascii="Book Antiqua" w:eastAsia="Book Antiqua" w:hAnsi="Book Antiqua" w:cs="Book Antiqua"/>
          <w:color w:val="000000"/>
          <w:shd w:val="clear" w:color="auto" w:fill="FFFFFF"/>
        </w:rPr>
        <w:t>detoxifying mitochondrial ROS.</w:t>
      </w:r>
    </w:p>
    <w:p w14:paraId="135DFE50" w14:textId="11EE5790" w:rsidR="00345834" w:rsidRDefault="0063365C" w:rsidP="00345834">
      <w:pPr>
        <w:spacing w:line="360" w:lineRule="auto"/>
        <w:ind w:firstLineChars="100" w:firstLine="240"/>
        <w:jc w:val="both"/>
      </w:pPr>
      <w:r>
        <w:rPr>
          <w:rFonts w:ascii="Book Antiqua" w:eastAsia="Book Antiqua" w:hAnsi="Book Antiqua" w:cs="Book Antiqua"/>
          <w:color w:val="000000"/>
        </w:rPr>
        <w:t>Our results suggest that pancreatic CSCs are particularly sensitive to glutathione depletion. We have shown that inhibition of GSH synthesis induces cell cycle arrest and apoptosis of pancreatic CSCs (Figure 4), resulting in reduced expression of stemness genes, self-renewal capacity and, consequently,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content (Figure 5). In contrast, breast and colorectal CSCs seem to be resistant to BSO as </w:t>
      </w:r>
      <w:r w:rsidR="00214F32">
        <w:rPr>
          <w:rFonts w:ascii="Book Antiqua" w:eastAsia="Book Antiqua" w:hAnsi="Book Antiqua" w:cs="Book Antiqua"/>
          <w:color w:val="000000"/>
        </w:rPr>
        <w:t xml:space="preserve">a </w:t>
      </w:r>
      <w:r>
        <w:rPr>
          <w:rFonts w:ascii="Book Antiqua" w:eastAsia="Book Antiqua" w:hAnsi="Book Antiqua" w:cs="Book Antiqua"/>
          <w:color w:val="000000"/>
        </w:rPr>
        <w:t xml:space="preserve">single treatment, and they up-regulate thioredoxins as a compensatory mechanism to counteract ROS and maintain self-renewal under BSO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34,44]</w:t>
      </w:r>
      <w:r>
        <w:rPr>
          <w:rFonts w:ascii="Book Antiqua" w:eastAsia="Book Antiqua" w:hAnsi="Book Antiqua" w:cs="Book Antiqua"/>
          <w:color w:val="000000"/>
        </w:rPr>
        <w:t xml:space="preserve">. Interestingly, inhibition of self-renewal was achieved not only with the glutathione synthesis inhibitor BSO, but also by pharmacological inhibition of GSH recycling using 6-AN. These results functionally validate our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 in which we observed that pancreatic CSCs upregulated genes related to both synthesis (</w:t>
      </w:r>
      <w:r>
        <w:rPr>
          <w:rFonts w:ascii="Book Antiqua" w:eastAsia="Book Antiqua" w:hAnsi="Book Antiqua" w:cs="Book Antiqua"/>
          <w:i/>
          <w:iCs/>
          <w:color w:val="000000"/>
        </w:rPr>
        <w:t>GCLC</w:t>
      </w:r>
      <w:r>
        <w:rPr>
          <w:rFonts w:ascii="Book Antiqua" w:eastAsia="Book Antiqua" w:hAnsi="Book Antiqua" w:cs="Book Antiqua"/>
          <w:color w:val="000000"/>
        </w:rPr>
        <w:t>) and recycling processes (</w:t>
      </w:r>
      <w:r>
        <w:rPr>
          <w:rFonts w:ascii="Book Antiqua" w:eastAsia="Book Antiqua" w:hAnsi="Book Antiqua" w:cs="Book Antiqua"/>
          <w:i/>
          <w:iCs/>
          <w:color w:val="000000"/>
        </w:rPr>
        <w:t>GSR</w:t>
      </w:r>
      <w:r>
        <w:rPr>
          <w:rFonts w:ascii="Book Antiqua" w:eastAsia="Book Antiqua" w:hAnsi="Book Antiqua" w:cs="Book Antiqua"/>
          <w:color w:val="000000"/>
        </w:rPr>
        <w:t xml:space="preserve">, </w:t>
      </w:r>
      <w:r>
        <w:rPr>
          <w:rFonts w:ascii="Book Antiqua" w:eastAsia="Book Antiqua" w:hAnsi="Book Antiqua" w:cs="Book Antiqua"/>
          <w:i/>
          <w:iCs/>
          <w:color w:val="000000"/>
        </w:rPr>
        <w:t>PGD</w:t>
      </w:r>
      <w:r>
        <w:rPr>
          <w:rFonts w:ascii="Book Antiqua" w:eastAsia="Book Antiqua" w:hAnsi="Book Antiqua" w:cs="Book Antiqua"/>
          <w:color w:val="000000"/>
        </w:rPr>
        <w:t xml:space="preserve">), and suggest that GSH metabolism is highly dynamic in pancreatic CSCs. Of note, the specific balance of synthesis </w:t>
      </w:r>
      <w:r>
        <w:rPr>
          <w:rFonts w:ascii="Book Antiqua" w:eastAsia="Book Antiqua" w:hAnsi="Book Antiqua" w:cs="Book Antiqua"/>
          <w:i/>
          <w:iCs/>
          <w:color w:val="000000"/>
        </w:rPr>
        <w:t>vs</w:t>
      </w:r>
      <w:r>
        <w:rPr>
          <w:rFonts w:ascii="Book Antiqua" w:eastAsia="Book Antiqua" w:hAnsi="Book Antiqua" w:cs="Book Antiqua"/>
          <w:color w:val="000000"/>
        </w:rPr>
        <w:t xml:space="preserve"> recycling processes determining the actual GSH content may vary between patients. For example, PDX215 cells were partially resistant to BSO, while they responded to 6AN similarly to the other PDXs tested (Figure 5). </w:t>
      </w:r>
    </w:p>
    <w:p w14:paraId="6EDEFBD9" w14:textId="6DFB4D52" w:rsidR="00A77B3E" w:rsidRDefault="0063365C" w:rsidP="00345834">
      <w:pPr>
        <w:spacing w:line="360" w:lineRule="auto"/>
        <w:ind w:firstLineChars="100" w:firstLine="240"/>
        <w:jc w:val="both"/>
      </w:pPr>
      <w:r>
        <w:rPr>
          <w:rFonts w:ascii="Book Antiqua" w:eastAsia="Book Antiqua" w:hAnsi="Book Antiqua" w:cs="Book Antiqua"/>
          <w:color w:val="000000"/>
        </w:rPr>
        <w:t xml:space="preserve">Depletion of intracellular GSH with BSO has been shown to sensitize breast CSCs to radiotherapy, inducing oxidative DNA damage that leads to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13,45]</w:t>
      </w:r>
      <w:r>
        <w:rPr>
          <w:rFonts w:ascii="Book Antiqua" w:eastAsia="Book Antiqua" w:hAnsi="Book Antiqua" w:cs="Book Antiqua"/>
          <w:color w:val="000000"/>
        </w:rPr>
        <w:t xml:space="preserve">. However, glutathione synthesis inhibition has been mainly tested in combination with conventional chemotherapy: treatment with BSO enhanced toxicity of </w:t>
      </w:r>
      <w:proofErr w:type="gramStart"/>
      <w:r>
        <w:rPr>
          <w:rFonts w:ascii="Book Antiqua" w:eastAsia="Book Antiqua" w:hAnsi="Book Antiqua" w:cs="Book Antiqua"/>
          <w:color w:val="000000"/>
        </w:rPr>
        <w:t>melphalan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paclitaxel</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cisplatin and gemcitabine</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in different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models, but showed no effect for 5</w:t>
      </w:r>
      <w:r w:rsidR="00345834">
        <w:rPr>
          <w:rFonts w:ascii="Book Antiqua" w:eastAsia="Book Antiqua" w:hAnsi="Book Antiqua" w:cs="Book Antiqua"/>
          <w:color w:val="000000"/>
        </w:rPr>
        <w:t>-</w:t>
      </w:r>
      <w:r>
        <w:rPr>
          <w:rFonts w:ascii="Book Antiqua" w:eastAsia="Book Antiqua" w:hAnsi="Book Antiqua" w:cs="Book Antiqua"/>
          <w:color w:val="000000"/>
        </w:rPr>
        <w:t>fluorouracil</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Our results further underscore the role of glutathione in chemoresistance, by regulating CSCs survival and functionality. First, we show that GSH content in CSC-enriched cultures, but not in adherent cultures, positively correlates with global survival under gemcitabine treatment (Figure 6A). Moreover, we found that CD133</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cells, but not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accumulate more intracellular GSH in </w:t>
      </w:r>
      <w:r>
        <w:rPr>
          <w:rFonts w:ascii="Book Antiqua" w:eastAsia="Book Antiqua" w:hAnsi="Book Antiqua" w:cs="Book Antiqua"/>
          <w:color w:val="000000"/>
        </w:rPr>
        <w:lastRenderedPageBreak/>
        <w:t xml:space="preserve">response to gemcitabine (Figure 6B). Counteracting this defense response by BSO treatment induced apoptosis in both subpopulations to a similar degree (Figure 6C). </w:t>
      </w:r>
    </w:p>
    <w:p w14:paraId="7B70A68B" w14:textId="7FA1F298" w:rsidR="00A77B3E" w:rsidRDefault="0063365C" w:rsidP="00345834">
      <w:pPr>
        <w:spacing w:line="360" w:lineRule="auto"/>
        <w:ind w:firstLineChars="100" w:firstLine="240"/>
        <w:jc w:val="both"/>
      </w:pPr>
      <w:r>
        <w:rPr>
          <w:rFonts w:ascii="Book Antiqua" w:eastAsia="Book Antiqua" w:hAnsi="Book Antiqua" w:cs="Book Antiqua"/>
          <w:color w:val="000000"/>
        </w:rPr>
        <w:t xml:space="preserve">Other combination therapies involving glutathione synthesis inhibition have been tested in pancreatic cancer with reasonable success. For instance, inhibition of the PI3K/AKT pathway in combination with BSO blocked mRNA translation and impaired tumor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mimicking NRF2 </w:t>
      </w:r>
      <w:r w:rsidR="00214F32">
        <w:rPr>
          <w:rFonts w:ascii="Book Antiqua" w:eastAsia="Book Antiqua" w:hAnsi="Book Antiqua" w:cs="Book Antiqua"/>
          <w:color w:val="000000"/>
        </w:rPr>
        <w:t xml:space="preserve">loss </w:t>
      </w:r>
      <w:r>
        <w:rPr>
          <w:rFonts w:ascii="Book Antiqua" w:eastAsia="Book Antiqua" w:hAnsi="Book Antiqua" w:cs="Book Antiqua"/>
          <w:color w:val="000000"/>
        </w:rPr>
        <w:t xml:space="preserve">in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Although BSO is the most utilized treatment to achieve GSH depletion, other strategies such as inhibition of cysteine/glutamate transport showed a synergistic effect in combination with gemcitabine for inhibiting proliferation of pancreatic cancer cell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w:t>
      </w:r>
    </w:p>
    <w:p w14:paraId="2BB2264C" w14:textId="77777777" w:rsidR="00A77B3E" w:rsidRDefault="00A77B3E" w:rsidP="00345834">
      <w:pPr>
        <w:spacing w:line="360" w:lineRule="auto"/>
        <w:jc w:val="both"/>
      </w:pPr>
    </w:p>
    <w:p w14:paraId="6C73F890" w14:textId="77777777" w:rsidR="00A77B3E" w:rsidRDefault="0063365C">
      <w:pPr>
        <w:spacing w:line="360" w:lineRule="auto"/>
        <w:jc w:val="both"/>
      </w:pPr>
      <w:r>
        <w:rPr>
          <w:rFonts w:ascii="Book Antiqua" w:eastAsia="Book Antiqua" w:hAnsi="Book Antiqua" w:cs="Book Antiqua"/>
          <w:b/>
          <w:caps/>
          <w:color w:val="000000"/>
          <w:u w:val="single"/>
        </w:rPr>
        <w:t>CONCLUSION</w:t>
      </w:r>
    </w:p>
    <w:p w14:paraId="3813AD0A" w14:textId="330E9743" w:rsidR="00A77B3E" w:rsidRDefault="0063365C">
      <w:pPr>
        <w:spacing w:line="360" w:lineRule="auto"/>
        <w:jc w:val="both"/>
      </w:pPr>
      <w:r>
        <w:rPr>
          <w:rFonts w:ascii="Book Antiqua" w:eastAsia="Book Antiqua" w:hAnsi="Book Antiqua" w:cs="Book Antiqua"/>
          <w:color w:val="000000"/>
        </w:rPr>
        <w:t xml:space="preserve">In summary, we find that glutathione metabolism plays an essential role in pancreatic cancer aggressiveness, supporting CSC survival, self-renewal and chemoresistance. Our results point to a novel metabolic vulnerability of pancreatic CSCs that should be exploited for the design of new therapeutic strategies aimed at the elimination of this highly aggressive subpopulation of cancer cells. </w:t>
      </w:r>
    </w:p>
    <w:p w14:paraId="65E234DE" w14:textId="77777777" w:rsidR="00A77B3E" w:rsidRDefault="00A77B3E">
      <w:pPr>
        <w:spacing w:line="360" w:lineRule="auto"/>
        <w:jc w:val="both"/>
      </w:pPr>
    </w:p>
    <w:p w14:paraId="3213197E" w14:textId="77777777" w:rsidR="00A77B3E" w:rsidRDefault="0063365C">
      <w:pPr>
        <w:spacing w:line="360" w:lineRule="auto"/>
        <w:jc w:val="both"/>
      </w:pPr>
      <w:r>
        <w:rPr>
          <w:rFonts w:ascii="Book Antiqua" w:eastAsia="Book Antiqua" w:hAnsi="Book Antiqua" w:cs="Book Antiqua"/>
          <w:b/>
          <w:caps/>
          <w:color w:val="000000"/>
          <w:u w:val="single"/>
        </w:rPr>
        <w:t>ARTICLE HIGHLIGHTS</w:t>
      </w:r>
    </w:p>
    <w:p w14:paraId="21C5BF62" w14:textId="77777777" w:rsidR="00A77B3E" w:rsidRDefault="0063365C">
      <w:pPr>
        <w:spacing w:line="360" w:lineRule="auto"/>
        <w:jc w:val="both"/>
      </w:pPr>
      <w:r>
        <w:rPr>
          <w:rFonts w:ascii="Book Antiqua" w:eastAsia="Book Antiqua" w:hAnsi="Book Antiqua" w:cs="Book Antiqua"/>
          <w:b/>
          <w:i/>
          <w:color w:val="000000"/>
        </w:rPr>
        <w:t>Research background</w:t>
      </w:r>
    </w:p>
    <w:p w14:paraId="3A4BC674" w14:textId="69EB7433" w:rsidR="00A77B3E" w:rsidRDefault="0063365C">
      <w:pPr>
        <w:spacing w:line="360" w:lineRule="auto"/>
        <w:jc w:val="both"/>
      </w:pPr>
      <w:r>
        <w:rPr>
          <w:rFonts w:ascii="Book Antiqua" w:eastAsia="Book Antiqua" w:hAnsi="Book Antiqua" w:cs="Book Antiqua"/>
          <w:color w:val="000000"/>
        </w:rPr>
        <w:t xml:space="preserve">Redox metabolism modulates stem cell and cancer stem cell (CSC) functionality in different model systems, regardless of their dominant metabolic phenotype.  In fact, CSCs from several cancer types show increased glutathione content and associated enzymes. </w:t>
      </w:r>
    </w:p>
    <w:p w14:paraId="08091E4B" w14:textId="77777777" w:rsidR="00A77B3E" w:rsidRDefault="00A77B3E">
      <w:pPr>
        <w:spacing w:line="360" w:lineRule="auto"/>
        <w:jc w:val="both"/>
      </w:pPr>
    </w:p>
    <w:p w14:paraId="60DBE807" w14:textId="77777777" w:rsidR="00A77B3E" w:rsidRDefault="0063365C">
      <w:pPr>
        <w:spacing w:line="360" w:lineRule="auto"/>
        <w:jc w:val="both"/>
      </w:pPr>
      <w:r>
        <w:rPr>
          <w:rFonts w:ascii="Book Antiqua" w:eastAsia="Book Antiqua" w:hAnsi="Book Antiqua" w:cs="Book Antiqua"/>
          <w:b/>
          <w:i/>
          <w:color w:val="000000"/>
        </w:rPr>
        <w:t>Research motivation</w:t>
      </w:r>
    </w:p>
    <w:p w14:paraId="6F614B01" w14:textId="77777777" w:rsidR="00A77B3E" w:rsidRDefault="0063365C">
      <w:pPr>
        <w:spacing w:line="360" w:lineRule="auto"/>
        <w:jc w:val="both"/>
      </w:pPr>
      <w:r>
        <w:rPr>
          <w:rFonts w:ascii="Book Antiqua" w:eastAsia="Book Antiqua" w:hAnsi="Book Antiqua" w:cs="Book Antiqua"/>
          <w:color w:val="000000"/>
        </w:rPr>
        <w:t>Identification of metabolic vulnerabilities of highly aggressive CSCs can lead to the development of more effective treatment strategies for pancreatic cancer.</w:t>
      </w:r>
    </w:p>
    <w:p w14:paraId="028745E0" w14:textId="77777777" w:rsidR="00A77B3E" w:rsidRDefault="00A77B3E">
      <w:pPr>
        <w:spacing w:line="360" w:lineRule="auto"/>
        <w:jc w:val="both"/>
      </w:pPr>
    </w:p>
    <w:p w14:paraId="1A90540E" w14:textId="77777777" w:rsidR="00A77B3E" w:rsidRDefault="0063365C">
      <w:pPr>
        <w:spacing w:line="360" w:lineRule="auto"/>
        <w:jc w:val="both"/>
      </w:pPr>
      <w:r>
        <w:rPr>
          <w:rFonts w:ascii="Book Antiqua" w:eastAsia="Book Antiqua" w:hAnsi="Book Antiqua" w:cs="Book Antiqua"/>
          <w:b/>
          <w:i/>
          <w:color w:val="000000"/>
        </w:rPr>
        <w:t>Research objectives</w:t>
      </w:r>
    </w:p>
    <w:p w14:paraId="2DF560FA" w14:textId="77777777" w:rsidR="00A77B3E" w:rsidRDefault="0063365C">
      <w:pPr>
        <w:spacing w:line="360" w:lineRule="auto"/>
        <w:jc w:val="both"/>
      </w:pPr>
      <w:r>
        <w:rPr>
          <w:rFonts w:ascii="Book Antiqua" w:eastAsia="Book Antiqua" w:hAnsi="Book Antiqua" w:cs="Book Antiqua"/>
          <w:color w:val="000000"/>
        </w:rPr>
        <w:lastRenderedPageBreak/>
        <w:t xml:space="preserve">The present study aimed to determine the importance of glutathione metabolism for pancreatic CSCs as compared to their differentiated counterparts. </w:t>
      </w:r>
    </w:p>
    <w:p w14:paraId="399610AA" w14:textId="77777777" w:rsidR="00A77B3E" w:rsidRDefault="00A77B3E">
      <w:pPr>
        <w:spacing w:line="360" w:lineRule="auto"/>
        <w:jc w:val="both"/>
      </w:pPr>
    </w:p>
    <w:p w14:paraId="4D0A2C4A" w14:textId="77777777" w:rsidR="00A77B3E" w:rsidRDefault="0063365C">
      <w:pPr>
        <w:spacing w:line="360" w:lineRule="auto"/>
        <w:jc w:val="both"/>
      </w:pPr>
      <w:r>
        <w:rPr>
          <w:rFonts w:ascii="Book Antiqua" w:eastAsia="Book Antiqua" w:hAnsi="Book Antiqua" w:cs="Book Antiqua"/>
          <w:b/>
          <w:i/>
          <w:color w:val="000000"/>
        </w:rPr>
        <w:t>Research methods</w:t>
      </w:r>
    </w:p>
    <w:p w14:paraId="1A51E741" w14:textId="3015C3DC" w:rsidR="00A77B3E" w:rsidRDefault="0063365C">
      <w:pPr>
        <w:spacing w:line="360" w:lineRule="auto"/>
        <w:jc w:val="both"/>
      </w:pPr>
      <w:r>
        <w:rPr>
          <w:rFonts w:ascii="Book Antiqua" w:eastAsia="Book Antiqua" w:hAnsi="Book Antiqua" w:cs="Book Antiqua"/>
          <w:color w:val="000000"/>
        </w:rPr>
        <w:t>Comparison</w:t>
      </w:r>
      <w:r w:rsidR="00293A71">
        <w:rPr>
          <w:rFonts w:ascii="Book Antiqua" w:eastAsia="Book Antiqua" w:hAnsi="Book Antiqua" w:cs="Book Antiqua"/>
          <w:color w:val="000000"/>
        </w:rPr>
        <w:t>s</w:t>
      </w:r>
      <w:r>
        <w:rPr>
          <w:rFonts w:ascii="Book Antiqua" w:eastAsia="Book Antiqua" w:hAnsi="Book Antiqua" w:cs="Book Antiqua"/>
          <w:color w:val="000000"/>
        </w:rPr>
        <w:t xml:space="preserve"> between CSCs and non-CSCs in primary pancreatic cancer cells of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s were carried out by culturing in adherent or CSC-enriching sphere conditions and confirmed by CD133 staining by flow cytometry.  Gene expression analyses were performed by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or real-time PCR. Public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 from pancreatic cancer </w:t>
      </w:r>
      <w:r>
        <w:rPr>
          <w:rFonts w:ascii="Book Antiqua" w:eastAsia="Book Antiqua" w:hAnsi="Book Antiqua" w:cs="Book Antiqua"/>
          <w:i/>
          <w:iCs/>
          <w:color w:val="000000"/>
        </w:rPr>
        <w:t>vs</w:t>
      </w:r>
      <w:r>
        <w:rPr>
          <w:rFonts w:ascii="Book Antiqua" w:eastAsia="Book Antiqua" w:hAnsi="Book Antiqua" w:cs="Book Antiqua"/>
          <w:color w:val="000000"/>
        </w:rPr>
        <w:t xml:space="preserve"> normal tissue samples were analyzed using the webserver GEPIA2. Staining for measurement of glutathione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cell cycle (propidium iodide) or apoptosis (Annexin-V) were determined by fluorimetry or flow cytometry. Pharmacological glutathione depletion was achieved with inhibitors of glutathione synthesis (</w:t>
      </w:r>
      <w:r w:rsidR="0013023D">
        <w:rPr>
          <w:rFonts w:ascii="Book Antiqua" w:eastAsia="Book Antiqua" w:hAnsi="Book Antiqua" w:cs="Book Antiqua"/>
          <w:color w:val="000000"/>
        </w:rPr>
        <w:t>buthionine-</w:t>
      </w:r>
      <w:proofErr w:type="spellStart"/>
      <w:r w:rsidR="0013023D">
        <w:rPr>
          <w:rFonts w:ascii="Book Antiqua" w:eastAsia="Book Antiqua" w:hAnsi="Book Antiqua" w:cs="Book Antiqua"/>
          <w:color w:val="000000"/>
        </w:rPr>
        <w:t>sulfoximine</w:t>
      </w:r>
      <w:proofErr w:type="spellEnd"/>
      <w:r>
        <w:rPr>
          <w:rFonts w:ascii="Book Antiqua" w:eastAsia="Book Antiqua" w:hAnsi="Book Antiqua" w:cs="Book Antiqua"/>
          <w:color w:val="000000"/>
        </w:rPr>
        <w:t>) and recycling (6-Aminonicotinamide). Self-renewal was assessed by sphere formation assay and response to gemcitabine treatment was used as a readout for chemoresistance.</w:t>
      </w:r>
    </w:p>
    <w:p w14:paraId="53217052" w14:textId="77777777" w:rsidR="00A77B3E" w:rsidRDefault="00A77B3E">
      <w:pPr>
        <w:spacing w:line="360" w:lineRule="auto"/>
        <w:jc w:val="both"/>
      </w:pPr>
    </w:p>
    <w:p w14:paraId="44DECD1C" w14:textId="77777777" w:rsidR="00A77B3E" w:rsidRDefault="0063365C">
      <w:pPr>
        <w:spacing w:line="360" w:lineRule="auto"/>
        <w:jc w:val="both"/>
      </w:pPr>
      <w:r>
        <w:rPr>
          <w:rFonts w:ascii="Book Antiqua" w:eastAsia="Book Antiqua" w:hAnsi="Book Antiqua" w:cs="Book Antiqua"/>
          <w:b/>
          <w:i/>
          <w:color w:val="000000"/>
        </w:rPr>
        <w:t>Research results</w:t>
      </w:r>
    </w:p>
    <w:p w14:paraId="326F846A" w14:textId="7B39592E" w:rsidR="00A77B3E" w:rsidRDefault="0063365C">
      <w:pPr>
        <w:spacing w:line="360" w:lineRule="auto"/>
        <w:jc w:val="both"/>
      </w:pPr>
      <w:r>
        <w:rPr>
          <w:rFonts w:ascii="Book Antiqua" w:eastAsia="Book Antiqua" w:hAnsi="Book Antiqua" w:cs="Book Antiqua"/>
          <w:color w:val="000000"/>
        </w:rPr>
        <w:t xml:space="preserve">Several glutathione metabolism genes </w:t>
      </w:r>
      <w:r w:rsidR="00293A71">
        <w:rPr>
          <w:rFonts w:ascii="Book Antiqua" w:eastAsia="Book Antiqua" w:hAnsi="Book Antiqua" w:cs="Book Antiqua"/>
          <w:color w:val="000000"/>
        </w:rPr>
        <w:t>were</w:t>
      </w:r>
      <w:r>
        <w:rPr>
          <w:rFonts w:ascii="Book Antiqua" w:eastAsia="Book Antiqua" w:hAnsi="Book Antiqua" w:cs="Book Antiqua"/>
          <w:color w:val="000000"/>
        </w:rPr>
        <w:t xml:space="preserve"> upregulated in pancreatic CSCs,</w:t>
      </w:r>
      <w:r>
        <w:rPr>
          <w:rFonts w:ascii="Book Antiqua" w:eastAsia="Book Antiqua" w:hAnsi="Book Antiqua" w:cs="Book Antiqua"/>
          <w:b/>
          <w:bCs/>
          <w:color w:val="000000"/>
        </w:rPr>
        <w:t xml:space="preserve"> </w:t>
      </w:r>
      <w:r w:rsidRPr="0013023D">
        <w:rPr>
          <w:rFonts w:ascii="Book Antiqua" w:eastAsia="Book Antiqua" w:hAnsi="Book Antiqua" w:cs="Book Antiqua"/>
          <w:color w:val="000000"/>
        </w:rPr>
        <w:t xml:space="preserve">and their expression </w:t>
      </w:r>
      <w:r>
        <w:rPr>
          <w:rFonts w:ascii="Book Antiqua" w:eastAsia="Book Antiqua" w:hAnsi="Book Antiqua" w:cs="Book Antiqua"/>
          <w:color w:val="000000"/>
        </w:rPr>
        <w:t>correlates with a stemness signature and predict</w:t>
      </w:r>
      <w:r w:rsidR="00214F32">
        <w:rPr>
          <w:rFonts w:ascii="Book Antiqua" w:eastAsia="Book Antiqua" w:hAnsi="Book Antiqua" w:cs="Book Antiqua"/>
          <w:color w:val="000000"/>
        </w:rPr>
        <w:t>s</w:t>
      </w:r>
      <w:r>
        <w:rPr>
          <w:rFonts w:ascii="Book Antiqua" w:eastAsia="Book Antiqua" w:hAnsi="Book Antiqua" w:cs="Book Antiqua"/>
          <w:color w:val="000000"/>
        </w:rPr>
        <w:t xml:space="preserve"> survival in clinical samples. Increased glutathione concentration in CSCs promotes viability, cell cycle progression and pluripotency gene expression. Inhibition of glutathione synthesis or recycling impairs CSC functionalities such as self-renewal and chemoresistance.</w:t>
      </w:r>
    </w:p>
    <w:p w14:paraId="7B3796CB" w14:textId="77777777" w:rsidR="00A77B3E" w:rsidRDefault="00A77B3E">
      <w:pPr>
        <w:spacing w:line="360" w:lineRule="auto"/>
        <w:jc w:val="both"/>
      </w:pPr>
    </w:p>
    <w:p w14:paraId="1EA0E41B" w14:textId="77777777" w:rsidR="00A77B3E" w:rsidRDefault="0063365C">
      <w:pPr>
        <w:spacing w:line="360" w:lineRule="auto"/>
        <w:jc w:val="both"/>
      </w:pPr>
      <w:r>
        <w:rPr>
          <w:rFonts w:ascii="Book Antiqua" w:eastAsia="Book Antiqua" w:hAnsi="Book Antiqua" w:cs="Book Antiqua"/>
          <w:b/>
          <w:i/>
          <w:color w:val="000000"/>
        </w:rPr>
        <w:t>Research conclusions</w:t>
      </w:r>
    </w:p>
    <w:p w14:paraId="1D5BAB1D" w14:textId="6D06679D" w:rsidR="00A77B3E" w:rsidRDefault="0063365C">
      <w:pPr>
        <w:spacing w:line="360" w:lineRule="auto"/>
        <w:jc w:val="both"/>
      </w:pPr>
      <w:r>
        <w:rPr>
          <w:rFonts w:ascii="Book Antiqua" w:eastAsia="Book Antiqua" w:hAnsi="Book Antiqua" w:cs="Book Antiqua"/>
          <w:color w:val="000000"/>
        </w:rPr>
        <w:t xml:space="preserve">Our data suggest that pancreatic CSCs depend on glutathione metabolism. Pharmacological targeting of this pathway showed that high GSH </w:t>
      </w:r>
      <w:r w:rsidR="00345834">
        <w:rPr>
          <w:rFonts w:ascii="Book Antiqua" w:eastAsia="Book Antiqua" w:hAnsi="Book Antiqua" w:cs="Book Antiqua"/>
          <w:color w:val="000000"/>
        </w:rPr>
        <w:t xml:space="preserve">(glutathione in its reduced form) </w:t>
      </w:r>
      <w:r>
        <w:rPr>
          <w:rFonts w:ascii="Book Antiqua" w:eastAsia="Book Antiqua" w:hAnsi="Book Antiqua" w:cs="Book Antiqua"/>
          <w:color w:val="000000"/>
        </w:rPr>
        <w:t>content is essential to maintain CSC functionality in terms of self-renewal and chemoresistance.</w:t>
      </w:r>
    </w:p>
    <w:p w14:paraId="60C04010" w14:textId="77777777" w:rsidR="00A77B3E" w:rsidRDefault="00A77B3E">
      <w:pPr>
        <w:spacing w:line="360" w:lineRule="auto"/>
        <w:jc w:val="both"/>
      </w:pPr>
    </w:p>
    <w:p w14:paraId="4A669F6C" w14:textId="77777777" w:rsidR="00A77B3E" w:rsidRDefault="0063365C">
      <w:pPr>
        <w:spacing w:line="360" w:lineRule="auto"/>
        <w:jc w:val="both"/>
      </w:pPr>
      <w:r>
        <w:rPr>
          <w:rFonts w:ascii="Book Antiqua" w:eastAsia="Book Antiqua" w:hAnsi="Book Antiqua" w:cs="Book Antiqua"/>
          <w:b/>
          <w:i/>
          <w:color w:val="000000"/>
        </w:rPr>
        <w:lastRenderedPageBreak/>
        <w:t>Research perspectives</w:t>
      </w:r>
    </w:p>
    <w:p w14:paraId="5DFEC481" w14:textId="77777777" w:rsidR="00A77B3E" w:rsidRDefault="0063365C">
      <w:pPr>
        <w:spacing w:line="360" w:lineRule="auto"/>
        <w:jc w:val="both"/>
      </w:pPr>
      <w:r>
        <w:rPr>
          <w:rFonts w:ascii="Book Antiqua" w:eastAsia="Book Antiqua" w:hAnsi="Book Antiqua" w:cs="Book Antiqua"/>
          <w:color w:val="000000"/>
        </w:rPr>
        <w:t>Our data demonstrate a targetable metabolic vulnerability of this aggressive subpopulation of cancer cells, which could be exploited for therapeutic purposes.</w:t>
      </w:r>
    </w:p>
    <w:p w14:paraId="11C573A4" w14:textId="77777777" w:rsidR="00A77B3E" w:rsidRDefault="00A77B3E">
      <w:pPr>
        <w:spacing w:line="360" w:lineRule="auto"/>
        <w:jc w:val="both"/>
      </w:pPr>
    </w:p>
    <w:p w14:paraId="5EF207D5" w14:textId="77777777" w:rsidR="00A77B3E" w:rsidRDefault="0063365C">
      <w:pPr>
        <w:spacing w:line="360" w:lineRule="auto"/>
        <w:jc w:val="both"/>
      </w:pPr>
      <w:r>
        <w:rPr>
          <w:rFonts w:ascii="Book Antiqua" w:eastAsia="Book Antiqua" w:hAnsi="Book Antiqua" w:cs="Book Antiqua"/>
          <w:b/>
          <w:caps/>
          <w:color w:val="000000"/>
          <w:u w:val="single"/>
        </w:rPr>
        <w:t>ACKNOWLEDGEMENTS</w:t>
      </w:r>
    </w:p>
    <w:p w14:paraId="06236B7F" w14:textId="621F2F7F" w:rsidR="00A77B3E" w:rsidRDefault="0063365C">
      <w:pPr>
        <w:spacing w:line="360" w:lineRule="auto"/>
        <w:jc w:val="both"/>
      </w:pPr>
      <w:r>
        <w:rPr>
          <w:rFonts w:ascii="Book Antiqua" w:eastAsia="Book Antiqua" w:hAnsi="Book Antiqua" w:cs="Book Antiqua"/>
          <w:color w:val="000000"/>
        </w:rPr>
        <w:t>We thank Courtois</w:t>
      </w:r>
      <w:r w:rsidR="00442EE9">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Espiau</w:t>
      </w:r>
      <w:proofErr w:type="spellEnd"/>
      <w:r>
        <w:rPr>
          <w:rFonts w:ascii="Book Antiqua" w:eastAsia="Book Antiqua" w:hAnsi="Book Antiqua" w:cs="Book Antiqua"/>
          <w:color w:val="000000"/>
        </w:rPr>
        <w:t xml:space="preserve"> </w:t>
      </w:r>
      <w:r w:rsidR="00442EE9">
        <w:rPr>
          <w:rFonts w:ascii="Book Antiqua" w:eastAsia="Book Antiqua" w:hAnsi="Book Antiqua" w:cs="Book Antiqua"/>
          <w:color w:val="000000"/>
        </w:rPr>
        <w:t xml:space="preserve">P </w:t>
      </w:r>
      <w:r>
        <w:rPr>
          <w:rFonts w:ascii="Book Antiqua" w:eastAsia="Book Antiqua" w:hAnsi="Book Antiqua" w:cs="Book Antiqua"/>
          <w:color w:val="000000"/>
        </w:rPr>
        <w:t xml:space="preserve">and Parejo </w:t>
      </w:r>
      <w:r w:rsidR="00442EE9">
        <w:rPr>
          <w:rFonts w:ascii="Book Antiqua" w:eastAsia="Book Antiqua" w:hAnsi="Book Antiqua" w:cs="Book Antiqua"/>
          <w:color w:val="000000"/>
        </w:rPr>
        <w:t xml:space="preserve">B </w:t>
      </w:r>
      <w:r>
        <w:rPr>
          <w:rFonts w:ascii="Book Antiqua" w:eastAsia="Book Antiqua" w:hAnsi="Book Antiqua" w:cs="Book Antiqua"/>
          <w:color w:val="000000"/>
        </w:rPr>
        <w:t xml:space="preserve">for critical reading of the manuscript. </w:t>
      </w:r>
      <w:r w:rsidR="00293A71">
        <w:rPr>
          <w:rFonts w:ascii="Book Antiqua" w:eastAsia="Book Antiqua" w:hAnsi="Book Antiqua" w:cs="Book Antiqua"/>
          <w:color w:val="000000"/>
        </w:rPr>
        <w:t>The a</w:t>
      </w:r>
      <w:r>
        <w:rPr>
          <w:rFonts w:ascii="Book Antiqua" w:eastAsia="Book Antiqua" w:hAnsi="Book Antiqua" w:cs="Book Antiqua"/>
          <w:color w:val="000000"/>
        </w:rPr>
        <w:t>uthors would like to acknowledge the use of the Cytometry Units from CNIO and IACS-Universidad de Zaragoza.</w:t>
      </w:r>
    </w:p>
    <w:p w14:paraId="17DF96F2" w14:textId="77777777" w:rsidR="00A77B3E" w:rsidRDefault="00A77B3E">
      <w:pPr>
        <w:spacing w:line="360" w:lineRule="auto"/>
        <w:jc w:val="both"/>
      </w:pPr>
    </w:p>
    <w:p w14:paraId="77AE710A" w14:textId="77777777" w:rsidR="00A77B3E" w:rsidRDefault="0063365C">
      <w:pPr>
        <w:spacing w:line="360" w:lineRule="auto"/>
        <w:jc w:val="both"/>
      </w:pPr>
      <w:r>
        <w:rPr>
          <w:rFonts w:ascii="Book Antiqua" w:eastAsia="Book Antiqua" w:hAnsi="Book Antiqua" w:cs="Book Antiqua"/>
          <w:b/>
          <w:color w:val="000000"/>
        </w:rPr>
        <w:t>REFERENCES</w:t>
      </w:r>
    </w:p>
    <w:p w14:paraId="7A33967F" w14:textId="4F6345DB" w:rsidR="00A77B3E" w:rsidRDefault="0063365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GBD 2017 Risk Factor Collaborators</w:t>
      </w:r>
      <w:r>
        <w:rPr>
          <w:rFonts w:ascii="Book Antiqua" w:eastAsia="Book Antiqua" w:hAnsi="Book Antiqua" w:cs="Book Antiqua"/>
          <w:color w:val="000000"/>
        </w:rPr>
        <w:t xml:space="preserve">. Global, regional, and national comparative risk assessment of 84 </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environmental and occupational, and metabolic risks or clusters of risks for 195 countries and territories, 1990-2017: a systematic analysis for the Global Burden of Disease Study 2017.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1923-1994 [PMID: 30496105 DOI: 10.1016/S0140-6736(18)32225-6]</w:t>
      </w:r>
    </w:p>
    <w:p w14:paraId="28218EBC" w14:textId="77777777" w:rsidR="00A77B3E" w:rsidRDefault="0063365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2017.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7-30 [PMID: 28055103 DOI: 10.3322/caac.21387]</w:t>
      </w:r>
    </w:p>
    <w:p w14:paraId="2A6D7ADF" w14:textId="77777777" w:rsidR="00A77B3E" w:rsidRDefault="0063365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Rahib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Smith BD, Aizenberg R, Rosenzweig AB, </w:t>
      </w:r>
      <w:proofErr w:type="spellStart"/>
      <w:r>
        <w:rPr>
          <w:rFonts w:ascii="Book Antiqua" w:eastAsia="Book Antiqua" w:hAnsi="Book Antiqua" w:cs="Book Antiqua"/>
          <w:color w:val="000000"/>
        </w:rPr>
        <w:t>Fleshman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Projecting cancer incidence and deaths to 2030: the unexpected burden of thyroid, liver, and pancreas cancers in the United States.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74</w:t>
      </w:r>
      <w:r>
        <w:rPr>
          <w:rFonts w:ascii="Book Antiqua" w:eastAsia="Book Antiqua" w:hAnsi="Book Antiqua" w:cs="Book Antiqua"/>
          <w:color w:val="000000"/>
        </w:rPr>
        <w:t>: 2913-2921 [PMID: 24840647 DOI: 10.1158/0008-5472.CAN-14-0155]</w:t>
      </w:r>
    </w:p>
    <w:p w14:paraId="450F75CF" w14:textId="77777777" w:rsidR="00A77B3E" w:rsidRDefault="0063365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Hermann PC</w:t>
      </w:r>
      <w:r>
        <w:rPr>
          <w:rFonts w:ascii="Book Antiqua" w:eastAsia="Book Antiqua" w:hAnsi="Book Antiqua" w:cs="Book Antiqua"/>
          <w:color w:val="000000"/>
        </w:rPr>
        <w:t xml:space="preserve">, Huber SL, </w:t>
      </w:r>
      <w:proofErr w:type="spellStart"/>
      <w:r>
        <w:rPr>
          <w:rFonts w:ascii="Book Antiqua" w:eastAsia="Book Antiqua" w:hAnsi="Book Antiqua" w:cs="Book Antiqua"/>
          <w:color w:val="000000"/>
        </w:rPr>
        <w:t>Herrler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Ellwart</w:t>
      </w:r>
      <w:proofErr w:type="spellEnd"/>
      <w:r>
        <w:rPr>
          <w:rFonts w:ascii="Book Antiqua" w:eastAsia="Book Antiqua" w:hAnsi="Book Antiqua" w:cs="Book Antiqua"/>
          <w:color w:val="000000"/>
        </w:rPr>
        <w:t xml:space="preserve"> JW, Guba M, Bruns CJ,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Distinct populations of cancer stem cells determine tumor growth and metastatic activity in human pancreatic cancer.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w:t>
      </w:r>
      <w:r>
        <w:rPr>
          <w:rFonts w:ascii="Book Antiqua" w:eastAsia="Book Antiqua" w:hAnsi="Book Antiqua" w:cs="Book Antiqua"/>
          <w:color w:val="000000"/>
        </w:rPr>
        <w:t>: 313-323 [PMID: 18371365 DOI: 10.1016/j.stem.2007.06.002]</w:t>
      </w:r>
    </w:p>
    <w:p w14:paraId="7D2753E5" w14:textId="77777777" w:rsidR="00A77B3E" w:rsidRDefault="0063365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Lonardo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Hermann PC, Mueller MT, Huber S, </w:t>
      </w:r>
      <w:proofErr w:type="spellStart"/>
      <w:r>
        <w:rPr>
          <w:rFonts w:ascii="Book Antiqua" w:eastAsia="Book Antiqua" w:hAnsi="Book Antiqua" w:cs="Book Antiqua"/>
          <w:color w:val="000000"/>
        </w:rPr>
        <w:t>Balic</w:t>
      </w:r>
      <w:proofErr w:type="spellEnd"/>
      <w:r>
        <w:rPr>
          <w:rFonts w:ascii="Book Antiqua" w:eastAsia="Book Antiqua" w:hAnsi="Book Antiqua" w:cs="Book Antiqua"/>
          <w:color w:val="000000"/>
        </w:rPr>
        <w:t xml:space="preserve"> A, Miranda-Lorenzo I, </w:t>
      </w:r>
      <w:proofErr w:type="spellStart"/>
      <w:r>
        <w:rPr>
          <w:rFonts w:ascii="Book Antiqua" w:eastAsia="Book Antiqua" w:hAnsi="Book Antiqua" w:cs="Book Antiqua"/>
          <w:color w:val="000000"/>
        </w:rPr>
        <w:t>Zagorac</w:t>
      </w:r>
      <w:proofErr w:type="spellEnd"/>
      <w:r>
        <w:rPr>
          <w:rFonts w:ascii="Book Antiqua" w:eastAsia="Book Antiqua" w:hAnsi="Book Antiqua" w:cs="Book Antiqua"/>
          <w:color w:val="000000"/>
        </w:rPr>
        <w:t xml:space="preserve"> S, Alcala S, Rodriguez-</w:t>
      </w:r>
      <w:proofErr w:type="spellStart"/>
      <w:r>
        <w:rPr>
          <w:rFonts w:ascii="Book Antiqua" w:eastAsia="Book Antiqua" w:hAnsi="Book Antiqua" w:cs="Book Antiqua"/>
          <w:color w:val="000000"/>
        </w:rPr>
        <w:t>Arabaolaza</w:t>
      </w:r>
      <w:proofErr w:type="spellEnd"/>
      <w:r>
        <w:rPr>
          <w:rFonts w:ascii="Book Antiqua" w:eastAsia="Book Antiqua" w:hAnsi="Book Antiqua" w:cs="Book Antiqua"/>
          <w:color w:val="000000"/>
        </w:rPr>
        <w:t xml:space="preserve"> I, Ramirez JC, Torres-</w:t>
      </w:r>
      <w:proofErr w:type="spellStart"/>
      <w:r>
        <w:rPr>
          <w:rFonts w:ascii="Book Antiqua" w:eastAsia="Book Antiqua" w:hAnsi="Book Antiqua" w:cs="Book Antiqua"/>
          <w:color w:val="000000"/>
        </w:rPr>
        <w:t>Ruíz</w:t>
      </w:r>
      <w:proofErr w:type="spellEnd"/>
      <w:r>
        <w:rPr>
          <w:rFonts w:ascii="Book Antiqua" w:eastAsia="Book Antiqua" w:hAnsi="Book Antiqua" w:cs="Book Antiqua"/>
          <w:color w:val="000000"/>
        </w:rPr>
        <w:t xml:space="preserve"> R, Garcia E, Hidalgo M, </w:t>
      </w:r>
      <w:proofErr w:type="spellStart"/>
      <w:r>
        <w:rPr>
          <w:rFonts w:ascii="Book Antiqua" w:eastAsia="Book Antiqua" w:hAnsi="Book Antiqua" w:cs="Book Antiqua"/>
          <w:color w:val="000000"/>
        </w:rPr>
        <w:t>Cebrián</w:t>
      </w:r>
      <w:proofErr w:type="spellEnd"/>
      <w:r>
        <w:rPr>
          <w:rFonts w:ascii="Book Antiqua" w:eastAsia="Book Antiqua" w:hAnsi="Book Antiqua" w:cs="Book Antiqua"/>
          <w:color w:val="000000"/>
        </w:rPr>
        <w:t xml:space="preserve"> DÁ, </w:t>
      </w:r>
      <w:proofErr w:type="spellStart"/>
      <w:r>
        <w:rPr>
          <w:rFonts w:ascii="Book Antiqua" w:eastAsia="Book Antiqua" w:hAnsi="Book Antiqua" w:cs="Book Antiqua"/>
          <w:color w:val="000000"/>
        </w:rPr>
        <w:t>Heuchel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M, Berger F, </w:t>
      </w:r>
      <w:proofErr w:type="spellStart"/>
      <w:r>
        <w:rPr>
          <w:rFonts w:ascii="Book Antiqua" w:eastAsia="Book Antiqua" w:hAnsi="Book Antiqua" w:cs="Book Antiqua"/>
          <w:color w:val="000000"/>
        </w:rPr>
        <w:t>Bartenstein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Aicher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Nodal/Activin signaling drives self-renewal and tumorigenicity of pancreatic cancer </w:t>
      </w:r>
      <w:r>
        <w:rPr>
          <w:rFonts w:ascii="Book Antiqua" w:eastAsia="Book Antiqua" w:hAnsi="Book Antiqua" w:cs="Book Antiqua"/>
          <w:color w:val="000000"/>
        </w:rPr>
        <w:lastRenderedPageBreak/>
        <w:t xml:space="preserve">stem cells and provides a target for combined drug therapy.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433-446 [PMID: 22056140 DOI: 10.1016/j.stem.2011.10.001]</w:t>
      </w:r>
    </w:p>
    <w:p w14:paraId="68CA8641" w14:textId="77777777" w:rsidR="00A77B3E" w:rsidRDefault="0063365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Miranda-Lorenzo I</w:t>
      </w:r>
      <w:r>
        <w:rPr>
          <w:rFonts w:ascii="Book Antiqua" w:eastAsia="Book Antiqua" w:hAnsi="Book Antiqua" w:cs="Book Antiqua"/>
          <w:color w:val="000000"/>
        </w:rPr>
        <w:t xml:space="preserve">, Dorado J, </w:t>
      </w:r>
      <w:proofErr w:type="spellStart"/>
      <w:r>
        <w:rPr>
          <w:rFonts w:ascii="Book Antiqua" w:eastAsia="Book Antiqua" w:hAnsi="Book Antiqua" w:cs="Book Antiqua"/>
          <w:color w:val="000000"/>
        </w:rPr>
        <w:t>Lonardo</w:t>
      </w:r>
      <w:proofErr w:type="spellEnd"/>
      <w:r>
        <w:rPr>
          <w:rFonts w:ascii="Book Antiqua" w:eastAsia="Book Antiqua" w:hAnsi="Book Antiqua" w:cs="Book Antiqua"/>
          <w:color w:val="000000"/>
        </w:rPr>
        <w:t xml:space="preserve"> E, Alcala S, Serrano AG, Clausell-</w:t>
      </w:r>
      <w:proofErr w:type="spellStart"/>
      <w:r>
        <w:rPr>
          <w:rFonts w:ascii="Book Antiqua" w:eastAsia="Book Antiqua" w:hAnsi="Book Antiqua" w:cs="Book Antiqua"/>
          <w:color w:val="000000"/>
        </w:rPr>
        <w:t>Tormos</w:t>
      </w:r>
      <w:proofErr w:type="spellEnd"/>
      <w:r>
        <w:rPr>
          <w:rFonts w:ascii="Book Antiqua" w:eastAsia="Book Antiqua" w:hAnsi="Book Antiqua" w:cs="Book Antiqua"/>
          <w:color w:val="000000"/>
        </w:rPr>
        <w:t xml:space="preserve"> J, Cioffi M, </w:t>
      </w:r>
      <w:proofErr w:type="spellStart"/>
      <w:r>
        <w:rPr>
          <w:rFonts w:ascii="Book Antiqua" w:eastAsia="Book Antiqua" w:hAnsi="Book Antiqua" w:cs="Book Antiqua"/>
          <w:color w:val="000000"/>
        </w:rPr>
        <w:t>Megias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Zagorac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Balic</w:t>
      </w:r>
      <w:proofErr w:type="spellEnd"/>
      <w:r>
        <w:rPr>
          <w:rFonts w:ascii="Book Antiqua" w:eastAsia="Book Antiqua" w:hAnsi="Book Antiqua" w:cs="Book Antiqua"/>
          <w:color w:val="000000"/>
        </w:rPr>
        <w:t xml:space="preserve"> A, Hidalgo M, Erkan M, </w:t>
      </w:r>
      <w:proofErr w:type="spellStart"/>
      <w:r>
        <w:rPr>
          <w:rFonts w:ascii="Book Antiqua" w:eastAsia="Book Antiqua" w:hAnsi="Book Antiqua" w:cs="Book Antiqua"/>
          <w:color w:val="000000"/>
        </w:rPr>
        <w:t>Kleeff</w:t>
      </w:r>
      <w:proofErr w:type="spellEnd"/>
      <w:r>
        <w:rPr>
          <w:rFonts w:ascii="Book Antiqua" w:eastAsia="Book Antiqua" w:hAnsi="Book Antiqua" w:cs="Book Antiqua"/>
          <w:color w:val="000000"/>
        </w:rPr>
        <w:t xml:space="preserve"> J, Scarpa A,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Intracellular autofluorescence: a biomarker for epithelial cancer stem cells. </w:t>
      </w:r>
      <w:r>
        <w:rPr>
          <w:rFonts w:ascii="Book Antiqua" w:eastAsia="Book Antiqua" w:hAnsi="Book Antiqua" w:cs="Book Antiqua"/>
          <w:i/>
          <w:iCs/>
          <w:color w:val="000000"/>
        </w:rPr>
        <w:t>Nat Methods</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1161-1169 [PMID: 25262208 DOI: 10.1038/nmeth.3112]</w:t>
      </w:r>
    </w:p>
    <w:p w14:paraId="3C8D5470" w14:textId="77777777" w:rsidR="00A77B3E" w:rsidRDefault="0063365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Sancho P</w:t>
      </w:r>
      <w:r>
        <w:rPr>
          <w:rFonts w:ascii="Book Antiqua" w:eastAsia="Book Antiqua" w:hAnsi="Book Antiqua" w:cs="Book Antiqua"/>
          <w:color w:val="000000"/>
        </w:rPr>
        <w:t xml:space="preserve">, Burgos-Ramos E, Tavera A, </w:t>
      </w:r>
      <w:proofErr w:type="spellStart"/>
      <w:r>
        <w:rPr>
          <w:rFonts w:ascii="Book Antiqua" w:eastAsia="Book Antiqua" w:hAnsi="Book Antiqua" w:cs="Book Antiqua"/>
          <w:color w:val="000000"/>
        </w:rPr>
        <w:t>Bou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Kheir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Schoenhals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Barneda</w:t>
      </w:r>
      <w:proofErr w:type="spellEnd"/>
      <w:r>
        <w:rPr>
          <w:rFonts w:ascii="Book Antiqua" w:eastAsia="Book Antiqua" w:hAnsi="Book Antiqua" w:cs="Book Antiqua"/>
          <w:color w:val="000000"/>
        </w:rPr>
        <w:t xml:space="preserve"> D, Sellers K, Campos-Olivas R, </w:t>
      </w:r>
      <w:proofErr w:type="spellStart"/>
      <w:r>
        <w:rPr>
          <w:rFonts w:ascii="Book Antiqua" w:eastAsia="Book Antiqua" w:hAnsi="Book Antiqua" w:cs="Book Antiqua"/>
          <w:color w:val="000000"/>
        </w:rPr>
        <w:t>Graña</w:t>
      </w:r>
      <w:proofErr w:type="spellEnd"/>
      <w:r>
        <w:rPr>
          <w:rFonts w:ascii="Book Antiqua" w:eastAsia="Book Antiqua" w:hAnsi="Book Antiqua" w:cs="Book Antiqua"/>
          <w:color w:val="000000"/>
        </w:rPr>
        <w:t xml:space="preserve"> O, Viera CR, </w:t>
      </w:r>
      <w:proofErr w:type="spellStart"/>
      <w:r>
        <w:rPr>
          <w:rFonts w:ascii="Book Antiqua" w:eastAsia="Book Antiqua" w:hAnsi="Book Antiqua" w:cs="Book Antiqua"/>
          <w:color w:val="000000"/>
        </w:rPr>
        <w:t>Yuneva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MYC/PGC-1α Balance Determines the Metabolic Phenotype and Plasticity of Pancreatic Cancer Stem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590-605 [PMID: 26365176 DOI: 10.1016/j.cmet.2015.08.015]</w:t>
      </w:r>
    </w:p>
    <w:p w14:paraId="14ED2AF3" w14:textId="77777777" w:rsidR="00A77B3E" w:rsidRDefault="0063365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Sancho P</w:t>
      </w:r>
      <w:r>
        <w:rPr>
          <w:rFonts w:ascii="Book Antiqua" w:eastAsia="Book Antiqua" w:hAnsi="Book Antiqua" w:cs="Book Antiqua"/>
          <w:color w:val="000000"/>
        </w:rPr>
        <w:t xml:space="preserve">, Alcala S, </w:t>
      </w:r>
      <w:proofErr w:type="spellStart"/>
      <w:r>
        <w:rPr>
          <w:rFonts w:ascii="Book Antiqua" w:eastAsia="Book Antiqua" w:hAnsi="Book Antiqua" w:cs="Book Antiqua"/>
          <w:color w:val="000000"/>
        </w:rPr>
        <w:t>Usachov</w:t>
      </w:r>
      <w:proofErr w:type="spellEnd"/>
      <w:r>
        <w:rPr>
          <w:rFonts w:ascii="Book Antiqua" w:eastAsia="Book Antiqua" w:hAnsi="Book Antiqua" w:cs="Book Antiqua"/>
          <w:color w:val="000000"/>
        </w:rPr>
        <w:t xml:space="preserve"> V, Hermann PC,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The ever-changing landscape of pancreatic cancer stem cells.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489-496 [PMID: 27161173 DOI: 10.1016/j.pan.2016.04.004]</w:t>
      </w:r>
    </w:p>
    <w:p w14:paraId="69957315" w14:textId="77777777" w:rsidR="00A77B3E" w:rsidRDefault="0063365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Lonardo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Hermann PC,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Pancreatic cancer stem cells - update and future perspectives.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431-442 [PMID: 20580623 DOI: 10.1016/j.molonc.2010.06.002]</w:t>
      </w:r>
    </w:p>
    <w:p w14:paraId="256CDF6C" w14:textId="77777777" w:rsidR="00A77B3E" w:rsidRDefault="0063365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Cioffi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Trabulo</w:t>
      </w:r>
      <w:proofErr w:type="spellEnd"/>
      <w:r>
        <w:rPr>
          <w:rFonts w:ascii="Book Antiqua" w:eastAsia="Book Antiqua" w:hAnsi="Book Antiqua" w:cs="Book Antiqua"/>
          <w:color w:val="000000"/>
        </w:rPr>
        <w:t xml:space="preserve"> SM, Sanchez-Ripoll Y, Miranda-Lorenzo I, </w:t>
      </w:r>
      <w:proofErr w:type="spellStart"/>
      <w:r>
        <w:rPr>
          <w:rFonts w:ascii="Book Antiqua" w:eastAsia="Book Antiqua" w:hAnsi="Book Antiqua" w:cs="Book Antiqua"/>
          <w:color w:val="000000"/>
        </w:rPr>
        <w:t>Lonardo</w:t>
      </w:r>
      <w:proofErr w:type="spellEnd"/>
      <w:r>
        <w:rPr>
          <w:rFonts w:ascii="Book Antiqua" w:eastAsia="Book Antiqua" w:hAnsi="Book Antiqua" w:cs="Book Antiqua"/>
          <w:color w:val="000000"/>
        </w:rPr>
        <w:t xml:space="preserve"> E, Dorado J, Reis Vieira C, Ramirez JC, Hidalgo M, </w:t>
      </w:r>
      <w:proofErr w:type="spellStart"/>
      <w:r>
        <w:rPr>
          <w:rFonts w:ascii="Book Antiqua" w:eastAsia="Book Antiqua" w:hAnsi="Book Antiqua" w:cs="Book Antiqua"/>
          <w:color w:val="000000"/>
        </w:rPr>
        <w:t>Aicher</w:t>
      </w:r>
      <w:proofErr w:type="spellEnd"/>
      <w:r>
        <w:rPr>
          <w:rFonts w:ascii="Book Antiqua" w:eastAsia="Book Antiqua" w:hAnsi="Book Antiqua" w:cs="Book Antiqua"/>
          <w:color w:val="000000"/>
        </w:rPr>
        <w:t xml:space="preserve"> A, Hahn S,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B Jr,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The miR-17-92 cluster counteracts quiescence and chemoresistance in a distinct subpopulation of pancreatic cancer stem cells.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1936-1948 [PMID: 25887381 DOI: 10.1136/gutjnl-2014-308470]</w:t>
      </w:r>
    </w:p>
    <w:p w14:paraId="5CC3F033" w14:textId="77777777" w:rsidR="00A77B3E" w:rsidRDefault="0063365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Zhou D</w:t>
      </w:r>
      <w:r>
        <w:rPr>
          <w:rFonts w:ascii="Book Antiqua" w:eastAsia="Book Antiqua" w:hAnsi="Book Antiqua" w:cs="Book Antiqua"/>
          <w:color w:val="000000"/>
        </w:rPr>
        <w:t xml:space="preserve">, Shao L, Spitz DR. Reactive oxygen species in normal and tumor stem cells. </w:t>
      </w:r>
      <w:r>
        <w:rPr>
          <w:rFonts w:ascii="Book Antiqua" w:eastAsia="Book Antiqua" w:hAnsi="Book Antiqua" w:cs="Book Antiqua"/>
          <w:i/>
          <w:iCs/>
          <w:color w:val="000000"/>
        </w:rPr>
        <w:t>Adv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122</w:t>
      </w:r>
      <w:r>
        <w:rPr>
          <w:rFonts w:ascii="Book Antiqua" w:eastAsia="Book Antiqua" w:hAnsi="Book Antiqua" w:cs="Book Antiqua"/>
          <w:color w:val="000000"/>
        </w:rPr>
        <w:t>: 1-67 [PMID: 24974178 DOI: 10.1016/B978-0-12-420117-0.00001-3]</w:t>
      </w:r>
    </w:p>
    <w:p w14:paraId="63E2B6AE" w14:textId="77777777" w:rsidR="00A77B3E" w:rsidRDefault="0063365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Sancho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Barneda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Hallmarks of cancer stem cell metabolism.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114</w:t>
      </w:r>
      <w:r>
        <w:rPr>
          <w:rFonts w:ascii="Book Antiqua" w:eastAsia="Book Antiqua" w:hAnsi="Book Antiqua" w:cs="Book Antiqua"/>
          <w:color w:val="000000"/>
        </w:rPr>
        <w:t>: 1305-1312 [PMID: 27219018 DOI: 10.1038/bjc.2016.152]</w:t>
      </w:r>
    </w:p>
    <w:p w14:paraId="0B872F78" w14:textId="77777777" w:rsidR="00A77B3E" w:rsidRDefault="0063365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Diehn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Cho RW, Lobo NA, </w:t>
      </w:r>
      <w:proofErr w:type="spellStart"/>
      <w:r>
        <w:rPr>
          <w:rFonts w:ascii="Book Antiqua" w:eastAsia="Book Antiqua" w:hAnsi="Book Antiqua" w:cs="Book Antiqua"/>
          <w:color w:val="000000"/>
        </w:rPr>
        <w:t>Kalisky</w:t>
      </w:r>
      <w:proofErr w:type="spellEnd"/>
      <w:r>
        <w:rPr>
          <w:rFonts w:ascii="Book Antiqua" w:eastAsia="Book Antiqua" w:hAnsi="Book Antiqua" w:cs="Book Antiqua"/>
          <w:color w:val="000000"/>
        </w:rPr>
        <w:t xml:space="preserve"> T, Dorie MJ, </w:t>
      </w:r>
      <w:proofErr w:type="spellStart"/>
      <w:r>
        <w:rPr>
          <w:rFonts w:ascii="Book Antiqua" w:eastAsia="Book Antiqua" w:hAnsi="Book Antiqua" w:cs="Book Antiqua"/>
          <w:color w:val="000000"/>
        </w:rPr>
        <w:t>Kulp</w:t>
      </w:r>
      <w:proofErr w:type="spellEnd"/>
      <w:r>
        <w:rPr>
          <w:rFonts w:ascii="Book Antiqua" w:eastAsia="Book Antiqua" w:hAnsi="Book Antiqua" w:cs="Book Antiqua"/>
          <w:color w:val="000000"/>
        </w:rPr>
        <w:t xml:space="preserve"> AN, Qian D, Lam JS, </w:t>
      </w:r>
      <w:proofErr w:type="spellStart"/>
      <w:r>
        <w:rPr>
          <w:rFonts w:ascii="Book Antiqua" w:eastAsia="Book Antiqua" w:hAnsi="Book Antiqua" w:cs="Book Antiqua"/>
          <w:color w:val="000000"/>
        </w:rPr>
        <w:t>Ailles</w:t>
      </w:r>
      <w:proofErr w:type="spellEnd"/>
      <w:r>
        <w:rPr>
          <w:rFonts w:ascii="Book Antiqua" w:eastAsia="Book Antiqua" w:hAnsi="Book Antiqua" w:cs="Book Antiqua"/>
          <w:color w:val="000000"/>
        </w:rPr>
        <w:t xml:space="preserve"> LE, Wong M, Joshua B, Kaplan MJ, </w:t>
      </w:r>
      <w:proofErr w:type="spellStart"/>
      <w:r>
        <w:rPr>
          <w:rFonts w:ascii="Book Antiqua" w:eastAsia="Book Antiqua" w:hAnsi="Book Antiqua" w:cs="Book Antiqua"/>
          <w:color w:val="000000"/>
        </w:rPr>
        <w:t>Wapnir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Dirbas</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Somlo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Garberoglio</w:t>
      </w:r>
      <w:proofErr w:type="spellEnd"/>
      <w:r>
        <w:rPr>
          <w:rFonts w:ascii="Book Antiqua" w:eastAsia="Book Antiqua" w:hAnsi="Book Antiqua" w:cs="Book Antiqua"/>
          <w:color w:val="000000"/>
        </w:rPr>
        <w:t xml:space="preserve"> C, Paz B, </w:t>
      </w:r>
      <w:r>
        <w:rPr>
          <w:rFonts w:ascii="Book Antiqua" w:eastAsia="Book Antiqua" w:hAnsi="Book Antiqua" w:cs="Book Antiqua"/>
          <w:color w:val="000000"/>
        </w:rPr>
        <w:lastRenderedPageBreak/>
        <w:t xml:space="preserve">Shen J, Lau SK, Quake SR, Brown JM, Weissman IL, Clarke MF. Association of reactive oxygen species levels and </w:t>
      </w:r>
      <w:proofErr w:type="spellStart"/>
      <w:r>
        <w:rPr>
          <w:rFonts w:ascii="Book Antiqua" w:eastAsia="Book Antiqua" w:hAnsi="Book Antiqua" w:cs="Book Antiqua"/>
          <w:color w:val="000000"/>
        </w:rPr>
        <w:t>radioresistance</w:t>
      </w:r>
      <w:proofErr w:type="spellEnd"/>
      <w:r>
        <w:rPr>
          <w:rFonts w:ascii="Book Antiqua" w:eastAsia="Book Antiqua" w:hAnsi="Book Antiqua" w:cs="Book Antiqua"/>
          <w:color w:val="000000"/>
        </w:rPr>
        <w:t xml:space="preserve"> in cancer stem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458</w:t>
      </w:r>
      <w:r>
        <w:rPr>
          <w:rFonts w:ascii="Book Antiqua" w:eastAsia="Book Antiqua" w:hAnsi="Book Antiqua" w:cs="Book Antiqua"/>
          <w:color w:val="000000"/>
        </w:rPr>
        <w:t>: 780-783 [PMID: 19194462 DOI: 10.1038/nature07733]</w:t>
      </w:r>
    </w:p>
    <w:p w14:paraId="5C34C48A" w14:textId="77777777" w:rsidR="00A77B3E" w:rsidRDefault="0063365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Ishimoto T</w:t>
      </w:r>
      <w:r>
        <w:rPr>
          <w:rFonts w:ascii="Book Antiqua" w:eastAsia="Book Antiqua" w:hAnsi="Book Antiqua" w:cs="Book Antiqua"/>
          <w:color w:val="000000"/>
        </w:rPr>
        <w:t xml:space="preserve">, Nagano O, </w:t>
      </w:r>
      <w:proofErr w:type="spellStart"/>
      <w:r>
        <w:rPr>
          <w:rFonts w:ascii="Book Antiqua" w:eastAsia="Book Antiqua" w:hAnsi="Book Antiqua" w:cs="Book Antiqua"/>
          <w:color w:val="000000"/>
        </w:rPr>
        <w:t>Yae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Tamada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Motohara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Ikeda T, </w:t>
      </w:r>
      <w:proofErr w:type="spellStart"/>
      <w:r>
        <w:rPr>
          <w:rFonts w:ascii="Book Antiqua" w:eastAsia="Book Antiqua" w:hAnsi="Book Antiqua" w:cs="Book Antiqua"/>
          <w:color w:val="000000"/>
        </w:rPr>
        <w:t>Asaba</w:t>
      </w:r>
      <w:proofErr w:type="spellEnd"/>
      <w:r>
        <w:rPr>
          <w:rFonts w:ascii="Book Antiqua" w:eastAsia="Book Antiqua" w:hAnsi="Book Antiqua" w:cs="Book Antiqua"/>
          <w:color w:val="000000"/>
        </w:rPr>
        <w:t xml:space="preserve"> R, Yagi H, </w:t>
      </w:r>
      <w:proofErr w:type="spellStart"/>
      <w:r>
        <w:rPr>
          <w:rFonts w:ascii="Book Antiqua" w:eastAsia="Book Antiqua" w:hAnsi="Book Antiqua" w:cs="Book Antiqua"/>
          <w:color w:val="000000"/>
        </w:rPr>
        <w:t>Masuko</w:t>
      </w:r>
      <w:proofErr w:type="spellEnd"/>
      <w:r>
        <w:rPr>
          <w:rFonts w:ascii="Book Antiqua" w:eastAsia="Book Antiqua" w:hAnsi="Book Antiqua" w:cs="Book Antiqua"/>
          <w:color w:val="000000"/>
        </w:rPr>
        <w:t xml:space="preserve"> T, Shimizu T, Ishikawa T, Kai K, Takahashi E, Imamura Y, Baba Y, Ohmura M, Suematsu M, Baba H, Saya H. CD44 variant regulates redox status in cancer cells by stabilizing the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subunit of system xc(-) and thereby promotes tumor growth.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387-400 [PMID: 21397861 DOI: 10.1016/j.ccr.2011.01.038]</w:t>
      </w:r>
    </w:p>
    <w:p w14:paraId="6F64D9F1" w14:textId="77777777" w:rsidR="00A77B3E" w:rsidRDefault="0063365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Chang CW</w:t>
      </w:r>
      <w:r>
        <w:rPr>
          <w:rFonts w:ascii="Book Antiqua" w:eastAsia="Book Antiqua" w:hAnsi="Book Antiqua" w:cs="Book Antiqua"/>
          <w:color w:val="000000"/>
        </w:rPr>
        <w:t xml:space="preserve">, Chen YS, Chou SH, Han CL, Chen YJ, Yang CC, Huang CY, Lo JF. Distinct subpopulations of head and neck cancer cells with different levels of intracellular reactive oxygen species exhibit diverse stemness, proliferation, and chemosensitivity.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74</w:t>
      </w:r>
      <w:r>
        <w:rPr>
          <w:rFonts w:ascii="Book Antiqua" w:eastAsia="Book Antiqua" w:hAnsi="Book Antiqua" w:cs="Book Antiqua"/>
          <w:color w:val="000000"/>
        </w:rPr>
        <w:t>: 6291-6305 [PMID: 25217518 DOI: 10.1158/0008-5472.CAN-14-0626]</w:t>
      </w:r>
    </w:p>
    <w:p w14:paraId="0B09DD67" w14:textId="7C8332E8" w:rsidR="00A77B3E" w:rsidRDefault="0063365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Jagust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Luxán</w:t>
      </w:r>
      <w:proofErr w:type="spellEnd"/>
      <w:r>
        <w:rPr>
          <w:rFonts w:ascii="Book Antiqua" w:eastAsia="Book Antiqua" w:hAnsi="Book Antiqua" w:cs="Book Antiqua"/>
          <w:color w:val="000000"/>
        </w:rPr>
        <w:t xml:space="preserve">-Delgado B, Parejo-Alonso B, Sancho P. Metabolism-Based Therapeutic Strategies Targeting Cancer Stem Cells.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xml:space="preserve">: 203 [PMID: 30967773 DOI: </w:t>
      </w:r>
      <w:r w:rsidR="00442EE9" w:rsidRPr="00442EE9">
        <w:rPr>
          <w:rFonts w:ascii="Book Antiqua" w:eastAsia="Book Antiqua" w:hAnsi="Book Antiqua" w:cs="Book Antiqua"/>
          <w:color w:val="000000"/>
        </w:rPr>
        <w:t>10.3389/fphar.2019.00203</w:t>
      </w:r>
      <w:r>
        <w:rPr>
          <w:rFonts w:ascii="Book Antiqua" w:eastAsia="Book Antiqua" w:hAnsi="Book Antiqua" w:cs="Book Antiqua"/>
          <w:color w:val="000000"/>
        </w:rPr>
        <w:t>]</w:t>
      </w:r>
    </w:p>
    <w:p w14:paraId="147F6CCC" w14:textId="77777777" w:rsidR="00A77B3E" w:rsidRDefault="0063365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Calabrese G</w:t>
      </w:r>
      <w:r>
        <w:rPr>
          <w:rFonts w:ascii="Book Antiqua" w:eastAsia="Book Antiqua" w:hAnsi="Book Antiqua" w:cs="Book Antiqua"/>
          <w:color w:val="000000"/>
        </w:rPr>
        <w:t xml:space="preserve">, Morgan B, Riemer J. Mitochondrial Glutathione: Regulation and Functions.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1162-1177 [PMID: 28558477 DOI: 10.1089/ars.2017.7121]</w:t>
      </w:r>
    </w:p>
    <w:p w14:paraId="777D804F" w14:textId="77777777" w:rsidR="00A77B3E" w:rsidRDefault="0063365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Yoon JH, Lim J, Shin JW, Cho AY,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 Lee KB, Lee JH, Lee WJ, Kim HJ, Son YH, Lee SJ, Cho SY, Shin DM, Choi K, Kim IG. Real-Time Monitoring of Glutathione in Living Cells Reveals that High Glutathione Levels Are Required to Maintain Stem Cell Function.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600-614 [PMID: 29307581 DOI: 10.1016/j.stemcr.2017.12.007]</w:t>
      </w:r>
    </w:p>
    <w:p w14:paraId="24B04B5D" w14:textId="77777777" w:rsidR="00A77B3E" w:rsidRDefault="0063365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Haraguchi</w:t>
      </w:r>
      <w:proofErr w:type="spellEnd"/>
      <w:r>
        <w:rPr>
          <w:rFonts w:ascii="Book Antiqua" w:eastAsia="Book Antiqua" w:hAnsi="Book Antiqua" w:cs="Book Antiqua"/>
          <w:color w:val="000000"/>
        </w:rPr>
        <w:t xml:space="preserve"> N, Ishii H, </w:t>
      </w:r>
      <w:proofErr w:type="spellStart"/>
      <w:r>
        <w:rPr>
          <w:rFonts w:ascii="Book Antiqua" w:eastAsia="Book Antiqua" w:hAnsi="Book Antiqua" w:cs="Book Antiqua"/>
          <w:color w:val="000000"/>
        </w:rPr>
        <w:t>Ohkuma</w:t>
      </w:r>
      <w:proofErr w:type="spellEnd"/>
      <w:r>
        <w:rPr>
          <w:rFonts w:ascii="Book Antiqua" w:eastAsia="Book Antiqua" w:hAnsi="Book Antiqua" w:cs="Book Antiqua"/>
          <w:color w:val="000000"/>
        </w:rPr>
        <w:t xml:space="preserve"> M, Okano M, </w:t>
      </w:r>
      <w:proofErr w:type="spellStart"/>
      <w:r>
        <w:rPr>
          <w:rFonts w:ascii="Book Antiqua" w:eastAsia="Book Antiqua" w:hAnsi="Book Antiqua" w:cs="Book Antiqua"/>
          <w:color w:val="000000"/>
        </w:rPr>
        <w:t>Mimori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Yamamoto H, Nagano H, Sekimoto M,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Y, Mori M. Increased CD13 expression reduces reactive oxygen species, promoting survival of liver cancer stem cells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an </w:t>
      </w:r>
      <w:r>
        <w:rPr>
          <w:rFonts w:ascii="Book Antiqua" w:eastAsia="Book Antiqua" w:hAnsi="Book Antiqua" w:cs="Book Antiqua"/>
          <w:color w:val="000000"/>
        </w:rPr>
        <w:lastRenderedPageBreak/>
        <w:t xml:space="preserve">epithelial-mesenchymal transition-like phenomenon.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 Suppl 3</w:t>
      </w:r>
      <w:r>
        <w:rPr>
          <w:rFonts w:ascii="Book Antiqua" w:eastAsia="Book Antiqua" w:hAnsi="Book Antiqua" w:cs="Book Antiqua"/>
          <w:color w:val="000000"/>
        </w:rPr>
        <w:t>: S539-S548 [PMID: 21879266 DOI: 10.1245/s10434-011-2040-5]</w:t>
      </w:r>
    </w:p>
    <w:p w14:paraId="1A480195" w14:textId="77777777" w:rsidR="00A77B3E" w:rsidRDefault="0063365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Harris IS</w:t>
      </w:r>
      <w:r>
        <w:rPr>
          <w:rFonts w:ascii="Book Antiqua" w:eastAsia="Book Antiqua" w:hAnsi="Book Antiqua" w:cs="Book Antiqua"/>
          <w:color w:val="000000"/>
        </w:rPr>
        <w:t xml:space="preserve">, Treloar AE, Inoue S, Sasaki M, </w:t>
      </w:r>
      <w:proofErr w:type="spellStart"/>
      <w:r>
        <w:rPr>
          <w:rFonts w:ascii="Book Antiqua" w:eastAsia="Book Antiqua" w:hAnsi="Book Antiqua" w:cs="Book Antiqua"/>
          <w:color w:val="000000"/>
        </w:rPr>
        <w:t>Gorrini</w:t>
      </w:r>
      <w:proofErr w:type="spellEnd"/>
      <w:r>
        <w:rPr>
          <w:rFonts w:ascii="Book Antiqua" w:eastAsia="Book Antiqua" w:hAnsi="Book Antiqua" w:cs="Book Antiqua"/>
          <w:color w:val="000000"/>
        </w:rPr>
        <w:t xml:space="preserve"> C, Lee KC, Yung KY, Brenner D, </w:t>
      </w:r>
      <w:proofErr w:type="spellStart"/>
      <w:r>
        <w:rPr>
          <w:rFonts w:ascii="Book Antiqua" w:eastAsia="Book Antiqua" w:hAnsi="Book Antiqua" w:cs="Book Antiqua"/>
          <w:color w:val="000000"/>
        </w:rPr>
        <w:t>Knobbe</w:t>
      </w:r>
      <w:proofErr w:type="spellEnd"/>
      <w:r>
        <w:rPr>
          <w:rFonts w:ascii="Book Antiqua" w:eastAsia="Book Antiqua" w:hAnsi="Book Antiqua" w:cs="Book Antiqua"/>
          <w:color w:val="000000"/>
        </w:rPr>
        <w:t xml:space="preserve">-Thomsen CB, Cox MA, Elia A, Berger T,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DW, Adeoye A, </w:t>
      </w:r>
      <w:proofErr w:type="spellStart"/>
      <w:r>
        <w:rPr>
          <w:rFonts w:ascii="Book Antiqua" w:eastAsia="Book Antiqua" w:hAnsi="Book Antiqua" w:cs="Book Antiqua"/>
          <w:color w:val="000000"/>
        </w:rPr>
        <w:t>Brüstle</w:t>
      </w:r>
      <w:proofErr w:type="spellEnd"/>
      <w:r>
        <w:rPr>
          <w:rFonts w:ascii="Book Antiqua" w:eastAsia="Book Antiqua" w:hAnsi="Book Antiqua" w:cs="Book Antiqua"/>
          <w:color w:val="000000"/>
        </w:rPr>
        <w:t xml:space="preserve"> A, Molyneux SD, Mason JM, Li WY, Yamamoto K, </w:t>
      </w:r>
      <w:proofErr w:type="spellStart"/>
      <w:r>
        <w:rPr>
          <w:rFonts w:ascii="Book Antiqua" w:eastAsia="Book Antiqua" w:hAnsi="Book Antiqua" w:cs="Book Antiqua"/>
          <w:color w:val="000000"/>
        </w:rPr>
        <w:t>Wakeham</w:t>
      </w:r>
      <w:proofErr w:type="spellEnd"/>
      <w:r>
        <w:rPr>
          <w:rFonts w:ascii="Book Antiqua" w:eastAsia="Book Antiqua" w:hAnsi="Book Antiqua" w:cs="Book Antiqua"/>
          <w:color w:val="000000"/>
        </w:rPr>
        <w:t xml:space="preserve"> A, Berman HK, </w:t>
      </w:r>
      <w:proofErr w:type="spellStart"/>
      <w:r>
        <w:rPr>
          <w:rFonts w:ascii="Book Antiqua" w:eastAsia="Book Antiqua" w:hAnsi="Book Antiqua" w:cs="Book Antiqua"/>
          <w:color w:val="000000"/>
        </w:rPr>
        <w:t>Khokha</w:t>
      </w:r>
      <w:proofErr w:type="spellEnd"/>
      <w:r>
        <w:rPr>
          <w:rFonts w:ascii="Book Antiqua" w:eastAsia="Book Antiqua" w:hAnsi="Book Antiqua" w:cs="Book Antiqua"/>
          <w:color w:val="000000"/>
        </w:rPr>
        <w:t xml:space="preserve"> R, Done SJ, Kavanagh TJ, Lam CW,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Glutathione and thioredoxin antioxidant pathways synergize to drive cancer initiation and progression.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211-222 [PMID: 25620030 DOI: 10.1016/j.ccell.2014.11.019]</w:t>
      </w:r>
    </w:p>
    <w:p w14:paraId="57717FF4" w14:textId="77777777" w:rsidR="00A77B3E" w:rsidRPr="00214F32" w:rsidRDefault="0063365C">
      <w:pPr>
        <w:spacing w:line="360" w:lineRule="auto"/>
        <w:jc w:val="both"/>
        <w:rPr>
          <w:lang w:val="es-ES"/>
        </w:rPr>
      </w:pPr>
      <w:r>
        <w:rPr>
          <w:rFonts w:ascii="Book Antiqua" w:eastAsia="Book Antiqua" w:hAnsi="Book Antiqua" w:cs="Book Antiqua"/>
          <w:color w:val="000000"/>
        </w:rPr>
        <w:t xml:space="preserve">21 </w:t>
      </w:r>
      <w:r>
        <w:rPr>
          <w:rFonts w:ascii="Book Antiqua" w:eastAsia="Book Antiqua" w:hAnsi="Book Antiqua" w:cs="Book Antiqua"/>
          <w:b/>
          <w:bCs/>
          <w:color w:val="000000"/>
        </w:rPr>
        <w:t>Obrador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Carretero</w:t>
      </w:r>
      <w:proofErr w:type="spellEnd"/>
      <w:r>
        <w:rPr>
          <w:rFonts w:ascii="Book Antiqua" w:eastAsia="Book Antiqua" w:hAnsi="Book Antiqua" w:cs="Book Antiqua"/>
          <w:color w:val="000000"/>
        </w:rPr>
        <w:t xml:space="preserve"> J, Ortega A, Medina I, </w:t>
      </w:r>
      <w:proofErr w:type="spellStart"/>
      <w:r>
        <w:rPr>
          <w:rFonts w:ascii="Book Antiqua" w:eastAsia="Book Antiqua" w:hAnsi="Book Antiqua" w:cs="Book Antiqua"/>
          <w:color w:val="000000"/>
        </w:rPr>
        <w:t>Rodilla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Pellicer</w:t>
      </w:r>
      <w:proofErr w:type="spellEnd"/>
      <w:r>
        <w:rPr>
          <w:rFonts w:ascii="Book Antiqua" w:eastAsia="Book Antiqua" w:hAnsi="Book Antiqua" w:cs="Book Antiqua"/>
          <w:color w:val="000000"/>
        </w:rPr>
        <w:t xml:space="preserve"> JA, Estrela JM. gamma-Glutamyl transpeptidase overexpression increases metastatic growth of B16 melanoma cells in the mouse liver. </w:t>
      </w:r>
      <w:r w:rsidRPr="00214F32">
        <w:rPr>
          <w:rFonts w:ascii="Book Antiqua" w:eastAsia="Book Antiqua" w:hAnsi="Book Antiqua" w:cs="Book Antiqua"/>
          <w:i/>
          <w:iCs/>
          <w:color w:val="000000"/>
          <w:lang w:val="es-ES"/>
        </w:rPr>
        <w:t>Hepatology</w:t>
      </w:r>
      <w:r w:rsidRPr="00214F32">
        <w:rPr>
          <w:rFonts w:ascii="Book Antiqua" w:eastAsia="Book Antiqua" w:hAnsi="Book Antiqua" w:cs="Book Antiqua"/>
          <w:color w:val="000000"/>
          <w:lang w:val="es-ES"/>
        </w:rPr>
        <w:t xml:space="preserve"> 2002; </w:t>
      </w:r>
      <w:r w:rsidRPr="00214F32">
        <w:rPr>
          <w:rFonts w:ascii="Book Antiqua" w:eastAsia="Book Antiqua" w:hAnsi="Book Antiqua" w:cs="Book Antiqua"/>
          <w:b/>
          <w:bCs/>
          <w:color w:val="000000"/>
          <w:lang w:val="es-ES"/>
        </w:rPr>
        <w:t>35</w:t>
      </w:r>
      <w:r w:rsidRPr="00214F32">
        <w:rPr>
          <w:rFonts w:ascii="Book Antiqua" w:eastAsia="Book Antiqua" w:hAnsi="Book Antiqua" w:cs="Book Antiqua"/>
          <w:color w:val="000000"/>
          <w:lang w:val="es-ES"/>
        </w:rPr>
        <w:t>: 74-81 [PMID: 11786961 DOI: 10.1053/jhep.2002.30277]</w:t>
      </w:r>
    </w:p>
    <w:p w14:paraId="384690C7" w14:textId="77777777" w:rsidR="00A77B3E" w:rsidRDefault="0063365C">
      <w:pPr>
        <w:spacing w:line="360" w:lineRule="auto"/>
        <w:jc w:val="both"/>
      </w:pPr>
      <w:r w:rsidRPr="00214F32">
        <w:rPr>
          <w:rFonts w:ascii="Book Antiqua" w:eastAsia="Book Antiqua" w:hAnsi="Book Antiqua" w:cs="Book Antiqua"/>
          <w:color w:val="000000"/>
          <w:lang w:val="es-ES"/>
        </w:rPr>
        <w:t xml:space="preserve">22 </w:t>
      </w:r>
      <w:r w:rsidRPr="00214F32">
        <w:rPr>
          <w:rFonts w:ascii="Book Antiqua" w:eastAsia="Book Antiqua" w:hAnsi="Book Antiqua" w:cs="Book Antiqua"/>
          <w:b/>
          <w:bCs/>
          <w:color w:val="000000"/>
          <w:lang w:val="es-ES"/>
        </w:rPr>
        <w:t>Obrador E</w:t>
      </w:r>
      <w:r w:rsidRPr="00214F32">
        <w:rPr>
          <w:rFonts w:ascii="Book Antiqua" w:eastAsia="Book Antiqua" w:hAnsi="Book Antiqua" w:cs="Book Antiqua"/>
          <w:color w:val="000000"/>
          <w:lang w:val="es-ES"/>
        </w:rPr>
        <w:t xml:space="preserve">, Benlloch M, Pellicer JA, Asensi M, Estrela JM. </w:t>
      </w:r>
      <w:proofErr w:type="spellStart"/>
      <w:r>
        <w:rPr>
          <w:rFonts w:ascii="Book Antiqua" w:eastAsia="Book Antiqua" w:hAnsi="Book Antiqua" w:cs="Book Antiqua"/>
          <w:color w:val="000000"/>
        </w:rPr>
        <w:t>Intertissue</w:t>
      </w:r>
      <w:proofErr w:type="spellEnd"/>
      <w:r>
        <w:rPr>
          <w:rFonts w:ascii="Book Antiqua" w:eastAsia="Book Antiqua" w:hAnsi="Book Antiqua" w:cs="Book Antiqua"/>
          <w:color w:val="000000"/>
        </w:rPr>
        <w:t xml:space="preserve"> flow of glutathione (GSH) as a tumor growth-promoting mechanism: interleukin 6 induces GSH release from hepatocytes in metastatic B16 melanoma-bearing mice.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2011; </w:t>
      </w:r>
      <w:r>
        <w:rPr>
          <w:rFonts w:ascii="Book Antiqua" w:eastAsia="Book Antiqua" w:hAnsi="Book Antiqua" w:cs="Book Antiqua"/>
          <w:b/>
          <w:bCs/>
          <w:color w:val="000000"/>
        </w:rPr>
        <w:t>286</w:t>
      </w:r>
      <w:r>
        <w:rPr>
          <w:rFonts w:ascii="Book Antiqua" w:eastAsia="Book Antiqua" w:hAnsi="Book Antiqua" w:cs="Book Antiqua"/>
          <w:color w:val="000000"/>
        </w:rPr>
        <w:t>: 15716-15727 [PMID: 21393247 DOI: 10.1074/jbc.M110.196261]</w:t>
      </w:r>
    </w:p>
    <w:p w14:paraId="062CF3AB" w14:textId="77777777" w:rsidR="00A77B3E" w:rsidRDefault="0063365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Rocha CR</w:t>
      </w:r>
      <w:r>
        <w:rPr>
          <w:rFonts w:ascii="Book Antiqua" w:eastAsia="Book Antiqua" w:hAnsi="Book Antiqua" w:cs="Book Antiqua"/>
          <w:color w:val="000000"/>
        </w:rPr>
        <w:t xml:space="preserve">, Kajitani GS, Quinet A, Fortunato RS, </w:t>
      </w:r>
      <w:proofErr w:type="spellStart"/>
      <w:r>
        <w:rPr>
          <w:rFonts w:ascii="Book Antiqua" w:eastAsia="Book Antiqua" w:hAnsi="Book Antiqua" w:cs="Book Antiqua"/>
          <w:color w:val="000000"/>
        </w:rPr>
        <w:t>Menck</w:t>
      </w:r>
      <w:proofErr w:type="spellEnd"/>
      <w:r>
        <w:rPr>
          <w:rFonts w:ascii="Book Antiqua" w:eastAsia="Book Antiqua" w:hAnsi="Book Antiqua" w:cs="Book Antiqua"/>
          <w:color w:val="000000"/>
        </w:rPr>
        <w:t xml:space="preserve"> CF. NRF2 and glutathione are key resistance mediators to temozolomide in glioma and melanoma cells.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48081-48092 [PMID: 27344172 DOI: 10.18632/oncotarget.10129]</w:t>
      </w:r>
    </w:p>
    <w:p w14:paraId="058CA4A4" w14:textId="77777777" w:rsidR="00A77B3E" w:rsidRDefault="0063365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Mueller MT</w:t>
      </w:r>
      <w:r>
        <w:rPr>
          <w:rFonts w:ascii="Book Antiqua" w:eastAsia="Book Antiqua" w:hAnsi="Book Antiqua" w:cs="Book Antiqua"/>
          <w:color w:val="000000"/>
        </w:rPr>
        <w:t xml:space="preserve">, Hermann PC, </w:t>
      </w:r>
      <w:proofErr w:type="spellStart"/>
      <w:r>
        <w:rPr>
          <w:rFonts w:ascii="Book Antiqua" w:eastAsia="Book Antiqua" w:hAnsi="Book Antiqua" w:cs="Book Antiqua"/>
          <w:color w:val="000000"/>
        </w:rPr>
        <w:t>Witthauer</w:t>
      </w:r>
      <w:proofErr w:type="spellEnd"/>
      <w:r>
        <w:rPr>
          <w:rFonts w:ascii="Book Antiqua" w:eastAsia="Book Antiqua" w:hAnsi="Book Antiqua" w:cs="Book Antiqua"/>
          <w:color w:val="000000"/>
        </w:rPr>
        <w:t xml:space="preserve"> J, Rubio-</w:t>
      </w:r>
      <w:proofErr w:type="spellStart"/>
      <w:r>
        <w:rPr>
          <w:rFonts w:ascii="Book Antiqua" w:eastAsia="Book Antiqua" w:hAnsi="Book Antiqua" w:cs="Book Antiqua"/>
          <w:color w:val="000000"/>
        </w:rPr>
        <w:t>Viqueira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Leicht</w:t>
      </w:r>
      <w:proofErr w:type="spellEnd"/>
      <w:r>
        <w:rPr>
          <w:rFonts w:ascii="Book Antiqua" w:eastAsia="Book Antiqua" w:hAnsi="Book Antiqua" w:cs="Book Antiqua"/>
          <w:color w:val="000000"/>
        </w:rPr>
        <w:t xml:space="preserve"> SF, Huber S, </w:t>
      </w:r>
      <w:proofErr w:type="spellStart"/>
      <w:r>
        <w:rPr>
          <w:rFonts w:ascii="Book Antiqua" w:eastAsia="Book Antiqua" w:hAnsi="Book Antiqua" w:cs="Book Antiqua"/>
          <w:color w:val="000000"/>
        </w:rPr>
        <w:t>Ellwart</w:t>
      </w:r>
      <w:proofErr w:type="spellEnd"/>
      <w:r>
        <w:rPr>
          <w:rFonts w:ascii="Book Antiqua" w:eastAsia="Book Antiqua" w:hAnsi="Book Antiqua" w:cs="Book Antiqua"/>
          <w:color w:val="000000"/>
        </w:rPr>
        <w:t xml:space="preserve"> JW, Mustafa M, </w:t>
      </w:r>
      <w:proofErr w:type="spellStart"/>
      <w:r>
        <w:rPr>
          <w:rFonts w:ascii="Book Antiqua" w:eastAsia="Book Antiqua" w:hAnsi="Book Antiqua" w:cs="Book Antiqua"/>
          <w:color w:val="000000"/>
        </w:rPr>
        <w:t>Bartenstein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D'Haese</w:t>
      </w:r>
      <w:proofErr w:type="spellEnd"/>
      <w:r>
        <w:rPr>
          <w:rFonts w:ascii="Book Antiqua" w:eastAsia="Book Antiqua" w:hAnsi="Book Antiqua" w:cs="Book Antiqua"/>
          <w:color w:val="000000"/>
        </w:rPr>
        <w:t xml:space="preserve"> JG, Schoenberg MH, Berger F,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KW, Hidalgo M,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Combined targeted treatment to eliminate tumorigenic cancer stem cells in human pancreatic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1102-1113 [PMID: 19501590 DOI: 10.1053/j.gastro.2009.05.053]</w:t>
      </w:r>
    </w:p>
    <w:p w14:paraId="7F94DFEC" w14:textId="77777777" w:rsidR="00A77B3E" w:rsidRDefault="0063365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Gallmeier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Hermann PC, Mueller MT, Machado JG, </w:t>
      </w:r>
      <w:proofErr w:type="spellStart"/>
      <w:r>
        <w:rPr>
          <w:rFonts w:ascii="Book Antiqua" w:eastAsia="Book Antiqua" w:hAnsi="Book Antiqua" w:cs="Book Antiqua"/>
          <w:color w:val="000000"/>
        </w:rPr>
        <w:t>Ziesch</w:t>
      </w:r>
      <w:proofErr w:type="spellEnd"/>
      <w:r>
        <w:rPr>
          <w:rFonts w:ascii="Book Antiqua" w:eastAsia="Book Antiqua" w:hAnsi="Book Antiqua" w:cs="Book Antiqua"/>
          <w:color w:val="000000"/>
        </w:rPr>
        <w:t xml:space="preserve"> A, De Toni EN, </w:t>
      </w:r>
      <w:proofErr w:type="spellStart"/>
      <w:r>
        <w:rPr>
          <w:rFonts w:ascii="Book Antiqua" w:eastAsia="Book Antiqua" w:hAnsi="Book Antiqua" w:cs="Book Antiqua"/>
          <w:color w:val="000000"/>
        </w:rPr>
        <w:t>Palagyi</w:t>
      </w:r>
      <w:proofErr w:type="spellEnd"/>
      <w:r>
        <w:rPr>
          <w:rFonts w:ascii="Book Antiqua" w:eastAsia="Book Antiqua" w:hAnsi="Book Antiqua" w:cs="Book Antiqua"/>
          <w:color w:val="000000"/>
        </w:rPr>
        <w:t xml:space="preserve"> A, Eisen C, </w:t>
      </w:r>
      <w:proofErr w:type="spellStart"/>
      <w:r>
        <w:rPr>
          <w:rFonts w:ascii="Book Antiqua" w:eastAsia="Book Antiqua" w:hAnsi="Book Antiqua" w:cs="Book Antiqua"/>
          <w:color w:val="000000"/>
        </w:rPr>
        <w:t>Ellwart</w:t>
      </w:r>
      <w:proofErr w:type="spellEnd"/>
      <w:r>
        <w:rPr>
          <w:rFonts w:ascii="Book Antiqua" w:eastAsia="Book Antiqua" w:hAnsi="Book Antiqua" w:cs="Book Antiqua"/>
          <w:color w:val="000000"/>
        </w:rPr>
        <w:t xml:space="preserve"> JW, Rivera J, Rubio-</w:t>
      </w:r>
      <w:proofErr w:type="spellStart"/>
      <w:r>
        <w:rPr>
          <w:rFonts w:ascii="Book Antiqua" w:eastAsia="Book Antiqua" w:hAnsi="Book Antiqua" w:cs="Book Antiqua"/>
          <w:color w:val="000000"/>
        </w:rPr>
        <w:t>Viqueira</w:t>
      </w:r>
      <w:proofErr w:type="spellEnd"/>
      <w:r>
        <w:rPr>
          <w:rFonts w:ascii="Book Antiqua" w:eastAsia="Book Antiqua" w:hAnsi="Book Antiqua" w:cs="Book Antiqua"/>
          <w:color w:val="000000"/>
        </w:rPr>
        <w:t xml:space="preserve"> B, Hidalgo M, </w:t>
      </w:r>
      <w:proofErr w:type="spellStart"/>
      <w:r>
        <w:rPr>
          <w:rFonts w:ascii="Book Antiqua" w:eastAsia="Book Antiqua" w:hAnsi="Book Antiqua" w:cs="Book Antiqua"/>
          <w:color w:val="000000"/>
        </w:rPr>
        <w:t>Bunz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Göke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Heeschen</w:t>
      </w:r>
      <w:proofErr w:type="spellEnd"/>
      <w:r>
        <w:rPr>
          <w:rFonts w:ascii="Book Antiqua" w:eastAsia="Book Antiqua" w:hAnsi="Book Antiqua" w:cs="Book Antiqua"/>
          <w:color w:val="000000"/>
        </w:rPr>
        <w:t xml:space="preserve"> C. Inhibition of ataxia telangiectasia- and Rad3-related function abrogates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tumorigenicity of human colon cancer cells through depletion of the </w:t>
      </w:r>
      <w:r>
        <w:rPr>
          <w:rFonts w:ascii="Book Antiqua" w:eastAsia="Book Antiqua" w:hAnsi="Book Antiqua" w:cs="Book Antiqua"/>
          <w:color w:val="000000"/>
        </w:rPr>
        <w:lastRenderedPageBreak/>
        <w:t xml:space="preserve">CD133(+) tumor-initiating cell fraction.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418-429 [PMID: 21308861 DOI: 10.1002/stem.595]</w:t>
      </w:r>
    </w:p>
    <w:p w14:paraId="0D5F515B" w14:textId="77777777" w:rsidR="00A77B3E" w:rsidRDefault="0063365C">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Trapnell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Roberts A, Goff L, </w:t>
      </w:r>
      <w:proofErr w:type="spellStart"/>
      <w:r>
        <w:rPr>
          <w:rFonts w:ascii="Book Antiqua" w:eastAsia="Book Antiqua" w:hAnsi="Book Antiqua" w:cs="Book Antiqua"/>
          <w:color w:val="000000"/>
        </w:rPr>
        <w:t>Pertea</w:t>
      </w:r>
      <w:proofErr w:type="spellEnd"/>
      <w:r>
        <w:rPr>
          <w:rFonts w:ascii="Book Antiqua" w:eastAsia="Book Antiqua" w:hAnsi="Book Antiqua" w:cs="Book Antiqua"/>
          <w:color w:val="000000"/>
        </w:rPr>
        <w:t xml:space="preserve"> G, Kim D, Kelley DR, Pimentel H, </w:t>
      </w:r>
      <w:proofErr w:type="spellStart"/>
      <w:r>
        <w:rPr>
          <w:rFonts w:ascii="Book Antiqua" w:eastAsia="Book Antiqua" w:hAnsi="Book Antiqua" w:cs="Book Antiqua"/>
          <w:color w:val="000000"/>
        </w:rPr>
        <w:t>Salzberg</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Rinn</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Pachter</w:t>
      </w:r>
      <w:proofErr w:type="spellEnd"/>
      <w:r>
        <w:rPr>
          <w:rFonts w:ascii="Book Antiqua" w:eastAsia="Book Antiqua" w:hAnsi="Book Antiqua" w:cs="Book Antiqua"/>
          <w:color w:val="000000"/>
        </w:rPr>
        <w:t xml:space="preserve"> L. Differential gene and transcript expression analysis of RNA-seq experiments with </w:t>
      </w:r>
      <w:proofErr w:type="spellStart"/>
      <w:r>
        <w:rPr>
          <w:rFonts w:ascii="Book Antiqua" w:eastAsia="Book Antiqua" w:hAnsi="Book Antiqua" w:cs="Book Antiqua"/>
          <w:color w:val="000000"/>
        </w:rPr>
        <w:t>TopHat</w:t>
      </w:r>
      <w:proofErr w:type="spellEnd"/>
      <w:r>
        <w:rPr>
          <w:rFonts w:ascii="Book Antiqua" w:eastAsia="Book Antiqua" w:hAnsi="Book Antiqua" w:cs="Book Antiqua"/>
          <w:color w:val="000000"/>
        </w:rPr>
        <w:t xml:space="preserve"> and Cufflinks.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562-578 [PMID: 22383036 DOI: 10.1038/nprot.2012.016]</w:t>
      </w:r>
    </w:p>
    <w:p w14:paraId="1CC0C3D6" w14:textId="77777777" w:rsidR="00A77B3E" w:rsidRDefault="0063365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Tang Z</w:t>
      </w:r>
      <w:r>
        <w:rPr>
          <w:rFonts w:ascii="Book Antiqua" w:eastAsia="Book Antiqua" w:hAnsi="Book Antiqua" w:cs="Book Antiqua"/>
          <w:color w:val="000000"/>
        </w:rPr>
        <w:t xml:space="preserve">, Kang B, Li C, Chen T, Zhang Z. GEPIA2: an enhanced web server for large-scale expression profiling and interactive analysis.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W556-W560 [PMID: 31114875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/gkz430]</w:t>
      </w:r>
    </w:p>
    <w:p w14:paraId="2A25AFED" w14:textId="77777777" w:rsidR="00A77B3E" w:rsidRDefault="0063365C">
      <w:pPr>
        <w:spacing w:line="360" w:lineRule="auto"/>
        <w:jc w:val="both"/>
      </w:pPr>
      <w:r w:rsidRPr="00EC5790">
        <w:rPr>
          <w:rFonts w:ascii="Book Antiqua" w:eastAsia="Book Antiqua" w:hAnsi="Book Antiqua" w:cs="Book Antiqua"/>
          <w:color w:val="000000"/>
          <w:lang w:val="es-ES"/>
        </w:rPr>
        <w:t xml:space="preserve">28 </w:t>
      </w:r>
      <w:r w:rsidRPr="00EC5790">
        <w:rPr>
          <w:rFonts w:ascii="Book Antiqua" w:eastAsia="Book Antiqua" w:hAnsi="Book Antiqua" w:cs="Book Antiqua"/>
          <w:b/>
          <w:bCs/>
          <w:color w:val="000000"/>
          <w:lang w:val="es-ES"/>
        </w:rPr>
        <w:t>Ribas V</w:t>
      </w:r>
      <w:r w:rsidRPr="00EC5790">
        <w:rPr>
          <w:rFonts w:ascii="Book Antiqua" w:eastAsia="Book Antiqua" w:hAnsi="Book Antiqua" w:cs="Book Antiqua"/>
          <w:color w:val="000000"/>
          <w:lang w:val="es-ES"/>
        </w:rPr>
        <w:t xml:space="preserve">, García-Ruiz C, Fernández-Checa JC. </w:t>
      </w:r>
      <w:r>
        <w:rPr>
          <w:rFonts w:ascii="Book Antiqua" w:eastAsia="Book Antiqua" w:hAnsi="Book Antiqua" w:cs="Book Antiqua"/>
          <w:color w:val="000000"/>
        </w:rPr>
        <w:t xml:space="preserve">Glutathione and mitochondria.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151 [PMID: 25024695 DOI: 10.3389/fphar.2014.00151]</w:t>
      </w:r>
    </w:p>
    <w:p w14:paraId="02DAE002" w14:textId="77777777" w:rsidR="00A77B3E" w:rsidRDefault="0063365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Ito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Hirao</w:t>
      </w:r>
      <w:proofErr w:type="spellEnd"/>
      <w:r>
        <w:rPr>
          <w:rFonts w:ascii="Book Antiqua" w:eastAsia="Book Antiqua" w:hAnsi="Book Antiqua" w:cs="Book Antiqua"/>
          <w:color w:val="000000"/>
        </w:rPr>
        <w:t xml:space="preserve"> A, Arai F, Matsuoka S, </w:t>
      </w:r>
      <w:proofErr w:type="spellStart"/>
      <w:r>
        <w:rPr>
          <w:rFonts w:ascii="Book Antiqua" w:eastAsia="Book Antiqua" w:hAnsi="Book Antiqua" w:cs="Book Antiqua"/>
          <w:color w:val="000000"/>
        </w:rPr>
        <w:t>Takubo</w:t>
      </w:r>
      <w:proofErr w:type="spellEnd"/>
      <w:r>
        <w:rPr>
          <w:rFonts w:ascii="Book Antiqua" w:eastAsia="Book Antiqua" w:hAnsi="Book Antiqua" w:cs="Book Antiqua"/>
          <w:color w:val="000000"/>
        </w:rPr>
        <w:t xml:space="preserve"> K, Hamaguchi I, </w:t>
      </w:r>
      <w:proofErr w:type="spellStart"/>
      <w:r>
        <w:rPr>
          <w:rFonts w:ascii="Book Antiqua" w:eastAsia="Book Antiqua" w:hAnsi="Book Antiqua" w:cs="Book Antiqua"/>
          <w:color w:val="000000"/>
        </w:rPr>
        <w:t>Nomiyama</w:t>
      </w:r>
      <w:proofErr w:type="spellEnd"/>
      <w:r>
        <w:rPr>
          <w:rFonts w:ascii="Book Antiqua" w:eastAsia="Book Antiqua" w:hAnsi="Book Antiqua" w:cs="Book Antiqua"/>
          <w:color w:val="000000"/>
        </w:rPr>
        <w:t xml:space="preserve"> K, Hosokawa K, Sakurada K, </w:t>
      </w:r>
      <w:proofErr w:type="spellStart"/>
      <w:r>
        <w:rPr>
          <w:rFonts w:ascii="Book Antiqua" w:eastAsia="Book Antiqua" w:hAnsi="Book Antiqua" w:cs="Book Antiqua"/>
          <w:color w:val="000000"/>
        </w:rPr>
        <w:t>Nakagata</w:t>
      </w:r>
      <w:proofErr w:type="spellEnd"/>
      <w:r>
        <w:rPr>
          <w:rFonts w:ascii="Book Antiqua" w:eastAsia="Book Antiqua" w:hAnsi="Book Antiqua" w:cs="Book Antiqua"/>
          <w:color w:val="000000"/>
        </w:rPr>
        <w:t xml:space="preserve"> N, Ikeda Y,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T. Regulation of oxidative stress by ATM is required for self-renewal of </w:t>
      </w:r>
      <w:proofErr w:type="spellStart"/>
      <w:r>
        <w:rPr>
          <w:rFonts w:ascii="Book Antiqua" w:eastAsia="Book Antiqua" w:hAnsi="Book Antiqua" w:cs="Book Antiqua"/>
          <w:color w:val="000000"/>
        </w:rPr>
        <w:t>haematopoietic</w:t>
      </w:r>
      <w:proofErr w:type="spellEnd"/>
      <w:r>
        <w:rPr>
          <w:rFonts w:ascii="Book Antiqua" w:eastAsia="Book Antiqua" w:hAnsi="Book Antiqua" w:cs="Book Antiqua"/>
          <w:color w:val="000000"/>
        </w:rPr>
        <w:t xml:space="preserve"> stem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2004; </w:t>
      </w:r>
      <w:r>
        <w:rPr>
          <w:rFonts w:ascii="Book Antiqua" w:eastAsia="Book Antiqua" w:hAnsi="Book Antiqua" w:cs="Book Antiqua"/>
          <w:b/>
          <w:bCs/>
          <w:color w:val="000000"/>
        </w:rPr>
        <w:t>431</w:t>
      </w:r>
      <w:r>
        <w:rPr>
          <w:rFonts w:ascii="Book Antiqua" w:eastAsia="Book Antiqua" w:hAnsi="Book Antiqua" w:cs="Book Antiqua"/>
          <w:color w:val="000000"/>
        </w:rPr>
        <w:t>: 997-1002 [PMID: 15496926 DOI: 10.1038/nature02989]</w:t>
      </w:r>
    </w:p>
    <w:p w14:paraId="21D05617" w14:textId="77777777" w:rsidR="00A77B3E" w:rsidRDefault="0063365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Yahata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Takanashi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Muguruma</w:t>
      </w:r>
      <w:proofErr w:type="spellEnd"/>
      <w:r>
        <w:rPr>
          <w:rFonts w:ascii="Book Antiqua" w:eastAsia="Book Antiqua" w:hAnsi="Book Antiqua" w:cs="Book Antiqua"/>
          <w:color w:val="000000"/>
        </w:rPr>
        <w:t xml:space="preserve"> Y, Ibrahim AA, Matsuzawa H, Uno T, Sheng Y, Onizuka M, Ito M, Kato S, Ando K. Accumulation of oxidative DNA damage restricts the self-renewal capacity of human hematopoietic stem cells.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118</w:t>
      </w:r>
      <w:r>
        <w:rPr>
          <w:rFonts w:ascii="Book Antiqua" w:eastAsia="Book Antiqua" w:hAnsi="Book Antiqua" w:cs="Book Antiqua"/>
          <w:color w:val="000000"/>
        </w:rPr>
        <w:t>: 2941-2950 [PMID: 21734240 DOI: 10.1182/blood-2011-01-330050]</w:t>
      </w:r>
    </w:p>
    <w:p w14:paraId="50836E06" w14:textId="77777777" w:rsidR="00A77B3E" w:rsidRDefault="0063365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Oburoglu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Tardito</w:t>
      </w:r>
      <w:proofErr w:type="spellEnd"/>
      <w:r>
        <w:rPr>
          <w:rFonts w:ascii="Book Antiqua" w:eastAsia="Book Antiqua" w:hAnsi="Book Antiqua" w:cs="Book Antiqua"/>
          <w:color w:val="000000"/>
        </w:rPr>
        <w:t xml:space="preserve"> S, Fritz V, de Barros SC, Merida P, </w:t>
      </w:r>
      <w:proofErr w:type="spellStart"/>
      <w:r>
        <w:rPr>
          <w:rFonts w:ascii="Book Antiqua" w:eastAsia="Book Antiqua" w:hAnsi="Book Antiqua" w:cs="Book Antiqua"/>
          <w:color w:val="000000"/>
        </w:rPr>
        <w:t>Craveiro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Mamede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Cretenet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Mongellaz</w:t>
      </w:r>
      <w:proofErr w:type="spellEnd"/>
      <w:r>
        <w:rPr>
          <w:rFonts w:ascii="Book Antiqua" w:eastAsia="Book Antiqua" w:hAnsi="Book Antiqua" w:cs="Book Antiqua"/>
          <w:color w:val="000000"/>
        </w:rPr>
        <w:t xml:space="preserve"> C, An X, </w:t>
      </w:r>
      <w:proofErr w:type="spellStart"/>
      <w:r>
        <w:rPr>
          <w:rFonts w:ascii="Book Antiqua" w:eastAsia="Book Antiqua" w:hAnsi="Book Antiqua" w:cs="Book Antiqua"/>
          <w:color w:val="000000"/>
        </w:rPr>
        <w:t>Klysz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Touhami</w:t>
      </w:r>
      <w:proofErr w:type="spellEnd"/>
      <w:r>
        <w:rPr>
          <w:rFonts w:ascii="Book Antiqua" w:eastAsia="Book Antiqua" w:hAnsi="Book Antiqua" w:cs="Book Antiqua"/>
          <w:color w:val="000000"/>
        </w:rPr>
        <w:t xml:space="preserve"> J, Boyer-</w:t>
      </w:r>
      <w:proofErr w:type="spellStart"/>
      <w:r>
        <w:rPr>
          <w:rFonts w:ascii="Book Antiqua" w:eastAsia="Book Antiqua" w:hAnsi="Book Antiqua" w:cs="Book Antiqua"/>
          <w:color w:val="000000"/>
        </w:rPr>
        <w:t>Clavel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Battini</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Dardalhon</w:t>
      </w:r>
      <w:proofErr w:type="spellEnd"/>
      <w:r>
        <w:rPr>
          <w:rFonts w:ascii="Book Antiqua" w:eastAsia="Book Antiqua" w:hAnsi="Book Antiqua" w:cs="Book Antiqua"/>
          <w:color w:val="000000"/>
        </w:rPr>
        <w:t xml:space="preserve"> V, Zimmermann VS, Mohandas N, Gottlieb E, </w:t>
      </w:r>
      <w:proofErr w:type="spellStart"/>
      <w:r>
        <w:rPr>
          <w:rFonts w:ascii="Book Antiqua" w:eastAsia="Book Antiqua" w:hAnsi="Book Antiqua" w:cs="Book Antiqua"/>
          <w:color w:val="000000"/>
        </w:rPr>
        <w:t>Sitbon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Kinet</w:t>
      </w:r>
      <w:proofErr w:type="spellEnd"/>
      <w:r>
        <w:rPr>
          <w:rFonts w:ascii="Book Antiqua" w:eastAsia="Book Antiqua" w:hAnsi="Book Antiqua" w:cs="Book Antiqua"/>
          <w:color w:val="000000"/>
        </w:rPr>
        <w:t xml:space="preserve"> S, Taylor N. Glucose and glutamine metabolism regulate human hematopoietic stem cell lineage specification.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169-184 [PMID: 24953180 DOI: 10.1016/j.stem.2014.06.002]</w:t>
      </w:r>
    </w:p>
    <w:p w14:paraId="5D20B977" w14:textId="77777777" w:rsidR="00A77B3E" w:rsidRDefault="0063365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Zhao H</w:t>
      </w:r>
      <w:r>
        <w:rPr>
          <w:rFonts w:ascii="Book Antiqua" w:eastAsia="Book Antiqua" w:hAnsi="Book Antiqua" w:cs="Book Antiqua"/>
          <w:color w:val="000000"/>
        </w:rPr>
        <w:t xml:space="preserve">, Duan Q, Zhang Z, Li H, Wu H, Shen Q, Wang C, Yin T. Up-regulation of glycolysis promotes the stemness and EMT phenotypes in gemcitabine-resistant pancreatic cancer cells.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2055-2067 [PMID: 28244691 DOI: 10.1111/jcmm.13126]</w:t>
      </w:r>
    </w:p>
    <w:p w14:paraId="4B77E98A" w14:textId="77777777" w:rsidR="00A77B3E" w:rsidRDefault="0063365C">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Wang L</w:t>
      </w:r>
      <w:r>
        <w:rPr>
          <w:rFonts w:ascii="Book Antiqua" w:eastAsia="Book Antiqua" w:hAnsi="Book Antiqua" w:cs="Book Antiqua"/>
          <w:color w:val="000000"/>
        </w:rPr>
        <w:t>, Li P, Hu W, Xia Y, Hu C, Liu L, Jiang X. CD44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subset of PANC-1 cells exhibits radiation resistance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decreased levels of reactive oxygen species.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1341-1346 [PMID: 28789349 DOI: 10.3892/ol.2017.6301]</w:t>
      </w:r>
    </w:p>
    <w:p w14:paraId="52472EC5" w14:textId="77777777" w:rsidR="00A77B3E" w:rsidRDefault="0063365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Luo M</w:t>
      </w:r>
      <w:r>
        <w:rPr>
          <w:rFonts w:ascii="Book Antiqua" w:eastAsia="Book Antiqua" w:hAnsi="Book Antiqua" w:cs="Book Antiqua"/>
          <w:color w:val="000000"/>
        </w:rPr>
        <w:t xml:space="preserve">, Shang L, Brooks MD, </w:t>
      </w:r>
      <w:proofErr w:type="spellStart"/>
      <w:r>
        <w:rPr>
          <w:rFonts w:ascii="Book Antiqua" w:eastAsia="Book Antiqua" w:hAnsi="Book Antiqua" w:cs="Book Antiqua"/>
          <w:color w:val="000000"/>
        </w:rPr>
        <w:t>Jiagge</w:t>
      </w:r>
      <w:proofErr w:type="spellEnd"/>
      <w:r>
        <w:rPr>
          <w:rFonts w:ascii="Book Antiqua" w:eastAsia="Book Antiqua" w:hAnsi="Book Antiqua" w:cs="Book Antiqua"/>
          <w:color w:val="000000"/>
        </w:rPr>
        <w:t xml:space="preserve"> E, Zhu Y, </w:t>
      </w:r>
      <w:proofErr w:type="spellStart"/>
      <w:r>
        <w:rPr>
          <w:rFonts w:ascii="Book Antiqua" w:eastAsia="Book Antiqua" w:hAnsi="Book Antiqua" w:cs="Book Antiqua"/>
          <w:color w:val="000000"/>
        </w:rPr>
        <w:t>Buschhaus</w:t>
      </w:r>
      <w:proofErr w:type="spellEnd"/>
      <w:r>
        <w:rPr>
          <w:rFonts w:ascii="Book Antiqua" w:eastAsia="Book Antiqua" w:hAnsi="Book Antiqua" w:cs="Book Antiqua"/>
          <w:color w:val="000000"/>
        </w:rPr>
        <w:t xml:space="preserve"> JM, Conley S, </w:t>
      </w:r>
      <w:proofErr w:type="spellStart"/>
      <w:r>
        <w:rPr>
          <w:rFonts w:ascii="Book Antiqua" w:eastAsia="Book Antiqua" w:hAnsi="Book Antiqua" w:cs="Book Antiqua"/>
          <w:color w:val="000000"/>
        </w:rPr>
        <w:t>Fath</w:t>
      </w:r>
      <w:proofErr w:type="spellEnd"/>
      <w:r>
        <w:rPr>
          <w:rFonts w:ascii="Book Antiqua" w:eastAsia="Book Antiqua" w:hAnsi="Book Antiqua" w:cs="Book Antiqua"/>
          <w:color w:val="000000"/>
        </w:rPr>
        <w:t xml:space="preserve"> MA, Davis A, </w:t>
      </w:r>
      <w:proofErr w:type="spellStart"/>
      <w:r>
        <w:rPr>
          <w:rFonts w:ascii="Book Antiqua" w:eastAsia="Book Antiqua" w:hAnsi="Book Antiqua" w:cs="Book Antiqua"/>
          <w:color w:val="000000"/>
        </w:rPr>
        <w:t>Gheordunescu</w:t>
      </w:r>
      <w:proofErr w:type="spellEnd"/>
      <w:r>
        <w:rPr>
          <w:rFonts w:ascii="Book Antiqua" w:eastAsia="Book Antiqua" w:hAnsi="Book Antiqua" w:cs="Book Antiqua"/>
          <w:color w:val="000000"/>
        </w:rPr>
        <w:t xml:space="preserve"> E, Wang Y, </w:t>
      </w:r>
      <w:proofErr w:type="spellStart"/>
      <w:r>
        <w:rPr>
          <w:rFonts w:ascii="Book Antiqua" w:eastAsia="Book Antiqua" w:hAnsi="Book Antiqua" w:cs="Book Antiqua"/>
          <w:color w:val="000000"/>
        </w:rPr>
        <w:t>Harouaka</w:t>
      </w:r>
      <w:proofErr w:type="spellEnd"/>
      <w:r>
        <w:rPr>
          <w:rFonts w:ascii="Book Antiqua" w:eastAsia="Book Antiqua" w:hAnsi="Book Antiqua" w:cs="Book Antiqua"/>
          <w:color w:val="000000"/>
        </w:rPr>
        <w:t xml:space="preserve"> R, Lozier A, </w:t>
      </w:r>
      <w:proofErr w:type="spellStart"/>
      <w:r>
        <w:rPr>
          <w:rFonts w:ascii="Book Antiqua" w:eastAsia="Book Antiqua" w:hAnsi="Book Antiqua" w:cs="Book Antiqua"/>
          <w:color w:val="000000"/>
        </w:rPr>
        <w:t>Triner</w:t>
      </w:r>
      <w:proofErr w:type="spellEnd"/>
      <w:r>
        <w:rPr>
          <w:rFonts w:ascii="Book Antiqua" w:eastAsia="Book Antiqua" w:hAnsi="Book Antiqua" w:cs="Book Antiqua"/>
          <w:color w:val="000000"/>
        </w:rPr>
        <w:t xml:space="preserve"> D, McDermott S, </w:t>
      </w:r>
      <w:proofErr w:type="spellStart"/>
      <w:r>
        <w:rPr>
          <w:rFonts w:ascii="Book Antiqua" w:eastAsia="Book Antiqua" w:hAnsi="Book Antiqua" w:cs="Book Antiqua"/>
          <w:color w:val="000000"/>
        </w:rPr>
        <w:t>Merajver</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Luker</w:t>
      </w:r>
      <w:proofErr w:type="spellEnd"/>
      <w:r>
        <w:rPr>
          <w:rFonts w:ascii="Book Antiqua" w:eastAsia="Book Antiqua" w:hAnsi="Book Antiqua" w:cs="Book Antiqua"/>
          <w:color w:val="000000"/>
        </w:rPr>
        <w:t xml:space="preserve"> GD, Spitz DR, </w:t>
      </w:r>
      <w:proofErr w:type="spellStart"/>
      <w:r>
        <w:rPr>
          <w:rFonts w:ascii="Book Antiqua" w:eastAsia="Book Antiqua" w:hAnsi="Book Antiqua" w:cs="Book Antiqua"/>
          <w:color w:val="000000"/>
        </w:rPr>
        <w:t>Wicha</w:t>
      </w:r>
      <w:proofErr w:type="spellEnd"/>
      <w:r>
        <w:rPr>
          <w:rFonts w:ascii="Book Antiqua" w:eastAsia="Book Antiqua" w:hAnsi="Book Antiqua" w:cs="Book Antiqua"/>
          <w:color w:val="000000"/>
        </w:rPr>
        <w:t xml:space="preserve"> MS. Targeting Breast Cancer Stem Cell State Equilibrium through Modulation of Redox Signaling.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69-86.e6 [PMID: 29972798 DOI: 10.1016/j.cmet.2018.06.006]</w:t>
      </w:r>
    </w:p>
    <w:p w14:paraId="0FDA1B07" w14:textId="77777777" w:rsidR="00A77B3E" w:rsidRDefault="0063365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Lu H</w:t>
      </w:r>
      <w:r>
        <w:rPr>
          <w:rFonts w:ascii="Book Antiqua" w:eastAsia="Book Antiqua" w:hAnsi="Book Antiqua" w:cs="Book Antiqua"/>
          <w:color w:val="000000"/>
        </w:rPr>
        <w:t xml:space="preserve">, Chen I,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LA, Park Y, Zhang C, Tran L, Zhang H,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Chemotherapy-Induced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Release Stimulates Breast Cancer Stem Cell Enrichment.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1946-1957 [PMID: 28228260 DOI: 10.1016/j.celrep.2017.02.001]</w:t>
      </w:r>
    </w:p>
    <w:p w14:paraId="3D4B9EC1" w14:textId="77777777" w:rsidR="00A77B3E" w:rsidRDefault="0063365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Hinkhouse</w:t>
      </w:r>
      <w:proofErr w:type="spellEnd"/>
      <w:r>
        <w:rPr>
          <w:rFonts w:ascii="Book Antiqua" w:eastAsia="Book Antiqua" w:hAnsi="Book Antiqua" w:cs="Book Antiqua"/>
          <w:color w:val="000000"/>
        </w:rPr>
        <w:t xml:space="preserve"> MM, Sun W, </w:t>
      </w:r>
      <w:proofErr w:type="spellStart"/>
      <w:r>
        <w:rPr>
          <w:rFonts w:ascii="Book Antiqua" w:eastAsia="Book Antiqua" w:hAnsi="Book Antiqua" w:cs="Book Antiqua"/>
          <w:color w:val="000000"/>
        </w:rPr>
        <w:t>Weydert</w:t>
      </w:r>
      <w:proofErr w:type="spellEnd"/>
      <w:r>
        <w:rPr>
          <w:rFonts w:ascii="Book Antiqua" w:eastAsia="Book Antiqua" w:hAnsi="Book Antiqua" w:cs="Book Antiqua"/>
          <w:color w:val="000000"/>
        </w:rPr>
        <w:t xml:space="preserve"> CJ, Ritchie JM, </w:t>
      </w:r>
      <w:proofErr w:type="spellStart"/>
      <w:r>
        <w:rPr>
          <w:rFonts w:ascii="Book Antiqua" w:eastAsia="Book Antiqua" w:hAnsi="Book Antiqua" w:cs="Book Antiqua"/>
          <w:color w:val="000000"/>
        </w:rPr>
        <w:t>Oberley</w:t>
      </w:r>
      <w:proofErr w:type="spellEnd"/>
      <w:r>
        <w:rPr>
          <w:rFonts w:ascii="Book Antiqua" w:eastAsia="Book Antiqua" w:hAnsi="Book Antiqua" w:cs="Book Antiqua"/>
          <w:color w:val="000000"/>
        </w:rPr>
        <w:t xml:space="preserve"> LW, Cullen JJ. Redox regulation of pancreatic cancer cell growth: role of glutathione peroxidase in the suppression of the malignant phenotype. </w:t>
      </w:r>
      <w:r>
        <w:rPr>
          <w:rFonts w:ascii="Book Antiqua" w:eastAsia="Book Antiqua" w:hAnsi="Book Antiqua" w:cs="Book Antiqua"/>
          <w:i/>
          <w:iCs/>
          <w:color w:val="000000"/>
        </w:rPr>
        <w:t xml:space="preserve">Hum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239-250 [PMID: 15018733 DOI: 10.1089/104303404322886093]</w:t>
      </w:r>
    </w:p>
    <w:p w14:paraId="19162955" w14:textId="77777777" w:rsidR="00A77B3E" w:rsidRDefault="0063365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Meng Q</w:t>
      </w:r>
      <w:r>
        <w:rPr>
          <w:rFonts w:ascii="Book Antiqua" w:eastAsia="Book Antiqua" w:hAnsi="Book Antiqua" w:cs="Book Antiqua"/>
          <w:color w:val="000000"/>
        </w:rPr>
        <w:t xml:space="preserve">, Shi S, Liang C, Liang D, Hua J, Zhang B, Xu J, Yu X. Abrogation of glutathione peroxidase-1 drives EMT and chemoresistance in pancreatic cancer by activating ROS-mediated Akt/GSK3β/Snail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5843-5857 [PMID: 29980787 DOI: 10.1038/s41388-018-0392-z]</w:t>
      </w:r>
    </w:p>
    <w:p w14:paraId="023C65D8" w14:textId="77777777" w:rsidR="00A77B3E" w:rsidRDefault="0063365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Peng G</w:t>
      </w:r>
      <w:r>
        <w:rPr>
          <w:rFonts w:ascii="Book Antiqua" w:eastAsia="Book Antiqua" w:hAnsi="Book Antiqua" w:cs="Book Antiqua"/>
          <w:color w:val="000000"/>
        </w:rPr>
        <w:t xml:space="preserve">, Tang Z, Xiang Y, Chen W. Glutathione peroxidase 4 maintains a stemness phenotype, oxidative homeostasis and regulates biological processes in Pancâ€‘1 cancer </w:t>
      </w:r>
      <w:proofErr w:type="spellStart"/>
      <w:r>
        <w:rPr>
          <w:rFonts w:ascii="Book Antiqua" w:eastAsia="Book Antiqua" w:hAnsi="Book Antiqua" w:cs="Book Antiqua"/>
          <w:color w:val="000000"/>
        </w:rPr>
        <w:t>stemâ</w:t>
      </w:r>
      <w:proofErr w:type="spellEnd"/>
      <w:r>
        <w:rPr>
          <w:rFonts w:ascii="Book Antiqua" w:eastAsia="Book Antiqua" w:hAnsi="Book Antiqua" w:cs="Book Antiqua"/>
          <w:color w:val="000000"/>
        </w:rPr>
        <w:t xml:space="preserve">€‘like cells.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1264-1274 [PMID: 30535490 DOI: 10.3892/or.2018.6905]</w:t>
      </w:r>
    </w:p>
    <w:p w14:paraId="621BB947" w14:textId="77777777" w:rsidR="00A77B3E" w:rsidRDefault="0063365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Cole-</w:t>
      </w:r>
      <w:proofErr w:type="spellStart"/>
      <w:r>
        <w:rPr>
          <w:rFonts w:ascii="Book Antiqua" w:eastAsia="Book Antiqua" w:hAnsi="Book Antiqua" w:cs="Book Antiqua"/>
          <w:b/>
          <w:bCs/>
          <w:color w:val="000000"/>
        </w:rPr>
        <w:t>Ezea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Swan D, Shanley D, </w:t>
      </w:r>
      <w:proofErr w:type="spellStart"/>
      <w:r>
        <w:rPr>
          <w:rFonts w:ascii="Book Antiqua" w:eastAsia="Book Antiqua" w:hAnsi="Book Antiqua" w:cs="Book Antiqua"/>
          <w:color w:val="000000"/>
        </w:rPr>
        <w:t>Hesketh</w:t>
      </w:r>
      <w:proofErr w:type="spellEnd"/>
      <w:r>
        <w:rPr>
          <w:rFonts w:ascii="Book Antiqua" w:eastAsia="Book Antiqua" w:hAnsi="Book Antiqua" w:cs="Book Antiqua"/>
          <w:color w:val="000000"/>
        </w:rPr>
        <w:t xml:space="preserve"> J. Glutathione peroxidase 4 has a major role in protecting mitochondria from oxidative damage and maintaining oxidative phosphorylation complexes in gut epithelial cells.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488-497 [PMID: 22634395 DOI: 10.1016/j.freeradbiomed.2012.05.029]</w:t>
      </w:r>
    </w:p>
    <w:p w14:paraId="5C9FC045" w14:textId="77777777" w:rsidR="00A77B3E" w:rsidRDefault="0063365C">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Fujitani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A, Takahashi M, Takasawa A, Aoyama T, Miyazaki T. Silencing of Glutathione S-Transferase Pi Inhibits Cancer Cell Growth </w:t>
      </w:r>
      <w:r w:rsidRPr="0013023D">
        <w:rPr>
          <w:rFonts w:ascii="Book Antiqua" w:eastAsia="Book Antiqua" w:hAnsi="Book Antiqua" w:cs="Book Antiqua"/>
          <w:i/>
          <w:iCs/>
          <w:color w:val="000000"/>
        </w:rPr>
        <w:t>via</w:t>
      </w:r>
      <w:r>
        <w:rPr>
          <w:rFonts w:ascii="Book Antiqua" w:eastAsia="Book Antiqua" w:hAnsi="Book Antiqua" w:cs="Book Antiqua"/>
          <w:color w:val="000000"/>
        </w:rPr>
        <w:t xml:space="preserve"> Oxidative Stress </w:t>
      </w:r>
      <w:r>
        <w:rPr>
          <w:rFonts w:ascii="Book Antiqua" w:eastAsia="Book Antiqua" w:hAnsi="Book Antiqua" w:cs="Book Antiqua"/>
          <w:color w:val="000000"/>
        </w:rPr>
        <w:lastRenderedPageBreak/>
        <w:t xml:space="preserve">Induced by Mitochondria Dysfunction.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14764 [PMID: 31611630 DOI: 10.1038/s41598-019-51462-9]</w:t>
      </w:r>
    </w:p>
    <w:p w14:paraId="77A001FC" w14:textId="77777777" w:rsidR="00A77B3E" w:rsidRDefault="0063365C">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Aquilano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Baldelli S, </w:t>
      </w:r>
      <w:proofErr w:type="spellStart"/>
      <w:r>
        <w:rPr>
          <w:rFonts w:ascii="Book Antiqua" w:eastAsia="Book Antiqua" w:hAnsi="Book Antiqua" w:cs="Book Antiqua"/>
          <w:color w:val="000000"/>
        </w:rPr>
        <w:t>Pagliei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Cannata</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Rotilio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Ciriolo</w:t>
      </w:r>
      <w:proofErr w:type="spellEnd"/>
      <w:r>
        <w:rPr>
          <w:rFonts w:ascii="Book Antiqua" w:eastAsia="Book Antiqua" w:hAnsi="Book Antiqua" w:cs="Book Antiqua"/>
          <w:color w:val="000000"/>
        </w:rPr>
        <w:t xml:space="preserve"> MR. p53 orchestrates the PGC-1α-mediated antioxidant response upon mild redox and metabolic imbalance.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386-399 [PMID: 22861165 DOI: 10.1089/ars.2012.4615]</w:t>
      </w:r>
    </w:p>
    <w:p w14:paraId="50792877" w14:textId="77777777" w:rsidR="00A77B3E" w:rsidRDefault="0063365C">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Marmolino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F, Vergara P, </w:t>
      </w:r>
      <w:proofErr w:type="spellStart"/>
      <w:r>
        <w:rPr>
          <w:rFonts w:ascii="Book Antiqua" w:eastAsia="Book Antiqua" w:hAnsi="Book Antiqua" w:cs="Book Antiqua"/>
          <w:color w:val="000000"/>
        </w:rPr>
        <w:t>Ravella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Monticelli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Pandolfo</w:t>
      </w:r>
      <w:proofErr w:type="spellEnd"/>
      <w:r>
        <w:rPr>
          <w:rFonts w:ascii="Book Antiqua" w:eastAsia="Book Antiqua" w:hAnsi="Book Antiqua" w:cs="Book Antiqua"/>
          <w:color w:val="000000"/>
        </w:rPr>
        <w:t xml:space="preserve"> M. PGC-1alpha down-regulation affects the antioxidant response in Friedreich's ataxia.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e10025 [PMID: 20383327 DOI: 10.1371/journal.pone.0010025]</w:t>
      </w:r>
    </w:p>
    <w:p w14:paraId="53124A40" w14:textId="77777777" w:rsidR="00A77B3E" w:rsidRDefault="0063365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Vazquez F</w:t>
      </w:r>
      <w:r>
        <w:rPr>
          <w:rFonts w:ascii="Book Antiqua" w:eastAsia="Book Antiqua" w:hAnsi="Book Antiqua" w:cs="Book Antiqua"/>
          <w:color w:val="000000"/>
        </w:rPr>
        <w:t xml:space="preserve">, Lim JH, </w:t>
      </w:r>
      <w:proofErr w:type="spellStart"/>
      <w:r>
        <w:rPr>
          <w:rFonts w:ascii="Book Antiqua" w:eastAsia="Book Antiqua" w:hAnsi="Book Antiqua" w:cs="Book Antiqua"/>
          <w:color w:val="000000"/>
        </w:rPr>
        <w:t>Chim</w:t>
      </w:r>
      <w:proofErr w:type="spellEnd"/>
      <w:r>
        <w:rPr>
          <w:rFonts w:ascii="Book Antiqua" w:eastAsia="Book Antiqua" w:hAnsi="Book Antiqua" w:cs="Book Antiqua"/>
          <w:color w:val="000000"/>
        </w:rPr>
        <w:t xml:space="preserve"> H, Bhalla K, </w:t>
      </w:r>
      <w:proofErr w:type="spellStart"/>
      <w:r>
        <w:rPr>
          <w:rFonts w:ascii="Book Antiqua" w:eastAsia="Book Antiqua" w:hAnsi="Book Antiqua" w:cs="Book Antiqua"/>
          <w:color w:val="000000"/>
        </w:rPr>
        <w:t>Girnun</w:t>
      </w:r>
      <w:proofErr w:type="spellEnd"/>
      <w:r>
        <w:rPr>
          <w:rFonts w:ascii="Book Antiqua" w:eastAsia="Book Antiqua" w:hAnsi="Book Antiqua" w:cs="Book Antiqua"/>
          <w:color w:val="000000"/>
        </w:rPr>
        <w:t xml:space="preserve"> G, Pierce K, Clish CB, Granter SR, </w:t>
      </w:r>
      <w:proofErr w:type="spellStart"/>
      <w:r>
        <w:rPr>
          <w:rFonts w:ascii="Book Antiqua" w:eastAsia="Book Antiqua" w:hAnsi="Book Antiqua" w:cs="Book Antiqua"/>
          <w:color w:val="000000"/>
        </w:rPr>
        <w:t>Widlund</w:t>
      </w:r>
      <w:proofErr w:type="spellEnd"/>
      <w:r>
        <w:rPr>
          <w:rFonts w:ascii="Book Antiqua" w:eastAsia="Book Antiqua" w:hAnsi="Book Antiqua" w:cs="Book Antiqua"/>
          <w:color w:val="000000"/>
        </w:rPr>
        <w:t xml:space="preserve"> HR, Spiegelman BM, </w:t>
      </w:r>
      <w:proofErr w:type="spellStart"/>
      <w:r>
        <w:rPr>
          <w:rFonts w:ascii="Book Antiqua" w:eastAsia="Book Antiqua" w:hAnsi="Book Antiqua" w:cs="Book Antiqua"/>
          <w:color w:val="000000"/>
        </w:rPr>
        <w:t>Puigserver</w:t>
      </w:r>
      <w:proofErr w:type="spellEnd"/>
      <w:r>
        <w:rPr>
          <w:rFonts w:ascii="Book Antiqua" w:eastAsia="Book Antiqua" w:hAnsi="Book Antiqua" w:cs="Book Antiqua"/>
          <w:color w:val="000000"/>
        </w:rPr>
        <w:t xml:space="preserve"> P. PGC1α expression defines a subset of human melanoma tumors with increased mitochondrial capacity and resistance to oxidative stress.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287-301 [PMID: 23416000 DOI: 10.1016/j.ccr.2012.11.020]</w:t>
      </w:r>
    </w:p>
    <w:p w14:paraId="7FB75E1A" w14:textId="77777777" w:rsidR="00A77B3E" w:rsidRDefault="0063365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Tanaka G</w:t>
      </w:r>
      <w:r>
        <w:rPr>
          <w:rFonts w:ascii="Book Antiqua" w:eastAsia="Book Antiqua" w:hAnsi="Book Antiqua" w:cs="Book Antiqua"/>
          <w:color w:val="000000"/>
        </w:rPr>
        <w:t xml:space="preserve">, Inoue K, Shimizu T, Akimoto K, Kubota K. Dual pharmacological inhibition of glutathione and thioredoxin systems synergizes to kill colorectal carcinoma stem cells.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2544-2557 [PMID: 27485632 DOI: 10.1002/cam4.844]</w:t>
      </w:r>
    </w:p>
    <w:p w14:paraId="38A1F804" w14:textId="77777777" w:rsidR="00A77B3E" w:rsidRDefault="0063365C">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Miran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Vogg</w:t>
      </w:r>
      <w:proofErr w:type="spellEnd"/>
      <w:r>
        <w:rPr>
          <w:rFonts w:ascii="Book Antiqua" w:eastAsia="Book Antiqua" w:hAnsi="Book Antiqua" w:cs="Book Antiqua"/>
          <w:color w:val="000000"/>
        </w:rPr>
        <w:t xml:space="preserve"> ATJ, </w:t>
      </w:r>
      <w:proofErr w:type="spellStart"/>
      <w:r>
        <w:rPr>
          <w:rFonts w:ascii="Book Antiqua" w:eastAsia="Book Antiqua" w:hAnsi="Book Antiqua" w:cs="Book Antiqua"/>
          <w:color w:val="000000"/>
        </w:rPr>
        <w:t>Drude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Mottaghy</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Morgenroth</w:t>
      </w:r>
      <w:proofErr w:type="spellEnd"/>
      <w:r>
        <w:rPr>
          <w:rFonts w:ascii="Book Antiqua" w:eastAsia="Book Antiqua" w:hAnsi="Book Antiqua" w:cs="Book Antiqua"/>
          <w:color w:val="000000"/>
        </w:rPr>
        <w:t xml:space="preserve"> A. Modulation of glutathione promotes apoptosis in triple-negative breast cancer cells.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2803-2813 [PMID: 29301945 DOI: 10.1096/fj.201701157R]</w:t>
      </w:r>
    </w:p>
    <w:p w14:paraId="38B492F0" w14:textId="6A15F39F" w:rsidR="00A77B3E" w:rsidRDefault="0063365C">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Schnelldorfer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Gansauge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Gansauge</w:t>
      </w:r>
      <w:proofErr w:type="spellEnd"/>
      <w:r>
        <w:rPr>
          <w:rFonts w:ascii="Book Antiqua" w:eastAsia="Book Antiqua" w:hAnsi="Book Antiqua" w:cs="Book Antiqua"/>
          <w:color w:val="000000"/>
        </w:rPr>
        <w:t xml:space="preserve"> F, Schlosser S,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Nussler</w:t>
      </w:r>
      <w:proofErr w:type="spellEnd"/>
      <w:r>
        <w:rPr>
          <w:rFonts w:ascii="Book Antiqua" w:eastAsia="Book Antiqua" w:hAnsi="Book Antiqua" w:cs="Book Antiqua"/>
          <w:color w:val="000000"/>
        </w:rPr>
        <w:t xml:space="preserve"> AK. Glutathione depletion causes cell growth inhibition and enhanced apoptosis in pancreatic cancer cells.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89</w:t>
      </w:r>
      <w:r>
        <w:rPr>
          <w:rFonts w:ascii="Book Antiqua" w:eastAsia="Book Antiqua" w:hAnsi="Book Antiqua" w:cs="Book Antiqua"/>
          <w:color w:val="000000"/>
        </w:rPr>
        <w:t>: 1440-1447 [PMID: 11013356]</w:t>
      </w:r>
    </w:p>
    <w:p w14:paraId="0275C0BB" w14:textId="77777777" w:rsidR="00A77B3E" w:rsidRDefault="0063365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Ramanathan B</w:t>
      </w:r>
      <w:r>
        <w:rPr>
          <w:rFonts w:ascii="Book Antiqua" w:eastAsia="Book Antiqua" w:hAnsi="Book Antiqua" w:cs="Book Antiqua"/>
          <w:color w:val="000000"/>
        </w:rPr>
        <w:t xml:space="preserve">, Jan KY, Chen CH, Hour TC, Yu HJ, Pu YS. Resistance to paclitaxel is proportional to cellular total antioxidant capacity.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65</w:t>
      </w:r>
      <w:r>
        <w:rPr>
          <w:rFonts w:ascii="Book Antiqua" w:eastAsia="Book Antiqua" w:hAnsi="Book Antiqua" w:cs="Book Antiqua"/>
          <w:color w:val="000000"/>
        </w:rPr>
        <w:t>: 8455-8460 [PMID: 16166325 DOI: 10.1158/0008-5472.CAN-05-1162]</w:t>
      </w:r>
    </w:p>
    <w:p w14:paraId="7A6F7A9B" w14:textId="77777777" w:rsidR="00A77B3E" w:rsidRDefault="0063365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 Q</w:t>
      </w:r>
      <w:r>
        <w:rPr>
          <w:rFonts w:ascii="Book Antiqua" w:eastAsia="Book Antiqua" w:hAnsi="Book Antiqua" w:cs="Book Antiqua"/>
          <w:color w:val="000000"/>
        </w:rPr>
        <w:t xml:space="preserve">, Yin X, Wang W, Zhan M, Zhao B, Hou Z, Wang J. The effects of buthionine </w:t>
      </w:r>
      <w:proofErr w:type="spellStart"/>
      <w:r>
        <w:rPr>
          <w:rFonts w:ascii="Book Antiqua" w:eastAsia="Book Antiqua" w:hAnsi="Book Antiqua" w:cs="Book Antiqua"/>
          <w:color w:val="000000"/>
        </w:rPr>
        <w:t>sulfoximine</w:t>
      </w:r>
      <w:proofErr w:type="spellEnd"/>
      <w:r>
        <w:rPr>
          <w:rFonts w:ascii="Book Antiqua" w:eastAsia="Book Antiqua" w:hAnsi="Book Antiqua" w:cs="Book Antiqua"/>
          <w:color w:val="000000"/>
        </w:rPr>
        <w:t xml:space="preserve"> on the proliferation and apoptosis of biliary tract cancer cells induced by </w:t>
      </w:r>
      <w:r>
        <w:rPr>
          <w:rFonts w:ascii="Book Antiqua" w:eastAsia="Book Antiqua" w:hAnsi="Book Antiqua" w:cs="Book Antiqua"/>
          <w:color w:val="000000"/>
        </w:rPr>
        <w:lastRenderedPageBreak/>
        <w:t xml:space="preserve">cisplatin and gemcitabine.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474-480 [PMID: 26870236 DOI: 10.3892/ol.2015.3879]</w:t>
      </w:r>
    </w:p>
    <w:p w14:paraId="21BF80C0" w14:textId="77777777" w:rsidR="00A77B3E" w:rsidRDefault="0063365C">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Chio</w:t>
      </w:r>
      <w:proofErr w:type="spellEnd"/>
      <w:r>
        <w:rPr>
          <w:rFonts w:ascii="Book Antiqua" w:eastAsia="Book Antiqua" w:hAnsi="Book Antiqua" w:cs="Book Antiqua"/>
          <w:b/>
          <w:bCs/>
          <w:color w:val="000000"/>
        </w:rPr>
        <w:t xml:space="preserve"> IIC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Jafarnejad</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Ponz-Sarvise</w:t>
      </w:r>
      <w:proofErr w:type="spellEnd"/>
      <w:r>
        <w:rPr>
          <w:rFonts w:ascii="Book Antiqua" w:eastAsia="Book Antiqua" w:hAnsi="Book Antiqua" w:cs="Book Antiqua"/>
          <w:color w:val="000000"/>
        </w:rPr>
        <w:t xml:space="preserve"> M, Park Y, Rivera K, Palm W, Wilson J, Sangar V, Hao Y, </w:t>
      </w:r>
      <w:proofErr w:type="spellStart"/>
      <w:r>
        <w:rPr>
          <w:rFonts w:ascii="Book Antiqua" w:eastAsia="Book Antiqua" w:hAnsi="Book Antiqua" w:cs="Book Antiqua"/>
          <w:color w:val="000000"/>
        </w:rPr>
        <w:t>Öhlund</w:t>
      </w:r>
      <w:proofErr w:type="spellEnd"/>
      <w:r>
        <w:rPr>
          <w:rFonts w:ascii="Book Antiqua" w:eastAsia="Book Antiqua" w:hAnsi="Book Antiqua" w:cs="Book Antiqua"/>
          <w:color w:val="000000"/>
        </w:rPr>
        <w:t xml:space="preserve"> D, Wright K, </w:t>
      </w:r>
      <w:proofErr w:type="spellStart"/>
      <w:r>
        <w:rPr>
          <w:rFonts w:ascii="Book Antiqua" w:eastAsia="Book Antiqua" w:hAnsi="Book Antiqua" w:cs="Book Antiqua"/>
          <w:color w:val="000000"/>
        </w:rPr>
        <w:t>Filippini</w:t>
      </w:r>
      <w:proofErr w:type="spellEnd"/>
      <w:r>
        <w:rPr>
          <w:rFonts w:ascii="Book Antiqua" w:eastAsia="Book Antiqua" w:hAnsi="Book Antiqua" w:cs="Book Antiqua"/>
          <w:color w:val="000000"/>
        </w:rPr>
        <w:t xml:space="preserve"> D, Lee EJ, Da Silva B, </w:t>
      </w:r>
      <w:proofErr w:type="spellStart"/>
      <w:r>
        <w:rPr>
          <w:rFonts w:ascii="Book Antiqua" w:eastAsia="Book Antiqua" w:hAnsi="Book Antiqua" w:cs="Book Antiqua"/>
          <w:color w:val="000000"/>
        </w:rPr>
        <w:t>Schoepfer</w:t>
      </w:r>
      <w:proofErr w:type="spellEnd"/>
      <w:r>
        <w:rPr>
          <w:rFonts w:ascii="Book Antiqua" w:eastAsia="Book Antiqua" w:hAnsi="Book Antiqua" w:cs="Book Antiqua"/>
          <w:color w:val="000000"/>
        </w:rPr>
        <w:t xml:space="preserve"> C, Wilkinson JE, </w:t>
      </w:r>
      <w:proofErr w:type="spellStart"/>
      <w:r>
        <w:rPr>
          <w:rFonts w:ascii="Book Antiqua" w:eastAsia="Book Antiqua" w:hAnsi="Book Antiqua" w:cs="Book Antiqua"/>
          <w:color w:val="000000"/>
        </w:rPr>
        <w:t>Buscaglia</w:t>
      </w:r>
      <w:proofErr w:type="spellEnd"/>
      <w:r>
        <w:rPr>
          <w:rFonts w:ascii="Book Antiqua" w:eastAsia="Book Antiqua" w:hAnsi="Book Antiqua" w:cs="Book Antiqua"/>
          <w:color w:val="000000"/>
        </w:rPr>
        <w:t xml:space="preserve"> JM, DeNicola GM, </w:t>
      </w:r>
      <w:proofErr w:type="spellStart"/>
      <w:r>
        <w:rPr>
          <w:rFonts w:ascii="Book Antiqua" w:eastAsia="Book Antiqua" w:hAnsi="Book Antiqua" w:cs="Book Antiqua"/>
          <w:color w:val="000000"/>
        </w:rPr>
        <w:t>Tiriac</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Hammell</w:t>
      </w:r>
      <w:proofErr w:type="spellEnd"/>
      <w:r>
        <w:rPr>
          <w:rFonts w:ascii="Book Antiqua" w:eastAsia="Book Antiqua" w:hAnsi="Book Antiqua" w:cs="Book Antiqua"/>
          <w:color w:val="000000"/>
        </w:rPr>
        <w:t xml:space="preserve"> M, Crawford HC, Schmidt EE, Thompson CB, </w:t>
      </w:r>
      <w:proofErr w:type="spellStart"/>
      <w:r>
        <w:rPr>
          <w:rFonts w:ascii="Book Antiqua" w:eastAsia="Book Antiqua" w:hAnsi="Book Antiqua" w:cs="Book Antiqua"/>
          <w:color w:val="000000"/>
        </w:rPr>
        <w:t>Pappin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Sonenberg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Tuveson</w:t>
      </w:r>
      <w:proofErr w:type="spellEnd"/>
      <w:r>
        <w:rPr>
          <w:rFonts w:ascii="Book Antiqua" w:eastAsia="Book Antiqua" w:hAnsi="Book Antiqua" w:cs="Book Antiqua"/>
          <w:color w:val="000000"/>
        </w:rPr>
        <w:t xml:space="preserve"> DA. NRF2 Promotes Tumor Maintenance by Modulating mRNA Translation in Pancreatic Cancer.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166</w:t>
      </w:r>
      <w:r>
        <w:rPr>
          <w:rFonts w:ascii="Book Antiqua" w:eastAsia="Book Antiqua" w:hAnsi="Book Antiqua" w:cs="Book Antiqua"/>
          <w:color w:val="000000"/>
        </w:rPr>
        <w:t>: 963-976 [PMID: 27477511 DOI: 10.1016/j.cell.2016.06.056]</w:t>
      </w:r>
    </w:p>
    <w:p w14:paraId="4ABB1AA5" w14:textId="77777777" w:rsidR="00A77B3E" w:rsidRDefault="0063365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Lo M</w:t>
      </w:r>
      <w:r>
        <w:rPr>
          <w:rFonts w:ascii="Book Antiqua" w:eastAsia="Book Antiqua" w:hAnsi="Book Antiqua" w:cs="Book Antiqua"/>
          <w:color w:val="000000"/>
        </w:rPr>
        <w:t xml:space="preserve">, Ling V, Wang YZ, Gout PW. The xc- cystine/glutamate antiporter: a mediator of pancreatic cancer growth with a role in drug resistance.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99</w:t>
      </w:r>
      <w:r>
        <w:rPr>
          <w:rFonts w:ascii="Book Antiqua" w:eastAsia="Book Antiqua" w:hAnsi="Book Antiqua" w:cs="Book Antiqua"/>
          <w:color w:val="000000"/>
        </w:rPr>
        <w:t>: 464-472 [PMID: 18648370 DOI: 10.1038/sj.bjc.6604485]</w:t>
      </w:r>
    </w:p>
    <w:p w14:paraId="06F9FE1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F9488A6" w14:textId="77777777" w:rsidR="00A77B3E" w:rsidRDefault="0063365C">
      <w:pPr>
        <w:spacing w:line="360" w:lineRule="auto"/>
        <w:jc w:val="both"/>
      </w:pPr>
      <w:r>
        <w:rPr>
          <w:rFonts w:ascii="Book Antiqua" w:eastAsia="Book Antiqua" w:hAnsi="Book Antiqua" w:cs="Book Antiqua"/>
          <w:b/>
          <w:color w:val="000000"/>
        </w:rPr>
        <w:lastRenderedPageBreak/>
        <w:t>Footnotes</w:t>
      </w:r>
    </w:p>
    <w:p w14:paraId="404B242B" w14:textId="77777777" w:rsidR="00A77B3E" w:rsidRDefault="0063365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IIS Aragon Institutional Review Board.</w:t>
      </w:r>
    </w:p>
    <w:p w14:paraId="1DB753A0" w14:textId="77777777" w:rsidR="00A77B3E" w:rsidRDefault="00A77B3E">
      <w:pPr>
        <w:spacing w:line="360" w:lineRule="auto"/>
        <w:jc w:val="both"/>
      </w:pPr>
    </w:p>
    <w:p w14:paraId="1D0FD7FA" w14:textId="77777777" w:rsidR="00A77B3E" w:rsidRDefault="0063365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w:t>
      </w:r>
    </w:p>
    <w:p w14:paraId="03DD43CD" w14:textId="77777777" w:rsidR="00A77B3E" w:rsidRDefault="00A77B3E">
      <w:pPr>
        <w:spacing w:line="360" w:lineRule="auto"/>
        <w:jc w:val="both"/>
      </w:pPr>
    </w:p>
    <w:p w14:paraId="5A7EC8DE" w14:textId="77777777" w:rsidR="00A77B3E" w:rsidRDefault="0063365C">
      <w:pPr>
        <w:spacing w:line="360" w:lineRule="auto"/>
        <w:jc w:val="both"/>
      </w:pPr>
      <w:r>
        <w:rPr>
          <w:rFonts w:ascii="Book Antiqua" w:eastAsia="Book Antiqua" w:hAnsi="Book Antiqua" w:cs="Book Antiqua"/>
          <w:b/>
          <w:bCs/>
          <w:color w:val="000000"/>
        </w:rPr>
        <w:t xml:space="preserve">Data sharing statement: </w:t>
      </w:r>
      <w:proofErr w:type="spellStart"/>
      <w:r>
        <w:rPr>
          <w:rFonts w:ascii="Book Antiqua" w:eastAsia="Book Antiqua" w:hAnsi="Book Antiqua" w:cs="Book Antiqua"/>
          <w:color w:val="000000"/>
        </w:rPr>
        <w:t>RNAseq</w:t>
      </w:r>
      <w:proofErr w:type="spellEnd"/>
      <w:r>
        <w:rPr>
          <w:rFonts w:ascii="Book Antiqua" w:eastAsia="Book Antiqua" w:hAnsi="Book Antiqua" w:cs="Book Antiqua"/>
          <w:color w:val="000000"/>
        </w:rPr>
        <w:t xml:space="preserve"> dataset E-MTAB-3808 is available at https://www.ebi.ac.uk/arrayexpress/</w:t>
      </w:r>
    </w:p>
    <w:p w14:paraId="4CECCBBB" w14:textId="77777777" w:rsidR="00A77B3E" w:rsidRDefault="00A77B3E">
      <w:pPr>
        <w:spacing w:line="360" w:lineRule="auto"/>
        <w:jc w:val="both"/>
      </w:pPr>
    </w:p>
    <w:p w14:paraId="3350B208" w14:textId="77777777" w:rsidR="00A77B3E" w:rsidRDefault="0063365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CAA25E" w14:textId="77777777" w:rsidR="00A77B3E" w:rsidRDefault="00A77B3E">
      <w:pPr>
        <w:spacing w:line="360" w:lineRule="auto"/>
        <w:jc w:val="both"/>
      </w:pPr>
    </w:p>
    <w:p w14:paraId="2DC3B23D" w14:textId="3017748B" w:rsidR="00A77B3E" w:rsidRDefault="0063365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D3DE6">
        <w:rPr>
          <w:rFonts w:ascii="Book Antiqua" w:eastAsia="Book Antiqua" w:hAnsi="Book Antiqua" w:cs="Book Antiqua"/>
          <w:color w:val="000000"/>
        </w:rPr>
        <w:t>m</w:t>
      </w:r>
      <w:r>
        <w:rPr>
          <w:rFonts w:ascii="Book Antiqua" w:eastAsia="Book Antiqua" w:hAnsi="Book Antiqua" w:cs="Book Antiqua"/>
          <w:color w:val="000000"/>
        </w:rPr>
        <w:t>anuscript</w:t>
      </w:r>
    </w:p>
    <w:p w14:paraId="47998994" w14:textId="77777777" w:rsidR="00A77B3E" w:rsidRDefault="00A77B3E">
      <w:pPr>
        <w:spacing w:line="360" w:lineRule="auto"/>
        <w:jc w:val="both"/>
      </w:pPr>
    </w:p>
    <w:p w14:paraId="683FCE2D" w14:textId="77777777" w:rsidR="00A77B3E" w:rsidRDefault="0063365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2020</w:t>
      </w:r>
    </w:p>
    <w:p w14:paraId="72D58543" w14:textId="77777777" w:rsidR="00A77B3E" w:rsidRDefault="0063365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2020</w:t>
      </w:r>
    </w:p>
    <w:p w14:paraId="04665148" w14:textId="77777777" w:rsidR="00A77B3E" w:rsidRDefault="0063365C">
      <w:pPr>
        <w:spacing w:line="360" w:lineRule="auto"/>
        <w:jc w:val="both"/>
      </w:pPr>
      <w:r>
        <w:rPr>
          <w:rFonts w:ascii="Book Antiqua" w:eastAsia="Book Antiqua" w:hAnsi="Book Antiqua" w:cs="Book Antiqua"/>
          <w:b/>
          <w:color w:val="000000"/>
        </w:rPr>
        <w:t xml:space="preserve">Article in press: </w:t>
      </w:r>
    </w:p>
    <w:p w14:paraId="6448E709" w14:textId="77777777" w:rsidR="00A77B3E" w:rsidRDefault="00A77B3E">
      <w:pPr>
        <w:spacing w:line="360" w:lineRule="auto"/>
        <w:jc w:val="both"/>
      </w:pPr>
    </w:p>
    <w:p w14:paraId="5BD420BB" w14:textId="72DC1B9F" w:rsidR="00A77B3E" w:rsidRDefault="0063365C">
      <w:pPr>
        <w:spacing w:line="360" w:lineRule="auto"/>
        <w:jc w:val="both"/>
      </w:pPr>
      <w:r>
        <w:rPr>
          <w:rFonts w:ascii="Book Antiqua" w:eastAsia="Book Antiqua" w:hAnsi="Book Antiqua" w:cs="Book Antiqua"/>
          <w:b/>
          <w:color w:val="000000"/>
        </w:rPr>
        <w:t xml:space="preserve">Specialty type: </w:t>
      </w:r>
      <w:r w:rsidR="006D3DE6" w:rsidRPr="00E700C2">
        <w:rPr>
          <w:rFonts w:ascii="Book Antiqua" w:eastAsia="微软雅黑" w:hAnsi="Book Antiqua" w:cs="宋体"/>
        </w:rPr>
        <w:t>Cell and tissue engineering</w:t>
      </w:r>
    </w:p>
    <w:p w14:paraId="73F88551" w14:textId="77777777" w:rsidR="00A77B3E" w:rsidRDefault="0063365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201F5709" w14:textId="77777777" w:rsidR="00A77B3E" w:rsidRDefault="0063365C">
      <w:pPr>
        <w:spacing w:line="360" w:lineRule="auto"/>
        <w:jc w:val="both"/>
      </w:pPr>
      <w:r>
        <w:rPr>
          <w:rFonts w:ascii="Book Antiqua" w:eastAsia="Book Antiqua" w:hAnsi="Book Antiqua" w:cs="Book Antiqua"/>
          <w:b/>
          <w:color w:val="000000"/>
        </w:rPr>
        <w:t>Peer-review report’s scientific quality classification</w:t>
      </w:r>
    </w:p>
    <w:p w14:paraId="6D5AA93E" w14:textId="77777777" w:rsidR="00A77B3E" w:rsidRDefault="0063365C">
      <w:pPr>
        <w:spacing w:line="360" w:lineRule="auto"/>
        <w:jc w:val="both"/>
      </w:pPr>
      <w:r>
        <w:rPr>
          <w:rFonts w:ascii="Book Antiqua" w:eastAsia="Book Antiqua" w:hAnsi="Book Antiqua" w:cs="Book Antiqua"/>
          <w:color w:val="000000"/>
        </w:rPr>
        <w:t>Grade A (Excellent): 0</w:t>
      </w:r>
    </w:p>
    <w:p w14:paraId="4A1B9979" w14:textId="77777777" w:rsidR="00A77B3E" w:rsidRDefault="0063365C">
      <w:pPr>
        <w:spacing w:line="360" w:lineRule="auto"/>
        <w:jc w:val="both"/>
      </w:pPr>
      <w:r>
        <w:rPr>
          <w:rFonts w:ascii="Book Antiqua" w:eastAsia="Book Antiqua" w:hAnsi="Book Antiqua" w:cs="Book Antiqua"/>
          <w:color w:val="000000"/>
        </w:rPr>
        <w:t>Grade B (Very good): 0</w:t>
      </w:r>
    </w:p>
    <w:p w14:paraId="1FDB8ACE" w14:textId="77777777" w:rsidR="00A77B3E" w:rsidRDefault="0063365C">
      <w:pPr>
        <w:spacing w:line="360" w:lineRule="auto"/>
        <w:jc w:val="both"/>
      </w:pPr>
      <w:r>
        <w:rPr>
          <w:rFonts w:ascii="Book Antiqua" w:eastAsia="Book Antiqua" w:hAnsi="Book Antiqua" w:cs="Book Antiqua"/>
          <w:color w:val="000000"/>
        </w:rPr>
        <w:t>Grade C (Good): C</w:t>
      </w:r>
    </w:p>
    <w:p w14:paraId="4468BE21" w14:textId="77777777" w:rsidR="00A77B3E" w:rsidRDefault="0063365C">
      <w:pPr>
        <w:spacing w:line="360" w:lineRule="auto"/>
        <w:jc w:val="both"/>
      </w:pPr>
      <w:r>
        <w:rPr>
          <w:rFonts w:ascii="Book Antiqua" w:eastAsia="Book Antiqua" w:hAnsi="Book Antiqua" w:cs="Book Antiqua"/>
          <w:color w:val="000000"/>
        </w:rPr>
        <w:lastRenderedPageBreak/>
        <w:t>Grade D (Fair): 0</w:t>
      </w:r>
    </w:p>
    <w:p w14:paraId="0152C1CC" w14:textId="77777777" w:rsidR="00A77B3E" w:rsidRDefault="0063365C">
      <w:pPr>
        <w:spacing w:line="360" w:lineRule="auto"/>
        <w:jc w:val="both"/>
      </w:pPr>
      <w:r>
        <w:rPr>
          <w:rFonts w:ascii="Book Antiqua" w:eastAsia="Book Antiqua" w:hAnsi="Book Antiqua" w:cs="Book Antiqua"/>
          <w:color w:val="000000"/>
        </w:rPr>
        <w:t>Grade E (Poor): 0</w:t>
      </w:r>
    </w:p>
    <w:p w14:paraId="5EE15F5D" w14:textId="77777777" w:rsidR="00A77B3E" w:rsidRDefault="00A77B3E">
      <w:pPr>
        <w:spacing w:line="360" w:lineRule="auto"/>
        <w:jc w:val="both"/>
      </w:pPr>
    </w:p>
    <w:p w14:paraId="07144BBB" w14:textId="05A82F95" w:rsidR="00A77B3E" w:rsidRDefault="0063365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25EF0">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30A9F4D0" w14:textId="1628FB3C" w:rsidR="00A77B3E" w:rsidRDefault="0063365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D3AF567" w14:textId="17033D11" w:rsidR="00327C08" w:rsidRDefault="00327C08">
      <w:pPr>
        <w:spacing w:line="360" w:lineRule="auto"/>
        <w:jc w:val="both"/>
      </w:pPr>
      <w:r>
        <w:rPr>
          <w:noProof/>
          <w:lang w:val="en-GB" w:eastAsia="zh-CN"/>
        </w:rPr>
        <w:drawing>
          <wp:inline distT="0" distB="0" distL="0" distR="0" wp14:anchorId="724A6128" wp14:editId="62A828EA">
            <wp:extent cx="4684940" cy="6806316"/>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0012" cy="6813684"/>
                    </a:xfrm>
                    <a:prstGeom prst="rect">
                      <a:avLst/>
                    </a:prstGeom>
                  </pic:spPr>
                </pic:pic>
              </a:graphicData>
            </a:graphic>
          </wp:inline>
        </w:drawing>
      </w:r>
    </w:p>
    <w:p w14:paraId="0321AC07" w14:textId="550ACC72" w:rsidR="0063365C"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Expression of glutathione metabolism genes positively correlates with a stemness signature in human pancreatic cancer samples and predicts poor outcome. </w:t>
      </w:r>
      <w:r w:rsidRPr="00327C08">
        <w:rPr>
          <w:rFonts w:ascii="Book Antiqua" w:eastAsia="Book Antiqua" w:hAnsi="Book Antiqua" w:cs="Book Antiqua"/>
          <w:color w:val="000000"/>
        </w:rPr>
        <w:t>A</w:t>
      </w:r>
      <w:r w:rsidR="00327C08">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Enrichment in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in sphere cultures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adherent cultures, as determined by flow cytometry. Representative flow cytometry histograms of the indicated </w:t>
      </w:r>
      <w:r w:rsidR="004D10A2">
        <w:rPr>
          <w:rFonts w:ascii="Book Antiqua" w:eastAsia="Book Antiqua" w:hAnsi="Book Antiqua" w:cs="Book Antiqua"/>
          <w:color w:val="000000"/>
        </w:rPr>
        <w:t>patient-</w:t>
      </w:r>
      <w:r w:rsidR="004D10A2">
        <w:rPr>
          <w:rFonts w:ascii="Book Antiqua" w:eastAsia="Book Antiqua" w:hAnsi="Book Antiqua" w:cs="Book Antiqua"/>
          <w:color w:val="000000"/>
        </w:rPr>
        <w:lastRenderedPageBreak/>
        <w:t>derived xenograft</w:t>
      </w:r>
      <w:r>
        <w:rPr>
          <w:rFonts w:ascii="Book Antiqua" w:eastAsia="Book Antiqua" w:hAnsi="Book Antiqua" w:cs="Book Antiqua"/>
          <w:color w:val="000000"/>
        </w:rPr>
        <w:t xml:space="preserve"> models</w:t>
      </w:r>
      <w:r w:rsidR="00327C08">
        <w:rPr>
          <w:rFonts w:ascii="Book Antiqua" w:eastAsia="Book Antiqua" w:hAnsi="Book Antiqua" w:cs="Book Antiqua"/>
          <w:color w:val="000000"/>
        </w:rPr>
        <w:t>;</w:t>
      </w:r>
      <w:r>
        <w:rPr>
          <w:rFonts w:ascii="Book Antiqua" w:eastAsia="Book Antiqua" w:hAnsi="Book Antiqua" w:cs="Book Antiqua"/>
          <w:color w:val="000000"/>
        </w:rPr>
        <w:t xml:space="preserve"> </w:t>
      </w:r>
      <w:r w:rsidRPr="00327C08">
        <w:rPr>
          <w:rFonts w:ascii="Book Antiqua" w:eastAsia="Book Antiqua" w:hAnsi="Book Antiqua" w:cs="Book Antiqua"/>
          <w:color w:val="000000"/>
        </w:rPr>
        <w:t>B</w:t>
      </w:r>
      <w:r w:rsidR="00327C08">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Correlation of genes that were up-regulated in </w:t>
      </w:r>
      <w:r w:rsidR="00327C08">
        <w:rPr>
          <w:rFonts w:ascii="Book Antiqua" w:eastAsia="Book Antiqua" w:hAnsi="Book Antiqua" w:cs="Book Antiqua"/>
          <w:color w:val="000000"/>
        </w:rPr>
        <w:t>cancer stem cell</w:t>
      </w:r>
      <w:r>
        <w:rPr>
          <w:rFonts w:ascii="Book Antiqua" w:eastAsia="Book Antiqua" w:hAnsi="Book Antiqua" w:cs="Book Antiqua"/>
          <w:color w:val="000000"/>
        </w:rPr>
        <w:t xml:space="preserve">-enriched cultures with a stemness signature defined by combined expression of the pluripotency-related genes </w:t>
      </w:r>
      <w:r>
        <w:rPr>
          <w:rFonts w:ascii="Book Antiqua" w:eastAsia="Book Antiqua" w:hAnsi="Book Antiqua" w:cs="Book Antiqua"/>
          <w:i/>
          <w:iCs/>
          <w:color w:val="000000"/>
        </w:rPr>
        <w:t>NANOG</w:t>
      </w:r>
      <w:r>
        <w:rPr>
          <w:rFonts w:ascii="Book Antiqua" w:eastAsia="Book Antiqua" w:hAnsi="Book Antiqua" w:cs="Book Antiqua"/>
          <w:color w:val="000000"/>
        </w:rPr>
        <w:t xml:space="preserve">, </w:t>
      </w:r>
      <w:r>
        <w:rPr>
          <w:rFonts w:ascii="Book Antiqua" w:eastAsia="Book Antiqua" w:hAnsi="Book Antiqua" w:cs="Book Antiqua"/>
          <w:i/>
          <w:iCs/>
          <w:color w:val="000000"/>
        </w:rPr>
        <w:t>KLF4</w:t>
      </w:r>
      <w:r>
        <w:rPr>
          <w:rFonts w:ascii="Book Antiqua" w:eastAsia="Book Antiqua" w:hAnsi="Book Antiqua" w:cs="Book Antiqua"/>
          <w:color w:val="000000"/>
        </w:rPr>
        <w:t xml:space="preserve">, </w:t>
      </w:r>
      <w:r>
        <w:rPr>
          <w:rFonts w:ascii="Book Antiqua" w:eastAsia="Book Antiqua" w:hAnsi="Book Antiqua" w:cs="Book Antiqua"/>
          <w:i/>
          <w:iCs/>
          <w:color w:val="000000"/>
        </w:rPr>
        <w:t>SOX2</w:t>
      </w:r>
      <w:r>
        <w:rPr>
          <w:rFonts w:ascii="Book Antiqua" w:eastAsia="Book Antiqua" w:hAnsi="Book Antiqua" w:cs="Book Antiqua"/>
          <w:color w:val="000000"/>
        </w:rPr>
        <w:t xml:space="preserve"> and </w:t>
      </w:r>
      <w:r>
        <w:rPr>
          <w:rFonts w:ascii="Book Antiqua" w:eastAsia="Book Antiqua" w:hAnsi="Book Antiqua" w:cs="Book Antiqua"/>
          <w:i/>
          <w:iCs/>
          <w:color w:val="000000"/>
        </w:rPr>
        <w:t>OCT4</w:t>
      </w:r>
      <w:r>
        <w:rPr>
          <w:rFonts w:ascii="Book Antiqua" w:eastAsia="Book Antiqua" w:hAnsi="Book Antiqua" w:cs="Book Antiqua"/>
          <w:color w:val="000000"/>
        </w:rPr>
        <w:t xml:space="preserve">. Pearson´s r and corresponding </w:t>
      </w:r>
      <w:r w:rsidR="00A24934" w:rsidRPr="0013023D">
        <w:rPr>
          <w:rFonts w:ascii="Book Antiqua" w:eastAsia="Book Antiqua" w:hAnsi="Book Antiqua" w:cs="Book Antiqua"/>
          <w:i/>
          <w:iCs/>
          <w:color w:val="000000"/>
        </w:rPr>
        <w:t>P</w:t>
      </w:r>
      <w:r w:rsidR="0073215C">
        <w:rPr>
          <w:rFonts w:ascii="Book Antiqua" w:eastAsia="Book Antiqua" w:hAnsi="Book Antiqua" w:cs="Book Antiqua"/>
          <w:color w:val="000000"/>
        </w:rPr>
        <w:t xml:space="preserve"> </w:t>
      </w:r>
      <w:r>
        <w:rPr>
          <w:rFonts w:ascii="Book Antiqua" w:eastAsia="Book Antiqua" w:hAnsi="Book Antiqua" w:cs="Book Antiqua"/>
          <w:color w:val="000000"/>
        </w:rPr>
        <w:t>values for individual correlations are shown</w:t>
      </w:r>
      <w:r w:rsidR="00327C08">
        <w:rPr>
          <w:rFonts w:ascii="Book Antiqua" w:eastAsia="Book Antiqua" w:hAnsi="Book Antiqua" w:cs="Book Antiqua"/>
          <w:color w:val="000000"/>
        </w:rPr>
        <w:t>;</w:t>
      </w:r>
      <w:r w:rsidR="00327C08">
        <w:rPr>
          <w:rFonts w:ascii="Book Antiqua" w:eastAsia="Book Antiqua" w:hAnsi="Book Antiqua" w:cs="Book Antiqua"/>
          <w:b/>
          <w:bCs/>
          <w:color w:val="000000"/>
        </w:rPr>
        <w:t xml:space="preserve"> </w:t>
      </w:r>
      <w:r w:rsidRPr="0013023D">
        <w:rPr>
          <w:rFonts w:ascii="Book Antiqua" w:eastAsia="Book Antiqua" w:hAnsi="Book Antiqua" w:cs="Book Antiqua"/>
          <w:color w:val="000000"/>
        </w:rPr>
        <w:t>C</w:t>
      </w:r>
      <w:r w:rsidR="00327C08">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F25EF0">
        <w:rPr>
          <w:rFonts w:ascii="Book Antiqua" w:eastAsia="Book Antiqua" w:hAnsi="Book Antiqua" w:cs="Book Antiqua"/>
          <w:color w:val="000000"/>
        </w:rPr>
        <w:t>f</w:t>
      </w:r>
      <w:r>
        <w:rPr>
          <w:rFonts w:ascii="Book Antiqua" w:eastAsia="Book Antiqua" w:hAnsi="Book Antiqua" w:cs="Book Antiqua"/>
          <w:color w:val="000000"/>
        </w:rPr>
        <w:t xml:space="preserve">ree </w:t>
      </w:r>
      <w:r w:rsidR="00F25EF0">
        <w:rPr>
          <w:rFonts w:ascii="Book Antiqua" w:eastAsia="Book Antiqua" w:hAnsi="Book Antiqua" w:cs="Book Antiqua"/>
          <w:color w:val="000000"/>
        </w:rPr>
        <w:t>s</w:t>
      </w:r>
      <w:r>
        <w:rPr>
          <w:rFonts w:ascii="Book Antiqua" w:eastAsia="Book Antiqua" w:hAnsi="Book Antiqua" w:cs="Book Antiqua"/>
          <w:color w:val="000000"/>
        </w:rPr>
        <w:t>urvival in pancreatic cancer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patients from upper and lower quartiles of expression of the indicated genes. Hazard </w:t>
      </w:r>
      <w:r w:rsidR="00D72FE4">
        <w:rPr>
          <w:rFonts w:ascii="Book Antiqua" w:eastAsia="Book Antiqua" w:hAnsi="Book Antiqua" w:cs="Book Antiqua"/>
          <w:color w:val="000000"/>
        </w:rPr>
        <w:t>r</w:t>
      </w:r>
      <w:r>
        <w:rPr>
          <w:rFonts w:ascii="Book Antiqua" w:eastAsia="Book Antiqua" w:hAnsi="Book Antiqua" w:cs="Book Antiqua"/>
          <w:color w:val="000000"/>
        </w:rPr>
        <w:t>atio</w:t>
      </w:r>
      <w:r w:rsidR="001C3AF3">
        <w:rPr>
          <w:rFonts w:ascii="Book Antiqua" w:eastAsia="Book Antiqua" w:hAnsi="Book Antiqua" w:cs="Book Antiqua"/>
          <w:color w:val="000000"/>
        </w:rPr>
        <w:t xml:space="preserve"> </w:t>
      </w:r>
      <w:r>
        <w:rPr>
          <w:rFonts w:ascii="Book Antiqua" w:eastAsia="Book Antiqua" w:hAnsi="Book Antiqua" w:cs="Book Antiqua"/>
          <w:color w:val="000000"/>
        </w:rPr>
        <w:t>was calculated using the C</w:t>
      </w:r>
      <w:r w:rsidR="00F25EF0">
        <w:rPr>
          <w:rFonts w:ascii="Book Antiqua" w:eastAsia="Book Antiqua" w:hAnsi="Book Antiqua" w:cs="Book Antiqua"/>
          <w:color w:val="000000"/>
        </w:rPr>
        <w:t>ox</w:t>
      </w:r>
      <w:r>
        <w:rPr>
          <w:rFonts w:ascii="Book Antiqua" w:eastAsia="Book Antiqua" w:hAnsi="Book Antiqua" w:cs="Book Antiqua"/>
          <w:color w:val="000000"/>
        </w:rPr>
        <w:t xml:space="preserve"> Proportional Hazards model. Dot</w:t>
      </w:r>
      <w:r w:rsidR="00F25EF0">
        <w:rPr>
          <w:rFonts w:ascii="Book Antiqua" w:eastAsia="Book Antiqua" w:hAnsi="Book Antiqua" w:cs="Book Antiqua"/>
          <w:color w:val="000000"/>
        </w:rPr>
        <w:t>t</w:t>
      </w:r>
      <w:r>
        <w:rPr>
          <w:rFonts w:ascii="Book Antiqua" w:eastAsia="Book Antiqua" w:hAnsi="Book Antiqua" w:cs="Book Antiqua"/>
          <w:color w:val="000000"/>
        </w:rPr>
        <w:t xml:space="preserve">ed lines represent the 95% confidence interval. Data in A and B were calculated using GEPIA2 (http://gepia2.cancer-pku.cn), using public data compiled in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w:t>
      </w:r>
      <w:proofErr w:type="spellStart"/>
      <w:r w:rsidR="00327C08">
        <w:rPr>
          <w:rFonts w:ascii="Book Antiqua" w:eastAsia="Book Antiqua" w:hAnsi="Book Antiqua" w:cs="Book Antiqua"/>
          <w:color w:val="000000"/>
        </w:rPr>
        <w:t>Sph</w:t>
      </w:r>
      <w:proofErr w:type="spellEnd"/>
      <w:r w:rsidR="00327C08">
        <w:rPr>
          <w:rFonts w:ascii="Book Antiqua" w:eastAsia="Book Antiqua" w:hAnsi="Book Antiqua" w:cs="Book Antiqua"/>
          <w:color w:val="000000"/>
        </w:rPr>
        <w:t xml:space="preserve">: Sphere culture; </w:t>
      </w:r>
      <w:proofErr w:type="spellStart"/>
      <w:r w:rsidR="00327C08">
        <w:rPr>
          <w:rFonts w:ascii="Book Antiqua" w:eastAsia="Book Antiqua" w:hAnsi="Book Antiqua" w:cs="Book Antiqua"/>
          <w:color w:val="000000"/>
        </w:rPr>
        <w:t>Adh</w:t>
      </w:r>
      <w:proofErr w:type="spellEnd"/>
      <w:r w:rsidR="00327C08">
        <w:rPr>
          <w:rFonts w:ascii="Book Antiqua" w:eastAsia="Book Antiqua" w:hAnsi="Book Antiqua" w:cs="Book Antiqua"/>
          <w:color w:val="000000"/>
        </w:rPr>
        <w:t>: adherent culture</w:t>
      </w:r>
      <w:r w:rsidR="00A24934">
        <w:rPr>
          <w:rFonts w:ascii="Book Antiqua" w:eastAsia="Book Antiqua" w:hAnsi="Book Antiqua" w:cs="Book Antiqua"/>
          <w:color w:val="000000"/>
        </w:rPr>
        <w:t>; HR: Hazard ratio.</w:t>
      </w:r>
    </w:p>
    <w:p w14:paraId="08233874" w14:textId="79132024" w:rsidR="00A77B3E" w:rsidRDefault="0063365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5E2FDEA5" wp14:editId="439E9C44">
            <wp:extent cx="5863491" cy="6345141"/>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3282" cy="6355736"/>
                    </a:xfrm>
                    <a:prstGeom prst="rect">
                      <a:avLst/>
                    </a:prstGeom>
                    <a:noFill/>
                  </pic:spPr>
                </pic:pic>
              </a:graphicData>
            </a:graphic>
          </wp:inline>
        </w:drawing>
      </w:r>
    </w:p>
    <w:p w14:paraId="3DD14190" w14:textId="00338A16" w:rsidR="00B46145"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Glutathione metabolism-related genes are up-regulated in </w:t>
      </w:r>
      <w:bookmarkStart w:id="3" w:name="_Hlk51349121"/>
      <w:r w:rsidRPr="0063365C">
        <w:rPr>
          <w:rFonts w:ascii="Book Antiqua" w:eastAsia="Book Antiqua" w:hAnsi="Book Antiqua" w:cs="Book Antiqua"/>
          <w:b/>
          <w:bCs/>
          <w:color w:val="000000"/>
        </w:rPr>
        <w:t>cancer stem cell</w:t>
      </w:r>
      <w:bookmarkEnd w:id="3"/>
      <w:r>
        <w:rPr>
          <w:rFonts w:ascii="Book Antiqua" w:eastAsia="Book Antiqua" w:hAnsi="Book Antiqua" w:cs="Book Antiqua"/>
          <w:b/>
          <w:bCs/>
          <w:color w:val="000000"/>
        </w:rPr>
        <w:t xml:space="preserve">-enriched conditions. </w:t>
      </w:r>
      <w:r>
        <w:rPr>
          <w:rFonts w:ascii="Book Antiqua" w:eastAsia="Book Antiqua" w:hAnsi="Book Antiqua" w:cs="Book Antiqua"/>
          <w:color w:val="000000"/>
        </w:rPr>
        <w:t xml:space="preserve">Primary cells from different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 models as indicated in the figure were cultured in adherent or low-attachment </w:t>
      </w:r>
      <w:r w:rsidRPr="0063365C">
        <w:rPr>
          <w:rFonts w:ascii="Book Antiqua" w:eastAsia="Book Antiqua" w:hAnsi="Book Antiqua" w:cs="Book Antiqua"/>
          <w:color w:val="000000"/>
        </w:rPr>
        <w:t>cancer stem cell</w:t>
      </w:r>
      <w:r>
        <w:rPr>
          <w:rFonts w:ascii="Book Antiqua" w:eastAsia="Book Antiqua" w:hAnsi="Book Antiqua" w:cs="Book Antiqua"/>
          <w:color w:val="000000"/>
        </w:rPr>
        <w:t xml:space="preserve">-enriching conditions. On day 7 the expression of several glutathione (GSH)-related genes was evaluated by real-time </w:t>
      </w:r>
      <w:r w:rsidRPr="00C41D49">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(PCR). </w:t>
      </w:r>
      <w:r w:rsidRPr="0013023D">
        <w:rPr>
          <w:rFonts w:ascii="Book Antiqua" w:eastAsia="Book Antiqua" w:hAnsi="Book Antiqua" w:cs="Book Antiqua"/>
          <w:color w:val="000000"/>
        </w:rPr>
        <w:t>A</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Glutathione-S-Transferases A1, A2, A4, M1; </w:t>
      </w:r>
      <w:r w:rsidRPr="0013023D">
        <w:rPr>
          <w:rFonts w:ascii="Book Antiqua" w:eastAsia="Book Antiqua" w:hAnsi="Book Antiqua" w:cs="Book Antiqua"/>
          <w:color w:val="000000"/>
        </w:rPr>
        <w:t>B</w:t>
      </w:r>
      <w:r>
        <w:rPr>
          <w:rFonts w:ascii="Book Antiqua" w:eastAsia="Book Antiqua" w:hAnsi="Book Antiqua" w:cs="Book Antiqua"/>
          <w:color w:val="000000"/>
        </w:rPr>
        <w:t>: Gamma-</w:t>
      </w:r>
      <w:proofErr w:type="spellStart"/>
      <w:r>
        <w:rPr>
          <w:rFonts w:ascii="Book Antiqua" w:eastAsia="Book Antiqua" w:hAnsi="Book Antiqua" w:cs="Book Antiqua"/>
          <w:color w:val="000000"/>
        </w:rPr>
        <w:t>glutamyltransferases</w:t>
      </w:r>
      <w:proofErr w:type="spellEnd"/>
      <w:r>
        <w:rPr>
          <w:rFonts w:ascii="Book Antiqua" w:eastAsia="Book Antiqua" w:hAnsi="Book Antiqua" w:cs="Book Antiqua"/>
          <w:color w:val="000000"/>
        </w:rPr>
        <w:t xml:space="preserve"> 1 and 2; </w:t>
      </w:r>
      <w:r w:rsidRPr="0013023D">
        <w:rPr>
          <w:rFonts w:ascii="Book Antiqua" w:eastAsia="Book Antiqua" w:hAnsi="Book Antiqua" w:cs="Book Antiqua"/>
          <w:color w:val="000000"/>
        </w:rPr>
        <w:t>C</w:t>
      </w:r>
      <w:r>
        <w:rPr>
          <w:rFonts w:ascii="Book Antiqua" w:eastAsia="Book Antiqua" w:hAnsi="Book Antiqua" w:cs="Book Antiqua"/>
          <w:color w:val="000000"/>
        </w:rPr>
        <w:t xml:space="preserve">: Glutathione </w:t>
      </w:r>
      <w:r>
        <w:rPr>
          <w:rFonts w:ascii="Book Antiqua" w:eastAsia="Book Antiqua" w:hAnsi="Book Antiqua" w:cs="Book Antiqua"/>
          <w:color w:val="000000"/>
        </w:rPr>
        <w:lastRenderedPageBreak/>
        <w:t xml:space="preserve">Peroxidases 1 and 2; </w:t>
      </w:r>
      <w:r w:rsidRPr="0013023D">
        <w:rPr>
          <w:rFonts w:ascii="Book Antiqua" w:eastAsia="Book Antiqua" w:hAnsi="Book Antiqua" w:cs="Book Antiqua"/>
          <w:color w:val="000000"/>
        </w:rPr>
        <w:t>D</w:t>
      </w:r>
      <w:r>
        <w:rPr>
          <w:rFonts w:ascii="Book Antiqua" w:eastAsia="Book Antiqua" w:hAnsi="Book Antiqua" w:cs="Book Antiqua"/>
          <w:color w:val="000000"/>
        </w:rPr>
        <w:t xml:space="preserve">: Isocitrate Dehydrogenases 1 and 2. Data were normalized to HPRT and are shown as mean ± SE fold change expression levels of sphere </w:t>
      </w:r>
      <w:r>
        <w:rPr>
          <w:rFonts w:ascii="Book Antiqua" w:eastAsia="Book Antiqua" w:hAnsi="Book Antiqua" w:cs="Book Antiqua"/>
          <w:i/>
          <w:iCs/>
          <w:color w:val="000000"/>
        </w:rPr>
        <w:t>vs</w:t>
      </w:r>
      <w:r>
        <w:rPr>
          <w:rFonts w:ascii="Book Antiqua" w:eastAsia="Book Antiqua" w:hAnsi="Book Antiqua" w:cs="Book Antiqua"/>
          <w:color w:val="000000"/>
        </w:rPr>
        <w:t xml:space="preserve"> adherent cultures in logarithmic scale. </w:t>
      </w:r>
      <w:proofErr w:type="spellStart"/>
      <w:r>
        <w:rPr>
          <w:rFonts w:ascii="Book Antiqua" w:eastAsia="Book Antiqua" w:hAnsi="Book Antiqua" w:cs="Book Antiqua"/>
          <w:color w:val="000000"/>
          <w:szCs w:val="20"/>
          <w:vertAlign w:val="superscript"/>
        </w:rPr>
        <w:t>a</w:t>
      </w:r>
      <w:r w:rsidR="00B46145" w:rsidRPr="00B46145">
        <w:rPr>
          <w:rFonts w:ascii="Book Antiqua" w:eastAsia="Book Antiqua" w:hAnsi="Book Antiqua" w:cs="Book Antiqua"/>
          <w:i/>
          <w:iCs/>
          <w:color w:val="000000"/>
        </w:rPr>
        <w:t>P</w:t>
      </w:r>
      <w:proofErr w:type="spellEnd"/>
      <w:r w:rsidR="00B4614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46145">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20"/>
          <w:vertAlign w:val="superscript"/>
        </w:rPr>
        <w:t>b</w:t>
      </w:r>
      <w:r w:rsidR="00B46145" w:rsidRPr="00B46145">
        <w:rPr>
          <w:i/>
          <w:iCs/>
        </w:rPr>
        <w:t>P</w:t>
      </w:r>
      <w:proofErr w:type="spellEnd"/>
      <w:r w:rsidR="00B46145">
        <w:rPr>
          <w:i/>
          <w:iCs/>
        </w:rPr>
        <w:t xml:space="preserve"> </w:t>
      </w:r>
      <w:r>
        <w:rPr>
          <w:rFonts w:ascii="Book Antiqua" w:eastAsia="Book Antiqua" w:hAnsi="Book Antiqua" w:cs="Book Antiqua"/>
          <w:color w:val="000000"/>
        </w:rPr>
        <w:t>&lt;</w:t>
      </w:r>
      <w:r w:rsidR="00B46145">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szCs w:val="20"/>
          <w:vertAlign w:val="superscript"/>
        </w:rPr>
        <w:t>c</w:t>
      </w:r>
      <w:r w:rsidR="00B46145" w:rsidRPr="0013023D">
        <w:rPr>
          <w:rFonts w:ascii="Book Antiqua" w:eastAsia="Book Antiqua" w:hAnsi="Book Antiqua" w:cs="Book Antiqua"/>
          <w:i/>
          <w:iCs/>
          <w:color w:val="000000"/>
        </w:rPr>
        <w:t>P</w:t>
      </w:r>
      <w:proofErr w:type="spellEnd"/>
      <w:r w:rsidR="00B46145">
        <w:rPr>
          <w:rFonts w:ascii="Book Antiqua" w:eastAsia="Book Antiqua" w:hAnsi="Book Antiqua" w:cs="Book Antiqua"/>
          <w:color w:val="000000"/>
        </w:rPr>
        <w:t xml:space="preserve"> </w:t>
      </w:r>
      <w:r>
        <w:rPr>
          <w:rFonts w:ascii="Book Antiqua" w:eastAsia="Book Antiqua" w:hAnsi="Book Antiqua" w:cs="Book Antiqua"/>
          <w:color w:val="000000"/>
        </w:rPr>
        <w:t>&lt;</w:t>
      </w:r>
      <w:r w:rsidR="00B46145">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B46145">
        <w:rPr>
          <w:rFonts w:ascii="Book Antiqua" w:eastAsia="Book Antiqua" w:hAnsi="Book Antiqua" w:cs="Book Antiqua"/>
          <w:color w:val="000000"/>
        </w:rPr>
        <w:t>PDX: Patient</w:t>
      </w:r>
      <w:r w:rsidR="004D10A2">
        <w:rPr>
          <w:rFonts w:ascii="Book Antiqua" w:eastAsia="Book Antiqua" w:hAnsi="Book Antiqua" w:cs="Book Antiqua"/>
          <w:color w:val="000000"/>
        </w:rPr>
        <w:t>-derived xen</w:t>
      </w:r>
      <w:r w:rsidR="00B46145">
        <w:rPr>
          <w:rFonts w:ascii="Book Antiqua" w:eastAsia="Book Antiqua" w:hAnsi="Book Antiqua" w:cs="Book Antiqua"/>
          <w:color w:val="000000"/>
        </w:rPr>
        <w:t>ograft; GGT: Gamma-</w:t>
      </w:r>
      <w:proofErr w:type="spellStart"/>
      <w:r w:rsidR="00B46145">
        <w:rPr>
          <w:rFonts w:ascii="Book Antiqua" w:eastAsia="Book Antiqua" w:hAnsi="Book Antiqua" w:cs="Book Antiqua"/>
          <w:color w:val="000000"/>
        </w:rPr>
        <w:t>glutamyltransferase</w:t>
      </w:r>
      <w:proofErr w:type="spellEnd"/>
      <w:r w:rsidR="00B46145">
        <w:rPr>
          <w:rFonts w:ascii="Book Antiqua" w:eastAsia="Book Antiqua" w:hAnsi="Book Antiqua" w:cs="Book Antiqua"/>
          <w:color w:val="000000"/>
        </w:rPr>
        <w:t>; GST: Glutathione-s-transferase; GPX: Glutathione peroxidase.</w:t>
      </w:r>
    </w:p>
    <w:p w14:paraId="44AFE36C" w14:textId="342A550D" w:rsidR="00A77B3E" w:rsidRDefault="00B46145">
      <w:pPr>
        <w:spacing w:line="360" w:lineRule="auto"/>
        <w:jc w:val="both"/>
      </w:pPr>
      <w:r>
        <w:rPr>
          <w:rFonts w:ascii="Book Antiqua" w:eastAsia="Book Antiqua" w:hAnsi="Book Antiqua" w:cs="Book Antiqua"/>
          <w:color w:val="000000"/>
        </w:rPr>
        <w:br w:type="page"/>
      </w:r>
      <w:r w:rsidR="009611C9">
        <w:rPr>
          <w:noProof/>
          <w:lang w:val="en-GB" w:eastAsia="zh-CN"/>
        </w:rPr>
        <w:lastRenderedPageBreak/>
        <w:drawing>
          <wp:inline distT="0" distB="0" distL="0" distR="0" wp14:anchorId="570D9176" wp14:editId="3E924F7B">
            <wp:extent cx="4267231" cy="4129118"/>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7231" cy="4129118"/>
                    </a:xfrm>
                    <a:prstGeom prst="rect">
                      <a:avLst/>
                    </a:prstGeom>
                  </pic:spPr>
                </pic:pic>
              </a:graphicData>
            </a:graphic>
          </wp:inline>
        </w:drawing>
      </w:r>
    </w:p>
    <w:p w14:paraId="1FCD13EC" w14:textId="2886EEE9" w:rsidR="00DC4998"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Reduced glutathione content is increased in </w:t>
      </w:r>
      <w:r w:rsidRPr="0063365C">
        <w:rPr>
          <w:rFonts w:ascii="Book Antiqua" w:eastAsia="Book Antiqua" w:hAnsi="Book Antiqua" w:cs="Book Antiqua"/>
          <w:b/>
          <w:bCs/>
          <w:color w:val="000000"/>
        </w:rPr>
        <w:t>cancer stem cell</w:t>
      </w:r>
      <w:r>
        <w:rPr>
          <w:rFonts w:ascii="Book Antiqua" w:eastAsia="Book Antiqua" w:hAnsi="Book Antiqua" w:cs="Book Antiqua"/>
          <w:b/>
          <w:bCs/>
          <w:color w:val="000000"/>
        </w:rPr>
        <w:t xml:space="preserve">-enriching conditions. </w:t>
      </w:r>
      <w:r>
        <w:rPr>
          <w:rFonts w:ascii="Book Antiqua" w:eastAsia="Book Antiqua" w:hAnsi="Book Antiqua" w:cs="Book Antiqua"/>
          <w:color w:val="000000"/>
        </w:rPr>
        <w:t xml:space="preserve">Reduced </w:t>
      </w:r>
      <w:bookmarkStart w:id="4" w:name="_Hlk51350201"/>
      <w:r w:rsidR="004D10A2">
        <w:rPr>
          <w:rFonts w:ascii="Book Antiqua" w:eastAsia="Book Antiqua" w:hAnsi="Book Antiqua" w:cs="Book Antiqua"/>
          <w:color w:val="000000"/>
        </w:rPr>
        <w:t>glutathione (</w:t>
      </w:r>
      <w:bookmarkEnd w:id="4"/>
      <w:r>
        <w:rPr>
          <w:rFonts w:ascii="Book Antiqua" w:eastAsia="Book Antiqua" w:hAnsi="Book Antiqua" w:cs="Book Antiqua"/>
          <w:color w:val="000000"/>
        </w:rPr>
        <w:t>GSH</w:t>
      </w:r>
      <w:r w:rsidR="004D10A2">
        <w:rPr>
          <w:rFonts w:ascii="Book Antiqua" w:eastAsia="Book Antiqua" w:hAnsi="Book Antiqua" w:cs="Book Antiqua"/>
          <w:color w:val="000000"/>
        </w:rPr>
        <w:t>)</w:t>
      </w:r>
      <w:r>
        <w:rPr>
          <w:rFonts w:ascii="Book Antiqua" w:eastAsia="Book Antiqua" w:hAnsi="Book Antiqua" w:cs="Book Antiqua"/>
          <w:color w:val="000000"/>
        </w:rPr>
        <w:t xml:space="preserve"> content was measured using the fluorescent thiol-reactive probe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13023D">
        <w:rPr>
          <w:rFonts w:ascii="Book Antiqua" w:eastAsia="Book Antiqua" w:hAnsi="Book Antiqua" w:cs="Book Antiqua"/>
          <w:color w:val="000000"/>
        </w:rPr>
        <w:t>A</w:t>
      </w:r>
      <w:r w:rsidR="004D10A2">
        <w:rPr>
          <w:rFonts w:ascii="Book Antiqua" w:eastAsia="Book Antiqua" w:hAnsi="Book Antiqua" w:cs="Book Antiqua"/>
          <w:color w:val="000000"/>
        </w:rPr>
        <w:t>:</w:t>
      </w:r>
      <w:r w:rsidR="004D10A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GSH content in cellular lysates </w:t>
      </w:r>
      <w:r w:rsidR="00B13317">
        <w:rPr>
          <w:rFonts w:ascii="Book Antiqua" w:eastAsia="Book Antiqua" w:hAnsi="Book Antiqua" w:cs="Book Antiqua"/>
          <w:color w:val="000000"/>
        </w:rPr>
        <w:t>w</w:t>
      </w:r>
      <w:r>
        <w:rPr>
          <w:rFonts w:ascii="Book Antiqua" w:eastAsia="Book Antiqua" w:hAnsi="Book Antiqua" w:cs="Book Antiqua"/>
          <w:color w:val="000000"/>
        </w:rPr>
        <w:t>as assessed by fluorimetry.  Primary cells from differen</w:t>
      </w:r>
      <w:r w:rsidR="004D10A2">
        <w:rPr>
          <w:rFonts w:ascii="Book Antiqua" w:eastAsia="Book Antiqua" w:hAnsi="Book Antiqua" w:cs="Book Antiqua"/>
          <w:color w:val="000000"/>
        </w:rPr>
        <w:t>t pa</w:t>
      </w:r>
      <w:r>
        <w:rPr>
          <w:rFonts w:ascii="Book Antiqua" w:eastAsia="Book Antiqua" w:hAnsi="Book Antiqua" w:cs="Book Antiqua"/>
          <w:color w:val="000000"/>
        </w:rPr>
        <w:t>tien</w:t>
      </w:r>
      <w:r w:rsidR="004D10A2">
        <w:rPr>
          <w:rFonts w:ascii="Book Antiqua" w:eastAsia="Book Antiqua" w:hAnsi="Book Antiqua" w:cs="Book Antiqua"/>
          <w:color w:val="000000"/>
        </w:rPr>
        <w:t>t-derived xe</w:t>
      </w:r>
      <w:r>
        <w:rPr>
          <w:rFonts w:ascii="Book Antiqua" w:eastAsia="Book Antiqua" w:hAnsi="Book Antiqua" w:cs="Book Antiqua"/>
          <w:color w:val="000000"/>
        </w:rPr>
        <w:t xml:space="preserve">nograft (PDX) models as indicated in the figure were cultured in adherent or low-attachment </w:t>
      </w:r>
      <w:r w:rsidRPr="0063365C">
        <w:rPr>
          <w:rFonts w:ascii="Book Antiqua" w:eastAsia="Book Antiqua" w:hAnsi="Book Antiqua" w:cs="Book Antiqua"/>
          <w:color w:val="000000"/>
        </w:rPr>
        <w:t>cancer stem cell</w:t>
      </w:r>
      <w:r>
        <w:rPr>
          <w:rFonts w:ascii="Book Antiqua" w:eastAsia="Book Antiqua" w:hAnsi="Book Antiqua" w:cs="Book Antiqua"/>
          <w:color w:val="000000"/>
        </w:rPr>
        <w:t>-enriching conditions for 7 d. Data were normalized for protein content</w:t>
      </w:r>
      <w:r w:rsidR="004D10A2">
        <w:rPr>
          <w:rFonts w:ascii="Book Antiqua" w:eastAsia="Book Antiqua" w:hAnsi="Book Antiqua" w:cs="Book Antiqua"/>
          <w:color w:val="000000"/>
        </w:rPr>
        <w:t xml:space="preserve">; </w:t>
      </w:r>
      <w:r w:rsidRPr="0013023D">
        <w:rPr>
          <w:rFonts w:ascii="Book Antiqua" w:eastAsia="Book Antiqua" w:hAnsi="Book Antiqua" w:cs="Book Antiqua"/>
          <w:color w:val="000000"/>
        </w:rPr>
        <w:t>B</w:t>
      </w:r>
      <w:r w:rsidR="004D10A2">
        <w:rPr>
          <w:rFonts w:ascii="Book Antiqua" w:eastAsia="Book Antiqua" w:hAnsi="Book Antiqua" w:cs="Book Antiqua"/>
          <w:color w:val="000000"/>
        </w:rPr>
        <w:t xml:space="preserve">: </w:t>
      </w:r>
      <w:r>
        <w:rPr>
          <w:rFonts w:ascii="Book Antiqua" w:eastAsia="Book Antiqua" w:hAnsi="Book Antiqua" w:cs="Book Antiqua"/>
          <w:color w:val="000000"/>
        </w:rPr>
        <w:t>GSH content in CD133 positive and negative subpopulations as determined by flow cytometry. Representative flow cytometry histograms of the indicated PDX models are shown, with the following mean fluorescence intensities (MFI) for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populations, respectively: PDX215 (2787 </w:t>
      </w:r>
      <w:r>
        <w:rPr>
          <w:rFonts w:ascii="Book Antiqua" w:eastAsia="Book Antiqua" w:hAnsi="Book Antiqua" w:cs="Book Antiqua"/>
          <w:i/>
          <w:iCs/>
          <w:color w:val="000000"/>
        </w:rPr>
        <w:t>vs</w:t>
      </w:r>
      <w:r>
        <w:rPr>
          <w:rFonts w:ascii="Book Antiqua" w:eastAsia="Book Antiqua" w:hAnsi="Book Antiqua" w:cs="Book Antiqua"/>
          <w:color w:val="000000"/>
        </w:rPr>
        <w:t xml:space="preserve"> 4880), PDX286 (2748 </w:t>
      </w:r>
      <w:r>
        <w:rPr>
          <w:rFonts w:ascii="Book Antiqua" w:eastAsia="Book Antiqua" w:hAnsi="Book Antiqua" w:cs="Book Antiqua"/>
          <w:i/>
          <w:iCs/>
          <w:color w:val="000000"/>
        </w:rPr>
        <w:t>vs</w:t>
      </w:r>
      <w:r>
        <w:rPr>
          <w:rFonts w:ascii="Book Antiqua" w:eastAsia="Book Antiqua" w:hAnsi="Book Antiqua" w:cs="Book Antiqua"/>
          <w:color w:val="000000"/>
        </w:rPr>
        <w:t xml:space="preserve"> 4364), PDX354 (4138 </w:t>
      </w:r>
      <w:r>
        <w:rPr>
          <w:rFonts w:ascii="Book Antiqua" w:eastAsia="Book Antiqua" w:hAnsi="Book Antiqua" w:cs="Book Antiqua"/>
          <w:i/>
          <w:iCs/>
          <w:color w:val="000000"/>
        </w:rPr>
        <w:t xml:space="preserve">vs </w:t>
      </w:r>
      <w:r>
        <w:rPr>
          <w:rFonts w:ascii="Book Antiqua" w:eastAsia="Book Antiqua" w:hAnsi="Book Antiqua" w:cs="Book Antiqua"/>
          <w:color w:val="000000"/>
        </w:rPr>
        <w:t>6988</w:t>
      </w:r>
      <w:r w:rsidR="004D10A2">
        <w:rPr>
          <w:rFonts w:ascii="Book Antiqua" w:eastAsia="Book Antiqua" w:hAnsi="Book Antiqua" w:cs="Book Antiqua"/>
          <w:color w:val="000000"/>
        </w:rPr>
        <w:t xml:space="preserve">); </w:t>
      </w:r>
      <w:r w:rsidRPr="0013023D">
        <w:rPr>
          <w:rFonts w:ascii="Book Antiqua" w:eastAsia="Book Antiqua" w:hAnsi="Book Antiqua" w:cs="Book Antiqua"/>
          <w:color w:val="000000"/>
        </w:rPr>
        <w:t>C</w:t>
      </w:r>
      <w:r w:rsidR="004D10A2">
        <w:rPr>
          <w:rFonts w:ascii="Book Antiqua" w:eastAsia="Book Antiqua" w:hAnsi="Book Antiqua" w:cs="Book Antiqua"/>
          <w:color w:val="000000"/>
        </w:rPr>
        <w:t>:</w:t>
      </w:r>
      <w:r>
        <w:rPr>
          <w:rFonts w:ascii="Book Antiqua" w:eastAsia="Book Antiqua" w:hAnsi="Book Antiqua" w:cs="Book Antiqua"/>
          <w:color w:val="000000"/>
        </w:rPr>
        <w:t xml:space="preserve"> Pooled MFI data from PDX215, 286 and 354. Data in A and C are shown as mean ± SE fold change for sphere </w:t>
      </w:r>
      <w:r>
        <w:rPr>
          <w:rFonts w:ascii="Book Antiqua" w:eastAsia="Book Antiqua" w:hAnsi="Book Antiqua" w:cs="Book Antiqua"/>
          <w:i/>
          <w:iCs/>
          <w:color w:val="000000"/>
        </w:rPr>
        <w:t>vs</w:t>
      </w:r>
      <w:r>
        <w:rPr>
          <w:rFonts w:ascii="Book Antiqua" w:eastAsia="Book Antiqua" w:hAnsi="Book Antiqua" w:cs="Book Antiqua"/>
          <w:color w:val="000000"/>
        </w:rPr>
        <w:t xml:space="preserve"> adherent cultures (A) or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a</w:t>
      </w:r>
      <w:r w:rsidR="004D10A2" w:rsidRPr="004D10A2">
        <w:rPr>
          <w:rFonts w:ascii="Book Antiqua" w:eastAsia="Book Antiqua" w:hAnsi="Book Antiqua" w:cs="Book Antiqua"/>
          <w:i/>
          <w:iCs/>
          <w:color w:val="000000"/>
        </w:rPr>
        <w:t>P</w:t>
      </w:r>
      <w:proofErr w:type="spellEnd"/>
      <w:r w:rsidR="004D10A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D10A2">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20"/>
          <w:vertAlign w:val="superscript"/>
        </w:rPr>
        <w:t>b</w:t>
      </w:r>
      <w:r w:rsidR="004D10A2" w:rsidRPr="004D10A2">
        <w:rPr>
          <w:rFonts w:ascii="Book Antiqua" w:eastAsia="Book Antiqua" w:hAnsi="Book Antiqua" w:cs="Book Antiqua"/>
          <w:i/>
          <w:iCs/>
          <w:color w:val="000000"/>
        </w:rPr>
        <w:t>P</w:t>
      </w:r>
      <w:proofErr w:type="spellEnd"/>
      <w:r w:rsidR="004D10A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D10A2">
        <w:rPr>
          <w:rFonts w:ascii="Book Antiqua" w:eastAsia="Book Antiqua" w:hAnsi="Book Antiqua" w:cs="Book Antiqua"/>
          <w:color w:val="000000"/>
        </w:rPr>
        <w:t xml:space="preserve"> </w:t>
      </w:r>
      <w:r>
        <w:rPr>
          <w:rFonts w:ascii="Book Antiqua" w:eastAsia="Book Antiqua" w:hAnsi="Book Antiqua" w:cs="Book Antiqua"/>
          <w:color w:val="000000"/>
        </w:rPr>
        <w:t>0.01</w:t>
      </w:r>
      <w:r w:rsidR="009611C9">
        <w:rPr>
          <w:rFonts w:ascii="Book Antiqua" w:eastAsia="Book Antiqua" w:hAnsi="Book Antiqua" w:cs="Book Antiqua"/>
          <w:color w:val="000000"/>
        </w:rPr>
        <w:t xml:space="preserve">. GSH: Glutathione content in its reduced form; PDX: Patient-derived </w:t>
      </w:r>
      <w:r w:rsidR="009611C9">
        <w:rPr>
          <w:rFonts w:ascii="Book Antiqua" w:eastAsia="Book Antiqua" w:hAnsi="Book Antiqua" w:cs="Book Antiqua"/>
          <w:color w:val="000000"/>
        </w:rPr>
        <w:lastRenderedPageBreak/>
        <w:t xml:space="preserve">xenograft; </w:t>
      </w:r>
      <w:proofErr w:type="spellStart"/>
      <w:r w:rsidR="009611C9">
        <w:rPr>
          <w:rFonts w:ascii="Book Antiqua" w:eastAsia="Book Antiqua" w:hAnsi="Book Antiqua" w:cs="Book Antiqua"/>
          <w:color w:val="000000"/>
        </w:rPr>
        <w:t>Sph</w:t>
      </w:r>
      <w:proofErr w:type="spellEnd"/>
      <w:r w:rsidR="009611C9">
        <w:rPr>
          <w:rFonts w:ascii="Book Antiqua" w:eastAsia="Book Antiqua" w:hAnsi="Book Antiqua" w:cs="Book Antiqua"/>
          <w:color w:val="000000"/>
        </w:rPr>
        <w:t xml:space="preserve">: Sphere culture; </w:t>
      </w:r>
      <w:proofErr w:type="spellStart"/>
      <w:r w:rsidR="009611C9">
        <w:rPr>
          <w:rFonts w:ascii="Book Antiqua" w:eastAsia="Book Antiqua" w:hAnsi="Book Antiqua" w:cs="Book Antiqua"/>
          <w:color w:val="000000"/>
        </w:rPr>
        <w:t>Adh</w:t>
      </w:r>
      <w:proofErr w:type="spellEnd"/>
      <w:r w:rsidR="009611C9">
        <w:rPr>
          <w:rFonts w:ascii="Book Antiqua" w:eastAsia="Book Antiqua" w:hAnsi="Book Antiqua" w:cs="Book Antiqua"/>
          <w:color w:val="000000"/>
        </w:rPr>
        <w:t>: adherent culture; MFI: Mean fluorescence intensities.</w:t>
      </w:r>
    </w:p>
    <w:p w14:paraId="4C6B8D2A" w14:textId="3D1AE28F" w:rsidR="00A77B3E" w:rsidRDefault="00DC4998">
      <w:pPr>
        <w:spacing w:line="360" w:lineRule="auto"/>
        <w:jc w:val="both"/>
      </w:pPr>
      <w:r>
        <w:rPr>
          <w:rFonts w:ascii="Book Antiqua" w:eastAsia="Book Antiqua" w:hAnsi="Book Antiqua" w:cs="Book Antiqua"/>
          <w:color w:val="000000"/>
        </w:rPr>
        <w:br w:type="page"/>
      </w:r>
      <w:r w:rsidR="009611C9">
        <w:rPr>
          <w:noProof/>
          <w:lang w:val="en-GB" w:eastAsia="zh-CN"/>
        </w:rPr>
        <w:lastRenderedPageBreak/>
        <w:drawing>
          <wp:inline distT="0" distB="0" distL="0" distR="0" wp14:anchorId="4B725F8A" wp14:editId="2B601D2A">
            <wp:extent cx="4247517" cy="6623437"/>
            <wp:effectExtent l="0" t="0" r="6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9053" cy="6625832"/>
                    </a:xfrm>
                    <a:prstGeom prst="rect">
                      <a:avLst/>
                    </a:prstGeom>
                  </pic:spPr>
                </pic:pic>
              </a:graphicData>
            </a:graphic>
          </wp:inline>
        </w:drawing>
      </w:r>
    </w:p>
    <w:p w14:paraId="66894409" w14:textId="3A3D8AF4" w:rsidR="009611C9" w:rsidRDefault="0063365C" w:rsidP="009611C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4F16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Inhibition of </w:t>
      </w:r>
      <w:bookmarkStart w:id="5" w:name="_Hlk51350223"/>
      <w:r w:rsidR="00DC4998" w:rsidRPr="00DC4998">
        <w:rPr>
          <w:rFonts w:ascii="Book Antiqua" w:eastAsia="Book Antiqua" w:hAnsi="Book Antiqua" w:cs="Book Antiqua"/>
          <w:b/>
          <w:bCs/>
          <w:color w:val="000000"/>
        </w:rPr>
        <w:t>glutathione</w:t>
      </w:r>
      <w:bookmarkEnd w:id="5"/>
      <w:r w:rsidR="004F16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synthesis blocks cell cycle progression and induces apoptosis in </w:t>
      </w:r>
      <w:r w:rsidRPr="0063365C">
        <w:rPr>
          <w:rFonts w:ascii="Book Antiqua" w:eastAsia="Book Antiqua" w:hAnsi="Book Antiqua" w:cs="Book Antiqua"/>
          <w:b/>
          <w:bCs/>
          <w:color w:val="000000"/>
        </w:rPr>
        <w:t>cancer stem cell</w:t>
      </w:r>
      <w:r>
        <w:rPr>
          <w:rFonts w:ascii="Book Antiqua" w:eastAsia="Book Antiqua" w:hAnsi="Book Antiqua" w:cs="Book Antiqua"/>
          <w:b/>
          <w:bCs/>
          <w:color w:val="000000"/>
        </w:rPr>
        <w:t xml:space="preserve">-enriched cultures. </w:t>
      </w:r>
      <w:r>
        <w:rPr>
          <w:rFonts w:ascii="Book Antiqua" w:eastAsia="Book Antiqua" w:hAnsi="Book Antiqua" w:cs="Book Antiqua"/>
          <w:color w:val="000000"/>
        </w:rPr>
        <w:t xml:space="preserve">Cells from the indicated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 models were grown in </w:t>
      </w:r>
      <w:r w:rsidRPr="0063365C">
        <w:rPr>
          <w:rFonts w:ascii="Book Antiqua" w:eastAsia="Book Antiqua" w:hAnsi="Book Antiqua" w:cs="Book Antiqua"/>
          <w:color w:val="000000"/>
        </w:rPr>
        <w:t>cancer stem cell</w:t>
      </w:r>
      <w:r>
        <w:rPr>
          <w:rFonts w:ascii="Book Antiqua" w:eastAsia="Book Antiqua" w:hAnsi="Book Antiqua" w:cs="Book Antiqua"/>
          <w:color w:val="000000"/>
        </w:rPr>
        <w:t>-enriching conditions as spheres for 5 d and then treated for 48</w:t>
      </w:r>
      <w:r w:rsidR="00DC4998">
        <w:rPr>
          <w:rFonts w:ascii="Book Antiqua" w:eastAsia="Book Antiqua" w:hAnsi="Book Antiqua" w:cs="Book Antiqua"/>
          <w:color w:val="000000"/>
        </w:rPr>
        <w:t xml:space="preserve"> </w:t>
      </w:r>
      <w:r>
        <w:rPr>
          <w:rFonts w:ascii="Book Antiqua" w:eastAsia="Book Antiqua" w:hAnsi="Book Antiqua" w:cs="Book Antiqua"/>
          <w:color w:val="000000"/>
        </w:rPr>
        <w:t xml:space="preserve">h with 100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w:t>
      </w:r>
      <w:r w:rsidR="0013023D">
        <w:rPr>
          <w:rFonts w:ascii="Book Antiqua" w:eastAsia="Book Antiqua" w:hAnsi="Book Antiqua" w:cs="Book Antiqua"/>
          <w:color w:val="000000"/>
        </w:rPr>
        <w:t>buthionine-</w:t>
      </w:r>
      <w:proofErr w:type="spellStart"/>
      <w:r w:rsidR="0013023D">
        <w:rPr>
          <w:rFonts w:ascii="Book Antiqua" w:eastAsia="Book Antiqua" w:hAnsi="Book Antiqua" w:cs="Book Antiqua"/>
          <w:color w:val="000000"/>
        </w:rPr>
        <w:t>sulfoximine</w:t>
      </w:r>
      <w:proofErr w:type="spellEnd"/>
      <w:r w:rsidR="004D10A2">
        <w:rPr>
          <w:rFonts w:ascii="Book Antiqua" w:eastAsia="Book Antiqua" w:hAnsi="Book Antiqua" w:cs="Book Antiqua"/>
          <w:color w:val="000000"/>
        </w:rPr>
        <w:t xml:space="preserve"> (</w:t>
      </w:r>
      <w:r>
        <w:rPr>
          <w:rFonts w:ascii="Book Antiqua" w:eastAsia="Book Antiqua" w:hAnsi="Book Antiqua" w:cs="Book Antiqua"/>
          <w:color w:val="000000"/>
        </w:rPr>
        <w:t>BSO</w:t>
      </w:r>
      <w:r w:rsidR="004D10A2">
        <w:rPr>
          <w:rFonts w:ascii="Book Antiqua" w:eastAsia="Book Antiqua" w:hAnsi="Book Antiqua" w:cs="Book Antiqua"/>
          <w:color w:val="000000"/>
        </w:rPr>
        <w:t>)</w:t>
      </w:r>
      <w:r>
        <w:rPr>
          <w:rFonts w:ascii="Book Antiqua" w:eastAsia="Book Antiqua" w:hAnsi="Book Antiqua" w:cs="Book Antiqua"/>
          <w:color w:val="000000"/>
        </w:rPr>
        <w:t xml:space="preserve">, unless indicated otherwise. </w:t>
      </w:r>
      <w:r w:rsidRPr="0013023D">
        <w:rPr>
          <w:rFonts w:ascii="Book Antiqua" w:eastAsia="Book Antiqua" w:hAnsi="Book Antiqua" w:cs="Book Antiqua"/>
          <w:color w:val="000000"/>
        </w:rPr>
        <w:t>A</w:t>
      </w:r>
      <w:r w:rsidR="00DC4998">
        <w:rPr>
          <w:rFonts w:ascii="Book Antiqua" w:eastAsia="Book Antiqua" w:hAnsi="Book Antiqua" w:cs="Book Antiqua"/>
          <w:color w:val="000000"/>
        </w:rPr>
        <w:t>:</w:t>
      </w:r>
      <w:r>
        <w:rPr>
          <w:rFonts w:ascii="Book Antiqua" w:eastAsia="Book Antiqua" w:hAnsi="Book Antiqua" w:cs="Book Antiqua"/>
          <w:color w:val="000000"/>
        </w:rPr>
        <w:t xml:space="preserve"> Dose-dependent inhibition of </w:t>
      </w:r>
      <w:r w:rsidR="00DC4998" w:rsidRPr="00DC4998">
        <w:rPr>
          <w:rFonts w:ascii="Book Antiqua" w:eastAsia="Book Antiqua" w:hAnsi="Book Antiqua" w:cs="Book Antiqua"/>
          <w:color w:val="000000"/>
        </w:rPr>
        <w:t xml:space="preserve">glutathione </w:t>
      </w:r>
      <w:r w:rsidR="00DC4998">
        <w:rPr>
          <w:rFonts w:ascii="Book Antiqua" w:eastAsia="Book Antiqua" w:hAnsi="Book Antiqua" w:cs="Book Antiqua"/>
          <w:color w:val="000000"/>
        </w:rPr>
        <w:t>(</w:t>
      </w:r>
      <w:r>
        <w:rPr>
          <w:rFonts w:ascii="Book Antiqua" w:eastAsia="Book Antiqua" w:hAnsi="Book Antiqua" w:cs="Book Antiqua"/>
          <w:color w:val="000000"/>
        </w:rPr>
        <w:t>GSH</w:t>
      </w:r>
      <w:r w:rsidR="00DC4998">
        <w:rPr>
          <w:rFonts w:ascii="Book Antiqua" w:eastAsia="Book Antiqua" w:hAnsi="Book Antiqua" w:cs="Book Antiqua"/>
          <w:color w:val="000000"/>
        </w:rPr>
        <w:t>)</w:t>
      </w:r>
      <w:r>
        <w:rPr>
          <w:rFonts w:ascii="Book Antiqua" w:eastAsia="Book Antiqua" w:hAnsi="Book Antiqua" w:cs="Book Antiqua"/>
          <w:color w:val="000000"/>
        </w:rPr>
        <w:t xml:space="preserve"> content </w:t>
      </w:r>
      <w:r>
        <w:rPr>
          <w:rFonts w:ascii="Book Antiqua" w:eastAsia="Book Antiqua" w:hAnsi="Book Antiqua" w:cs="Book Antiqua"/>
          <w:color w:val="000000"/>
        </w:rPr>
        <w:lastRenderedPageBreak/>
        <w:t xml:space="preserve">by BSO measured by fluorimetry after staining with </w:t>
      </w:r>
      <w:proofErr w:type="spellStart"/>
      <w:r>
        <w:rPr>
          <w:rFonts w:ascii="Book Antiqua" w:eastAsia="Book Antiqua" w:hAnsi="Book Antiqua" w:cs="Book Antiqua"/>
          <w:color w:val="000000"/>
        </w:rPr>
        <w:t>monochlorobimane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sidR="00DC4998">
        <w:rPr>
          <w:rFonts w:ascii="Book Antiqua" w:eastAsia="Book Antiqua" w:hAnsi="Book Antiqua" w:cs="Book Antiqua"/>
          <w:color w:val="000000"/>
        </w:rPr>
        <w:t xml:space="preserve">); </w:t>
      </w:r>
      <w:r w:rsidRPr="0013023D">
        <w:rPr>
          <w:rFonts w:ascii="Book Antiqua" w:eastAsia="Book Antiqua" w:hAnsi="Book Antiqua" w:cs="Book Antiqua"/>
          <w:color w:val="000000"/>
        </w:rPr>
        <w:t>B</w:t>
      </w:r>
      <w:r w:rsidR="00DC4998">
        <w:rPr>
          <w:rFonts w:ascii="Book Antiqua" w:eastAsia="Book Antiqua" w:hAnsi="Book Antiqua" w:cs="Book Antiqua"/>
          <w:color w:val="000000"/>
        </w:rPr>
        <w:t xml:space="preserve">: </w:t>
      </w:r>
      <w:r>
        <w:rPr>
          <w:rFonts w:ascii="Book Antiqua" w:eastAsia="Book Antiqua" w:hAnsi="Book Antiqua" w:cs="Book Antiqua"/>
          <w:color w:val="000000"/>
        </w:rPr>
        <w:t>Percentage of cells in the different phases of the cell cycle as assessed by flow cytometry</w:t>
      </w:r>
      <w:r w:rsidR="00DC4998">
        <w:rPr>
          <w:rFonts w:ascii="Book Antiqua" w:eastAsia="Book Antiqua" w:hAnsi="Book Antiqua" w:cs="Book Antiqua"/>
          <w:color w:val="000000"/>
        </w:rPr>
        <w:t xml:space="preserve">; </w:t>
      </w:r>
      <w:r w:rsidRPr="0013023D">
        <w:rPr>
          <w:rFonts w:ascii="Book Antiqua" w:eastAsia="Book Antiqua" w:hAnsi="Book Antiqua" w:cs="Book Antiqua"/>
          <w:color w:val="000000"/>
        </w:rPr>
        <w:t>C</w:t>
      </w:r>
      <w:r w:rsidR="00DC4998">
        <w:rPr>
          <w:rFonts w:ascii="Book Antiqua" w:eastAsia="Book Antiqua" w:hAnsi="Book Antiqua" w:cs="Book Antiqua"/>
          <w:color w:val="000000"/>
        </w:rPr>
        <w:t>:</w:t>
      </w:r>
      <w:r>
        <w:rPr>
          <w:rFonts w:ascii="Book Antiqua" w:eastAsia="Book Antiqua" w:hAnsi="Book Antiqua" w:cs="Book Antiqua"/>
          <w:color w:val="000000"/>
        </w:rPr>
        <w:t xml:space="preserve"> Representative FACS plots of an Annexin-V/DAPI staining to detect apoptosis under the indicated conditions. </w:t>
      </w:r>
      <w:r w:rsidR="009611C9">
        <w:rPr>
          <w:rFonts w:ascii="Book Antiqua" w:eastAsia="Book Antiqua" w:hAnsi="Book Antiqua" w:cs="Book Antiqua"/>
          <w:color w:val="000000"/>
        </w:rPr>
        <w:t>GSH: Glutathione content in its reduced form; BSO:</w:t>
      </w:r>
      <w:r w:rsidR="009611C9" w:rsidRPr="004D10A2">
        <w:rPr>
          <w:rFonts w:ascii="Book Antiqua" w:eastAsia="Book Antiqua" w:hAnsi="Book Antiqua" w:cs="Book Antiqua"/>
          <w:color w:val="000000"/>
        </w:rPr>
        <w:t xml:space="preserve"> </w:t>
      </w:r>
      <w:r w:rsidR="009611C9">
        <w:rPr>
          <w:rFonts w:ascii="Book Antiqua" w:eastAsia="Book Antiqua" w:hAnsi="Book Antiqua" w:cs="Book Antiqua"/>
          <w:color w:val="000000"/>
        </w:rPr>
        <w:t>Buthionine-</w:t>
      </w:r>
      <w:proofErr w:type="spellStart"/>
      <w:r w:rsidR="009611C9">
        <w:rPr>
          <w:rFonts w:ascii="Book Antiqua" w:eastAsia="Book Antiqua" w:hAnsi="Book Antiqua" w:cs="Book Antiqua"/>
          <w:color w:val="000000"/>
        </w:rPr>
        <w:t>sulfoximine</w:t>
      </w:r>
      <w:proofErr w:type="spellEnd"/>
      <w:r w:rsidR="009611C9">
        <w:rPr>
          <w:rFonts w:ascii="Book Antiqua" w:eastAsia="Book Antiqua" w:hAnsi="Book Antiqua" w:cs="Book Antiqua"/>
          <w:color w:val="000000"/>
        </w:rPr>
        <w:t>; PDX: Patient-derived xenograft.</w:t>
      </w:r>
    </w:p>
    <w:p w14:paraId="198210B7" w14:textId="3B03E9CE" w:rsidR="009611C9" w:rsidRDefault="009611C9">
      <w:pPr>
        <w:spacing w:line="360" w:lineRule="auto"/>
        <w:jc w:val="both"/>
        <w:rPr>
          <w:rFonts w:ascii="Book Antiqua" w:eastAsia="Book Antiqua" w:hAnsi="Book Antiqua" w:cs="Book Antiqua"/>
          <w:color w:val="000000"/>
        </w:rPr>
      </w:pPr>
    </w:p>
    <w:p w14:paraId="35FE337F" w14:textId="4C1FAF3F" w:rsidR="00A77B3E" w:rsidRDefault="009611C9">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7692D5EE" wp14:editId="7A2607B0">
            <wp:extent cx="4481545" cy="54340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1545" cy="5434052"/>
                    </a:xfrm>
                    <a:prstGeom prst="rect">
                      <a:avLst/>
                    </a:prstGeom>
                  </pic:spPr>
                </pic:pic>
              </a:graphicData>
            </a:graphic>
          </wp:inline>
        </w:drawing>
      </w:r>
    </w:p>
    <w:p w14:paraId="2DC7F700" w14:textId="459B05E1" w:rsidR="00497C0E"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Inhibition of </w:t>
      </w:r>
      <w:r w:rsidR="009611C9" w:rsidRPr="00DC4998">
        <w:rPr>
          <w:rFonts w:ascii="Book Antiqua" w:eastAsia="Book Antiqua" w:hAnsi="Book Antiqua" w:cs="Book Antiqua"/>
          <w:b/>
          <w:bCs/>
          <w:color w:val="000000"/>
        </w:rPr>
        <w:t>glutathione</w:t>
      </w:r>
      <w:r w:rsidR="004F16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synthesis and recycling decreases self-renewal and CD133 expression. </w:t>
      </w:r>
      <w:r>
        <w:rPr>
          <w:rFonts w:ascii="Book Antiqua" w:eastAsia="Book Antiqua" w:hAnsi="Book Antiqua" w:cs="Book Antiqua"/>
          <w:color w:val="000000"/>
        </w:rPr>
        <w:t xml:space="preserve">Cells from the indicated </w:t>
      </w:r>
      <w:r w:rsidR="004D10A2">
        <w:rPr>
          <w:rFonts w:ascii="Book Antiqua" w:eastAsia="Book Antiqua" w:hAnsi="Book Antiqua" w:cs="Book Antiqua"/>
          <w:color w:val="000000"/>
        </w:rPr>
        <w:t>patient-derived xenograft</w:t>
      </w:r>
      <w:r>
        <w:rPr>
          <w:rFonts w:ascii="Book Antiqua" w:eastAsia="Book Antiqua" w:hAnsi="Book Antiqua" w:cs="Book Antiqua"/>
          <w:color w:val="000000"/>
        </w:rPr>
        <w:t xml:space="preserve">s (PDXs) were treated with 100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w:t>
      </w:r>
      <w:r w:rsidR="0013023D">
        <w:rPr>
          <w:rFonts w:ascii="Book Antiqua" w:eastAsia="Book Antiqua" w:hAnsi="Book Antiqua" w:cs="Book Antiqua"/>
          <w:color w:val="000000"/>
        </w:rPr>
        <w:t>buthionine-</w:t>
      </w:r>
      <w:proofErr w:type="spellStart"/>
      <w:r w:rsidR="0013023D">
        <w:rPr>
          <w:rFonts w:ascii="Book Antiqua" w:eastAsia="Book Antiqua" w:hAnsi="Book Antiqua" w:cs="Book Antiqua"/>
          <w:color w:val="000000"/>
        </w:rPr>
        <w:t>sulfoximine</w:t>
      </w:r>
      <w:proofErr w:type="spellEnd"/>
      <w:r>
        <w:rPr>
          <w:rFonts w:ascii="Book Antiqua" w:eastAsia="Book Antiqua" w:hAnsi="Book Antiqua" w:cs="Book Antiqua"/>
          <w:color w:val="000000"/>
        </w:rPr>
        <w:t xml:space="preserve"> or 1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w:t>
      </w:r>
      <w:r w:rsidR="00DC4998">
        <w:rPr>
          <w:rFonts w:ascii="Book Antiqua" w:eastAsia="Book Antiqua" w:hAnsi="Book Antiqua" w:cs="Book Antiqua"/>
          <w:color w:val="000000"/>
        </w:rPr>
        <w:t>6-Aminonicotinamide</w:t>
      </w:r>
      <w:r>
        <w:rPr>
          <w:rFonts w:ascii="Book Antiqua" w:eastAsia="Book Antiqua" w:hAnsi="Book Antiqua" w:cs="Book Antiqua"/>
          <w:color w:val="000000"/>
        </w:rPr>
        <w:t xml:space="preserve"> as indicated. </w:t>
      </w:r>
      <w:r w:rsidRPr="009611C9">
        <w:rPr>
          <w:rFonts w:ascii="Book Antiqua" w:eastAsia="Book Antiqua" w:hAnsi="Book Antiqua" w:cs="Book Antiqua"/>
          <w:color w:val="000000"/>
        </w:rPr>
        <w:t>A</w:t>
      </w:r>
      <w:r w:rsidR="009611C9">
        <w:rPr>
          <w:rFonts w:ascii="Book Antiqua" w:eastAsia="Book Antiqua" w:hAnsi="Book Antiqua" w:cs="Book Antiqua"/>
          <w:color w:val="000000"/>
        </w:rPr>
        <w:t>:</w:t>
      </w:r>
      <w:r>
        <w:rPr>
          <w:rFonts w:ascii="Book Antiqua" w:eastAsia="Book Antiqua" w:hAnsi="Book Antiqua" w:cs="Book Antiqua"/>
          <w:color w:val="000000"/>
        </w:rPr>
        <w:t xml:space="preserve"> Expression of stemness gene expression following 72</w:t>
      </w:r>
      <w:r w:rsidR="009611C9">
        <w:rPr>
          <w:rFonts w:ascii="Book Antiqua" w:eastAsia="Book Antiqua" w:hAnsi="Book Antiqua" w:cs="Book Antiqua"/>
          <w:color w:val="000000"/>
        </w:rPr>
        <w:t xml:space="preserve"> </w:t>
      </w:r>
      <w:r>
        <w:rPr>
          <w:rFonts w:ascii="Book Antiqua" w:eastAsia="Book Antiqua" w:hAnsi="Book Antiqua" w:cs="Book Antiqua"/>
          <w:color w:val="000000"/>
        </w:rPr>
        <w:t>h of treatment</w:t>
      </w:r>
      <w:r w:rsidR="009611C9">
        <w:rPr>
          <w:rFonts w:ascii="Book Antiqua" w:eastAsia="Book Antiqua" w:hAnsi="Book Antiqua" w:cs="Book Antiqua"/>
          <w:color w:val="000000"/>
        </w:rPr>
        <w:t xml:space="preserve">; </w:t>
      </w:r>
      <w:r w:rsidRPr="009611C9">
        <w:rPr>
          <w:rFonts w:ascii="Book Antiqua" w:eastAsia="Book Antiqua" w:hAnsi="Book Antiqua" w:cs="Book Antiqua"/>
          <w:color w:val="000000"/>
        </w:rPr>
        <w:t>B</w:t>
      </w:r>
      <w:r w:rsidR="009611C9">
        <w:rPr>
          <w:rFonts w:ascii="Book Antiqua" w:eastAsia="Book Antiqua" w:hAnsi="Book Antiqua" w:cs="Book Antiqua"/>
          <w:color w:val="000000"/>
        </w:rPr>
        <w:t>:</w:t>
      </w:r>
      <w:r>
        <w:rPr>
          <w:rFonts w:ascii="Book Antiqua" w:eastAsia="Book Antiqua" w:hAnsi="Book Antiqua" w:cs="Book Antiqua"/>
          <w:color w:val="000000"/>
        </w:rPr>
        <w:t xml:space="preserve"> Sphere formation ability after 7 d of treatment, replenished every other day. Data are shown as fold change </w:t>
      </w:r>
      <w:r>
        <w:rPr>
          <w:rFonts w:ascii="Book Antiqua" w:eastAsia="Book Antiqua" w:hAnsi="Book Antiqua" w:cs="Book Antiqua"/>
          <w:i/>
          <w:iCs/>
          <w:color w:val="000000"/>
        </w:rPr>
        <w:t>vs</w:t>
      </w:r>
      <w:r>
        <w:rPr>
          <w:rFonts w:ascii="Book Antiqua" w:eastAsia="Book Antiqua" w:hAnsi="Book Antiqua" w:cs="Book Antiqua"/>
          <w:color w:val="000000"/>
        </w:rPr>
        <w:t xml:space="preserve"> untreated conditions (</w:t>
      </w:r>
      <w:proofErr w:type="spellStart"/>
      <w:r>
        <w:rPr>
          <w:rFonts w:ascii="Book Antiqua" w:eastAsia="Book Antiqua" w:hAnsi="Book Antiqua" w:cs="Book Antiqua"/>
          <w:color w:val="000000"/>
        </w:rPr>
        <w:t>Cont</w:t>
      </w:r>
      <w:proofErr w:type="spellEnd"/>
      <w:r>
        <w:rPr>
          <w:rFonts w:ascii="Book Antiqua" w:eastAsia="Book Antiqua" w:hAnsi="Book Antiqua" w:cs="Book Antiqua"/>
          <w:color w:val="000000"/>
        </w:rPr>
        <w:t>) for each PDX model, mean ± SE</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C</w:t>
      </w:r>
      <w:r w:rsidR="00497C0E">
        <w:rPr>
          <w:rFonts w:ascii="Book Antiqua" w:eastAsia="Book Antiqua" w:hAnsi="Book Antiqua" w:cs="Book Antiqua"/>
          <w:color w:val="000000"/>
        </w:rPr>
        <w:t>:</w:t>
      </w:r>
      <w:r>
        <w:rPr>
          <w:rFonts w:ascii="Book Antiqua" w:eastAsia="Book Antiqua" w:hAnsi="Book Antiqua" w:cs="Book Antiqua"/>
          <w:color w:val="000000"/>
        </w:rPr>
        <w:t xml:space="preserve"> Representative flow cytometry plots for CD133 expression after 48 h of treatment.</w:t>
      </w:r>
      <w:r w:rsidR="009611C9" w:rsidRPr="009611C9">
        <w:rPr>
          <w:rFonts w:ascii="Book Antiqua" w:eastAsia="Book Antiqua" w:hAnsi="Book Antiqua" w:cs="Book Antiqua"/>
          <w:color w:val="000000"/>
        </w:rPr>
        <w:t xml:space="preserve"> </w:t>
      </w:r>
      <w:proofErr w:type="spellStart"/>
      <w:r w:rsidR="00497C0E">
        <w:rPr>
          <w:rFonts w:ascii="Book Antiqua" w:eastAsia="Book Antiqua" w:hAnsi="Book Antiqua" w:cs="Book Antiqua"/>
          <w:color w:val="000000"/>
          <w:szCs w:val="20"/>
          <w:vertAlign w:val="superscript"/>
        </w:rPr>
        <w:t>a</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sidR="00497C0E">
        <w:rPr>
          <w:rFonts w:ascii="Book Antiqua" w:eastAsia="Book Antiqua" w:hAnsi="Book Antiqua" w:cs="Book Antiqua"/>
          <w:color w:val="000000"/>
        </w:rPr>
        <w:t xml:space="preserve">&lt; 0.05; </w:t>
      </w:r>
      <w:proofErr w:type="spellStart"/>
      <w:r w:rsidR="00497C0E">
        <w:rPr>
          <w:rFonts w:ascii="Book Antiqua" w:eastAsia="Book Antiqua" w:hAnsi="Book Antiqua" w:cs="Book Antiqua"/>
          <w:color w:val="000000"/>
          <w:szCs w:val="20"/>
          <w:vertAlign w:val="superscript"/>
        </w:rPr>
        <w:t>b</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sidR="00497C0E">
        <w:rPr>
          <w:rFonts w:ascii="Book Antiqua" w:eastAsia="Book Antiqua" w:hAnsi="Book Antiqua" w:cs="Book Antiqua"/>
          <w:color w:val="000000"/>
        </w:rPr>
        <w:t xml:space="preserve">&lt; 0.01; </w:t>
      </w:r>
      <w:proofErr w:type="spellStart"/>
      <w:r w:rsidR="00497C0E">
        <w:rPr>
          <w:rFonts w:ascii="Book Antiqua" w:eastAsia="Book Antiqua" w:hAnsi="Book Antiqua" w:cs="Book Antiqua"/>
          <w:color w:val="000000"/>
          <w:szCs w:val="20"/>
          <w:vertAlign w:val="superscript"/>
        </w:rPr>
        <w:t>c</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sidR="00497C0E">
        <w:rPr>
          <w:rFonts w:ascii="Book Antiqua" w:eastAsia="Book Antiqua" w:hAnsi="Book Antiqua" w:cs="Book Antiqua"/>
          <w:color w:val="000000"/>
        </w:rPr>
        <w:t xml:space="preserve">&lt; 0.001. </w:t>
      </w:r>
      <w:r w:rsidR="009611C9">
        <w:rPr>
          <w:rFonts w:ascii="Book Antiqua" w:eastAsia="Book Antiqua" w:hAnsi="Book Antiqua" w:cs="Book Antiqua"/>
          <w:color w:val="000000"/>
        </w:rPr>
        <w:t>BSO:</w:t>
      </w:r>
      <w:r w:rsidR="009611C9" w:rsidRPr="004D10A2">
        <w:rPr>
          <w:rFonts w:ascii="Book Antiqua" w:eastAsia="Book Antiqua" w:hAnsi="Book Antiqua" w:cs="Book Antiqua"/>
          <w:color w:val="000000"/>
        </w:rPr>
        <w:t xml:space="preserve"> </w:t>
      </w:r>
      <w:r w:rsidR="009611C9">
        <w:rPr>
          <w:rFonts w:ascii="Book Antiqua" w:eastAsia="Book Antiqua" w:hAnsi="Book Antiqua" w:cs="Book Antiqua"/>
          <w:color w:val="000000"/>
        </w:rPr>
        <w:t>Buthionine-</w:t>
      </w:r>
      <w:proofErr w:type="spellStart"/>
      <w:r w:rsidR="009611C9">
        <w:rPr>
          <w:rFonts w:ascii="Book Antiqua" w:eastAsia="Book Antiqua" w:hAnsi="Book Antiqua" w:cs="Book Antiqua"/>
          <w:color w:val="000000"/>
        </w:rPr>
        <w:t>sulfoximine</w:t>
      </w:r>
      <w:proofErr w:type="spellEnd"/>
      <w:r w:rsidR="009611C9">
        <w:rPr>
          <w:rFonts w:ascii="Book Antiqua" w:eastAsia="Book Antiqua" w:hAnsi="Book Antiqua" w:cs="Book Antiqua"/>
          <w:color w:val="000000"/>
        </w:rPr>
        <w:t>; PDX: Patient-derived xenograft; 6-AN:</w:t>
      </w:r>
      <w:r w:rsidR="009611C9" w:rsidRPr="00DC4998">
        <w:rPr>
          <w:rFonts w:ascii="Book Antiqua" w:eastAsia="Book Antiqua" w:hAnsi="Book Antiqua" w:cs="Book Antiqua"/>
          <w:color w:val="000000"/>
        </w:rPr>
        <w:t xml:space="preserve"> </w:t>
      </w:r>
      <w:r w:rsidR="009611C9">
        <w:rPr>
          <w:rFonts w:ascii="Book Antiqua" w:eastAsia="Book Antiqua" w:hAnsi="Book Antiqua" w:cs="Book Antiqua"/>
          <w:color w:val="000000"/>
        </w:rPr>
        <w:t>6-Aminonicotinamide.</w:t>
      </w:r>
    </w:p>
    <w:p w14:paraId="7A912C88" w14:textId="6571AF63" w:rsidR="00A77B3E" w:rsidRDefault="00497C0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61EC7055" wp14:editId="386A9FE7">
            <wp:extent cx="4817127" cy="611844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1487" cy="6123987"/>
                    </a:xfrm>
                    <a:prstGeom prst="rect">
                      <a:avLst/>
                    </a:prstGeom>
                    <a:noFill/>
                  </pic:spPr>
                </pic:pic>
              </a:graphicData>
            </a:graphic>
          </wp:inline>
        </w:drawing>
      </w:r>
    </w:p>
    <w:p w14:paraId="6B5B8F84" w14:textId="0E7801EE" w:rsidR="005E2791" w:rsidRDefault="0063365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Depletion of </w:t>
      </w:r>
      <w:r w:rsidR="00497C0E" w:rsidRPr="00DC4998">
        <w:rPr>
          <w:rFonts w:ascii="Book Antiqua" w:eastAsia="Book Antiqua" w:hAnsi="Book Antiqua" w:cs="Book Antiqua"/>
          <w:b/>
          <w:bCs/>
          <w:color w:val="000000"/>
        </w:rPr>
        <w:t>glutathione (</w:t>
      </w:r>
      <w:r w:rsidR="00497C0E">
        <w:rPr>
          <w:rFonts w:ascii="Book Antiqua" w:eastAsia="Book Antiqua" w:hAnsi="Book Antiqua" w:cs="Book Antiqua"/>
          <w:b/>
          <w:bCs/>
          <w:color w:val="000000"/>
        </w:rPr>
        <w:t>GSH)</w:t>
      </w:r>
      <w:r>
        <w:rPr>
          <w:rFonts w:ascii="Book Antiqua" w:eastAsia="Book Antiqua" w:hAnsi="Book Antiqua" w:cs="Book Antiqua"/>
          <w:b/>
          <w:bCs/>
          <w:color w:val="000000"/>
        </w:rPr>
        <w:t xml:space="preserve"> content in </w:t>
      </w:r>
      <w:r w:rsidRPr="0063365C">
        <w:rPr>
          <w:rFonts w:ascii="Book Antiqua" w:eastAsia="Book Antiqua" w:hAnsi="Book Antiqua" w:cs="Book Antiqua"/>
          <w:b/>
          <w:bCs/>
          <w:color w:val="000000"/>
        </w:rPr>
        <w:t>cancer stem cell</w:t>
      </w:r>
      <w:r>
        <w:rPr>
          <w:rFonts w:ascii="Book Antiqua" w:eastAsia="Book Antiqua" w:hAnsi="Book Antiqua" w:cs="Book Antiqua"/>
          <w:b/>
          <w:bCs/>
          <w:color w:val="000000"/>
        </w:rPr>
        <w:t xml:space="preserve">s enhances response to Gemcitabine. </w:t>
      </w:r>
      <w:r w:rsidRPr="00497C0E">
        <w:rPr>
          <w:rFonts w:ascii="Book Antiqua" w:eastAsia="Book Antiqua" w:hAnsi="Book Antiqua" w:cs="Book Antiqua"/>
          <w:color w:val="000000"/>
        </w:rPr>
        <w:t>A</w:t>
      </w:r>
      <w:r w:rsidR="00497C0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Correlation of the absolute </w:t>
      </w:r>
      <w:r w:rsidR="00497C0E" w:rsidRPr="00497C0E">
        <w:rPr>
          <w:rFonts w:ascii="Book Antiqua" w:eastAsia="Book Antiqua" w:hAnsi="Book Antiqua" w:cs="Book Antiqua"/>
          <w:color w:val="000000"/>
        </w:rPr>
        <w:t xml:space="preserve">glutathione </w:t>
      </w:r>
      <w:r w:rsidR="00497C0E">
        <w:rPr>
          <w:rFonts w:ascii="Book Antiqua" w:eastAsia="Book Antiqua" w:hAnsi="Book Antiqua" w:cs="Book Antiqua"/>
          <w:color w:val="000000"/>
        </w:rPr>
        <w:t>(</w:t>
      </w:r>
      <w:r>
        <w:rPr>
          <w:rFonts w:ascii="Book Antiqua" w:eastAsia="Book Antiqua" w:hAnsi="Book Antiqua" w:cs="Book Antiqua"/>
          <w:color w:val="000000"/>
        </w:rPr>
        <w:t>GSH</w:t>
      </w:r>
      <w:r w:rsidR="00497C0E">
        <w:rPr>
          <w:rFonts w:ascii="Book Antiqua" w:eastAsia="Book Antiqua" w:hAnsi="Book Antiqua" w:cs="Book Antiqua"/>
          <w:color w:val="000000"/>
        </w:rPr>
        <w:t>)</w:t>
      </w:r>
      <w:r>
        <w:rPr>
          <w:rFonts w:ascii="Book Antiqua" w:eastAsia="Book Antiqua" w:hAnsi="Book Antiqua" w:cs="Book Antiqua"/>
          <w:color w:val="000000"/>
        </w:rPr>
        <w:t xml:space="preserve"> content per milligram of protein in lysates from adherent (left panel) or sphere (right panel) cultures </w:t>
      </w:r>
      <w:r>
        <w:rPr>
          <w:rFonts w:ascii="Book Antiqua" w:eastAsia="Book Antiqua" w:hAnsi="Book Antiqua" w:cs="Book Antiqua"/>
          <w:i/>
          <w:iCs/>
          <w:color w:val="000000"/>
        </w:rPr>
        <w:t>vs</w:t>
      </w:r>
      <w:r>
        <w:rPr>
          <w:rFonts w:ascii="Book Antiqua" w:eastAsia="Book Antiqua" w:hAnsi="Book Antiqua" w:cs="Book Antiqua"/>
          <w:color w:val="000000"/>
        </w:rPr>
        <w:t xml:space="preserve"> the percentage of surviving cells following gemcitabine treatment (300</w:t>
      </w:r>
      <w:r w:rsidR="00497C0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xml:space="preserve">, 48 h). Values for Pearson´s r and corresponding </w:t>
      </w:r>
      <w:r w:rsidR="00497C0E" w:rsidRPr="00497C0E">
        <w:rPr>
          <w:rFonts w:ascii="Book Antiqua" w:eastAsia="Book Antiqua" w:hAnsi="Book Antiqua" w:cs="Book Antiqua"/>
          <w:i/>
          <w:iCs/>
          <w:color w:val="000000"/>
        </w:rPr>
        <w:t>P</w:t>
      </w:r>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values are shown</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B-D</w:t>
      </w:r>
      <w:r w:rsidR="00497C0E" w:rsidRPr="00497C0E">
        <w:rPr>
          <w:rFonts w:ascii="Book Antiqua" w:eastAsia="Book Antiqua" w:hAnsi="Book Antiqua" w:cs="Book Antiqua"/>
          <w:color w:val="000000"/>
        </w:rPr>
        <w:t>:</w:t>
      </w:r>
      <w:r w:rsidR="00497C0E">
        <w:rPr>
          <w:rFonts w:ascii="Book Antiqua" w:eastAsia="Book Antiqua" w:hAnsi="Book Antiqua" w:cs="Book Antiqua"/>
          <w:b/>
          <w:bCs/>
          <w:color w:val="000000"/>
        </w:rPr>
        <w:t xml:space="preserve"> </w:t>
      </w:r>
      <w:r>
        <w:rPr>
          <w:rFonts w:ascii="Book Antiqua" w:eastAsia="Book Antiqua" w:hAnsi="Book Antiqua" w:cs="Book Antiqua"/>
          <w:color w:val="000000"/>
        </w:rPr>
        <w:t>Patien</w:t>
      </w:r>
      <w:r w:rsidR="004D10A2">
        <w:rPr>
          <w:rFonts w:ascii="Book Antiqua" w:eastAsia="Book Antiqua" w:hAnsi="Book Antiqua" w:cs="Book Antiqua"/>
          <w:color w:val="000000"/>
        </w:rPr>
        <w:t>t-derived xe</w:t>
      </w:r>
      <w:r>
        <w:rPr>
          <w:rFonts w:ascii="Book Antiqua" w:eastAsia="Book Antiqua" w:hAnsi="Book Antiqua" w:cs="Book Antiqua"/>
          <w:color w:val="000000"/>
        </w:rPr>
        <w:t>nograft 354 cells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were treated with 100 </w:t>
      </w:r>
      <w:r w:rsidR="0073215C">
        <w:rPr>
          <w:rFonts w:ascii="Book Antiqua" w:eastAsia="Book Antiqua" w:hAnsi="Book Antiqua" w:cs="Book Antiqua"/>
          <w:color w:val="000000"/>
        </w:rPr>
        <w:t>µ</w:t>
      </w:r>
      <w:r>
        <w:rPr>
          <w:rFonts w:ascii="Book Antiqua" w:eastAsia="Book Antiqua" w:hAnsi="Book Antiqua" w:cs="Book Antiqua"/>
          <w:color w:val="000000"/>
        </w:rPr>
        <w:t xml:space="preserve">mol/L </w:t>
      </w:r>
      <w:r w:rsidR="0013023D">
        <w:rPr>
          <w:rFonts w:ascii="Book Antiqua" w:eastAsia="Book Antiqua" w:hAnsi="Book Antiqua" w:cs="Book Antiqua"/>
          <w:color w:val="000000"/>
        </w:rPr>
        <w:t>buthionine-</w:t>
      </w:r>
      <w:proofErr w:type="spellStart"/>
      <w:r w:rsidR="0013023D">
        <w:rPr>
          <w:rFonts w:ascii="Book Antiqua" w:eastAsia="Book Antiqua" w:hAnsi="Book Antiqua" w:cs="Book Antiqua"/>
          <w:color w:val="000000"/>
        </w:rPr>
        <w:t>sulfoximine</w:t>
      </w:r>
      <w:proofErr w:type="spellEnd"/>
      <w:r w:rsidR="004D10A2">
        <w:rPr>
          <w:rFonts w:ascii="Book Antiqua" w:eastAsia="Book Antiqua" w:hAnsi="Book Antiqua" w:cs="Book Antiqua"/>
          <w:color w:val="000000"/>
        </w:rPr>
        <w:t xml:space="preserve"> (</w:t>
      </w:r>
      <w:r>
        <w:rPr>
          <w:rFonts w:ascii="Book Antiqua" w:eastAsia="Book Antiqua" w:hAnsi="Book Antiqua" w:cs="Book Antiqua"/>
          <w:color w:val="000000"/>
        </w:rPr>
        <w:t>BSO</w:t>
      </w:r>
      <w:r w:rsidR="004D10A2">
        <w:rPr>
          <w:rFonts w:ascii="Book Antiqua" w:eastAsia="Book Antiqua" w:hAnsi="Book Antiqua" w:cs="Book Antiqua"/>
          <w:color w:val="000000"/>
        </w:rPr>
        <w:t>)</w:t>
      </w:r>
      <w:r>
        <w:rPr>
          <w:rFonts w:ascii="Book Antiqua" w:eastAsia="Book Antiqua" w:hAnsi="Book Antiqua" w:cs="Book Antiqua"/>
          <w:color w:val="000000"/>
        </w:rPr>
        <w:t xml:space="preserve"> alone or in combination with 1 </w:t>
      </w:r>
      <w:r w:rsidR="0073215C">
        <w:rPr>
          <w:rFonts w:ascii="Book Antiqua" w:eastAsia="Book Antiqua" w:hAnsi="Book Antiqua" w:cs="Book Antiqua"/>
          <w:color w:val="000000"/>
        </w:rPr>
        <w:t>µ</w:t>
      </w:r>
      <w:r>
        <w:rPr>
          <w:rFonts w:ascii="Book Antiqua" w:eastAsia="Book Antiqua" w:hAnsi="Book Antiqua" w:cs="Book Antiqua"/>
          <w:color w:val="000000"/>
        </w:rPr>
        <w:t>mol/L Gemcitabine</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B</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mClB</w:t>
      </w:r>
      <w:proofErr w:type="spellEnd"/>
      <w:r>
        <w:rPr>
          <w:rFonts w:ascii="Book Antiqua" w:eastAsia="Book Antiqua" w:hAnsi="Book Antiqua" w:cs="Book Antiqua"/>
          <w:color w:val="000000"/>
        </w:rPr>
        <w:t xml:space="preserve"> staining for GSH content in </w:t>
      </w:r>
      <w:r>
        <w:rPr>
          <w:rFonts w:ascii="Book Antiqua" w:eastAsia="Book Antiqua" w:hAnsi="Book Antiqua" w:cs="Book Antiqua"/>
          <w:color w:val="000000"/>
        </w:rPr>
        <w:lastRenderedPageBreak/>
        <w:t>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CD133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after 48</w:t>
      </w:r>
      <w:r w:rsidR="00497C0E">
        <w:rPr>
          <w:rFonts w:ascii="Book Antiqua" w:eastAsia="Book Antiqua" w:hAnsi="Book Antiqua" w:cs="Book Antiqua"/>
          <w:color w:val="000000"/>
        </w:rPr>
        <w:t xml:space="preserve"> </w:t>
      </w:r>
      <w:r>
        <w:rPr>
          <w:rFonts w:ascii="Book Antiqua" w:eastAsia="Book Antiqua" w:hAnsi="Book Antiqua" w:cs="Book Antiqua"/>
          <w:color w:val="000000"/>
        </w:rPr>
        <w:t>h of treatment</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C</w:t>
      </w:r>
      <w:r w:rsidR="00497C0E">
        <w:rPr>
          <w:rFonts w:ascii="Book Antiqua" w:eastAsia="Book Antiqua" w:hAnsi="Book Antiqua" w:cs="Book Antiqua"/>
          <w:color w:val="000000"/>
        </w:rPr>
        <w:t>:</w:t>
      </w:r>
      <w:r>
        <w:rPr>
          <w:rFonts w:ascii="Book Antiqua" w:eastAsia="Book Antiqua" w:hAnsi="Book Antiqua" w:cs="Book Antiqua"/>
          <w:color w:val="000000"/>
        </w:rPr>
        <w:t xml:space="preserve"> Representative flow cytometry plots for Annexin V/DAPI staining for samples shown in B</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Pr="00497C0E">
        <w:rPr>
          <w:rFonts w:ascii="Book Antiqua" w:eastAsia="Book Antiqua" w:hAnsi="Book Antiqua" w:cs="Book Antiqua"/>
          <w:color w:val="000000"/>
        </w:rPr>
        <w:t>D</w:t>
      </w:r>
      <w:r w:rsidR="00497C0E">
        <w:rPr>
          <w:rFonts w:ascii="Book Antiqua" w:eastAsia="Book Antiqua" w:hAnsi="Book Antiqua" w:cs="Book Antiqua"/>
          <w:color w:val="000000"/>
        </w:rPr>
        <w:t>:</w:t>
      </w:r>
      <w:r>
        <w:rPr>
          <w:rFonts w:ascii="Book Antiqua" w:eastAsia="Book Antiqua" w:hAnsi="Book Antiqua" w:cs="Book Antiqua"/>
          <w:color w:val="000000"/>
        </w:rPr>
        <w:t xml:space="preserve"> Number of spheres following 7 d of treatment. Data in B and D are shown as mean fold change or mean percentage ± SE, with untreated conditions (</w:t>
      </w:r>
      <w:proofErr w:type="spellStart"/>
      <w:r>
        <w:rPr>
          <w:rFonts w:ascii="Book Antiqua" w:eastAsia="Book Antiqua" w:hAnsi="Book Antiqua" w:cs="Book Antiqua"/>
          <w:color w:val="000000"/>
        </w:rPr>
        <w:t>Cont</w:t>
      </w:r>
      <w:proofErr w:type="spellEnd"/>
      <w:r>
        <w:rPr>
          <w:rFonts w:ascii="Book Antiqua" w:eastAsia="Book Antiqua" w:hAnsi="Book Antiqua" w:cs="Book Antiqua"/>
          <w:color w:val="000000"/>
        </w:rPr>
        <w:t xml:space="preserve">) set as 1.0 or 100%, respectively. </w:t>
      </w:r>
      <w:proofErr w:type="spellStart"/>
      <w:r>
        <w:rPr>
          <w:rFonts w:ascii="Book Antiqua" w:eastAsia="Book Antiqua" w:hAnsi="Book Antiqua" w:cs="Book Antiqua"/>
          <w:color w:val="000000"/>
          <w:szCs w:val="20"/>
          <w:vertAlign w:val="superscript"/>
        </w:rPr>
        <w:t>a</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97C0E">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b</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97C0E">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497C0E">
        <w:rPr>
          <w:rFonts w:ascii="Book Antiqua" w:eastAsia="Book Antiqua" w:hAnsi="Book Antiqua" w:cs="Book Antiqua"/>
          <w:color w:val="000000"/>
        </w:rPr>
        <w:t>B</w:t>
      </w:r>
      <w:r w:rsidR="0013023D">
        <w:rPr>
          <w:rFonts w:ascii="Book Antiqua" w:eastAsia="Book Antiqua" w:hAnsi="Book Antiqua" w:cs="Book Antiqua"/>
          <w:color w:val="000000"/>
        </w:rPr>
        <w:t>SO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20"/>
          <w:vertAlign w:val="superscript"/>
        </w:rPr>
        <w:t>c</w:t>
      </w:r>
      <w:r w:rsidR="00497C0E" w:rsidRPr="00497C0E">
        <w:rPr>
          <w:rFonts w:ascii="Book Antiqua" w:eastAsia="Book Antiqua" w:hAnsi="Book Antiqua" w:cs="Book Antiqua"/>
          <w:i/>
          <w:iCs/>
          <w:color w:val="000000"/>
        </w:rPr>
        <w:t>P</w:t>
      </w:r>
      <w:proofErr w:type="spellEnd"/>
      <w:r w:rsidR="00497C0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97C0E">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w:t>
      </w:r>
      <w:r w:rsidR="00497C0E">
        <w:rPr>
          <w:rFonts w:ascii="Book Antiqua" w:eastAsia="Book Antiqua" w:hAnsi="Book Antiqua" w:cs="Book Antiqua"/>
          <w:color w:val="000000"/>
        </w:rPr>
        <w:t>.</w:t>
      </w:r>
      <w:r>
        <w:rPr>
          <w:rFonts w:ascii="Book Antiqua" w:eastAsia="Book Antiqua" w:hAnsi="Book Antiqua" w:cs="Book Antiqua"/>
          <w:color w:val="000000"/>
        </w:rPr>
        <w:t xml:space="preserve"> </w:t>
      </w:r>
      <w:r w:rsidR="00497C0E">
        <w:rPr>
          <w:rFonts w:ascii="Book Antiqua" w:eastAsia="Book Antiqua" w:hAnsi="Book Antiqua" w:cs="Book Antiqua"/>
          <w:color w:val="000000"/>
        </w:rPr>
        <w:t>GSH: Glutathione content in its reduced form; PDX: Patient-derived xenograft; MFI: Mean fluorescence intensities; BSO:</w:t>
      </w:r>
      <w:r w:rsidR="00497C0E" w:rsidRPr="004D10A2">
        <w:rPr>
          <w:rFonts w:ascii="Book Antiqua" w:eastAsia="Book Antiqua" w:hAnsi="Book Antiqua" w:cs="Book Antiqua"/>
          <w:color w:val="000000"/>
        </w:rPr>
        <w:t xml:space="preserve"> </w:t>
      </w:r>
      <w:r w:rsidR="00497C0E">
        <w:rPr>
          <w:rFonts w:ascii="Book Antiqua" w:eastAsia="Book Antiqua" w:hAnsi="Book Antiqua" w:cs="Book Antiqua"/>
          <w:color w:val="000000"/>
        </w:rPr>
        <w:t>Buthionine-</w:t>
      </w:r>
      <w:proofErr w:type="spellStart"/>
      <w:r w:rsidR="00497C0E">
        <w:rPr>
          <w:rFonts w:ascii="Book Antiqua" w:eastAsia="Book Antiqua" w:hAnsi="Book Antiqua" w:cs="Book Antiqua"/>
          <w:color w:val="000000"/>
        </w:rPr>
        <w:t>sulfoximine</w:t>
      </w:r>
      <w:proofErr w:type="spellEnd"/>
      <w:r w:rsidR="004F70B6">
        <w:rPr>
          <w:rFonts w:ascii="Book Antiqua" w:eastAsia="Book Antiqua" w:hAnsi="Book Antiqua" w:cs="Book Antiqua"/>
          <w:color w:val="000000"/>
        </w:rPr>
        <w:t>.</w:t>
      </w:r>
    </w:p>
    <w:p w14:paraId="748914EB" w14:textId="20F24506" w:rsidR="00A77B3E" w:rsidRDefault="005E279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E2791">
        <w:rPr>
          <w:rFonts w:ascii="Book Antiqua" w:eastAsia="Book Antiqua" w:hAnsi="Book Antiqua" w:cs="Book Antiqua"/>
          <w:b/>
          <w:bCs/>
          <w:color w:val="000000"/>
        </w:rPr>
        <w:lastRenderedPageBreak/>
        <w:t xml:space="preserve">Table 1 </w:t>
      </w:r>
      <w:r w:rsidR="00214F32">
        <w:rPr>
          <w:rFonts w:ascii="Book Antiqua" w:eastAsia="Book Antiqua" w:hAnsi="Book Antiqua" w:cs="Book Antiqua"/>
          <w:b/>
          <w:bCs/>
          <w:color w:val="000000"/>
        </w:rPr>
        <w:t>L</w:t>
      </w:r>
      <w:r w:rsidRPr="005E2791">
        <w:rPr>
          <w:rFonts w:ascii="Book Antiqua" w:eastAsia="Book Antiqua" w:hAnsi="Book Antiqua" w:cs="Book Antiqua"/>
          <w:b/>
          <w:bCs/>
          <w:color w:val="000000"/>
        </w:rPr>
        <w:t>ist of utilized primers</w:t>
      </w:r>
    </w:p>
    <w:tbl>
      <w:tblPr>
        <w:tblW w:w="4500" w:type="pct"/>
        <w:tblLook w:val="04A0" w:firstRow="1" w:lastRow="0" w:firstColumn="1" w:lastColumn="0" w:noHBand="0" w:noVBand="1"/>
      </w:tblPr>
      <w:tblGrid>
        <w:gridCol w:w="1541"/>
        <w:gridCol w:w="7077"/>
      </w:tblGrid>
      <w:tr w:rsidR="005E2791" w:rsidRPr="005E2791" w14:paraId="6EE95CC7" w14:textId="77777777" w:rsidTr="005E2791">
        <w:tc>
          <w:tcPr>
            <w:tcW w:w="1020" w:type="dxa"/>
            <w:tcBorders>
              <w:top w:val="single" w:sz="4" w:space="0" w:color="auto"/>
              <w:left w:val="nil"/>
              <w:bottom w:val="single" w:sz="4" w:space="0" w:color="auto"/>
              <w:right w:val="nil"/>
            </w:tcBorders>
            <w:shd w:val="clear" w:color="auto" w:fill="auto"/>
            <w:noWrap/>
            <w:hideMark/>
          </w:tcPr>
          <w:p w14:paraId="62735FFF" w14:textId="77777777" w:rsidR="005E2791" w:rsidRPr="005E2791" w:rsidRDefault="005E2791" w:rsidP="005E2791">
            <w:pPr>
              <w:spacing w:line="360" w:lineRule="auto"/>
              <w:jc w:val="both"/>
              <w:rPr>
                <w:rFonts w:ascii="Book Antiqua" w:eastAsia="等线" w:hAnsi="Book Antiqua" w:cs="宋体"/>
                <w:b/>
                <w:bCs/>
                <w:color w:val="000000"/>
                <w:lang w:eastAsia="zh-CN"/>
              </w:rPr>
            </w:pPr>
            <w:r w:rsidRPr="005E2791">
              <w:rPr>
                <w:rFonts w:ascii="Book Antiqua" w:eastAsia="等线" w:hAnsi="Book Antiqua" w:cs="宋体"/>
                <w:b/>
                <w:bCs/>
                <w:color w:val="000000"/>
                <w:lang w:eastAsia="zh-CN"/>
              </w:rPr>
              <w:t>Gene</w:t>
            </w:r>
          </w:p>
        </w:tc>
        <w:tc>
          <w:tcPr>
            <w:tcW w:w="5220" w:type="dxa"/>
            <w:tcBorders>
              <w:top w:val="single" w:sz="4" w:space="0" w:color="auto"/>
              <w:left w:val="nil"/>
              <w:bottom w:val="single" w:sz="4" w:space="0" w:color="auto"/>
              <w:right w:val="nil"/>
            </w:tcBorders>
            <w:shd w:val="clear" w:color="auto" w:fill="auto"/>
            <w:noWrap/>
            <w:hideMark/>
          </w:tcPr>
          <w:p w14:paraId="7F36A874" w14:textId="77777777" w:rsidR="005E2791" w:rsidRPr="005E2791" w:rsidRDefault="005E2791" w:rsidP="005E2791">
            <w:pPr>
              <w:spacing w:line="360" w:lineRule="auto"/>
              <w:jc w:val="both"/>
              <w:rPr>
                <w:rFonts w:ascii="Book Antiqua" w:eastAsia="等线" w:hAnsi="Book Antiqua" w:cs="宋体"/>
                <w:b/>
                <w:bCs/>
                <w:color w:val="000000"/>
                <w:lang w:eastAsia="zh-CN"/>
              </w:rPr>
            </w:pPr>
            <w:r w:rsidRPr="005E2791">
              <w:rPr>
                <w:rFonts w:ascii="Book Antiqua" w:eastAsia="等线" w:hAnsi="Book Antiqua" w:cs="宋体"/>
                <w:b/>
                <w:bCs/>
                <w:color w:val="000000"/>
                <w:lang w:eastAsia="zh-CN"/>
              </w:rPr>
              <w:t xml:space="preserve"> Primer</w:t>
            </w:r>
          </w:p>
        </w:tc>
      </w:tr>
      <w:tr w:rsidR="005E2791" w:rsidRPr="005E2791" w14:paraId="29F40E46" w14:textId="77777777" w:rsidTr="005E2791">
        <w:tc>
          <w:tcPr>
            <w:tcW w:w="1020" w:type="dxa"/>
            <w:tcBorders>
              <w:top w:val="nil"/>
              <w:left w:val="nil"/>
              <w:bottom w:val="nil"/>
              <w:right w:val="nil"/>
            </w:tcBorders>
            <w:shd w:val="clear" w:color="auto" w:fill="auto"/>
            <w:noWrap/>
            <w:hideMark/>
          </w:tcPr>
          <w:p w14:paraId="09993B34"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HPRT</w:t>
            </w:r>
          </w:p>
        </w:tc>
        <w:tc>
          <w:tcPr>
            <w:tcW w:w="5220" w:type="dxa"/>
            <w:tcBorders>
              <w:top w:val="nil"/>
              <w:left w:val="nil"/>
              <w:bottom w:val="nil"/>
              <w:right w:val="nil"/>
            </w:tcBorders>
            <w:shd w:val="clear" w:color="auto" w:fill="auto"/>
            <w:noWrap/>
            <w:hideMark/>
          </w:tcPr>
          <w:p w14:paraId="5680E593"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187F6C11" w14:textId="77777777" w:rsidTr="005E2791">
        <w:tc>
          <w:tcPr>
            <w:tcW w:w="1020" w:type="dxa"/>
            <w:tcBorders>
              <w:top w:val="nil"/>
              <w:left w:val="nil"/>
              <w:bottom w:val="nil"/>
              <w:right w:val="nil"/>
            </w:tcBorders>
            <w:shd w:val="clear" w:color="auto" w:fill="auto"/>
            <w:noWrap/>
            <w:hideMark/>
          </w:tcPr>
          <w:p w14:paraId="12D44D0D"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59CB958"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TGACCTTGATTTATTTTGCATACC</w:t>
            </w:r>
          </w:p>
        </w:tc>
      </w:tr>
      <w:tr w:rsidR="005E2791" w:rsidRPr="005E2791" w14:paraId="68ABD227" w14:textId="77777777" w:rsidTr="005E2791">
        <w:tc>
          <w:tcPr>
            <w:tcW w:w="1020" w:type="dxa"/>
            <w:tcBorders>
              <w:top w:val="nil"/>
              <w:left w:val="nil"/>
              <w:bottom w:val="nil"/>
              <w:right w:val="nil"/>
            </w:tcBorders>
            <w:shd w:val="clear" w:color="auto" w:fill="auto"/>
            <w:noWrap/>
            <w:hideMark/>
          </w:tcPr>
          <w:p w14:paraId="6B618ED5"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18B1663C"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CGAGCAAGACGTTCAGTCCT</w:t>
            </w:r>
          </w:p>
        </w:tc>
      </w:tr>
      <w:tr w:rsidR="005E2791" w:rsidRPr="005E2791" w14:paraId="3CC79B11" w14:textId="77777777" w:rsidTr="005E2791">
        <w:tc>
          <w:tcPr>
            <w:tcW w:w="1020" w:type="dxa"/>
            <w:tcBorders>
              <w:top w:val="nil"/>
              <w:left w:val="nil"/>
              <w:bottom w:val="nil"/>
              <w:right w:val="nil"/>
            </w:tcBorders>
            <w:shd w:val="clear" w:color="auto" w:fill="auto"/>
            <w:noWrap/>
            <w:hideMark/>
          </w:tcPr>
          <w:p w14:paraId="22AA1183"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GCLC</w:t>
            </w:r>
          </w:p>
        </w:tc>
        <w:tc>
          <w:tcPr>
            <w:tcW w:w="5220" w:type="dxa"/>
            <w:tcBorders>
              <w:top w:val="nil"/>
              <w:left w:val="nil"/>
              <w:bottom w:val="nil"/>
              <w:right w:val="nil"/>
            </w:tcBorders>
            <w:shd w:val="clear" w:color="auto" w:fill="auto"/>
            <w:noWrap/>
            <w:hideMark/>
          </w:tcPr>
          <w:p w14:paraId="716EA547"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3FCCBD01" w14:textId="77777777" w:rsidTr="005E2791">
        <w:tc>
          <w:tcPr>
            <w:tcW w:w="1020" w:type="dxa"/>
            <w:tcBorders>
              <w:top w:val="nil"/>
              <w:left w:val="nil"/>
              <w:bottom w:val="nil"/>
              <w:right w:val="nil"/>
            </w:tcBorders>
            <w:shd w:val="clear" w:color="auto" w:fill="auto"/>
            <w:noWrap/>
            <w:hideMark/>
          </w:tcPr>
          <w:p w14:paraId="5094A1D5"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1114D3B"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GCCGCTGAGCTGGGAGGAAA</w:t>
            </w:r>
          </w:p>
        </w:tc>
      </w:tr>
      <w:tr w:rsidR="005E2791" w:rsidRPr="005E2791" w14:paraId="40B1FB8D" w14:textId="77777777" w:rsidTr="005E2791">
        <w:tc>
          <w:tcPr>
            <w:tcW w:w="1020" w:type="dxa"/>
            <w:tcBorders>
              <w:top w:val="nil"/>
              <w:left w:val="nil"/>
              <w:bottom w:val="nil"/>
              <w:right w:val="nil"/>
            </w:tcBorders>
            <w:shd w:val="clear" w:color="auto" w:fill="auto"/>
            <w:noWrap/>
            <w:hideMark/>
          </w:tcPr>
          <w:p w14:paraId="2C7BB0D9"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203C3460"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ATTCCACCTCATCGCCCCACT</w:t>
            </w:r>
          </w:p>
        </w:tc>
      </w:tr>
      <w:tr w:rsidR="005E2791" w:rsidRPr="005E2791" w14:paraId="6A30729A" w14:textId="77777777" w:rsidTr="005E2791">
        <w:tc>
          <w:tcPr>
            <w:tcW w:w="1020" w:type="dxa"/>
            <w:tcBorders>
              <w:top w:val="nil"/>
              <w:left w:val="nil"/>
              <w:bottom w:val="nil"/>
              <w:right w:val="nil"/>
            </w:tcBorders>
            <w:shd w:val="clear" w:color="auto" w:fill="auto"/>
            <w:noWrap/>
            <w:hideMark/>
          </w:tcPr>
          <w:p w14:paraId="070C1E4D"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GPX1</w:t>
            </w:r>
          </w:p>
        </w:tc>
        <w:tc>
          <w:tcPr>
            <w:tcW w:w="5220" w:type="dxa"/>
            <w:tcBorders>
              <w:top w:val="nil"/>
              <w:left w:val="nil"/>
              <w:bottom w:val="nil"/>
              <w:right w:val="nil"/>
            </w:tcBorders>
            <w:shd w:val="clear" w:color="auto" w:fill="auto"/>
            <w:noWrap/>
            <w:hideMark/>
          </w:tcPr>
          <w:p w14:paraId="76F32DC9"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12AB9D82" w14:textId="77777777" w:rsidTr="005E2791">
        <w:tc>
          <w:tcPr>
            <w:tcW w:w="1020" w:type="dxa"/>
            <w:tcBorders>
              <w:top w:val="nil"/>
              <w:left w:val="nil"/>
              <w:bottom w:val="nil"/>
              <w:right w:val="nil"/>
            </w:tcBorders>
            <w:shd w:val="clear" w:color="auto" w:fill="auto"/>
            <w:noWrap/>
            <w:hideMark/>
          </w:tcPr>
          <w:p w14:paraId="5FA95E14"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F8B00D3"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TATCGAGAATGTGGCGTCCC</w:t>
            </w:r>
          </w:p>
        </w:tc>
      </w:tr>
      <w:tr w:rsidR="005E2791" w:rsidRPr="005E2791" w14:paraId="2D0C341F" w14:textId="77777777" w:rsidTr="005E2791">
        <w:tc>
          <w:tcPr>
            <w:tcW w:w="1020" w:type="dxa"/>
            <w:tcBorders>
              <w:top w:val="nil"/>
              <w:left w:val="nil"/>
              <w:bottom w:val="nil"/>
              <w:right w:val="nil"/>
            </w:tcBorders>
            <w:shd w:val="clear" w:color="auto" w:fill="auto"/>
            <w:noWrap/>
            <w:hideMark/>
          </w:tcPr>
          <w:p w14:paraId="5CC64BA2"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3E5063AA"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GATGCCCAAACTGGTTGCAC</w:t>
            </w:r>
          </w:p>
        </w:tc>
      </w:tr>
      <w:tr w:rsidR="005E2791" w:rsidRPr="005E2791" w14:paraId="1C5F3BC3" w14:textId="77777777" w:rsidTr="005E2791">
        <w:tc>
          <w:tcPr>
            <w:tcW w:w="1020" w:type="dxa"/>
            <w:tcBorders>
              <w:top w:val="nil"/>
              <w:left w:val="nil"/>
              <w:bottom w:val="nil"/>
              <w:right w:val="nil"/>
            </w:tcBorders>
            <w:shd w:val="clear" w:color="auto" w:fill="auto"/>
            <w:noWrap/>
            <w:hideMark/>
          </w:tcPr>
          <w:p w14:paraId="4838480D"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GPX2</w:t>
            </w:r>
          </w:p>
        </w:tc>
        <w:tc>
          <w:tcPr>
            <w:tcW w:w="5220" w:type="dxa"/>
            <w:tcBorders>
              <w:top w:val="nil"/>
              <w:left w:val="nil"/>
              <w:bottom w:val="nil"/>
              <w:right w:val="nil"/>
            </w:tcBorders>
            <w:shd w:val="clear" w:color="auto" w:fill="auto"/>
            <w:noWrap/>
            <w:hideMark/>
          </w:tcPr>
          <w:p w14:paraId="3230FCCE"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7FCE72D9" w14:textId="77777777" w:rsidTr="005E2791">
        <w:tc>
          <w:tcPr>
            <w:tcW w:w="1020" w:type="dxa"/>
            <w:tcBorders>
              <w:top w:val="nil"/>
              <w:left w:val="nil"/>
              <w:bottom w:val="nil"/>
              <w:right w:val="nil"/>
            </w:tcBorders>
            <w:shd w:val="clear" w:color="auto" w:fill="auto"/>
            <w:noWrap/>
            <w:hideMark/>
          </w:tcPr>
          <w:p w14:paraId="0C8461EA"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4DACF8B7"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GGACATCAGGAGAACTGTCAGA</w:t>
            </w:r>
          </w:p>
        </w:tc>
      </w:tr>
      <w:tr w:rsidR="005E2791" w:rsidRPr="005E2791" w14:paraId="2C28FAC3" w14:textId="77777777" w:rsidTr="005E2791">
        <w:tc>
          <w:tcPr>
            <w:tcW w:w="1020" w:type="dxa"/>
            <w:tcBorders>
              <w:top w:val="nil"/>
              <w:left w:val="nil"/>
              <w:bottom w:val="nil"/>
              <w:right w:val="nil"/>
            </w:tcBorders>
            <w:shd w:val="clear" w:color="auto" w:fill="auto"/>
            <w:noWrap/>
            <w:hideMark/>
          </w:tcPr>
          <w:p w14:paraId="2E18DE07"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0B0A7B4D"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TCAGGTAGGCGAAGACAGGA</w:t>
            </w:r>
          </w:p>
        </w:tc>
      </w:tr>
      <w:tr w:rsidR="005E2791" w:rsidRPr="005E2791" w14:paraId="686C8893" w14:textId="77777777" w:rsidTr="005E2791">
        <w:tc>
          <w:tcPr>
            <w:tcW w:w="1020" w:type="dxa"/>
            <w:tcBorders>
              <w:top w:val="nil"/>
              <w:left w:val="nil"/>
              <w:bottom w:val="nil"/>
              <w:right w:val="nil"/>
            </w:tcBorders>
            <w:shd w:val="clear" w:color="auto" w:fill="auto"/>
            <w:noWrap/>
            <w:hideMark/>
          </w:tcPr>
          <w:p w14:paraId="3B28D0C0"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GGT1</w:t>
            </w:r>
          </w:p>
        </w:tc>
        <w:tc>
          <w:tcPr>
            <w:tcW w:w="5220" w:type="dxa"/>
            <w:tcBorders>
              <w:top w:val="nil"/>
              <w:left w:val="nil"/>
              <w:bottom w:val="nil"/>
              <w:right w:val="nil"/>
            </w:tcBorders>
            <w:shd w:val="clear" w:color="auto" w:fill="auto"/>
            <w:noWrap/>
            <w:hideMark/>
          </w:tcPr>
          <w:p w14:paraId="27DD1B49"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0C29ECFB" w14:textId="77777777" w:rsidTr="005E2791">
        <w:tc>
          <w:tcPr>
            <w:tcW w:w="1020" w:type="dxa"/>
            <w:tcBorders>
              <w:top w:val="nil"/>
              <w:left w:val="nil"/>
              <w:bottom w:val="nil"/>
              <w:right w:val="nil"/>
            </w:tcBorders>
            <w:shd w:val="clear" w:color="auto" w:fill="auto"/>
            <w:noWrap/>
            <w:hideMark/>
          </w:tcPr>
          <w:p w14:paraId="26C04D11"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3A593A9A"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CAACCTGCCCACAGTGAAGA</w:t>
            </w:r>
          </w:p>
        </w:tc>
      </w:tr>
      <w:tr w:rsidR="005E2791" w:rsidRPr="005E2791" w14:paraId="65AC9FA1" w14:textId="77777777" w:rsidTr="005E2791">
        <w:tc>
          <w:tcPr>
            <w:tcW w:w="1020" w:type="dxa"/>
            <w:tcBorders>
              <w:top w:val="nil"/>
              <w:left w:val="nil"/>
              <w:bottom w:val="nil"/>
              <w:right w:val="nil"/>
            </w:tcBorders>
            <w:shd w:val="clear" w:color="auto" w:fill="auto"/>
            <w:noWrap/>
            <w:hideMark/>
          </w:tcPr>
          <w:p w14:paraId="3F751427"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0992F423"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TTCTTGGCCTCCATGACTGC</w:t>
            </w:r>
          </w:p>
        </w:tc>
      </w:tr>
      <w:tr w:rsidR="005E2791" w:rsidRPr="005E2791" w14:paraId="5DD4EC1B" w14:textId="77777777" w:rsidTr="005E2791">
        <w:tc>
          <w:tcPr>
            <w:tcW w:w="1020" w:type="dxa"/>
            <w:tcBorders>
              <w:top w:val="nil"/>
              <w:left w:val="nil"/>
              <w:bottom w:val="nil"/>
              <w:right w:val="nil"/>
            </w:tcBorders>
            <w:shd w:val="clear" w:color="auto" w:fill="auto"/>
            <w:noWrap/>
            <w:hideMark/>
          </w:tcPr>
          <w:p w14:paraId="2A74D72E"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GGT2</w:t>
            </w:r>
          </w:p>
        </w:tc>
        <w:tc>
          <w:tcPr>
            <w:tcW w:w="5220" w:type="dxa"/>
            <w:tcBorders>
              <w:top w:val="nil"/>
              <w:left w:val="nil"/>
              <w:bottom w:val="nil"/>
              <w:right w:val="nil"/>
            </w:tcBorders>
            <w:shd w:val="clear" w:color="auto" w:fill="auto"/>
            <w:noWrap/>
            <w:hideMark/>
          </w:tcPr>
          <w:p w14:paraId="5F6FC492"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7B61167D" w14:textId="77777777" w:rsidTr="005E2791">
        <w:tc>
          <w:tcPr>
            <w:tcW w:w="1020" w:type="dxa"/>
            <w:tcBorders>
              <w:top w:val="nil"/>
              <w:left w:val="nil"/>
              <w:bottom w:val="nil"/>
              <w:right w:val="nil"/>
            </w:tcBorders>
            <w:shd w:val="clear" w:color="auto" w:fill="auto"/>
            <w:noWrap/>
            <w:hideMark/>
          </w:tcPr>
          <w:p w14:paraId="4C72A432"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6511EA94"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CCCTTCTTTCAGTGGGAGGG</w:t>
            </w:r>
          </w:p>
        </w:tc>
      </w:tr>
      <w:tr w:rsidR="005E2791" w:rsidRPr="005E2791" w14:paraId="74A0263E" w14:textId="77777777" w:rsidTr="005E2791">
        <w:tc>
          <w:tcPr>
            <w:tcW w:w="1020" w:type="dxa"/>
            <w:tcBorders>
              <w:top w:val="nil"/>
              <w:left w:val="nil"/>
              <w:bottom w:val="nil"/>
              <w:right w:val="nil"/>
            </w:tcBorders>
            <w:shd w:val="clear" w:color="auto" w:fill="auto"/>
            <w:noWrap/>
            <w:hideMark/>
          </w:tcPr>
          <w:p w14:paraId="56A8BABC"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2210ABEB"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ATGCTGTCACCTTTGTGGCT</w:t>
            </w:r>
          </w:p>
        </w:tc>
      </w:tr>
      <w:tr w:rsidR="005E2791" w:rsidRPr="005E2791" w14:paraId="50D7918F" w14:textId="77777777" w:rsidTr="005E2791">
        <w:tc>
          <w:tcPr>
            <w:tcW w:w="1020" w:type="dxa"/>
            <w:tcBorders>
              <w:top w:val="nil"/>
              <w:left w:val="nil"/>
              <w:bottom w:val="nil"/>
              <w:right w:val="nil"/>
            </w:tcBorders>
            <w:shd w:val="clear" w:color="auto" w:fill="auto"/>
            <w:noWrap/>
            <w:hideMark/>
          </w:tcPr>
          <w:p w14:paraId="3EE80A7D"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GSTM1</w:t>
            </w:r>
          </w:p>
        </w:tc>
        <w:tc>
          <w:tcPr>
            <w:tcW w:w="5220" w:type="dxa"/>
            <w:tcBorders>
              <w:top w:val="nil"/>
              <w:left w:val="nil"/>
              <w:bottom w:val="nil"/>
              <w:right w:val="nil"/>
            </w:tcBorders>
            <w:shd w:val="clear" w:color="auto" w:fill="auto"/>
            <w:noWrap/>
            <w:hideMark/>
          </w:tcPr>
          <w:p w14:paraId="66E741E3"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5F8AA07E" w14:textId="77777777" w:rsidTr="005E2791">
        <w:tc>
          <w:tcPr>
            <w:tcW w:w="1020" w:type="dxa"/>
            <w:tcBorders>
              <w:top w:val="nil"/>
              <w:left w:val="nil"/>
              <w:bottom w:val="nil"/>
              <w:right w:val="nil"/>
            </w:tcBorders>
            <w:shd w:val="clear" w:color="auto" w:fill="auto"/>
            <w:noWrap/>
            <w:hideMark/>
          </w:tcPr>
          <w:p w14:paraId="78F7EA98"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59EFCCA4"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AGGAAAAGAAGTACACGATGGG</w:t>
            </w:r>
          </w:p>
        </w:tc>
      </w:tr>
      <w:tr w:rsidR="005E2791" w:rsidRPr="005E2791" w14:paraId="2E3F0125" w14:textId="77777777" w:rsidTr="005E2791">
        <w:tc>
          <w:tcPr>
            <w:tcW w:w="1020" w:type="dxa"/>
            <w:tcBorders>
              <w:top w:val="nil"/>
              <w:left w:val="nil"/>
              <w:bottom w:val="nil"/>
              <w:right w:val="nil"/>
            </w:tcBorders>
            <w:shd w:val="clear" w:color="auto" w:fill="auto"/>
            <w:noWrap/>
            <w:hideMark/>
          </w:tcPr>
          <w:p w14:paraId="643BF7B5"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6B9AD735"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TTGCTCTGGGTGATCTTGTG</w:t>
            </w:r>
          </w:p>
        </w:tc>
      </w:tr>
      <w:tr w:rsidR="005E2791" w:rsidRPr="005E2791" w14:paraId="4D8F9344" w14:textId="77777777" w:rsidTr="005E2791">
        <w:tc>
          <w:tcPr>
            <w:tcW w:w="1020" w:type="dxa"/>
            <w:tcBorders>
              <w:top w:val="nil"/>
              <w:left w:val="nil"/>
              <w:bottom w:val="nil"/>
              <w:right w:val="nil"/>
            </w:tcBorders>
            <w:shd w:val="clear" w:color="auto" w:fill="auto"/>
            <w:noWrap/>
            <w:hideMark/>
          </w:tcPr>
          <w:p w14:paraId="421BA9B4"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GSTA1</w:t>
            </w:r>
          </w:p>
        </w:tc>
        <w:tc>
          <w:tcPr>
            <w:tcW w:w="5220" w:type="dxa"/>
            <w:tcBorders>
              <w:top w:val="nil"/>
              <w:left w:val="nil"/>
              <w:bottom w:val="nil"/>
              <w:right w:val="nil"/>
            </w:tcBorders>
            <w:shd w:val="clear" w:color="auto" w:fill="auto"/>
            <w:noWrap/>
            <w:hideMark/>
          </w:tcPr>
          <w:p w14:paraId="3A4A403F"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05A5F85A" w14:textId="77777777" w:rsidTr="005E2791">
        <w:tc>
          <w:tcPr>
            <w:tcW w:w="1020" w:type="dxa"/>
            <w:tcBorders>
              <w:top w:val="nil"/>
              <w:left w:val="nil"/>
              <w:bottom w:val="nil"/>
              <w:right w:val="nil"/>
            </w:tcBorders>
            <w:shd w:val="clear" w:color="auto" w:fill="auto"/>
            <w:noWrap/>
            <w:hideMark/>
          </w:tcPr>
          <w:p w14:paraId="18118480"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7314F272"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CAACCTGCCCACAGTGAAGA</w:t>
            </w:r>
          </w:p>
        </w:tc>
      </w:tr>
      <w:tr w:rsidR="005E2791" w:rsidRPr="005E2791" w14:paraId="55FB19CC" w14:textId="77777777" w:rsidTr="005E2791">
        <w:tc>
          <w:tcPr>
            <w:tcW w:w="1020" w:type="dxa"/>
            <w:tcBorders>
              <w:top w:val="nil"/>
              <w:left w:val="nil"/>
              <w:bottom w:val="nil"/>
              <w:right w:val="nil"/>
            </w:tcBorders>
            <w:shd w:val="clear" w:color="auto" w:fill="auto"/>
            <w:noWrap/>
            <w:hideMark/>
          </w:tcPr>
          <w:p w14:paraId="4B354EC4"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571B8646"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TTCTTGGCCTCCATGACTGC</w:t>
            </w:r>
          </w:p>
        </w:tc>
      </w:tr>
      <w:tr w:rsidR="005E2791" w:rsidRPr="005E2791" w14:paraId="3BBF1582" w14:textId="77777777" w:rsidTr="005E2791">
        <w:tc>
          <w:tcPr>
            <w:tcW w:w="1020" w:type="dxa"/>
            <w:tcBorders>
              <w:top w:val="nil"/>
              <w:left w:val="nil"/>
              <w:bottom w:val="nil"/>
              <w:right w:val="nil"/>
            </w:tcBorders>
            <w:shd w:val="clear" w:color="auto" w:fill="auto"/>
            <w:noWrap/>
            <w:hideMark/>
          </w:tcPr>
          <w:p w14:paraId="1D19964E"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GSTA2</w:t>
            </w:r>
          </w:p>
        </w:tc>
        <w:tc>
          <w:tcPr>
            <w:tcW w:w="5220" w:type="dxa"/>
            <w:tcBorders>
              <w:top w:val="nil"/>
              <w:left w:val="nil"/>
              <w:bottom w:val="nil"/>
              <w:right w:val="nil"/>
            </w:tcBorders>
            <w:shd w:val="clear" w:color="auto" w:fill="auto"/>
            <w:noWrap/>
            <w:hideMark/>
          </w:tcPr>
          <w:p w14:paraId="79A7F717"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573A1A16" w14:textId="77777777" w:rsidTr="005E2791">
        <w:tc>
          <w:tcPr>
            <w:tcW w:w="1020" w:type="dxa"/>
            <w:tcBorders>
              <w:top w:val="nil"/>
              <w:left w:val="nil"/>
              <w:bottom w:val="nil"/>
              <w:right w:val="nil"/>
            </w:tcBorders>
            <w:shd w:val="clear" w:color="auto" w:fill="auto"/>
            <w:noWrap/>
            <w:hideMark/>
          </w:tcPr>
          <w:p w14:paraId="2CA8E249"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65FDDDFD"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CCCTTCTTTCAGTGGGAGGG</w:t>
            </w:r>
          </w:p>
        </w:tc>
      </w:tr>
      <w:tr w:rsidR="005E2791" w:rsidRPr="005E2791" w14:paraId="31953F85" w14:textId="77777777" w:rsidTr="005E2791">
        <w:tc>
          <w:tcPr>
            <w:tcW w:w="1020" w:type="dxa"/>
            <w:tcBorders>
              <w:top w:val="nil"/>
              <w:left w:val="nil"/>
              <w:bottom w:val="nil"/>
              <w:right w:val="nil"/>
            </w:tcBorders>
            <w:shd w:val="clear" w:color="auto" w:fill="auto"/>
            <w:noWrap/>
            <w:hideMark/>
          </w:tcPr>
          <w:p w14:paraId="6B079C66"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1E07F02A"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ATGCTGTCACCTTTGTGGCT</w:t>
            </w:r>
          </w:p>
        </w:tc>
      </w:tr>
      <w:tr w:rsidR="005E2791" w:rsidRPr="005E2791" w14:paraId="125432B2" w14:textId="77777777" w:rsidTr="005E2791">
        <w:tc>
          <w:tcPr>
            <w:tcW w:w="1020" w:type="dxa"/>
            <w:tcBorders>
              <w:top w:val="nil"/>
              <w:left w:val="nil"/>
              <w:bottom w:val="nil"/>
              <w:right w:val="nil"/>
            </w:tcBorders>
            <w:shd w:val="clear" w:color="auto" w:fill="auto"/>
            <w:noWrap/>
            <w:hideMark/>
          </w:tcPr>
          <w:p w14:paraId="45B29700"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lastRenderedPageBreak/>
              <w:t>GSTA</w:t>
            </w:r>
          </w:p>
        </w:tc>
        <w:tc>
          <w:tcPr>
            <w:tcW w:w="5220" w:type="dxa"/>
            <w:tcBorders>
              <w:top w:val="nil"/>
              <w:left w:val="nil"/>
              <w:bottom w:val="nil"/>
              <w:right w:val="nil"/>
            </w:tcBorders>
            <w:shd w:val="clear" w:color="auto" w:fill="auto"/>
            <w:noWrap/>
            <w:hideMark/>
          </w:tcPr>
          <w:p w14:paraId="6F57B1FD"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03317B35" w14:textId="77777777" w:rsidTr="005E2791">
        <w:tc>
          <w:tcPr>
            <w:tcW w:w="1020" w:type="dxa"/>
            <w:tcBorders>
              <w:top w:val="nil"/>
              <w:left w:val="nil"/>
              <w:bottom w:val="nil"/>
              <w:right w:val="nil"/>
            </w:tcBorders>
            <w:shd w:val="clear" w:color="auto" w:fill="auto"/>
            <w:noWrap/>
            <w:hideMark/>
          </w:tcPr>
          <w:p w14:paraId="43298CD6"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2C0CD419"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TCCGTGAGATGGGTTTTAGC</w:t>
            </w:r>
          </w:p>
        </w:tc>
      </w:tr>
      <w:tr w:rsidR="005E2791" w:rsidRPr="005E2791" w14:paraId="431CC7F8" w14:textId="77777777" w:rsidTr="005E2791">
        <w:tc>
          <w:tcPr>
            <w:tcW w:w="1020" w:type="dxa"/>
            <w:tcBorders>
              <w:top w:val="nil"/>
              <w:left w:val="nil"/>
              <w:bottom w:val="nil"/>
              <w:right w:val="nil"/>
            </w:tcBorders>
            <w:shd w:val="clear" w:color="auto" w:fill="auto"/>
            <w:noWrap/>
            <w:hideMark/>
          </w:tcPr>
          <w:p w14:paraId="1C50559B"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50F0DB60"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CTGTACCAACTTCATCCCGTC</w:t>
            </w:r>
          </w:p>
        </w:tc>
      </w:tr>
      <w:tr w:rsidR="005E2791" w:rsidRPr="005E2791" w14:paraId="7BD18408" w14:textId="77777777" w:rsidTr="005E2791">
        <w:tc>
          <w:tcPr>
            <w:tcW w:w="1020" w:type="dxa"/>
            <w:tcBorders>
              <w:top w:val="nil"/>
              <w:left w:val="nil"/>
              <w:bottom w:val="nil"/>
              <w:right w:val="nil"/>
            </w:tcBorders>
            <w:shd w:val="clear" w:color="auto" w:fill="auto"/>
            <w:noWrap/>
            <w:hideMark/>
          </w:tcPr>
          <w:p w14:paraId="4230439E"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IDH1</w:t>
            </w:r>
          </w:p>
        </w:tc>
        <w:tc>
          <w:tcPr>
            <w:tcW w:w="5220" w:type="dxa"/>
            <w:tcBorders>
              <w:top w:val="nil"/>
              <w:left w:val="nil"/>
              <w:bottom w:val="nil"/>
              <w:right w:val="nil"/>
            </w:tcBorders>
            <w:shd w:val="clear" w:color="auto" w:fill="auto"/>
            <w:noWrap/>
            <w:hideMark/>
          </w:tcPr>
          <w:p w14:paraId="509EEC06"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3F2FF544" w14:textId="77777777" w:rsidTr="005E2791">
        <w:tc>
          <w:tcPr>
            <w:tcW w:w="1020" w:type="dxa"/>
            <w:tcBorders>
              <w:top w:val="nil"/>
              <w:left w:val="nil"/>
              <w:bottom w:val="nil"/>
              <w:right w:val="nil"/>
            </w:tcBorders>
            <w:shd w:val="clear" w:color="auto" w:fill="auto"/>
            <w:noWrap/>
            <w:hideMark/>
          </w:tcPr>
          <w:p w14:paraId="2FC32FA7"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6E07E02C"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CAAGTGACGGAACCCAAAAG</w:t>
            </w:r>
          </w:p>
        </w:tc>
      </w:tr>
      <w:tr w:rsidR="005E2791" w:rsidRPr="005E2791" w14:paraId="5AF25CA1" w14:textId="77777777" w:rsidTr="005E2791">
        <w:tc>
          <w:tcPr>
            <w:tcW w:w="1020" w:type="dxa"/>
            <w:tcBorders>
              <w:top w:val="nil"/>
              <w:left w:val="nil"/>
              <w:bottom w:val="nil"/>
              <w:right w:val="nil"/>
            </w:tcBorders>
            <w:shd w:val="clear" w:color="auto" w:fill="auto"/>
            <w:noWrap/>
            <w:hideMark/>
          </w:tcPr>
          <w:p w14:paraId="2DE10028"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nil"/>
              <w:right w:val="nil"/>
            </w:tcBorders>
            <w:shd w:val="clear" w:color="auto" w:fill="auto"/>
            <w:noWrap/>
            <w:hideMark/>
          </w:tcPr>
          <w:p w14:paraId="2BCFB8D4"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ACCCTTAGACAGAGCCATTTG</w:t>
            </w:r>
          </w:p>
        </w:tc>
      </w:tr>
      <w:tr w:rsidR="005E2791" w:rsidRPr="005E2791" w14:paraId="41EFFEE9" w14:textId="77777777" w:rsidTr="005E2791">
        <w:tc>
          <w:tcPr>
            <w:tcW w:w="1020" w:type="dxa"/>
            <w:tcBorders>
              <w:top w:val="nil"/>
              <w:left w:val="nil"/>
              <w:bottom w:val="nil"/>
              <w:right w:val="nil"/>
            </w:tcBorders>
            <w:shd w:val="clear" w:color="auto" w:fill="auto"/>
            <w:noWrap/>
            <w:hideMark/>
          </w:tcPr>
          <w:p w14:paraId="1ED86E7F" w14:textId="77777777" w:rsidR="005E2791" w:rsidRPr="005E2791" w:rsidRDefault="005E2791" w:rsidP="005E2791">
            <w:pPr>
              <w:spacing w:line="360" w:lineRule="auto"/>
              <w:jc w:val="both"/>
              <w:rPr>
                <w:rFonts w:ascii="Book Antiqua" w:eastAsia="等线" w:hAnsi="Book Antiqua" w:cs="宋体"/>
                <w:i/>
                <w:iCs/>
                <w:color w:val="000000"/>
                <w:lang w:eastAsia="zh-CN"/>
              </w:rPr>
            </w:pPr>
            <w:r w:rsidRPr="005E2791">
              <w:rPr>
                <w:rFonts w:ascii="Book Antiqua" w:eastAsia="等线" w:hAnsi="Book Antiqua" w:cs="宋体"/>
                <w:i/>
                <w:iCs/>
                <w:color w:val="000000"/>
                <w:lang w:eastAsia="zh-CN"/>
              </w:rPr>
              <w:t>IDH2</w:t>
            </w:r>
          </w:p>
        </w:tc>
        <w:tc>
          <w:tcPr>
            <w:tcW w:w="5220" w:type="dxa"/>
            <w:tcBorders>
              <w:top w:val="nil"/>
              <w:left w:val="nil"/>
              <w:bottom w:val="nil"/>
              <w:right w:val="nil"/>
            </w:tcBorders>
            <w:shd w:val="clear" w:color="auto" w:fill="auto"/>
            <w:noWrap/>
            <w:hideMark/>
          </w:tcPr>
          <w:p w14:paraId="7013C817" w14:textId="77777777" w:rsidR="005E2791" w:rsidRPr="005E2791" w:rsidRDefault="005E2791" w:rsidP="005E2791">
            <w:pPr>
              <w:spacing w:line="360" w:lineRule="auto"/>
              <w:jc w:val="both"/>
              <w:rPr>
                <w:rFonts w:ascii="Book Antiqua" w:eastAsia="等线" w:hAnsi="Book Antiqua" w:cs="宋体"/>
                <w:i/>
                <w:iCs/>
                <w:color w:val="000000"/>
                <w:lang w:eastAsia="zh-CN"/>
              </w:rPr>
            </w:pPr>
          </w:p>
        </w:tc>
      </w:tr>
      <w:tr w:rsidR="005E2791" w:rsidRPr="005E2791" w14:paraId="6807B15A" w14:textId="77777777" w:rsidTr="005E2791">
        <w:tc>
          <w:tcPr>
            <w:tcW w:w="1020" w:type="dxa"/>
            <w:tcBorders>
              <w:top w:val="nil"/>
              <w:left w:val="nil"/>
              <w:bottom w:val="nil"/>
              <w:right w:val="nil"/>
            </w:tcBorders>
            <w:shd w:val="clear" w:color="auto" w:fill="auto"/>
            <w:noWrap/>
            <w:hideMark/>
          </w:tcPr>
          <w:p w14:paraId="2F13017E"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Forward</w:t>
            </w:r>
          </w:p>
        </w:tc>
        <w:tc>
          <w:tcPr>
            <w:tcW w:w="5220" w:type="dxa"/>
            <w:tcBorders>
              <w:top w:val="nil"/>
              <w:left w:val="nil"/>
              <w:bottom w:val="nil"/>
              <w:right w:val="nil"/>
            </w:tcBorders>
            <w:shd w:val="clear" w:color="auto" w:fill="auto"/>
            <w:noWrap/>
            <w:hideMark/>
          </w:tcPr>
          <w:p w14:paraId="072D183E"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ACAACACCGACGAGTCCATC</w:t>
            </w:r>
          </w:p>
        </w:tc>
      </w:tr>
      <w:tr w:rsidR="005E2791" w:rsidRPr="005E2791" w14:paraId="1A085D08" w14:textId="77777777" w:rsidTr="005E2791">
        <w:tc>
          <w:tcPr>
            <w:tcW w:w="1020" w:type="dxa"/>
            <w:tcBorders>
              <w:top w:val="nil"/>
              <w:left w:val="nil"/>
              <w:bottom w:val="single" w:sz="4" w:space="0" w:color="auto"/>
              <w:right w:val="nil"/>
            </w:tcBorders>
            <w:shd w:val="clear" w:color="auto" w:fill="auto"/>
            <w:noWrap/>
            <w:hideMark/>
          </w:tcPr>
          <w:p w14:paraId="0A2BB7B2" w14:textId="77777777" w:rsidR="005E2791" w:rsidRPr="005E2791" w:rsidRDefault="005E2791" w:rsidP="005E2791">
            <w:pPr>
              <w:spacing w:line="360" w:lineRule="auto"/>
              <w:ind w:firstLineChars="100" w:firstLine="240"/>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Reverse</w:t>
            </w:r>
          </w:p>
        </w:tc>
        <w:tc>
          <w:tcPr>
            <w:tcW w:w="5220" w:type="dxa"/>
            <w:tcBorders>
              <w:top w:val="nil"/>
              <w:left w:val="nil"/>
              <w:bottom w:val="single" w:sz="4" w:space="0" w:color="auto"/>
              <w:right w:val="nil"/>
            </w:tcBorders>
            <w:shd w:val="clear" w:color="auto" w:fill="auto"/>
            <w:noWrap/>
            <w:hideMark/>
          </w:tcPr>
          <w:p w14:paraId="4A32CDA7" w14:textId="77777777" w:rsidR="005E2791" w:rsidRPr="005E2791" w:rsidRDefault="005E2791" w:rsidP="005E2791">
            <w:pPr>
              <w:spacing w:line="360" w:lineRule="auto"/>
              <w:jc w:val="both"/>
              <w:rPr>
                <w:rFonts w:ascii="Book Antiqua" w:eastAsia="等线" w:hAnsi="Book Antiqua" w:cs="宋体"/>
                <w:color w:val="000000"/>
                <w:lang w:eastAsia="zh-CN"/>
              </w:rPr>
            </w:pPr>
            <w:r w:rsidRPr="005E2791">
              <w:rPr>
                <w:rFonts w:ascii="Book Antiqua" w:eastAsia="等线" w:hAnsi="Book Antiqua" w:cs="宋体"/>
                <w:color w:val="000000"/>
                <w:lang w:eastAsia="zh-CN"/>
              </w:rPr>
              <w:t>GCCCATCGTAGGCTTTCAGT</w:t>
            </w:r>
          </w:p>
        </w:tc>
      </w:tr>
    </w:tbl>
    <w:p w14:paraId="34BE7FB0" w14:textId="5781E955" w:rsidR="00697C77" w:rsidRDefault="00697C77">
      <w:pPr>
        <w:spacing w:line="360" w:lineRule="auto"/>
        <w:jc w:val="both"/>
        <w:rPr>
          <w:b/>
          <w:bCs/>
        </w:rPr>
      </w:pPr>
    </w:p>
    <w:p w14:paraId="00C9C472" w14:textId="67420E31" w:rsidR="005E2791" w:rsidRDefault="00697C77">
      <w:pPr>
        <w:spacing w:line="360" w:lineRule="auto"/>
        <w:jc w:val="both"/>
        <w:rPr>
          <w:rFonts w:ascii="Book Antiqua" w:hAnsi="Book Antiqua"/>
          <w:b/>
          <w:bCs/>
        </w:rPr>
      </w:pPr>
      <w:r>
        <w:rPr>
          <w:b/>
          <w:bCs/>
        </w:rPr>
        <w:br w:type="page"/>
      </w:r>
      <w:r w:rsidR="00C44B73" w:rsidRPr="00C44B73">
        <w:rPr>
          <w:rFonts w:ascii="Book Antiqua" w:hAnsi="Book Antiqua"/>
          <w:b/>
          <w:bCs/>
        </w:rPr>
        <w:lastRenderedPageBreak/>
        <w:t xml:space="preserve">Table 2 </w:t>
      </w:r>
      <w:proofErr w:type="spellStart"/>
      <w:r w:rsidR="00C44B73" w:rsidRPr="00C44B73">
        <w:rPr>
          <w:rFonts w:ascii="Book Antiqua" w:hAnsi="Book Antiqua"/>
          <w:b/>
          <w:bCs/>
        </w:rPr>
        <w:t>RNAseq</w:t>
      </w:r>
      <w:proofErr w:type="spellEnd"/>
      <w:r w:rsidR="00C44B73" w:rsidRPr="00C44B73">
        <w:rPr>
          <w:rFonts w:ascii="Book Antiqua" w:hAnsi="Book Antiqua"/>
          <w:b/>
          <w:bCs/>
        </w:rPr>
        <w:t xml:space="preserve"> reveals </w:t>
      </w:r>
      <w:r w:rsidR="00214F32">
        <w:rPr>
          <w:rFonts w:ascii="Book Antiqua" w:hAnsi="Book Antiqua"/>
          <w:b/>
          <w:bCs/>
        </w:rPr>
        <w:t xml:space="preserve">that </w:t>
      </w:r>
      <w:r w:rsidR="00C44B73">
        <w:rPr>
          <w:rFonts w:ascii="Book Antiqua" w:hAnsi="Book Antiqua"/>
          <w:b/>
          <w:bCs/>
        </w:rPr>
        <w:t>g</w:t>
      </w:r>
      <w:r w:rsidR="00C44B73" w:rsidRPr="00C44B73">
        <w:rPr>
          <w:rFonts w:ascii="Book Antiqua" w:hAnsi="Book Antiqua"/>
          <w:b/>
          <w:bCs/>
        </w:rPr>
        <w:t xml:space="preserve">lutathione metabolism genes are up-regulated in </w:t>
      </w:r>
      <w:r w:rsidR="00C44B73" w:rsidRPr="0063365C">
        <w:rPr>
          <w:rFonts w:ascii="Book Antiqua" w:eastAsia="Book Antiqua" w:hAnsi="Book Antiqua" w:cs="Book Antiqua"/>
          <w:b/>
          <w:bCs/>
          <w:color w:val="000000"/>
        </w:rPr>
        <w:t>cancer stem cell</w:t>
      </w:r>
      <w:r w:rsidR="00C44B73" w:rsidRPr="00C44B73">
        <w:rPr>
          <w:rFonts w:ascii="Book Antiqua" w:hAnsi="Book Antiqua"/>
          <w:b/>
          <w:bCs/>
        </w:rPr>
        <w:t>-enriched cultures from pancreatic cancer patient-derived xenografts</w:t>
      </w:r>
    </w:p>
    <w:tbl>
      <w:tblPr>
        <w:tblStyle w:val="a9"/>
        <w:tblW w:w="5000" w:type="pct"/>
        <w:jc w:val="center"/>
        <w:tblLook w:val="0600" w:firstRow="0" w:lastRow="0" w:firstColumn="0" w:lastColumn="0" w:noHBand="1" w:noVBand="1"/>
      </w:tblPr>
      <w:tblGrid>
        <w:gridCol w:w="1067"/>
        <w:gridCol w:w="2205"/>
        <w:gridCol w:w="2057"/>
        <w:gridCol w:w="1996"/>
        <w:gridCol w:w="2251"/>
      </w:tblGrid>
      <w:tr w:rsidR="00C44B73" w:rsidRPr="00C44B73" w14:paraId="648FFDBD" w14:textId="77777777" w:rsidTr="003E21FE">
        <w:trPr>
          <w:trHeight w:val="190"/>
          <w:jc w:val="center"/>
        </w:trPr>
        <w:tc>
          <w:tcPr>
            <w:tcW w:w="1067" w:type="dxa"/>
            <w:tcBorders>
              <w:top w:val="single" w:sz="4" w:space="0" w:color="auto"/>
              <w:bottom w:val="single" w:sz="4" w:space="0" w:color="auto"/>
            </w:tcBorders>
            <w:hideMark/>
          </w:tcPr>
          <w:p w14:paraId="559AD5B6"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lang w:val="sk-SK"/>
              </w:rPr>
              <w:t>PDX</w:t>
            </w:r>
          </w:p>
        </w:tc>
        <w:tc>
          <w:tcPr>
            <w:tcW w:w="2205" w:type="dxa"/>
            <w:tcBorders>
              <w:top w:val="single" w:sz="4" w:space="0" w:color="auto"/>
              <w:bottom w:val="single" w:sz="4" w:space="0" w:color="auto"/>
            </w:tcBorders>
            <w:hideMark/>
          </w:tcPr>
          <w:p w14:paraId="30058BE6"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GGTs</w:t>
            </w:r>
          </w:p>
        </w:tc>
        <w:tc>
          <w:tcPr>
            <w:tcW w:w="2057" w:type="dxa"/>
            <w:tcBorders>
              <w:top w:val="single" w:sz="4" w:space="0" w:color="auto"/>
              <w:bottom w:val="single" w:sz="4" w:space="0" w:color="auto"/>
            </w:tcBorders>
            <w:hideMark/>
          </w:tcPr>
          <w:p w14:paraId="5FD4B5CB"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GSTs</w:t>
            </w:r>
          </w:p>
        </w:tc>
        <w:tc>
          <w:tcPr>
            <w:tcW w:w="1996" w:type="dxa"/>
            <w:tcBorders>
              <w:top w:val="single" w:sz="4" w:space="0" w:color="auto"/>
              <w:bottom w:val="single" w:sz="4" w:space="0" w:color="auto"/>
            </w:tcBorders>
            <w:hideMark/>
          </w:tcPr>
          <w:p w14:paraId="7E4F1245" w14:textId="77777777"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GPXs</w:t>
            </w:r>
          </w:p>
        </w:tc>
        <w:tc>
          <w:tcPr>
            <w:tcW w:w="2251" w:type="dxa"/>
            <w:tcBorders>
              <w:top w:val="single" w:sz="4" w:space="0" w:color="auto"/>
              <w:bottom w:val="single" w:sz="4" w:space="0" w:color="auto"/>
            </w:tcBorders>
            <w:hideMark/>
          </w:tcPr>
          <w:p w14:paraId="3A7CE5FD" w14:textId="65DB60E5" w:rsidR="00C44B73" w:rsidRPr="00C44B73" w:rsidRDefault="00C44B73" w:rsidP="00C44B73">
            <w:pPr>
              <w:widowControl w:val="0"/>
              <w:autoSpaceDE w:val="0"/>
              <w:autoSpaceDN w:val="0"/>
              <w:adjustRightInd w:val="0"/>
              <w:spacing w:line="360" w:lineRule="auto"/>
              <w:jc w:val="both"/>
              <w:rPr>
                <w:rFonts w:ascii="Book Antiqua" w:hAnsi="Book Antiqua"/>
                <w:b/>
              </w:rPr>
            </w:pPr>
            <w:r w:rsidRPr="00C44B73">
              <w:rPr>
                <w:rFonts w:ascii="Book Antiqua" w:hAnsi="Book Antiqua"/>
                <w:b/>
                <w:bCs/>
              </w:rPr>
              <w:t xml:space="preserve">Synthesis </w:t>
            </w:r>
            <w:r w:rsidR="00527350">
              <w:rPr>
                <w:rFonts w:ascii="Book Antiqua" w:hAnsi="Book Antiqua"/>
                <w:b/>
                <w:bCs/>
              </w:rPr>
              <w:t>and</w:t>
            </w:r>
            <w:r w:rsidRPr="00C44B73">
              <w:rPr>
                <w:rFonts w:ascii="Book Antiqua" w:hAnsi="Book Antiqua"/>
                <w:b/>
                <w:bCs/>
              </w:rPr>
              <w:t xml:space="preserve"> recycling</w:t>
            </w:r>
          </w:p>
        </w:tc>
      </w:tr>
      <w:tr w:rsidR="00C44B73" w:rsidRPr="00C44B73" w14:paraId="0CA8FDF8" w14:textId="77777777" w:rsidTr="00C44B73">
        <w:trPr>
          <w:trHeight w:val="183"/>
          <w:jc w:val="center"/>
        </w:trPr>
        <w:tc>
          <w:tcPr>
            <w:tcW w:w="1067" w:type="dxa"/>
            <w:tcBorders>
              <w:top w:val="single" w:sz="4" w:space="0" w:color="auto"/>
            </w:tcBorders>
            <w:hideMark/>
          </w:tcPr>
          <w:p w14:paraId="03062BE8"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PDX185</w:t>
            </w:r>
          </w:p>
        </w:tc>
        <w:tc>
          <w:tcPr>
            <w:tcW w:w="2205" w:type="dxa"/>
            <w:tcBorders>
              <w:top w:val="single" w:sz="4" w:space="0" w:color="auto"/>
            </w:tcBorders>
            <w:hideMark/>
          </w:tcPr>
          <w:p w14:paraId="1ECF1A81"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GGT1, GGT2, GGT3P, GGT6, GGT7</w:t>
            </w:r>
          </w:p>
        </w:tc>
        <w:tc>
          <w:tcPr>
            <w:tcW w:w="2057" w:type="dxa"/>
            <w:tcBorders>
              <w:top w:val="single" w:sz="4" w:space="0" w:color="auto"/>
            </w:tcBorders>
            <w:hideMark/>
          </w:tcPr>
          <w:p w14:paraId="0A389BB0"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GSTA2, GSTT1, MGST2, MGST3</w:t>
            </w:r>
          </w:p>
        </w:tc>
        <w:tc>
          <w:tcPr>
            <w:tcW w:w="1996" w:type="dxa"/>
            <w:tcBorders>
              <w:top w:val="single" w:sz="4" w:space="0" w:color="auto"/>
            </w:tcBorders>
            <w:hideMark/>
          </w:tcPr>
          <w:p w14:paraId="38B96AB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GPX2, GPX3</w:t>
            </w:r>
          </w:p>
        </w:tc>
        <w:tc>
          <w:tcPr>
            <w:tcW w:w="2251" w:type="dxa"/>
            <w:tcBorders>
              <w:top w:val="single" w:sz="4" w:space="0" w:color="auto"/>
            </w:tcBorders>
            <w:hideMark/>
          </w:tcPr>
          <w:p w14:paraId="3C405FD3"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GCLC, GSR, PGD, IDH1</w:t>
            </w:r>
          </w:p>
        </w:tc>
      </w:tr>
      <w:tr w:rsidR="00C44B73" w:rsidRPr="00C44B73" w14:paraId="22CCBCA6" w14:textId="77777777" w:rsidTr="00C44B73">
        <w:trPr>
          <w:trHeight w:val="183"/>
          <w:jc w:val="center"/>
        </w:trPr>
        <w:tc>
          <w:tcPr>
            <w:tcW w:w="1067" w:type="dxa"/>
            <w:hideMark/>
          </w:tcPr>
          <w:p w14:paraId="4A23BE2D"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is-IS"/>
              </w:rPr>
              <w:t>PDX215</w:t>
            </w:r>
          </w:p>
        </w:tc>
        <w:tc>
          <w:tcPr>
            <w:tcW w:w="2205" w:type="dxa"/>
            <w:hideMark/>
          </w:tcPr>
          <w:p w14:paraId="5843AF32"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GGT1, GGT2, GGT7, GGT8P</w:t>
            </w:r>
          </w:p>
        </w:tc>
        <w:tc>
          <w:tcPr>
            <w:tcW w:w="2057" w:type="dxa"/>
            <w:hideMark/>
          </w:tcPr>
          <w:p w14:paraId="37A4EBC1"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GSTA4, GSTM2, GSTM4, MGST2</w:t>
            </w:r>
          </w:p>
        </w:tc>
        <w:tc>
          <w:tcPr>
            <w:tcW w:w="1996" w:type="dxa"/>
            <w:hideMark/>
          </w:tcPr>
          <w:p w14:paraId="4CF515BE"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lang w:val="sk-SK"/>
              </w:rPr>
              <w:t> </w:t>
            </w:r>
          </w:p>
        </w:tc>
        <w:tc>
          <w:tcPr>
            <w:tcW w:w="2251" w:type="dxa"/>
            <w:hideMark/>
          </w:tcPr>
          <w:p w14:paraId="714FF090"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OPLAH, IDH1</w:t>
            </w:r>
          </w:p>
        </w:tc>
      </w:tr>
      <w:tr w:rsidR="00C44B73" w:rsidRPr="00C44B73" w14:paraId="4F5B2ECE" w14:textId="77777777" w:rsidTr="00C44B73">
        <w:trPr>
          <w:trHeight w:val="355"/>
          <w:jc w:val="center"/>
        </w:trPr>
        <w:tc>
          <w:tcPr>
            <w:tcW w:w="1067" w:type="dxa"/>
            <w:hideMark/>
          </w:tcPr>
          <w:p w14:paraId="236DFB5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PDX253</w:t>
            </w:r>
          </w:p>
        </w:tc>
        <w:tc>
          <w:tcPr>
            <w:tcW w:w="2205" w:type="dxa"/>
            <w:hideMark/>
          </w:tcPr>
          <w:p w14:paraId="4D509DBC"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GGT1, GGT2, GGT3P, GGT6</w:t>
            </w:r>
          </w:p>
        </w:tc>
        <w:tc>
          <w:tcPr>
            <w:tcW w:w="2057" w:type="dxa"/>
            <w:hideMark/>
          </w:tcPr>
          <w:p w14:paraId="28C020AC"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GSTA2, GSTA4, MGST1, MGST2, MGST3</w:t>
            </w:r>
          </w:p>
        </w:tc>
        <w:tc>
          <w:tcPr>
            <w:tcW w:w="1996" w:type="dxa"/>
            <w:hideMark/>
          </w:tcPr>
          <w:p w14:paraId="6DB2251F"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GPX2, GPX8</w:t>
            </w:r>
          </w:p>
        </w:tc>
        <w:tc>
          <w:tcPr>
            <w:tcW w:w="2251" w:type="dxa"/>
            <w:hideMark/>
          </w:tcPr>
          <w:p w14:paraId="664710C4"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GSR, IDH1</w:t>
            </w:r>
          </w:p>
        </w:tc>
      </w:tr>
      <w:tr w:rsidR="00C44B73" w:rsidRPr="00C44B73" w14:paraId="1C36C222" w14:textId="77777777" w:rsidTr="00C44B73">
        <w:trPr>
          <w:trHeight w:val="653"/>
          <w:jc w:val="center"/>
        </w:trPr>
        <w:tc>
          <w:tcPr>
            <w:tcW w:w="1067" w:type="dxa"/>
            <w:hideMark/>
          </w:tcPr>
          <w:p w14:paraId="781F7B7C"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PDX354</w:t>
            </w:r>
          </w:p>
        </w:tc>
        <w:tc>
          <w:tcPr>
            <w:tcW w:w="2205" w:type="dxa"/>
            <w:hideMark/>
          </w:tcPr>
          <w:p w14:paraId="6AD13E67"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lang w:val="sk-SK"/>
              </w:rPr>
              <w:t> </w:t>
            </w:r>
          </w:p>
        </w:tc>
        <w:tc>
          <w:tcPr>
            <w:tcW w:w="2057" w:type="dxa"/>
            <w:hideMark/>
          </w:tcPr>
          <w:p w14:paraId="7853E715"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GSTA1, GSTA2, MGST1, GSTM2</w:t>
            </w:r>
          </w:p>
        </w:tc>
        <w:tc>
          <w:tcPr>
            <w:tcW w:w="1996" w:type="dxa"/>
            <w:hideMark/>
          </w:tcPr>
          <w:p w14:paraId="45D4FF99"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GPX3, GPX8</w:t>
            </w:r>
          </w:p>
        </w:tc>
        <w:tc>
          <w:tcPr>
            <w:tcW w:w="2251" w:type="dxa"/>
            <w:hideMark/>
          </w:tcPr>
          <w:p w14:paraId="175E6AE0"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GCLC, GGCT, IDH1</w:t>
            </w:r>
          </w:p>
        </w:tc>
      </w:tr>
      <w:tr w:rsidR="00C44B73" w:rsidRPr="00C44B73" w14:paraId="59BEB7A7" w14:textId="77777777" w:rsidTr="00C44B73">
        <w:trPr>
          <w:trHeight w:val="190"/>
          <w:jc w:val="center"/>
        </w:trPr>
        <w:tc>
          <w:tcPr>
            <w:tcW w:w="1067" w:type="dxa"/>
            <w:hideMark/>
          </w:tcPr>
          <w:p w14:paraId="7BC25303"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lang w:val="de-DE"/>
              </w:rPr>
              <w:t>PDX265</w:t>
            </w:r>
          </w:p>
        </w:tc>
        <w:tc>
          <w:tcPr>
            <w:tcW w:w="2205" w:type="dxa"/>
            <w:hideMark/>
          </w:tcPr>
          <w:p w14:paraId="68F790ED" w14:textId="77777777" w:rsidR="00C44B73" w:rsidRPr="00C44B73" w:rsidRDefault="00C44B73" w:rsidP="00C44B73">
            <w:pPr>
              <w:widowControl w:val="0"/>
              <w:autoSpaceDE w:val="0"/>
              <w:autoSpaceDN w:val="0"/>
              <w:adjustRightInd w:val="0"/>
              <w:spacing w:line="360" w:lineRule="auto"/>
              <w:jc w:val="both"/>
              <w:rPr>
                <w:rFonts w:ascii="Book Antiqua" w:hAnsi="Book Antiqua"/>
                <w:i/>
                <w:iCs/>
                <w:lang w:val="sk-SK"/>
              </w:rPr>
            </w:pPr>
            <w:r w:rsidRPr="00C44B73">
              <w:rPr>
                <w:rFonts w:ascii="Book Antiqua" w:hAnsi="Book Antiqua"/>
                <w:i/>
                <w:iCs/>
                <w:lang w:val="sk-SK"/>
              </w:rPr>
              <w:t> </w:t>
            </w:r>
          </w:p>
          <w:p w14:paraId="7C7FB13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p>
        </w:tc>
        <w:tc>
          <w:tcPr>
            <w:tcW w:w="2057" w:type="dxa"/>
            <w:hideMark/>
          </w:tcPr>
          <w:p w14:paraId="49BF1C2B"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GSTA4, GSTM1, GSTM2, GSTM4</w:t>
            </w:r>
          </w:p>
        </w:tc>
        <w:tc>
          <w:tcPr>
            <w:tcW w:w="1996" w:type="dxa"/>
            <w:hideMark/>
          </w:tcPr>
          <w:p w14:paraId="43A881A7"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GPX2</w:t>
            </w:r>
          </w:p>
        </w:tc>
        <w:tc>
          <w:tcPr>
            <w:tcW w:w="2251" w:type="dxa"/>
            <w:hideMark/>
          </w:tcPr>
          <w:p w14:paraId="3282A9F4" w14:textId="77777777" w:rsidR="00C44B73" w:rsidRPr="00C44B73" w:rsidRDefault="00C44B73" w:rsidP="00C44B73">
            <w:pPr>
              <w:widowControl w:val="0"/>
              <w:autoSpaceDE w:val="0"/>
              <w:autoSpaceDN w:val="0"/>
              <w:adjustRightInd w:val="0"/>
              <w:spacing w:line="360" w:lineRule="auto"/>
              <w:jc w:val="both"/>
              <w:rPr>
                <w:rFonts w:ascii="Book Antiqua" w:hAnsi="Book Antiqua"/>
              </w:rPr>
            </w:pPr>
            <w:r w:rsidRPr="00C44B73">
              <w:rPr>
                <w:rFonts w:ascii="Book Antiqua" w:hAnsi="Book Antiqua"/>
                <w:i/>
                <w:iCs/>
              </w:rPr>
              <w:t>GGCT, PGD, IDH1, IDH2</w:t>
            </w:r>
          </w:p>
        </w:tc>
      </w:tr>
    </w:tbl>
    <w:p w14:paraId="18637593" w14:textId="70938D3D" w:rsidR="00C44B73" w:rsidRPr="00C44B73" w:rsidRDefault="00C44B73">
      <w:pPr>
        <w:spacing w:line="360" w:lineRule="auto"/>
        <w:jc w:val="both"/>
        <w:rPr>
          <w:rFonts w:ascii="Book Antiqua" w:hAnsi="Book Antiqua"/>
          <w:b/>
          <w:bCs/>
        </w:rPr>
      </w:pPr>
      <w:r>
        <w:rPr>
          <w:rFonts w:ascii="Book Antiqua" w:eastAsia="Book Antiqua" w:hAnsi="Book Antiqua" w:cs="Book Antiqua"/>
          <w:color w:val="000000"/>
        </w:rPr>
        <w:t>PDX: Patient-derived xenograft; GGT</w:t>
      </w:r>
      <w:r w:rsidR="00FF3714">
        <w:rPr>
          <w:rFonts w:ascii="Book Antiqua" w:eastAsia="Book Antiqua" w:hAnsi="Book Antiqua" w:cs="Book Antiqua"/>
          <w:color w:val="000000"/>
        </w:rPr>
        <w:t>s</w:t>
      </w:r>
      <w:r>
        <w:rPr>
          <w:rFonts w:ascii="Book Antiqua" w:eastAsia="Book Antiqua" w:hAnsi="Book Antiqua" w:cs="Book Antiqua"/>
          <w:color w:val="000000"/>
        </w:rPr>
        <w:t>: Gamma-</w:t>
      </w:r>
      <w:proofErr w:type="spellStart"/>
      <w:r>
        <w:rPr>
          <w:rFonts w:ascii="Book Antiqua" w:eastAsia="Book Antiqua" w:hAnsi="Book Antiqua" w:cs="Book Antiqua"/>
          <w:color w:val="000000"/>
        </w:rPr>
        <w:t>glutamyltransferases</w:t>
      </w:r>
      <w:proofErr w:type="spellEnd"/>
      <w:r>
        <w:rPr>
          <w:rFonts w:ascii="Book Antiqua" w:eastAsia="Book Antiqua" w:hAnsi="Book Antiqua" w:cs="Book Antiqua"/>
          <w:color w:val="000000"/>
        </w:rPr>
        <w:t>; GST</w:t>
      </w:r>
      <w:r w:rsidR="00FF3714">
        <w:rPr>
          <w:rFonts w:ascii="Book Antiqua" w:eastAsia="Book Antiqua" w:hAnsi="Book Antiqua" w:cs="Book Antiqua"/>
          <w:color w:val="000000"/>
        </w:rPr>
        <w:t>s</w:t>
      </w:r>
      <w:r>
        <w:rPr>
          <w:rFonts w:ascii="Book Antiqua" w:eastAsia="Book Antiqua" w:hAnsi="Book Antiqua" w:cs="Book Antiqua"/>
          <w:color w:val="000000"/>
        </w:rPr>
        <w:t>: Glutathione-s-transferases; GPX</w:t>
      </w:r>
      <w:r w:rsidR="00FF3714">
        <w:rPr>
          <w:rFonts w:ascii="Book Antiqua" w:eastAsia="Book Antiqua" w:hAnsi="Book Antiqua" w:cs="Book Antiqua"/>
          <w:color w:val="000000"/>
        </w:rPr>
        <w:t>s</w:t>
      </w:r>
      <w:r>
        <w:rPr>
          <w:rFonts w:ascii="Book Antiqua" w:eastAsia="Book Antiqua" w:hAnsi="Book Antiqua" w:cs="Book Antiqua"/>
          <w:color w:val="000000"/>
        </w:rPr>
        <w:t>: Glutathione peroxidases.</w:t>
      </w:r>
    </w:p>
    <w:sectPr w:rsidR="00C44B73" w:rsidRPr="00C44B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236F7" w14:textId="77777777" w:rsidR="00E36EE7" w:rsidRDefault="00E36EE7" w:rsidP="00FF20AB">
      <w:r>
        <w:separator/>
      </w:r>
    </w:p>
  </w:endnote>
  <w:endnote w:type="continuationSeparator" w:id="0">
    <w:p w14:paraId="1A28D3B1" w14:textId="77777777" w:rsidR="00E36EE7" w:rsidRDefault="00E36EE7" w:rsidP="00FF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941160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C7A94CD" w14:textId="4535999C" w:rsidR="00794C55" w:rsidRPr="00794C55" w:rsidRDefault="00794C55" w:rsidP="00794C55">
            <w:pPr>
              <w:pStyle w:val="a5"/>
              <w:jc w:val="right"/>
              <w:rPr>
                <w:rFonts w:ascii="Book Antiqua" w:hAnsi="Book Antiqua"/>
                <w:sz w:val="24"/>
                <w:szCs w:val="24"/>
              </w:rPr>
            </w:pPr>
            <w:r w:rsidRPr="00794C55">
              <w:rPr>
                <w:rFonts w:ascii="Book Antiqua" w:hAnsi="Book Antiqua"/>
                <w:sz w:val="24"/>
                <w:szCs w:val="24"/>
                <w:lang w:val="zh-CN" w:eastAsia="zh-CN"/>
              </w:rPr>
              <w:t xml:space="preserve"> </w:t>
            </w:r>
            <w:r w:rsidRPr="00794C55">
              <w:rPr>
                <w:rFonts w:ascii="Book Antiqua" w:hAnsi="Book Antiqua"/>
                <w:sz w:val="24"/>
                <w:szCs w:val="24"/>
              </w:rPr>
              <w:fldChar w:fldCharType="begin"/>
            </w:r>
            <w:r w:rsidRPr="00794C55">
              <w:rPr>
                <w:rFonts w:ascii="Book Antiqua" w:hAnsi="Book Antiqua"/>
                <w:sz w:val="24"/>
                <w:szCs w:val="24"/>
              </w:rPr>
              <w:instrText>PAGE</w:instrText>
            </w:r>
            <w:r w:rsidRPr="00794C55">
              <w:rPr>
                <w:rFonts w:ascii="Book Antiqua" w:hAnsi="Book Antiqua"/>
                <w:sz w:val="24"/>
                <w:szCs w:val="24"/>
              </w:rPr>
              <w:fldChar w:fldCharType="separate"/>
            </w:r>
            <w:r w:rsidR="00D442E2">
              <w:rPr>
                <w:rFonts w:ascii="Book Antiqua" w:hAnsi="Book Antiqua"/>
                <w:noProof/>
                <w:sz w:val="24"/>
                <w:szCs w:val="24"/>
              </w:rPr>
              <w:t>1</w:t>
            </w:r>
            <w:r w:rsidRPr="00794C55">
              <w:rPr>
                <w:rFonts w:ascii="Book Antiqua" w:hAnsi="Book Antiqua"/>
                <w:sz w:val="24"/>
                <w:szCs w:val="24"/>
              </w:rPr>
              <w:fldChar w:fldCharType="end"/>
            </w:r>
            <w:r w:rsidRPr="00794C55">
              <w:rPr>
                <w:rFonts w:ascii="Book Antiqua" w:hAnsi="Book Antiqua"/>
                <w:sz w:val="24"/>
                <w:szCs w:val="24"/>
                <w:lang w:val="zh-CN" w:eastAsia="zh-CN"/>
              </w:rPr>
              <w:t xml:space="preserve"> / </w:t>
            </w:r>
            <w:r w:rsidRPr="00794C55">
              <w:rPr>
                <w:rFonts w:ascii="Book Antiqua" w:hAnsi="Book Antiqua"/>
                <w:sz w:val="24"/>
                <w:szCs w:val="24"/>
              </w:rPr>
              <w:fldChar w:fldCharType="begin"/>
            </w:r>
            <w:r w:rsidRPr="00794C55">
              <w:rPr>
                <w:rFonts w:ascii="Book Antiqua" w:hAnsi="Book Antiqua"/>
                <w:sz w:val="24"/>
                <w:szCs w:val="24"/>
              </w:rPr>
              <w:instrText>NUMPAGES</w:instrText>
            </w:r>
            <w:r w:rsidRPr="00794C55">
              <w:rPr>
                <w:rFonts w:ascii="Book Antiqua" w:hAnsi="Book Antiqua"/>
                <w:sz w:val="24"/>
                <w:szCs w:val="24"/>
              </w:rPr>
              <w:fldChar w:fldCharType="separate"/>
            </w:r>
            <w:r w:rsidR="00D442E2">
              <w:rPr>
                <w:rFonts w:ascii="Book Antiqua" w:hAnsi="Book Antiqua"/>
                <w:noProof/>
                <w:sz w:val="24"/>
                <w:szCs w:val="24"/>
              </w:rPr>
              <w:t>43</w:t>
            </w:r>
            <w:r w:rsidRPr="00794C55">
              <w:rPr>
                <w:rFonts w:ascii="Book Antiqua" w:hAnsi="Book Antiqua"/>
                <w:sz w:val="24"/>
                <w:szCs w:val="24"/>
              </w:rPr>
              <w:fldChar w:fldCharType="end"/>
            </w:r>
          </w:p>
        </w:sdtContent>
      </w:sdt>
    </w:sdtContent>
  </w:sdt>
  <w:p w14:paraId="137EA14C" w14:textId="77777777" w:rsidR="00794C55" w:rsidRDefault="00794C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0545F" w14:textId="77777777" w:rsidR="00E36EE7" w:rsidRDefault="00E36EE7" w:rsidP="00FF20AB">
      <w:r>
        <w:separator/>
      </w:r>
    </w:p>
  </w:footnote>
  <w:footnote w:type="continuationSeparator" w:id="0">
    <w:p w14:paraId="24017043" w14:textId="77777777" w:rsidR="00E36EE7" w:rsidRDefault="00E36EE7" w:rsidP="00FF20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45CA"/>
    <w:rsid w:val="00082DE0"/>
    <w:rsid w:val="00086574"/>
    <w:rsid w:val="0013023D"/>
    <w:rsid w:val="001B2EC8"/>
    <w:rsid w:val="001C3AF3"/>
    <w:rsid w:val="00214F32"/>
    <w:rsid w:val="002150BB"/>
    <w:rsid w:val="00244504"/>
    <w:rsid w:val="00293A71"/>
    <w:rsid w:val="00296886"/>
    <w:rsid w:val="002C4D60"/>
    <w:rsid w:val="002D62A0"/>
    <w:rsid w:val="00327C08"/>
    <w:rsid w:val="00336700"/>
    <w:rsid w:val="00345834"/>
    <w:rsid w:val="0036061D"/>
    <w:rsid w:val="00366490"/>
    <w:rsid w:val="00386F16"/>
    <w:rsid w:val="003D3F0A"/>
    <w:rsid w:val="003E21FE"/>
    <w:rsid w:val="00410665"/>
    <w:rsid w:val="00442EE9"/>
    <w:rsid w:val="0047123E"/>
    <w:rsid w:val="00490E09"/>
    <w:rsid w:val="00497C0E"/>
    <w:rsid w:val="004B56A9"/>
    <w:rsid w:val="004C0A0B"/>
    <w:rsid w:val="004D10A2"/>
    <w:rsid w:val="004E4106"/>
    <w:rsid w:val="004F163D"/>
    <w:rsid w:val="004F70B6"/>
    <w:rsid w:val="00510A4F"/>
    <w:rsid w:val="00527350"/>
    <w:rsid w:val="00527AFC"/>
    <w:rsid w:val="005327BA"/>
    <w:rsid w:val="005E2791"/>
    <w:rsid w:val="0063365C"/>
    <w:rsid w:val="00634EDC"/>
    <w:rsid w:val="00647C21"/>
    <w:rsid w:val="00660CC1"/>
    <w:rsid w:val="006928DB"/>
    <w:rsid w:val="00697C77"/>
    <w:rsid w:val="006D3DE6"/>
    <w:rsid w:val="006F7DC2"/>
    <w:rsid w:val="0073215C"/>
    <w:rsid w:val="00763388"/>
    <w:rsid w:val="00794C55"/>
    <w:rsid w:val="007C395F"/>
    <w:rsid w:val="007D3A4B"/>
    <w:rsid w:val="0080633B"/>
    <w:rsid w:val="00831CED"/>
    <w:rsid w:val="00844632"/>
    <w:rsid w:val="00844783"/>
    <w:rsid w:val="00903AE0"/>
    <w:rsid w:val="009611C9"/>
    <w:rsid w:val="00967E1E"/>
    <w:rsid w:val="00971457"/>
    <w:rsid w:val="009C6B0A"/>
    <w:rsid w:val="00A24934"/>
    <w:rsid w:val="00A77B3E"/>
    <w:rsid w:val="00B13317"/>
    <w:rsid w:val="00B46145"/>
    <w:rsid w:val="00C41D49"/>
    <w:rsid w:val="00C44B31"/>
    <w:rsid w:val="00C44B73"/>
    <w:rsid w:val="00C60D78"/>
    <w:rsid w:val="00C7485C"/>
    <w:rsid w:val="00C83D1F"/>
    <w:rsid w:val="00C96BC0"/>
    <w:rsid w:val="00CA2A55"/>
    <w:rsid w:val="00CF273F"/>
    <w:rsid w:val="00D442E2"/>
    <w:rsid w:val="00D72FE4"/>
    <w:rsid w:val="00D80607"/>
    <w:rsid w:val="00DA5739"/>
    <w:rsid w:val="00DC4998"/>
    <w:rsid w:val="00DE60A9"/>
    <w:rsid w:val="00DF5A8D"/>
    <w:rsid w:val="00E36EE7"/>
    <w:rsid w:val="00E40689"/>
    <w:rsid w:val="00E75BB7"/>
    <w:rsid w:val="00EB7D72"/>
    <w:rsid w:val="00EC5790"/>
    <w:rsid w:val="00EE06F5"/>
    <w:rsid w:val="00F25EF0"/>
    <w:rsid w:val="00F81DD1"/>
    <w:rsid w:val="00FF20AB"/>
    <w:rsid w:val="00FF3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5C5A60"/>
  <w15:docId w15:val="{FDBDEA5D-6798-4927-BBEB-4A6D067A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F20A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20AB"/>
    <w:rPr>
      <w:sz w:val="18"/>
      <w:szCs w:val="18"/>
    </w:rPr>
  </w:style>
  <w:style w:type="paragraph" w:styleId="a5">
    <w:name w:val="footer"/>
    <w:basedOn w:val="a"/>
    <w:link w:val="a6"/>
    <w:uiPriority w:val="99"/>
    <w:unhideWhenUsed/>
    <w:rsid w:val="00FF20AB"/>
    <w:pPr>
      <w:tabs>
        <w:tab w:val="center" w:pos="4153"/>
        <w:tab w:val="right" w:pos="8306"/>
      </w:tabs>
      <w:snapToGrid w:val="0"/>
    </w:pPr>
    <w:rPr>
      <w:sz w:val="18"/>
      <w:szCs w:val="18"/>
    </w:rPr>
  </w:style>
  <w:style w:type="character" w:customStyle="1" w:styleId="a6">
    <w:name w:val="页脚 字符"/>
    <w:basedOn w:val="a0"/>
    <w:link w:val="a5"/>
    <w:uiPriority w:val="99"/>
    <w:rsid w:val="00FF20AB"/>
    <w:rPr>
      <w:sz w:val="18"/>
      <w:szCs w:val="18"/>
    </w:rPr>
  </w:style>
  <w:style w:type="paragraph" w:styleId="a7">
    <w:name w:val="Balloon Text"/>
    <w:basedOn w:val="a"/>
    <w:link w:val="a8"/>
    <w:rsid w:val="006D3DE6"/>
    <w:rPr>
      <w:sz w:val="18"/>
      <w:szCs w:val="18"/>
    </w:rPr>
  </w:style>
  <w:style w:type="character" w:customStyle="1" w:styleId="a8">
    <w:name w:val="批注框文本 字符"/>
    <w:basedOn w:val="a0"/>
    <w:link w:val="a7"/>
    <w:rsid w:val="006D3DE6"/>
    <w:rPr>
      <w:sz w:val="18"/>
      <w:szCs w:val="18"/>
    </w:rPr>
  </w:style>
  <w:style w:type="table" w:styleId="a9">
    <w:name w:val="Light Shading"/>
    <w:basedOn w:val="a1"/>
    <w:uiPriority w:val="60"/>
    <w:rsid w:val="00C44B73"/>
    <w:rPr>
      <w:rFonts w:asciiTheme="minorHAnsi" w:hAnsiTheme="minorHAnsi" w:cstheme="minorBid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a">
    <w:name w:val="annotation reference"/>
    <w:basedOn w:val="a0"/>
    <w:semiHidden/>
    <w:unhideWhenUsed/>
    <w:rsid w:val="00366490"/>
    <w:rPr>
      <w:sz w:val="16"/>
      <w:szCs w:val="16"/>
    </w:rPr>
  </w:style>
  <w:style w:type="paragraph" w:styleId="ab">
    <w:name w:val="annotation text"/>
    <w:basedOn w:val="a"/>
    <w:link w:val="ac"/>
    <w:semiHidden/>
    <w:unhideWhenUsed/>
    <w:rsid w:val="00366490"/>
    <w:rPr>
      <w:sz w:val="20"/>
      <w:szCs w:val="20"/>
    </w:rPr>
  </w:style>
  <w:style w:type="character" w:customStyle="1" w:styleId="ac">
    <w:name w:val="批注文字 字符"/>
    <w:basedOn w:val="a0"/>
    <w:link w:val="ab"/>
    <w:semiHidden/>
    <w:rsid w:val="00366490"/>
  </w:style>
  <w:style w:type="paragraph" w:styleId="ad">
    <w:name w:val="annotation subject"/>
    <w:basedOn w:val="ab"/>
    <w:next w:val="ab"/>
    <w:link w:val="ae"/>
    <w:semiHidden/>
    <w:unhideWhenUsed/>
    <w:rsid w:val="00366490"/>
    <w:rPr>
      <w:b/>
      <w:bCs/>
    </w:rPr>
  </w:style>
  <w:style w:type="character" w:customStyle="1" w:styleId="ae">
    <w:name w:val="批注主题 字符"/>
    <w:basedOn w:val="ac"/>
    <w:link w:val="ad"/>
    <w:semiHidden/>
    <w:rsid w:val="003664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17861">
      <w:bodyDiv w:val="1"/>
      <w:marLeft w:val="0"/>
      <w:marRight w:val="0"/>
      <w:marTop w:val="0"/>
      <w:marBottom w:val="0"/>
      <w:divBdr>
        <w:top w:val="none" w:sz="0" w:space="0" w:color="auto"/>
        <w:left w:val="none" w:sz="0" w:space="0" w:color="auto"/>
        <w:bottom w:val="none" w:sz="0" w:space="0" w:color="auto"/>
        <w:right w:val="none" w:sz="0" w:space="0" w:color="auto"/>
      </w:divBdr>
    </w:div>
    <w:div w:id="673387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8776</Words>
  <Characters>50029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2020-10-09T15:47:00Z</dcterms:created>
  <dcterms:modified xsi:type="dcterms:W3CDTF">2020-10-12T07:38:00Z</dcterms:modified>
</cp:coreProperties>
</file>