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58AA" w14:textId="77777777" w:rsidR="0038018A" w:rsidRPr="00623D6F" w:rsidRDefault="00C220BD">
      <w:pPr>
        <w:spacing w:line="360" w:lineRule="auto"/>
        <w:jc w:val="both"/>
      </w:pPr>
      <w:r w:rsidRPr="00623D6F">
        <w:rPr>
          <w:rFonts w:ascii="Book Antiqua" w:eastAsia="Book Antiqua" w:hAnsi="Book Antiqua" w:cs="Book Antiqua"/>
          <w:b/>
          <w:color w:val="000000"/>
        </w:rPr>
        <w:t xml:space="preserve">Name of Journal: </w:t>
      </w:r>
      <w:r w:rsidRPr="00623D6F">
        <w:rPr>
          <w:rFonts w:ascii="Book Antiqua" w:eastAsia="Book Antiqua" w:hAnsi="Book Antiqua" w:cs="Book Antiqua"/>
          <w:i/>
          <w:color w:val="000000"/>
        </w:rPr>
        <w:t>World Journal of Gastroenterology</w:t>
      </w:r>
    </w:p>
    <w:p w14:paraId="483C3F89" w14:textId="77777777" w:rsidR="0038018A" w:rsidRPr="00623D6F" w:rsidRDefault="00C220BD">
      <w:pPr>
        <w:spacing w:line="360" w:lineRule="auto"/>
        <w:jc w:val="both"/>
      </w:pPr>
      <w:r w:rsidRPr="00623D6F">
        <w:rPr>
          <w:rFonts w:ascii="Book Antiqua" w:eastAsia="Book Antiqua" w:hAnsi="Book Antiqua" w:cs="Book Antiqua"/>
          <w:b/>
          <w:color w:val="000000"/>
        </w:rPr>
        <w:t xml:space="preserve">Manuscript NO: </w:t>
      </w:r>
      <w:r w:rsidRPr="00623D6F">
        <w:rPr>
          <w:rFonts w:ascii="Book Antiqua" w:eastAsia="Book Antiqua" w:hAnsi="Book Antiqua" w:cs="Book Antiqua"/>
          <w:color w:val="000000"/>
        </w:rPr>
        <w:t>58328</w:t>
      </w:r>
    </w:p>
    <w:p w14:paraId="4A5E3313" w14:textId="77777777" w:rsidR="0038018A" w:rsidRPr="00623D6F" w:rsidRDefault="00C220BD">
      <w:pPr>
        <w:spacing w:line="360" w:lineRule="auto"/>
        <w:jc w:val="both"/>
      </w:pPr>
      <w:r w:rsidRPr="00623D6F">
        <w:rPr>
          <w:rFonts w:ascii="Book Antiqua" w:eastAsia="Book Antiqua" w:hAnsi="Book Antiqua" w:cs="Book Antiqua"/>
          <w:b/>
          <w:color w:val="000000"/>
        </w:rPr>
        <w:t xml:space="preserve">Manuscript Type: </w:t>
      </w:r>
      <w:r w:rsidRPr="00623D6F">
        <w:rPr>
          <w:rFonts w:ascii="Book Antiqua" w:eastAsia="Book Antiqua" w:hAnsi="Book Antiqua" w:cs="Book Antiqua"/>
          <w:color w:val="000000"/>
        </w:rPr>
        <w:t>ORIGINAL ARTICLE</w:t>
      </w:r>
    </w:p>
    <w:p w14:paraId="1ADA449C" w14:textId="77777777" w:rsidR="0038018A" w:rsidRPr="00623D6F" w:rsidRDefault="0038018A">
      <w:pPr>
        <w:spacing w:line="360" w:lineRule="auto"/>
        <w:jc w:val="both"/>
      </w:pPr>
    </w:p>
    <w:p w14:paraId="4286CCF1" w14:textId="77777777" w:rsidR="0038018A" w:rsidRPr="00623D6F" w:rsidRDefault="00C220BD">
      <w:pPr>
        <w:spacing w:line="360" w:lineRule="auto"/>
        <w:jc w:val="both"/>
      </w:pPr>
      <w:r w:rsidRPr="00623D6F">
        <w:rPr>
          <w:rFonts w:ascii="Book Antiqua" w:eastAsia="Book Antiqua" w:hAnsi="Book Antiqua" w:cs="Book Antiqua"/>
          <w:b/>
          <w:i/>
          <w:color w:val="000000"/>
        </w:rPr>
        <w:t>Observational Study</w:t>
      </w:r>
    </w:p>
    <w:p w14:paraId="48712333" w14:textId="77777777" w:rsidR="0038018A" w:rsidRPr="00623D6F" w:rsidRDefault="00C220BD">
      <w:pPr>
        <w:spacing w:line="360" w:lineRule="auto"/>
        <w:jc w:val="both"/>
      </w:pPr>
      <w:r w:rsidRPr="00623D6F">
        <w:rPr>
          <w:rFonts w:ascii="Book Antiqua" w:eastAsia="Book Antiqua" w:hAnsi="Book Antiqua" w:cs="Book Antiqua"/>
          <w:b/>
          <w:bCs/>
          <w:color w:val="000000"/>
        </w:rPr>
        <w:t>Relationship of meteorological factors and air pollutants with medical care utilization for gastroesophageal reflux disease in urban area</w:t>
      </w:r>
    </w:p>
    <w:p w14:paraId="376039B7" w14:textId="77777777" w:rsidR="0038018A" w:rsidRPr="00623D6F" w:rsidRDefault="0038018A">
      <w:pPr>
        <w:spacing w:line="360" w:lineRule="auto"/>
        <w:jc w:val="both"/>
      </w:pPr>
    </w:p>
    <w:p w14:paraId="0192E153" w14:textId="77777777" w:rsidR="0038018A" w:rsidRPr="00623D6F" w:rsidRDefault="00C220BD">
      <w:pPr>
        <w:spacing w:line="360" w:lineRule="auto"/>
        <w:jc w:val="both"/>
      </w:pPr>
      <w:r w:rsidRPr="00623D6F">
        <w:rPr>
          <w:rFonts w:ascii="Book Antiqua" w:eastAsia="Book Antiqua" w:hAnsi="Book Antiqua" w:cs="Book Antiqua"/>
          <w:color w:val="000000"/>
        </w:rPr>
        <w:t xml:space="preserve">Seo HS </w:t>
      </w:r>
      <w:r w:rsidRPr="00623D6F">
        <w:rPr>
          <w:rFonts w:ascii="Book Antiqua" w:eastAsia="Book Antiqua" w:hAnsi="Book Antiqua" w:cs="Book Antiqua"/>
          <w:i/>
          <w:iCs/>
          <w:color w:val="000000"/>
        </w:rPr>
        <w:t>et al</w:t>
      </w:r>
      <w:r w:rsidRPr="00623D6F">
        <w:rPr>
          <w:rFonts w:ascii="Book Antiqua" w:eastAsia="Book Antiqua" w:hAnsi="Book Antiqua" w:cs="Book Antiqua"/>
          <w:color w:val="000000"/>
        </w:rPr>
        <w:t>. MFAPs effect on GERD-related medical utilization</w:t>
      </w:r>
    </w:p>
    <w:p w14:paraId="7ADAD755" w14:textId="77777777" w:rsidR="0038018A" w:rsidRPr="00623D6F" w:rsidRDefault="0038018A">
      <w:pPr>
        <w:spacing w:line="360" w:lineRule="auto"/>
        <w:jc w:val="both"/>
      </w:pPr>
    </w:p>
    <w:p w14:paraId="3883E233" w14:textId="77777777" w:rsidR="0038018A" w:rsidRPr="00623D6F" w:rsidRDefault="00C220BD">
      <w:pPr>
        <w:spacing w:line="360" w:lineRule="auto"/>
        <w:jc w:val="both"/>
      </w:pPr>
      <w:r w:rsidRPr="00623D6F">
        <w:rPr>
          <w:rFonts w:ascii="Book Antiqua" w:eastAsia="Book Antiqua" w:hAnsi="Book Antiqua" w:cs="Book Antiqua"/>
          <w:color w:val="000000"/>
        </w:rPr>
        <w:t>Ho Seok Seo, Jinwook Hong, Jaehun Jung</w:t>
      </w:r>
    </w:p>
    <w:p w14:paraId="36898962" w14:textId="77777777" w:rsidR="0038018A" w:rsidRPr="00623D6F" w:rsidRDefault="0038018A">
      <w:pPr>
        <w:spacing w:line="360" w:lineRule="auto"/>
        <w:jc w:val="both"/>
      </w:pPr>
    </w:p>
    <w:p w14:paraId="556839AF"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Ho Seok Seo, </w:t>
      </w:r>
      <w:r w:rsidRPr="00623D6F">
        <w:rPr>
          <w:rFonts w:ascii="Book Antiqua" w:eastAsia="Book Antiqua" w:hAnsi="Book Antiqua" w:cs="Book Antiqua"/>
          <w:color w:val="000000"/>
        </w:rPr>
        <w:t>Division of Gastrointestinal Surgery, Department of Surgery, Seoul St. Mary’s Hospital, College of Medicine, The Catholic University of Korea, Seoul 06591, South Korea</w:t>
      </w:r>
    </w:p>
    <w:p w14:paraId="1A79DA8C" w14:textId="77777777" w:rsidR="0038018A" w:rsidRPr="00623D6F" w:rsidRDefault="0038018A">
      <w:pPr>
        <w:spacing w:line="360" w:lineRule="auto"/>
        <w:jc w:val="both"/>
      </w:pPr>
    </w:p>
    <w:p w14:paraId="4FC1FCE2"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Jinwook Hong, Jaehun Jung, </w:t>
      </w:r>
      <w:r w:rsidRPr="00623D6F">
        <w:rPr>
          <w:rFonts w:ascii="Book Antiqua" w:eastAsia="Book Antiqua" w:hAnsi="Book Antiqua" w:cs="Book Antiqua"/>
          <w:color w:val="000000"/>
        </w:rPr>
        <w:t>Artificial Intelligence and Big-Data Convergence Center, Gil Medical Center, Gachon University College of Medicine and Science, Incheon 21565, South Korea</w:t>
      </w:r>
    </w:p>
    <w:p w14:paraId="600F43A4" w14:textId="77777777" w:rsidR="0038018A" w:rsidRPr="00623D6F" w:rsidRDefault="0038018A">
      <w:pPr>
        <w:spacing w:line="360" w:lineRule="auto"/>
        <w:jc w:val="both"/>
      </w:pPr>
    </w:p>
    <w:p w14:paraId="44A2C6BD"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Jaehun Jung, </w:t>
      </w:r>
      <w:r w:rsidRPr="00623D6F">
        <w:rPr>
          <w:rFonts w:ascii="Book Antiqua" w:eastAsia="Book Antiqua" w:hAnsi="Book Antiqua" w:cs="Book Antiqua"/>
          <w:color w:val="000000"/>
        </w:rPr>
        <w:t>Department of Preventive Medicine, Gachon University College of Medicine, Incheon 21565, South Korea</w:t>
      </w:r>
    </w:p>
    <w:p w14:paraId="33AF2A89" w14:textId="77777777" w:rsidR="0038018A" w:rsidRPr="00623D6F" w:rsidRDefault="0038018A">
      <w:pPr>
        <w:spacing w:line="360" w:lineRule="auto"/>
        <w:jc w:val="both"/>
      </w:pPr>
    </w:p>
    <w:p w14:paraId="61FF967F"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Author contributions: </w:t>
      </w:r>
      <w:r w:rsidRPr="00623D6F">
        <w:rPr>
          <w:rFonts w:ascii="Book Antiqua" w:eastAsia="Book Antiqua" w:hAnsi="Book Antiqua" w:cs="Book Antiqua"/>
          <w:color w:val="000000"/>
        </w:rPr>
        <w:t xml:space="preserve">Jung J designed the study and participated in the data acquisition; Hong J did data analysis and interpretation; Seo HS drafted the manuscript; all approved final manuscript. </w:t>
      </w:r>
    </w:p>
    <w:p w14:paraId="253D5FFA" w14:textId="77777777" w:rsidR="0038018A" w:rsidRPr="00623D6F" w:rsidRDefault="0038018A">
      <w:pPr>
        <w:spacing w:line="360" w:lineRule="auto"/>
        <w:jc w:val="both"/>
      </w:pPr>
    </w:p>
    <w:p w14:paraId="3E97CB7E"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Supported by </w:t>
      </w:r>
      <w:r w:rsidRPr="00623D6F">
        <w:rPr>
          <w:rFonts w:ascii="Book Antiqua" w:eastAsia="Book Antiqua" w:hAnsi="Book Antiqua" w:cs="Book Antiqua"/>
          <w:color w:val="000000"/>
        </w:rPr>
        <w:t xml:space="preserve">Gachon University Gil Medical Center, No. FRD2018-17 and No. FRD2019-11. </w:t>
      </w:r>
    </w:p>
    <w:p w14:paraId="60667A29" w14:textId="77777777" w:rsidR="0038018A" w:rsidRPr="00623D6F" w:rsidRDefault="0038018A">
      <w:pPr>
        <w:spacing w:line="360" w:lineRule="auto"/>
        <w:jc w:val="both"/>
      </w:pPr>
    </w:p>
    <w:p w14:paraId="56696B7B" w14:textId="123E8F0D" w:rsidR="0038018A" w:rsidRPr="00623D6F" w:rsidRDefault="00C220BD">
      <w:pPr>
        <w:spacing w:line="360" w:lineRule="auto"/>
        <w:jc w:val="both"/>
      </w:pPr>
      <w:r w:rsidRPr="00623D6F">
        <w:rPr>
          <w:rFonts w:ascii="Book Antiqua" w:eastAsia="Book Antiqua" w:hAnsi="Book Antiqua" w:cs="Book Antiqua"/>
          <w:b/>
          <w:bCs/>
          <w:color w:val="000000"/>
        </w:rPr>
        <w:lastRenderedPageBreak/>
        <w:t xml:space="preserve">Corresponding author: Jaehun Jung, MD, PhD, Assistant Professor, </w:t>
      </w:r>
      <w:r w:rsidRPr="00623D6F">
        <w:rPr>
          <w:rFonts w:ascii="Book Antiqua" w:eastAsia="Book Antiqua" w:hAnsi="Book Antiqua" w:cs="Book Antiqua"/>
          <w:color w:val="000000"/>
        </w:rPr>
        <w:t>Department of Preventive Medicine, Gachon University College of Medicine, 38</w:t>
      </w:r>
      <w:r w:rsidR="00504033" w:rsidRPr="00623D6F">
        <w:rPr>
          <w:rFonts w:ascii="Book Antiqua" w:eastAsia="Book Antiqua" w:hAnsi="Book Antiqua" w:cs="Book Antiqua"/>
          <w:color w:val="000000"/>
        </w:rPr>
        <w:t xml:space="preserve">-13, </w:t>
      </w:r>
      <w:proofErr w:type="spellStart"/>
      <w:r w:rsidR="00504033" w:rsidRPr="00623D6F">
        <w:rPr>
          <w:rFonts w:ascii="Book Antiqua" w:eastAsia="Book Antiqua" w:hAnsi="Book Antiqua" w:cs="Book Antiqua"/>
          <w:color w:val="000000"/>
        </w:rPr>
        <w:t>Dokjeom-ro</w:t>
      </w:r>
      <w:proofErr w:type="spellEnd"/>
      <w:r w:rsidR="00504033" w:rsidRPr="00623D6F">
        <w:rPr>
          <w:rFonts w:ascii="Book Antiqua" w:eastAsia="Book Antiqua" w:hAnsi="Book Antiqua" w:cs="Book Antiqua"/>
          <w:color w:val="000000"/>
        </w:rPr>
        <w:t xml:space="preserve">, </w:t>
      </w:r>
      <w:r w:rsidRPr="00623D6F">
        <w:rPr>
          <w:rFonts w:ascii="Book Antiqua" w:eastAsia="Book Antiqua" w:hAnsi="Book Antiqua" w:cs="Book Antiqua"/>
          <w:color w:val="000000"/>
        </w:rPr>
        <w:t>Incheon 21565, South Korea. eastside1st@gmail.com</w:t>
      </w:r>
    </w:p>
    <w:p w14:paraId="254D3FCD" w14:textId="77777777" w:rsidR="0038018A" w:rsidRPr="00623D6F" w:rsidRDefault="0038018A">
      <w:pPr>
        <w:spacing w:line="360" w:lineRule="auto"/>
        <w:jc w:val="both"/>
      </w:pPr>
    </w:p>
    <w:p w14:paraId="1F956774"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Received: </w:t>
      </w:r>
      <w:r w:rsidRPr="00623D6F">
        <w:rPr>
          <w:rFonts w:ascii="Book Antiqua" w:eastAsia="Book Antiqua" w:hAnsi="Book Antiqua" w:cs="Book Antiqua"/>
          <w:color w:val="000000"/>
        </w:rPr>
        <w:t>July 19, 2020</w:t>
      </w:r>
    </w:p>
    <w:p w14:paraId="41AE87A9"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Revised: </w:t>
      </w:r>
      <w:r w:rsidRPr="00623D6F">
        <w:rPr>
          <w:rFonts w:ascii="Book Antiqua" w:eastAsia="Book Antiqua" w:hAnsi="Book Antiqua" w:cs="Book Antiqua"/>
          <w:color w:val="000000"/>
        </w:rPr>
        <w:t>August 19, 2020</w:t>
      </w:r>
    </w:p>
    <w:p w14:paraId="5F9732E9" w14:textId="4FB3DC4A" w:rsidR="0038018A" w:rsidRPr="00623D6F" w:rsidRDefault="00C220BD">
      <w:pPr>
        <w:spacing w:line="360" w:lineRule="auto"/>
        <w:jc w:val="both"/>
      </w:pPr>
      <w:r w:rsidRPr="00623D6F">
        <w:rPr>
          <w:rFonts w:ascii="Book Antiqua" w:eastAsia="Book Antiqua" w:hAnsi="Book Antiqua" w:cs="Book Antiqua"/>
          <w:b/>
          <w:bCs/>
          <w:color w:val="000000"/>
        </w:rPr>
        <w:t xml:space="preserve">Accepted: </w:t>
      </w:r>
      <w:r w:rsidR="00EB59D1" w:rsidRPr="00623D6F">
        <w:rPr>
          <w:rFonts w:ascii="Book Antiqua" w:eastAsia="Book Antiqua" w:hAnsi="Book Antiqua" w:cs="Book Antiqua"/>
          <w:color w:val="000000"/>
        </w:rPr>
        <w:t>September 16, 2020</w:t>
      </w:r>
    </w:p>
    <w:p w14:paraId="468910A7" w14:textId="59FB2863" w:rsidR="0038018A" w:rsidRPr="00623D6F" w:rsidRDefault="00C220BD">
      <w:pPr>
        <w:spacing w:line="360" w:lineRule="auto"/>
        <w:jc w:val="both"/>
      </w:pPr>
      <w:r w:rsidRPr="00623D6F">
        <w:rPr>
          <w:rFonts w:ascii="Book Antiqua" w:eastAsia="Book Antiqua" w:hAnsi="Book Antiqua" w:cs="Book Antiqua"/>
          <w:b/>
          <w:bCs/>
          <w:color w:val="000000"/>
        </w:rPr>
        <w:t xml:space="preserve">Published online: </w:t>
      </w:r>
      <w:r w:rsidR="005E4C87" w:rsidRPr="00623D6F">
        <w:rPr>
          <w:rFonts w:ascii="Book Antiqua" w:hAnsi="Book Antiqua" w:cs="Book Antiqua" w:hint="eastAsia"/>
          <w:color w:val="000000"/>
          <w:lang w:eastAsia="zh-CN"/>
        </w:rPr>
        <w:t>October</w:t>
      </w:r>
      <w:r w:rsidR="005E4C87" w:rsidRPr="00623D6F">
        <w:rPr>
          <w:rFonts w:ascii="Book Antiqua" w:eastAsia="Book Antiqua" w:hAnsi="Book Antiqua" w:cs="Book Antiqua"/>
          <w:color w:val="000000"/>
        </w:rPr>
        <w:t xml:space="preserve"> </w:t>
      </w:r>
      <w:r w:rsidR="005E4C87" w:rsidRPr="00623D6F">
        <w:rPr>
          <w:rFonts w:ascii="Book Antiqua" w:hAnsi="Book Antiqua" w:cs="Book Antiqua" w:hint="eastAsia"/>
          <w:color w:val="000000"/>
          <w:lang w:eastAsia="zh-CN"/>
        </w:rPr>
        <w:t>21</w:t>
      </w:r>
      <w:r w:rsidR="005E4C87" w:rsidRPr="00623D6F">
        <w:rPr>
          <w:rFonts w:ascii="Book Antiqua" w:eastAsia="Book Antiqua" w:hAnsi="Book Antiqua" w:cs="Book Antiqua"/>
          <w:color w:val="000000"/>
        </w:rPr>
        <w:t>, 2020</w:t>
      </w:r>
    </w:p>
    <w:p w14:paraId="1350A1C0" w14:textId="77777777" w:rsidR="0038018A" w:rsidRPr="00623D6F" w:rsidRDefault="0038018A">
      <w:pPr>
        <w:spacing w:line="360" w:lineRule="auto"/>
        <w:jc w:val="both"/>
        <w:sectPr w:rsidR="0038018A" w:rsidRPr="00623D6F">
          <w:footerReference w:type="default" r:id="rId7"/>
          <w:pgSz w:w="12240" w:h="15840"/>
          <w:pgMar w:top="1440" w:right="1440" w:bottom="1440" w:left="1440" w:header="720" w:footer="720" w:gutter="0"/>
          <w:cols w:space="720"/>
          <w:docGrid w:linePitch="360"/>
        </w:sectPr>
      </w:pPr>
    </w:p>
    <w:p w14:paraId="1759F661" w14:textId="77777777" w:rsidR="0038018A" w:rsidRPr="00623D6F" w:rsidRDefault="00C220BD">
      <w:pPr>
        <w:spacing w:line="360" w:lineRule="auto"/>
        <w:jc w:val="both"/>
      </w:pPr>
      <w:r w:rsidRPr="00623D6F">
        <w:rPr>
          <w:rFonts w:ascii="Book Antiqua" w:eastAsia="Book Antiqua" w:hAnsi="Book Antiqua" w:cs="Book Antiqua"/>
          <w:b/>
          <w:color w:val="000000"/>
        </w:rPr>
        <w:lastRenderedPageBreak/>
        <w:t>Abstract</w:t>
      </w:r>
    </w:p>
    <w:p w14:paraId="714DA07B" w14:textId="77777777" w:rsidR="0038018A" w:rsidRPr="00623D6F" w:rsidRDefault="00C220BD">
      <w:pPr>
        <w:spacing w:line="360" w:lineRule="auto"/>
        <w:jc w:val="both"/>
      </w:pPr>
      <w:r w:rsidRPr="00623D6F">
        <w:rPr>
          <w:rFonts w:ascii="Book Antiqua" w:eastAsia="Book Antiqua" w:hAnsi="Book Antiqua" w:cs="Book Antiqua"/>
          <w:color w:val="000000"/>
        </w:rPr>
        <w:t>BACKGROUND</w:t>
      </w:r>
    </w:p>
    <w:p w14:paraId="4A128632" w14:textId="77777777" w:rsidR="0038018A" w:rsidRPr="00623D6F" w:rsidRDefault="00C220BD">
      <w:pPr>
        <w:spacing w:line="360" w:lineRule="auto"/>
        <w:jc w:val="both"/>
      </w:pPr>
      <w:r w:rsidRPr="00623D6F">
        <w:rPr>
          <w:rFonts w:ascii="Book Antiqua" w:eastAsia="Book Antiqua" w:hAnsi="Book Antiqua" w:cs="Book Antiqua"/>
          <w:color w:val="000000"/>
        </w:rPr>
        <w:t>Gastroesophageal reflux disease (GERD) is a highly prevalent disease of the upper gastrointestinal tract, and it is associated with environmental and lifestyle habits. Due to an increasing interest in the environment, several groups are studying the effects of meteorological factors and air pollutants (MFAPs) on disease development.</w:t>
      </w:r>
    </w:p>
    <w:p w14:paraId="43B2FB37" w14:textId="77777777" w:rsidR="0038018A" w:rsidRPr="00623D6F" w:rsidRDefault="0038018A">
      <w:pPr>
        <w:spacing w:line="360" w:lineRule="auto"/>
        <w:jc w:val="both"/>
      </w:pPr>
    </w:p>
    <w:p w14:paraId="445C38A8" w14:textId="77777777" w:rsidR="0038018A" w:rsidRPr="00623D6F" w:rsidRDefault="00C220BD">
      <w:pPr>
        <w:spacing w:line="360" w:lineRule="auto"/>
        <w:jc w:val="both"/>
      </w:pPr>
      <w:r w:rsidRPr="00623D6F">
        <w:rPr>
          <w:rFonts w:ascii="Book Antiqua" w:eastAsia="Book Antiqua" w:hAnsi="Book Antiqua" w:cs="Book Antiqua"/>
          <w:color w:val="000000"/>
        </w:rPr>
        <w:t>AIM</w:t>
      </w:r>
    </w:p>
    <w:p w14:paraId="20F67068" w14:textId="77777777" w:rsidR="0038018A" w:rsidRPr="00623D6F" w:rsidRDefault="00C220BD">
      <w:pPr>
        <w:spacing w:line="360" w:lineRule="auto"/>
        <w:jc w:val="both"/>
      </w:pPr>
      <w:r w:rsidRPr="00623D6F">
        <w:rPr>
          <w:rFonts w:ascii="Book Antiqua" w:eastAsia="Book Antiqua" w:hAnsi="Book Antiqua" w:cs="Book Antiqua"/>
          <w:color w:val="000000"/>
        </w:rPr>
        <w:t>To identify MFAPs effect on GERD-related medical utilization.</w:t>
      </w:r>
    </w:p>
    <w:p w14:paraId="2943046C" w14:textId="77777777" w:rsidR="0038018A" w:rsidRPr="00623D6F" w:rsidRDefault="0038018A">
      <w:pPr>
        <w:spacing w:line="360" w:lineRule="auto"/>
        <w:jc w:val="both"/>
      </w:pPr>
    </w:p>
    <w:p w14:paraId="0B0D7762" w14:textId="77777777" w:rsidR="0038018A" w:rsidRPr="00623D6F" w:rsidRDefault="00C220BD">
      <w:pPr>
        <w:spacing w:line="360" w:lineRule="auto"/>
        <w:jc w:val="both"/>
      </w:pPr>
      <w:r w:rsidRPr="00623D6F">
        <w:rPr>
          <w:rFonts w:ascii="Book Antiqua" w:eastAsia="Book Antiqua" w:hAnsi="Book Antiqua" w:cs="Book Antiqua"/>
          <w:color w:val="000000"/>
        </w:rPr>
        <w:t>METHODS</w:t>
      </w:r>
    </w:p>
    <w:p w14:paraId="1EA99D68" w14:textId="77777777" w:rsidR="0038018A" w:rsidRPr="00623D6F" w:rsidRDefault="00C220BD">
      <w:pPr>
        <w:spacing w:line="360" w:lineRule="auto"/>
        <w:jc w:val="both"/>
      </w:pPr>
      <w:r w:rsidRPr="00623D6F">
        <w:rPr>
          <w:rFonts w:ascii="Book Antiqua" w:eastAsia="Book Antiqua" w:hAnsi="Book Antiqua" w:cs="Book Antiqua"/>
          <w:color w:val="000000"/>
        </w:rPr>
        <w:t>Data on</w:t>
      </w:r>
      <w:r w:rsidRPr="00623D6F">
        <w:rPr>
          <w:rFonts w:ascii="Book Antiqua" w:eastAsia="Book Antiqua" w:hAnsi="Book Antiqua" w:cs="Book Antiqua"/>
          <w:b/>
          <w:bCs/>
          <w:color w:val="000000"/>
        </w:rPr>
        <w:t xml:space="preserve"> </w:t>
      </w:r>
      <w:r w:rsidRPr="00623D6F">
        <w:rPr>
          <w:rFonts w:ascii="Book Antiqua" w:eastAsia="Book Antiqua" w:hAnsi="Book Antiqua" w:cs="Book Antiqua"/>
          <w:color w:val="000000"/>
        </w:rPr>
        <w:t>GERD-related medical utilization from 2002 to 2017 were obtained from the National Health Insurance Service of Korea, while those on MFAPs were obtained from eight metropolitan areas and merged. In total, 20071900 instances of GERD-related medical utilizations were identified, and 200000 MFAPs were randomly selected from the eight metropolitan areas. Data were analyzed using a multivariable generalized additive Poisson regression model to control for time trends, seasonality, and day of the week.</w:t>
      </w:r>
    </w:p>
    <w:p w14:paraId="6C085819" w14:textId="77777777" w:rsidR="0038018A" w:rsidRPr="00623D6F" w:rsidRDefault="0038018A">
      <w:pPr>
        <w:spacing w:line="360" w:lineRule="auto"/>
        <w:jc w:val="both"/>
      </w:pPr>
    </w:p>
    <w:p w14:paraId="1728B590" w14:textId="77777777" w:rsidR="0038018A" w:rsidRPr="00623D6F" w:rsidRDefault="00C220BD">
      <w:pPr>
        <w:spacing w:line="360" w:lineRule="auto"/>
        <w:jc w:val="both"/>
      </w:pPr>
      <w:r w:rsidRPr="00623D6F">
        <w:rPr>
          <w:rFonts w:ascii="Book Antiqua" w:eastAsia="Book Antiqua" w:hAnsi="Book Antiqua" w:cs="Book Antiqua"/>
          <w:color w:val="000000"/>
        </w:rPr>
        <w:t>RESULTS</w:t>
      </w:r>
    </w:p>
    <w:p w14:paraId="0FCA202B" w14:textId="77777777" w:rsidR="0038018A" w:rsidRPr="00623D6F" w:rsidRDefault="00C220BD">
      <w:pPr>
        <w:spacing w:line="360" w:lineRule="auto"/>
        <w:jc w:val="both"/>
      </w:pPr>
      <w:r w:rsidRPr="00623D6F">
        <w:rPr>
          <w:rFonts w:ascii="Book Antiqua" w:eastAsia="Book Antiqua" w:hAnsi="Book Antiqua" w:cs="Book Antiqua"/>
          <w:color w:val="000000"/>
        </w:rPr>
        <w:t>Five MFAPs were selected for the prediction model. GERD-related medical utilization increased with the levels of particulate matter with a diameter ≤ 2.5 μm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and carbon monoxide (CO). S-shaped and inverted U-shaped changes were observed in average temperature and air pollutants, respectively. The time lag of each variable was significant around nine days after exposure. </w:t>
      </w:r>
    </w:p>
    <w:p w14:paraId="5840D6B4" w14:textId="77777777" w:rsidR="0038018A" w:rsidRPr="00623D6F" w:rsidRDefault="0038018A">
      <w:pPr>
        <w:spacing w:line="360" w:lineRule="auto"/>
        <w:jc w:val="both"/>
      </w:pPr>
    </w:p>
    <w:p w14:paraId="4A79A35D" w14:textId="77777777" w:rsidR="0038018A" w:rsidRPr="00623D6F" w:rsidRDefault="00C220BD">
      <w:pPr>
        <w:spacing w:line="360" w:lineRule="auto"/>
        <w:jc w:val="both"/>
      </w:pPr>
      <w:r w:rsidRPr="00623D6F">
        <w:rPr>
          <w:rFonts w:ascii="Book Antiqua" w:eastAsia="Book Antiqua" w:hAnsi="Book Antiqua" w:cs="Book Antiqua"/>
          <w:color w:val="000000"/>
        </w:rPr>
        <w:t>CONCLUSION</w:t>
      </w:r>
    </w:p>
    <w:p w14:paraId="377CF6CF" w14:textId="77777777" w:rsidR="0038018A" w:rsidRPr="00623D6F" w:rsidRDefault="00C220BD">
      <w:pPr>
        <w:spacing w:line="360" w:lineRule="auto"/>
        <w:jc w:val="both"/>
      </w:pPr>
      <w:r w:rsidRPr="00623D6F">
        <w:rPr>
          <w:rFonts w:ascii="Book Antiqua" w:eastAsia="Book Antiqua" w:hAnsi="Book Antiqua" w:cs="Book Antiqua"/>
          <w:color w:val="000000"/>
        </w:rPr>
        <w:lastRenderedPageBreak/>
        <w:t>Using five MFAPs, the final model significantly predicted GERD-related medical utilization. In particular,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and CO were identified as risk or aggravating factors for GERD.</w:t>
      </w:r>
    </w:p>
    <w:p w14:paraId="50153CBD" w14:textId="77777777" w:rsidR="0038018A" w:rsidRPr="00623D6F" w:rsidRDefault="0038018A">
      <w:pPr>
        <w:spacing w:line="360" w:lineRule="auto"/>
        <w:jc w:val="both"/>
      </w:pPr>
    </w:p>
    <w:p w14:paraId="59C7FAD2"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Key Words: </w:t>
      </w:r>
      <w:r w:rsidRPr="00623D6F">
        <w:rPr>
          <w:rFonts w:ascii="Book Antiqua" w:eastAsia="Book Antiqua" w:hAnsi="Book Antiqua" w:cs="Book Antiqua"/>
          <w:color w:val="000000"/>
        </w:rPr>
        <w:t>Gastroesophageal reflux disease; Air pollution; Meteorological factor; Particulate matter; Carbon monoxide</w:t>
      </w:r>
    </w:p>
    <w:p w14:paraId="67EE3429" w14:textId="77777777" w:rsidR="0038018A" w:rsidRPr="00623D6F" w:rsidRDefault="0038018A">
      <w:pPr>
        <w:spacing w:line="360" w:lineRule="auto"/>
        <w:jc w:val="both"/>
      </w:pPr>
    </w:p>
    <w:p w14:paraId="0495658B" w14:textId="77777777" w:rsidR="0079463C" w:rsidRPr="00623D6F" w:rsidRDefault="0079463C">
      <w:pPr>
        <w:spacing w:line="360" w:lineRule="auto"/>
        <w:jc w:val="both"/>
        <w:rPr>
          <w:rFonts w:ascii="Book Antiqua" w:hAnsi="Book Antiqua" w:cs="Book Antiqua" w:hint="eastAsia"/>
          <w:color w:val="000000"/>
          <w:lang w:eastAsia="zh-CN"/>
        </w:rPr>
      </w:pPr>
      <w:r w:rsidRPr="00623D6F">
        <w:rPr>
          <w:rFonts w:ascii="Book Antiqua" w:hAnsi="Book Antiqua" w:cs="Book Antiqua" w:hint="eastAsia"/>
          <w:b/>
          <w:color w:val="000000"/>
          <w:lang w:eastAsia="zh-CN"/>
        </w:rPr>
        <w:t>Citation:</w:t>
      </w:r>
      <w:r w:rsidRPr="00623D6F">
        <w:rPr>
          <w:rFonts w:ascii="Book Antiqua" w:hAnsi="Book Antiqua" w:cs="Book Antiqua" w:hint="eastAsia"/>
          <w:color w:val="000000"/>
          <w:lang w:eastAsia="zh-CN"/>
        </w:rPr>
        <w:t xml:space="preserve"> </w:t>
      </w:r>
      <w:proofErr w:type="spellStart"/>
      <w:r w:rsidR="00C220BD" w:rsidRPr="00623D6F">
        <w:rPr>
          <w:rFonts w:ascii="Book Antiqua" w:eastAsia="Book Antiqua" w:hAnsi="Book Antiqua" w:cs="Book Antiqua"/>
          <w:color w:val="000000"/>
        </w:rPr>
        <w:t>Seo</w:t>
      </w:r>
      <w:proofErr w:type="spellEnd"/>
      <w:r w:rsidR="00C220BD" w:rsidRPr="00623D6F">
        <w:rPr>
          <w:rFonts w:ascii="Book Antiqua" w:eastAsia="Book Antiqua" w:hAnsi="Book Antiqua" w:cs="Book Antiqua"/>
          <w:color w:val="000000"/>
        </w:rPr>
        <w:t xml:space="preserve"> HS, Hong J, Jung J. Relationship of meteorological factors and air pollutants with medical care utilization for gastroesophageal reflux disease in urban area. </w:t>
      </w:r>
      <w:r w:rsidR="00C220BD" w:rsidRPr="00623D6F">
        <w:rPr>
          <w:rFonts w:ascii="Book Antiqua" w:eastAsia="Book Antiqua" w:hAnsi="Book Antiqua" w:cs="Book Antiqua"/>
          <w:i/>
          <w:iCs/>
          <w:color w:val="000000"/>
        </w:rPr>
        <w:t xml:space="preserve">World J </w:t>
      </w:r>
      <w:proofErr w:type="spellStart"/>
      <w:r w:rsidR="00C220BD" w:rsidRPr="00623D6F">
        <w:rPr>
          <w:rFonts w:ascii="Book Antiqua" w:eastAsia="Book Antiqua" w:hAnsi="Book Antiqua" w:cs="Book Antiqua"/>
          <w:i/>
          <w:iCs/>
          <w:color w:val="000000"/>
        </w:rPr>
        <w:t>Gastroenterol</w:t>
      </w:r>
      <w:proofErr w:type="spellEnd"/>
      <w:r w:rsidR="00C220BD" w:rsidRPr="00623D6F">
        <w:rPr>
          <w:rFonts w:ascii="Book Antiqua" w:eastAsia="Book Antiqua" w:hAnsi="Book Antiqua" w:cs="Book Antiqua"/>
          <w:color w:val="000000"/>
        </w:rPr>
        <w:t xml:space="preserve"> 2020; </w:t>
      </w:r>
      <w:r w:rsidR="005E4C87" w:rsidRPr="00623D6F">
        <w:rPr>
          <w:rFonts w:ascii="Book Antiqua" w:eastAsia="Book Antiqua" w:hAnsi="Book Antiqua" w:cs="Book Antiqua"/>
          <w:color w:val="000000"/>
        </w:rPr>
        <w:t>26(3</w:t>
      </w:r>
      <w:r w:rsidR="005E4C87" w:rsidRPr="00623D6F">
        <w:rPr>
          <w:rFonts w:ascii="Book Antiqua" w:eastAsia="Book Antiqua" w:hAnsi="Book Antiqua" w:cs="Book Antiqua" w:hint="eastAsia"/>
          <w:color w:val="000000"/>
        </w:rPr>
        <w:t>9</w:t>
      </w:r>
      <w:r w:rsidR="005E4C87" w:rsidRPr="00623D6F">
        <w:rPr>
          <w:rFonts w:ascii="Book Antiqua" w:eastAsia="Book Antiqua" w:hAnsi="Book Antiqua" w:cs="Book Antiqua"/>
          <w:color w:val="000000"/>
        </w:rPr>
        <w:t xml:space="preserve">): </w:t>
      </w:r>
      <w:r w:rsidR="005E4C87" w:rsidRPr="00623D6F">
        <w:rPr>
          <w:rFonts w:ascii="Book Antiqua" w:hAnsi="Book Antiqua" w:hint="eastAsia"/>
        </w:rPr>
        <w:t>6074</w:t>
      </w:r>
      <w:r w:rsidR="005E4C87" w:rsidRPr="00623D6F">
        <w:rPr>
          <w:rFonts w:ascii="Book Antiqua" w:hAnsi="Book Antiqua" w:hint="eastAsia"/>
          <w:lang w:eastAsia="zh-CN"/>
        </w:rPr>
        <w:t>-</w:t>
      </w:r>
      <w:r w:rsidR="005E4C87" w:rsidRPr="00623D6F">
        <w:rPr>
          <w:rFonts w:ascii="Book Antiqua" w:hAnsi="Book Antiqua" w:hint="eastAsia"/>
        </w:rPr>
        <w:t>6086</w:t>
      </w:r>
      <w:r w:rsidR="005E4C87" w:rsidRPr="00623D6F">
        <w:rPr>
          <w:rFonts w:ascii="Book Antiqua" w:eastAsia="Book Antiqua" w:hAnsi="Book Antiqua" w:cs="Book Antiqua"/>
          <w:color w:val="000000"/>
        </w:rPr>
        <w:t xml:space="preserve"> </w:t>
      </w:r>
    </w:p>
    <w:p w14:paraId="311670D2" w14:textId="30CA6550" w:rsidR="0079463C" w:rsidRPr="00623D6F" w:rsidRDefault="005E4C87">
      <w:pPr>
        <w:spacing w:line="360" w:lineRule="auto"/>
        <w:jc w:val="both"/>
        <w:rPr>
          <w:rFonts w:ascii="Book Antiqua" w:hAnsi="Book Antiqua" w:cs="Book Antiqua" w:hint="eastAsia"/>
          <w:color w:val="000000"/>
          <w:lang w:eastAsia="zh-CN"/>
        </w:rPr>
      </w:pPr>
      <w:r w:rsidRPr="00623D6F">
        <w:rPr>
          <w:rFonts w:ascii="Book Antiqua" w:eastAsia="Book Antiqua" w:hAnsi="Book Antiqua" w:cs="Book Antiqua"/>
          <w:b/>
          <w:color w:val="000000"/>
        </w:rPr>
        <w:t xml:space="preserve">URL: </w:t>
      </w:r>
      <w:hyperlink r:id="rId8" w:history="1">
        <w:r w:rsidR="0079463C" w:rsidRPr="00623D6F">
          <w:rPr>
            <w:rStyle w:val="a7"/>
            <w:rFonts w:ascii="Book Antiqua" w:eastAsia="Book Antiqua" w:hAnsi="Book Antiqua" w:cs="Book Antiqua"/>
          </w:rPr>
          <w:t>https://www.wjgnet.com/1007-9327/full/v26/i3</w:t>
        </w:r>
        <w:r w:rsidR="0079463C" w:rsidRPr="00623D6F">
          <w:rPr>
            <w:rStyle w:val="a7"/>
            <w:rFonts w:ascii="Book Antiqua" w:eastAsia="Book Antiqua" w:hAnsi="Book Antiqua" w:cs="Book Antiqua" w:hint="eastAsia"/>
          </w:rPr>
          <w:t>9</w:t>
        </w:r>
        <w:r w:rsidR="0079463C" w:rsidRPr="00623D6F">
          <w:rPr>
            <w:rStyle w:val="a7"/>
            <w:rFonts w:ascii="Book Antiqua" w:eastAsia="Book Antiqua" w:hAnsi="Book Antiqua" w:cs="Book Antiqua"/>
          </w:rPr>
          <w:t>/</w:t>
        </w:r>
        <w:r w:rsidR="0079463C" w:rsidRPr="00623D6F">
          <w:rPr>
            <w:rStyle w:val="a7"/>
            <w:rFonts w:ascii="Book Antiqua" w:hAnsi="Book Antiqua" w:cs="Book Antiqua" w:hint="eastAsia"/>
            <w:lang w:eastAsia="zh-CN"/>
          </w:rPr>
          <w:t>6074</w:t>
        </w:r>
        <w:r w:rsidR="0079463C" w:rsidRPr="00623D6F">
          <w:rPr>
            <w:rStyle w:val="a7"/>
            <w:rFonts w:ascii="Book Antiqua" w:eastAsia="Book Antiqua" w:hAnsi="Book Antiqua" w:cs="Book Antiqua"/>
          </w:rPr>
          <w:t>.htm</w:t>
        </w:r>
      </w:hyperlink>
      <w:r w:rsidRPr="00623D6F">
        <w:rPr>
          <w:rFonts w:ascii="Book Antiqua" w:eastAsia="Book Antiqua" w:hAnsi="Book Antiqua" w:cs="Book Antiqua"/>
          <w:color w:val="000000"/>
        </w:rPr>
        <w:t xml:space="preserve"> </w:t>
      </w:r>
    </w:p>
    <w:p w14:paraId="3853FBFC" w14:textId="44F2E581" w:rsidR="0038018A" w:rsidRPr="00623D6F" w:rsidRDefault="005E4C87">
      <w:pPr>
        <w:spacing w:line="360" w:lineRule="auto"/>
        <w:jc w:val="both"/>
      </w:pPr>
      <w:r w:rsidRPr="00623D6F">
        <w:rPr>
          <w:rFonts w:ascii="Book Antiqua" w:eastAsia="Book Antiqua" w:hAnsi="Book Antiqua" w:cs="Book Antiqua"/>
          <w:b/>
          <w:color w:val="000000"/>
        </w:rPr>
        <w:t>DOI:</w:t>
      </w:r>
      <w:r w:rsidRPr="00623D6F">
        <w:rPr>
          <w:rFonts w:ascii="Book Antiqua" w:eastAsia="Book Antiqua" w:hAnsi="Book Antiqua" w:cs="Book Antiqua"/>
          <w:color w:val="000000"/>
        </w:rPr>
        <w:t xml:space="preserve"> https://dx.doi.org/10.3748/wjg.v26.i3</w:t>
      </w:r>
      <w:r w:rsidRPr="00623D6F">
        <w:rPr>
          <w:rFonts w:ascii="Book Antiqua" w:eastAsia="Book Antiqua" w:hAnsi="Book Antiqua" w:cs="Book Antiqua" w:hint="eastAsia"/>
          <w:color w:val="000000"/>
        </w:rPr>
        <w:t>9</w:t>
      </w:r>
      <w:r w:rsidRPr="00623D6F">
        <w:rPr>
          <w:rFonts w:ascii="Book Antiqua" w:eastAsia="Book Antiqua" w:hAnsi="Book Antiqua" w:cs="Book Antiqua"/>
          <w:color w:val="000000"/>
        </w:rPr>
        <w:t>.</w:t>
      </w:r>
      <w:r w:rsidRPr="00623D6F">
        <w:rPr>
          <w:rFonts w:ascii="Book Antiqua" w:hAnsi="Book Antiqua" w:cs="Book Antiqua" w:hint="eastAsia"/>
          <w:color w:val="000000"/>
          <w:lang w:eastAsia="zh-CN"/>
        </w:rPr>
        <w:t>60</w:t>
      </w:r>
      <w:r w:rsidRPr="00623D6F">
        <w:rPr>
          <w:rFonts w:ascii="Book Antiqua" w:hAnsi="Book Antiqua" w:cs="Book Antiqua" w:hint="eastAsia"/>
          <w:color w:val="000000"/>
          <w:lang w:eastAsia="zh-CN"/>
        </w:rPr>
        <w:t>74</w:t>
      </w:r>
    </w:p>
    <w:p w14:paraId="08F6CC64" w14:textId="77777777" w:rsidR="0038018A" w:rsidRPr="00623D6F" w:rsidRDefault="0038018A">
      <w:pPr>
        <w:spacing w:line="360" w:lineRule="auto"/>
        <w:jc w:val="both"/>
      </w:pPr>
    </w:p>
    <w:p w14:paraId="7F0BC3A2"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Core Tip: </w:t>
      </w:r>
      <w:r w:rsidRPr="00623D6F">
        <w:rPr>
          <w:rFonts w:ascii="Book Antiqua" w:eastAsia="Book Antiqua" w:hAnsi="Book Antiqua" w:cs="Book Antiqua"/>
          <w:color w:val="000000"/>
        </w:rPr>
        <w:t>The model showed correlation between five meteorological factors and air pollutants and gastroesophageal reflux disease (GERD)-related medical utilization.</w:t>
      </w:r>
      <w:r w:rsidRPr="00623D6F">
        <w:rPr>
          <w:rFonts w:ascii="Book Antiqua" w:eastAsia="Book Antiqua" w:hAnsi="Book Antiqua" w:cs="Book Antiqua"/>
          <w:b/>
          <w:bCs/>
          <w:color w:val="000000"/>
        </w:rPr>
        <w:t xml:space="preserve"> </w:t>
      </w:r>
      <w:r w:rsidRPr="00623D6F">
        <w:rPr>
          <w:rFonts w:ascii="Book Antiqua" w:eastAsia="Book Antiqua" w:hAnsi="Book Antiqua" w:cs="Book Antiqua"/>
          <w:color w:val="000000"/>
        </w:rPr>
        <w:t>S- and inverted U-shaped changes were noted in average temperature and air pollutants.</w:t>
      </w:r>
      <w:r w:rsidRPr="00623D6F">
        <w:rPr>
          <w:rFonts w:ascii="Book Antiqua" w:eastAsia="Book Antiqua" w:hAnsi="Book Antiqua" w:cs="Book Antiqua"/>
          <w:b/>
          <w:bCs/>
          <w:color w:val="000000"/>
        </w:rPr>
        <w:t xml:space="preserve"> </w:t>
      </w:r>
      <w:r w:rsidRPr="00623D6F">
        <w:rPr>
          <w:rFonts w:ascii="Book Antiqua" w:eastAsia="Book Antiqua" w:hAnsi="Book Antiqua" w:cs="Book Antiqua"/>
          <w:color w:val="000000"/>
        </w:rPr>
        <w:t>Average temperature, sunshine duration, wind speed, PM</w:t>
      </w:r>
      <w:r w:rsidRPr="00623D6F">
        <w:rPr>
          <w:rFonts w:ascii="Book Antiqua" w:eastAsia="Book Antiqua" w:hAnsi="Book Antiqua" w:cs="Book Antiqua"/>
          <w:color w:val="000000"/>
          <w:vertAlign w:val="subscript"/>
        </w:rPr>
        <w:t>2.5</w:t>
      </w:r>
      <w:r w:rsidRPr="00623D6F">
        <w:rPr>
          <w:rFonts w:ascii="Book Antiqua" w:eastAsia="Book Antiqua" w:hAnsi="Book Antiqua" w:cs="Book Antiqua"/>
          <w:color w:val="000000"/>
        </w:rPr>
        <w:t>, and carbon monoxide are risk factors of GERD. GERD occurrence is reduced using environmental management and national alarm systems.</w:t>
      </w:r>
    </w:p>
    <w:p w14:paraId="015D1D9C" w14:textId="77777777" w:rsidR="0038018A" w:rsidRPr="00623D6F" w:rsidRDefault="00C220BD">
      <w:pPr>
        <w:spacing w:line="360" w:lineRule="auto"/>
        <w:jc w:val="both"/>
      </w:pPr>
      <w:r w:rsidRPr="00623D6F">
        <w:br w:type="page"/>
      </w:r>
      <w:r w:rsidRPr="00623D6F">
        <w:rPr>
          <w:rFonts w:ascii="Book Antiqua" w:eastAsia="Book Antiqua" w:hAnsi="Book Antiqua" w:cs="Book Antiqua"/>
          <w:b/>
          <w:caps/>
          <w:color w:val="000000"/>
          <w:u w:val="single"/>
        </w:rPr>
        <w:lastRenderedPageBreak/>
        <w:t>INTRODUCTION</w:t>
      </w:r>
    </w:p>
    <w:p w14:paraId="6C45919B" w14:textId="77777777" w:rsidR="0038018A" w:rsidRPr="00623D6F" w:rsidRDefault="00C220BD">
      <w:pPr>
        <w:spacing w:line="360" w:lineRule="auto"/>
        <w:jc w:val="both"/>
      </w:pPr>
      <w:r w:rsidRPr="00623D6F">
        <w:rPr>
          <w:rFonts w:ascii="Book Antiqua" w:eastAsia="Book Antiqua" w:hAnsi="Book Antiqua" w:cs="Book Antiqua"/>
          <w:color w:val="000000"/>
        </w:rPr>
        <w:t>Technological advancements have made possible to measure various meteorological factors and air pollutants (MFAPs). Additionally, multiple studies focusing on the relationship of weather and air pollutants with disease are being conducted</w:t>
      </w:r>
      <w:r w:rsidRPr="00623D6F">
        <w:rPr>
          <w:rFonts w:ascii="Book Antiqua" w:eastAsia="Book Antiqua" w:hAnsi="Book Antiqua" w:cs="Book Antiqua"/>
          <w:color w:val="000000"/>
          <w:szCs w:val="30"/>
          <w:vertAlign w:val="superscript"/>
        </w:rPr>
        <w:t>[1-4]</w:t>
      </w:r>
      <w:r w:rsidRPr="00623D6F">
        <w:rPr>
          <w:rFonts w:ascii="Book Antiqua" w:eastAsia="Book Antiqua" w:hAnsi="Book Antiqua" w:cs="Book Antiqua"/>
          <w:color w:val="000000"/>
        </w:rPr>
        <w:t>. However, the majority of previous studies on the topic focused only on acute-phase medical diseases</w:t>
      </w:r>
      <w:r w:rsidRPr="00623D6F">
        <w:rPr>
          <w:rFonts w:ascii="Book Antiqua" w:eastAsia="Book Antiqua" w:hAnsi="Book Antiqua" w:cs="Book Antiqua"/>
          <w:color w:val="000000"/>
          <w:szCs w:val="30"/>
          <w:vertAlign w:val="superscript"/>
        </w:rPr>
        <w:t>[5-7]</w:t>
      </w:r>
      <w:r w:rsidRPr="00623D6F">
        <w:rPr>
          <w:rFonts w:ascii="Book Antiqua" w:eastAsia="Book Antiqua" w:hAnsi="Book Antiqua" w:cs="Book Antiqua"/>
          <w:color w:val="000000"/>
        </w:rPr>
        <w:t>, while others performed analyses without including various MFAPs as potential confounding factors</w:t>
      </w:r>
      <w:r w:rsidRPr="00623D6F">
        <w:rPr>
          <w:rFonts w:ascii="Book Antiqua" w:eastAsia="Book Antiqua" w:hAnsi="Book Antiqua" w:cs="Book Antiqua"/>
          <w:color w:val="000000"/>
          <w:szCs w:val="30"/>
          <w:vertAlign w:val="superscript"/>
        </w:rPr>
        <w:t>[3-5,7]</w:t>
      </w:r>
      <w:r w:rsidRPr="00623D6F">
        <w:rPr>
          <w:rFonts w:ascii="Book Antiqua" w:eastAsia="Book Antiqua" w:hAnsi="Book Antiqua" w:cs="Book Antiqua"/>
          <w:color w:val="000000"/>
        </w:rPr>
        <w:t>. Since the relationship among MFAPs is highly complex, it is not possible to analyze each factor separately</w:t>
      </w:r>
      <w:r w:rsidRPr="00623D6F">
        <w:rPr>
          <w:rFonts w:ascii="Book Antiqua" w:eastAsia="Book Antiqua" w:hAnsi="Book Antiqua" w:cs="Book Antiqua"/>
          <w:color w:val="000000"/>
          <w:szCs w:val="30"/>
          <w:vertAlign w:val="superscript"/>
        </w:rPr>
        <w:t>[8,9]</w:t>
      </w:r>
      <w:r w:rsidRPr="00623D6F">
        <w:rPr>
          <w:rFonts w:ascii="Book Antiqua" w:eastAsia="Book Antiqua" w:hAnsi="Book Antiqua" w:cs="Book Antiqua"/>
          <w:color w:val="000000"/>
        </w:rPr>
        <w:t>. Therefore, it is essential to perform the analyses after appropriate correction, considering correlations among these factors.</w:t>
      </w:r>
    </w:p>
    <w:p w14:paraId="43EFE065"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Gastroesophageal reflux disease (GERD) is among the most commonly occurring benign diseases of the upper gastrointestinal tract</w:t>
      </w:r>
      <w:r w:rsidRPr="00623D6F">
        <w:rPr>
          <w:rFonts w:ascii="Book Antiqua" w:eastAsia="Book Antiqua" w:hAnsi="Book Antiqua" w:cs="Book Antiqua"/>
          <w:color w:val="000000"/>
          <w:szCs w:val="30"/>
          <w:vertAlign w:val="superscript"/>
        </w:rPr>
        <w:t>[10,11]</w:t>
      </w:r>
      <w:r w:rsidRPr="00623D6F">
        <w:rPr>
          <w:rFonts w:ascii="Book Antiqua" w:eastAsia="Book Antiqua" w:hAnsi="Book Antiqua" w:cs="Book Antiqua"/>
          <w:color w:val="000000"/>
        </w:rPr>
        <w:t>. The incidence of GERD is rapidly increasing owing to changes in people’s lifestyle and eating habits</w:t>
      </w:r>
      <w:r w:rsidRPr="00623D6F">
        <w:rPr>
          <w:rFonts w:ascii="Book Antiqua" w:eastAsia="Book Antiqua" w:hAnsi="Book Antiqua" w:cs="Book Antiqua"/>
          <w:color w:val="000000"/>
          <w:szCs w:val="30"/>
          <w:vertAlign w:val="superscript"/>
        </w:rPr>
        <w:t>[12]</w:t>
      </w:r>
      <w:r w:rsidRPr="00623D6F">
        <w:rPr>
          <w:rFonts w:ascii="Book Antiqua" w:eastAsia="Book Antiqua" w:hAnsi="Book Antiqua" w:cs="Book Antiqua"/>
          <w:color w:val="000000"/>
        </w:rPr>
        <w:t>. GERD can be treated with proton pump inhibitors (PPIs), while surgery may be necessary in severe cases</w:t>
      </w:r>
      <w:r w:rsidRPr="00623D6F">
        <w:rPr>
          <w:rFonts w:ascii="Book Antiqua" w:eastAsia="Book Antiqua" w:hAnsi="Book Antiqua" w:cs="Book Antiqua"/>
          <w:color w:val="000000"/>
          <w:szCs w:val="30"/>
          <w:vertAlign w:val="superscript"/>
        </w:rPr>
        <w:t>[13]</w:t>
      </w:r>
      <w:r w:rsidRPr="00623D6F">
        <w:rPr>
          <w:rFonts w:ascii="Book Antiqua" w:eastAsia="Book Antiqua" w:hAnsi="Book Antiqua" w:cs="Book Antiqua"/>
          <w:color w:val="000000"/>
        </w:rPr>
        <w:t>. To date, only one study investigated the relationship between humidity and monthly GERD occurrence</w:t>
      </w:r>
      <w:r w:rsidRPr="00623D6F">
        <w:rPr>
          <w:rFonts w:ascii="Book Antiqua" w:eastAsia="Book Antiqua" w:hAnsi="Book Antiqua" w:cs="Book Antiqua"/>
          <w:color w:val="000000"/>
          <w:szCs w:val="30"/>
          <w:vertAlign w:val="superscript"/>
        </w:rPr>
        <w:t>[14]</w:t>
      </w:r>
      <w:r w:rsidRPr="00623D6F">
        <w:rPr>
          <w:rFonts w:ascii="Book Antiqua" w:eastAsia="Book Antiqua" w:hAnsi="Book Antiqua" w:cs="Book Antiqua"/>
          <w:color w:val="000000"/>
        </w:rPr>
        <w:t xml:space="preserve">. However, it was limited by the exclusive inclusion of patients in Taiwan, where there is a hot and humid weather, and a lack of data on air pollutants. </w:t>
      </w:r>
    </w:p>
    <w:p w14:paraId="64805616"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This study aimed to identify the factors affecting GERD-related medical utilization through complex MFAPs data analyses in the Republic of Korea, in combination with the analyses of reliable meteorological and national health insurance data.</w:t>
      </w:r>
    </w:p>
    <w:p w14:paraId="2A736A34" w14:textId="77777777" w:rsidR="0038018A" w:rsidRPr="00623D6F" w:rsidRDefault="0038018A">
      <w:pPr>
        <w:spacing w:line="360" w:lineRule="auto"/>
        <w:jc w:val="both"/>
      </w:pPr>
    </w:p>
    <w:p w14:paraId="28BE090F" w14:textId="77777777" w:rsidR="0038018A" w:rsidRPr="00623D6F" w:rsidRDefault="00C220BD">
      <w:pPr>
        <w:spacing w:line="360" w:lineRule="auto"/>
        <w:jc w:val="both"/>
      </w:pPr>
      <w:r w:rsidRPr="00623D6F">
        <w:rPr>
          <w:rFonts w:ascii="Book Antiqua" w:eastAsia="Book Antiqua" w:hAnsi="Book Antiqua" w:cs="Book Antiqua"/>
          <w:b/>
          <w:caps/>
          <w:color w:val="000000"/>
          <w:u w:val="single"/>
        </w:rPr>
        <w:t>MATERIALS AND METHODS</w:t>
      </w:r>
    </w:p>
    <w:p w14:paraId="1D6E58D2" w14:textId="77777777" w:rsidR="0038018A" w:rsidRPr="00623D6F" w:rsidRDefault="00C220BD">
      <w:pPr>
        <w:spacing w:line="360" w:lineRule="auto"/>
        <w:jc w:val="both"/>
      </w:pPr>
      <w:r w:rsidRPr="00623D6F">
        <w:rPr>
          <w:rFonts w:ascii="Book Antiqua" w:eastAsia="Book Antiqua" w:hAnsi="Book Antiqua" w:cs="Book Antiqua"/>
          <w:b/>
          <w:bCs/>
          <w:i/>
          <w:iCs/>
          <w:color w:val="000000"/>
        </w:rPr>
        <w:t xml:space="preserve">Study population and MFAPs </w:t>
      </w:r>
    </w:p>
    <w:p w14:paraId="2D5237FF" w14:textId="77777777" w:rsidR="0038018A" w:rsidRPr="00623D6F" w:rsidRDefault="00C220BD">
      <w:pPr>
        <w:spacing w:line="360" w:lineRule="auto"/>
        <w:jc w:val="both"/>
      </w:pPr>
      <w:r w:rsidRPr="00623D6F">
        <w:rPr>
          <w:rFonts w:ascii="Book Antiqua" w:eastAsia="Book Antiqua" w:hAnsi="Book Antiqua" w:cs="Book Antiqua"/>
          <w:color w:val="000000"/>
        </w:rPr>
        <w:t>Data on GERD-related medical utilizations from 2002 to 2017 were obtained from the National Health Insurance Services (NHIS). All inpatient and outpatient data on Korea’s population can be identified using NHIS data, due to a single-payer healthcare insurance system in the country. GERD was identified by the International Classification of Disease, 10</w:t>
      </w:r>
      <w:r w:rsidRPr="00623D6F">
        <w:rPr>
          <w:rFonts w:ascii="Book Antiqua" w:eastAsia="Book Antiqua" w:hAnsi="Book Antiqua" w:cs="Book Antiqua"/>
          <w:color w:val="000000"/>
          <w:szCs w:val="30"/>
          <w:vertAlign w:val="superscript"/>
        </w:rPr>
        <w:t>th</w:t>
      </w:r>
      <w:r w:rsidRPr="00623D6F">
        <w:rPr>
          <w:rFonts w:ascii="Book Antiqua" w:eastAsia="Book Antiqua" w:hAnsi="Book Antiqua" w:cs="Book Antiqua"/>
          <w:color w:val="000000"/>
        </w:rPr>
        <w:t xml:space="preserve"> Revision, Clinical Modification (ICD-10-CM) codes and </w:t>
      </w:r>
      <w:r w:rsidRPr="00623D6F">
        <w:rPr>
          <w:rFonts w:ascii="Book Antiqua" w:eastAsia="Book Antiqua" w:hAnsi="Book Antiqua" w:cs="Book Antiqua"/>
          <w:color w:val="000000"/>
        </w:rPr>
        <w:lastRenderedPageBreak/>
        <w:t xml:space="preserve">pharmaceutical codes, as well as procedure or operation codes. Only patients with a clear GERD as defined by the presence of an ICD-10 K21 code, an operation code corresponding to fundoplication, and a procedure code related to esophagogastroduodenoscopy, esophagography, esophageal manometry, or pH monitoring of the esophagus, as well as the pharmaceutical code for PPIs were included in the study. The date of GERD-related medical utilization was defined as the first date of PPI administration. </w:t>
      </w:r>
    </w:p>
    <w:p w14:paraId="463B04F5"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Data on meteorological factors were obtained from the National Climate Data Center of the Korea Meteorological Administration (http://data.kma.go.kr) and included the following factors: average temperature (AT) (°C), high temperature (°C), low temperature (°C), diurnal temperature range (°C), vapor pressure (hPa), solar radiation (MJ/m</w:t>
      </w:r>
      <w:r w:rsidRPr="00623D6F">
        <w:rPr>
          <w:rFonts w:ascii="Book Antiqua" w:eastAsia="Book Antiqua" w:hAnsi="Book Antiqua" w:cs="Book Antiqua"/>
          <w:color w:val="000000"/>
          <w:szCs w:val="30"/>
          <w:vertAlign w:val="superscript"/>
        </w:rPr>
        <w:t>2</w:t>
      </w:r>
      <w:r w:rsidRPr="00623D6F">
        <w:rPr>
          <w:rFonts w:ascii="Book Antiqua" w:eastAsia="Book Antiqua" w:hAnsi="Book Antiqua" w:cs="Book Antiqua"/>
          <w:color w:val="000000"/>
        </w:rPr>
        <w:t>), sunshine duration (SD) (hr), wind speed (WS) (m/s), daily rain (mm), dew point temperature (°C), humidity (%), daily snow (cm), and presence of clouds (1/10). Each factor was measured hourly using automated equipment at 77 manned stations located on high mountains or in central cities; these factors were merged as a daily average with the GERD-related medical utilization. Additionally, data on air pollutants, including atmospheric particulate matter of diameter ≤ 2.5 µm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(µg/m</w:t>
      </w:r>
      <w:r w:rsidRPr="00623D6F">
        <w:rPr>
          <w:rFonts w:ascii="Book Antiqua" w:eastAsia="Book Antiqua" w:hAnsi="Book Antiqua" w:cs="Book Antiqua"/>
          <w:color w:val="000000"/>
          <w:szCs w:val="30"/>
          <w:vertAlign w:val="superscript"/>
        </w:rPr>
        <w:t>3</w:t>
      </w:r>
      <w:r w:rsidRPr="00623D6F">
        <w:rPr>
          <w:rFonts w:ascii="Book Antiqua" w:eastAsia="Book Antiqua" w:hAnsi="Book Antiqua" w:cs="Book Antiqua"/>
          <w:color w:val="000000"/>
        </w:rPr>
        <w:t>), PM</w:t>
      </w:r>
      <w:r w:rsidRPr="00623D6F">
        <w:rPr>
          <w:rFonts w:ascii="Book Antiqua" w:eastAsia="Book Antiqua" w:hAnsi="Book Antiqua" w:cs="Book Antiqua"/>
          <w:color w:val="000000"/>
          <w:szCs w:val="30"/>
          <w:vertAlign w:val="subscript"/>
        </w:rPr>
        <w:t>10</w:t>
      </w:r>
      <w:r w:rsidRPr="00623D6F">
        <w:rPr>
          <w:rFonts w:ascii="Book Antiqua" w:eastAsia="Book Antiqua" w:hAnsi="Book Antiqua" w:cs="Book Antiqua"/>
          <w:color w:val="000000"/>
        </w:rPr>
        <w:t xml:space="preserve"> (µg/m</w:t>
      </w:r>
      <w:r w:rsidRPr="00623D6F">
        <w:rPr>
          <w:rFonts w:ascii="Book Antiqua" w:eastAsia="Book Antiqua" w:hAnsi="Book Antiqua" w:cs="Book Antiqua"/>
          <w:color w:val="000000"/>
          <w:szCs w:val="30"/>
          <w:vertAlign w:val="superscript"/>
        </w:rPr>
        <w:t>3</w:t>
      </w:r>
      <w:r w:rsidRPr="00623D6F">
        <w:rPr>
          <w:rFonts w:ascii="Book Antiqua" w:eastAsia="Book Antiqua" w:hAnsi="Book Antiqua" w:cs="Book Antiqua"/>
          <w:color w:val="000000"/>
        </w:rPr>
        <w:t>), ozone (O</w:t>
      </w:r>
      <w:r w:rsidRPr="00623D6F">
        <w:rPr>
          <w:rFonts w:ascii="Book Antiqua" w:eastAsia="Book Antiqua" w:hAnsi="Book Antiqua" w:cs="Book Antiqua"/>
          <w:color w:val="000000"/>
          <w:szCs w:val="30"/>
          <w:vertAlign w:val="subscript"/>
        </w:rPr>
        <w:t>3</w:t>
      </w:r>
      <w:r w:rsidRPr="00623D6F">
        <w:rPr>
          <w:rFonts w:ascii="Book Antiqua" w:eastAsia="Book Antiqua" w:hAnsi="Book Antiqua" w:cs="Book Antiqua"/>
          <w:color w:val="000000"/>
        </w:rPr>
        <w:t>) (parts-per-billion [ppb]), nitrogen dioxide (NO</w:t>
      </w:r>
      <w:r w:rsidRPr="00623D6F">
        <w:rPr>
          <w:rFonts w:ascii="Book Antiqua" w:eastAsia="Book Antiqua" w:hAnsi="Book Antiqua" w:cs="Book Antiqua"/>
          <w:color w:val="000000"/>
          <w:szCs w:val="30"/>
          <w:vertAlign w:val="subscript"/>
        </w:rPr>
        <w:t>2</w:t>
      </w:r>
      <w:r w:rsidRPr="00623D6F">
        <w:rPr>
          <w:rFonts w:ascii="Book Antiqua" w:eastAsia="Book Antiqua" w:hAnsi="Book Antiqua" w:cs="Book Antiqua"/>
          <w:color w:val="000000"/>
        </w:rPr>
        <w:t>) (ppb), sulphur dioxide (SO</w:t>
      </w:r>
      <w:r w:rsidRPr="00623D6F">
        <w:rPr>
          <w:rFonts w:ascii="Book Antiqua" w:eastAsia="Book Antiqua" w:hAnsi="Book Antiqua" w:cs="Book Antiqua"/>
          <w:color w:val="000000"/>
          <w:szCs w:val="30"/>
          <w:vertAlign w:val="subscript"/>
        </w:rPr>
        <w:t>2</w:t>
      </w:r>
      <w:r w:rsidRPr="00623D6F">
        <w:rPr>
          <w:rFonts w:ascii="Book Antiqua" w:eastAsia="Book Antiqua" w:hAnsi="Book Antiqua" w:cs="Book Antiqua"/>
          <w:color w:val="000000"/>
        </w:rPr>
        <w:t>) (ppb), and carbon monoxide (CO) (parts-per-million [ppm]) were obtained from the AirKorea database (http://airkorea.or.kr), operated by the Korea Environment Corporation</w:t>
      </w:r>
      <w:r w:rsidRPr="00623D6F">
        <w:rPr>
          <w:rFonts w:ascii="Book Antiqua" w:eastAsia="Book Antiqua" w:hAnsi="Book Antiqua" w:cs="Book Antiqua"/>
          <w:color w:val="000000"/>
          <w:szCs w:val="30"/>
          <w:vertAlign w:val="superscript"/>
        </w:rPr>
        <w:t>[15]</w:t>
      </w:r>
      <w:r w:rsidRPr="00623D6F">
        <w:rPr>
          <w:rFonts w:ascii="Book Antiqua" w:eastAsia="Book Antiqua" w:hAnsi="Book Antiqua" w:cs="Book Antiqua"/>
          <w:color w:val="000000"/>
        </w:rPr>
        <w:t>. Levels of the following gases were measured as follows: PM</w:t>
      </w:r>
      <w:r w:rsidRPr="00623D6F">
        <w:rPr>
          <w:rFonts w:ascii="Book Antiqua" w:eastAsia="Book Antiqua" w:hAnsi="Book Antiqua" w:cs="Book Antiqua"/>
          <w:color w:val="000000"/>
          <w:szCs w:val="30"/>
          <w:vertAlign w:val="subscript"/>
        </w:rPr>
        <w:t xml:space="preserve">2.5 </w:t>
      </w:r>
      <w:r w:rsidRPr="00623D6F">
        <w:rPr>
          <w:rFonts w:ascii="Book Antiqua" w:eastAsia="Book Antiqua" w:hAnsi="Book Antiqua" w:cs="Book Antiqua"/>
          <w:color w:val="000000"/>
        </w:rPr>
        <w:t>and PM</w:t>
      </w:r>
      <w:r w:rsidRPr="00623D6F">
        <w:rPr>
          <w:rFonts w:ascii="Book Antiqua" w:eastAsia="Book Antiqua" w:hAnsi="Book Antiqua" w:cs="Book Antiqua"/>
          <w:color w:val="000000"/>
          <w:szCs w:val="30"/>
          <w:vertAlign w:val="subscript"/>
        </w:rPr>
        <w:t>10</w:t>
      </w:r>
      <w:r w:rsidRPr="00623D6F">
        <w:rPr>
          <w:rFonts w:ascii="Book Antiqua" w:eastAsia="Book Antiqua" w:hAnsi="Book Antiqua" w:cs="Book Antiqua"/>
          <w:color w:val="000000"/>
        </w:rPr>
        <w:t xml:space="preserve"> levels were determined using the beta-ray absorption method, SO</w:t>
      </w:r>
      <w:r w:rsidRPr="00623D6F">
        <w:rPr>
          <w:rFonts w:ascii="Book Antiqua" w:eastAsia="Book Antiqua" w:hAnsi="Book Antiqua" w:cs="Book Antiqua"/>
          <w:color w:val="000000"/>
          <w:szCs w:val="30"/>
          <w:vertAlign w:val="subscript"/>
        </w:rPr>
        <w:t xml:space="preserve">2 </w:t>
      </w:r>
      <w:r w:rsidRPr="00623D6F">
        <w:rPr>
          <w:rFonts w:ascii="Book Antiqua" w:eastAsia="Book Antiqua" w:hAnsi="Book Antiqua" w:cs="Book Antiqua"/>
          <w:color w:val="000000"/>
        </w:rPr>
        <w:t>levels</w:t>
      </w:r>
      <w:r w:rsidRPr="00623D6F">
        <w:rPr>
          <w:rFonts w:ascii="Book Antiqua" w:eastAsia="Book Antiqua" w:hAnsi="Book Antiqua" w:cs="Book Antiqua"/>
          <w:color w:val="000000"/>
          <w:szCs w:val="30"/>
          <w:vertAlign w:val="subscript"/>
        </w:rPr>
        <w:t xml:space="preserve"> </w:t>
      </w:r>
      <w:r w:rsidRPr="00623D6F">
        <w:rPr>
          <w:rFonts w:ascii="Book Antiqua" w:eastAsia="Book Antiqua" w:hAnsi="Book Antiqua" w:cs="Book Antiqua"/>
          <w:color w:val="000000"/>
        </w:rPr>
        <w:t>using ultraviolet pulse fluorescence, CO levels</w:t>
      </w:r>
      <w:r w:rsidRPr="00623D6F">
        <w:rPr>
          <w:rFonts w:ascii="Book Antiqua" w:eastAsia="Book Antiqua" w:hAnsi="Book Antiqua" w:cs="Book Antiqua"/>
          <w:color w:val="000000"/>
          <w:szCs w:val="30"/>
          <w:vertAlign w:val="subscript"/>
        </w:rPr>
        <w:t xml:space="preserve"> </w:t>
      </w:r>
      <w:r w:rsidRPr="00623D6F">
        <w:rPr>
          <w:rFonts w:ascii="Book Antiqua" w:eastAsia="Book Antiqua" w:hAnsi="Book Antiqua" w:cs="Book Antiqua"/>
          <w:color w:val="000000"/>
        </w:rPr>
        <w:t>using the non-dispersive infrared method, NO</w:t>
      </w:r>
      <w:r w:rsidRPr="00623D6F">
        <w:rPr>
          <w:rFonts w:ascii="Book Antiqua" w:eastAsia="Book Antiqua" w:hAnsi="Book Antiqua" w:cs="Book Antiqua"/>
          <w:color w:val="000000"/>
          <w:szCs w:val="30"/>
          <w:vertAlign w:val="subscript"/>
        </w:rPr>
        <w:t xml:space="preserve">2 </w:t>
      </w:r>
      <w:r w:rsidRPr="00623D6F">
        <w:rPr>
          <w:rFonts w:ascii="Book Antiqua" w:eastAsia="Book Antiqua" w:hAnsi="Book Antiqua" w:cs="Book Antiqua"/>
          <w:color w:val="000000"/>
        </w:rPr>
        <w:t>levels</w:t>
      </w:r>
      <w:r w:rsidRPr="00623D6F">
        <w:rPr>
          <w:rFonts w:ascii="Book Antiqua" w:eastAsia="Book Antiqua" w:hAnsi="Book Antiqua" w:cs="Book Antiqua"/>
          <w:color w:val="000000"/>
          <w:szCs w:val="30"/>
          <w:vertAlign w:val="subscript"/>
        </w:rPr>
        <w:t xml:space="preserve"> </w:t>
      </w:r>
      <w:r w:rsidRPr="00623D6F">
        <w:rPr>
          <w:rFonts w:ascii="Book Antiqua" w:eastAsia="Book Antiqua" w:hAnsi="Book Antiqua" w:cs="Book Antiqua"/>
          <w:color w:val="000000"/>
        </w:rPr>
        <w:t>using chemiluminescence, and O</w:t>
      </w:r>
      <w:r w:rsidRPr="00623D6F">
        <w:rPr>
          <w:rFonts w:ascii="Book Antiqua" w:eastAsia="Book Antiqua" w:hAnsi="Book Antiqua" w:cs="Book Antiqua"/>
          <w:color w:val="000000"/>
          <w:szCs w:val="30"/>
          <w:vertAlign w:val="subscript"/>
        </w:rPr>
        <w:t xml:space="preserve">3 </w:t>
      </w:r>
      <w:r w:rsidRPr="00623D6F">
        <w:rPr>
          <w:rFonts w:ascii="Book Antiqua" w:eastAsia="Book Antiqua" w:hAnsi="Book Antiqua" w:cs="Book Antiqua"/>
          <w:color w:val="000000"/>
        </w:rPr>
        <w:t>levels</w:t>
      </w:r>
      <w:r w:rsidRPr="00623D6F">
        <w:rPr>
          <w:rFonts w:ascii="Book Antiqua" w:eastAsia="Book Antiqua" w:hAnsi="Book Antiqua" w:cs="Book Antiqua"/>
          <w:color w:val="000000"/>
          <w:szCs w:val="30"/>
          <w:vertAlign w:val="subscript"/>
        </w:rPr>
        <w:t xml:space="preserve"> </w:t>
      </w:r>
      <w:r w:rsidRPr="00623D6F">
        <w:rPr>
          <w:rFonts w:ascii="Book Antiqua" w:eastAsia="Book Antiqua" w:hAnsi="Book Antiqua" w:cs="Book Antiqua"/>
          <w:color w:val="000000"/>
        </w:rPr>
        <w:t xml:space="preserve">using ultraviolet photometry. We also calculated the 8-hour maximum level per time period. An observation center was selected in the eight largest cities in the country (Seoul, Incheon, Daejeon, Gwangju, Daegu, Ulsan, Busan, and Jeju) (Supplementary Figure 1). In these eight metropolitan areas, the distance between the MFAP observation center and medical utilization point is very short. In the case of non-metropolitan areas, the </w:t>
      </w:r>
      <w:r w:rsidRPr="00623D6F">
        <w:rPr>
          <w:rFonts w:ascii="Book Antiqua" w:eastAsia="Book Antiqua" w:hAnsi="Book Antiqua" w:cs="Book Antiqua"/>
          <w:color w:val="000000"/>
        </w:rPr>
        <w:lastRenderedPageBreak/>
        <w:t>distance may be longer. We used random sampling to identify the 2007190 instances of medical utilization due to GERD in Korea from 2002 to 2017 for inclusion in this study. These represented 10% of all instances of medical utilization; and corresponded to only those pertaining to the chosen eight metropolitan areas. There were 799537 GERD-related medical utilizations in the eight urban areas after merging with meteorological factors. Due to the possibility of operating the generalized additive model with cubic splines through the degree of freedom parameter in limited computing power, we chose a random sample from the urban dataset. In the end, 200000 out of 799537 cases from the eight metropolitan areas were randomly selected for inclusion (Supplementary Figure 2). This study was approved by the Institutional Review Board of the Gachon University Gil Medical Center, which waived the need for informed consent, No. GCIRB2019-039.</w:t>
      </w:r>
    </w:p>
    <w:p w14:paraId="613A043E" w14:textId="77777777" w:rsidR="0038018A" w:rsidRPr="00623D6F" w:rsidRDefault="0038018A">
      <w:pPr>
        <w:spacing w:line="360" w:lineRule="auto"/>
        <w:jc w:val="both"/>
      </w:pPr>
    </w:p>
    <w:p w14:paraId="09C1A52E" w14:textId="77777777" w:rsidR="0038018A" w:rsidRPr="00623D6F" w:rsidRDefault="00C220BD">
      <w:pPr>
        <w:spacing w:line="360" w:lineRule="auto"/>
        <w:jc w:val="both"/>
      </w:pPr>
      <w:r w:rsidRPr="00623D6F">
        <w:rPr>
          <w:rFonts w:ascii="Book Antiqua" w:eastAsia="Book Antiqua" w:hAnsi="Book Antiqua" w:cs="Book Antiqua"/>
          <w:b/>
          <w:bCs/>
          <w:i/>
          <w:iCs/>
          <w:color w:val="000000"/>
        </w:rPr>
        <w:t xml:space="preserve">Modelling approach </w:t>
      </w:r>
    </w:p>
    <w:p w14:paraId="64EA8357" w14:textId="77777777" w:rsidR="0038018A" w:rsidRPr="00623D6F" w:rsidRDefault="00C220BD">
      <w:pPr>
        <w:spacing w:line="360" w:lineRule="auto"/>
        <w:jc w:val="both"/>
      </w:pPr>
      <w:r w:rsidRPr="00623D6F">
        <w:rPr>
          <w:rFonts w:ascii="Book Antiqua" w:eastAsia="Book Antiqua" w:hAnsi="Book Antiqua" w:cs="Book Antiqua"/>
          <w:color w:val="000000"/>
        </w:rPr>
        <w:t>A Granger causality (GC) test was performed to identify the MFAPs showing the strongest correlation with the daily number of GERD-related medical utilizations for GERD</w:t>
      </w:r>
      <w:r w:rsidRPr="00623D6F">
        <w:rPr>
          <w:rFonts w:ascii="Book Antiqua" w:eastAsia="Book Antiqua" w:hAnsi="Book Antiqua" w:cs="Book Antiqua"/>
          <w:color w:val="000000"/>
          <w:szCs w:val="30"/>
          <w:vertAlign w:val="superscript"/>
        </w:rPr>
        <w:t>[16]</w:t>
      </w:r>
      <w:r w:rsidRPr="00623D6F">
        <w:rPr>
          <w:rFonts w:ascii="Book Antiqua" w:eastAsia="Book Antiqua" w:hAnsi="Book Antiqua" w:cs="Book Antiqua"/>
          <w:color w:val="000000"/>
        </w:rPr>
        <w:t xml:space="preserve"> and to identify causality between the two time-series variables. In this study, the GC test showed the direct and indirect relationships between MFAPs and GERD-related medical utilization and was used to determine the MFAPs that influenced each other intricately.</w:t>
      </w:r>
    </w:p>
    <w:p w14:paraId="13BD9233"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 xml:space="preserve">In the time-series analysis, we created a generalized additive Poisson regression model (GAM) to control for time trends, seasonality, and day of the week. The GAM provided tool optimization of nonparametric smooth functions for the management of potential nonlinear weather variables and flexibility pertaining to the logarithm of the number of GERD-related medical utilizations. Since the GAM model produces unstable estimates as an autocorrelation between meteorological factors, we accounted for time lags using the Durbin-Watson test. Lag detection was performed until the autocorrelation was considered to be white noise. The sum of autocorrelation terms was </w:t>
      </w:r>
      <w:r w:rsidRPr="00623D6F">
        <w:rPr>
          <w:rFonts w:ascii="Book Antiqua" w:eastAsia="Book Antiqua" w:hAnsi="Book Antiqua" w:cs="Book Antiqua"/>
          <w:color w:val="000000"/>
        </w:rPr>
        <w:lastRenderedPageBreak/>
        <w:t xml:space="preserve">included as covariate in GAM, after which we validated our dataset for over-dispersion and multicollinearity problems (Supplementary Table 1). </w:t>
      </w:r>
    </w:p>
    <w:p w14:paraId="6A9E7016" w14:textId="2149C390" w:rsidR="0038018A" w:rsidRPr="00623D6F" w:rsidRDefault="00C220BD">
      <w:pPr>
        <w:spacing w:line="360" w:lineRule="auto"/>
        <w:jc w:val="both"/>
      </w:pPr>
      <w:r w:rsidRPr="00623D6F">
        <w:rPr>
          <w:rFonts w:ascii="Book Antiqua" w:eastAsia="Book Antiqua" w:hAnsi="Book Antiqua" w:cs="Book Antiqua"/>
          <w:color w:val="000000"/>
        </w:rPr>
        <w:t>Additionally, we accounted for the daily number of GERD-related medical utilizations in the eight metropolitan areas using the logged variable as the offset variable for control of regional variations in the GAM. Among the meteorological factors, we compared both the Akaike Information Criterion (AIC) and the Bayesian Information Criterion (BIC) for each candidate model using backward elimination for a better fit. AT, WS, SD,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and CO were selected in the model, as they had the lowest AIC values (Supplementary Table 2)</w:t>
      </w:r>
      <w:r w:rsidRPr="00623D6F">
        <w:rPr>
          <w:rFonts w:ascii="Book Antiqua" w:eastAsia="Book Antiqua" w:hAnsi="Book Antiqua" w:cs="Book Antiqua"/>
          <w:color w:val="000000"/>
          <w:szCs w:val="30"/>
          <w:vertAlign w:val="superscript"/>
        </w:rPr>
        <w:t>[17,18]</w:t>
      </w:r>
      <w:r w:rsidRPr="00623D6F">
        <w:rPr>
          <w:rFonts w:ascii="Book Antiqua" w:eastAsia="Book Antiqua" w:hAnsi="Book Antiqua" w:cs="Book Antiqua"/>
          <w:color w:val="000000"/>
        </w:rPr>
        <w:t xml:space="preserve">. Our final multivariable model was as follows: </w:t>
      </w:r>
      <w:r w:rsidRPr="00623D6F">
        <w:rPr>
          <w:rFonts w:ascii="Book Antiqua" w:eastAsia="Book Antiqua" w:hAnsi="Book Antiqua"/>
        </w:rPr>
        <w:t xml:space="preserve">Log[E(Y)] = </w:t>
      </w:r>
      <m:oMath>
        <m:sSub>
          <m:sSubPr>
            <m:ctrlPr>
              <w:rPr>
                <w:rFonts w:ascii="Cambria Math" w:hAnsi="Cambria Math"/>
              </w:rPr>
            </m:ctrlPr>
          </m:sSubPr>
          <m:e>
            <m:r>
              <w:rPr>
                <w:rFonts w:ascii="Cambria Math" w:hAnsi="Cambria Math"/>
              </w:rPr>
              <m:t>α</m:t>
            </m:r>
          </m:e>
          <m:sub>
            <m:r>
              <w:rPr>
                <w:rFonts w:ascii="Cambria Math" w:hAnsi="Cambria Math"/>
              </w:rPr>
              <m:t>0</m:t>
            </m:r>
          </m:sub>
        </m:sSub>
      </m:oMath>
      <w:r w:rsidRPr="00623D6F">
        <w:rPr>
          <w:rFonts w:ascii="Book Antiqua" w:eastAsia="Book Antiqua" w:hAnsi="Book Antiqua"/>
        </w:rPr>
        <w:t xml:space="preserve"> + </w:t>
      </w:r>
      <w:r w:rsidRPr="00623D6F">
        <w:rPr>
          <w:rFonts w:ascii="Book Antiqua" w:eastAsia="Book Antiqua" w:hAnsi="Book Antiqua"/>
          <w:i/>
        </w:rPr>
        <w:t>S</w:t>
      </w:r>
      <w:r w:rsidRPr="00623D6F">
        <w:rPr>
          <w:rFonts w:ascii="Book Antiqua" w:eastAsia="Book Antiqua" w:hAnsi="Book Antiqua"/>
        </w:rPr>
        <w:t xml:space="preserve"> (AT, </w:t>
      </w:r>
      <w:r w:rsidRPr="00623D6F">
        <w:rPr>
          <w:rFonts w:ascii="Book Antiqua" w:eastAsia="Book Antiqua" w:hAnsi="Book Antiqua"/>
          <w:i/>
        </w:rPr>
        <w:t>df = 4</w:t>
      </w:r>
      <w:r w:rsidRPr="00623D6F">
        <w:rPr>
          <w:rFonts w:ascii="Book Antiqua" w:eastAsia="Book Antiqua" w:hAnsi="Book Antiqua"/>
        </w:rPr>
        <w:t xml:space="preserve">) + </w:t>
      </w:r>
      <w:r w:rsidRPr="00623D6F">
        <w:rPr>
          <w:rFonts w:ascii="Book Antiqua" w:eastAsia="Book Antiqua" w:hAnsi="Book Antiqua"/>
          <w:i/>
        </w:rPr>
        <w:t>S</w:t>
      </w:r>
      <w:r w:rsidRPr="00623D6F">
        <w:rPr>
          <w:rFonts w:ascii="Book Antiqua" w:eastAsia="Book Antiqua" w:hAnsi="Book Antiqua"/>
        </w:rPr>
        <w:t xml:space="preserve"> (WS, </w:t>
      </w:r>
      <w:r w:rsidRPr="00623D6F">
        <w:rPr>
          <w:rFonts w:ascii="Book Antiqua" w:eastAsia="Book Antiqua" w:hAnsi="Book Antiqua"/>
          <w:i/>
        </w:rPr>
        <w:t>df = 20</w:t>
      </w:r>
      <w:r w:rsidRPr="00623D6F">
        <w:rPr>
          <w:rFonts w:ascii="Book Antiqua" w:eastAsia="Book Antiqua" w:hAnsi="Book Antiqua"/>
        </w:rPr>
        <w:t xml:space="preserve">) + </w:t>
      </w:r>
      <w:r w:rsidRPr="00623D6F">
        <w:rPr>
          <w:rFonts w:ascii="Book Antiqua" w:eastAsia="Book Antiqua" w:hAnsi="Book Antiqua"/>
          <w:i/>
        </w:rPr>
        <w:t>S</w:t>
      </w:r>
      <w:r w:rsidRPr="00623D6F">
        <w:rPr>
          <w:rFonts w:ascii="Book Antiqua" w:eastAsia="Book Antiqua" w:hAnsi="Book Antiqua"/>
        </w:rPr>
        <w:t xml:space="preserve"> (SD, </w:t>
      </w:r>
      <w:r w:rsidRPr="00623D6F">
        <w:rPr>
          <w:rFonts w:ascii="Book Antiqua" w:eastAsia="Book Antiqua" w:hAnsi="Book Antiqua"/>
          <w:i/>
        </w:rPr>
        <w:t>df = 18</w:t>
      </w:r>
      <w:r w:rsidRPr="00623D6F">
        <w:rPr>
          <w:rFonts w:ascii="Book Antiqua" w:eastAsia="Book Antiqua" w:hAnsi="Book Antiqua"/>
        </w:rPr>
        <w:t xml:space="preserve">) + </w:t>
      </w:r>
      <w:r w:rsidRPr="00623D6F">
        <w:rPr>
          <w:rFonts w:ascii="Book Antiqua" w:eastAsia="Book Antiqua" w:hAnsi="Book Antiqua"/>
          <w:i/>
        </w:rPr>
        <w:t>S</w:t>
      </w:r>
      <w:r w:rsidRPr="00623D6F">
        <w:rPr>
          <w:rFonts w:ascii="Book Antiqua" w:eastAsia="Book Antiqua" w:hAnsi="Book Antiqua"/>
        </w:rPr>
        <w:t xml:space="preserve"> (PM</w:t>
      </w:r>
      <w:r w:rsidRPr="00623D6F">
        <w:rPr>
          <w:rFonts w:ascii="Book Antiqua" w:eastAsia="Book Antiqua" w:hAnsi="Book Antiqua"/>
          <w:vertAlign w:val="subscript"/>
        </w:rPr>
        <w:t>2.5</w:t>
      </w:r>
      <w:r w:rsidRPr="00623D6F">
        <w:rPr>
          <w:rFonts w:ascii="Book Antiqua" w:eastAsia="Book Antiqua" w:hAnsi="Book Antiqua"/>
        </w:rPr>
        <w:t xml:space="preserve">, </w:t>
      </w:r>
      <w:r w:rsidRPr="00623D6F">
        <w:rPr>
          <w:rFonts w:ascii="Book Antiqua" w:eastAsia="Book Antiqua" w:hAnsi="Book Antiqua"/>
          <w:i/>
        </w:rPr>
        <w:t>df = 14</w:t>
      </w:r>
      <w:r w:rsidRPr="00623D6F">
        <w:rPr>
          <w:rFonts w:ascii="Book Antiqua" w:eastAsia="Book Antiqua" w:hAnsi="Book Antiqua"/>
        </w:rPr>
        <w:t xml:space="preserve">) + </w:t>
      </w:r>
      <w:r w:rsidRPr="00623D6F">
        <w:rPr>
          <w:rFonts w:ascii="Book Antiqua" w:eastAsia="Book Antiqua" w:hAnsi="Book Antiqua"/>
          <w:i/>
        </w:rPr>
        <w:t>S</w:t>
      </w:r>
      <w:r w:rsidRPr="00623D6F">
        <w:rPr>
          <w:rFonts w:ascii="Book Antiqua" w:eastAsia="Book Antiqua" w:hAnsi="Book Antiqua"/>
        </w:rPr>
        <w:t xml:space="preserve"> (CO, </w:t>
      </w:r>
      <w:r w:rsidRPr="00623D6F">
        <w:rPr>
          <w:rFonts w:ascii="Book Antiqua" w:eastAsia="Book Antiqua" w:hAnsi="Book Antiqua"/>
          <w:i/>
        </w:rPr>
        <w:t>df = 1</w:t>
      </w:r>
      <w:r w:rsidRPr="00623D6F">
        <w:rPr>
          <w:rFonts w:ascii="Book Antiqua" w:eastAsia="Book Antiqua" w:hAnsi="Book Antiqua"/>
        </w:rPr>
        <w:t xml:space="preserve">) + </w:t>
      </w:r>
      <w:r w:rsidRPr="00623D6F">
        <w:rPr>
          <w:rFonts w:ascii="Book Antiqua" w:eastAsia="Book Antiqua" w:hAnsi="Book Antiqua"/>
          <w:i/>
        </w:rPr>
        <w:t>offset</w:t>
      </w:r>
      <w:r w:rsidRPr="00623D6F">
        <w:rPr>
          <w:rFonts w:ascii="Book Antiqua" w:eastAsia="Book Antiqua" w:hAnsi="Book Antiqua"/>
        </w:rPr>
        <w:t xml:space="preserve"> </w:t>
      </w:r>
      <w:r w:rsidR="00D466E1" w:rsidRPr="00623D6F">
        <w:rPr>
          <w:rFonts w:ascii="Book Antiqua" w:eastAsia="Book Antiqua" w:hAnsi="Book Antiqua"/>
        </w:rPr>
        <w:t>[</w:t>
      </w:r>
      <w:r w:rsidRPr="00623D6F">
        <w:rPr>
          <w:rFonts w:ascii="Book Antiqua" w:eastAsia="Book Antiqua" w:hAnsi="Book Antiqua"/>
        </w:rPr>
        <w:t>log (province population)</w:t>
      </w:r>
      <w:r w:rsidR="00D466E1" w:rsidRPr="00623D6F">
        <w:rPr>
          <w:rFonts w:ascii="Book Antiqua" w:eastAsia="Book Antiqua" w:hAnsi="Book Antiqua"/>
        </w:rPr>
        <w:t>]</w:t>
      </w:r>
      <w:r w:rsidRPr="00623D6F">
        <w:rPr>
          <w:rFonts w:ascii="Book Antiqua" w:eastAsia="Book Antiqua" w:hAnsi="Book Antiqua"/>
        </w:rPr>
        <w:t xml:space="preserve"> + </w:t>
      </w:r>
      <w:r w:rsidRPr="00623D6F">
        <w:rPr>
          <w:rFonts w:ascii="Book Antiqua" w:eastAsia="Book Antiqua" w:hAnsi="Book Antiqua"/>
          <w:i/>
        </w:rPr>
        <w:t xml:space="preserve">γ </w:t>
      </w:r>
      <w:r w:rsidRPr="00623D6F">
        <w:rPr>
          <w:rFonts w:ascii="Book Antiqua" w:eastAsia="Book Antiqua" w:hAnsi="Book Antiqua"/>
        </w:rPr>
        <w:t xml:space="preserve">(Day of Week) + </w:t>
      </w:r>
      <w:r w:rsidRPr="00623D6F">
        <w:rPr>
          <w:rFonts w:ascii="Book Antiqua" w:eastAsia="Book Antiqua" w:hAnsi="Book Antiqua"/>
          <w:i/>
        </w:rPr>
        <w:t>γ</w:t>
      </w:r>
      <w:r w:rsidRPr="00623D6F">
        <w:rPr>
          <w:rFonts w:ascii="Book Antiqua" w:eastAsia="Book Antiqua" w:hAnsi="Book Antiqua"/>
        </w:rPr>
        <w:t xml:space="preserve"> (Year) + </w:t>
      </w:r>
      <m:oMath>
        <m:nary>
          <m:naryPr>
            <m:chr m:val="∑"/>
            <m:limLoc m:val="undOvr"/>
            <m:supHide m:val="1"/>
            <m:ctrlPr>
              <w:rPr>
                <w:rFonts w:ascii="Cambria Math" w:hAnsi="Cambria Math"/>
              </w:rPr>
            </m:ctrlPr>
          </m:naryPr>
          <m:sub>
            <m:r>
              <w:rPr>
                <w:rFonts w:ascii="Cambria Math" w:hAnsi="Cambria Math"/>
              </w:rPr>
              <m:t>1≤θ≤j</m:t>
            </m:r>
          </m:sub>
          <m:sup/>
          <m:e>
            <m:sSub>
              <m:sSubPr>
                <m:ctrlPr>
                  <w:rPr>
                    <w:rFonts w:ascii="Cambria Math" w:hAnsi="Cambria Math"/>
                    <w:i/>
                  </w:rPr>
                </m:ctrlPr>
              </m:sSubPr>
              <m:e>
                <m:r>
                  <w:rPr>
                    <w:rFonts w:ascii="Cambria Math" w:hAnsi="Cambria Math"/>
                  </w:rPr>
                  <m:t>AR</m:t>
                </m:r>
              </m:e>
              <m:sub>
                <m:r>
                  <w:rPr>
                    <w:rFonts w:ascii="Cambria Math" w:hAnsi="Cambria Math"/>
                  </w:rPr>
                  <m:t>j</m:t>
                </m:r>
              </m:sub>
            </m:sSub>
          </m:e>
        </m:nary>
      </m:oMath>
      <w:r w:rsidRPr="00623D6F">
        <w:rPr>
          <w:rFonts w:ascii="Book Antiqua" w:hAnsi="Book Antiqua" w:hint="eastAsia"/>
          <w:lang w:eastAsia="zh-CN"/>
        </w:rPr>
        <w:t>.</w:t>
      </w:r>
      <w:r w:rsidRPr="00623D6F">
        <w:rPr>
          <w:rFonts w:ascii="Book Antiqua" w:hAnsi="Book Antiqua"/>
          <w:lang w:eastAsia="zh-CN"/>
        </w:rPr>
        <w:t xml:space="preserve"> </w:t>
      </w:r>
      <w:r w:rsidRPr="00623D6F">
        <w:rPr>
          <w:rFonts w:ascii="Book Antiqua" w:eastAsia="Book Antiqua" w:hAnsi="Book Antiqua" w:cs="Book Antiqua"/>
          <w:color w:val="000000"/>
        </w:rPr>
        <w:t xml:space="preserve">Where Log[E(Y)] was the logged expected number of GERD-related medical utilizations, </w:t>
      </w:r>
      <m:oMath>
        <m:sSub>
          <m:sSubPr>
            <m:ctrlPr>
              <w:rPr>
                <w:rFonts w:ascii="Cambria Math" w:hAnsi="Cambria Math"/>
              </w:rPr>
            </m:ctrlPr>
          </m:sSubPr>
          <m:e>
            <m:r>
              <w:rPr>
                <w:rFonts w:ascii="Cambria Math" w:hAnsi="Cambria Math"/>
              </w:rPr>
              <m:t>α</m:t>
            </m:r>
          </m:e>
          <m:sub>
            <m:r>
              <w:rPr>
                <w:rFonts w:ascii="Cambria Math" w:hAnsi="Cambria Math"/>
              </w:rPr>
              <m:t>0</m:t>
            </m:r>
          </m:sub>
        </m:sSub>
      </m:oMath>
      <w:r w:rsidRPr="00623D6F">
        <w:rPr>
          <w:rFonts w:ascii="Book Antiqua" w:eastAsia="Book Antiqua" w:hAnsi="Book Antiqua"/>
        </w:rPr>
        <w:t xml:space="preserve"> </w:t>
      </w:r>
      <w:r w:rsidRPr="00623D6F">
        <w:rPr>
          <w:rFonts w:ascii="Book Antiqua" w:eastAsia="Book Antiqua" w:hAnsi="Book Antiqua" w:cs="Book Antiqua"/>
          <w:color w:val="000000"/>
        </w:rPr>
        <w:t xml:space="preserve">the intercept, </w:t>
      </w:r>
      <w:r w:rsidRPr="00623D6F">
        <w:rPr>
          <w:rFonts w:ascii="Book Antiqua" w:eastAsia="Book Antiqua" w:hAnsi="Book Antiqua" w:cs="Book Antiqua"/>
          <w:i/>
          <w:iCs/>
          <w:color w:val="000000"/>
        </w:rPr>
        <w:t>S</w:t>
      </w:r>
      <w:r w:rsidRPr="00623D6F">
        <w:rPr>
          <w:rFonts w:ascii="Book Antiqua" w:eastAsia="Book Antiqua" w:hAnsi="Book Antiqua" w:cs="Book Antiqua"/>
          <w:color w:val="000000"/>
        </w:rPr>
        <w:t xml:space="preserve"> the smooth function of meteorological factors as obtained using natural cubic splines, </w:t>
      </w:r>
      <w:r w:rsidRPr="00623D6F">
        <w:rPr>
          <w:rFonts w:ascii="Book Antiqua" w:eastAsia="Book Antiqua" w:hAnsi="Book Antiqua" w:cs="Book Antiqua"/>
          <w:i/>
          <w:iCs/>
          <w:color w:val="000000"/>
        </w:rPr>
        <w:t>offset</w:t>
      </w:r>
      <w:r w:rsidRPr="00623D6F">
        <w:rPr>
          <w:rFonts w:ascii="Book Antiqua" w:eastAsia="Book Antiqua" w:hAnsi="Book Antiqua" w:cs="Book Antiqua"/>
          <w:color w:val="000000"/>
        </w:rPr>
        <w:t xml:space="preserve"> denoted province population; </w:t>
      </w:r>
      <w:r w:rsidRPr="00623D6F">
        <w:rPr>
          <w:rFonts w:ascii="Book Antiqua" w:eastAsia="Book Antiqua" w:hAnsi="Book Antiqua" w:cs="Book Antiqua"/>
          <w:i/>
          <w:iCs/>
          <w:color w:val="000000"/>
        </w:rPr>
        <w:t>γ</w:t>
      </w:r>
      <w:r w:rsidRPr="00623D6F">
        <w:rPr>
          <w:rFonts w:ascii="Book Antiqua" w:eastAsia="Book Antiqua" w:hAnsi="Book Antiqua" w:cs="Book Antiqua"/>
          <w:b/>
          <w:bCs/>
          <w:i/>
          <w:iCs/>
          <w:color w:val="000000"/>
        </w:rPr>
        <w:t xml:space="preserve"> </w:t>
      </w:r>
      <w:r w:rsidRPr="00623D6F">
        <w:rPr>
          <w:rFonts w:ascii="Book Antiqua" w:eastAsia="Book Antiqua" w:hAnsi="Book Antiqua" w:cs="Book Antiqua"/>
          <w:color w:val="000000"/>
        </w:rPr>
        <w:t>indicator variable for day of the week and year, and overall autocorrelation effect as AR</w:t>
      </w:r>
      <w:r w:rsidRPr="00623D6F">
        <w:rPr>
          <w:rFonts w:ascii="Book Antiqua" w:eastAsia="Book Antiqua" w:hAnsi="Book Antiqua" w:cs="Book Antiqua"/>
          <w:color w:val="000000"/>
          <w:szCs w:val="30"/>
          <w:vertAlign w:val="subscript"/>
        </w:rPr>
        <w:t>1</w:t>
      </w:r>
      <w:r w:rsidRPr="00623D6F">
        <w:rPr>
          <w:rFonts w:ascii="Book Antiqua" w:eastAsia="Book Antiqua" w:hAnsi="Book Antiqua" w:cs="Book Antiqua"/>
          <w:color w:val="000000"/>
        </w:rPr>
        <w:t xml:space="preserve"> +… + AR</w:t>
      </w:r>
      <w:r w:rsidRPr="00623D6F">
        <w:rPr>
          <w:rFonts w:ascii="Book Antiqua" w:eastAsia="Book Antiqua" w:hAnsi="Book Antiqua" w:cs="Book Antiqua"/>
          <w:color w:val="000000"/>
          <w:szCs w:val="30"/>
          <w:vertAlign w:val="subscript"/>
        </w:rPr>
        <w:t>j</w:t>
      </w:r>
      <w:r w:rsidRPr="00623D6F">
        <w:rPr>
          <w:rFonts w:ascii="Book Antiqua" w:eastAsia="Book Antiqua" w:hAnsi="Book Antiqua" w:cs="Book Antiqua"/>
          <w:color w:val="000000"/>
        </w:rPr>
        <w:t xml:space="preserve">. </w:t>
      </w:r>
    </w:p>
    <w:p w14:paraId="5B3EF9B8" w14:textId="77777777" w:rsidR="0038018A" w:rsidRPr="00623D6F" w:rsidRDefault="0038018A">
      <w:pPr>
        <w:spacing w:line="360" w:lineRule="auto"/>
        <w:jc w:val="both"/>
        <w:rPr>
          <w:rFonts w:ascii="Book Antiqua" w:eastAsia="Book Antiqua" w:hAnsi="Book Antiqua" w:cs="Book Antiqua"/>
          <w:color w:val="000000"/>
        </w:rPr>
      </w:pPr>
    </w:p>
    <w:p w14:paraId="19FF001B" w14:textId="77777777" w:rsidR="0038018A" w:rsidRPr="00623D6F" w:rsidRDefault="00C220BD">
      <w:pPr>
        <w:spacing w:line="360" w:lineRule="auto"/>
        <w:jc w:val="both"/>
        <w:rPr>
          <w:rFonts w:ascii="Book Antiqua" w:eastAsia="Book Antiqua" w:hAnsi="Book Antiqua" w:cs="Book Antiqua"/>
          <w:color w:val="000000"/>
        </w:rPr>
      </w:pPr>
      <w:r w:rsidRPr="00623D6F">
        <w:rPr>
          <w:rFonts w:ascii="Book Antiqua" w:eastAsia="Book Antiqua" w:hAnsi="Book Antiqua" w:cs="Book Antiqua"/>
          <w:b/>
          <w:bCs/>
          <w:i/>
          <w:iCs/>
          <w:color w:val="000000"/>
        </w:rPr>
        <w:t>Statistical analyses</w:t>
      </w:r>
    </w:p>
    <w:p w14:paraId="66B3D3BD" w14:textId="4346D9A4" w:rsidR="0038018A" w:rsidRPr="00623D6F" w:rsidRDefault="00C220BD">
      <w:pPr>
        <w:spacing w:line="360" w:lineRule="auto"/>
        <w:jc w:val="both"/>
      </w:pPr>
      <w:r w:rsidRPr="00623D6F">
        <w:rPr>
          <w:rFonts w:ascii="Book Antiqua" w:eastAsia="Book Antiqua" w:hAnsi="Book Antiqua" w:cs="Book Antiqua"/>
          <w:color w:val="000000"/>
        </w:rPr>
        <w:t>Statistical analyses were conducted using SAS version 9.4 for Windows (SAS Institute, Cary, NC</w:t>
      </w:r>
      <w:r w:rsidR="009779CF" w:rsidRPr="00623D6F">
        <w:rPr>
          <w:rFonts w:ascii="Book Antiqua" w:eastAsia="Book Antiqua" w:hAnsi="Book Antiqua" w:cs="Book Antiqua"/>
          <w:color w:val="000000"/>
        </w:rPr>
        <w:t>, United States</w:t>
      </w:r>
      <w:r w:rsidRPr="00623D6F">
        <w:rPr>
          <w:rFonts w:ascii="Book Antiqua" w:eastAsia="Book Antiqua" w:hAnsi="Book Antiqua" w:cs="Book Antiqua"/>
          <w:color w:val="000000"/>
        </w:rPr>
        <w:t xml:space="preserve">). The results are presented as relative risk ratios with 95% confidence intervals. </w:t>
      </w:r>
      <w:r w:rsidRPr="00623D6F">
        <w:rPr>
          <w:rFonts w:ascii="Book Antiqua" w:eastAsia="Book Antiqua" w:hAnsi="Book Antiqua" w:cs="Book Antiqua"/>
          <w:i/>
          <w:iCs/>
          <w:color w:val="000000"/>
        </w:rPr>
        <w:t xml:space="preserve">P </w:t>
      </w:r>
      <w:r w:rsidRPr="00623D6F">
        <w:rPr>
          <w:rFonts w:ascii="Book Antiqua" w:eastAsia="Book Antiqua" w:hAnsi="Book Antiqua" w:cs="Book Antiqua"/>
          <w:color w:val="000000"/>
        </w:rPr>
        <w:t>values &lt; 0.05 were considered to indicate statistical significance.</w:t>
      </w:r>
    </w:p>
    <w:p w14:paraId="1BCEE1E3" w14:textId="77777777" w:rsidR="0038018A" w:rsidRPr="00623D6F" w:rsidRDefault="0038018A">
      <w:pPr>
        <w:spacing w:line="360" w:lineRule="auto"/>
        <w:ind w:firstLine="720"/>
        <w:jc w:val="both"/>
      </w:pPr>
    </w:p>
    <w:p w14:paraId="6ABC8E57" w14:textId="77777777" w:rsidR="0038018A" w:rsidRPr="00623D6F" w:rsidRDefault="00C220BD">
      <w:pPr>
        <w:spacing w:line="360" w:lineRule="auto"/>
        <w:jc w:val="both"/>
      </w:pPr>
      <w:r w:rsidRPr="00623D6F">
        <w:rPr>
          <w:rFonts w:ascii="Book Antiqua" w:eastAsia="Book Antiqua" w:hAnsi="Book Antiqua" w:cs="Book Antiqua"/>
          <w:b/>
          <w:caps/>
          <w:color w:val="000000"/>
          <w:u w:val="single"/>
        </w:rPr>
        <w:t>RESULTS</w:t>
      </w:r>
    </w:p>
    <w:p w14:paraId="5EAD8761" w14:textId="77777777" w:rsidR="0038018A" w:rsidRPr="00623D6F" w:rsidRDefault="00C220BD">
      <w:pPr>
        <w:spacing w:line="360" w:lineRule="auto"/>
        <w:jc w:val="both"/>
      </w:pPr>
      <w:r w:rsidRPr="00623D6F">
        <w:rPr>
          <w:rFonts w:ascii="Book Antiqua" w:eastAsia="Book Antiqua" w:hAnsi="Book Antiqua" w:cs="Book Antiqua"/>
          <w:color w:val="000000"/>
        </w:rPr>
        <w:t>Of the 200000 included patients, 59.2% (</w:t>
      </w:r>
      <w:r w:rsidRPr="00623D6F">
        <w:rPr>
          <w:rFonts w:ascii="Book Antiqua" w:eastAsia="Book Antiqua" w:hAnsi="Book Antiqua" w:cs="Book Antiqua"/>
          <w:i/>
          <w:iCs/>
          <w:color w:val="000000"/>
        </w:rPr>
        <w:t>n</w:t>
      </w:r>
      <w:r w:rsidRPr="00623D6F">
        <w:rPr>
          <w:rFonts w:ascii="Book Antiqua" w:eastAsia="Book Antiqua" w:hAnsi="Book Antiqua" w:cs="Book Antiqua"/>
          <w:color w:val="000000"/>
        </w:rPr>
        <w:t xml:space="preserve"> = 118313) were female, and the peak age at GERD-related medical utilization was between 60 and 69 years (24.6%, </w:t>
      </w:r>
      <w:r w:rsidRPr="00623D6F">
        <w:rPr>
          <w:rFonts w:ascii="Book Antiqua" w:eastAsia="Book Antiqua" w:hAnsi="Book Antiqua" w:cs="Book Antiqua"/>
          <w:i/>
          <w:iCs/>
          <w:color w:val="000000"/>
        </w:rPr>
        <w:t>n</w:t>
      </w:r>
      <w:r w:rsidRPr="00623D6F">
        <w:rPr>
          <w:rFonts w:ascii="Book Antiqua" w:eastAsia="Book Antiqua" w:hAnsi="Book Antiqua" w:cs="Book Antiqua"/>
          <w:color w:val="000000"/>
        </w:rPr>
        <w:t xml:space="preserve"> = 49190) (Table 1). </w:t>
      </w:r>
    </w:p>
    <w:p w14:paraId="422F8408"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 xml:space="preserve">The GC test revealed the presence of an intricate correlation between various MFAPs and GERD-related medical utilizations (Figure 1). Each factor was directly or indirectly associated with GERD-related medical utilization (Figure 1A). Figure 1B shows the findings of the GC test representing the relationship between the selected MFAPs and </w:t>
      </w:r>
      <w:r w:rsidRPr="00623D6F">
        <w:rPr>
          <w:rFonts w:ascii="Book Antiqua" w:eastAsia="Book Antiqua" w:hAnsi="Book Antiqua" w:cs="Book Antiqua"/>
          <w:color w:val="000000"/>
        </w:rPr>
        <w:lastRenderedPageBreak/>
        <w:t>GERD-related medical utilization. Based on these correlations, the BIC and AIC values of each model for GED-related medical utilization were analyzed. The most valid and effective combination for the predictive model, with the lowest BIC and AIC values (8.33 and 14.0, respectively), included AT, WS, SD,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and CO (Supplementary Table 1).</w:t>
      </w:r>
    </w:p>
    <w:p w14:paraId="33E9010C"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The prediction model for the number of GERD-related medical utilizations, developed using the univariate GAM for the three major MFAPs, is shown in Figure 2. The trend between GERD-related medical utilizations and AT indicated that GERD is less likely to develop within an AT of 5-7 °C. However, a gradual S-shape curve between 5.4 °C and 22.4 °C, corresponding to the IQR of AT could be observed. For AT &gt; 23 °C, GERD-related medical utilizations tended to decrease; this may be attributed to people’s tendency not to go out in extreme weather conditions (Figure 2A).</w:t>
      </w:r>
    </w:p>
    <w:p w14:paraId="0CD9F08B"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Interestingly, at 3-26 µg/m</w:t>
      </w:r>
      <w:r w:rsidRPr="00623D6F">
        <w:rPr>
          <w:rFonts w:ascii="Book Antiqua" w:eastAsia="Book Antiqua" w:hAnsi="Book Antiqua" w:cs="Book Antiqua"/>
          <w:color w:val="000000"/>
          <w:szCs w:val="30"/>
          <w:vertAlign w:val="superscript"/>
        </w:rPr>
        <w:t>3</w:t>
      </w:r>
      <w:r w:rsidRPr="00623D6F">
        <w:rPr>
          <w:rFonts w:ascii="Book Antiqua" w:eastAsia="Book Antiqua" w:hAnsi="Book Antiqua" w:cs="Book Antiqua"/>
          <w:color w:val="000000"/>
        </w:rPr>
        <w:t>, the IQR for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a higher number of GERD-related medical utilizations were observed. Medical utilization began to decrease when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levels exceeded 40 µg/m</w:t>
      </w:r>
      <w:r w:rsidRPr="00623D6F">
        <w:rPr>
          <w:rFonts w:ascii="Book Antiqua" w:eastAsia="Book Antiqua" w:hAnsi="Book Antiqua" w:cs="Book Antiqua"/>
          <w:color w:val="000000"/>
          <w:szCs w:val="30"/>
          <w:vertAlign w:val="superscript"/>
        </w:rPr>
        <w:t>3</w:t>
      </w:r>
      <w:r w:rsidRPr="00623D6F">
        <w:rPr>
          <w:rFonts w:ascii="Book Antiqua" w:eastAsia="Book Antiqua" w:hAnsi="Book Antiqua" w:cs="Book Antiqua"/>
          <w:color w:val="000000"/>
        </w:rPr>
        <w:t>. This pattern was similar to that observed for fine dust related diseases (Figure 2B). The positive relative risk for GERD-related medical utilizations was between 0.4 and 0.6 ppm (IQR of CO). Within this range, the number of GERD-related medical utilizations increased rapidly according to CO concentration in a similar fashion as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(Figure 2C).</w:t>
      </w:r>
    </w:p>
    <w:p w14:paraId="1FEDCD67"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For the five selected variables (AT, WS, SD,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and CO), lags were analyzed using GAM with cubic spline analysis to identify the manner in which prolonged exposure to each variable affects GERD-related medical utilization (Supplementary Table 3). All five selected MFAPs showed a maximum lag period of 9 d; no further effect was observed beyond this time point in multivariate cubic spline analysis (Figure 3). The effects were relatively stable up to 7 d and then declined over time. Results were consistent for the five MFAPs in the multivariate analyses. Box-plot models of estimated risk for GERD-related medical utilization concerning the five MFAPs are shown in Figure 3.</w:t>
      </w:r>
    </w:p>
    <w:p w14:paraId="00EDB825"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 xml:space="preserve">Figure 4 shows the three-dimensional graphs of the prediction models for GERD-related medical utilization using the five selected MFAPs. The estimated risk according </w:t>
      </w:r>
      <w:r w:rsidRPr="00623D6F">
        <w:rPr>
          <w:rFonts w:ascii="Book Antiqua" w:eastAsia="Book Antiqua" w:hAnsi="Book Antiqua" w:cs="Book Antiqua"/>
          <w:color w:val="000000"/>
        </w:rPr>
        <w:lastRenderedPageBreak/>
        <w:t>to the values and time lags of each variable was included. In univariate GAM, a nonlinear relationship between medical utilizations due to GERD and MFAP was observed, and in multivariable GAM, a consistent relationship up to 9 days of MFAP and medical utilizations was found.</w:t>
      </w:r>
    </w:p>
    <w:p w14:paraId="3ABE211C" w14:textId="77777777" w:rsidR="0038018A" w:rsidRPr="00623D6F" w:rsidRDefault="0038018A">
      <w:pPr>
        <w:spacing w:line="360" w:lineRule="auto"/>
        <w:jc w:val="both"/>
      </w:pPr>
    </w:p>
    <w:p w14:paraId="2B08F575" w14:textId="77777777" w:rsidR="0038018A" w:rsidRPr="00623D6F" w:rsidRDefault="00C220BD">
      <w:pPr>
        <w:spacing w:line="360" w:lineRule="auto"/>
        <w:jc w:val="both"/>
      </w:pPr>
      <w:r w:rsidRPr="00623D6F">
        <w:rPr>
          <w:rFonts w:ascii="Book Antiqua" w:eastAsia="Book Antiqua" w:hAnsi="Book Antiqua" w:cs="Book Antiqua"/>
          <w:b/>
          <w:caps/>
          <w:color w:val="000000"/>
          <w:u w:val="single"/>
        </w:rPr>
        <w:t>DISCUSSION</w:t>
      </w:r>
    </w:p>
    <w:p w14:paraId="11BD56FC" w14:textId="42A2C6D6" w:rsidR="0038018A" w:rsidRPr="00623D6F" w:rsidRDefault="00C220BD">
      <w:pPr>
        <w:spacing w:line="360" w:lineRule="auto"/>
        <w:jc w:val="both"/>
      </w:pPr>
      <w:r w:rsidRPr="00623D6F">
        <w:rPr>
          <w:rFonts w:ascii="Book Antiqua" w:eastAsia="Book Antiqua" w:hAnsi="Book Antiqua" w:cs="Book Antiqua"/>
          <w:color w:val="000000"/>
        </w:rPr>
        <w:t xml:space="preserve">In this study we developed a model using five MFAPs, which showed a significant correlation between these </w:t>
      </w:r>
      <w:r w:rsidRPr="00623D6F">
        <w:rPr>
          <w:rFonts w:ascii="Book Antiqua" w:eastAsia="Book Antiqua" w:hAnsi="Book Antiqua"/>
          <w:color w:val="000000"/>
        </w:rPr>
        <w:t>fiv</w:t>
      </w:r>
      <w:r w:rsidRPr="00623D6F">
        <w:rPr>
          <w:rFonts w:ascii="Book Antiqua" w:eastAsia="Book Antiqua" w:hAnsi="Book Antiqua"/>
        </w:rPr>
        <w:t xml:space="preserve">e </w:t>
      </w:r>
      <w:r w:rsidR="00A61237" w:rsidRPr="00623D6F">
        <w:rPr>
          <w:rFonts w:ascii="Book Antiqua" w:eastAsia="Book Antiqua" w:hAnsi="Book Antiqua"/>
        </w:rPr>
        <w:t>(</w:t>
      </w:r>
      <w:r w:rsidR="00A61237" w:rsidRPr="00623D6F">
        <w:rPr>
          <w:rFonts w:ascii="Book Antiqua" w:eastAsia="Malgun Gothic" w:hAnsi="Book Antiqua"/>
          <w:lang w:eastAsia="ko-KR"/>
        </w:rPr>
        <w:t>MFAPs)</w:t>
      </w:r>
      <w:r w:rsidRPr="00623D6F">
        <w:rPr>
          <w:rFonts w:ascii="Book Antiqua" w:eastAsia="Book Antiqua" w:hAnsi="Book Antiqua"/>
        </w:rPr>
        <w:t xml:space="preserve"> and</w:t>
      </w:r>
      <w:r w:rsidRPr="00623D6F">
        <w:rPr>
          <w:rFonts w:ascii="Book Antiqua" w:eastAsia="Book Antiqua" w:hAnsi="Book Antiqua" w:cs="Book Antiqua"/>
          <w:color w:val="000000"/>
        </w:rPr>
        <w:t xml:space="preserve"> GERD-related medical utilization. Furthermore, two MFPAs,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and CO, were identified as risk factors for GERD.</w:t>
      </w:r>
    </w:p>
    <w:p w14:paraId="27BEADFB"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Various recent studies have focused on the relationship between meteorological factors and disease. Several commonly occurring diseases have been shown to be associated with meteorological factors; for example, pneumonia was found to be related to AT and the range of diurnal temperature</w:t>
      </w:r>
      <w:r w:rsidRPr="00623D6F">
        <w:rPr>
          <w:rFonts w:ascii="Book Antiqua" w:eastAsia="Book Antiqua" w:hAnsi="Book Antiqua" w:cs="Book Antiqua"/>
          <w:color w:val="000000"/>
          <w:szCs w:val="30"/>
          <w:vertAlign w:val="superscript"/>
        </w:rPr>
        <w:t>[2,6,19]</w:t>
      </w:r>
      <w:r w:rsidRPr="00623D6F">
        <w:rPr>
          <w:rFonts w:ascii="Book Antiqua" w:eastAsia="Book Antiqua" w:hAnsi="Book Antiqua" w:cs="Book Antiqua"/>
          <w:color w:val="000000"/>
        </w:rPr>
        <w:t>. Out-of-hospital cardiac arrest is related to temperature, humidity, vapor pressure, and wind speed, and also season-dependent</w:t>
      </w:r>
      <w:r w:rsidRPr="00623D6F">
        <w:rPr>
          <w:rFonts w:ascii="Book Antiqua" w:eastAsia="Book Antiqua" w:hAnsi="Book Antiqua" w:cs="Book Antiqua"/>
          <w:color w:val="000000"/>
          <w:szCs w:val="30"/>
          <w:vertAlign w:val="superscript"/>
        </w:rPr>
        <w:t>[3,5,20,21]</w:t>
      </w:r>
      <w:r w:rsidRPr="00623D6F">
        <w:rPr>
          <w:rFonts w:ascii="Book Antiqua" w:eastAsia="Book Antiqua" w:hAnsi="Book Antiqua" w:cs="Book Antiqua"/>
          <w:color w:val="000000"/>
        </w:rPr>
        <w:t>. In this same context, many studies have reported on infectious diseases, strokes, and even fractures</w:t>
      </w:r>
      <w:r w:rsidRPr="00623D6F">
        <w:rPr>
          <w:rFonts w:ascii="Book Antiqua" w:eastAsia="Book Antiqua" w:hAnsi="Book Antiqua" w:cs="Book Antiqua"/>
          <w:color w:val="000000"/>
          <w:szCs w:val="30"/>
          <w:vertAlign w:val="superscript"/>
        </w:rPr>
        <w:t>[1,4,7,22,23]</w:t>
      </w:r>
      <w:r w:rsidRPr="00623D6F">
        <w:rPr>
          <w:rFonts w:ascii="Book Antiqua" w:eastAsia="Book Antiqua" w:hAnsi="Book Antiqua" w:cs="Book Antiqua"/>
          <w:color w:val="000000"/>
        </w:rPr>
        <w:t xml:space="preserve">. However, most of them focused on acute-phase medical diseases, which are considered appropriate targets for meteorological research owing to rapid disease progression, precise diagnosis, and clear medical course. </w:t>
      </w:r>
    </w:p>
    <w:p w14:paraId="59254502"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GERD has a high prevalence and can be treated with medication, even though surgery is required in some cases</w:t>
      </w:r>
      <w:r w:rsidRPr="00623D6F">
        <w:rPr>
          <w:rFonts w:ascii="Book Antiqua" w:eastAsia="Book Antiqua" w:hAnsi="Book Antiqua" w:cs="Book Antiqua"/>
          <w:color w:val="000000"/>
          <w:szCs w:val="30"/>
          <w:vertAlign w:val="superscript"/>
        </w:rPr>
        <w:t>[13]</w:t>
      </w:r>
      <w:r w:rsidRPr="00623D6F">
        <w:rPr>
          <w:rFonts w:ascii="Book Antiqua" w:eastAsia="Book Antiqua" w:hAnsi="Book Antiqua" w:cs="Book Antiqua"/>
          <w:color w:val="000000"/>
        </w:rPr>
        <w:t>. GERD usually can become chronic, and patients usually visit the hospital when the symptoms are severe. In general, PPIs are administered only to patients with clinical symptoms without special diagnostic examinations; when symptoms are severe or drug therapy ineffective, examinations such as endoscopy are also performed</w:t>
      </w:r>
      <w:r w:rsidRPr="00623D6F">
        <w:rPr>
          <w:rFonts w:ascii="Book Antiqua" w:eastAsia="Book Antiqua" w:hAnsi="Book Antiqua" w:cs="Book Antiqua"/>
          <w:color w:val="000000"/>
          <w:szCs w:val="30"/>
          <w:vertAlign w:val="superscript"/>
        </w:rPr>
        <w:t>[13]</w:t>
      </w:r>
      <w:r w:rsidRPr="00623D6F">
        <w:rPr>
          <w:rFonts w:ascii="Book Antiqua" w:eastAsia="Book Antiqua" w:hAnsi="Book Antiqua" w:cs="Book Antiqua"/>
          <w:color w:val="000000"/>
        </w:rPr>
        <w:t>. Several methods, such as observation after administering PPI based on symptoms, esophagogastroduodenoscopy, or pH monitoring, are used to diagnose GERD. Manometry and esophagogram can be performed for differential diagnosis. In this study, patients who had more than one of the diagnostic examination codes (</w:t>
      </w:r>
      <w:r w:rsidRPr="00623D6F">
        <w:rPr>
          <w:rFonts w:ascii="Book Antiqua" w:eastAsia="Book Antiqua" w:hAnsi="Book Antiqua" w:cs="Book Antiqua"/>
          <w:i/>
          <w:iCs/>
          <w:color w:val="000000"/>
        </w:rPr>
        <w:t>i.e.</w:t>
      </w:r>
      <w:r w:rsidRPr="00623D6F">
        <w:rPr>
          <w:rFonts w:ascii="Book Antiqua" w:eastAsia="Book Antiqua" w:hAnsi="Book Antiqua" w:cs="Book Antiqua"/>
          <w:color w:val="000000"/>
        </w:rPr>
        <w:t xml:space="preserve">, codes for esophagogastroduodenoscopy, </w:t>
      </w:r>
      <w:r w:rsidRPr="00623D6F">
        <w:rPr>
          <w:rFonts w:ascii="Book Antiqua" w:eastAsia="Book Antiqua" w:hAnsi="Book Antiqua" w:cs="Book Antiqua"/>
          <w:color w:val="000000"/>
        </w:rPr>
        <w:lastRenderedPageBreak/>
        <w:t>esophagogram, manometry, and pH monitoring) were defined as an occurrence in order to improve the accuracy of diagnosis, excluding empirical PPI administration or PPI administration for the treatment of other diseases. Besides, in the case of chronic and non-life-threatening medical conditions such as GERD, the national medical environment, insurance coverage, and access to medical care might have a significant  impact on medical care utilization. In Korea, the entire national medical insurance system is implemented, medical accessibility is high, and when GERD is suspected, PPI administration, various examinations, and fundoplication are all covered by national insurance. In particular, in the case of urban areas, the race of the population and medical insurance coverage is very homogenous, and medical accessibility is very high due to the high population density. Notably, the use of endoscopy is widespread, owing to its low cost and easy accessibility; thus, it is unlikely that many patients were excluded based on this examination</w:t>
      </w:r>
      <w:r w:rsidRPr="00623D6F">
        <w:rPr>
          <w:rFonts w:ascii="Book Antiqua" w:eastAsia="Book Antiqua" w:hAnsi="Book Antiqua" w:cs="Book Antiqua"/>
          <w:color w:val="000000"/>
          <w:szCs w:val="30"/>
          <w:vertAlign w:val="superscript"/>
        </w:rPr>
        <w:t>[24]</w:t>
      </w:r>
      <w:r w:rsidRPr="00623D6F">
        <w:rPr>
          <w:rFonts w:ascii="Book Antiqua" w:eastAsia="Book Antiqua" w:hAnsi="Book Antiqua" w:cs="Book Antiqua"/>
          <w:color w:val="000000"/>
        </w:rPr>
        <w:t>. Therefore, the national medical environment is thought to affect similarly to the entire study group. Additionally, to confirm the time at which GERD symptoms became severe, the day of PPI first administration was defined as the date of GERD occurrence. Therefore, the cohort included in the present study comprised patients who received PPIs after a correct GERD diagnosis.</w:t>
      </w:r>
    </w:p>
    <w:p w14:paraId="05D53ADE"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A study from Taiwan (China) reported that humidity correlates to GERD monthly incidence</w:t>
      </w:r>
      <w:r w:rsidRPr="00623D6F">
        <w:rPr>
          <w:rFonts w:ascii="Book Antiqua" w:eastAsia="Book Antiqua" w:hAnsi="Book Antiqua" w:cs="Book Antiqua"/>
          <w:color w:val="000000"/>
          <w:szCs w:val="30"/>
          <w:vertAlign w:val="superscript"/>
        </w:rPr>
        <w:t>[14]</w:t>
      </w:r>
      <w:r w:rsidRPr="00623D6F">
        <w:rPr>
          <w:rFonts w:ascii="Book Antiqua" w:eastAsia="Book Antiqua" w:hAnsi="Book Antiqua" w:cs="Book Antiqua"/>
          <w:color w:val="000000"/>
        </w:rPr>
        <w:t>. However, Taiwan is a tropical region with extremely high temperature and humidity levels throughout the year, leading to difficulties in observing seasonal variation</w:t>
      </w:r>
      <w:r w:rsidRPr="00623D6F">
        <w:rPr>
          <w:rFonts w:ascii="Book Antiqua" w:eastAsia="Book Antiqua" w:hAnsi="Book Antiqua" w:cs="Book Antiqua"/>
          <w:color w:val="000000"/>
          <w:szCs w:val="30"/>
          <w:vertAlign w:val="superscript"/>
        </w:rPr>
        <w:t>[25,26]</w:t>
      </w:r>
      <w:r w:rsidRPr="00623D6F">
        <w:rPr>
          <w:rFonts w:ascii="Book Antiqua" w:eastAsia="Book Antiqua" w:hAnsi="Book Antiqua" w:cs="Book Antiqua"/>
          <w:color w:val="000000"/>
        </w:rPr>
        <w:t>. In contrast, the Republic of Korea has four distinct seasons and difference in MFAPs types among seasons is significant. Moreover, the Korea Meteorological Administration conducts detailed measurements by region, while the National Health Insurance provides extensive data on the total population. Thus, the Republic of Korea was a suitable area for this study. However, numerous meteorological studies have been limited to partial analyses or univariate analyses of meteorological variables without consideration of their complexity</w:t>
      </w:r>
      <w:r w:rsidRPr="00623D6F">
        <w:rPr>
          <w:rFonts w:ascii="Book Antiqua" w:eastAsia="Book Antiqua" w:hAnsi="Book Antiqua" w:cs="Book Antiqua"/>
          <w:color w:val="000000"/>
          <w:szCs w:val="30"/>
          <w:vertAlign w:val="superscript"/>
        </w:rPr>
        <w:t>[3-5,7]</w:t>
      </w:r>
      <w:r w:rsidRPr="00623D6F">
        <w:rPr>
          <w:rFonts w:ascii="Book Antiqua" w:eastAsia="Book Antiqua" w:hAnsi="Book Antiqua" w:cs="Book Antiqua"/>
          <w:color w:val="000000"/>
        </w:rPr>
        <w:t>. However, MFAPs are closely related to each other. For example,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is known to be negatively correlated with WS, SD, and </w:t>
      </w:r>
      <w:r w:rsidRPr="00623D6F">
        <w:rPr>
          <w:rFonts w:ascii="Book Antiqua" w:eastAsia="Book Antiqua" w:hAnsi="Book Antiqua" w:cs="Book Antiqua"/>
          <w:color w:val="000000"/>
        </w:rPr>
        <w:lastRenderedPageBreak/>
        <w:t>daily rainfall, and positively correlated with humidity and vapor pressure</w:t>
      </w:r>
      <w:r w:rsidRPr="00623D6F">
        <w:rPr>
          <w:rFonts w:ascii="Book Antiqua" w:eastAsia="Book Antiqua" w:hAnsi="Book Antiqua" w:cs="Book Antiqua"/>
          <w:color w:val="000000"/>
          <w:szCs w:val="30"/>
          <w:vertAlign w:val="superscript"/>
        </w:rPr>
        <w:t>[8,9,27]</w:t>
      </w:r>
      <w:r w:rsidRPr="00623D6F">
        <w:rPr>
          <w:rFonts w:ascii="Book Antiqua" w:eastAsia="Book Antiqua" w:hAnsi="Book Antiqua" w:cs="Book Antiqua"/>
          <w:color w:val="000000"/>
        </w:rPr>
        <w:t xml:space="preserve">. Therefore, it is necessary to consider these complex correlations in MFAPs analysis. To compensate for this complexity, we investigated the correlation of GERD-related medical utilization with all MFAPs using a GC test, and then selected the appropriate model based on BIC and AIC values. Afterwards, we run the GC test once again to determine the adequacy of the selected model. </w:t>
      </w:r>
    </w:p>
    <w:p w14:paraId="604001A8"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The analysis of the correlation between MFAPs and GERD-related medical utilization showed that a model combining AT, SD, WS,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and CO, was the most suitable for prediction. The number of GERD-related medical utilizations increased as AT dropped to sub-zero values or when AT was &gt; 10 °C. There is no direct evidence that an increase in AT is a risk factor for GERD. However, as AT increases, the number of outdoor activities that individuals partake in also increases. Additionally, eating habits may change, increasing the intake of fatty foods. Fatty food and soda intake are well-known GERD risk factors; thus, dietary changes as a result of climate variations could explain the increase in GERD-related medical utilization</w:t>
      </w:r>
      <w:r w:rsidRPr="00623D6F">
        <w:rPr>
          <w:rFonts w:ascii="Book Antiqua" w:eastAsia="Book Antiqua" w:hAnsi="Book Antiqua" w:cs="Book Antiqua"/>
          <w:color w:val="000000"/>
          <w:szCs w:val="20"/>
          <w:vertAlign w:val="superscript"/>
        </w:rPr>
        <w:t>[28]</w:t>
      </w:r>
      <w:r w:rsidRPr="00623D6F">
        <w:rPr>
          <w:rFonts w:ascii="Book Antiqua" w:eastAsia="Book Antiqua" w:hAnsi="Book Antiqua" w:cs="Book Antiqua"/>
          <w:color w:val="000000"/>
        </w:rPr>
        <w:t>.</w:t>
      </w:r>
    </w:p>
    <w:p w14:paraId="128C6DEA"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Some studies have shown that cold temperatures are associated with the development of respiratory diseases</w:t>
      </w:r>
      <w:r w:rsidRPr="00623D6F">
        <w:rPr>
          <w:rFonts w:ascii="Book Antiqua" w:eastAsia="Book Antiqua" w:hAnsi="Book Antiqua" w:cs="Book Antiqua"/>
          <w:color w:val="000000"/>
          <w:szCs w:val="30"/>
          <w:vertAlign w:val="superscript"/>
        </w:rPr>
        <w:t>[6,29]</w:t>
      </w:r>
      <w:r w:rsidRPr="00623D6F">
        <w:rPr>
          <w:rFonts w:ascii="Book Antiqua" w:eastAsia="Book Antiqua" w:hAnsi="Book Antiqua" w:cs="Book Antiqua"/>
          <w:color w:val="000000"/>
        </w:rPr>
        <w:t>. Coughing, the most commonly reported symptom of respiratory disease, leads to increased abdominal pressure, which may result in GERD development or a worsening of its symptoms. Coughing has been associated with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levels as well as cold temperatures</w:t>
      </w:r>
      <w:r w:rsidRPr="00623D6F">
        <w:rPr>
          <w:rFonts w:ascii="Book Antiqua" w:eastAsia="Book Antiqua" w:hAnsi="Book Antiqua" w:cs="Book Antiqua"/>
          <w:color w:val="000000"/>
          <w:szCs w:val="30"/>
          <w:vertAlign w:val="superscript"/>
        </w:rPr>
        <w:t>[30,31]</w:t>
      </w:r>
      <w:r w:rsidRPr="00623D6F">
        <w:rPr>
          <w:rFonts w:ascii="Book Antiqua" w:eastAsia="Book Antiqua" w:hAnsi="Book Antiqua" w:cs="Book Antiqua"/>
          <w:color w:val="000000"/>
        </w:rPr>
        <w:t>, while higher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concentrations can cause a cough, which can likewise cause or worsen GERD symptoms.</w:t>
      </w:r>
    </w:p>
    <w:p w14:paraId="3061625B"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enters the circulatory system directly through the alveoli, and causes cardiac and respiratory diseases through vascular inflammation</w:t>
      </w:r>
      <w:r w:rsidRPr="00623D6F">
        <w:rPr>
          <w:rFonts w:ascii="Book Antiqua" w:eastAsia="Book Antiqua" w:hAnsi="Book Antiqua" w:cs="Book Antiqua"/>
          <w:color w:val="000000"/>
          <w:szCs w:val="30"/>
          <w:vertAlign w:val="superscript"/>
        </w:rPr>
        <w:t>[32]</w:t>
      </w:r>
      <w:r w:rsidRPr="00623D6F">
        <w:rPr>
          <w:rFonts w:ascii="Book Antiqua" w:eastAsia="Book Antiqua" w:hAnsi="Book Antiqua" w:cs="Book Antiqua"/>
          <w:color w:val="000000"/>
        </w:rPr>
        <w:t>. In mice, particulate matter was found to cause oxidative stress or inflammatory changes through its influence on the microbiome in the gastrointestinal tract</w:t>
      </w:r>
      <w:r w:rsidRPr="00623D6F">
        <w:rPr>
          <w:rFonts w:ascii="Book Antiqua" w:eastAsia="Book Antiqua" w:hAnsi="Book Antiqua" w:cs="Book Antiqua"/>
          <w:color w:val="000000"/>
          <w:szCs w:val="30"/>
          <w:vertAlign w:val="superscript"/>
        </w:rPr>
        <w:t>[33,34]</w:t>
      </w:r>
      <w:r w:rsidRPr="00623D6F">
        <w:rPr>
          <w:rFonts w:ascii="Book Antiqua" w:eastAsia="Book Antiqua" w:hAnsi="Book Antiqua" w:cs="Book Antiqua"/>
          <w:color w:val="000000"/>
        </w:rPr>
        <w:t>. No study to date has focused on the direct mechanism through which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leads to GERD; thus, further research is needed to identify how these inflammatory and metabolic changes of the vascular or gastrointestinal tract affect the lower esophageal sphincter and surrounding structures. In terms of WS, GERD-related medical utilization increased with low WS (2-4 m/s), and </w:t>
      </w:r>
      <w:r w:rsidRPr="00623D6F">
        <w:rPr>
          <w:rFonts w:ascii="Book Antiqua" w:eastAsia="Book Antiqua" w:hAnsi="Book Antiqua" w:cs="Book Antiqua"/>
          <w:color w:val="000000"/>
        </w:rPr>
        <w:lastRenderedPageBreak/>
        <w:t>decreased as WS increased to values &gt; 4 m/s. Previous studies have reported that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concentration is negatively correlated to WS</w:t>
      </w:r>
      <w:r w:rsidRPr="00623D6F">
        <w:rPr>
          <w:rFonts w:ascii="Book Antiqua" w:eastAsia="Book Antiqua" w:hAnsi="Book Antiqua" w:cs="Book Antiqua"/>
          <w:color w:val="000000"/>
          <w:szCs w:val="30"/>
          <w:vertAlign w:val="superscript"/>
        </w:rPr>
        <w:t>[8,9,27]</w:t>
      </w:r>
      <w:r w:rsidRPr="00623D6F">
        <w:rPr>
          <w:rFonts w:ascii="Book Antiqua" w:eastAsia="Book Antiqua" w:hAnsi="Book Antiqua" w:cs="Book Antiqua"/>
          <w:color w:val="000000"/>
        </w:rPr>
        <w:t>. This may be due to the fact that strong winds result in decreasing PM</w:t>
      </w:r>
      <w:r w:rsidRPr="00623D6F">
        <w:rPr>
          <w:rFonts w:ascii="Book Antiqua" w:eastAsia="Book Antiqua" w:hAnsi="Book Antiqua" w:cs="Book Antiqua"/>
          <w:color w:val="000000"/>
          <w:szCs w:val="30"/>
          <w:vertAlign w:val="subscript"/>
        </w:rPr>
        <w:t xml:space="preserve">2.5 </w:t>
      </w:r>
      <w:r w:rsidRPr="00623D6F">
        <w:rPr>
          <w:rFonts w:ascii="Book Antiqua" w:eastAsia="Book Antiqua" w:hAnsi="Book Antiqua" w:cs="Book Antiqua"/>
          <w:color w:val="000000"/>
        </w:rPr>
        <w:t>levels, which in turn maintains GERD-related medical utilizations at a low level.</w:t>
      </w:r>
    </w:p>
    <w:p w14:paraId="23070751"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Chronic CO intoxication has been known to cause headache, confusion, nausea, vomiting, seizure, and muscle weakness</w:t>
      </w:r>
      <w:r w:rsidRPr="00623D6F">
        <w:rPr>
          <w:rFonts w:ascii="Book Antiqua" w:eastAsia="Book Antiqua" w:hAnsi="Book Antiqua" w:cs="Book Antiqua"/>
          <w:color w:val="000000"/>
          <w:szCs w:val="30"/>
          <w:vertAlign w:val="superscript"/>
        </w:rPr>
        <w:t>[35,36]</w:t>
      </w:r>
      <w:r w:rsidRPr="00623D6F">
        <w:rPr>
          <w:rFonts w:ascii="Book Antiqua" w:eastAsia="Book Antiqua" w:hAnsi="Book Antiqua" w:cs="Book Antiqua"/>
          <w:color w:val="000000"/>
        </w:rPr>
        <w:t>. In the present study, GERD-related medical utilizations increased with CO concentrations of 0.4-0.6 ppm. It is unknown how long-term exposure to low CO concentrations affects GERD occurrence or worsening of its symptoms. However, CO can bind to myoglobin with high affinity, resulting in muscle weakness, which may lead to lower esophageal sphincter pressure weakness</w:t>
      </w:r>
      <w:r w:rsidRPr="00623D6F">
        <w:rPr>
          <w:rFonts w:ascii="Book Antiqua" w:eastAsia="Book Antiqua" w:hAnsi="Book Antiqua" w:cs="Book Antiqua"/>
          <w:color w:val="000000"/>
          <w:szCs w:val="30"/>
          <w:vertAlign w:val="superscript"/>
        </w:rPr>
        <w:t>[37]</w:t>
      </w:r>
      <w:r w:rsidRPr="00623D6F">
        <w:rPr>
          <w:rFonts w:ascii="Book Antiqua" w:eastAsia="Book Antiqua" w:hAnsi="Book Antiqua" w:cs="Book Antiqua"/>
          <w:color w:val="000000"/>
        </w:rPr>
        <w:t>. Additionally, continued and repeated exposure may cause nausea or vomiting, which could increase the abdominal pressure and worsen GERD symptoms.</w:t>
      </w:r>
    </w:p>
    <w:p w14:paraId="5FB06220"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For all five variables selected for modelling, we observed that GERD-related medical utilizations rapidly decreased at values above the extreme or national weather MFAP alarm values. GERD-related medical utilizations decreased in hot weather conditions, when AT was &gt; 23 °C or on very windy days. Of note, in terms of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GERD-related medical utilizations decreased rapidly when the concentration exceeded 40 μg/m</w:t>
      </w:r>
      <w:r w:rsidRPr="00623D6F">
        <w:rPr>
          <w:rFonts w:ascii="Book Antiqua" w:eastAsia="Book Antiqua" w:hAnsi="Book Antiqua" w:cs="Book Antiqua"/>
          <w:color w:val="000000"/>
          <w:szCs w:val="30"/>
          <w:vertAlign w:val="superscript"/>
        </w:rPr>
        <w:t>3</w:t>
      </w:r>
      <w:r w:rsidRPr="00623D6F">
        <w:rPr>
          <w:rFonts w:ascii="Book Antiqua" w:eastAsia="Book Antiqua" w:hAnsi="Book Antiqua" w:cs="Book Antiqua"/>
          <w:color w:val="000000"/>
        </w:rPr>
        <w:t>. In Korea, a national alarm is issued when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concentration exceeds 40 μg/m</w:t>
      </w:r>
      <w:r w:rsidRPr="00623D6F">
        <w:rPr>
          <w:rFonts w:ascii="Book Antiqua" w:eastAsia="Book Antiqua" w:hAnsi="Book Antiqua" w:cs="Book Antiqua"/>
          <w:color w:val="000000"/>
          <w:szCs w:val="30"/>
          <w:vertAlign w:val="superscript"/>
        </w:rPr>
        <w:t>3</w:t>
      </w:r>
      <w:r w:rsidRPr="00623D6F">
        <w:rPr>
          <w:rFonts w:ascii="Book Antiqua" w:eastAsia="Book Antiqua" w:hAnsi="Book Antiqua" w:cs="Book Antiqua"/>
          <w:color w:val="000000"/>
        </w:rPr>
        <w:t>. Therefore, people pay more attention to personal protection, such as wearing a mask, and refrain from going out as much as possible. As GERD is not a life-threatening disease, the decrease in GERD-related medical utilizations as a result of national alarm, high temperatures, or strong winds is likely due to people’s behavioral changes. Furthermore, the time lag for the prediction model in this study was approximately 7 d. This finding suggests that GERD may occur or be aggravated by various MFAPs through different mechanisms, and it may take up to 7 d for patients to visit the hospital. As GERD is a relatively chronic disease with limited severity, this time lag appears reasonable.</w:t>
      </w:r>
    </w:p>
    <w:p w14:paraId="0CB14C35"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 xml:space="preserve">This study was subject to several limitations. First, although GERD is greatly affected by lifestyle, individual factors such as dietary habits, smoking status, or body mass </w:t>
      </w:r>
      <w:r w:rsidRPr="00623D6F">
        <w:rPr>
          <w:rFonts w:ascii="Book Antiqua" w:eastAsia="Book Antiqua" w:hAnsi="Book Antiqua" w:cs="Book Antiqua"/>
          <w:color w:val="000000"/>
        </w:rPr>
        <w:lastRenderedPageBreak/>
        <w:t>index were not investigated. More, the first visit date of the outpatient clinic, the duration for observation or medication, the first date for PPI, the dose of medication, the duration of hospitalization, and compliance for medication are important related factors for GERD-related medical utilization. Besides, the first date of PPI administration could be affected by other conditions of the patient or the physicians, such as interest in health or preference of medication. However, this study is a big-data study using NHIS data, and the detailed information about the patient’s situation, symptoms, compliance, preferences, or the physician’s preference is difficult to be identified. Therefore, in order to minimize the bias, the authors defined the first date of PPI administration, the most clearly definable, as the occurrence of GERD. Second, an inaccurate GERD diagnosis could result in bias, since PPI is commonly used for patients with only clinical symptoms but without a definite diagnostic GERD examination. However, this bias was reduced through the use of diagnostic examination codes (</w:t>
      </w:r>
      <w:r w:rsidRPr="00623D6F">
        <w:rPr>
          <w:rFonts w:ascii="Book Antiqua" w:eastAsia="Book Antiqua" w:hAnsi="Book Antiqua" w:cs="Book Antiqua"/>
          <w:i/>
          <w:iCs/>
          <w:color w:val="000000"/>
        </w:rPr>
        <w:t>i.e.</w:t>
      </w:r>
      <w:r w:rsidRPr="00623D6F">
        <w:rPr>
          <w:rFonts w:ascii="Book Antiqua" w:eastAsia="Book Antiqua" w:hAnsi="Book Antiqua" w:cs="Book Antiqua"/>
          <w:color w:val="000000"/>
        </w:rPr>
        <w:t>, codes for esophagogastroduodenoscopy, pH monitoring, manometry, or esophagogram). Third, individual MFAP exposure levels were not evaluated. This was an ecological study; thus, the ecological fallacy that people living in the same city are exposed to the same environment could not be ruled out. Finally, the mechanisms underlying the effect of each MFAP on GERD-related medical utilizations could not be identified. Further well-designed animal studies are needed to reveal the underlying mechanisms.</w:t>
      </w:r>
    </w:p>
    <w:p w14:paraId="08C533EC" w14:textId="77777777" w:rsidR="0038018A" w:rsidRPr="00623D6F" w:rsidRDefault="00C220BD">
      <w:pPr>
        <w:spacing w:line="360" w:lineRule="auto"/>
        <w:ind w:firstLineChars="100" w:firstLine="240"/>
        <w:jc w:val="both"/>
      </w:pPr>
      <w:r w:rsidRPr="00623D6F">
        <w:rPr>
          <w:rFonts w:ascii="Book Antiqua" w:eastAsia="Book Antiqua" w:hAnsi="Book Antiqua" w:cs="Book Antiqua"/>
          <w:color w:val="000000"/>
        </w:rPr>
        <w:t>To the best of our knowledge, this study is the first to identify the relationship between MFAPs and GERD-related medical utilization. Additionally, it involved a large sample size, with the 200000 cases being selected from areas with significant season-related variations in MFAPs levels. Finally, bias was reduced by sampling only in large cities with similar races, cultures, eating habits, economic levels, and accessibility to hospitals. Thus, the data analyzed in this study took into consideration the complexity of all MFAPs.</w:t>
      </w:r>
    </w:p>
    <w:p w14:paraId="10658DB9" w14:textId="77777777" w:rsidR="0038018A" w:rsidRPr="00623D6F" w:rsidRDefault="0038018A">
      <w:pPr>
        <w:spacing w:line="360" w:lineRule="auto"/>
        <w:jc w:val="both"/>
      </w:pPr>
    </w:p>
    <w:p w14:paraId="22FAB366" w14:textId="77777777" w:rsidR="0038018A" w:rsidRPr="00623D6F" w:rsidRDefault="00C220BD">
      <w:pPr>
        <w:spacing w:line="360" w:lineRule="auto"/>
        <w:jc w:val="both"/>
      </w:pPr>
      <w:r w:rsidRPr="00623D6F">
        <w:rPr>
          <w:rFonts w:ascii="Book Antiqua" w:eastAsia="Book Antiqua" w:hAnsi="Book Antiqua" w:cs="Book Antiqua"/>
          <w:b/>
          <w:caps/>
          <w:color w:val="000000"/>
          <w:u w:val="single"/>
        </w:rPr>
        <w:t>CONCLUSION</w:t>
      </w:r>
    </w:p>
    <w:p w14:paraId="06C10495" w14:textId="77777777" w:rsidR="0038018A" w:rsidRPr="00623D6F" w:rsidRDefault="00C220BD">
      <w:pPr>
        <w:spacing w:line="360" w:lineRule="auto"/>
        <w:jc w:val="both"/>
      </w:pPr>
      <w:r w:rsidRPr="00623D6F">
        <w:rPr>
          <w:rFonts w:ascii="Book Antiqua" w:eastAsia="Book Antiqua" w:hAnsi="Book Antiqua" w:cs="Book Antiqua"/>
          <w:color w:val="000000"/>
        </w:rPr>
        <w:lastRenderedPageBreak/>
        <w:t>In conclusion, our results suggest that a model using AT, SD, WS,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and CO has significant power for the prediction of GERD-related medical utilizations. Additionally, the aforementioned variables were found to be risk factors for GERD. The time-lag to disease progression was 7 d. Therefore, to reduce GERD occurrence and aggravation, environmental management and national alarm systems for each factor should be established. </w:t>
      </w:r>
    </w:p>
    <w:p w14:paraId="35D98845" w14:textId="77777777" w:rsidR="0038018A" w:rsidRPr="00623D6F" w:rsidRDefault="0038018A">
      <w:pPr>
        <w:spacing w:line="360" w:lineRule="auto"/>
        <w:jc w:val="both"/>
      </w:pPr>
    </w:p>
    <w:p w14:paraId="754D851F" w14:textId="77777777" w:rsidR="0038018A" w:rsidRPr="00623D6F" w:rsidRDefault="00C220BD">
      <w:pPr>
        <w:spacing w:line="360" w:lineRule="auto"/>
        <w:jc w:val="both"/>
      </w:pPr>
      <w:r w:rsidRPr="00623D6F">
        <w:rPr>
          <w:rFonts w:ascii="Book Antiqua" w:eastAsia="Book Antiqua" w:hAnsi="Book Antiqua" w:cs="Book Antiqua"/>
          <w:b/>
          <w:caps/>
          <w:color w:val="000000"/>
          <w:u w:val="single"/>
        </w:rPr>
        <w:t>ARTICLE HIGHLIGHTS</w:t>
      </w:r>
    </w:p>
    <w:p w14:paraId="39F8F019" w14:textId="77777777" w:rsidR="0038018A" w:rsidRPr="00623D6F" w:rsidRDefault="00C220BD">
      <w:pPr>
        <w:spacing w:line="360" w:lineRule="auto"/>
        <w:jc w:val="both"/>
      </w:pPr>
      <w:r w:rsidRPr="00623D6F">
        <w:rPr>
          <w:rFonts w:ascii="Book Antiqua" w:eastAsia="Book Antiqua" w:hAnsi="Book Antiqua" w:cs="Book Antiqua"/>
          <w:b/>
          <w:i/>
          <w:color w:val="000000"/>
        </w:rPr>
        <w:t>Research background</w:t>
      </w:r>
    </w:p>
    <w:p w14:paraId="1E1FB00C" w14:textId="77777777" w:rsidR="0038018A" w:rsidRPr="00623D6F" w:rsidRDefault="00C220BD">
      <w:pPr>
        <w:spacing w:line="360" w:lineRule="auto"/>
        <w:jc w:val="both"/>
      </w:pPr>
      <w:r w:rsidRPr="00623D6F">
        <w:rPr>
          <w:rFonts w:ascii="Book Antiqua" w:eastAsia="Book Antiqua" w:hAnsi="Book Antiqua" w:cs="Book Antiqua"/>
          <w:color w:val="000000"/>
        </w:rPr>
        <w:t xml:space="preserve">The incidence of gastroesophageal reflux disease (GERD) is rapidly increasing owing to changes in people’s lifestyle and eating habits. It is essential to perform the analyses after considering correlations among meteorological factors and air pollutants (MFAPs). </w:t>
      </w:r>
    </w:p>
    <w:p w14:paraId="40B18258" w14:textId="77777777" w:rsidR="0038018A" w:rsidRPr="00623D6F" w:rsidRDefault="0038018A">
      <w:pPr>
        <w:spacing w:line="360" w:lineRule="auto"/>
        <w:jc w:val="both"/>
      </w:pPr>
    </w:p>
    <w:p w14:paraId="74E23678" w14:textId="77777777" w:rsidR="0038018A" w:rsidRPr="00623D6F" w:rsidRDefault="00C220BD">
      <w:pPr>
        <w:spacing w:line="360" w:lineRule="auto"/>
        <w:jc w:val="both"/>
      </w:pPr>
      <w:r w:rsidRPr="00623D6F">
        <w:rPr>
          <w:rFonts w:ascii="Book Antiqua" w:eastAsia="Book Antiqua" w:hAnsi="Book Antiqua" w:cs="Book Antiqua"/>
          <w:b/>
          <w:i/>
          <w:color w:val="000000"/>
        </w:rPr>
        <w:t>Research motivation</w:t>
      </w:r>
    </w:p>
    <w:p w14:paraId="255084E5" w14:textId="77777777" w:rsidR="0038018A" w:rsidRPr="00623D6F" w:rsidRDefault="00C220BD">
      <w:pPr>
        <w:spacing w:line="360" w:lineRule="auto"/>
        <w:jc w:val="both"/>
      </w:pPr>
      <w:r w:rsidRPr="00623D6F">
        <w:rPr>
          <w:rFonts w:ascii="Book Antiqua" w:eastAsia="Book Antiqua" w:hAnsi="Book Antiqua" w:cs="Book Antiqua"/>
          <w:color w:val="000000"/>
        </w:rPr>
        <w:t xml:space="preserve">To date, only one study investigated the relationship between humidity and monthly GERD occurrence. However, it was limited by the exclusive inclusion of patients in study population. </w:t>
      </w:r>
    </w:p>
    <w:p w14:paraId="1D06FCDE" w14:textId="77777777" w:rsidR="0038018A" w:rsidRPr="00623D6F" w:rsidRDefault="0038018A">
      <w:pPr>
        <w:spacing w:line="360" w:lineRule="auto"/>
        <w:jc w:val="both"/>
      </w:pPr>
    </w:p>
    <w:p w14:paraId="301F828D" w14:textId="77777777" w:rsidR="0038018A" w:rsidRPr="00623D6F" w:rsidRDefault="00C220BD">
      <w:pPr>
        <w:spacing w:line="360" w:lineRule="auto"/>
        <w:jc w:val="both"/>
      </w:pPr>
      <w:r w:rsidRPr="00623D6F">
        <w:rPr>
          <w:rFonts w:ascii="Book Antiqua" w:eastAsia="Book Antiqua" w:hAnsi="Book Antiqua" w:cs="Book Antiqua"/>
          <w:b/>
          <w:i/>
          <w:color w:val="000000"/>
        </w:rPr>
        <w:t>Research objectives</w:t>
      </w:r>
    </w:p>
    <w:p w14:paraId="43E03403" w14:textId="77777777" w:rsidR="0038018A" w:rsidRPr="00623D6F" w:rsidRDefault="00C220BD">
      <w:pPr>
        <w:spacing w:line="360" w:lineRule="auto"/>
        <w:jc w:val="both"/>
      </w:pPr>
      <w:r w:rsidRPr="00623D6F">
        <w:rPr>
          <w:rFonts w:ascii="Book Antiqua" w:eastAsia="Book Antiqua" w:hAnsi="Book Antiqua" w:cs="Book Antiqua"/>
          <w:color w:val="000000"/>
        </w:rPr>
        <w:t>This work aims to identify MFAPs effect on GERD-related medical utilization.</w:t>
      </w:r>
    </w:p>
    <w:p w14:paraId="0B383A4C" w14:textId="77777777" w:rsidR="0038018A" w:rsidRPr="00623D6F" w:rsidRDefault="0038018A">
      <w:pPr>
        <w:spacing w:line="360" w:lineRule="auto"/>
        <w:jc w:val="both"/>
      </w:pPr>
    </w:p>
    <w:p w14:paraId="07213BF9" w14:textId="77777777" w:rsidR="0038018A" w:rsidRPr="00623D6F" w:rsidRDefault="00C220BD">
      <w:pPr>
        <w:spacing w:line="360" w:lineRule="auto"/>
        <w:jc w:val="both"/>
      </w:pPr>
      <w:r w:rsidRPr="00623D6F">
        <w:rPr>
          <w:rFonts w:ascii="Book Antiqua" w:eastAsia="Book Antiqua" w:hAnsi="Book Antiqua" w:cs="Book Antiqua"/>
          <w:b/>
          <w:i/>
          <w:color w:val="000000"/>
        </w:rPr>
        <w:t>Research methods</w:t>
      </w:r>
    </w:p>
    <w:p w14:paraId="21066213" w14:textId="77777777" w:rsidR="0038018A" w:rsidRPr="00623D6F" w:rsidRDefault="00C220BD">
      <w:pPr>
        <w:spacing w:line="360" w:lineRule="auto"/>
        <w:jc w:val="both"/>
      </w:pPr>
      <w:r w:rsidRPr="00623D6F">
        <w:rPr>
          <w:rFonts w:ascii="Book Antiqua" w:eastAsia="Book Antiqua" w:hAnsi="Book Antiqua" w:cs="Book Antiqua"/>
          <w:color w:val="000000"/>
        </w:rPr>
        <w:t>Data on GERD-related medical utilizations were obtained from the National Health Insurance Services. Data on meteorological factors were obtained from the National Climate Data Center of the Korea Meteorological Administration. A Granger causality test was performed to identify the MFAPs showing the strongest correlation with the daily number of GERD-related medical utilizations for GERD and to identify causality between the two time-series variables.</w:t>
      </w:r>
    </w:p>
    <w:p w14:paraId="0CED4999" w14:textId="77777777" w:rsidR="0038018A" w:rsidRPr="00623D6F" w:rsidRDefault="0038018A">
      <w:pPr>
        <w:spacing w:line="360" w:lineRule="auto"/>
        <w:jc w:val="both"/>
      </w:pPr>
    </w:p>
    <w:p w14:paraId="062D2C21" w14:textId="77777777" w:rsidR="0038018A" w:rsidRPr="00623D6F" w:rsidRDefault="00C220BD">
      <w:pPr>
        <w:spacing w:line="360" w:lineRule="auto"/>
        <w:jc w:val="both"/>
      </w:pPr>
      <w:r w:rsidRPr="00623D6F">
        <w:rPr>
          <w:rFonts w:ascii="Book Antiqua" w:eastAsia="Book Antiqua" w:hAnsi="Book Antiqua" w:cs="Book Antiqua"/>
          <w:b/>
          <w:i/>
          <w:color w:val="000000"/>
        </w:rPr>
        <w:lastRenderedPageBreak/>
        <w:t>Research results</w:t>
      </w:r>
    </w:p>
    <w:p w14:paraId="0E02B4A6" w14:textId="77777777" w:rsidR="0038018A" w:rsidRPr="00623D6F" w:rsidRDefault="00C220BD">
      <w:pPr>
        <w:spacing w:line="360" w:lineRule="auto"/>
        <w:jc w:val="both"/>
      </w:pPr>
      <w:r w:rsidRPr="00623D6F">
        <w:rPr>
          <w:rFonts w:ascii="Book Antiqua" w:eastAsia="Book Antiqua" w:hAnsi="Book Antiqua" w:cs="Book Antiqua"/>
          <w:color w:val="000000"/>
        </w:rPr>
        <w:t>GERD-related medical utilization increased with the levels of particulate matter with a diameter ≤ 2.5 μm (PM</w:t>
      </w:r>
      <w:r w:rsidRPr="00623D6F">
        <w:rPr>
          <w:rFonts w:ascii="Book Antiqua" w:eastAsia="Book Antiqua" w:hAnsi="Book Antiqua" w:cs="Book Antiqua"/>
          <w:color w:val="000000"/>
          <w:vertAlign w:val="subscript"/>
        </w:rPr>
        <w:t>2.5</w:t>
      </w:r>
      <w:r w:rsidRPr="00623D6F">
        <w:rPr>
          <w:rFonts w:ascii="Book Antiqua" w:eastAsia="Book Antiqua" w:hAnsi="Book Antiqua" w:cs="Book Antiqua"/>
          <w:color w:val="000000"/>
        </w:rPr>
        <w:t>) and carbon monoxide (CO). S-shaped and inverted U-shaped changes were observed in average temperature and air pollutants, respectively. The time lag of each variable was significant around nine days after exposure.</w:t>
      </w:r>
    </w:p>
    <w:p w14:paraId="18D902CC" w14:textId="77777777" w:rsidR="0038018A" w:rsidRPr="00623D6F" w:rsidRDefault="0038018A">
      <w:pPr>
        <w:spacing w:line="360" w:lineRule="auto"/>
        <w:jc w:val="both"/>
      </w:pPr>
    </w:p>
    <w:p w14:paraId="584D1251" w14:textId="77777777" w:rsidR="0038018A" w:rsidRPr="00623D6F" w:rsidRDefault="00C220BD">
      <w:pPr>
        <w:spacing w:line="360" w:lineRule="auto"/>
        <w:jc w:val="both"/>
      </w:pPr>
      <w:r w:rsidRPr="00623D6F">
        <w:rPr>
          <w:rFonts w:ascii="Book Antiqua" w:eastAsia="Book Antiqua" w:hAnsi="Book Antiqua" w:cs="Book Antiqua"/>
          <w:b/>
          <w:i/>
          <w:color w:val="000000"/>
        </w:rPr>
        <w:t>Research conclusions</w:t>
      </w:r>
    </w:p>
    <w:p w14:paraId="1FC48ED6" w14:textId="77777777" w:rsidR="0038018A" w:rsidRPr="00623D6F" w:rsidRDefault="00C220BD">
      <w:pPr>
        <w:spacing w:line="360" w:lineRule="auto"/>
        <w:jc w:val="both"/>
      </w:pPr>
      <w:r w:rsidRPr="00623D6F">
        <w:rPr>
          <w:rFonts w:ascii="Book Antiqua" w:eastAsia="Book Antiqua" w:hAnsi="Book Antiqua" w:cs="Book Antiqua"/>
          <w:color w:val="000000"/>
        </w:rPr>
        <w:t>Current study suggests that a model using average temperature, sunshine duration, wind speed, PM</w:t>
      </w:r>
      <w:r w:rsidRPr="00623D6F">
        <w:rPr>
          <w:rFonts w:ascii="Book Antiqua" w:eastAsia="Book Antiqua" w:hAnsi="Book Antiqua" w:cs="Book Antiqua"/>
          <w:color w:val="000000"/>
          <w:vertAlign w:val="subscript"/>
        </w:rPr>
        <w:t>2.5</w:t>
      </w:r>
      <w:r w:rsidRPr="00623D6F">
        <w:rPr>
          <w:rFonts w:ascii="Book Antiqua" w:eastAsia="Book Antiqua" w:hAnsi="Book Antiqua" w:cs="Book Antiqua"/>
          <w:color w:val="000000"/>
        </w:rPr>
        <w:t>, and CO has significant power for the prediction of GERD-related medical utilizations.</w:t>
      </w:r>
    </w:p>
    <w:p w14:paraId="52A86050" w14:textId="77777777" w:rsidR="0038018A" w:rsidRPr="00623D6F" w:rsidRDefault="0038018A">
      <w:pPr>
        <w:spacing w:line="360" w:lineRule="auto"/>
        <w:jc w:val="both"/>
      </w:pPr>
    </w:p>
    <w:p w14:paraId="2083BC39" w14:textId="77777777" w:rsidR="0038018A" w:rsidRPr="00623D6F" w:rsidRDefault="00C220BD">
      <w:pPr>
        <w:spacing w:line="360" w:lineRule="auto"/>
        <w:jc w:val="both"/>
      </w:pPr>
      <w:r w:rsidRPr="00623D6F">
        <w:rPr>
          <w:rFonts w:ascii="Book Antiqua" w:eastAsia="Book Antiqua" w:hAnsi="Book Antiqua" w:cs="Book Antiqua"/>
          <w:b/>
          <w:i/>
          <w:color w:val="000000"/>
        </w:rPr>
        <w:t>Research perspectives</w:t>
      </w:r>
    </w:p>
    <w:p w14:paraId="78D8A468" w14:textId="77777777" w:rsidR="0038018A" w:rsidRPr="00623D6F" w:rsidRDefault="00C220BD">
      <w:pPr>
        <w:spacing w:line="360" w:lineRule="auto"/>
        <w:jc w:val="both"/>
      </w:pPr>
      <w:r w:rsidRPr="00623D6F">
        <w:rPr>
          <w:rFonts w:ascii="Book Antiqua" w:eastAsia="Book Antiqua" w:hAnsi="Book Antiqua" w:cs="Book Antiqua"/>
          <w:color w:val="000000"/>
        </w:rPr>
        <w:t>To reduce GERD occurrence and aggravation, environmental management and national alarm systems for each factor should be established.</w:t>
      </w:r>
    </w:p>
    <w:p w14:paraId="2A28117C" w14:textId="77777777" w:rsidR="0038018A" w:rsidRPr="00623D6F" w:rsidRDefault="0038018A">
      <w:pPr>
        <w:spacing w:line="360" w:lineRule="auto"/>
        <w:jc w:val="both"/>
      </w:pPr>
    </w:p>
    <w:p w14:paraId="5E338482" w14:textId="77777777" w:rsidR="0038018A" w:rsidRPr="00623D6F" w:rsidRDefault="00C220BD">
      <w:pPr>
        <w:spacing w:line="360" w:lineRule="auto"/>
        <w:jc w:val="both"/>
      </w:pPr>
      <w:r w:rsidRPr="00623D6F">
        <w:rPr>
          <w:rFonts w:ascii="Book Antiqua" w:eastAsia="Book Antiqua" w:hAnsi="Book Antiqua" w:cs="Book Antiqua"/>
          <w:b/>
          <w:color w:val="000000"/>
        </w:rPr>
        <w:t>REFERENCES</w:t>
      </w:r>
    </w:p>
    <w:p w14:paraId="796F4D7C"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 </w:t>
      </w:r>
      <w:r w:rsidRPr="00623D6F">
        <w:rPr>
          <w:rFonts w:ascii="Book Antiqua" w:eastAsia="Book Antiqua" w:hAnsi="Book Antiqua" w:cs="Book Antiqua"/>
          <w:b/>
          <w:bCs/>
          <w:color w:val="000000"/>
        </w:rPr>
        <w:t>Mazzucchelli R</w:t>
      </w:r>
      <w:r w:rsidRPr="00623D6F">
        <w:rPr>
          <w:rFonts w:ascii="Book Antiqua" w:eastAsia="Book Antiqua" w:hAnsi="Book Antiqua" w:cs="Book Antiqua"/>
          <w:color w:val="000000"/>
        </w:rPr>
        <w:t xml:space="preserve">, Crespí-Villarías N, Pérez-Fernández E, Durbán Reguera ML, Guzón Illescas O, Quirós J, García-Vadillo A, Carmona L, Rodriguez-Caravaca G, Gil de Miguel A. Weather conditions and their effect on seasonality of incident osteoporotic hip fracture. </w:t>
      </w:r>
      <w:r w:rsidRPr="00623D6F">
        <w:rPr>
          <w:rFonts w:ascii="Book Antiqua" w:eastAsia="Book Antiqua" w:hAnsi="Book Antiqua" w:cs="Book Antiqua"/>
          <w:i/>
          <w:iCs/>
          <w:color w:val="000000"/>
        </w:rPr>
        <w:t>Arch Osteoporos</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13</w:t>
      </w:r>
      <w:r w:rsidRPr="00623D6F">
        <w:rPr>
          <w:rFonts w:ascii="Book Antiqua" w:eastAsia="Book Antiqua" w:hAnsi="Book Antiqua" w:cs="Book Antiqua"/>
          <w:color w:val="000000"/>
        </w:rPr>
        <w:t>: 28 [PMID: 29546463 DOI: 10.1007/s11657-018-0438-4]</w:t>
      </w:r>
    </w:p>
    <w:p w14:paraId="3DFC7B38"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 </w:t>
      </w:r>
      <w:r w:rsidRPr="00623D6F">
        <w:rPr>
          <w:rFonts w:ascii="Book Antiqua" w:eastAsia="Book Antiqua" w:hAnsi="Book Antiqua" w:cs="Book Antiqua"/>
          <w:b/>
          <w:bCs/>
          <w:color w:val="000000"/>
        </w:rPr>
        <w:t>Sohn S</w:t>
      </w:r>
      <w:r w:rsidRPr="00623D6F">
        <w:rPr>
          <w:rFonts w:ascii="Book Antiqua" w:eastAsia="Book Antiqua" w:hAnsi="Book Antiqua" w:cs="Book Antiqua"/>
          <w:color w:val="000000"/>
        </w:rPr>
        <w:t xml:space="preserve">, Cho W, Kim JA, Altaluoni A, Hong K, Chun BC. 'Pneumonia Weather': Short-term Effects of Meteorological Factors on Emergency Room Visits Due to Pneumonia in Seoul, Korea. </w:t>
      </w:r>
      <w:r w:rsidRPr="00623D6F">
        <w:rPr>
          <w:rFonts w:ascii="Book Antiqua" w:eastAsia="Book Antiqua" w:hAnsi="Book Antiqua" w:cs="Book Antiqua"/>
          <w:i/>
          <w:iCs/>
          <w:color w:val="000000"/>
        </w:rPr>
        <w:t>J Prev Med Public Health</w:t>
      </w:r>
      <w:r w:rsidRPr="00623D6F">
        <w:rPr>
          <w:rFonts w:ascii="Book Antiqua" w:eastAsia="Book Antiqua" w:hAnsi="Book Antiqua" w:cs="Book Antiqua"/>
          <w:color w:val="000000"/>
        </w:rPr>
        <w:t xml:space="preserve"> 2019; </w:t>
      </w:r>
      <w:r w:rsidRPr="00623D6F">
        <w:rPr>
          <w:rFonts w:ascii="Book Antiqua" w:eastAsia="Book Antiqua" w:hAnsi="Book Antiqua" w:cs="Book Antiqua"/>
          <w:b/>
          <w:bCs/>
          <w:color w:val="000000"/>
        </w:rPr>
        <w:t>52</w:t>
      </w:r>
      <w:r w:rsidRPr="00623D6F">
        <w:rPr>
          <w:rFonts w:ascii="Book Antiqua" w:eastAsia="Book Antiqua" w:hAnsi="Book Antiqua" w:cs="Book Antiqua"/>
          <w:color w:val="000000"/>
        </w:rPr>
        <w:t>: 82-91 [PMID: 30971074 DOI: 10.3961/jpmph.18.232]</w:t>
      </w:r>
    </w:p>
    <w:p w14:paraId="1A0FDFD9" w14:textId="77777777" w:rsidR="0038018A" w:rsidRPr="00623D6F" w:rsidRDefault="00C220BD">
      <w:pPr>
        <w:spacing w:line="360" w:lineRule="auto"/>
        <w:jc w:val="both"/>
      </w:pPr>
      <w:r w:rsidRPr="00623D6F">
        <w:rPr>
          <w:rFonts w:ascii="Book Antiqua" w:eastAsia="Book Antiqua" w:hAnsi="Book Antiqua" w:cs="Book Antiqua"/>
          <w:color w:val="000000"/>
        </w:rPr>
        <w:t xml:space="preserve">3 </w:t>
      </w:r>
      <w:r w:rsidRPr="00623D6F">
        <w:rPr>
          <w:rFonts w:ascii="Book Antiqua" w:eastAsia="Book Antiqua" w:hAnsi="Book Antiqua" w:cs="Book Antiqua"/>
          <w:b/>
          <w:bCs/>
          <w:color w:val="000000"/>
        </w:rPr>
        <w:t>Stratil P</w:t>
      </w:r>
      <w:r w:rsidRPr="00623D6F">
        <w:rPr>
          <w:rFonts w:ascii="Book Antiqua" w:eastAsia="Book Antiqua" w:hAnsi="Book Antiqua" w:cs="Book Antiqua"/>
          <w:color w:val="000000"/>
        </w:rPr>
        <w:t xml:space="preserve">, Wallmueller C, Schober A, Stoeckl M, Hoerburger D, Weiser C, Testori C, Krizanac D, Spiel A, Uray T, Sterz F, Haugk M. Seasonal variability and influence of outdoor temperature on body temperature of cardiac arrest victims. </w:t>
      </w:r>
      <w:r w:rsidRPr="00623D6F">
        <w:rPr>
          <w:rFonts w:ascii="Book Antiqua" w:eastAsia="Book Antiqua" w:hAnsi="Book Antiqua" w:cs="Book Antiqua"/>
          <w:i/>
          <w:iCs/>
          <w:color w:val="000000"/>
        </w:rPr>
        <w:t>Resuscitation</w:t>
      </w:r>
      <w:r w:rsidRPr="00623D6F">
        <w:rPr>
          <w:rFonts w:ascii="Book Antiqua" w:eastAsia="Book Antiqua" w:hAnsi="Book Antiqua" w:cs="Book Antiqua"/>
          <w:color w:val="000000"/>
        </w:rPr>
        <w:t xml:space="preserve"> 2013; </w:t>
      </w:r>
      <w:r w:rsidRPr="00623D6F">
        <w:rPr>
          <w:rFonts w:ascii="Book Antiqua" w:eastAsia="Book Antiqua" w:hAnsi="Book Antiqua" w:cs="Book Antiqua"/>
          <w:b/>
          <w:bCs/>
          <w:color w:val="000000"/>
        </w:rPr>
        <w:t>84</w:t>
      </w:r>
      <w:r w:rsidRPr="00623D6F">
        <w:rPr>
          <w:rFonts w:ascii="Book Antiqua" w:eastAsia="Book Antiqua" w:hAnsi="Book Antiqua" w:cs="Book Antiqua"/>
          <w:color w:val="000000"/>
        </w:rPr>
        <w:t>: 630-634 [PMID: 23022435 DOI: 10.1016/j.resuscitation.2012.09.027]</w:t>
      </w:r>
    </w:p>
    <w:p w14:paraId="6E0B4CC3" w14:textId="77777777" w:rsidR="0038018A" w:rsidRPr="00623D6F" w:rsidRDefault="00C220BD">
      <w:pPr>
        <w:spacing w:line="360" w:lineRule="auto"/>
        <w:jc w:val="both"/>
      </w:pPr>
      <w:r w:rsidRPr="00623D6F">
        <w:rPr>
          <w:rFonts w:ascii="Book Antiqua" w:eastAsia="Book Antiqua" w:hAnsi="Book Antiqua" w:cs="Book Antiqua"/>
          <w:color w:val="000000"/>
        </w:rPr>
        <w:lastRenderedPageBreak/>
        <w:t xml:space="preserve">4 </w:t>
      </w:r>
      <w:r w:rsidRPr="00623D6F">
        <w:rPr>
          <w:rFonts w:ascii="Book Antiqua" w:eastAsia="Book Antiqua" w:hAnsi="Book Antiqua" w:cs="Book Antiqua"/>
          <w:b/>
          <w:bCs/>
          <w:color w:val="000000"/>
        </w:rPr>
        <w:t>Tarnoki AD</w:t>
      </w:r>
      <w:r w:rsidRPr="00623D6F">
        <w:rPr>
          <w:rFonts w:ascii="Book Antiqua" w:eastAsia="Book Antiqua" w:hAnsi="Book Antiqua" w:cs="Book Antiqua"/>
          <w:color w:val="000000"/>
        </w:rPr>
        <w:t xml:space="preserve">, Turker A, Tarnoki DL, Iyisoy MS, Szilagyi BK, Duong H, Miskolczi L. Relationship between weather conditions and admissions for ischemic stroke and subarachnoid hemorrhage. </w:t>
      </w:r>
      <w:r w:rsidRPr="00623D6F">
        <w:rPr>
          <w:rFonts w:ascii="Book Antiqua" w:eastAsia="Book Antiqua" w:hAnsi="Book Antiqua" w:cs="Book Antiqua"/>
          <w:i/>
          <w:iCs/>
          <w:color w:val="000000"/>
        </w:rPr>
        <w:t>Croat Med J</w:t>
      </w:r>
      <w:r w:rsidRPr="00623D6F">
        <w:rPr>
          <w:rFonts w:ascii="Book Antiqua" w:eastAsia="Book Antiqua" w:hAnsi="Book Antiqua" w:cs="Book Antiqua"/>
          <w:color w:val="000000"/>
        </w:rPr>
        <w:t xml:space="preserve"> 2017; </w:t>
      </w:r>
      <w:r w:rsidRPr="00623D6F">
        <w:rPr>
          <w:rFonts w:ascii="Book Antiqua" w:eastAsia="Book Antiqua" w:hAnsi="Book Antiqua" w:cs="Book Antiqua"/>
          <w:b/>
          <w:bCs/>
          <w:color w:val="000000"/>
        </w:rPr>
        <w:t>58</w:t>
      </w:r>
      <w:r w:rsidRPr="00623D6F">
        <w:rPr>
          <w:rFonts w:ascii="Book Antiqua" w:eastAsia="Book Antiqua" w:hAnsi="Book Antiqua" w:cs="Book Antiqua"/>
          <w:color w:val="000000"/>
        </w:rPr>
        <w:t>: 56-62 [PMID: 28252876 DOI: 10.3325/cmj.2017.58.56]</w:t>
      </w:r>
    </w:p>
    <w:p w14:paraId="428CD93D" w14:textId="77777777" w:rsidR="0038018A" w:rsidRPr="00623D6F" w:rsidRDefault="00C220BD">
      <w:pPr>
        <w:spacing w:line="360" w:lineRule="auto"/>
        <w:jc w:val="both"/>
      </w:pPr>
      <w:r w:rsidRPr="00623D6F">
        <w:rPr>
          <w:rFonts w:ascii="Book Antiqua" w:eastAsia="Book Antiqua" w:hAnsi="Book Antiqua" w:cs="Book Antiqua"/>
          <w:color w:val="000000"/>
        </w:rPr>
        <w:t xml:space="preserve">5 </w:t>
      </w:r>
      <w:r w:rsidRPr="00623D6F">
        <w:rPr>
          <w:rFonts w:ascii="Book Antiqua" w:eastAsia="Book Antiqua" w:hAnsi="Book Antiqua" w:cs="Book Antiqua"/>
          <w:b/>
          <w:bCs/>
          <w:color w:val="000000"/>
        </w:rPr>
        <w:t>Hensel M</w:t>
      </w:r>
      <w:r w:rsidRPr="00623D6F">
        <w:rPr>
          <w:rFonts w:ascii="Book Antiqua" w:eastAsia="Book Antiqua" w:hAnsi="Book Antiqua" w:cs="Book Antiqua"/>
          <w:color w:val="000000"/>
        </w:rPr>
        <w:t xml:space="preserve">, Geppert D, Kersten JF, Stuhr M, Lorenz J, Wirtz S, Kerner T. Association between Weather-Related Factors and Cardiac Arrest of Presumed Cardiac Etiology: A Prospective Observational Study Based on Out-of-Hospital Care Data. </w:t>
      </w:r>
      <w:r w:rsidRPr="00623D6F">
        <w:rPr>
          <w:rFonts w:ascii="Book Antiqua" w:eastAsia="Book Antiqua" w:hAnsi="Book Antiqua" w:cs="Book Antiqua"/>
          <w:i/>
          <w:iCs/>
          <w:color w:val="000000"/>
        </w:rPr>
        <w:t>Prehosp Emerg Care</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22</w:t>
      </w:r>
      <w:r w:rsidRPr="00623D6F">
        <w:rPr>
          <w:rFonts w:ascii="Book Antiqua" w:eastAsia="Book Antiqua" w:hAnsi="Book Antiqua" w:cs="Book Antiqua"/>
          <w:color w:val="000000"/>
        </w:rPr>
        <w:t>: 345-352 [PMID: 29345516 DOI: 10.1080/10903127.2017.1381790]</w:t>
      </w:r>
    </w:p>
    <w:p w14:paraId="3076D180" w14:textId="77777777" w:rsidR="0038018A" w:rsidRPr="00623D6F" w:rsidRDefault="00C220BD">
      <w:pPr>
        <w:spacing w:line="360" w:lineRule="auto"/>
        <w:jc w:val="both"/>
      </w:pPr>
      <w:r w:rsidRPr="00623D6F">
        <w:rPr>
          <w:rFonts w:ascii="Book Antiqua" w:eastAsia="Book Antiqua" w:hAnsi="Book Antiqua" w:cs="Book Antiqua"/>
          <w:color w:val="000000"/>
        </w:rPr>
        <w:t xml:space="preserve">6 </w:t>
      </w:r>
      <w:r w:rsidRPr="00623D6F">
        <w:rPr>
          <w:rFonts w:ascii="Book Antiqua" w:eastAsia="Book Antiqua" w:hAnsi="Book Antiqua" w:cs="Book Antiqua"/>
          <w:b/>
          <w:bCs/>
          <w:color w:val="000000"/>
        </w:rPr>
        <w:t>Liu Y</w:t>
      </w:r>
      <w:r w:rsidRPr="00623D6F">
        <w:rPr>
          <w:rFonts w:ascii="Book Antiqua" w:eastAsia="Book Antiqua" w:hAnsi="Book Antiqua" w:cs="Book Antiqua"/>
          <w:color w:val="000000"/>
        </w:rPr>
        <w:t xml:space="preserve">, Kan H, Xu J, Rogers D, Peng L, Ye X, Chen R, Zhang Y, Wang W. Temporal relationship between hospital admissions for pneumonia and weather conditions in Shanghai, China: a time-series analysis. </w:t>
      </w:r>
      <w:r w:rsidRPr="00623D6F">
        <w:rPr>
          <w:rFonts w:ascii="Book Antiqua" w:eastAsia="Book Antiqua" w:hAnsi="Book Antiqua" w:cs="Book Antiqua"/>
          <w:i/>
          <w:iCs/>
          <w:color w:val="000000"/>
        </w:rPr>
        <w:t>BMJ Open</w:t>
      </w:r>
      <w:r w:rsidRPr="00623D6F">
        <w:rPr>
          <w:rFonts w:ascii="Book Antiqua" w:eastAsia="Book Antiqua" w:hAnsi="Book Antiqua" w:cs="Book Antiqua"/>
          <w:color w:val="000000"/>
        </w:rPr>
        <w:t xml:space="preserve"> 2014; </w:t>
      </w:r>
      <w:r w:rsidRPr="00623D6F">
        <w:rPr>
          <w:rFonts w:ascii="Book Antiqua" w:eastAsia="Book Antiqua" w:hAnsi="Book Antiqua" w:cs="Book Antiqua"/>
          <w:b/>
          <w:bCs/>
          <w:color w:val="000000"/>
        </w:rPr>
        <w:t>4</w:t>
      </w:r>
      <w:r w:rsidRPr="00623D6F">
        <w:rPr>
          <w:rFonts w:ascii="Book Antiqua" w:eastAsia="Book Antiqua" w:hAnsi="Book Antiqua" w:cs="Book Antiqua"/>
          <w:color w:val="000000"/>
        </w:rPr>
        <w:t>: e004961 [PMID: 24989619 DOI: 10.1136/bmjopen-2014-004961]</w:t>
      </w:r>
    </w:p>
    <w:p w14:paraId="594FFB42" w14:textId="77777777" w:rsidR="0038018A" w:rsidRPr="00623D6F" w:rsidRDefault="00C220BD">
      <w:pPr>
        <w:spacing w:line="360" w:lineRule="auto"/>
        <w:jc w:val="both"/>
      </w:pPr>
      <w:r w:rsidRPr="00623D6F">
        <w:rPr>
          <w:rFonts w:ascii="Book Antiqua" w:eastAsia="Book Antiqua" w:hAnsi="Book Antiqua" w:cs="Book Antiqua"/>
          <w:color w:val="000000"/>
        </w:rPr>
        <w:t xml:space="preserve">7 </w:t>
      </w:r>
      <w:r w:rsidRPr="00623D6F">
        <w:rPr>
          <w:rFonts w:ascii="Book Antiqua" w:eastAsia="Book Antiqua" w:hAnsi="Book Antiqua" w:cs="Book Antiqua"/>
          <w:b/>
          <w:bCs/>
          <w:color w:val="000000"/>
        </w:rPr>
        <w:t>Simmering JE</w:t>
      </w:r>
      <w:r w:rsidRPr="00623D6F">
        <w:rPr>
          <w:rFonts w:ascii="Book Antiqua" w:eastAsia="Book Antiqua" w:hAnsi="Book Antiqua" w:cs="Book Antiqua"/>
          <w:color w:val="000000"/>
        </w:rPr>
        <w:t xml:space="preserve">, Polgreen LA, Hornick DB, Sewell DK, Polgreen PM. Weather-Dependent Risk for Legionnaires' Disease, United States. </w:t>
      </w:r>
      <w:r w:rsidRPr="00623D6F">
        <w:rPr>
          <w:rFonts w:ascii="Book Antiqua" w:eastAsia="Book Antiqua" w:hAnsi="Book Antiqua" w:cs="Book Antiqua"/>
          <w:i/>
          <w:iCs/>
          <w:color w:val="000000"/>
        </w:rPr>
        <w:t>Emerg Infect Dis</w:t>
      </w:r>
      <w:r w:rsidRPr="00623D6F">
        <w:rPr>
          <w:rFonts w:ascii="Book Antiqua" w:eastAsia="Book Antiqua" w:hAnsi="Book Antiqua" w:cs="Book Antiqua"/>
          <w:color w:val="000000"/>
        </w:rPr>
        <w:t xml:space="preserve"> 2017; </w:t>
      </w:r>
      <w:r w:rsidRPr="00623D6F">
        <w:rPr>
          <w:rFonts w:ascii="Book Antiqua" w:eastAsia="Book Antiqua" w:hAnsi="Book Antiqua" w:cs="Book Antiqua"/>
          <w:b/>
          <w:bCs/>
          <w:color w:val="000000"/>
        </w:rPr>
        <w:t>23</w:t>
      </w:r>
      <w:r w:rsidRPr="00623D6F">
        <w:rPr>
          <w:rFonts w:ascii="Book Antiqua" w:eastAsia="Book Antiqua" w:hAnsi="Book Antiqua" w:cs="Book Antiqua"/>
          <w:color w:val="000000"/>
        </w:rPr>
        <w:t>: 1843-1851 [PMID: 29048279 DOI: 10.3201/eid2311.170137]</w:t>
      </w:r>
    </w:p>
    <w:p w14:paraId="6C66F20F" w14:textId="77777777" w:rsidR="0038018A" w:rsidRPr="00623D6F" w:rsidRDefault="00C220BD">
      <w:pPr>
        <w:spacing w:line="360" w:lineRule="auto"/>
        <w:jc w:val="both"/>
      </w:pPr>
      <w:r w:rsidRPr="00623D6F">
        <w:rPr>
          <w:rFonts w:ascii="Book Antiqua" w:eastAsia="Book Antiqua" w:hAnsi="Book Antiqua" w:cs="Book Antiqua"/>
          <w:color w:val="000000"/>
        </w:rPr>
        <w:t xml:space="preserve">8 </w:t>
      </w:r>
      <w:r w:rsidRPr="00623D6F">
        <w:rPr>
          <w:rFonts w:ascii="Book Antiqua" w:eastAsia="Book Antiqua" w:hAnsi="Book Antiqua" w:cs="Book Antiqua"/>
          <w:b/>
          <w:bCs/>
          <w:color w:val="000000"/>
        </w:rPr>
        <w:t>Huang F</w:t>
      </w:r>
      <w:r w:rsidRPr="00623D6F">
        <w:rPr>
          <w:rFonts w:ascii="Book Antiqua" w:eastAsia="Book Antiqua" w:hAnsi="Book Antiqua" w:cs="Book Antiqua"/>
          <w:color w:val="000000"/>
        </w:rPr>
        <w:t xml:space="preserve">, Li X, Wang C, Xu Q, Wang W, Luo Y, Tao L, Gao Q, Guo J, Chen S, Cao K, Liu L, Gao N, Liu X, Yang K, Yan A, Guo X. PM2.5 Spatiotemporal Variations and the Relationship with Meteorological Factors during 2013-2014 in Beijing, China. </w:t>
      </w:r>
      <w:r w:rsidRPr="00623D6F">
        <w:rPr>
          <w:rFonts w:ascii="Book Antiqua" w:eastAsia="Book Antiqua" w:hAnsi="Book Antiqua" w:cs="Book Antiqua"/>
          <w:i/>
          <w:iCs/>
          <w:color w:val="000000"/>
        </w:rPr>
        <w:t>PLoS One</w:t>
      </w:r>
      <w:r w:rsidRPr="00623D6F">
        <w:rPr>
          <w:rFonts w:ascii="Book Antiqua" w:eastAsia="Book Antiqua" w:hAnsi="Book Antiqua" w:cs="Book Antiqua"/>
          <w:color w:val="000000"/>
        </w:rPr>
        <w:t xml:space="preserve"> 2015; </w:t>
      </w:r>
      <w:r w:rsidRPr="00623D6F">
        <w:rPr>
          <w:rFonts w:ascii="Book Antiqua" w:eastAsia="Book Antiqua" w:hAnsi="Book Antiqua" w:cs="Book Antiqua"/>
          <w:b/>
          <w:bCs/>
          <w:color w:val="000000"/>
        </w:rPr>
        <w:t>10</w:t>
      </w:r>
      <w:r w:rsidRPr="00623D6F">
        <w:rPr>
          <w:rFonts w:ascii="Book Antiqua" w:eastAsia="Book Antiqua" w:hAnsi="Book Antiqua" w:cs="Book Antiqua"/>
          <w:color w:val="000000"/>
        </w:rPr>
        <w:t>: e0141642 [PMID: 26528542 DOI: 10.1371/journal.pone.0141642]</w:t>
      </w:r>
    </w:p>
    <w:p w14:paraId="4461168B" w14:textId="77777777" w:rsidR="0038018A" w:rsidRPr="00623D6F" w:rsidRDefault="00C220BD">
      <w:pPr>
        <w:spacing w:line="360" w:lineRule="auto"/>
        <w:jc w:val="both"/>
      </w:pPr>
      <w:r w:rsidRPr="00623D6F">
        <w:rPr>
          <w:rFonts w:ascii="Book Antiqua" w:eastAsia="Book Antiqua" w:hAnsi="Book Antiqua" w:cs="Book Antiqua"/>
          <w:color w:val="000000"/>
        </w:rPr>
        <w:t xml:space="preserve">9 </w:t>
      </w:r>
      <w:r w:rsidRPr="00623D6F">
        <w:rPr>
          <w:rFonts w:ascii="Book Antiqua" w:eastAsia="Book Antiqua" w:hAnsi="Book Antiqua" w:cs="Book Antiqua"/>
          <w:b/>
          <w:bCs/>
          <w:color w:val="000000"/>
        </w:rPr>
        <w:t>Zhang H</w:t>
      </w:r>
      <w:r w:rsidRPr="00623D6F">
        <w:rPr>
          <w:rFonts w:ascii="Book Antiqua" w:eastAsia="Book Antiqua" w:hAnsi="Book Antiqua" w:cs="Book Antiqua"/>
          <w:color w:val="000000"/>
        </w:rPr>
        <w:t xml:space="preserve">, Wang Z, Zhang W. Exploring spatiotemporal patterns of PM2.5 in China based on ground-level observations for 190 cities. </w:t>
      </w:r>
      <w:r w:rsidRPr="00623D6F">
        <w:rPr>
          <w:rFonts w:ascii="Book Antiqua" w:eastAsia="Book Antiqua" w:hAnsi="Book Antiqua" w:cs="Book Antiqua"/>
          <w:i/>
          <w:iCs/>
          <w:color w:val="000000"/>
        </w:rPr>
        <w:t>Environ Pollut</w:t>
      </w:r>
      <w:r w:rsidRPr="00623D6F">
        <w:rPr>
          <w:rFonts w:ascii="Book Antiqua" w:eastAsia="Book Antiqua" w:hAnsi="Book Antiqua" w:cs="Book Antiqua"/>
          <w:color w:val="000000"/>
        </w:rPr>
        <w:t xml:space="preserve"> 2016; </w:t>
      </w:r>
      <w:r w:rsidRPr="00623D6F">
        <w:rPr>
          <w:rFonts w:ascii="Book Antiqua" w:eastAsia="Book Antiqua" w:hAnsi="Book Antiqua" w:cs="Book Antiqua"/>
          <w:b/>
          <w:bCs/>
          <w:color w:val="000000"/>
        </w:rPr>
        <w:t>216</w:t>
      </w:r>
      <w:r w:rsidRPr="00623D6F">
        <w:rPr>
          <w:rFonts w:ascii="Book Antiqua" w:eastAsia="Book Antiqua" w:hAnsi="Book Antiqua" w:cs="Book Antiqua"/>
          <w:color w:val="000000"/>
        </w:rPr>
        <w:t>: 559-567 [PMID: 27318543 DOI: 10.1016/j.envpol.2016.06.009]</w:t>
      </w:r>
    </w:p>
    <w:p w14:paraId="5BAABE51"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10 </w:t>
      </w:r>
      <w:r w:rsidRPr="00623D6F">
        <w:rPr>
          <w:rFonts w:ascii="Book Antiqua" w:eastAsia="Book Antiqua" w:hAnsi="Book Antiqua" w:cs="Book Antiqua"/>
          <w:b/>
          <w:bCs/>
          <w:color w:val="000000"/>
        </w:rPr>
        <w:t>Jung HK</w:t>
      </w:r>
      <w:r w:rsidRPr="00623D6F">
        <w:rPr>
          <w:rFonts w:ascii="Book Antiqua" w:eastAsia="Book Antiqua" w:hAnsi="Book Antiqua" w:cs="Book Antiqua"/>
          <w:color w:val="000000"/>
        </w:rPr>
        <w:t xml:space="preserve">. Epidemiology of gastroesophageal reflux disease in Asia: a systematic review. </w:t>
      </w:r>
      <w:r w:rsidRPr="00623D6F">
        <w:rPr>
          <w:rFonts w:ascii="Book Antiqua" w:eastAsia="Book Antiqua" w:hAnsi="Book Antiqua" w:cs="Book Antiqua"/>
          <w:i/>
          <w:iCs/>
          <w:color w:val="000000"/>
        </w:rPr>
        <w:t>J Neurogastroenterol Motil</w:t>
      </w:r>
      <w:r w:rsidRPr="00623D6F">
        <w:rPr>
          <w:rFonts w:ascii="Book Antiqua" w:eastAsia="Book Antiqua" w:hAnsi="Book Antiqua" w:cs="Book Antiqua"/>
          <w:color w:val="000000"/>
        </w:rPr>
        <w:t xml:space="preserve"> 2011; </w:t>
      </w:r>
      <w:r w:rsidRPr="00623D6F">
        <w:rPr>
          <w:rFonts w:ascii="Book Antiqua" w:eastAsia="Book Antiqua" w:hAnsi="Book Antiqua" w:cs="Book Antiqua"/>
          <w:b/>
          <w:bCs/>
          <w:color w:val="000000"/>
        </w:rPr>
        <w:t>17</w:t>
      </w:r>
      <w:r w:rsidRPr="00623D6F">
        <w:rPr>
          <w:rFonts w:ascii="Book Antiqua" w:eastAsia="Book Antiqua" w:hAnsi="Book Antiqua" w:cs="Book Antiqua"/>
          <w:color w:val="000000"/>
        </w:rPr>
        <w:t>: 14-27 [PMID: 21369488 DOI: 10.5056/jnm.2011.17.1.14]</w:t>
      </w:r>
    </w:p>
    <w:p w14:paraId="405411E0"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11 </w:t>
      </w:r>
      <w:r w:rsidRPr="00623D6F">
        <w:rPr>
          <w:rFonts w:ascii="Book Antiqua" w:eastAsia="Book Antiqua" w:hAnsi="Book Antiqua" w:cs="Book Antiqua"/>
          <w:b/>
          <w:bCs/>
          <w:color w:val="000000"/>
        </w:rPr>
        <w:t>Ronkainen J</w:t>
      </w:r>
      <w:r w:rsidRPr="00623D6F">
        <w:rPr>
          <w:rFonts w:ascii="Book Antiqua" w:eastAsia="Book Antiqua" w:hAnsi="Book Antiqua" w:cs="Book Antiqua"/>
          <w:color w:val="000000"/>
        </w:rPr>
        <w:t xml:space="preserve">, Agréus L. Epidemiology of reflux symptoms and GORD. </w:t>
      </w:r>
      <w:r w:rsidRPr="00623D6F">
        <w:rPr>
          <w:rFonts w:ascii="Book Antiqua" w:eastAsia="Book Antiqua" w:hAnsi="Book Antiqua" w:cs="Book Antiqua"/>
          <w:i/>
          <w:iCs/>
          <w:color w:val="000000"/>
        </w:rPr>
        <w:t>Best Pract Res Clin Gastroenterol</w:t>
      </w:r>
      <w:r w:rsidRPr="00623D6F">
        <w:rPr>
          <w:rFonts w:ascii="Book Antiqua" w:eastAsia="Book Antiqua" w:hAnsi="Book Antiqua" w:cs="Book Antiqua"/>
          <w:color w:val="000000"/>
        </w:rPr>
        <w:t xml:space="preserve"> 2013; </w:t>
      </w:r>
      <w:r w:rsidRPr="00623D6F">
        <w:rPr>
          <w:rFonts w:ascii="Book Antiqua" w:eastAsia="Book Antiqua" w:hAnsi="Book Antiqua" w:cs="Book Antiqua"/>
          <w:b/>
          <w:bCs/>
          <w:color w:val="000000"/>
        </w:rPr>
        <w:t>27</w:t>
      </w:r>
      <w:r w:rsidRPr="00623D6F">
        <w:rPr>
          <w:rFonts w:ascii="Book Antiqua" w:eastAsia="Book Antiqua" w:hAnsi="Book Antiqua" w:cs="Book Antiqua"/>
          <w:color w:val="000000"/>
        </w:rPr>
        <w:t>: 325-337 [PMID: 23998972 DOI: 10.1016/j.bpg.2013.06.008]</w:t>
      </w:r>
    </w:p>
    <w:p w14:paraId="743EA027"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12 </w:t>
      </w:r>
      <w:r w:rsidRPr="00623D6F">
        <w:rPr>
          <w:rFonts w:ascii="Book Antiqua" w:eastAsia="Book Antiqua" w:hAnsi="Book Antiqua" w:cs="Book Antiqua"/>
          <w:b/>
          <w:bCs/>
          <w:color w:val="000000"/>
        </w:rPr>
        <w:t>Savarino E</w:t>
      </w:r>
      <w:r w:rsidRPr="00623D6F">
        <w:rPr>
          <w:rFonts w:ascii="Book Antiqua" w:eastAsia="Book Antiqua" w:hAnsi="Book Antiqua" w:cs="Book Antiqua"/>
          <w:color w:val="000000"/>
        </w:rPr>
        <w:t>, de Bortoli N, De Cassan C, Della Coletta M, Bartolo O, Furnari M, Ottonello A, Marabotto E, Bodini G, Savarino V. The natural history of gastro-</w:t>
      </w:r>
      <w:r w:rsidRPr="00623D6F">
        <w:rPr>
          <w:rFonts w:ascii="Book Antiqua" w:eastAsia="Book Antiqua" w:hAnsi="Book Antiqua" w:cs="Book Antiqua"/>
          <w:color w:val="000000"/>
        </w:rPr>
        <w:lastRenderedPageBreak/>
        <w:t xml:space="preserve">esophageal reflux disease: a comprehensive review. </w:t>
      </w:r>
      <w:r w:rsidRPr="00623D6F">
        <w:rPr>
          <w:rFonts w:ascii="Book Antiqua" w:eastAsia="Book Antiqua" w:hAnsi="Book Antiqua" w:cs="Book Antiqua"/>
          <w:i/>
          <w:iCs/>
          <w:color w:val="000000"/>
        </w:rPr>
        <w:t>Dis Esophagus</w:t>
      </w:r>
      <w:r w:rsidRPr="00623D6F">
        <w:rPr>
          <w:rFonts w:ascii="Book Antiqua" w:eastAsia="Book Antiqua" w:hAnsi="Book Antiqua" w:cs="Book Antiqua"/>
          <w:color w:val="000000"/>
        </w:rPr>
        <w:t xml:space="preserve"> 2017; </w:t>
      </w:r>
      <w:r w:rsidRPr="00623D6F">
        <w:rPr>
          <w:rFonts w:ascii="Book Antiqua" w:eastAsia="Book Antiqua" w:hAnsi="Book Antiqua" w:cs="Book Antiqua"/>
          <w:b/>
          <w:bCs/>
          <w:color w:val="000000"/>
        </w:rPr>
        <w:t>30</w:t>
      </w:r>
      <w:r w:rsidRPr="00623D6F">
        <w:rPr>
          <w:rFonts w:ascii="Book Antiqua" w:eastAsia="Book Antiqua" w:hAnsi="Book Antiqua" w:cs="Book Antiqua"/>
          <w:color w:val="000000"/>
        </w:rPr>
        <w:t>: 1-9 [PMID: 27862680 DOI: 10.1111/dote.12511]</w:t>
      </w:r>
    </w:p>
    <w:p w14:paraId="2192F9F2"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13 </w:t>
      </w:r>
      <w:r w:rsidRPr="00623D6F">
        <w:rPr>
          <w:rFonts w:ascii="Book Antiqua" w:eastAsia="Book Antiqua" w:hAnsi="Book Antiqua" w:cs="Book Antiqua"/>
          <w:b/>
          <w:bCs/>
          <w:color w:val="000000"/>
        </w:rPr>
        <w:t>Seo HS</w:t>
      </w:r>
      <w:r w:rsidRPr="00623D6F">
        <w:rPr>
          <w:rFonts w:ascii="Book Antiqua" w:eastAsia="Book Antiqua" w:hAnsi="Book Antiqua" w:cs="Book Antiqua"/>
          <w:color w:val="000000"/>
        </w:rPr>
        <w:t xml:space="preserve">, Choi M, Son SY, Kim MG, Han DS, Lee HH. Evidence-Based Practice Guideline for Surgical Treatment of Gastroesophageal Reflux Disease 2018. </w:t>
      </w:r>
      <w:r w:rsidRPr="00623D6F">
        <w:rPr>
          <w:rFonts w:ascii="Book Antiqua" w:eastAsia="Book Antiqua" w:hAnsi="Book Antiqua" w:cs="Book Antiqua"/>
          <w:i/>
          <w:iCs/>
          <w:color w:val="000000"/>
        </w:rPr>
        <w:t>J Gastric Cancer</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18</w:t>
      </w:r>
      <w:r w:rsidRPr="00623D6F">
        <w:rPr>
          <w:rFonts w:ascii="Book Antiqua" w:eastAsia="Book Antiqua" w:hAnsi="Book Antiqua" w:cs="Book Antiqua"/>
          <w:color w:val="000000"/>
        </w:rPr>
        <w:t>: 313-327 [PMID: 30607295 DOI: 10.5230/jgc.2018.18.e41]</w:t>
      </w:r>
    </w:p>
    <w:p w14:paraId="1E8B8378"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14 </w:t>
      </w:r>
      <w:r w:rsidRPr="00623D6F">
        <w:rPr>
          <w:rFonts w:ascii="Book Antiqua" w:eastAsia="Book Antiqua" w:hAnsi="Book Antiqua" w:cs="Book Antiqua"/>
          <w:b/>
          <w:bCs/>
          <w:color w:val="000000"/>
        </w:rPr>
        <w:t>Chen KY</w:t>
      </w:r>
      <w:r w:rsidRPr="00623D6F">
        <w:rPr>
          <w:rFonts w:ascii="Book Antiqua" w:eastAsia="Book Antiqua" w:hAnsi="Book Antiqua" w:cs="Book Antiqua"/>
          <w:color w:val="000000"/>
        </w:rPr>
        <w:t xml:space="preserve">, Lou HY, Lin HC, Lee SH. Seasonal variation in the incidence of gastroesophageal reflux disease. </w:t>
      </w:r>
      <w:r w:rsidRPr="00623D6F">
        <w:rPr>
          <w:rFonts w:ascii="Book Antiqua" w:eastAsia="Book Antiqua" w:hAnsi="Book Antiqua" w:cs="Book Antiqua"/>
          <w:i/>
          <w:iCs/>
          <w:color w:val="000000"/>
        </w:rPr>
        <w:t>Am J Med Sci</w:t>
      </w:r>
      <w:r w:rsidRPr="00623D6F">
        <w:rPr>
          <w:rFonts w:ascii="Book Antiqua" w:eastAsia="Book Antiqua" w:hAnsi="Book Antiqua" w:cs="Book Antiqua"/>
          <w:color w:val="000000"/>
        </w:rPr>
        <w:t xml:space="preserve"> 2009; </w:t>
      </w:r>
      <w:r w:rsidRPr="00623D6F">
        <w:rPr>
          <w:rFonts w:ascii="Book Antiqua" w:eastAsia="Book Antiqua" w:hAnsi="Book Antiqua" w:cs="Book Antiqua"/>
          <w:b/>
          <w:bCs/>
          <w:color w:val="000000"/>
        </w:rPr>
        <w:t>338</w:t>
      </w:r>
      <w:r w:rsidRPr="00623D6F">
        <w:rPr>
          <w:rFonts w:ascii="Book Antiqua" w:eastAsia="Book Antiqua" w:hAnsi="Book Antiqua" w:cs="Book Antiqua"/>
          <w:color w:val="000000"/>
        </w:rPr>
        <w:t>: 453-458 [PMID: 19826247 DOI: 10.1097/MAJ.0b013e3181b51fbd]</w:t>
      </w:r>
    </w:p>
    <w:p w14:paraId="693F622A"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15 </w:t>
      </w:r>
      <w:r w:rsidRPr="00623D6F">
        <w:rPr>
          <w:rFonts w:ascii="Book Antiqua" w:eastAsia="Book Antiqua" w:hAnsi="Book Antiqua" w:cs="Book Antiqua"/>
          <w:b/>
          <w:bCs/>
          <w:color w:val="000000"/>
        </w:rPr>
        <w:t>Raheem OA</w:t>
      </w:r>
      <w:r w:rsidRPr="00623D6F">
        <w:rPr>
          <w:rFonts w:ascii="Book Antiqua" w:eastAsia="Book Antiqua" w:hAnsi="Book Antiqua" w:cs="Book Antiqua"/>
          <w:color w:val="000000"/>
        </w:rPr>
        <w:t xml:space="preserve">, Khandwala YS, Sur RL, Ghani KR, Denstedt JD. Burden of Urolithiasis: Trends in Prevalence, Treatments, and Costs. </w:t>
      </w:r>
      <w:r w:rsidRPr="00623D6F">
        <w:rPr>
          <w:rFonts w:ascii="Book Antiqua" w:eastAsia="Book Antiqua" w:hAnsi="Book Antiqua" w:cs="Book Antiqua"/>
          <w:i/>
          <w:iCs/>
          <w:color w:val="000000"/>
        </w:rPr>
        <w:t>Eur Urol Focus</w:t>
      </w:r>
      <w:r w:rsidRPr="00623D6F">
        <w:rPr>
          <w:rFonts w:ascii="Book Antiqua" w:eastAsia="Book Antiqua" w:hAnsi="Book Antiqua" w:cs="Book Antiqua"/>
          <w:color w:val="000000"/>
        </w:rPr>
        <w:t xml:space="preserve"> 2017; </w:t>
      </w:r>
      <w:r w:rsidRPr="00623D6F">
        <w:rPr>
          <w:rFonts w:ascii="Book Antiqua" w:eastAsia="Book Antiqua" w:hAnsi="Book Antiqua" w:cs="Book Antiqua"/>
          <w:b/>
          <w:bCs/>
          <w:color w:val="000000"/>
        </w:rPr>
        <w:t>3</w:t>
      </w:r>
      <w:r w:rsidRPr="00623D6F">
        <w:rPr>
          <w:rFonts w:ascii="Book Antiqua" w:eastAsia="Book Antiqua" w:hAnsi="Book Antiqua" w:cs="Book Antiqua"/>
          <w:color w:val="000000"/>
        </w:rPr>
        <w:t>: 18-26 [PMID: 28720363 DOI: 10.1016/j.euf.2017.04.001]</w:t>
      </w:r>
    </w:p>
    <w:p w14:paraId="3FA5E1B7"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16 </w:t>
      </w:r>
      <w:r w:rsidRPr="00623D6F">
        <w:rPr>
          <w:rFonts w:ascii="Book Antiqua" w:eastAsia="Book Antiqua" w:hAnsi="Book Antiqua" w:cs="Book Antiqua"/>
          <w:b/>
          <w:bCs/>
          <w:color w:val="000000"/>
        </w:rPr>
        <w:t>Granger CWJ</w:t>
      </w:r>
      <w:r w:rsidRPr="00623D6F">
        <w:rPr>
          <w:rFonts w:ascii="Book Antiqua" w:eastAsia="Book Antiqua" w:hAnsi="Book Antiqua" w:cs="Book Antiqua"/>
          <w:color w:val="000000"/>
        </w:rPr>
        <w:t xml:space="preserve">. Investigating Causal Relations by Econometric Models and Cross-spectral Methods. </w:t>
      </w:r>
      <w:r w:rsidRPr="00623D6F">
        <w:rPr>
          <w:rFonts w:ascii="Book Antiqua" w:eastAsia="Book Antiqua" w:hAnsi="Book Antiqua" w:cs="Book Antiqua"/>
          <w:i/>
          <w:iCs/>
          <w:color w:val="000000"/>
        </w:rPr>
        <w:t>Econometrica</w:t>
      </w:r>
      <w:r w:rsidRPr="00623D6F">
        <w:rPr>
          <w:rFonts w:ascii="Book Antiqua" w:eastAsia="Book Antiqua" w:hAnsi="Book Antiqua" w:cs="Book Antiqua"/>
          <w:color w:val="000000"/>
        </w:rPr>
        <w:t xml:space="preserve"> 1969; </w:t>
      </w:r>
      <w:r w:rsidRPr="00623D6F">
        <w:rPr>
          <w:rFonts w:ascii="Book Antiqua" w:eastAsia="Book Antiqua" w:hAnsi="Book Antiqua" w:cs="Book Antiqua"/>
          <w:b/>
          <w:bCs/>
          <w:color w:val="000000"/>
        </w:rPr>
        <w:t>37</w:t>
      </w:r>
      <w:r w:rsidRPr="00623D6F">
        <w:rPr>
          <w:rFonts w:ascii="Book Antiqua" w:eastAsia="Book Antiqua" w:hAnsi="Book Antiqua" w:cs="Book Antiqua"/>
          <w:color w:val="000000"/>
        </w:rPr>
        <w:t>: 424-438 [DOI: 10.2307/1912791]</w:t>
      </w:r>
    </w:p>
    <w:p w14:paraId="59D0F801"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17 </w:t>
      </w:r>
      <w:r w:rsidRPr="00623D6F">
        <w:rPr>
          <w:rFonts w:ascii="Book Antiqua" w:eastAsia="Book Antiqua" w:hAnsi="Book Antiqua" w:cs="Book Antiqua"/>
          <w:b/>
          <w:bCs/>
          <w:color w:val="000000"/>
        </w:rPr>
        <w:t>Akaike H</w:t>
      </w:r>
      <w:r w:rsidRPr="00623D6F">
        <w:rPr>
          <w:rFonts w:ascii="Book Antiqua" w:eastAsia="Book Antiqua" w:hAnsi="Book Antiqua" w:cs="Book Antiqua"/>
          <w:color w:val="000000"/>
        </w:rPr>
        <w:t xml:space="preserve">. A new look at the statistical model identification. </w:t>
      </w:r>
      <w:r w:rsidRPr="00623D6F">
        <w:rPr>
          <w:rFonts w:ascii="Book Antiqua" w:eastAsia="Book Antiqua" w:hAnsi="Book Antiqua" w:cs="Book Antiqua"/>
          <w:i/>
          <w:iCs/>
          <w:color w:val="000000"/>
        </w:rPr>
        <w:t>IEEE Transactions on Automatic Control</w:t>
      </w:r>
      <w:r w:rsidRPr="00623D6F">
        <w:rPr>
          <w:rFonts w:ascii="Book Antiqua" w:eastAsia="Book Antiqua" w:hAnsi="Book Antiqua" w:cs="Book Antiqua"/>
          <w:color w:val="000000"/>
        </w:rPr>
        <w:t xml:space="preserve"> 1974; </w:t>
      </w:r>
      <w:r w:rsidRPr="00623D6F">
        <w:rPr>
          <w:rFonts w:ascii="Book Antiqua" w:eastAsia="Book Antiqua" w:hAnsi="Book Antiqua" w:cs="Book Antiqua"/>
          <w:b/>
          <w:bCs/>
          <w:color w:val="000000"/>
        </w:rPr>
        <w:t>19</w:t>
      </w:r>
      <w:r w:rsidRPr="00623D6F">
        <w:rPr>
          <w:rFonts w:ascii="Book Antiqua" w:eastAsia="Book Antiqua" w:hAnsi="Book Antiqua" w:cs="Book Antiqua"/>
          <w:color w:val="000000"/>
        </w:rPr>
        <w:t>: 716-723 [DOI: 10.1109/TAC.1974.1100705]</w:t>
      </w:r>
    </w:p>
    <w:p w14:paraId="40C725FD" w14:textId="156E9A26" w:rsidR="0038018A" w:rsidRPr="00623D6F" w:rsidRDefault="00C220BD">
      <w:pPr>
        <w:spacing w:line="360" w:lineRule="auto"/>
        <w:jc w:val="both"/>
      </w:pPr>
      <w:r w:rsidRPr="00623D6F">
        <w:rPr>
          <w:rFonts w:ascii="Book Antiqua" w:eastAsia="Book Antiqua" w:hAnsi="Book Antiqua" w:cs="Book Antiqua"/>
          <w:color w:val="000000"/>
        </w:rPr>
        <w:t xml:space="preserve">18 </w:t>
      </w:r>
      <w:r w:rsidRPr="00623D6F">
        <w:rPr>
          <w:rFonts w:ascii="Book Antiqua" w:eastAsia="Book Antiqua" w:hAnsi="Book Antiqua" w:cs="Book Antiqua"/>
          <w:b/>
          <w:bCs/>
          <w:color w:val="000000"/>
        </w:rPr>
        <w:t>Schwarz G</w:t>
      </w:r>
      <w:r w:rsidRPr="00623D6F">
        <w:rPr>
          <w:rFonts w:ascii="Book Antiqua" w:eastAsia="Book Antiqua" w:hAnsi="Book Antiqua" w:cs="Book Antiqua"/>
          <w:color w:val="000000"/>
        </w:rPr>
        <w:t xml:space="preserve">. Estimating the Dimension of a Model. </w:t>
      </w:r>
      <w:r w:rsidR="00BF5AFE" w:rsidRPr="00623D6F">
        <w:rPr>
          <w:rFonts w:ascii="Book Antiqua" w:eastAsia="Book Antiqua" w:hAnsi="Book Antiqua" w:cs="Book Antiqua"/>
          <w:i/>
          <w:iCs/>
          <w:color w:val="000000"/>
        </w:rPr>
        <w:t xml:space="preserve">Ann Stat </w:t>
      </w:r>
      <w:r w:rsidRPr="00623D6F">
        <w:rPr>
          <w:rFonts w:ascii="Book Antiqua" w:eastAsia="Book Antiqua" w:hAnsi="Book Antiqua" w:cs="Book Antiqua"/>
          <w:color w:val="000000"/>
        </w:rPr>
        <w:t xml:space="preserve">1978; </w:t>
      </w:r>
      <w:r w:rsidRPr="00623D6F">
        <w:rPr>
          <w:rFonts w:ascii="Book Antiqua" w:eastAsia="Book Antiqua" w:hAnsi="Book Antiqua" w:cs="Book Antiqua"/>
          <w:b/>
          <w:bCs/>
          <w:color w:val="000000"/>
        </w:rPr>
        <w:t>6</w:t>
      </w:r>
      <w:r w:rsidRPr="00623D6F">
        <w:rPr>
          <w:rFonts w:ascii="Book Antiqua" w:eastAsia="Book Antiqua" w:hAnsi="Book Antiqua" w:cs="Book Antiqua"/>
          <w:color w:val="000000"/>
        </w:rPr>
        <w:t>: 461-464</w:t>
      </w:r>
    </w:p>
    <w:p w14:paraId="33093CC5" w14:textId="77777777" w:rsidR="0038018A" w:rsidRPr="00623D6F" w:rsidRDefault="00C220BD">
      <w:pPr>
        <w:spacing w:line="360" w:lineRule="auto"/>
        <w:jc w:val="both"/>
      </w:pPr>
      <w:r w:rsidRPr="00623D6F">
        <w:rPr>
          <w:rFonts w:ascii="Book Antiqua" w:eastAsia="Book Antiqua" w:hAnsi="Book Antiqua" w:cs="Book Antiqua"/>
          <w:color w:val="000000"/>
        </w:rPr>
        <w:t xml:space="preserve">19 </w:t>
      </w:r>
      <w:r w:rsidRPr="00623D6F">
        <w:rPr>
          <w:rFonts w:ascii="Book Antiqua" w:eastAsia="Book Antiqua" w:hAnsi="Book Antiqua" w:cs="Book Antiqua"/>
          <w:b/>
          <w:bCs/>
          <w:color w:val="000000"/>
        </w:rPr>
        <w:t>Hossain MZ</w:t>
      </w:r>
      <w:r w:rsidRPr="00623D6F">
        <w:rPr>
          <w:rFonts w:ascii="Book Antiqua" w:eastAsia="Book Antiqua" w:hAnsi="Book Antiqua" w:cs="Book Antiqua"/>
          <w:color w:val="000000"/>
        </w:rPr>
        <w:t xml:space="preserve">, Tong S, Bambrick H, Khan AF, Hore SK, Hu W. Weather factors, PCV intervention and childhood pneumonia in rural Bangladesh. </w:t>
      </w:r>
      <w:r w:rsidRPr="00623D6F">
        <w:rPr>
          <w:rFonts w:ascii="Book Antiqua" w:eastAsia="Book Antiqua" w:hAnsi="Book Antiqua" w:cs="Book Antiqua"/>
          <w:i/>
          <w:iCs/>
          <w:color w:val="000000"/>
        </w:rPr>
        <w:t>Int J Biometeorol</w:t>
      </w:r>
      <w:r w:rsidRPr="00623D6F">
        <w:rPr>
          <w:rFonts w:ascii="Book Antiqua" w:eastAsia="Book Antiqua" w:hAnsi="Book Antiqua" w:cs="Book Antiqua"/>
          <w:color w:val="000000"/>
        </w:rPr>
        <w:t xml:space="preserve"> 2020; </w:t>
      </w:r>
      <w:r w:rsidRPr="00623D6F">
        <w:rPr>
          <w:rFonts w:ascii="Book Antiqua" w:eastAsia="Book Antiqua" w:hAnsi="Book Antiqua" w:cs="Book Antiqua"/>
          <w:b/>
          <w:bCs/>
          <w:color w:val="000000"/>
        </w:rPr>
        <w:t>64</w:t>
      </w:r>
      <w:r w:rsidRPr="00623D6F">
        <w:rPr>
          <w:rFonts w:ascii="Book Antiqua" w:eastAsia="Book Antiqua" w:hAnsi="Book Antiqua" w:cs="Book Antiqua"/>
          <w:color w:val="000000"/>
        </w:rPr>
        <w:t>: 561-569 [PMID: 31848699 DOI: 10.1007/s00484-019-01842-7]</w:t>
      </w:r>
    </w:p>
    <w:p w14:paraId="046D0D97"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20 </w:t>
      </w:r>
      <w:r w:rsidRPr="00623D6F">
        <w:rPr>
          <w:rFonts w:ascii="Book Antiqua" w:eastAsia="Book Antiqua" w:hAnsi="Book Antiqua" w:cs="Book Antiqua"/>
          <w:b/>
          <w:bCs/>
          <w:color w:val="000000"/>
        </w:rPr>
        <w:t>Mohammad MA</w:t>
      </w:r>
      <w:r w:rsidRPr="00623D6F">
        <w:rPr>
          <w:rFonts w:ascii="Book Antiqua" w:eastAsia="Book Antiqua" w:hAnsi="Book Antiqua" w:cs="Book Antiqua"/>
          <w:color w:val="000000"/>
        </w:rPr>
        <w:t xml:space="preserve">, Koul S, Rylance R, Fröbert O, Alfredsson J, Sahlén A, Witt N, Jernberg T, Muller J, Erlinge D. Association of Weather With Day-to-Day Incidence of Myocardial Infarction: A SWEDEHEART Nationwide Observational Study. </w:t>
      </w:r>
      <w:r w:rsidRPr="00623D6F">
        <w:rPr>
          <w:rFonts w:ascii="Book Antiqua" w:eastAsia="Book Antiqua" w:hAnsi="Book Antiqua" w:cs="Book Antiqua"/>
          <w:i/>
          <w:iCs/>
          <w:color w:val="000000"/>
        </w:rPr>
        <w:t>JAMA Cardiol</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3</w:t>
      </w:r>
      <w:r w:rsidRPr="00623D6F">
        <w:rPr>
          <w:rFonts w:ascii="Book Antiqua" w:eastAsia="Book Antiqua" w:hAnsi="Book Antiqua" w:cs="Book Antiqua"/>
          <w:color w:val="000000"/>
        </w:rPr>
        <w:t>: 1081-1089 [PMID: 30422202 DOI: 10.1001/jamacardio.2018.3466]</w:t>
      </w:r>
    </w:p>
    <w:p w14:paraId="66AEF9EC"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21 </w:t>
      </w:r>
      <w:r w:rsidRPr="00623D6F">
        <w:rPr>
          <w:rFonts w:ascii="Book Antiqua" w:eastAsia="Book Antiqua" w:hAnsi="Book Antiqua" w:cs="Book Antiqua"/>
          <w:b/>
          <w:bCs/>
          <w:color w:val="000000"/>
        </w:rPr>
        <w:t>Shiue I</w:t>
      </w:r>
      <w:r w:rsidRPr="00623D6F">
        <w:rPr>
          <w:rFonts w:ascii="Book Antiqua" w:eastAsia="Book Antiqua" w:hAnsi="Book Antiqua" w:cs="Book Antiqua"/>
          <w:color w:val="000000"/>
        </w:rPr>
        <w:t xml:space="preserve">, Perkins DR, Bearman N. Hospital admissions of hypertension, angina, myocardial infarction and ischemic heart disease peaked at physiologically equivalent temperature 0°C in Germany in 2009-2011. </w:t>
      </w:r>
      <w:r w:rsidRPr="00623D6F">
        <w:rPr>
          <w:rFonts w:ascii="Book Antiqua" w:eastAsia="Book Antiqua" w:hAnsi="Book Antiqua" w:cs="Book Antiqua"/>
          <w:i/>
          <w:iCs/>
          <w:color w:val="000000"/>
        </w:rPr>
        <w:t>Environ Sci Pollut Res Int</w:t>
      </w:r>
      <w:r w:rsidRPr="00623D6F">
        <w:rPr>
          <w:rFonts w:ascii="Book Antiqua" w:eastAsia="Book Antiqua" w:hAnsi="Book Antiqua" w:cs="Book Antiqua"/>
          <w:color w:val="000000"/>
        </w:rPr>
        <w:t xml:space="preserve"> 2016; </w:t>
      </w:r>
      <w:r w:rsidRPr="00623D6F">
        <w:rPr>
          <w:rFonts w:ascii="Book Antiqua" w:eastAsia="Book Antiqua" w:hAnsi="Book Antiqua" w:cs="Book Antiqua"/>
          <w:b/>
          <w:bCs/>
          <w:color w:val="000000"/>
        </w:rPr>
        <w:t>23</w:t>
      </w:r>
      <w:r w:rsidRPr="00623D6F">
        <w:rPr>
          <w:rFonts w:ascii="Book Antiqua" w:eastAsia="Book Antiqua" w:hAnsi="Book Antiqua" w:cs="Book Antiqua"/>
          <w:color w:val="000000"/>
        </w:rPr>
        <w:t>: 298-306 [PMID: 26286805 DOI: 10.1007/s11356-015-5224-x]</w:t>
      </w:r>
    </w:p>
    <w:p w14:paraId="61B6C90B" w14:textId="77777777" w:rsidR="0038018A" w:rsidRPr="00623D6F" w:rsidRDefault="00C220BD">
      <w:pPr>
        <w:spacing w:line="360" w:lineRule="auto"/>
        <w:jc w:val="both"/>
      </w:pPr>
      <w:r w:rsidRPr="00623D6F">
        <w:rPr>
          <w:rFonts w:ascii="Book Antiqua" w:eastAsia="Book Antiqua" w:hAnsi="Book Antiqua" w:cs="Book Antiqua"/>
          <w:color w:val="000000"/>
        </w:rPr>
        <w:lastRenderedPageBreak/>
        <w:t xml:space="preserve">22 </w:t>
      </w:r>
      <w:r w:rsidRPr="00623D6F">
        <w:rPr>
          <w:rFonts w:ascii="Book Antiqua" w:eastAsia="Book Antiqua" w:hAnsi="Book Antiqua" w:cs="Book Antiqua"/>
          <w:b/>
          <w:bCs/>
          <w:color w:val="000000"/>
        </w:rPr>
        <w:t>Gleason JA</w:t>
      </w:r>
      <w:r w:rsidRPr="00623D6F">
        <w:rPr>
          <w:rFonts w:ascii="Book Antiqua" w:eastAsia="Book Antiqua" w:hAnsi="Book Antiqua" w:cs="Book Antiqua"/>
          <w:color w:val="000000"/>
        </w:rPr>
        <w:t xml:space="preserve">, Kratz NR, Greeley RD, Fagliano JA. Under the Weather: Legionellosis and Meteorological Factors. </w:t>
      </w:r>
      <w:r w:rsidRPr="00623D6F">
        <w:rPr>
          <w:rFonts w:ascii="Book Antiqua" w:eastAsia="Book Antiqua" w:hAnsi="Book Antiqua" w:cs="Book Antiqua"/>
          <w:i/>
          <w:iCs/>
          <w:color w:val="000000"/>
        </w:rPr>
        <w:t>Ecohealth</w:t>
      </w:r>
      <w:r w:rsidRPr="00623D6F">
        <w:rPr>
          <w:rFonts w:ascii="Book Antiqua" w:eastAsia="Book Antiqua" w:hAnsi="Book Antiqua" w:cs="Book Antiqua"/>
          <w:color w:val="000000"/>
        </w:rPr>
        <w:t xml:space="preserve"> 2016; </w:t>
      </w:r>
      <w:r w:rsidRPr="00623D6F">
        <w:rPr>
          <w:rFonts w:ascii="Book Antiqua" w:eastAsia="Book Antiqua" w:hAnsi="Book Antiqua" w:cs="Book Antiqua"/>
          <w:b/>
          <w:bCs/>
          <w:color w:val="000000"/>
        </w:rPr>
        <w:t>13</w:t>
      </w:r>
      <w:r w:rsidRPr="00623D6F">
        <w:rPr>
          <w:rFonts w:ascii="Book Antiqua" w:eastAsia="Book Antiqua" w:hAnsi="Book Antiqua" w:cs="Book Antiqua"/>
          <w:color w:val="000000"/>
        </w:rPr>
        <w:t>: 293-302 [PMID: 26993637 DOI: 10.1007/s10393-016-1115-y]</w:t>
      </w:r>
    </w:p>
    <w:p w14:paraId="3C4BA3EE"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23 </w:t>
      </w:r>
      <w:r w:rsidRPr="00623D6F">
        <w:rPr>
          <w:rFonts w:ascii="Book Antiqua" w:eastAsia="Book Antiqua" w:hAnsi="Book Antiqua" w:cs="Book Antiqua"/>
          <w:b/>
          <w:bCs/>
          <w:color w:val="000000"/>
        </w:rPr>
        <w:t>Hu W</w:t>
      </w:r>
      <w:r w:rsidRPr="00623D6F">
        <w:rPr>
          <w:rFonts w:ascii="Book Antiqua" w:eastAsia="Book Antiqua" w:hAnsi="Book Antiqua" w:cs="Book Antiqua"/>
          <w:color w:val="000000"/>
        </w:rPr>
        <w:t xml:space="preserve">, Li Y, Han W, Xue L, Zhang W, Ma W, Bi P. Meteorological factors and the incidence of mumps in Fujian Province, China, 2005-2013: Non-linear effects. </w:t>
      </w:r>
      <w:r w:rsidRPr="00623D6F">
        <w:rPr>
          <w:rFonts w:ascii="Book Antiqua" w:eastAsia="Book Antiqua" w:hAnsi="Book Antiqua" w:cs="Book Antiqua"/>
          <w:i/>
          <w:iCs/>
          <w:color w:val="000000"/>
        </w:rPr>
        <w:t>Sci Total Environ</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619-620</w:t>
      </w:r>
      <w:r w:rsidRPr="00623D6F">
        <w:rPr>
          <w:rFonts w:ascii="Book Antiqua" w:eastAsia="Book Antiqua" w:hAnsi="Book Antiqua" w:cs="Book Antiqua"/>
          <w:color w:val="000000"/>
        </w:rPr>
        <w:t>: 1286-1298 [PMID: 29734606 DOI: 10.1016/j.scitotenv.2017.11.108]</w:t>
      </w:r>
    </w:p>
    <w:p w14:paraId="3CDCC1BF"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24 </w:t>
      </w:r>
      <w:r w:rsidRPr="00623D6F">
        <w:rPr>
          <w:rFonts w:ascii="Book Antiqua" w:eastAsia="Book Antiqua" w:hAnsi="Book Antiqua" w:cs="Book Antiqua"/>
          <w:b/>
          <w:bCs/>
          <w:color w:val="000000"/>
        </w:rPr>
        <w:t>Cha JM</w:t>
      </w:r>
      <w:r w:rsidRPr="00623D6F">
        <w:rPr>
          <w:rFonts w:ascii="Book Antiqua" w:eastAsia="Book Antiqua" w:hAnsi="Book Antiqua" w:cs="Book Antiqua"/>
          <w:color w:val="000000"/>
        </w:rPr>
        <w:t xml:space="preserve">, Moon JS, Chung IK, Kim JO, Im JP, Cho YK, Kim HG, Lee SK, Lee HL, Jang JY, Kim ES, Jung Y, Moon CM, Kim Y, Park BY. National Endoscopy Quality Improvement Program Remains Suboptimal in Korea. </w:t>
      </w:r>
      <w:r w:rsidRPr="00623D6F">
        <w:rPr>
          <w:rFonts w:ascii="Book Antiqua" w:eastAsia="Book Antiqua" w:hAnsi="Book Antiqua" w:cs="Book Antiqua"/>
          <w:i/>
          <w:iCs/>
          <w:color w:val="000000"/>
        </w:rPr>
        <w:t>Gut Liver</w:t>
      </w:r>
      <w:r w:rsidRPr="00623D6F">
        <w:rPr>
          <w:rFonts w:ascii="Book Antiqua" w:eastAsia="Book Antiqua" w:hAnsi="Book Antiqua" w:cs="Book Antiqua"/>
          <w:color w:val="000000"/>
        </w:rPr>
        <w:t xml:space="preserve"> 2016; </w:t>
      </w:r>
      <w:r w:rsidRPr="00623D6F">
        <w:rPr>
          <w:rFonts w:ascii="Book Antiqua" w:eastAsia="Book Antiqua" w:hAnsi="Book Antiqua" w:cs="Book Antiqua"/>
          <w:b/>
          <w:bCs/>
          <w:color w:val="000000"/>
        </w:rPr>
        <w:t>10</w:t>
      </w:r>
      <w:r w:rsidRPr="00623D6F">
        <w:rPr>
          <w:rFonts w:ascii="Book Antiqua" w:eastAsia="Book Antiqua" w:hAnsi="Book Antiqua" w:cs="Book Antiqua"/>
          <w:color w:val="000000"/>
        </w:rPr>
        <w:t>: 699-705 [PMID: 27282270 DOI: 10.5009/gnl15623]</w:t>
      </w:r>
    </w:p>
    <w:p w14:paraId="7C017F85"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25 </w:t>
      </w:r>
      <w:r w:rsidRPr="00623D6F">
        <w:rPr>
          <w:rFonts w:ascii="Book Antiqua" w:eastAsia="Book Antiqua" w:hAnsi="Book Antiqua" w:cs="Book Antiqua"/>
          <w:b/>
          <w:bCs/>
          <w:color w:val="000000"/>
        </w:rPr>
        <w:t>Beck HE</w:t>
      </w:r>
      <w:r w:rsidRPr="00623D6F">
        <w:rPr>
          <w:rFonts w:ascii="Book Antiqua" w:eastAsia="Book Antiqua" w:hAnsi="Book Antiqua" w:cs="Book Antiqua"/>
          <w:color w:val="000000"/>
        </w:rPr>
        <w:t xml:space="preserve">, Zimmermann NE, McVicar TR, Vergopolan N, Berg A, Wood EF. Present and future Köppen-Geiger climate classification maps at 1-km resolution. </w:t>
      </w:r>
      <w:r w:rsidRPr="00623D6F">
        <w:rPr>
          <w:rFonts w:ascii="Book Antiqua" w:eastAsia="Book Antiqua" w:hAnsi="Book Antiqua" w:cs="Book Antiqua"/>
          <w:i/>
          <w:iCs/>
          <w:color w:val="000000"/>
        </w:rPr>
        <w:t>Sci Data</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5</w:t>
      </w:r>
      <w:r w:rsidRPr="00623D6F">
        <w:rPr>
          <w:rFonts w:ascii="Book Antiqua" w:eastAsia="Book Antiqua" w:hAnsi="Book Antiqua" w:cs="Book Antiqua"/>
          <w:color w:val="000000"/>
        </w:rPr>
        <w:t>: 180214 [PMID: 30375988 DOI: 10.1038/sdata.2018.214]</w:t>
      </w:r>
    </w:p>
    <w:p w14:paraId="608607ED" w14:textId="72B57913" w:rsidR="0038018A" w:rsidRPr="00623D6F" w:rsidRDefault="00C220BD">
      <w:pPr>
        <w:spacing w:line="360" w:lineRule="auto"/>
        <w:jc w:val="both"/>
      </w:pPr>
      <w:r w:rsidRPr="00623D6F">
        <w:rPr>
          <w:rFonts w:ascii="Book Antiqua" w:eastAsia="Book Antiqua" w:hAnsi="Book Antiqua" w:cs="Book Antiqua"/>
          <w:color w:val="000000"/>
        </w:rPr>
        <w:t xml:space="preserve">26 </w:t>
      </w:r>
      <w:r w:rsidRPr="00623D6F">
        <w:rPr>
          <w:rFonts w:ascii="Book Antiqua" w:eastAsia="Book Antiqua" w:hAnsi="Book Antiqua" w:cs="Book Antiqua"/>
          <w:b/>
          <w:bCs/>
          <w:color w:val="000000"/>
        </w:rPr>
        <w:t>Geiger R Überarbeitete</w:t>
      </w:r>
      <w:r w:rsidRPr="00623D6F">
        <w:rPr>
          <w:rFonts w:ascii="Book Antiqua" w:eastAsia="Book Antiqua" w:hAnsi="Book Antiqua" w:cs="Book Antiqua"/>
          <w:color w:val="000000"/>
        </w:rPr>
        <w:t>, Neuausgabe von Geiger, R Köppen-Geiger/Klima der Erde. (Wandkarte 1: 16 Mill.)-Klett-Perthes, Gotha 1961</w:t>
      </w:r>
    </w:p>
    <w:p w14:paraId="10EAFD9F"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27 </w:t>
      </w:r>
      <w:r w:rsidRPr="00623D6F">
        <w:rPr>
          <w:rFonts w:ascii="Book Antiqua" w:eastAsia="Book Antiqua" w:hAnsi="Book Antiqua" w:cs="Book Antiqua"/>
          <w:b/>
          <w:bCs/>
          <w:color w:val="000000"/>
        </w:rPr>
        <w:t>Wang J</w:t>
      </w:r>
      <w:r w:rsidRPr="00623D6F">
        <w:rPr>
          <w:rFonts w:ascii="Book Antiqua" w:eastAsia="Book Antiqua" w:hAnsi="Book Antiqua" w:cs="Book Antiqua"/>
          <w:color w:val="000000"/>
        </w:rPr>
        <w:t xml:space="preserve">, Ogawa S. Effects of Meteorological Conditions on PM2.5 Concentrations in Nagasaki, Japan. </w:t>
      </w:r>
      <w:r w:rsidRPr="00623D6F">
        <w:rPr>
          <w:rFonts w:ascii="Book Antiqua" w:eastAsia="Book Antiqua" w:hAnsi="Book Antiqua" w:cs="Book Antiqua"/>
          <w:i/>
          <w:iCs/>
          <w:color w:val="000000"/>
        </w:rPr>
        <w:t>Int J Environ Res Public Health</w:t>
      </w:r>
      <w:r w:rsidRPr="00623D6F">
        <w:rPr>
          <w:rFonts w:ascii="Book Antiqua" w:eastAsia="Book Antiqua" w:hAnsi="Book Antiqua" w:cs="Book Antiqua"/>
          <w:color w:val="000000"/>
        </w:rPr>
        <w:t xml:space="preserve"> 2015; </w:t>
      </w:r>
      <w:r w:rsidRPr="00623D6F">
        <w:rPr>
          <w:rFonts w:ascii="Book Antiqua" w:eastAsia="Book Antiqua" w:hAnsi="Book Antiqua" w:cs="Book Antiqua"/>
          <w:b/>
          <w:bCs/>
          <w:color w:val="000000"/>
        </w:rPr>
        <w:t>12</w:t>
      </w:r>
      <w:r w:rsidRPr="00623D6F">
        <w:rPr>
          <w:rFonts w:ascii="Book Antiqua" w:eastAsia="Book Antiqua" w:hAnsi="Book Antiqua" w:cs="Book Antiqua"/>
          <w:color w:val="000000"/>
        </w:rPr>
        <w:t>: 9089-9101 [PMID: 26247953 DOI: 10.3390/ijerph120809089]</w:t>
      </w:r>
    </w:p>
    <w:p w14:paraId="22106D2B"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28 </w:t>
      </w:r>
      <w:r w:rsidRPr="00623D6F">
        <w:rPr>
          <w:rFonts w:ascii="Book Antiqua" w:eastAsia="Book Antiqua" w:hAnsi="Book Antiqua" w:cs="Book Antiqua"/>
          <w:b/>
          <w:bCs/>
          <w:color w:val="000000"/>
        </w:rPr>
        <w:t>Surdea-Blaga T</w:t>
      </w:r>
      <w:r w:rsidRPr="00623D6F">
        <w:rPr>
          <w:rFonts w:ascii="Book Antiqua" w:eastAsia="Book Antiqua" w:hAnsi="Book Antiqua" w:cs="Book Antiqua"/>
          <w:color w:val="000000"/>
        </w:rPr>
        <w:t xml:space="preserve">, Negrutiu DE, Palage M, Dumitrascu DL. Food and Gastroesophageal Reflux Disease. </w:t>
      </w:r>
      <w:r w:rsidRPr="00623D6F">
        <w:rPr>
          <w:rFonts w:ascii="Book Antiqua" w:eastAsia="Book Antiqua" w:hAnsi="Book Antiqua" w:cs="Book Antiqua"/>
          <w:i/>
          <w:iCs/>
          <w:color w:val="000000"/>
        </w:rPr>
        <w:t>Curr Med Chem</w:t>
      </w:r>
      <w:r w:rsidRPr="00623D6F">
        <w:rPr>
          <w:rFonts w:ascii="Book Antiqua" w:eastAsia="Book Antiqua" w:hAnsi="Book Antiqua" w:cs="Book Antiqua"/>
          <w:color w:val="000000"/>
        </w:rPr>
        <w:t xml:space="preserve"> 2019; </w:t>
      </w:r>
      <w:r w:rsidRPr="00623D6F">
        <w:rPr>
          <w:rFonts w:ascii="Book Antiqua" w:eastAsia="Book Antiqua" w:hAnsi="Book Antiqua" w:cs="Book Antiqua"/>
          <w:b/>
          <w:bCs/>
          <w:color w:val="000000"/>
        </w:rPr>
        <w:t>26</w:t>
      </w:r>
      <w:r w:rsidRPr="00623D6F">
        <w:rPr>
          <w:rFonts w:ascii="Book Antiqua" w:eastAsia="Book Antiqua" w:hAnsi="Book Antiqua" w:cs="Book Antiqua"/>
          <w:color w:val="000000"/>
        </w:rPr>
        <w:t>: 3497-3511 [PMID: 28521699 DOI: 10.2174/0929867324666170515123807]</w:t>
      </w:r>
    </w:p>
    <w:p w14:paraId="6B38CB22" w14:textId="77777777" w:rsidR="0038018A" w:rsidRPr="00623D6F" w:rsidRDefault="00C220BD">
      <w:pPr>
        <w:spacing w:line="360" w:lineRule="auto"/>
        <w:jc w:val="both"/>
      </w:pPr>
      <w:r w:rsidRPr="00623D6F">
        <w:rPr>
          <w:rFonts w:ascii="Book Antiqua" w:eastAsia="Book Antiqua" w:hAnsi="Book Antiqua" w:cs="Book Antiqua"/>
          <w:color w:val="000000"/>
        </w:rPr>
        <w:t xml:space="preserve">29 </w:t>
      </w:r>
      <w:r w:rsidRPr="00623D6F">
        <w:rPr>
          <w:rFonts w:ascii="Book Antiqua" w:eastAsia="Book Antiqua" w:hAnsi="Book Antiqua" w:cs="Book Antiqua"/>
          <w:b/>
          <w:bCs/>
          <w:color w:val="000000"/>
        </w:rPr>
        <w:t>Zhao Q</w:t>
      </w:r>
      <w:r w:rsidRPr="00623D6F">
        <w:rPr>
          <w:rFonts w:ascii="Book Antiqua" w:eastAsia="Book Antiqua" w:hAnsi="Book Antiqua" w:cs="Book Antiqua"/>
          <w:color w:val="000000"/>
        </w:rPr>
        <w:t xml:space="preserve">, Zhao Y, Li S, Zhang Y, Wang Q, Zhang H, Qiao H, Li W, Huxley R, Williams G, Zhang Y, Guo Y. Impact of ambient temperature on clinical visits for cardio-respiratory diseases in rural villages in northwest China. </w:t>
      </w:r>
      <w:r w:rsidRPr="00623D6F">
        <w:rPr>
          <w:rFonts w:ascii="Book Antiqua" w:eastAsia="Book Antiqua" w:hAnsi="Book Antiqua" w:cs="Book Antiqua"/>
          <w:i/>
          <w:iCs/>
          <w:color w:val="000000"/>
        </w:rPr>
        <w:t>Sci Total Environ</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612</w:t>
      </w:r>
      <w:r w:rsidRPr="00623D6F">
        <w:rPr>
          <w:rFonts w:ascii="Book Antiqua" w:eastAsia="Book Antiqua" w:hAnsi="Book Antiqua" w:cs="Book Antiqua"/>
          <w:color w:val="000000"/>
        </w:rPr>
        <w:t>: 379-385 [PMID: 28858748 DOI: 10.1016/j.scitotenv.2017.08.244]</w:t>
      </w:r>
    </w:p>
    <w:p w14:paraId="7CD5C03F" w14:textId="77777777" w:rsidR="0038018A" w:rsidRPr="00623D6F" w:rsidRDefault="00C220BD">
      <w:pPr>
        <w:spacing w:line="360" w:lineRule="auto"/>
        <w:jc w:val="both"/>
      </w:pPr>
      <w:r w:rsidRPr="00623D6F">
        <w:rPr>
          <w:rFonts w:ascii="Book Antiqua" w:eastAsia="Book Antiqua" w:hAnsi="Book Antiqua" w:cs="Book Antiqua"/>
          <w:color w:val="000000"/>
        </w:rPr>
        <w:t xml:space="preserve">30 </w:t>
      </w:r>
      <w:r w:rsidRPr="00623D6F">
        <w:rPr>
          <w:rFonts w:ascii="Book Antiqua" w:eastAsia="Book Antiqua" w:hAnsi="Book Antiqua" w:cs="Book Antiqua"/>
          <w:b/>
          <w:bCs/>
          <w:color w:val="000000"/>
        </w:rPr>
        <w:t>Abramson MJ</w:t>
      </w:r>
      <w:r w:rsidRPr="00623D6F">
        <w:rPr>
          <w:rFonts w:ascii="Book Antiqua" w:eastAsia="Book Antiqua" w:hAnsi="Book Antiqua" w:cs="Book Antiqua"/>
          <w:color w:val="000000"/>
        </w:rPr>
        <w:t xml:space="preserve">, Blackman J, Carroll M, Gao CX, Del Monaco A, Brown D, Dimitriadis C, Johnson A, Guo Y, Sim MR, Walker J. Chronic cough is related to cumulative PM2.5 exposure from a coal mine fire. </w:t>
      </w:r>
      <w:r w:rsidRPr="00623D6F">
        <w:rPr>
          <w:rFonts w:ascii="Book Antiqua" w:eastAsia="Book Antiqua" w:hAnsi="Book Antiqua" w:cs="Book Antiqua"/>
          <w:i/>
          <w:iCs/>
          <w:color w:val="000000"/>
        </w:rPr>
        <w:t>European Respiratory Journal</w:t>
      </w:r>
      <w:r w:rsidRPr="00623D6F">
        <w:rPr>
          <w:rFonts w:ascii="Book Antiqua" w:eastAsia="Book Antiqua" w:hAnsi="Book Antiqua" w:cs="Book Antiqua"/>
          <w:color w:val="000000"/>
        </w:rPr>
        <w:t xml:space="preserve"> 2019; </w:t>
      </w:r>
      <w:r w:rsidRPr="00623D6F">
        <w:rPr>
          <w:rFonts w:ascii="Book Antiqua" w:eastAsia="Book Antiqua" w:hAnsi="Book Antiqua" w:cs="Book Antiqua"/>
          <w:b/>
          <w:bCs/>
          <w:color w:val="000000"/>
        </w:rPr>
        <w:t>54 Suppl 63</w:t>
      </w:r>
      <w:r w:rsidRPr="00623D6F">
        <w:rPr>
          <w:rFonts w:ascii="Book Antiqua" w:eastAsia="Book Antiqua" w:hAnsi="Book Antiqua" w:cs="Book Antiqua"/>
          <w:color w:val="000000"/>
        </w:rPr>
        <w:t>: PA4455 [DOI: 10.1183/13993003.congress-2019.PA4455]</w:t>
      </w:r>
    </w:p>
    <w:p w14:paraId="2F3D3C7B" w14:textId="77777777" w:rsidR="0038018A" w:rsidRPr="00623D6F" w:rsidRDefault="00C220BD">
      <w:pPr>
        <w:spacing w:line="360" w:lineRule="auto"/>
        <w:jc w:val="both"/>
      </w:pPr>
      <w:r w:rsidRPr="00623D6F">
        <w:rPr>
          <w:rFonts w:ascii="Book Antiqua" w:eastAsia="Book Antiqua" w:hAnsi="Book Antiqua" w:cs="Book Antiqua"/>
          <w:color w:val="000000"/>
        </w:rPr>
        <w:lastRenderedPageBreak/>
        <w:t xml:space="preserve">31 </w:t>
      </w:r>
      <w:r w:rsidRPr="00623D6F">
        <w:rPr>
          <w:rFonts w:ascii="Book Antiqua" w:eastAsia="Book Antiqua" w:hAnsi="Book Antiqua" w:cs="Book Antiqua"/>
          <w:b/>
          <w:bCs/>
          <w:color w:val="000000"/>
        </w:rPr>
        <w:t>Xing YF</w:t>
      </w:r>
      <w:r w:rsidRPr="00623D6F">
        <w:rPr>
          <w:rFonts w:ascii="Book Antiqua" w:eastAsia="Book Antiqua" w:hAnsi="Book Antiqua" w:cs="Book Antiqua"/>
          <w:color w:val="000000"/>
        </w:rPr>
        <w:t xml:space="preserve">, Xu YH, Shi MH, Lian YX. The impact of PM2.5 on the human respiratory system. </w:t>
      </w:r>
      <w:r w:rsidRPr="00623D6F">
        <w:rPr>
          <w:rFonts w:ascii="Book Antiqua" w:eastAsia="Book Antiqua" w:hAnsi="Book Antiqua" w:cs="Book Antiqua"/>
          <w:i/>
          <w:iCs/>
          <w:color w:val="000000"/>
        </w:rPr>
        <w:t>J Thorac Dis</w:t>
      </w:r>
      <w:r w:rsidRPr="00623D6F">
        <w:rPr>
          <w:rFonts w:ascii="Book Antiqua" w:eastAsia="Book Antiqua" w:hAnsi="Book Antiqua" w:cs="Book Antiqua"/>
          <w:color w:val="000000"/>
        </w:rPr>
        <w:t xml:space="preserve"> 2016; </w:t>
      </w:r>
      <w:r w:rsidRPr="00623D6F">
        <w:rPr>
          <w:rFonts w:ascii="Book Antiqua" w:eastAsia="Book Antiqua" w:hAnsi="Book Antiqua" w:cs="Book Antiqua"/>
          <w:b/>
          <w:bCs/>
          <w:color w:val="000000"/>
        </w:rPr>
        <w:t>8</w:t>
      </w:r>
      <w:r w:rsidRPr="00623D6F">
        <w:rPr>
          <w:rFonts w:ascii="Book Antiqua" w:eastAsia="Book Antiqua" w:hAnsi="Book Antiqua" w:cs="Book Antiqua"/>
          <w:color w:val="000000"/>
        </w:rPr>
        <w:t>: E69-E74 [PMID: 26904255 DOI: 10.3978/j.issn.2072-1439.2016.01.19]</w:t>
      </w:r>
    </w:p>
    <w:p w14:paraId="5B45FD72" w14:textId="77777777" w:rsidR="0038018A" w:rsidRPr="00623D6F" w:rsidRDefault="00C220BD">
      <w:pPr>
        <w:spacing w:line="360" w:lineRule="auto"/>
        <w:jc w:val="both"/>
      </w:pPr>
      <w:r w:rsidRPr="00623D6F">
        <w:rPr>
          <w:rFonts w:ascii="Book Antiqua" w:eastAsia="Book Antiqua" w:hAnsi="Book Antiqua" w:cs="Book Antiqua"/>
          <w:color w:val="000000"/>
        </w:rPr>
        <w:t xml:space="preserve">32 </w:t>
      </w:r>
      <w:r w:rsidRPr="00623D6F">
        <w:rPr>
          <w:rFonts w:ascii="Book Antiqua" w:eastAsia="Book Antiqua" w:hAnsi="Book Antiqua" w:cs="Book Antiqua"/>
          <w:b/>
          <w:bCs/>
          <w:color w:val="000000"/>
        </w:rPr>
        <w:t>Mar TF</w:t>
      </w:r>
      <w:r w:rsidRPr="00623D6F">
        <w:rPr>
          <w:rFonts w:ascii="Book Antiqua" w:eastAsia="Book Antiqua" w:hAnsi="Book Antiqua" w:cs="Book Antiqua"/>
          <w:color w:val="000000"/>
        </w:rPr>
        <w:t xml:space="preserve">, Koenig JQ, Jansen K, Sullivan J, Kaufman J, Trenga CA, Siahpush SH, Liu LJ, Neas L. Fine particulate air pollution and cardiorespiratory effects in the elderly. </w:t>
      </w:r>
      <w:r w:rsidRPr="00623D6F">
        <w:rPr>
          <w:rFonts w:ascii="Book Antiqua" w:eastAsia="Book Antiqua" w:hAnsi="Book Antiqua" w:cs="Book Antiqua"/>
          <w:i/>
          <w:iCs/>
          <w:color w:val="000000"/>
        </w:rPr>
        <w:t>Epidemiology</w:t>
      </w:r>
      <w:r w:rsidRPr="00623D6F">
        <w:rPr>
          <w:rFonts w:ascii="Book Antiqua" w:eastAsia="Book Antiqua" w:hAnsi="Book Antiqua" w:cs="Book Antiqua"/>
          <w:color w:val="000000"/>
        </w:rPr>
        <w:t xml:space="preserve"> 2005; </w:t>
      </w:r>
      <w:r w:rsidRPr="00623D6F">
        <w:rPr>
          <w:rFonts w:ascii="Book Antiqua" w:eastAsia="Book Antiqua" w:hAnsi="Book Antiqua" w:cs="Book Antiqua"/>
          <w:b/>
          <w:bCs/>
          <w:color w:val="000000"/>
        </w:rPr>
        <w:t>16</w:t>
      </w:r>
      <w:r w:rsidRPr="00623D6F">
        <w:rPr>
          <w:rFonts w:ascii="Book Antiqua" w:eastAsia="Book Antiqua" w:hAnsi="Book Antiqua" w:cs="Book Antiqua"/>
          <w:color w:val="000000"/>
        </w:rPr>
        <w:t>: 681-687 [PMID: 16135945 DOI: 10.1097/01.ede.0000173037.83211.d6]</w:t>
      </w:r>
    </w:p>
    <w:p w14:paraId="2718D230" w14:textId="17E26DD2" w:rsidR="0038018A" w:rsidRPr="00623D6F" w:rsidRDefault="00C220BD">
      <w:pPr>
        <w:spacing w:line="360" w:lineRule="auto"/>
        <w:jc w:val="both"/>
      </w:pPr>
      <w:r w:rsidRPr="00623D6F">
        <w:rPr>
          <w:rFonts w:ascii="Book Antiqua" w:eastAsia="Book Antiqua" w:hAnsi="Book Antiqua" w:cs="Book Antiqua"/>
          <w:color w:val="000000"/>
        </w:rPr>
        <w:t xml:space="preserve">33 </w:t>
      </w:r>
      <w:r w:rsidRPr="00623D6F">
        <w:rPr>
          <w:rFonts w:ascii="Book Antiqua" w:eastAsia="Book Antiqua" w:hAnsi="Book Antiqua" w:cs="Book Antiqua"/>
          <w:b/>
          <w:bCs/>
          <w:color w:val="000000"/>
        </w:rPr>
        <w:t>Mutlu EA</w:t>
      </w:r>
      <w:r w:rsidRPr="00623D6F">
        <w:rPr>
          <w:rFonts w:ascii="Book Antiqua" w:eastAsia="Book Antiqua" w:hAnsi="Book Antiqua" w:cs="Book Antiqua"/>
          <w:color w:val="000000"/>
        </w:rPr>
        <w:t xml:space="preserve">, Comba IY, Cho T, Engen PA, </w:t>
      </w:r>
      <w:proofErr w:type="spellStart"/>
      <w:r w:rsidR="00E27918" w:rsidRPr="00623D6F">
        <w:rPr>
          <w:rFonts w:ascii="Book Antiqua" w:eastAsia="Book Antiqua" w:hAnsi="Book Antiqua" w:cs="Book Antiqua"/>
          <w:color w:val="000000"/>
        </w:rPr>
        <w:t>Yazıcı</w:t>
      </w:r>
      <w:proofErr w:type="spellEnd"/>
      <w:r w:rsidR="00E27918" w:rsidRPr="00623D6F">
        <w:rPr>
          <w:rFonts w:ascii="Book Antiqua" w:eastAsia="Book Antiqua" w:hAnsi="Book Antiqua" w:cs="Book Antiqua"/>
          <w:color w:val="000000"/>
        </w:rPr>
        <w:t xml:space="preserve"> </w:t>
      </w:r>
      <w:r w:rsidRPr="00623D6F">
        <w:rPr>
          <w:rFonts w:ascii="Book Antiqua" w:eastAsia="Book Antiqua" w:hAnsi="Book Antiqua" w:cs="Book Antiqua"/>
          <w:color w:val="000000"/>
        </w:rPr>
        <w:t xml:space="preserve">C, </w:t>
      </w:r>
      <w:proofErr w:type="spellStart"/>
      <w:r w:rsidRPr="00623D6F">
        <w:rPr>
          <w:rFonts w:ascii="Book Antiqua" w:eastAsia="Book Antiqua" w:hAnsi="Book Antiqua" w:cs="Book Antiqua"/>
          <w:color w:val="000000"/>
        </w:rPr>
        <w:t>Soberanes</w:t>
      </w:r>
      <w:proofErr w:type="spellEnd"/>
      <w:r w:rsidRPr="00623D6F">
        <w:rPr>
          <w:rFonts w:ascii="Book Antiqua" w:eastAsia="Book Antiqua" w:hAnsi="Book Antiqua" w:cs="Book Antiqua"/>
          <w:color w:val="000000"/>
        </w:rPr>
        <w:t xml:space="preserve"> S, </w:t>
      </w:r>
      <w:proofErr w:type="spellStart"/>
      <w:r w:rsidRPr="00623D6F">
        <w:rPr>
          <w:rFonts w:ascii="Book Antiqua" w:eastAsia="Book Antiqua" w:hAnsi="Book Antiqua" w:cs="Book Antiqua"/>
          <w:color w:val="000000"/>
        </w:rPr>
        <w:t>Hamanaka</w:t>
      </w:r>
      <w:proofErr w:type="spellEnd"/>
      <w:r w:rsidRPr="00623D6F">
        <w:rPr>
          <w:rFonts w:ascii="Book Antiqua" w:eastAsia="Book Antiqua" w:hAnsi="Book Antiqua" w:cs="Book Antiqua"/>
          <w:color w:val="000000"/>
        </w:rPr>
        <w:t xml:space="preserve"> RB, </w:t>
      </w:r>
      <w:proofErr w:type="spellStart"/>
      <w:r w:rsidR="00E27918" w:rsidRPr="00623D6F">
        <w:rPr>
          <w:rFonts w:ascii="Book Antiqua" w:eastAsia="Book Antiqua" w:hAnsi="Book Antiqua" w:cs="Book Antiqua"/>
          <w:color w:val="000000"/>
        </w:rPr>
        <w:t>Niğdelioğlu</w:t>
      </w:r>
      <w:proofErr w:type="spellEnd"/>
      <w:r w:rsidRPr="00623D6F">
        <w:rPr>
          <w:rFonts w:ascii="Book Antiqua" w:eastAsia="Book Antiqua" w:hAnsi="Book Antiqua" w:cs="Book Antiqua"/>
          <w:color w:val="000000"/>
        </w:rPr>
        <w:t xml:space="preserve"> R, Meliton AY, Ghio AJ, Budinger GRS, Mutlu GM. Inhalational exposure to particulate matter air pollution alters the composition of the gut microbiome. </w:t>
      </w:r>
      <w:r w:rsidRPr="00623D6F">
        <w:rPr>
          <w:rFonts w:ascii="Book Antiqua" w:eastAsia="Book Antiqua" w:hAnsi="Book Antiqua" w:cs="Book Antiqua"/>
          <w:i/>
          <w:iCs/>
          <w:color w:val="000000"/>
        </w:rPr>
        <w:t>Environ Pollut</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240</w:t>
      </w:r>
      <w:r w:rsidRPr="00623D6F">
        <w:rPr>
          <w:rFonts w:ascii="Book Antiqua" w:eastAsia="Book Antiqua" w:hAnsi="Book Antiqua" w:cs="Book Antiqua"/>
          <w:color w:val="000000"/>
        </w:rPr>
        <w:t>: 817-830 [PMID: 29783199 DOI: 10.1016/j.envpol.2018.04.130]</w:t>
      </w:r>
    </w:p>
    <w:p w14:paraId="7E4431C2" w14:textId="77777777" w:rsidR="0038018A" w:rsidRPr="00623D6F" w:rsidRDefault="00C220BD">
      <w:pPr>
        <w:spacing w:line="360" w:lineRule="auto"/>
        <w:jc w:val="both"/>
      </w:pPr>
      <w:r w:rsidRPr="00623D6F">
        <w:rPr>
          <w:rFonts w:ascii="Book Antiqua" w:eastAsia="Book Antiqua" w:hAnsi="Book Antiqua" w:cs="Book Antiqua"/>
          <w:color w:val="000000"/>
        </w:rPr>
        <w:t xml:space="preserve">34 </w:t>
      </w:r>
      <w:r w:rsidRPr="00623D6F">
        <w:rPr>
          <w:rFonts w:ascii="Book Antiqua" w:eastAsia="Book Antiqua" w:hAnsi="Book Antiqua" w:cs="Book Antiqua"/>
          <w:b/>
          <w:bCs/>
          <w:color w:val="000000"/>
        </w:rPr>
        <w:t>Zhang Y</w:t>
      </w:r>
      <w:r w:rsidRPr="00623D6F">
        <w:rPr>
          <w:rFonts w:ascii="Book Antiqua" w:eastAsia="Book Antiqua" w:hAnsi="Book Antiqua" w:cs="Book Antiqua"/>
          <w:color w:val="000000"/>
        </w:rPr>
        <w:t>, Li Y, Shi Z, Wu J, Yang X, Feng L, Ren L, Duan J, Sun Z. Metabolic impact induced by total, water soluble and insoluble components of PM</w:t>
      </w:r>
      <w:r w:rsidRPr="00623D6F">
        <w:rPr>
          <w:rFonts w:ascii="Book Antiqua" w:eastAsia="Book Antiqua" w:hAnsi="Book Antiqua" w:cs="Book Antiqua"/>
          <w:color w:val="000000"/>
          <w:szCs w:val="30"/>
          <w:vertAlign w:val="subscript"/>
        </w:rPr>
        <w:t>2.5</w:t>
      </w:r>
      <w:r w:rsidRPr="00623D6F">
        <w:rPr>
          <w:rFonts w:ascii="Book Antiqua" w:eastAsia="Book Antiqua" w:hAnsi="Book Antiqua" w:cs="Book Antiqua"/>
          <w:color w:val="000000"/>
        </w:rPr>
        <w:t xml:space="preserve"> acute exposure in mice. </w:t>
      </w:r>
      <w:r w:rsidRPr="00623D6F">
        <w:rPr>
          <w:rFonts w:ascii="Book Antiqua" w:eastAsia="Book Antiqua" w:hAnsi="Book Antiqua" w:cs="Book Antiqua"/>
          <w:i/>
          <w:iCs/>
          <w:color w:val="000000"/>
        </w:rPr>
        <w:t>Chemosphere</w:t>
      </w:r>
      <w:r w:rsidRPr="00623D6F">
        <w:rPr>
          <w:rFonts w:ascii="Book Antiqua" w:eastAsia="Book Antiqua" w:hAnsi="Book Antiqua" w:cs="Book Antiqua"/>
          <w:color w:val="000000"/>
        </w:rPr>
        <w:t xml:space="preserve"> 2018; </w:t>
      </w:r>
      <w:r w:rsidRPr="00623D6F">
        <w:rPr>
          <w:rFonts w:ascii="Book Antiqua" w:eastAsia="Book Antiqua" w:hAnsi="Book Antiqua" w:cs="Book Antiqua"/>
          <w:b/>
          <w:bCs/>
          <w:color w:val="000000"/>
        </w:rPr>
        <w:t>207</w:t>
      </w:r>
      <w:r w:rsidRPr="00623D6F">
        <w:rPr>
          <w:rFonts w:ascii="Book Antiqua" w:eastAsia="Book Antiqua" w:hAnsi="Book Antiqua" w:cs="Book Antiqua"/>
          <w:color w:val="000000"/>
        </w:rPr>
        <w:t>: 337-346 [PMID: 29803883 DOI: 10.1016/j.chemosphere.2018.05.098]</w:t>
      </w:r>
    </w:p>
    <w:p w14:paraId="1935D3C5" w14:textId="77777777" w:rsidR="0038018A" w:rsidRPr="00623D6F" w:rsidRDefault="00C220BD">
      <w:pPr>
        <w:spacing w:line="360" w:lineRule="auto"/>
        <w:jc w:val="both"/>
      </w:pPr>
      <w:r w:rsidRPr="00623D6F">
        <w:rPr>
          <w:rFonts w:ascii="Book Antiqua" w:eastAsia="Book Antiqua" w:hAnsi="Book Antiqua" w:cs="Book Antiqua"/>
          <w:color w:val="000000"/>
        </w:rPr>
        <w:t xml:space="preserve">35 </w:t>
      </w:r>
      <w:r w:rsidRPr="00623D6F">
        <w:rPr>
          <w:rFonts w:ascii="Book Antiqua" w:eastAsia="Book Antiqua" w:hAnsi="Book Antiqua" w:cs="Book Antiqua"/>
          <w:b/>
          <w:bCs/>
          <w:color w:val="000000"/>
        </w:rPr>
        <w:t>Fawcett TA</w:t>
      </w:r>
      <w:r w:rsidRPr="00623D6F">
        <w:rPr>
          <w:rFonts w:ascii="Book Antiqua" w:eastAsia="Book Antiqua" w:hAnsi="Book Antiqua" w:cs="Book Antiqua"/>
          <w:color w:val="000000"/>
        </w:rPr>
        <w:t xml:space="preserve">, Moon RE, Fracica PJ, Mebane GY, Theil DR, Piantadosi CA. Warehouse workers' headache. Carbon monoxide poisoning from propane-fueled forklifts. </w:t>
      </w:r>
      <w:r w:rsidRPr="00623D6F">
        <w:rPr>
          <w:rFonts w:ascii="Book Antiqua" w:eastAsia="Book Antiqua" w:hAnsi="Book Antiqua" w:cs="Book Antiqua"/>
          <w:i/>
          <w:iCs/>
          <w:color w:val="000000"/>
        </w:rPr>
        <w:t>J Occup Med</w:t>
      </w:r>
      <w:r w:rsidRPr="00623D6F">
        <w:rPr>
          <w:rFonts w:ascii="Book Antiqua" w:eastAsia="Book Antiqua" w:hAnsi="Book Antiqua" w:cs="Book Antiqua"/>
          <w:color w:val="000000"/>
        </w:rPr>
        <w:t xml:space="preserve"> 1992; </w:t>
      </w:r>
      <w:r w:rsidRPr="00623D6F">
        <w:rPr>
          <w:rFonts w:ascii="Book Antiqua" w:eastAsia="Book Antiqua" w:hAnsi="Book Antiqua" w:cs="Book Antiqua"/>
          <w:b/>
          <w:bCs/>
          <w:color w:val="000000"/>
        </w:rPr>
        <w:t>34</w:t>
      </w:r>
      <w:r w:rsidRPr="00623D6F">
        <w:rPr>
          <w:rFonts w:ascii="Book Antiqua" w:eastAsia="Book Antiqua" w:hAnsi="Book Antiqua" w:cs="Book Antiqua"/>
          <w:color w:val="000000"/>
        </w:rPr>
        <w:t>: 12-15 [PMID: 1552375]</w:t>
      </w:r>
    </w:p>
    <w:p w14:paraId="4109DC72" w14:textId="77777777" w:rsidR="0038018A" w:rsidRPr="00623D6F" w:rsidRDefault="00C220BD">
      <w:pPr>
        <w:spacing w:line="360" w:lineRule="auto"/>
        <w:jc w:val="both"/>
      </w:pPr>
      <w:r w:rsidRPr="00623D6F">
        <w:rPr>
          <w:rFonts w:ascii="Book Antiqua" w:eastAsia="Book Antiqua" w:hAnsi="Book Antiqua" w:cs="Book Antiqua"/>
          <w:color w:val="000000"/>
        </w:rPr>
        <w:t xml:space="preserve">36 </w:t>
      </w:r>
      <w:r w:rsidRPr="00623D6F">
        <w:rPr>
          <w:rFonts w:ascii="Book Antiqua" w:eastAsia="Book Antiqua" w:hAnsi="Book Antiqua" w:cs="Book Antiqua"/>
          <w:b/>
          <w:bCs/>
          <w:color w:val="000000"/>
        </w:rPr>
        <w:t>Johnson AC</w:t>
      </w:r>
      <w:r w:rsidRPr="00623D6F">
        <w:rPr>
          <w:rFonts w:ascii="Book Antiqua" w:eastAsia="Book Antiqua" w:hAnsi="Book Antiqua" w:cs="Book Antiqua"/>
          <w:color w:val="000000"/>
        </w:rPr>
        <w:t>, Morata TC. The Nordic Expert Group for criteria documentation of health risks from chemicals: 142, Göteborg: University of Gothenburg, 2009</w:t>
      </w:r>
    </w:p>
    <w:p w14:paraId="325ADDE0" w14:textId="77777777" w:rsidR="0038018A" w:rsidRPr="00623D6F" w:rsidRDefault="00C220BD">
      <w:pPr>
        <w:spacing w:line="360" w:lineRule="auto"/>
        <w:jc w:val="both"/>
      </w:pPr>
      <w:r w:rsidRPr="00623D6F">
        <w:rPr>
          <w:rFonts w:ascii="Book Antiqua" w:eastAsia="Book Antiqua" w:hAnsi="Book Antiqua" w:cs="Book Antiqua"/>
          <w:color w:val="000000"/>
        </w:rPr>
        <w:t xml:space="preserve">37 </w:t>
      </w:r>
      <w:r w:rsidRPr="00623D6F">
        <w:rPr>
          <w:rFonts w:ascii="Book Antiqua" w:eastAsia="Book Antiqua" w:hAnsi="Book Antiqua" w:cs="Book Antiqua"/>
          <w:b/>
          <w:bCs/>
          <w:color w:val="000000"/>
        </w:rPr>
        <w:t>Bateman DN</w:t>
      </w:r>
      <w:r w:rsidRPr="00623D6F">
        <w:rPr>
          <w:rFonts w:ascii="Book Antiqua" w:eastAsia="Book Antiqua" w:hAnsi="Book Antiqua" w:cs="Book Antiqua"/>
          <w:color w:val="000000"/>
        </w:rPr>
        <w:t xml:space="preserve">. Carbon Monoxide. </w:t>
      </w:r>
      <w:r w:rsidRPr="00623D6F">
        <w:rPr>
          <w:rFonts w:ascii="Book Antiqua" w:eastAsia="Book Antiqua" w:hAnsi="Book Antiqua" w:cs="Book Antiqua"/>
          <w:i/>
          <w:iCs/>
          <w:color w:val="000000"/>
        </w:rPr>
        <w:t>Medicine</w:t>
      </w:r>
      <w:r w:rsidRPr="00623D6F">
        <w:rPr>
          <w:rFonts w:ascii="Book Antiqua" w:eastAsia="Book Antiqua" w:hAnsi="Book Antiqua" w:cs="Book Antiqua"/>
          <w:color w:val="000000"/>
        </w:rPr>
        <w:t xml:space="preserve"> 2003; </w:t>
      </w:r>
      <w:r w:rsidRPr="00623D6F">
        <w:rPr>
          <w:rFonts w:ascii="Book Antiqua" w:eastAsia="Book Antiqua" w:hAnsi="Book Antiqua" w:cs="Book Antiqua"/>
          <w:b/>
          <w:bCs/>
          <w:color w:val="000000"/>
        </w:rPr>
        <w:t>31</w:t>
      </w:r>
      <w:r w:rsidRPr="00623D6F">
        <w:rPr>
          <w:rFonts w:ascii="Book Antiqua" w:eastAsia="Book Antiqua" w:hAnsi="Book Antiqua" w:cs="Book Antiqua"/>
          <w:color w:val="000000"/>
        </w:rPr>
        <w:t>: 41-42 [DOI: 10.1383/medc.31.10.41.27810]</w:t>
      </w:r>
    </w:p>
    <w:p w14:paraId="62FEB9C2" w14:textId="77777777" w:rsidR="0038018A" w:rsidRPr="00623D6F" w:rsidRDefault="0038018A">
      <w:pPr>
        <w:spacing w:line="360" w:lineRule="auto"/>
        <w:jc w:val="both"/>
        <w:sectPr w:rsidR="0038018A" w:rsidRPr="00623D6F">
          <w:pgSz w:w="12240" w:h="15840"/>
          <w:pgMar w:top="1440" w:right="1440" w:bottom="1440" w:left="1440" w:header="720" w:footer="720" w:gutter="0"/>
          <w:cols w:space="720"/>
          <w:docGrid w:linePitch="360"/>
        </w:sectPr>
      </w:pPr>
    </w:p>
    <w:p w14:paraId="61292A15" w14:textId="77777777" w:rsidR="0038018A" w:rsidRPr="00623D6F" w:rsidRDefault="00C220BD">
      <w:pPr>
        <w:spacing w:line="360" w:lineRule="auto"/>
        <w:jc w:val="both"/>
      </w:pPr>
      <w:r w:rsidRPr="00623D6F">
        <w:rPr>
          <w:rFonts w:ascii="Book Antiqua" w:eastAsia="Book Antiqua" w:hAnsi="Book Antiqua" w:cs="Book Antiqua"/>
          <w:b/>
          <w:color w:val="000000"/>
        </w:rPr>
        <w:lastRenderedPageBreak/>
        <w:t>Footnotes</w:t>
      </w:r>
    </w:p>
    <w:p w14:paraId="034042F8" w14:textId="77777777" w:rsidR="0038018A" w:rsidRPr="00623D6F" w:rsidRDefault="00C220BD">
      <w:pPr>
        <w:spacing w:line="360" w:lineRule="auto"/>
        <w:jc w:val="both"/>
        <w:rPr>
          <w:rFonts w:ascii="Book Antiqua" w:hAnsi="Book Antiqua"/>
        </w:rPr>
      </w:pPr>
      <w:r w:rsidRPr="00623D6F">
        <w:rPr>
          <w:rFonts w:ascii="Book Antiqua" w:hAnsi="Book Antiqua"/>
          <w:b/>
          <w:bCs/>
        </w:rPr>
        <w:t>Institutional review board statement:</w:t>
      </w:r>
      <w:r w:rsidRPr="00623D6F">
        <w:rPr>
          <w:rFonts w:ascii="Book Antiqua" w:hAnsi="Book Antiqua"/>
        </w:rPr>
        <w:t xml:space="preserve"> This study was approved by the Institutional Review Board of the Gachon University Gil Medical Center, which waived the need for informed consent, No. GCIRB2019-039.</w:t>
      </w:r>
    </w:p>
    <w:p w14:paraId="5355E7AE" w14:textId="77777777" w:rsidR="0038018A" w:rsidRPr="00623D6F" w:rsidRDefault="0038018A">
      <w:pPr>
        <w:spacing w:line="360" w:lineRule="auto"/>
        <w:jc w:val="both"/>
      </w:pPr>
    </w:p>
    <w:p w14:paraId="21A5D1E9" w14:textId="77777777" w:rsidR="0038018A" w:rsidRPr="00623D6F" w:rsidRDefault="00C220BD">
      <w:pPr>
        <w:spacing w:line="360" w:lineRule="auto"/>
        <w:jc w:val="both"/>
        <w:rPr>
          <w:rFonts w:ascii="Book Antiqua" w:hAnsi="Book Antiqua"/>
        </w:rPr>
      </w:pPr>
      <w:r w:rsidRPr="00623D6F">
        <w:rPr>
          <w:rFonts w:ascii="Book Antiqua" w:hAnsi="Book Antiqua"/>
          <w:b/>
          <w:bCs/>
        </w:rPr>
        <w:t>Informed consent statement:</w:t>
      </w:r>
      <w:r w:rsidRPr="00623D6F">
        <w:rPr>
          <w:rFonts w:ascii="Book Antiqua" w:hAnsi="Book Antiqua"/>
        </w:rPr>
        <w:t xml:space="preserve"> Owing to the retrospective nature of this study, patients and the public were not involved in the study design, data collection, analysis, or interpretation of data.</w:t>
      </w:r>
    </w:p>
    <w:p w14:paraId="71729E00" w14:textId="77777777" w:rsidR="0038018A" w:rsidRPr="00623D6F" w:rsidRDefault="0038018A">
      <w:pPr>
        <w:spacing w:line="360" w:lineRule="auto"/>
        <w:jc w:val="both"/>
        <w:rPr>
          <w:rFonts w:ascii="Book Antiqua" w:hAnsi="Book Antiqua"/>
        </w:rPr>
      </w:pPr>
    </w:p>
    <w:p w14:paraId="55245558" w14:textId="77777777" w:rsidR="0038018A" w:rsidRPr="00623D6F" w:rsidRDefault="00C220BD">
      <w:pPr>
        <w:spacing w:line="360" w:lineRule="auto"/>
        <w:jc w:val="both"/>
        <w:rPr>
          <w:rFonts w:ascii="Book Antiqua" w:hAnsi="Book Antiqua"/>
        </w:rPr>
      </w:pPr>
      <w:r w:rsidRPr="00623D6F">
        <w:rPr>
          <w:rFonts w:ascii="Book Antiqua" w:hAnsi="Book Antiqua"/>
          <w:b/>
          <w:bCs/>
        </w:rPr>
        <w:t xml:space="preserve">Conflict-of-interest statement: </w:t>
      </w:r>
      <w:r w:rsidRPr="00623D6F">
        <w:rPr>
          <w:rFonts w:ascii="Book Antiqua" w:hAnsi="Book Antiqua"/>
        </w:rPr>
        <w:t>Authors have no conflicts of interest or financial ties to disclose.</w:t>
      </w:r>
    </w:p>
    <w:p w14:paraId="6DEAE7CF" w14:textId="77777777" w:rsidR="0038018A" w:rsidRPr="00623D6F" w:rsidRDefault="0038018A">
      <w:pPr>
        <w:spacing w:line="360" w:lineRule="auto"/>
        <w:jc w:val="both"/>
        <w:rPr>
          <w:rFonts w:ascii="Book Antiqua" w:hAnsi="Book Antiqua"/>
        </w:rPr>
      </w:pPr>
    </w:p>
    <w:p w14:paraId="67CBDE0B" w14:textId="77777777" w:rsidR="0038018A" w:rsidRPr="00623D6F" w:rsidRDefault="00C220BD">
      <w:pPr>
        <w:spacing w:line="360" w:lineRule="auto"/>
        <w:jc w:val="both"/>
        <w:rPr>
          <w:rFonts w:ascii="Book Antiqua" w:hAnsi="Book Antiqua"/>
        </w:rPr>
      </w:pPr>
      <w:r w:rsidRPr="00623D6F">
        <w:rPr>
          <w:rFonts w:ascii="Book Antiqua" w:hAnsi="Book Antiqua"/>
          <w:b/>
          <w:bCs/>
        </w:rPr>
        <w:t>Data sharing statement:</w:t>
      </w:r>
      <w:r w:rsidRPr="00623D6F">
        <w:rPr>
          <w:rFonts w:ascii="Book Antiqua" w:hAnsi="Book Antiqua"/>
        </w:rPr>
        <w:t xml:space="preserve"> The datasets generated for and/or analyzed in the current study are available from the corresponding author upon reasonable request.</w:t>
      </w:r>
    </w:p>
    <w:p w14:paraId="131230ED" w14:textId="77777777" w:rsidR="0038018A" w:rsidRPr="00623D6F" w:rsidRDefault="0038018A">
      <w:pPr>
        <w:spacing w:line="360" w:lineRule="auto"/>
        <w:jc w:val="both"/>
        <w:rPr>
          <w:rFonts w:ascii="Book Antiqua" w:hAnsi="Book Antiqua"/>
        </w:rPr>
      </w:pPr>
    </w:p>
    <w:p w14:paraId="3BEBC146"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STROBE statement: </w:t>
      </w:r>
      <w:r w:rsidRPr="00623D6F">
        <w:rPr>
          <w:rFonts w:ascii="Book Antiqua" w:eastAsia="Book Antiqua" w:hAnsi="Book Antiqua" w:cs="Book Antiqua"/>
          <w:color w:val="000000"/>
          <w:shd w:val="clear" w:color="auto" w:fill="FFFFFF"/>
        </w:rPr>
        <w:t>The authors have read the STROBE Statement-checklist of items, and the manuscript was prepared and revised according to the STROBE Statement-checklist of items.</w:t>
      </w:r>
    </w:p>
    <w:p w14:paraId="5E6277B7" w14:textId="77777777" w:rsidR="0038018A" w:rsidRPr="00623D6F" w:rsidRDefault="0038018A">
      <w:pPr>
        <w:spacing w:line="360" w:lineRule="auto"/>
        <w:jc w:val="both"/>
      </w:pPr>
    </w:p>
    <w:p w14:paraId="029786CB" w14:textId="77777777" w:rsidR="0038018A" w:rsidRPr="00623D6F" w:rsidRDefault="00C220BD">
      <w:pPr>
        <w:spacing w:line="360" w:lineRule="auto"/>
        <w:jc w:val="both"/>
      </w:pPr>
      <w:r w:rsidRPr="00623D6F">
        <w:rPr>
          <w:rFonts w:ascii="Book Antiqua" w:eastAsia="Book Antiqua" w:hAnsi="Book Antiqua" w:cs="Book Antiqua"/>
          <w:b/>
          <w:bCs/>
          <w:color w:val="000000"/>
        </w:rPr>
        <w:t xml:space="preserve">Open-Access: </w:t>
      </w:r>
      <w:r w:rsidRPr="00623D6F">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A1ACF06" w14:textId="77777777" w:rsidR="0038018A" w:rsidRPr="00623D6F" w:rsidRDefault="0038018A">
      <w:pPr>
        <w:spacing w:line="360" w:lineRule="auto"/>
        <w:jc w:val="both"/>
      </w:pPr>
    </w:p>
    <w:p w14:paraId="4184D247" w14:textId="77777777" w:rsidR="0038018A" w:rsidRPr="00623D6F" w:rsidRDefault="00C220BD">
      <w:pPr>
        <w:spacing w:line="360" w:lineRule="auto"/>
        <w:jc w:val="both"/>
      </w:pPr>
      <w:r w:rsidRPr="00623D6F">
        <w:rPr>
          <w:rFonts w:ascii="Book Antiqua" w:eastAsia="Book Antiqua" w:hAnsi="Book Antiqua" w:cs="Book Antiqua"/>
          <w:b/>
          <w:color w:val="000000"/>
        </w:rPr>
        <w:t xml:space="preserve">Manuscript source: </w:t>
      </w:r>
      <w:r w:rsidRPr="00623D6F">
        <w:rPr>
          <w:rFonts w:ascii="Book Antiqua" w:eastAsia="Book Antiqua" w:hAnsi="Book Antiqua" w:cs="Book Antiqua"/>
          <w:color w:val="000000"/>
        </w:rPr>
        <w:t>Unsolicited manuscript</w:t>
      </w:r>
    </w:p>
    <w:p w14:paraId="1F83C800" w14:textId="77777777" w:rsidR="0038018A" w:rsidRPr="00623D6F" w:rsidRDefault="0038018A">
      <w:pPr>
        <w:spacing w:line="360" w:lineRule="auto"/>
        <w:jc w:val="both"/>
      </w:pPr>
    </w:p>
    <w:p w14:paraId="1D9C66DE" w14:textId="77777777" w:rsidR="0038018A" w:rsidRPr="00623D6F" w:rsidRDefault="00C220BD">
      <w:pPr>
        <w:spacing w:line="360" w:lineRule="auto"/>
        <w:jc w:val="both"/>
      </w:pPr>
      <w:r w:rsidRPr="00623D6F">
        <w:rPr>
          <w:rFonts w:ascii="Book Antiqua" w:eastAsia="Book Antiqua" w:hAnsi="Book Antiqua" w:cs="Book Antiqua"/>
          <w:b/>
          <w:color w:val="000000"/>
        </w:rPr>
        <w:lastRenderedPageBreak/>
        <w:t xml:space="preserve">Peer-review started: </w:t>
      </w:r>
      <w:r w:rsidRPr="00623D6F">
        <w:rPr>
          <w:rFonts w:ascii="Book Antiqua" w:eastAsia="Book Antiqua" w:hAnsi="Book Antiqua" w:cs="Book Antiqua"/>
          <w:color w:val="000000"/>
        </w:rPr>
        <w:t>July 19, 2020</w:t>
      </w:r>
    </w:p>
    <w:p w14:paraId="14231556" w14:textId="77777777" w:rsidR="0038018A" w:rsidRPr="00623D6F" w:rsidRDefault="00C220BD">
      <w:pPr>
        <w:spacing w:line="360" w:lineRule="auto"/>
        <w:jc w:val="both"/>
      </w:pPr>
      <w:r w:rsidRPr="00623D6F">
        <w:rPr>
          <w:rFonts w:ascii="Book Antiqua" w:eastAsia="Book Antiqua" w:hAnsi="Book Antiqua" w:cs="Book Antiqua"/>
          <w:b/>
          <w:color w:val="000000"/>
        </w:rPr>
        <w:t xml:space="preserve">First decision: </w:t>
      </w:r>
      <w:r w:rsidRPr="00623D6F">
        <w:rPr>
          <w:rFonts w:ascii="Book Antiqua" w:eastAsia="Book Antiqua" w:hAnsi="Book Antiqua" w:cs="Book Antiqua"/>
          <w:color w:val="000000"/>
        </w:rPr>
        <w:t>August 8, 2020</w:t>
      </w:r>
    </w:p>
    <w:p w14:paraId="20F6510C" w14:textId="39D53632" w:rsidR="0038018A" w:rsidRPr="00623D6F" w:rsidRDefault="00C220BD">
      <w:pPr>
        <w:spacing w:line="360" w:lineRule="auto"/>
        <w:jc w:val="both"/>
      </w:pPr>
      <w:r w:rsidRPr="00623D6F">
        <w:rPr>
          <w:rFonts w:ascii="Book Antiqua" w:eastAsia="Book Antiqua" w:hAnsi="Book Antiqua" w:cs="Book Antiqua"/>
          <w:b/>
          <w:color w:val="000000"/>
        </w:rPr>
        <w:t xml:space="preserve">Article in press: </w:t>
      </w:r>
      <w:r w:rsidR="0079463C" w:rsidRPr="00623D6F">
        <w:rPr>
          <w:rFonts w:ascii="Book Antiqua" w:eastAsia="Book Antiqua" w:hAnsi="Book Antiqua" w:cs="Book Antiqua"/>
          <w:color w:val="000000"/>
        </w:rPr>
        <w:t>September 16, 2020</w:t>
      </w:r>
    </w:p>
    <w:p w14:paraId="248FF3CE" w14:textId="77777777" w:rsidR="0038018A" w:rsidRPr="00623D6F" w:rsidRDefault="0038018A">
      <w:pPr>
        <w:spacing w:line="360" w:lineRule="auto"/>
        <w:jc w:val="both"/>
      </w:pPr>
    </w:p>
    <w:p w14:paraId="4188F363" w14:textId="77777777" w:rsidR="0038018A" w:rsidRPr="00623D6F" w:rsidRDefault="00C220BD">
      <w:pPr>
        <w:spacing w:line="360" w:lineRule="auto"/>
        <w:jc w:val="both"/>
      </w:pPr>
      <w:r w:rsidRPr="00623D6F">
        <w:rPr>
          <w:rFonts w:ascii="Book Antiqua" w:eastAsia="Book Antiqua" w:hAnsi="Book Antiqua" w:cs="Book Antiqua"/>
          <w:b/>
          <w:color w:val="000000"/>
        </w:rPr>
        <w:t xml:space="preserve">Specialty type: </w:t>
      </w:r>
      <w:r w:rsidRPr="00623D6F">
        <w:rPr>
          <w:rFonts w:ascii="Book Antiqua" w:eastAsia="Book Antiqua" w:hAnsi="Book Antiqua" w:cs="Book Antiqua"/>
          <w:color w:val="000000"/>
        </w:rPr>
        <w:t>G</w:t>
      </w:r>
      <w:bookmarkStart w:id="0" w:name="_GoBack"/>
      <w:bookmarkEnd w:id="0"/>
      <w:r w:rsidRPr="00623D6F">
        <w:rPr>
          <w:rFonts w:ascii="Book Antiqua" w:eastAsia="Book Antiqua" w:hAnsi="Book Antiqua" w:cs="Book Antiqua"/>
          <w:color w:val="000000"/>
        </w:rPr>
        <w:t>astroenterology and hepatology</w:t>
      </w:r>
    </w:p>
    <w:p w14:paraId="3DEDF6BB" w14:textId="77777777" w:rsidR="0038018A" w:rsidRPr="00623D6F" w:rsidRDefault="00C220BD">
      <w:pPr>
        <w:spacing w:line="360" w:lineRule="auto"/>
        <w:jc w:val="both"/>
      </w:pPr>
      <w:r w:rsidRPr="00623D6F">
        <w:rPr>
          <w:rFonts w:ascii="Book Antiqua" w:eastAsia="Book Antiqua" w:hAnsi="Book Antiqua" w:cs="Book Antiqua"/>
          <w:b/>
          <w:color w:val="000000"/>
        </w:rPr>
        <w:t xml:space="preserve">Country/Territory of origin: </w:t>
      </w:r>
      <w:r w:rsidRPr="00623D6F">
        <w:rPr>
          <w:rFonts w:ascii="Book Antiqua" w:eastAsia="Book Antiqua" w:hAnsi="Book Antiqua" w:cs="Book Antiqua"/>
          <w:color w:val="000000"/>
        </w:rPr>
        <w:t>South Korea</w:t>
      </w:r>
    </w:p>
    <w:p w14:paraId="6D1F2EA2" w14:textId="77777777" w:rsidR="0038018A" w:rsidRPr="00623D6F" w:rsidRDefault="00C220BD">
      <w:pPr>
        <w:spacing w:line="360" w:lineRule="auto"/>
        <w:jc w:val="both"/>
      </w:pPr>
      <w:r w:rsidRPr="00623D6F">
        <w:rPr>
          <w:rFonts w:ascii="Book Antiqua" w:eastAsia="Book Antiqua" w:hAnsi="Book Antiqua" w:cs="Book Antiqua"/>
          <w:b/>
          <w:color w:val="000000"/>
        </w:rPr>
        <w:t>Peer-review report’s scientific quality classification</w:t>
      </w:r>
    </w:p>
    <w:p w14:paraId="604D00B9" w14:textId="77777777" w:rsidR="0038018A" w:rsidRPr="00623D6F" w:rsidRDefault="00C220BD">
      <w:pPr>
        <w:spacing w:line="360" w:lineRule="auto"/>
        <w:jc w:val="both"/>
      </w:pPr>
      <w:r w:rsidRPr="00623D6F">
        <w:rPr>
          <w:rFonts w:ascii="Book Antiqua" w:eastAsia="Book Antiqua" w:hAnsi="Book Antiqua" w:cs="Book Antiqua"/>
          <w:color w:val="000000"/>
        </w:rPr>
        <w:t>Grade A (Excellent): A, A</w:t>
      </w:r>
    </w:p>
    <w:p w14:paraId="0521AD6D" w14:textId="77777777" w:rsidR="0038018A" w:rsidRPr="00623D6F" w:rsidRDefault="00C220BD">
      <w:pPr>
        <w:spacing w:line="360" w:lineRule="auto"/>
        <w:jc w:val="both"/>
      </w:pPr>
      <w:r w:rsidRPr="00623D6F">
        <w:rPr>
          <w:rFonts w:ascii="Book Antiqua" w:eastAsia="Book Antiqua" w:hAnsi="Book Antiqua" w:cs="Book Antiqua"/>
          <w:color w:val="000000"/>
        </w:rPr>
        <w:t>Grade B (Very good): 0</w:t>
      </w:r>
    </w:p>
    <w:p w14:paraId="7806D781" w14:textId="77777777" w:rsidR="0038018A" w:rsidRPr="00623D6F" w:rsidRDefault="00C220BD">
      <w:pPr>
        <w:spacing w:line="360" w:lineRule="auto"/>
        <w:jc w:val="both"/>
      </w:pPr>
      <w:r w:rsidRPr="00623D6F">
        <w:rPr>
          <w:rFonts w:ascii="Book Antiqua" w:eastAsia="Book Antiqua" w:hAnsi="Book Antiqua" w:cs="Book Antiqua"/>
          <w:color w:val="000000"/>
        </w:rPr>
        <w:t>Grade C (Good): 0</w:t>
      </w:r>
    </w:p>
    <w:p w14:paraId="398676CF" w14:textId="77777777" w:rsidR="0038018A" w:rsidRPr="00623D6F" w:rsidRDefault="00C220BD">
      <w:pPr>
        <w:spacing w:line="360" w:lineRule="auto"/>
        <w:jc w:val="both"/>
      </w:pPr>
      <w:r w:rsidRPr="00623D6F">
        <w:rPr>
          <w:rFonts w:ascii="Book Antiqua" w:eastAsia="Book Antiqua" w:hAnsi="Book Antiqua" w:cs="Book Antiqua"/>
          <w:color w:val="000000"/>
        </w:rPr>
        <w:t>Grade D (Fair): 0</w:t>
      </w:r>
    </w:p>
    <w:p w14:paraId="7688C248" w14:textId="77777777" w:rsidR="0038018A" w:rsidRPr="00623D6F" w:rsidRDefault="00C220BD">
      <w:pPr>
        <w:spacing w:line="360" w:lineRule="auto"/>
        <w:jc w:val="both"/>
      </w:pPr>
      <w:r w:rsidRPr="00623D6F">
        <w:rPr>
          <w:rFonts w:ascii="Book Antiqua" w:eastAsia="Book Antiqua" w:hAnsi="Book Antiqua" w:cs="Book Antiqua"/>
          <w:color w:val="000000"/>
        </w:rPr>
        <w:t>Grade E (Poor): 0</w:t>
      </w:r>
    </w:p>
    <w:p w14:paraId="77923140" w14:textId="77777777" w:rsidR="0038018A" w:rsidRPr="00623D6F" w:rsidRDefault="0038018A">
      <w:pPr>
        <w:spacing w:line="360" w:lineRule="auto"/>
        <w:jc w:val="both"/>
      </w:pPr>
    </w:p>
    <w:p w14:paraId="3E785012" w14:textId="1A0C07AE" w:rsidR="0038018A" w:rsidRPr="00623D6F" w:rsidRDefault="00C220BD">
      <w:pPr>
        <w:spacing w:line="360" w:lineRule="auto"/>
        <w:jc w:val="both"/>
        <w:rPr>
          <w:rFonts w:ascii="Book Antiqua" w:hAnsi="Book Antiqua" w:cs="Book Antiqua" w:hint="eastAsia"/>
          <w:b/>
          <w:color w:val="000000"/>
          <w:lang w:eastAsia="zh-CN"/>
        </w:rPr>
      </w:pPr>
      <w:r w:rsidRPr="00623D6F">
        <w:rPr>
          <w:rFonts w:ascii="Book Antiqua" w:eastAsia="Book Antiqua" w:hAnsi="Book Antiqua" w:cs="Book Antiqua"/>
          <w:b/>
          <w:color w:val="000000"/>
        </w:rPr>
        <w:t xml:space="preserve">P-Reviewer: </w:t>
      </w:r>
      <w:r w:rsidRPr="00623D6F">
        <w:rPr>
          <w:rFonts w:ascii="Book Antiqua" w:eastAsia="Book Antiqua" w:hAnsi="Book Antiqua" w:cs="Book Antiqua"/>
          <w:color w:val="000000"/>
        </w:rPr>
        <w:t>Morozov S</w:t>
      </w:r>
      <w:r w:rsidRPr="00623D6F">
        <w:rPr>
          <w:rFonts w:ascii="Book Antiqua" w:eastAsia="Book Antiqua" w:hAnsi="Book Antiqua" w:cs="Book Antiqua"/>
          <w:b/>
          <w:color w:val="000000"/>
        </w:rPr>
        <w:t xml:space="preserve"> S-Editor: </w:t>
      </w:r>
      <w:r w:rsidRPr="00623D6F">
        <w:rPr>
          <w:rFonts w:ascii="Book Antiqua" w:eastAsia="Book Antiqua" w:hAnsi="Book Antiqua" w:cs="Book Antiqua"/>
          <w:color w:val="000000"/>
        </w:rPr>
        <w:t>Gao CC</w:t>
      </w:r>
      <w:r w:rsidRPr="00623D6F">
        <w:rPr>
          <w:rFonts w:ascii="Book Antiqua" w:eastAsia="Book Antiqua" w:hAnsi="Book Antiqua" w:cs="Book Antiqua"/>
          <w:b/>
          <w:color w:val="000000"/>
        </w:rPr>
        <w:t xml:space="preserve"> L-Editor:</w:t>
      </w:r>
      <w:r w:rsidR="0079463C" w:rsidRPr="00623D6F">
        <w:rPr>
          <w:rFonts w:ascii="Book Antiqua" w:hAnsi="Book Antiqua" w:cs="Book Antiqua" w:hint="eastAsia"/>
          <w:b/>
          <w:color w:val="000000"/>
          <w:lang w:eastAsia="zh-CN"/>
        </w:rPr>
        <w:t xml:space="preserve"> </w:t>
      </w:r>
      <w:proofErr w:type="gramStart"/>
      <w:r w:rsidR="0079463C" w:rsidRPr="00623D6F">
        <w:rPr>
          <w:rFonts w:ascii="Book Antiqua" w:hAnsi="Book Antiqua" w:cs="Book Antiqua" w:hint="eastAsia"/>
          <w:b/>
          <w:color w:val="000000"/>
          <w:lang w:eastAsia="zh-CN"/>
        </w:rPr>
        <w:t>A</w:t>
      </w:r>
      <w:r w:rsidRPr="00623D6F">
        <w:rPr>
          <w:rFonts w:ascii="Book Antiqua" w:eastAsia="Book Antiqua" w:hAnsi="Book Antiqua" w:cs="Book Antiqua"/>
          <w:b/>
          <w:color w:val="000000"/>
        </w:rPr>
        <w:t xml:space="preserve">  P</w:t>
      </w:r>
      <w:proofErr w:type="gramEnd"/>
      <w:r w:rsidRPr="00623D6F">
        <w:rPr>
          <w:rFonts w:ascii="Book Antiqua" w:eastAsia="Book Antiqua" w:hAnsi="Book Antiqua" w:cs="Book Antiqua"/>
          <w:b/>
          <w:color w:val="000000"/>
        </w:rPr>
        <w:t xml:space="preserve">-Editor: </w:t>
      </w:r>
      <w:r w:rsidR="0079463C" w:rsidRPr="00623D6F">
        <w:rPr>
          <w:rFonts w:ascii="Book Antiqua" w:hAnsi="Book Antiqua" w:cs="Book Antiqua" w:hint="eastAsia"/>
          <w:color w:val="000000"/>
          <w:lang w:eastAsia="zh-CN"/>
        </w:rPr>
        <w:t>Ma YJ</w:t>
      </w:r>
    </w:p>
    <w:p w14:paraId="4D013D3B" w14:textId="77777777" w:rsidR="008D0CC6" w:rsidRPr="00623D6F" w:rsidRDefault="008D0CC6">
      <w:pPr>
        <w:spacing w:line="360" w:lineRule="auto"/>
        <w:jc w:val="both"/>
        <w:sectPr w:rsidR="008D0CC6" w:rsidRPr="00623D6F">
          <w:pgSz w:w="12240" w:h="15840"/>
          <w:pgMar w:top="1440" w:right="1440" w:bottom="1440" w:left="1440" w:header="720" w:footer="720" w:gutter="0"/>
          <w:cols w:space="720"/>
          <w:docGrid w:linePitch="360"/>
        </w:sectPr>
      </w:pPr>
    </w:p>
    <w:p w14:paraId="28A4AB11" w14:textId="77777777" w:rsidR="0038018A" w:rsidRPr="00623D6F" w:rsidRDefault="00C220BD">
      <w:pPr>
        <w:spacing w:line="360" w:lineRule="auto"/>
        <w:jc w:val="both"/>
        <w:rPr>
          <w:rFonts w:ascii="Book Antiqua" w:eastAsia="Book Antiqua" w:hAnsi="Book Antiqua" w:cs="Book Antiqua"/>
          <w:b/>
          <w:color w:val="000000"/>
        </w:rPr>
      </w:pPr>
      <w:r w:rsidRPr="00623D6F">
        <w:rPr>
          <w:rFonts w:ascii="Book Antiqua" w:eastAsia="Book Antiqua" w:hAnsi="Book Antiqua" w:cs="Book Antiqua"/>
          <w:b/>
          <w:color w:val="000000"/>
        </w:rPr>
        <w:lastRenderedPageBreak/>
        <w:t>Figure Legends</w:t>
      </w:r>
    </w:p>
    <w:p w14:paraId="50436D90" w14:textId="77777777" w:rsidR="0038018A" w:rsidRPr="00623D6F" w:rsidRDefault="00C220BD">
      <w:pPr>
        <w:spacing w:line="360" w:lineRule="auto"/>
        <w:jc w:val="both"/>
      </w:pPr>
      <w:r w:rsidRPr="00623D6F">
        <w:rPr>
          <w:noProof/>
          <w:lang w:eastAsia="zh-CN"/>
        </w:rPr>
        <w:drawing>
          <wp:inline distT="0" distB="0" distL="0" distR="0" wp14:anchorId="5C08C6AB" wp14:editId="57BA6D22">
            <wp:extent cx="5004525" cy="7213660"/>
            <wp:effectExtent l="0" t="0" r="0" b="0"/>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9">
                      <a:extLst>
                        <a:ext uri="{28A0092B-C50C-407E-A947-70E740481C1C}">
                          <a14:useLocalDpi xmlns:a14="http://schemas.microsoft.com/office/drawing/2010/main" val="0"/>
                        </a:ext>
                      </a:extLst>
                    </a:blip>
                    <a:srcRect/>
                    <a:stretch>
                      <a:fillRect/>
                    </a:stretch>
                  </pic:blipFill>
                  <pic:spPr>
                    <a:xfrm>
                      <a:off x="0" y="0"/>
                      <a:ext cx="5004525" cy="7213660"/>
                    </a:xfrm>
                    <a:prstGeom prst="rect">
                      <a:avLst/>
                    </a:prstGeom>
                    <a:noFill/>
                  </pic:spPr>
                </pic:pic>
              </a:graphicData>
            </a:graphic>
          </wp:inline>
        </w:drawing>
      </w:r>
    </w:p>
    <w:p w14:paraId="45CF049B" w14:textId="77777777" w:rsidR="0038018A" w:rsidRPr="00623D6F" w:rsidRDefault="00C220BD">
      <w:pPr>
        <w:spacing w:line="360" w:lineRule="auto"/>
        <w:jc w:val="both"/>
        <w:rPr>
          <w:rFonts w:ascii="Book Antiqua" w:eastAsia="Book Antiqua" w:hAnsi="Book Antiqua" w:cs="Book Antiqua"/>
          <w:color w:val="000000"/>
        </w:rPr>
      </w:pPr>
      <w:r w:rsidRPr="00623D6F">
        <w:rPr>
          <w:rFonts w:ascii="Book Antiqua" w:eastAsia="Book Antiqua" w:hAnsi="Book Antiqua" w:cs="Book Antiqua"/>
          <w:b/>
          <w:bCs/>
          <w:color w:val="000000"/>
        </w:rPr>
        <w:t>Figure 1 Granger causality test of the relationship between meteorological factors and air pollutants and GERD-related medical utilization.</w:t>
      </w:r>
      <w:r w:rsidRPr="00623D6F">
        <w:rPr>
          <w:rFonts w:ascii="Book Antiqua" w:eastAsia="Book Antiqua" w:hAnsi="Book Antiqua" w:cs="Book Antiqua"/>
          <w:color w:val="000000"/>
        </w:rPr>
        <w:t xml:space="preserve"> A: Various meteorological </w:t>
      </w:r>
      <w:r w:rsidRPr="00623D6F">
        <w:rPr>
          <w:rFonts w:ascii="Book Antiqua" w:eastAsia="Book Antiqua" w:hAnsi="Book Antiqua" w:cs="Book Antiqua"/>
          <w:color w:val="000000"/>
        </w:rPr>
        <w:lastRenderedPageBreak/>
        <w:t>factors and air pollutants (MFAPs) show a direct or indirect association with GERD-related medical utilization; B: Relationship between the five selected MFAPs and GERD-related medical utilization. All variables were significantly correlated except AT and WS. The five selected MFAPs were significantly correlated to GERD-related medical utilization. MFAPs: Meteorological factors and air pollutants; GERD: Gastroesophageal reflux disease; WS: Wind speed; SD: Sunshine duration; AT: Average temperature; CO: Carbon monoxide; PM</w:t>
      </w:r>
      <w:r w:rsidRPr="00623D6F">
        <w:rPr>
          <w:rFonts w:ascii="Book Antiqua" w:eastAsia="Book Antiqua" w:hAnsi="Book Antiqua" w:cs="Book Antiqua"/>
          <w:color w:val="000000"/>
          <w:vertAlign w:val="subscript"/>
        </w:rPr>
        <w:t>2.5</w:t>
      </w:r>
      <w:r w:rsidRPr="00623D6F">
        <w:rPr>
          <w:rFonts w:ascii="Book Antiqua" w:eastAsia="Book Antiqua" w:hAnsi="Book Antiqua" w:cs="Book Antiqua"/>
          <w:color w:val="000000"/>
        </w:rPr>
        <w:t>: Particulate matter with a diameter ≤ 2.5 µm.</w:t>
      </w:r>
    </w:p>
    <w:p w14:paraId="31F0793D" w14:textId="77777777" w:rsidR="0038018A" w:rsidRPr="00623D6F" w:rsidRDefault="00C220BD">
      <w:pPr>
        <w:spacing w:line="360" w:lineRule="auto"/>
        <w:jc w:val="both"/>
        <w:rPr>
          <w:rFonts w:ascii="Book Antiqua" w:eastAsia="Book Antiqua" w:hAnsi="Book Antiqua" w:cs="Book Antiqua"/>
          <w:color w:val="000000"/>
        </w:rPr>
      </w:pPr>
      <w:r w:rsidRPr="00623D6F">
        <w:rPr>
          <w:rFonts w:ascii="Book Antiqua" w:eastAsia="Book Antiqua" w:hAnsi="Book Antiqua" w:cs="Book Antiqua"/>
          <w:color w:val="000000"/>
        </w:rPr>
        <w:br w:type="page"/>
      </w:r>
      <w:r w:rsidRPr="00623D6F">
        <w:rPr>
          <w:noProof/>
          <w:lang w:eastAsia="zh-CN"/>
        </w:rPr>
        <w:lastRenderedPageBreak/>
        <w:drawing>
          <wp:inline distT="0" distB="0" distL="0" distR="0" wp14:anchorId="25F9881F" wp14:editId="70E7CDC6">
            <wp:extent cx="5943600" cy="4898390"/>
            <wp:effectExtent l="0" t="0" r="0" b="0"/>
            <wp:docPr id="1026" name="shape1026"/>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0">
                      <a:extLst>
                        <a:ext uri="{28A0092B-C50C-407E-A947-70E740481C1C}">
                          <a14:useLocalDpi xmlns:a14="http://schemas.microsoft.com/office/drawing/2010/main" val="0"/>
                        </a:ext>
                      </a:extLst>
                    </a:blip>
                    <a:srcRect/>
                    <a:stretch>
                      <a:fillRect/>
                    </a:stretch>
                  </pic:blipFill>
                  <pic:spPr>
                    <a:xfrm>
                      <a:off x="0" y="0"/>
                      <a:ext cx="5943600" cy="4898390"/>
                    </a:xfrm>
                    <a:prstGeom prst="rect">
                      <a:avLst/>
                    </a:prstGeom>
                  </pic:spPr>
                </pic:pic>
              </a:graphicData>
            </a:graphic>
          </wp:inline>
        </w:drawing>
      </w:r>
    </w:p>
    <w:p w14:paraId="7167E536" w14:textId="77777777" w:rsidR="0038018A" w:rsidRPr="00623D6F" w:rsidRDefault="00C220BD">
      <w:pPr>
        <w:spacing w:line="360" w:lineRule="auto"/>
        <w:jc w:val="both"/>
        <w:rPr>
          <w:rFonts w:ascii="Book Antiqua" w:eastAsia="Book Antiqua" w:hAnsi="Book Antiqua" w:cs="Book Antiqua"/>
          <w:color w:val="000000"/>
        </w:rPr>
      </w:pPr>
      <w:r w:rsidRPr="00623D6F">
        <w:rPr>
          <w:rFonts w:ascii="Book Antiqua" w:eastAsia="Book Antiqua" w:hAnsi="Book Antiqua" w:cs="Book Antiqua"/>
          <w:b/>
          <w:bCs/>
          <w:color w:val="000000"/>
        </w:rPr>
        <w:t>Figure 2 Prediction model of gastroesophageal reflux disease -related medical utilization using a univariate generalized additive Poisson regression model.</w:t>
      </w:r>
      <w:r w:rsidRPr="00623D6F">
        <w:rPr>
          <w:rFonts w:ascii="Book Antiqua" w:eastAsia="Book Antiqua" w:hAnsi="Book Antiqua" w:cs="Book Antiqua"/>
          <w:color w:val="000000"/>
        </w:rPr>
        <w:t xml:space="preserve"> A: </w:t>
      </w:r>
      <w:bookmarkStart w:id="1" w:name="_Hlk50479132"/>
      <w:r w:rsidRPr="00623D6F">
        <w:rPr>
          <w:rFonts w:ascii="Book Antiqua" w:eastAsia="Book Antiqua" w:hAnsi="Book Antiqua" w:cs="Book Antiqua"/>
          <w:color w:val="000000"/>
        </w:rPr>
        <w:t>Gastroesophageal reflux disease</w:t>
      </w:r>
      <w:bookmarkEnd w:id="1"/>
      <w:r w:rsidRPr="00623D6F">
        <w:rPr>
          <w:rFonts w:ascii="Book Antiqua" w:eastAsia="Book Antiqua" w:hAnsi="Book Antiqua" w:cs="Book Antiqua"/>
          <w:color w:val="000000"/>
        </w:rPr>
        <w:t xml:space="preserve"> (GERD)-related medical utilizations with AT; B: GERD-related medical utilizations as with particulate matter with a diameter ≤ 2.5 µm levels ≤ 40 μg/m</w:t>
      </w:r>
      <w:r w:rsidRPr="00623D6F">
        <w:rPr>
          <w:rFonts w:ascii="Book Antiqua" w:eastAsia="Book Antiqua" w:hAnsi="Book Antiqua" w:cs="Book Antiqua"/>
          <w:color w:val="000000"/>
          <w:szCs w:val="30"/>
          <w:vertAlign w:val="superscript"/>
        </w:rPr>
        <w:t>3</w:t>
      </w:r>
      <w:r w:rsidRPr="00623D6F">
        <w:rPr>
          <w:rFonts w:ascii="Book Antiqua" w:eastAsia="Book Antiqua" w:hAnsi="Book Antiqua" w:cs="Book Antiqua"/>
          <w:color w:val="000000"/>
        </w:rPr>
        <w:t>; C: GERD-related medical utilizations in the range of the IQR for carbon monoxide. CO: Carbon monoxide; PM</w:t>
      </w:r>
      <w:r w:rsidRPr="00623D6F">
        <w:rPr>
          <w:rFonts w:ascii="Book Antiqua" w:eastAsia="Book Antiqua" w:hAnsi="Book Antiqua" w:cs="Book Antiqua"/>
          <w:color w:val="000000"/>
          <w:vertAlign w:val="subscript"/>
        </w:rPr>
        <w:t>2.5</w:t>
      </w:r>
      <w:r w:rsidRPr="00623D6F">
        <w:rPr>
          <w:rFonts w:ascii="Book Antiqua" w:eastAsia="Book Antiqua" w:hAnsi="Book Antiqua" w:cs="Book Antiqua"/>
          <w:color w:val="000000"/>
        </w:rPr>
        <w:t>: Particulate matter with a diameter ≤ 2.5 µm; ppm: Parts-per-million.</w:t>
      </w:r>
    </w:p>
    <w:p w14:paraId="39D13078" w14:textId="77777777" w:rsidR="0038018A" w:rsidRPr="00623D6F" w:rsidRDefault="00C220BD">
      <w:pPr>
        <w:spacing w:line="360" w:lineRule="auto"/>
        <w:jc w:val="both"/>
        <w:rPr>
          <w:rFonts w:ascii="Book Antiqua" w:eastAsia="Book Antiqua" w:hAnsi="Book Antiqua" w:cs="Book Antiqua"/>
          <w:color w:val="000000"/>
        </w:rPr>
      </w:pPr>
      <w:r w:rsidRPr="00623D6F">
        <w:rPr>
          <w:rFonts w:ascii="Book Antiqua" w:eastAsia="Book Antiqua" w:hAnsi="Book Antiqua" w:cs="Book Antiqua"/>
          <w:color w:val="000000"/>
        </w:rPr>
        <w:br w:type="page"/>
      </w:r>
      <w:r w:rsidRPr="00623D6F">
        <w:rPr>
          <w:noProof/>
          <w:lang w:eastAsia="zh-CN"/>
        </w:rPr>
        <w:lastRenderedPageBreak/>
        <w:drawing>
          <wp:inline distT="0" distB="0" distL="0" distR="0" wp14:anchorId="07CE0DD5" wp14:editId="02E4023A">
            <wp:extent cx="4285753" cy="6162261"/>
            <wp:effectExtent l="0" t="0" r="0" b="0"/>
            <wp:docPr id="1027" name="shape1027"/>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1">
                      <a:extLst>
                        <a:ext uri="{28A0092B-C50C-407E-A947-70E740481C1C}">
                          <a14:useLocalDpi xmlns:a14="http://schemas.microsoft.com/office/drawing/2010/main" val="0"/>
                        </a:ext>
                      </a:extLst>
                    </a:blip>
                    <a:srcRect/>
                    <a:stretch>
                      <a:fillRect/>
                    </a:stretch>
                  </pic:blipFill>
                  <pic:spPr>
                    <a:xfrm>
                      <a:off x="0" y="0"/>
                      <a:ext cx="4294548" cy="6174906"/>
                    </a:xfrm>
                    <a:prstGeom prst="rect">
                      <a:avLst/>
                    </a:prstGeom>
                  </pic:spPr>
                </pic:pic>
              </a:graphicData>
            </a:graphic>
          </wp:inline>
        </w:drawing>
      </w:r>
    </w:p>
    <w:p w14:paraId="293D3C25" w14:textId="19AACD71" w:rsidR="0038018A" w:rsidRPr="00623D6F" w:rsidRDefault="00C220BD">
      <w:pPr>
        <w:spacing w:line="360" w:lineRule="auto"/>
        <w:jc w:val="both"/>
        <w:rPr>
          <w:rFonts w:ascii="Book Antiqua" w:eastAsia="Book Antiqua" w:hAnsi="Book Antiqua" w:cs="Book Antiqua"/>
          <w:color w:val="000000"/>
        </w:rPr>
      </w:pPr>
      <w:r w:rsidRPr="00623D6F">
        <w:rPr>
          <w:rFonts w:ascii="Book Antiqua" w:eastAsia="Book Antiqua" w:hAnsi="Book Antiqua" w:cs="Book Antiqua"/>
          <w:b/>
          <w:bCs/>
          <w:color w:val="000000"/>
        </w:rPr>
        <w:t>Figure 3 Time lag for exposure in multivariate analyses.</w:t>
      </w:r>
      <w:r w:rsidRPr="00623D6F">
        <w:rPr>
          <w:rFonts w:ascii="Book Antiqua" w:eastAsia="Book Antiqua" w:hAnsi="Book Antiqua" w:cs="Book Antiqua"/>
          <w:color w:val="000000"/>
        </w:rPr>
        <w:t xml:space="preserve"> A: Excess risk was significant after exposure up until 8 d for average temperature; B: Excess risk was significant after exposure up until 9 d for wind speed; C: Excess risk was significant after exposure up until 6 d for sunshine duration; D: Excess risk was significant after exposure up until 9 d for particulate matter with a diameter ≤ 2.5 µm; E: Excess risk was significant after exposure up until 9 d for carbon monoxide. </w:t>
      </w:r>
      <w:proofErr w:type="spellStart"/>
      <w:r w:rsidRPr="00623D6F">
        <w:rPr>
          <w:rFonts w:ascii="Book Antiqua" w:eastAsia="Book Antiqua" w:hAnsi="Book Antiqua" w:cs="Book Antiqua"/>
          <w:color w:val="000000"/>
          <w:vertAlign w:val="superscript"/>
        </w:rPr>
        <w:t>a</w:t>
      </w:r>
      <w:r w:rsidRPr="00623D6F">
        <w:rPr>
          <w:rFonts w:ascii="Book Antiqua" w:eastAsia="Book Antiqua" w:hAnsi="Book Antiqua" w:cs="Book Antiqua"/>
          <w:i/>
          <w:color w:val="000000"/>
        </w:rPr>
        <w:t>P</w:t>
      </w:r>
      <w:proofErr w:type="spellEnd"/>
      <w:r w:rsidRPr="00623D6F">
        <w:rPr>
          <w:rFonts w:ascii="Book Antiqua" w:eastAsia="Book Antiqua" w:hAnsi="Book Antiqua" w:cs="Book Antiqua"/>
          <w:color w:val="000000"/>
        </w:rPr>
        <w:t xml:space="preserve"> &lt; 0.05.</w:t>
      </w:r>
      <w:r w:rsidR="00137527" w:rsidRPr="00623D6F">
        <w:rPr>
          <w:rFonts w:ascii="Book Antiqua" w:eastAsia="Book Antiqua" w:hAnsi="Book Antiqua" w:cs="Book Antiqua"/>
          <w:color w:val="000000"/>
        </w:rPr>
        <w:t xml:space="preserve"> </w:t>
      </w:r>
      <w:r w:rsidRPr="00623D6F">
        <w:rPr>
          <w:rFonts w:ascii="Book Antiqua" w:eastAsia="Book Antiqua" w:hAnsi="Book Antiqua" w:cs="Book Antiqua"/>
          <w:color w:val="000000"/>
        </w:rPr>
        <w:t>CO: Carbon monoxide; PM</w:t>
      </w:r>
      <w:r w:rsidRPr="00623D6F">
        <w:rPr>
          <w:rFonts w:ascii="Book Antiqua" w:eastAsia="Book Antiqua" w:hAnsi="Book Antiqua" w:cs="Book Antiqua"/>
          <w:color w:val="000000"/>
          <w:vertAlign w:val="subscript"/>
        </w:rPr>
        <w:t>2.5</w:t>
      </w:r>
      <w:r w:rsidRPr="00623D6F">
        <w:rPr>
          <w:rFonts w:ascii="Book Antiqua" w:eastAsia="Book Antiqua" w:hAnsi="Book Antiqua" w:cs="Book Antiqua"/>
          <w:color w:val="000000"/>
        </w:rPr>
        <w:t>: Particulate matter with a diameter ≤ 2.5 µm; ppm: Parts-per-million.</w:t>
      </w:r>
    </w:p>
    <w:p w14:paraId="2D391509" w14:textId="003614F6" w:rsidR="0038018A" w:rsidRPr="00623D6F" w:rsidRDefault="00C220BD">
      <w:pPr>
        <w:spacing w:line="360" w:lineRule="auto"/>
        <w:jc w:val="both"/>
        <w:rPr>
          <w:rFonts w:ascii="Book Antiqua" w:eastAsia="Book Antiqua" w:hAnsi="Book Antiqua" w:cs="Book Antiqua"/>
          <w:color w:val="000000"/>
        </w:rPr>
      </w:pPr>
      <w:r w:rsidRPr="00623D6F">
        <w:rPr>
          <w:noProof/>
          <w:lang w:eastAsia="zh-CN"/>
        </w:rPr>
        <w:lastRenderedPageBreak/>
        <w:drawing>
          <wp:inline distT="0" distB="0" distL="0" distR="0" wp14:anchorId="0EED2A94" wp14:editId="1E9E378E">
            <wp:extent cx="4715123" cy="6758609"/>
            <wp:effectExtent l="0" t="0" r="0" b="0"/>
            <wp:docPr id="1028" name="shape1028"/>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12">
                      <a:extLst>
                        <a:ext uri="{28A0092B-C50C-407E-A947-70E740481C1C}">
                          <a14:useLocalDpi xmlns:a14="http://schemas.microsoft.com/office/drawing/2010/main" val="0"/>
                        </a:ext>
                      </a:extLst>
                    </a:blip>
                    <a:srcRect/>
                    <a:stretch>
                      <a:fillRect/>
                    </a:stretch>
                  </pic:blipFill>
                  <pic:spPr>
                    <a:xfrm>
                      <a:off x="0" y="0"/>
                      <a:ext cx="4729664" cy="6779452"/>
                    </a:xfrm>
                    <a:prstGeom prst="rect">
                      <a:avLst/>
                    </a:prstGeom>
                  </pic:spPr>
                </pic:pic>
              </a:graphicData>
            </a:graphic>
          </wp:inline>
        </w:drawing>
      </w:r>
    </w:p>
    <w:p w14:paraId="01E8B997" w14:textId="77777777" w:rsidR="0038018A" w:rsidRPr="00623D6F" w:rsidRDefault="00C220BD">
      <w:pPr>
        <w:spacing w:line="360" w:lineRule="auto"/>
        <w:jc w:val="both"/>
        <w:rPr>
          <w:rFonts w:ascii="Book Antiqua" w:eastAsia="Book Antiqua" w:hAnsi="Book Antiqua" w:cs="Book Antiqua"/>
          <w:color w:val="000000"/>
        </w:rPr>
        <w:sectPr w:rsidR="0038018A" w:rsidRPr="00623D6F">
          <w:pgSz w:w="12240" w:h="15840"/>
          <w:pgMar w:top="1440" w:right="1440" w:bottom="1440" w:left="1440" w:header="720" w:footer="720" w:gutter="0"/>
          <w:cols w:space="720"/>
          <w:docGrid w:linePitch="360"/>
        </w:sectPr>
      </w:pPr>
      <w:r w:rsidRPr="00623D6F">
        <w:rPr>
          <w:rFonts w:ascii="Book Antiqua" w:eastAsia="Book Antiqua" w:hAnsi="Book Antiqua" w:cs="Book Antiqua"/>
          <w:b/>
          <w:bCs/>
          <w:color w:val="000000"/>
        </w:rPr>
        <w:t>Figure 4 Three-dimensional graph of the prediction model.</w:t>
      </w:r>
      <w:r w:rsidRPr="00623D6F">
        <w:rPr>
          <w:rFonts w:ascii="Book Antiqua" w:eastAsia="Book Antiqua" w:hAnsi="Book Antiqua" w:cs="Book Antiqua"/>
          <w:color w:val="000000"/>
        </w:rPr>
        <w:t xml:space="preserve"> Each graph shows excess risk according to factor and time lag. A: Average temperature; B: Wind speed; C: Sunshine duration; D: Particulate matter with a diameter ≤ 2.5 µm; E: Carbon monoxide. CO: Carbon monoxide; PM</w:t>
      </w:r>
      <w:r w:rsidRPr="00623D6F">
        <w:rPr>
          <w:rFonts w:ascii="Book Antiqua" w:eastAsia="Book Antiqua" w:hAnsi="Book Antiqua" w:cs="Book Antiqua"/>
          <w:color w:val="000000"/>
          <w:vertAlign w:val="subscript"/>
        </w:rPr>
        <w:t>2.5</w:t>
      </w:r>
      <w:r w:rsidRPr="00623D6F">
        <w:rPr>
          <w:rFonts w:ascii="Book Antiqua" w:eastAsia="Book Antiqua" w:hAnsi="Book Antiqua" w:cs="Book Antiqua"/>
          <w:color w:val="000000"/>
        </w:rPr>
        <w:t>: Particulate matter with a diameter ≤ 2.5 µm; ppm: Parts-per-million.</w:t>
      </w:r>
    </w:p>
    <w:p w14:paraId="582475A0" w14:textId="77777777" w:rsidR="0038018A" w:rsidRPr="00623D6F" w:rsidRDefault="00C220BD">
      <w:pPr>
        <w:spacing w:line="360" w:lineRule="auto"/>
        <w:jc w:val="both"/>
        <w:rPr>
          <w:rFonts w:ascii="Book Antiqua" w:eastAsia="Book Antiqua" w:hAnsi="Book Antiqua"/>
          <w:b/>
          <w:bCs/>
        </w:rPr>
      </w:pPr>
      <w:r w:rsidRPr="00623D6F">
        <w:rPr>
          <w:rFonts w:ascii="Book Antiqua" w:eastAsia="Book Antiqua" w:hAnsi="Book Antiqua"/>
          <w:b/>
          <w:bCs/>
        </w:rPr>
        <w:lastRenderedPageBreak/>
        <w:t xml:space="preserve">Table </w:t>
      </w:r>
      <w:r w:rsidRPr="00623D6F">
        <w:rPr>
          <w:rFonts w:ascii="Book Antiqua" w:eastAsia="Book Antiqua" w:hAnsi="Book Antiqua"/>
          <w:b/>
          <w:bCs/>
        </w:rPr>
        <w:fldChar w:fldCharType="begin"/>
      </w:r>
      <w:r w:rsidRPr="00623D6F">
        <w:rPr>
          <w:rFonts w:ascii="Book Antiqua" w:eastAsia="Book Antiqua" w:hAnsi="Book Antiqua"/>
          <w:b/>
          <w:bCs/>
        </w:rPr>
        <w:instrText xml:space="preserve"> SEQ Table \* ARABIC </w:instrText>
      </w:r>
      <w:r w:rsidRPr="00623D6F">
        <w:rPr>
          <w:rFonts w:ascii="Book Antiqua" w:eastAsia="Book Antiqua" w:hAnsi="Book Antiqua"/>
          <w:b/>
          <w:bCs/>
        </w:rPr>
        <w:fldChar w:fldCharType="separate"/>
      </w:r>
      <w:r w:rsidRPr="00623D6F">
        <w:rPr>
          <w:rFonts w:ascii="Book Antiqua" w:eastAsia="Book Antiqua" w:hAnsi="Book Antiqua"/>
          <w:b/>
          <w:bCs/>
        </w:rPr>
        <w:t>1</w:t>
      </w:r>
      <w:r w:rsidRPr="00623D6F">
        <w:rPr>
          <w:rFonts w:ascii="Book Antiqua" w:eastAsia="Book Antiqua" w:hAnsi="Book Antiqua"/>
          <w:b/>
          <w:bCs/>
        </w:rPr>
        <w:fldChar w:fldCharType="end"/>
      </w:r>
      <w:r w:rsidRPr="00623D6F">
        <w:rPr>
          <w:rFonts w:ascii="Book Antiqua" w:eastAsia="Book Antiqua" w:hAnsi="Book Antiqua"/>
        </w:rPr>
        <w:t xml:space="preserve"> </w:t>
      </w:r>
      <w:r w:rsidRPr="00623D6F">
        <w:rPr>
          <w:rFonts w:ascii="Book Antiqua" w:eastAsia="Book Antiqua" w:hAnsi="Book Antiqua"/>
          <w:b/>
          <w:bCs/>
        </w:rPr>
        <w:t>Summary statistics of the relationship of gastroesophageal reflux disease-related medical utilizations with meteorological factors and air pollutants</w:t>
      </w:r>
    </w:p>
    <w:tbl>
      <w:tblPr>
        <w:tblStyle w:val="10"/>
        <w:tblW w:w="13485" w:type="dxa"/>
        <w:tblInd w:w="-15" w:type="dxa"/>
        <w:tblLayout w:type="fixed"/>
        <w:tblLook w:val="04A0" w:firstRow="1" w:lastRow="0" w:firstColumn="1" w:lastColumn="0" w:noHBand="0" w:noVBand="1"/>
      </w:tblPr>
      <w:tblGrid>
        <w:gridCol w:w="4399"/>
        <w:gridCol w:w="2118"/>
        <w:gridCol w:w="1393"/>
        <w:gridCol w:w="1393"/>
        <w:gridCol w:w="1393"/>
        <w:gridCol w:w="1393"/>
        <w:gridCol w:w="1396"/>
      </w:tblGrid>
      <w:tr w:rsidR="0038018A" w:rsidRPr="00623D6F" w14:paraId="05BD5A7C" w14:textId="77777777">
        <w:trPr>
          <w:trHeight w:val="335"/>
        </w:trPr>
        <w:tc>
          <w:tcPr>
            <w:tcW w:w="4399" w:type="dxa"/>
            <w:vMerge w:val="restart"/>
            <w:tcBorders>
              <w:top w:val="single" w:sz="4" w:space="0" w:color="auto"/>
              <w:left w:val="nil"/>
              <w:bottom w:val="single" w:sz="4" w:space="0" w:color="auto"/>
              <w:right w:val="nil"/>
            </w:tcBorders>
          </w:tcPr>
          <w:p w14:paraId="09C15592" w14:textId="77777777" w:rsidR="0038018A" w:rsidRPr="00623D6F" w:rsidRDefault="0038018A">
            <w:pPr>
              <w:spacing w:line="360" w:lineRule="auto"/>
              <w:jc w:val="both"/>
              <w:rPr>
                <w:rFonts w:ascii="Book Antiqua" w:eastAsia="Book Antiqua" w:hAnsi="Book Antiqua"/>
                <w:b/>
                <w:bCs/>
                <w:i/>
              </w:rPr>
            </w:pPr>
          </w:p>
        </w:tc>
        <w:tc>
          <w:tcPr>
            <w:tcW w:w="2118" w:type="dxa"/>
            <w:vMerge w:val="restart"/>
            <w:tcBorders>
              <w:top w:val="single" w:sz="4" w:space="0" w:color="auto"/>
              <w:left w:val="nil"/>
              <w:bottom w:val="single" w:sz="4" w:space="0" w:color="auto"/>
              <w:right w:val="nil"/>
            </w:tcBorders>
            <w:hideMark/>
          </w:tcPr>
          <w:p w14:paraId="58FC6F5F" w14:textId="77777777" w:rsidR="0038018A" w:rsidRPr="00623D6F" w:rsidRDefault="00C220BD">
            <w:pPr>
              <w:spacing w:line="360" w:lineRule="auto"/>
              <w:jc w:val="both"/>
              <w:rPr>
                <w:rFonts w:ascii="Book Antiqua" w:eastAsia="Book Antiqua" w:hAnsi="Book Antiqua"/>
                <w:b/>
                <w:bCs/>
              </w:rPr>
            </w:pPr>
            <w:r w:rsidRPr="00623D6F">
              <w:rPr>
                <w:rFonts w:ascii="Book Antiqua" w:eastAsia="Book Antiqua" w:hAnsi="Book Antiqua"/>
                <w:b/>
                <w:bCs/>
              </w:rPr>
              <w:t>Mean ± SD</w:t>
            </w:r>
          </w:p>
        </w:tc>
        <w:tc>
          <w:tcPr>
            <w:tcW w:w="6968" w:type="dxa"/>
            <w:gridSpan w:val="5"/>
            <w:tcBorders>
              <w:top w:val="single" w:sz="4" w:space="0" w:color="auto"/>
              <w:left w:val="nil"/>
              <w:bottom w:val="single" w:sz="4" w:space="0" w:color="auto"/>
              <w:right w:val="nil"/>
            </w:tcBorders>
            <w:hideMark/>
          </w:tcPr>
          <w:p w14:paraId="6749653A" w14:textId="77777777" w:rsidR="0038018A" w:rsidRPr="00623D6F" w:rsidRDefault="00C220BD">
            <w:pPr>
              <w:spacing w:line="360" w:lineRule="auto"/>
              <w:jc w:val="both"/>
              <w:rPr>
                <w:rFonts w:ascii="Book Antiqua" w:eastAsia="Book Antiqua" w:hAnsi="Book Antiqua"/>
                <w:b/>
                <w:bCs/>
              </w:rPr>
            </w:pPr>
            <w:r w:rsidRPr="00623D6F">
              <w:rPr>
                <w:rFonts w:ascii="Book Antiqua" w:eastAsia="Book Antiqua" w:hAnsi="Book Antiqua"/>
                <w:b/>
                <w:bCs/>
              </w:rPr>
              <w:t>Quantiles</w:t>
            </w:r>
          </w:p>
        </w:tc>
      </w:tr>
      <w:tr w:rsidR="0038018A" w:rsidRPr="00623D6F" w14:paraId="13A9477A" w14:textId="77777777">
        <w:trPr>
          <w:trHeight w:val="335"/>
        </w:trPr>
        <w:tc>
          <w:tcPr>
            <w:tcW w:w="4399" w:type="dxa"/>
            <w:vMerge/>
            <w:tcBorders>
              <w:top w:val="single" w:sz="4" w:space="0" w:color="auto"/>
              <w:left w:val="nil"/>
              <w:bottom w:val="single" w:sz="4" w:space="0" w:color="auto"/>
              <w:right w:val="nil"/>
            </w:tcBorders>
            <w:hideMark/>
          </w:tcPr>
          <w:p w14:paraId="4C44F68D" w14:textId="77777777" w:rsidR="0038018A" w:rsidRPr="00623D6F" w:rsidRDefault="0038018A">
            <w:pPr>
              <w:spacing w:line="360" w:lineRule="auto"/>
              <w:jc w:val="both"/>
              <w:rPr>
                <w:rFonts w:ascii="Book Antiqua" w:eastAsia="Book Antiqua" w:hAnsi="Book Antiqua"/>
                <w:b/>
                <w:bCs/>
                <w:i/>
              </w:rPr>
            </w:pPr>
          </w:p>
        </w:tc>
        <w:tc>
          <w:tcPr>
            <w:tcW w:w="2118" w:type="dxa"/>
            <w:vMerge/>
            <w:tcBorders>
              <w:top w:val="single" w:sz="4" w:space="0" w:color="auto"/>
              <w:left w:val="nil"/>
              <w:bottom w:val="single" w:sz="4" w:space="0" w:color="auto"/>
              <w:right w:val="nil"/>
            </w:tcBorders>
            <w:hideMark/>
          </w:tcPr>
          <w:p w14:paraId="0CB35F36" w14:textId="77777777" w:rsidR="0038018A" w:rsidRPr="00623D6F" w:rsidRDefault="0038018A">
            <w:pPr>
              <w:spacing w:line="360" w:lineRule="auto"/>
              <w:jc w:val="both"/>
              <w:rPr>
                <w:rFonts w:ascii="Book Antiqua" w:eastAsia="Book Antiqua" w:hAnsi="Book Antiqua"/>
                <w:b/>
                <w:bCs/>
              </w:rPr>
            </w:pPr>
          </w:p>
        </w:tc>
        <w:tc>
          <w:tcPr>
            <w:tcW w:w="1393" w:type="dxa"/>
            <w:tcBorders>
              <w:top w:val="single" w:sz="4" w:space="0" w:color="auto"/>
              <w:left w:val="nil"/>
              <w:bottom w:val="single" w:sz="4" w:space="0" w:color="auto"/>
              <w:right w:val="nil"/>
            </w:tcBorders>
            <w:hideMark/>
          </w:tcPr>
          <w:p w14:paraId="585841E1" w14:textId="77777777" w:rsidR="0038018A" w:rsidRPr="00623D6F" w:rsidRDefault="00C220BD">
            <w:pPr>
              <w:spacing w:line="360" w:lineRule="auto"/>
              <w:jc w:val="both"/>
              <w:rPr>
                <w:rFonts w:ascii="Book Antiqua" w:eastAsia="Book Antiqua" w:hAnsi="Book Antiqua"/>
                <w:b/>
                <w:bCs/>
              </w:rPr>
            </w:pPr>
            <w:r w:rsidRPr="00623D6F">
              <w:rPr>
                <w:rFonts w:ascii="Book Antiqua" w:eastAsia="Book Antiqua" w:hAnsi="Book Antiqua"/>
                <w:b/>
                <w:bCs/>
              </w:rPr>
              <w:t>Min</w:t>
            </w:r>
          </w:p>
        </w:tc>
        <w:tc>
          <w:tcPr>
            <w:tcW w:w="1393" w:type="dxa"/>
            <w:tcBorders>
              <w:top w:val="single" w:sz="4" w:space="0" w:color="auto"/>
              <w:left w:val="nil"/>
              <w:bottom w:val="single" w:sz="4" w:space="0" w:color="auto"/>
              <w:right w:val="nil"/>
            </w:tcBorders>
            <w:hideMark/>
          </w:tcPr>
          <w:p w14:paraId="4CE43578" w14:textId="77777777" w:rsidR="0038018A" w:rsidRPr="00623D6F" w:rsidRDefault="00C220BD">
            <w:pPr>
              <w:spacing w:line="360" w:lineRule="auto"/>
              <w:jc w:val="both"/>
              <w:rPr>
                <w:rFonts w:ascii="Book Antiqua" w:eastAsia="Book Antiqua" w:hAnsi="Book Antiqua"/>
                <w:b/>
                <w:bCs/>
              </w:rPr>
            </w:pPr>
            <w:r w:rsidRPr="00623D6F">
              <w:rPr>
                <w:rFonts w:ascii="Book Antiqua" w:eastAsia="Book Antiqua" w:hAnsi="Book Antiqua"/>
                <w:b/>
                <w:bCs/>
              </w:rPr>
              <w:t>25%</w:t>
            </w:r>
          </w:p>
        </w:tc>
        <w:tc>
          <w:tcPr>
            <w:tcW w:w="1393" w:type="dxa"/>
            <w:tcBorders>
              <w:top w:val="single" w:sz="4" w:space="0" w:color="auto"/>
              <w:left w:val="nil"/>
              <w:bottom w:val="single" w:sz="4" w:space="0" w:color="auto"/>
              <w:right w:val="nil"/>
            </w:tcBorders>
            <w:hideMark/>
          </w:tcPr>
          <w:p w14:paraId="69E4298A" w14:textId="77777777" w:rsidR="0038018A" w:rsidRPr="00623D6F" w:rsidRDefault="00C220BD">
            <w:pPr>
              <w:spacing w:line="360" w:lineRule="auto"/>
              <w:jc w:val="both"/>
              <w:rPr>
                <w:rFonts w:ascii="Book Antiqua" w:eastAsia="Book Antiqua" w:hAnsi="Book Antiqua"/>
                <w:b/>
                <w:bCs/>
              </w:rPr>
            </w:pPr>
            <w:r w:rsidRPr="00623D6F">
              <w:rPr>
                <w:rFonts w:ascii="Book Antiqua" w:eastAsia="Book Antiqua" w:hAnsi="Book Antiqua"/>
                <w:b/>
                <w:bCs/>
              </w:rPr>
              <w:t>50%</w:t>
            </w:r>
          </w:p>
        </w:tc>
        <w:tc>
          <w:tcPr>
            <w:tcW w:w="1393" w:type="dxa"/>
            <w:tcBorders>
              <w:top w:val="single" w:sz="4" w:space="0" w:color="auto"/>
              <w:left w:val="nil"/>
              <w:bottom w:val="single" w:sz="4" w:space="0" w:color="auto"/>
              <w:right w:val="nil"/>
            </w:tcBorders>
            <w:hideMark/>
          </w:tcPr>
          <w:p w14:paraId="711A7104" w14:textId="77777777" w:rsidR="0038018A" w:rsidRPr="00623D6F" w:rsidRDefault="00C220BD">
            <w:pPr>
              <w:spacing w:line="360" w:lineRule="auto"/>
              <w:jc w:val="both"/>
              <w:rPr>
                <w:rFonts w:ascii="Book Antiqua" w:eastAsia="Book Antiqua" w:hAnsi="Book Antiqua"/>
                <w:b/>
                <w:bCs/>
              </w:rPr>
            </w:pPr>
            <w:r w:rsidRPr="00623D6F">
              <w:rPr>
                <w:rFonts w:ascii="Book Antiqua" w:eastAsia="Book Antiqua" w:hAnsi="Book Antiqua"/>
                <w:b/>
                <w:bCs/>
              </w:rPr>
              <w:t>75%</w:t>
            </w:r>
          </w:p>
        </w:tc>
        <w:tc>
          <w:tcPr>
            <w:tcW w:w="1396" w:type="dxa"/>
            <w:tcBorders>
              <w:top w:val="single" w:sz="4" w:space="0" w:color="auto"/>
              <w:left w:val="nil"/>
              <w:bottom w:val="single" w:sz="4" w:space="0" w:color="auto"/>
              <w:right w:val="nil"/>
            </w:tcBorders>
            <w:hideMark/>
          </w:tcPr>
          <w:p w14:paraId="1E6E9726" w14:textId="77777777" w:rsidR="0038018A" w:rsidRPr="00623D6F" w:rsidRDefault="00C220BD">
            <w:pPr>
              <w:spacing w:line="360" w:lineRule="auto"/>
              <w:jc w:val="both"/>
              <w:rPr>
                <w:rFonts w:ascii="Book Antiqua" w:eastAsia="Book Antiqua" w:hAnsi="Book Antiqua"/>
                <w:b/>
                <w:bCs/>
              </w:rPr>
            </w:pPr>
            <w:r w:rsidRPr="00623D6F">
              <w:rPr>
                <w:rFonts w:ascii="Book Antiqua" w:eastAsia="Book Antiqua" w:hAnsi="Book Antiqua"/>
                <w:b/>
                <w:bCs/>
              </w:rPr>
              <w:t>Max</w:t>
            </w:r>
          </w:p>
        </w:tc>
      </w:tr>
      <w:tr w:rsidR="0038018A" w:rsidRPr="00623D6F" w14:paraId="4D99FE2B" w14:textId="77777777">
        <w:trPr>
          <w:trHeight w:val="335"/>
        </w:trPr>
        <w:tc>
          <w:tcPr>
            <w:tcW w:w="4399" w:type="dxa"/>
            <w:tcBorders>
              <w:top w:val="nil"/>
              <w:left w:val="nil"/>
              <w:bottom w:val="nil"/>
              <w:right w:val="nil"/>
            </w:tcBorders>
            <w:hideMark/>
          </w:tcPr>
          <w:p w14:paraId="6027CF69"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 xml:space="preserve">Sex, </w:t>
            </w:r>
            <w:r w:rsidRPr="00623D6F">
              <w:rPr>
                <w:rFonts w:ascii="Book Antiqua" w:eastAsia="Book Antiqua" w:hAnsi="Book Antiqua"/>
                <w:i/>
                <w:iCs/>
                <w:lang w:eastAsia="ko-KR"/>
              </w:rPr>
              <w:t>n</w:t>
            </w:r>
            <w:r w:rsidRPr="00623D6F">
              <w:rPr>
                <w:rFonts w:ascii="Book Antiqua" w:eastAsia="Book Antiqua" w:hAnsi="Book Antiqua"/>
                <w:lang w:eastAsia="ko-KR"/>
              </w:rPr>
              <w:t xml:space="preserve"> (%)</w:t>
            </w:r>
          </w:p>
        </w:tc>
        <w:tc>
          <w:tcPr>
            <w:tcW w:w="2118" w:type="dxa"/>
            <w:tcBorders>
              <w:top w:val="nil"/>
              <w:left w:val="nil"/>
              <w:bottom w:val="nil"/>
              <w:right w:val="nil"/>
            </w:tcBorders>
          </w:tcPr>
          <w:p w14:paraId="724CE2E8"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AA9D07A"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2FAF84E7"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B8A6EAD"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8C4DE1C"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03898402" w14:textId="77777777" w:rsidR="0038018A" w:rsidRPr="00623D6F" w:rsidRDefault="0038018A">
            <w:pPr>
              <w:spacing w:line="360" w:lineRule="auto"/>
              <w:jc w:val="both"/>
              <w:rPr>
                <w:rFonts w:ascii="Book Antiqua" w:eastAsia="Book Antiqua" w:hAnsi="Book Antiqua"/>
              </w:rPr>
            </w:pPr>
          </w:p>
        </w:tc>
      </w:tr>
      <w:tr w:rsidR="0038018A" w:rsidRPr="00623D6F" w14:paraId="02E1739D" w14:textId="77777777">
        <w:trPr>
          <w:trHeight w:val="335"/>
        </w:trPr>
        <w:tc>
          <w:tcPr>
            <w:tcW w:w="4399" w:type="dxa"/>
            <w:tcBorders>
              <w:top w:val="nil"/>
              <w:left w:val="nil"/>
              <w:bottom w:val="nil"/>
              <w:right w:val="nil"/>
            </w:tcBorders>
            <w:hideMark/>
          </w:tcPr>
          <w:p w14:paraId="27B88F5D"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Male</w:t>
            </w:r>
          </w:p>
        </w:tc>
        <w:tc>
          <w:tcPr>
            <w:tcW w:w="2118" w:type="dxa"/>
            <w:tcBorders>
              <w:top w:val="nil"/>
              <w:left w:val="nil"/>
              <w:bottom w:val="nil"/>
              <w:right w:val="nil"/>
            </w:tcBorders>
            <w:hideMark/>
          </w:tcPr>
          <w:p w14:paraId="6E60B128"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81687 (40.8)</w:t>
            </w:r>
          </w:p>
        </w:tc>
        <w:tc>
          <w:tcPr>
            <w:tcW w:w="1393" w:type="dxa"/>
            <w:tcBorders>
              <w:top w:val="nil"/>
              <w:left w:val="nil"/>
              <w:bottom w:val="nil"/>
              <w:right w:val="nil"/>
            </w:tcBorders>
          </w:tcPr>
          <w:p w14:paraId="0E794B96"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E557D4D"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0B4DB93"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5585FC3"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2A5E68A6" w14:textId="77777777" w:rsidR="0038018A" w:rsidRPr="00623D6F" w:rsidRDefault="0038018A">
            <w:pPr>
              <w:spacing w:line="360" w:lineRule="auto"/>
              <w:jc w:val="both"/>
              <w:rPr>
                <w:rFonts w:ascii="Book Antiqua" w:eastAsia="Book Antiqua" w:hAnsi="Book Antiqua"/>
              </w:rPr>
            </w:pPr>
          </w:p>
        </w:tc>
      </w:tr>
      <w:tr w:rsidR="0038018A" w:rsidRPr="00623D6F" w14:paraId="1D38657E" w14:textId="77777777">
        <w:trPr>
          <w:trHeight w:val="335"/>
        </w:trPr>
        <w:tc>
          <w:tcPr>
            <w:tcW w:w="4399" w:type="dxa"/>
            <w:tcBorders>
              <w:top w:val="nil"/>
              <w:left w:val="nil"/>
              <w:bottom w:val="nil"/>
              <w:right w:val="nil"/>
            </w:tcBorders>
            <w:hideMark/>
          </w:tcPr>
          <w:p w14:paraId="1E1CF034"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Female</w:t>
            </w:r>
          </w:p>
        </w:tc>
        <w:tc>
          <w:tcPr>
            <w:tcW w:w="2118" w:type="dxa"/>
            <w:tcBorders>
              <w:top w:val="nil"/>
              <w:left w:val="nil"/>
              <w:bottom w:val="nil"/>
              <w:right w:val="nil"/>
            </w:tcBorders>
            <w:hideMark/>
          </w:tcPr>
          <w:p w14:paraId="5737CE23"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118313 (59.2)</w:t>
            </w:r>
          </w:p>
        </w:tc>
        <w:tc>
          <w:tcPr>
            <w:tcW w:w="1393" w:type="dxa"/>
            <w:tcBorders>
              <w:top w:val="nil"/>
              <w:left w:val="nil"/>
              <w:bottom w:val="nil"/>
              <w:right w:val="nil"/>
            </w:tcBorders>
          </w:tcPr>
          <w:p w14:paraId="12EBFDFE"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27BB49F"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ECCE5D7"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59A5E25"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3E1A97A5" w14:textId="77777777" w:rsidR="0038018A" w:rsidRPr="00623D6F" w:rsidRDefault="0038018A">
            <w:pPr>
              <w:spacing w:line="360" w:lineRule="auto"/>
              <w:jc w:val="both"/>
              <w:rPr>
                <w:rFonts w:ascii="Book Antiqua" w:eastAsia="Book Antiqua" w:hAnsi="Book Antiqua"/>
              </w:rPr>
            </w:pPr>
          </w:p>
        </w:tc>
      </w:tr>
      <w:tr w:rsidR="0038018A" w:rsidRPr="00623D6F" w14:paraId="3716B50F" w14:textId="77777777">
        <w:trPr>
          <w:trHeight w:val="335"/>
        </w:trPr>
        <w:tc>
          <w:tcPr>
            <w:tcW w:w="4399" w:type="dxa"/>
            <w:tcBorders>
              <w:top w:val="nil"/>
              <w:left w:val="nil"/>
              <w:bottom w:val="nil"/>
              <w:right w:val="nil"/>
            </w:tcBorders>
            <w:hideMark/>
          </w:tcPr>
          <w:p w14:paraId="179A505E"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 xml:space="preserve">Age group, yr, </w:t>
            </w:r>
            <w:r w:rsidRPr="00623D6F">
              <w:rPr>
                <w:rFonts w:ascii="Book Antiqua" w:eastAsia="Book Antiqua" w:hAnsi="Book Antiqua"/>
                <w:i/>
                <w:iCs/>
                <w:lang w:eastAsia="ko-KR"/>
              </w:rPr>
              <w:t>n</w:t>
            </w:r>
            <w:r w:rsidRPr="00623D6F">
              <w:rPr>
                <w:rFonts w:ascii="Book Antiqua" w:eastAsia="Book Antiqua" w:hAnsi="Book Antiqua"/>
                <w:lang w:eastAsia="ko-KR"/>
              </w:rPr>
              <w:t xml:space="preserve"> (%)</w:t>
            </w:r>
          </w:p>
        </w:tc>
        <w:tc>
          <w:tcPr>
            <w:tcW w:w="2118" w:type="dxa"/>
            <w:tcBorders>
              <w:top w:val="nil"/>
              <w:left w:val="nil"/>
              <w:bottom w:val="nil"/>
              <w:right w:val="nil"/>
            </w:tcBorders>
          </w:tcPr>
          <w:p w14:paraId="1609E577"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4B4CC5E"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710E638"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E5CFBC3"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303346C6"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3A2EF917" w14:textId="77777777" w:rsidR="0038018A" w:rsidRPr="00623D6F" w:rsidRDefault="0038018A">
            <w:pPr>
              <w:spacing w:line="360" w:lineRule="auto"/>
              <w:jc w:val="both"/>
              <w:rPr>
                <w:rFonts w:ascii="Book Antiqua" w:eastAsia="Book Antiqua" w:hAnsi="Book Antiqua"/>
              </w:rPr>
            </w:pPr>
          </w:p>
        </w:tc>
      </w:tr>
      <w:tr w:rsidR="0038018A" w:rsidRPr="00623D6F" w14:paraId="4AA1B66B" w14:textId="77777777">
        <w:trPr>
          <w:trHeight w:val="335"/>
        </w:trPr>
        <w:tc>
          <w:tcPr>
            <w:tcW w:w="4399" w:type="dxa"/>
            <w:tcBorders>
              <w:top w:val="nil"/>
              <w:left w:val="nil"/>
              <w:bottom w:val="nil"/>
              <w:right w:val="nil"/>
            </w:tcBorders>
            <w:hideMark/>
          </w:tcPr>
          <w:p w14:paraId="7D2CC1C9"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&lt; 10</w:t>
            </w:r>
          </w:p>
        </w:tc>
        <w:tc>
          <w:tcPr>
            <w:tcW w:w="2118" w:type="dxa"/>
            <w:tcBorders>
              <w:top w:val="nil"/>
              <w:left w:val="nil"/>
              <w:bottom w:val="nil"/>
              <w:right w:val="nil"/>
            </w:tcBorders>
            <w:hideMark/>
          </w:tcPr>
          <w:p w14:paraId="391324D8"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341 (0.17)</w:t>
            </w:r>
          </w:p>
        </w:tc>
        <w:tc>
          <w:tcPr>
            <w:tcW w:w="1393" w:type="dxa"/>
            <w:tcBorders>
              <w:top w:val="nil"/>
              <w:left w:val="nil"/>
              <w:bottom w:val="nil"/>
              <w:right w:val="nil"/>
            </w:tcBorders>
          </w:tcPr>
          <w:p w14:paraId="2E7950CE"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F1DBC9C"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32D99B58"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1293D62"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0624BE35" w14:textId="77777777" w:rsidR="0038018A" w:rsidRPr="00623D6F" w:rsidRDefault="0038018A">
            <w:pPr>
              <w:spacing w:line="360" w:lineRule="auto"/>
              <w:jc w:val="both"/>
              <w:rPr>
                <w:rFonts w:ascii="Book Antiqua" w:eastAsia="Book Antiqua" w:hAnsi="Book Antiqua"/>
              </w:rPr>
            </w:pPr>
          </w:p>
        </w:tc>
      </w:tr>
      <w:tr w:rsidR="0038018A" w:rsidRPr="00623D6F" w14:paraId="1E63F47E" w14:textId="77777777">
        <w:trPr>
          <w:trHeight w:val="335"/>
        </w:trPr>
        <w:tc>
          <w:tcPr>
            <w:tcW w:w="4399" w:type="dxa"/>
            <w:tcBorders>
              <w:top w:val="nil"/>
              <w:left w:val="nil"/>
              <w:bottom w:val="nil"/>
              <w:right w:val="nil"/>
            </w:tcBorders>
            <w:hideMark/>
          </w:tcPr>
          <w:p w14:paraId="38E0056E"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10-19</w:t>
            </w:r>
          </w:p>
        </w:tc>
        <w:tc>
          <w:tcPr>
            <w:tcW w:w="2118" w:type="dxa"/>
            <w:tcBorders>
              <w:top w:val="nil"/>
              <w:left w:val="nil"/>
              <w:bottom w:val="nil"/>
              <w:right w:val="nil"/>
            </w:tcBorders>
            <w:hideMark/>
          </w:tcPr>
          <w:p w14:paraId="053D2FA5"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2402 (1.20)</w:t>
            </w:r>
          </w:p>
        </w:tc>
        <w:tc>
          <w:tcPr>
            <w:tcW w:w="1393" w:type="dxa"/>
            <w:tcBorders>
              <w:top w:val="nil"/>
              <w:left w:val="nil"/>
              <w:bottom w:val="nil"/>
              <w:right w:val="nil"/>
            </w:tcBorders>
          </w:tcPr>
          <w:p w14:paraId="175988E3"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0E52BED"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2D31D88"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820BC9B"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6AF043BF" w14:textId="77777777" w:rsidR="0038018A" w:rsidRPr="00623D6F" w:rsidRDefault="0038018A">
            <w:pPr>
              <w:spacing w:line="360" w:lineRule="auto"/>
              <w:jc w:val="both"/>
              <w:rPr>
                <w:rFonts w:ascii="Book Antiqua" w:eastAsia="Book Antiqua" w:hAnsi="Book Antiqua"/>
              </w:rPr>
            </w:pPr>
          </w:p>
        </w:tc>
      </w:tr>
      <w:tr w:rsidR="0038018A" w:rsidRPr="00623D6F" w14:paraId="1EC2F232" w14:textId="77777777">
        <w:trPr>
          <w:trHeight w:val="335"/>
        </w:trPr>
        <w:tc>
          <w:tcPr>
            <w:tcW w:w="4399" w:type="dxa"/>
            <w:tcBorders>
              <w:top w:val="nil"/>
              <w:left w:val="nil"/>
              <w:bottom w:val="nil"/>
              <w:right w:val="nil"/>
            </w:tcBorders>
            <w:hideMark/>
          </w:tcPr>
          <w:p w14:paraId="7BA75438"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20-29</w:t>
            </w:r>
          </w:p>
        </w:tc>
        <w:tc>
          <w:tcPr>
            <w:tcW w:w="2118" w:type="dxa"/>
            <w:tcBorders>
              <w:top w:val="nil"/>
              <w:left w:val="nil"/>
              <w:bottom w:val="nil"/>
              <w:right w:val="nil"/>
            </w:tcBorders>
            <w:hideMark/>
          </w:tcPr>
          <w:p w14:paraId="5D56EF5D"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6863 (3.43)</w:t>
            </w:r>
          </w:p>
        </w:tc>
        <w:tc>
          <w:tcPr>
            <w:tcW w:w="1393" w:type="dxa"/>
            <w:tcBorders>
              <w:top w:val="nil"/>
              <w:left w:val="nil"/>
              <w:bottom w:val="nil"/>
              <w:right w:val="nil"/>
            </w:tcBorders>
          </w:tcPr>
          <w:p w14:paraId="6B29A8E9"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3841E297"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29E7CB7"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25236BB9"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5AE8599E" w14:textId="77777777" w:rsidR="0038018A" w:rsidRPr="00623D6F" w:rsidRDefault="0038018A">
            <w:pPr>
              <w:spacing w:line="360" w:lineRule="auto"/>
              <w:jc w:val="both"/>
              <w:rPr>
                <w:rFonts w:ascii="Book Antiqua" w:eastAsia="Book Antiqua" w:hAnsi="Book Antiqua"/>
              </w:rPr>
            </w:pPr>
          </w:p>
        </w:tc>
      </w:tr>
      <w:tr w:rsidR="0038018A" w:rsidRPr="00623D6F" w14:paraId="06F8814C" w14:textId="77777777">
        <w:trPr>
          <w:trHeight w:val="335"/>
        </w:trPr>
        <w:tc>
          <w:tcPr>
            <w:tcW w:w="4399" w:type="dxa"/>
            <w:tcBorders>
              <w:top w:val="nil"/>
              <w:left w:val="nil"/>
              <w:bottom w:val="nil"/>
              <w:right w:val="nil"/>
            </w:tcBorders>
            <w:hideMark/>
          </w:tcPr>
          <w:p w14:paraId="37D21BF1"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30-39</w:t>
            </w:r>
          </w:p>
        </w:tc>
        <w:tc>
          <w:tcPr>
            <w:tcW w:w="2118" w:type="dxa"/>
            <w:tcBorders>
              <w:top w:val="nil"/>
              <w:left w:val="nil"/>
              <w:bottom w:val="nil"/>
              <w:right w:val="nil"/>
            </w:tcBorders>
            <w:hideMark/>
          </w:tcPr>
          <w:p w14:paraId="1286B3BC"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12477 (6.24)</w:t>
            </w:r>
          </w:p>
        </w:tc>
        <w:tc>
          <w:tcPr>
            <w:tcW w:w="1393" w:type="dxa"/>
            <w:tcBorders>
              <w:top w:val="nil"/>
              <w:left w:val="nil"/>
              <w:bottom w:val="nil"/>
              <w:right w:val="nil"/>
            </w:tcBorders>
          </w:tcPr>
          <w:p w14:paraId="54A9FC33"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83D269E"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CFF3910"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63D0775"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4E53FC07" w14:textId="77777777" w:rsidR="0038018A" w:rsidRPr="00623D6F" w:rsidRDefault="0038018A">
            <w:pPr>
              <w:spacing w:line="360" w:lineRule="auto"/>
              <w:jc w:val="both"/>
              <w:rPr>
                <w:rFonts w:ascii="Book Antiqua" w:eastAsia="Book Antiqua" w:hAnsi="Book Antiqua"/>
              </w:rPr>
            </w:pPr>
          </w:p>
        </w:tc>
      </w:tr>
      <w:tr w:rsidR="0038018A" w:rsidRPr="00623D6F" w14:paraId="224E8415" w14:textId="77777777">
        <w:trPr>
          <w:trHeight w:val="335"/>
        </w:trPr>
        <w:tc>
          <w:tcPr>
            <w:tcW w:w="4399" w:type="dxa"/>
            <w:tcBorders>
              <w:top w:val="nil"/>
              <w:left w:val="nil"/>
              <w:bottom w:val="nil"/>
              <w:right w:val="nil"/>
            </w:tcBorders>
            <w:hideMark/>
          </w:tcPr>
          <w:p w14:paraId="0684F18B"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40-49</w:t>
            </w:r>
          </w:p>
        </w:tc>
        <w:tc>
          <w:tcPr>
            <w:tcW w:w="2118" w:type="dxa"/>
            <w:tcBorders>
              <w:top w:val="nil"/>
              <w:left w:val="nil"/>
              <w:bottom w:val="nil"/>
              <w:right w:val="nil"/>
            </w:tcBorders>
            <w:hideMark/>
          </w:tcPr>
          <w:p w14:paraId="35330610"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23564 (11.78)</w:t>
            </w:r>
          </w:p>
        </w:tc>
        <w:tc>
          <w:tcPr>
            <w:tcW w:w="1393" w:type="dxa"/>
            <w:tcBorders>
              <w:top w:val="nil"/>
              <w:left w:val="nil"/>
              <w:bottom w:val="nil"/>
              <w:right w:val="nil"/>
            </w:tcBorders>
          </w:tcPr>
          <w:p w14:paraId="017C5FDE"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B768923"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2D77D41E"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9113E0D"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5586754A" w14:textId="77777777" w:rsidR="0038018A" w:rsidRPr="00623D6F" w:rsidRDefault="0038018A">
            <w:pPr>
              <w:spacing w:line="360" w:lineRule="auto"/>
              <w:jc w:val="both"/>
              <w:rPr>
                <w:rFonts w:ascii="Book Antiqua" w:eastAsia="Book Antiqua" w:hAnsi="Book Antiqua"/>
              </w:rPr>
            </w:pPr>
          </w:p>
        </w:tc>
      </w:tr>
      <w:tr w:rsidR="0038018A" w:rsidRPr="00623D6F" w14:paraId="60D3B821" w14:textId="77777777">
        <w:trPr>
          <w:trHeight w:val="335"/>
        </w:trPr>
        <w:tc>
          <w:tcPr>
            <w:tcW w:w="4399" w:type="dxa"/>
            <w:tcBorders>
              <w:top w:val="nil"/>
              <w:left w:val="nil"/>
              <w:bottom w:val="nil"/>
              <w:right w:val="nil"/>
            </w:tcBorders>
            <w:hideMark/>
          </w:tcPr>
          <w:p w14:paraId="392DD832"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50-59</w:t>
            </w:r>
          </w:p>
        </w:tc>
        <w:tc>
          <w:tcPr>
            <w:tcW w:w="2118" w:type="dxa"/>
            <w:tcBorders>
              <w:top w:val="nil"/>
              <w:left w:val="nil"/>
              <w:bottom w:val="nil"/>
              <w:right w:val="nil"/>
            </w:tcBorders>
            <w:hideMark/>
          </w:tcPr>
          <w:p w14:paraId="2ECBC357"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46228 (23.11)</w:t>
            </w:r>
          </w:p>
        </w:tc>
        <w:tc>
          <w:tcPr>
            <w:tcW w:w="1393" w:type="dxa"/>
            <w:tcBorders>
              <w:top w:val="nil"/>
              <w:left w:val="nil"/>
              <w:bottom w:val="nil"/>
              <w:right w:val="nil"/>
            </w:tcBorders>
          </w:tcPr>
          <w:p w14:paraId="5A11BDE4"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5AEB322"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4A1B215A"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DDB593B"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32FAF69D" w14:textId="77777777" w:rsidR="0038018A" w:rsidRPr="00623D6F" w:rsidRDefault="0038018A">
            <w:pPr>
              <w:spacing w:line="360" w:lineRule="auto"/>
              <w:jc w:val="both"/>
              <w:rPr>
                <w:rFonts w:ascii="Book Antiqua" w:eastAsia="Book Antiqua" w:hAnsi="Book Antiqua"/>
              </w:rPr>
            </w:pPr>
          </w:p>
        </w:tc>
      </w:tr>
      <w:tr w:rsidR="0038018A" w:rsidRPr="00623D6F" w14:paraId="677A057E" w14:textId="77777777">
        <w:trPr>
          <w:trHeight w:val="335"/>
        </w:trPr>
        <w:tc>
          <w:tcPr>
            <w:tcW w:w="4399" w:type="dxa"/>
            <w:tcBorders>
              <w:top w:val="nil"/>
              <w:left w:val="nil"/>
              <w:bottom w:val="nil"/>
              <w:right w:val="nil"/>
            </w:tcBorders>
            <w:hideMark/>
          </w:tcPr>
          <w:p w14:paraId="354BB4B0"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60-69</w:t>
            </w:r>
          </w:p>
        </w:tc>
        <w:tc>
          <w:tcPr>
            <w:tcW w:w="2118" w:type="dxa"/>
            <w:tcBorders>
              <w:top w:val="nil"/>
              <w:left w:val="nil"/>
              <w:bottom w:val="nil"/>
              <w:right w:val="nil"/>
            </w:tcBorders>
            <w:hideMark/>
          </w:tcPr>
          <w:p w14:paraId="345F9097"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49190 (24.60)</w:t>
            </w:r>
          </w:p>
        </w:tc>
        <w:tc>
          <w:tcPr>
            <w:tcW w:w="1393" w:type="dxa"/>
            <w:tcBorders>
              <w:top w:val="nil"/>
              <w:left w:val="nil"/>
              <w:bottom w:val="nil"/>
              <w:right w:val="nil"/>
            </w:tcBorders>
          </w:tcPr>
          <w:p w14:paraId="513AC3BA"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6738C5D"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29DCA4CD"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0AB1E39"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0FB32AB4" w14:textId="77777777" w:rsidR="0038018A" w:rsidRPr="00623D6F" w:rsidRDefault="0038018A">
            <w:pPr>
              <w:spacing w:line="360" w:lineRule="auto"/>
              <w:jc w:val="both"/>
              <w:rPr>
                <w:rFonts w:ascii="Book Antiqua" w:eastAsia="Book Antiqua" w:hAnsi="Book Antiqua"/>
              </w:rPr>
            </w:pPr>
          </w:p>
        </w:tc>
      </w:tr>
      <w:tr w:rsidR="0038018A" w:rsidRPr="00623D6F" w14:paraId="0E0A64FD" w14:textId="77777777">
        <w:trPr>
          <w:trHeight w:val="335"/>
        </w:trPr>
        <w:tc>
          <w:tcPr>
            <w:tcW w:w="4399" w:type="dxa"/>
            <w:tcBorders>
              <w:top w:val="nil"/>
              <w:left w:val="nil"/>
              <w:bottom w:val="nil"/>
              <w:right w:val="nil"/>
            </w:tcBorders>
            <w:hideMark/>
          </w:tcPr>
          <w:p w14:paraId="4F31A543"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70-79</w:t>
            </w:r>
          </w:p>
        </w:tc>
        <w:tc>
          <w:tcPr>
            <w:tcW w:w="2118" w:type="dxa"/>
            <w:tcBorders>
              <w:top w:val="nil"/>
              <w:left w:val="nil"/>
              <w:bottom w:val="nil"/>
              <w:right w:val="nil"/>
            </w:tcBorders>
            <w:hideMark/>
          </w:tcPr>
          <w:p w14:paraId="3E9DEA29"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43077 (21.54)</w:t>
            </w:r>
          </w:p>
        </w:tc>
        <w:tc>
          <w:tcPr>
            <w:tcW w:w="1393" w:type="dxa"/>
            <w:tcBorders>
              <w:top w:val="nil"/>
              <w:left w:val="nil"/>
              <w:bottom w:val="nil"/>
              <w:right w:val="nil"/>
            </w:tcBorders>
          </w:tcPr>
          <w:p w14:paraId="4B2CF32C"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1679B561"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6300E46"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0CA06A93"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01254666" w14:textId="77777777" w:rsidR="0038018A" w:rsidRPr="00623D6F" w:rsidRDefault="0038018A">
            <w:pPr>
              <w:spacing w:line="360" w:lineRule="auto"/>
              <w:jc w:val="both"/>
              <w:rPr>
                <w:rFonts w:ascii="Book Antiqua" w:eastAsia="Book Antiqua" w:hAnsi="Book Antiqua"/>
              </w:rPr>
            </w:pPr>
          </w:p>
        </w:tc>
      </w:tr>
      <w:tr w:rsidR="0038018A" w:rsidRPr="00623D6F" w14:paraId="7758C047" w14:textId="77777777">
        <w:trPr>
          <w:trHeight w:val="335"/>
        </w:trPr>
        <w:tc>
          <w:tcPr>
            <w:tcW w:w="4399" w:type="dxa"/>
            <w:tcBorders>
              <w:top w:val="nil"/>
              <w:left w:val="nil"/>
              <w:bottom w:val="nil"/>
              <w:right w:val="nil"/>
            </w:tcBorders>
            <w:hideMark/>
          </w:tcPr>
          <w:p w14:paraId="3FD0FEA6" w14:textId="77777777" w:rsidR="0038018A" w:rsidRPr="00623D6F" w:rsidRDefault="00C220BD">
            <w:pPr>
              <w:spacing w:line="360" w:lineRule="auto"/>
              <w:ind w:firstLineChars="100" w:firstLine="240"/>
              <w:jc w:val="both"/>
              <w:rPr>
                <w:rFonts w:ascii="Book Antiqua" w:eastAsia="Book Antiqua" w:hAnsi="Book Antiqua"/>
                <w:lang w:eastAsia="ko-KR"/>
              </w:rPr>
            </w:pPr>
            <w:r w:rsidRPr="00623D6F">
              <w:rPr>
                <w:rFonts w:ascii="Book Antiqua" w:eastAsia="Book Antiqua" w:hAnsi="Book Antiqua"/>
                <w:lang w:eastAsia="ko-KR"/>
              </w:rPr>
              <w:t>≥ 80</w:t>
            </w:r>
          </w:p>
        </w:tc>
        <w:tc>
          <w:tcPr>
            <w:tcW w:w="2118" w:type="dxa"/>
            <w:tcBorders>
              <w:top w:val="nil"/>
              <w:left w:val="nil"/>
              <w:bottom w:val="nil"/>
              <w:right w:val="nil"/>
            </w:tcBorders>
            <w:hideMark/>
          </w:tcPr>
          <w:p w14:paraId="4FC6093F"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15858 (7.93)</w:t>
            </w:r>
          </w:p>
        </w:tc>
        <w:tc>
          <w:tcPr>
            <w:tcW w:w="1393" w:type="dxa"/>
            <w:tcBorders>
              <w:top w:val="nil"/>
              <w:left w:val="nil"/>
              <w:bottom w:val="nil"/>
              <w:right w:val="nil"/>
            </w:tcBorders>
          </w:tcPr>
          <w:p w14:paraId="7B5D9D6F"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516DAC93"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778269FA" w14:textId="77777777" w:rsidR="0038018A" w:rsidRPr="00623D6F" w:rsidRDefault="0038018A">
            <w:pPr>
              <w:spacing w:line="360" w:lineRule="auto"/>
              <w:jc w:val="both"/>
              <w:rPr>
                <w:rFonts w:ascii="Book Antiqua" w:eastAsia="Book Antiqua" w:hAnsi="Book Antiqua"/>
              </w:rPr>
            </w:pPr>
          </w:p>
        </w:tc>
        <w:tc>
          <w:tcPr>
            <w:tcW w:w="1393" w:type="dxa"/>
            <w:tcBorders>
              <w:top w:val="nil"/>
              <w:left w:val="nil"/>
              <w:bottom w:val="nil"/>
              <w:right w:val="nil"/>
            </w:tcBorders>
          </w:tcPr>
          <w:p w14:paraId="61288F35" w14:textId="77777777" w:rsidR="0038018A" w:rsidRPr="00623D6F" w:rsidRDefault="0038018A">
            <w:pPr>
              <w:spacing w:line="360" w:lineRule="auto"/>
              <w:jc w:val="both"/>
              <w:rPr>
                <w:rFonts w:ascii="Book Antiqua" w:eastAsia="Book Antiqua" w:hAnsi="Book Antiqua"/>
              </w:rPr>
            </w:pPr>
          </w:p>
        </w:tc>
        <w:tc>
          <w:tcPr>
            <w:tcW w:w="1396" w:type="dxa"/>
            <w:tcBorders>
              <w:top w:val="nil"/>
              <w:left w:val="nil"/>
              <w:bottom w:val="nil"/>
              <w:right w:val="nil"/>
            </w:tcBorders>
          </w:tcPr>
          <w:p w14:paraId="6C0AD9F7" w14:textId="77777777" w:rsidR="0038018A" w:rsidRPr="00623D6F" w:rsidRDefault="0038018A">
            <w:pPr>
              <w:spacing w:line="360" w:lineRule="auto"/>
              <w:jc w:val="both"/>
              <w:rPr>
                <w:rFonts w:ascii="Book Antiqua" w:eastAsia="Book Antiqua" w:hAnsi="Book Antiqua"/>
              </w:rPr>
            </w:pPr>
          </w:p>
        </w:tc>
      </w:tr>
      <w:tr w:rsidR="0038018A" w:rsidRPr="00623D6F" w14:paraId="6F97FD50" w14:textId="77777777">
        <w:trPr>
          <w:gridAfter w:val="6"/>
          <w:wAfter w:w="9086" w:type="dxa"/>
          <w:trHeight w:val="351"/>
        </w:trPr>
        <w:tc>
          <w:tcPr>
            <w:tcW w:w="4399" w:type="dxa"/>
            <w:tcBorders>
              <w:top w:val="nil"/>
              <w:left w:val="nil"/>
              <w:bottom w:val="nil"/>
              <w:right w:val="nil"/>
            </w:tcBorders>
            <w:hideMark/>
          </w:tcPr>
          <w:p w14:paraId="22D56532" w14:textId="77777777" w:rsidR="0038018A" w:rsidRPr="00623D6F" w:rsidRDefault="00C220BD">
            <w:pPr>
              <w:spacing w:line="360" w:lineRule="auto"/>
              <w:jc w:val="both"/>
              <w:rPr>
                <w:rFonts w:ascii="Book Antiqua" w:eastAsia="Book Antiqua" w:hAnsi="Book Antiqua"/>
                <w:bCs/>
              </w:rPr>
            </w:pPr>
            <w:r w:rsidRPr="00623D6F">
              <w:rPr>
                <w:rFonts w:ascii="Book Antiqua" w:eastAsia="Book Antiqua" w:hAnsi="Book Antiqua"/>
                <w:bCs/>
              </w:rPr>
              <w:t>Meteorological factors</w:t>
            </w:r>
          </w:p>
        </w:tc>
      </w:tr>
      <w:tr w:rsidR="0038018A" w:rsidRPr="00623D6F" w14:paraId="4227BDE7" w14:textId="77777777">
        <w:trPr>
          <w:trHeight w:val="321"/>
        </w:trPr>
        <w:tc>
          <w:tcPr>
            <w:tcW w:w="4399" w:type="dxa"/>
            <w:tcBorders>
              <w:top w:val="nil"/>
              <w:left w:val="nil"/>
              <w:bottom w:val="nil"/>
              <w:right w:val="nil"/>
            </w:tcBorders>
            <w:hideMark/>
          </w:tcPr>
          <w:p w14:paraId="34DDD136"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Average temperature (°C)</w:t>
            </w:r>
          </w:p>
        </w:tc>
        <w:tc>
          <w:tcPr>
            <w:tcW w:w="2118" w:type="dxa"/>
            <w:tcBorders>
              <w:top w:val="nil"/>
              <w:left w:val="nil"/>
              <w:bottom w:val="nil"/>
              <w:right w:val="nil"/>
            </w:tcBorders>
            <w:hideMark/>
          </w:tcPr>
          <w:p w14:paraId="3CAFD4DE"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13.8 ± 9.8</w:t>
            </w:r>
          </w:p>
        </w:tc>
        <w:tc>
          <w:tcPr>
            <w:tcW w:w="1393" w:type="dxa"/>
            <w:tcBorders>
              <w:top w:val="nil"/>
              <w:left w:val="nil"/>
              <w:bottom w:val="nil"/>
              <w:right w:val="nil"/>
            </w:tcBorders>
            <w:hideMark/>
          </w:tcPr>
          <w:p w14:paraId="408610B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-13.7</w:t>
            </w:r>
          </w:p>
        </w:tc>
        <w:tc>
          <w:tcPr>
            <w:tcW w:w="1393" w:type="dxa"/>
            <w:tcBorders>
              <w:top w:val="nil"/>
              <w:left w:val="nil"/>
              <w:bottom w:val="nil"/>
              <w:right w:val="nil"/>
            </w:tcBorders>
            <w:hideMark/>
          </w:tcPr>
          <w:p w14:paraId="723CA5B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5.4</w:t>
            </w:r>
          </w:p>
        </w:tc>
        <w:tc>
          <w:tcPr>
            <w:tcW w:w="1393" w:type="dxa"/>
            <w:tcBorders>
              <w:top w:val="nil"/>
              <w:left w:val="nil"/>
              <w:bottom w:val="nil"/>
              <w:right w:val="nil"/>
            </w:tcBorders>
            <w:hideMark/>
          </w:tcPr>
          <w:p w14:paraId="1BAEE1E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15.2</w:t>
            </w:r>
          </w:p>
        </w:tc>
        <w:tc>
          <w:tcPr>
            <w:tcW w:w="1393" w:type="dxa"/>
            <w:tcBorders>
              <w:top w:val="nil"/>
              <w:left w:val="nil"/>
              <w:bottom w:val="nil"/>
              <w:right w:val="nil"/>
            </w:tcBorders>
            <w:hideMark/>
          </w:tcPr>
          <w:p w14:paraId="1F1E4FF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22.4</w:t>
            </w:r>
          </w:p>
        </w:tc>
        <w:tc>
          <w:tcPr>
            <w:tcW w:w="1396" w:type="dxa"/>
            <w:tcBorders>
              <w:top w:val="nil"/>
              <w:left w:val="nil"/>
              <w:bottom w:val="nil"/>
              <w:right w:val="nil"/>
            </w:tcBorders>
            <w:hideMark/>
          </w:tcPr>
          <w:p w14:paraId="68EF5F4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33.1</w:t>
            </w:r>
          </w:p>
        </w:tc>
      </w:tr>
      <w:tr w:rsidR="0038018A" w:rsidRPr="00623D6F" w14:paraId="2C104FA0" w14:textId="77777777">
        <w:trPr>
          <w:trHeight w:val="335"/>
        </w:trPr>
        <w:tc>
          <w:tcPr>
            <w:tcW w:w="4399" w:type="dxa"/>
            <w:tcBorders>
              <w:top w:val="nil"/>
              <w:left w:val="nil"/>
              <w:bottom w:val="nil"/>
              <w:right w:val="nil"/>
            </w:tcBorders>
            <w:hideMark/>
          </w:tcPr>
          <w:p w14:paraId="09AD11DA"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High temperature (°C)</w:t>
            </w:r>
          </w:p>
        </w:tc>
        <w:tc>
          <w:tcPr>
            <w:tcW w:w="2118" w:type="dxa"/>
            <w:tcBorders>
              <w:top w:val="nil"/>
              <w:left w:val="nil"/>
              <w:bottom w:val="nil"/>
              <w:right w:val="nil"/>
            </w:tcBorders>
            <w:hideMark/>
          </w:tcPr>
          <w:p w14:paraId="4F927DE2"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18.4 ± 10.0</w:t>
            </w:r>
          </w:p>
        </w:tc>
        <w:tc>
          <w:tcPr>
            <w:tcW w:w="1393" w:type="dxa"/>
            <w:tcBorders>
              <w:top w:val="nil"/>
              <w:left w:val="nil"/>
              <w:bottom w:val="nil"/>
              <w:right w:val="nil"/>
            </w:tcBorders>
            <w:hideMark/>
          </w:tcPr>
          <w:p w14:paraId="41F42EF4"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-10.7</w:t>
            </w:r>
          </w:p>
        </w:tc>
        <w:tc>
          <w:tcPr>
            <w:tcW w:w="1393" w:type="dxa"/>
            <w:tcBorders>
              <w:top w:val="nil"/>
              <w:left w:val="nil"/>
              <w:bottom w:val="nil"/>
              <w:right w:val="nil"/>
            </w:tcBorders>
            <w:hideMark/>
          </w:tcPr>
          <w:p w14:paraId="4FBA170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10.1</w:t>
            </w:r>
          </w:p>
        </w:tc>
        <w:tc>
          <w:tcPr>
            <w:tcW w:w="1393" w:type="dxa"/>
            <w:tcBorders>
              <w:top w:val="nil"/>
              <w:left w:val="nil"/>
              <w:bottom w:val="nil"/>
              <w:right w:val="nil"/>
            </w:tcBorders>
            <w:hideMark/>
          </w:tcPr>
          <w:p w14:paraId="3112B0A7"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20.2</w:t>
            </w:r>
          </w:p>
        </w:tc>
        <w:tc>
          <w:tcPr>
            <w:tcW w:w="1393" w:type="dxa"/>
            <w:tcBorders>
              <w:top w:val="nil"/>
              <w:left w:val="nil"/>
              <w:bottom w:val="nil"/>
              <w:right w:val="nil"/>
            </w:tcBorders>
            <w:hideMark/>
          </w:tcPr>
          <w:p w14:paraId="350FBE3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27.0</w:t>
            </w:r>
          </w:p>
        </w:tc>
        <w:tc>
          <w:tcPr>
            <w:tcW w:w="1396" w:type="dxa"/>
            <w:tcBorders>
              <w:top w:val="nil"/>
              <w:left w:val="nil"/>
              <w:bottom w:val="nil"/>
              <w:right w:val="nil"/>
            </w:tcBorders>
            <w:hideMark/>
          </w:tcPr>
          <w:p w14:paraId="38017C74"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38.8</w:t>
            </w:r>
          </w:p>
        </w:tc>
      </w:tr>
      <w:tr w:rsidR="0038018A" w:rsidRPr="00623D6F" w14:paraId="0E8C0F66" w14:textId="77777777">
        <w:trPr>
          <w:trHeight w:val="321"/>
        </w:trPr>
        <w:tc>
          <w:tcPr>
            <w:tcW w:w="4399" w:type="dxa"/>
            <w:tcBorders>
              <w:top w:val="nil"/>
              <w:left w:val="nil"/>
              <w:bottom w:val="nil"/>
              <w:right w:val="nil"/>
            </w:tcBorders>
            <w:hideMark/>
          </w:tcPr>
          <w:p w14:paraId="08CB6CAB"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lastRenderedPageBreak/>
              <w:t>Low temperature (°C)</w:t>
            </w:r>
          </w:p>
        </w:tc>
        <w:tc>
          <w:tcPr>
            <w:tcW w:w="2118" w:type="dxa"/>
            <w:tcBorders>
              <w:top w:val="nil"/>
              <w:left w:val="nil"/>
              <w:bottom w:val="nil"/>
              <w:right w:val="nil"/>
            </w:tcBorders>
            <w:hideMark/>
          </w:tcPr>
          <w:p w14:paraId="7F1490C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10.0 ± 10.0</w:t>
            </w:r>
          </w:p>
        </w:tc>
        <w:tc>
          <w:tcPr>
            <w:tcW w:w="1393" w:type="dxa"/>
            <w:tcBorders>
              <w:top w:val="nil"/>
              <w:left w:val="nil"/>
              <w:bottom w:val="nil"/>
              <w:right w:val="nil"/>
            </w:tcBorders>
            <w:hideMark/>
          </w:tcPr>
          <w:p w14:paraId="5303B02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-17.1</w:t>
            </w:r>
          </w:p>
        </w:tc>
        <w:tc>
          <w:tcPr>
            <w:tcW w:w="1393" w:type="dxa"/>
            <w:tcBorders>
              <w:top w:val="nil"/>
              <w:left w:val="nil"/>
              <w:bottom w:val="nil"/>
              <w:right w:val="nil"/>
            </w:tcBorders>
            <w:hideMark/>
          </w:tcPr>
          <w:p w14:paraId="4F8ADF67"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w:t>
            </w:r>
          </w:p>
        </w:tc>
        <w:tc>
          <w:tcPr>
            <w:tcW w:w="1393" w:type="dxa"/>
            <w:tcBorders>
              <w:top w:val="nil"/>
              <w:left w:val="nil"/>
              <w:bottom w:val="nil"/>
              <w:right w:val="nil"/>
            </w:tcBorders>
            <w:hideMark/>
          </w:tcPr>
          <w:p w14:paraId="1DA95494"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10.9</w:t>
            </w:r>
          </w:p>
        </w:tc>
        <w:tc>
          <w:tcPr>
            <w:tcW w:w="1393" w:type="dxa"/>
            <w:tcBorders>
              <w:top w:val="nil"/>
              <w:left w:val="nil"/>
              <w:bottom w:val="nil"/>
              <w:right w:val="nil"/>
            </w:tcBorders>
            <w:hideMark/>
          </w:tcPr>
          <w:p w14:paraId="041E634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18.9</w:t>
            </w:r>
          </w:p>
        </w:tc>
        <w:tc>
          <w:tcPr>
            <w:tcW w:w="1396" w:type="dxa"/>
            <w:tcBorders>
              <w:top w:val="nil"/>
              <w:left w:val="nil"/>
              <w:bottom w:val="nil"/>
              <w:right w:val="nil"/>
            </w:tcBorders>
            <w:hideMark/>
          </w:tcPr>
          <w:p w14:paraId="1CD4108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28.8</w:t>
            </w:r>
          </w:p>
        </w:tc>
      </w:tr>
      <w:tr w:rsidR="0038018A" w:rsidRPr="00623D6F" w14:paraId="5AD080FA" w14:textId="77777777">
        <w:trPr>
          <w:trHeight w:val="335"/>
        </w:trPr>
        <w:tc>
          <w:tcPr>
            <w:tcW w:w="4399" w:type="dxa"/>
            <w:tcBorders>
              <w:top w:val="nil"/>
              <w:left w:val="nil"/>
              <w:bottom w:val="nil"/>
              <w:right w:val="nil"/>
            </w:tcBorders>
            <w:hideMark/>
          </w:tcPr>
          <w:p w14:paraId="2E37808A"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Diurnal temperature Range (°C)</w:t>
            </w:r>
          </w:p>
        </w:tc>
        <w:tc>
          <w:tcPr>
            <w:tcW w:w="2118" w:type="dxa"/>
            <w:tcBorders>
              <w:top w:val="nil"/>
              <w:left w:val="nil"/>
              <w:bottom w:val="nil"/>
              <w:right w:val="nil"/>
            </w:tcBorders>
            <w:hideMark/>
          </w:tcPr>
          <w:p w14:paraId="224B08B9"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8.4 ± 3.3</w:t>
            </w:r>
          </w:p>
        </w:tc>
        <w:tc>
          <w:tcPr>
            <w:tcW w:w="1393" w:type="dxa"/>
            <w:tcBorders>
              <w:top w:val="nil"/>
              <w:left w:val="nil"/>
              <w:bottom w:val="nil"/>
              <w:right w:val="nil"/>
            </w:tcBorders>
            <w:hideMark/>
          </w:tcPr>
          <w:p w14:paraId="339A6BD6"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4627C749"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6.3</w:t>
            </w:r>
          </w:p>
        </w:tc>
        <w:tc>
          <w:tcPr>
            <w:tcW w:w="1393" w:type="dxa"/>
            <w:tcBorders>
              <w:top w:val="nil"/>
              <w:left w:val="nil"/>
              <w:bottom w:val="nil"/>
              <w:right w:val="nil"/>
            </w:tcBorders>
            <w:hideMark/>
          </w:tcPr>
          <w:p w14:paraId="7F150D7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8.3</w:t>
            </w:r>
          </w:p>
        </w:tc>
        <w:tc>
          <w:tcPr>
            <w:tcW w:w="1393" w:type="dxa"/>
            <w:tcBorders>
              <w:top w:val="nil"/>
              <w:left w:val="nil"/>
              <w:bottom w:val="nil"/>
              <w:right w:val="nil"/>
            </w:tcBorders>
            <w:hideMark/>
          </w:tcPr>
          <w:p w14:paraId="65B369A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10.5</w:t>
            </w:r>
          </w:p>
        </w:tc>
        <w:tc>
          <w:tcPr>
            <w:tcW w:w="1396" w:type="dxa"/>
            <w:tcBorders>
              <w:top w:val="nil"/>
              <w:left w:val="nil"/>
              <w:bottom w:val="nil"/>
              <w:right w:val="nil"/>
            </w:tcBorders>
            <w:hideMark/>
          </w:tcPr>
          <w:p w14:paraId="2EE9CFA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23.4</w:t>
            </w:r>
          </w:p>
        </w:tc>
      </w:tr>
      <w:tr w:rsidR="0038018A" w:rsidRPr="00623D6F" w14:paraId="2BBA2FD0" w14:textId="77777777">
        <w:trPr>
          <w:trHeight w:val="335"/>
        </w:trPr>
        <w:tc>
          <w:tcPr>
            <w:tcW w:w="4399" w:type="dxa"/>
            <w:tcBorders>
              <w:top w:val="nil"/>
              <w:left w:val="nil"/>
              <w:bottom w:val="nil"/>
              <w:right w:val="nil"/>
            </w:tcBorders>
            <w:hideMark/>
          </w:tcPr>
          <w:p w14:paraId="0BF0D6F5"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Vapor pressure (hPa)</w:t>
            </w:r>
          </w:p>
        </w:tc>
        <w:tc>
          <w:tcPr>
            <w:tcW w:w="2118" w:type="dxa"/>
            <w:tcBorders>
              <w:top w:val="nil"/>
              <w:left w:val="nil"/>
              <w:bottom w:val="nil"/>
              <w:right w:val="nil"/>
            </w:tcBorders>
            <w:hideMark/>
          </w:tcPr>
          <w:p w14:paraId="31732A34"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12.2 ± 8.5</w:t>
            </w:r>
          </w:p>
        </w:tc>
        <w:tc>
          <w:tcPr>
            <w:tcW w:w="1393" w:type="dxa"/>
            <w:tcBorders>
              <w:top w:val="nil"/>
              <w:left w:val="nil"/>
              <w:bottom w:val="nil"/>
              <w:right w:val="nil"/>
            </w:tcBorders>
            <w:hideMark/>
          </w:tcPr>
          <w:p w14:paraId="2A26E562"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313AA7E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4.7</w:t>
            </w:r>
          </w:p>
        </w:tc>
        <w:tc>
          <w:tcPr>
            <w:tcW w:w="1393" w:type="dxa"/>
            <w:tcBorders>
              <w:top w:val="nil"/>
              <w:left w:val="nil"/>
              <w:bottom w:val="nil"/>
              <w:right w:val="nil"/>
            </w:tcBorders>
            <w:hideMark/>
          </w:tcPr>
          <w:p w14:paraId="324952A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10.4</w:t>
            </w:r>
          </w:p>
        </w:tc>
        <w:tc>
          <w:tcPr>
            <w:tcW w:w="1393" w:type="dxa"/>
            <w:tcBorders>
              <w:top w:val="nil"/>
              <w:left w:val="nil"/>
              <w:bottom w:val="nil"/>
              <w:right w:val="nil"/>
            </w:tcBorders>
            <w:hideMark/>
          </w:tcPr>
          <w:p w14:paraId="41F5319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18.7</w:t>
            </w:r>
          </w:p>
        </w:tc>
        <w:tc>
          <w:tcPr>
            <w:tcW w:w="1396" w:type="dxa"/>
            <w:tcBorders>
              <w:top w:val="nil"/>
              <w:left w:val="nil"/>
              <w:bottom w:val="nil"/>
              <w:right w:val="nil"/>
            </w:tcBorders>
            <w:hideMark/>
          </w:tcPr>
          <w:p w14:paraId="767CC5B9"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38.3</w:t>
            </w:r>
          </w:p>
        </w:tc>
      </w:tr>
      <w:tr w:rsidR="0038018A" w:rsidRPr="00623D6F" w14:paraId="57F3C811" w14:textId="77777777">
        <w:trPr>
          <w:trHeight w:val="321"/>
        </w:trPr>
        <w:tc>
          <w:tcPr>
            <w:tcW w:w="4399" w:type="dxa"/>
            <w:tcBorders>
              <w:top w:val="nil"/>
              <w:left w:val="nil"/>
              <w:bottom w:val="nil"/>
              <w:right w:val="nil"/>
            </w:tcBorders>
            <w:hideMark/>
          </w:tcPr>
          <w:p w14:paraId="20C8FDBB"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Solar radiation (MJ/m</w:t>
            </w:r>
            <w:r w:rsidRPr="00623D6F">
              <w:rPr>
                <w:rFonts w:ascii="Book Antiqua" w:eastAsia="Book Antiqua" w:hAnsi="Book Antiqua"/>
                <w:vertAlign w:val="superscript"/>
              </w:rPr>
              <w:t>2</w:t>
            </w:r>
            <w:r w:rsidRPr="00623D6F">
              <w:rPr>
                <w:rFonts w:ascii="Book Antiqua" w:eastAsia="Book Antiqua" w:hAnsi="Book Antiqua"/>
              </w:rPr>
              <w:t>)</w:t>
            </w:r>
          </w:p>
        </w:tc>
        <w:tc>
          <w:tcPr>
            <w:tcW w:w="2118" w:type="dxa"/>
            <w:tcBorders>
              <w:top w:val="nil"/>
              <w:left w:val="nil"/>
              <w:bottom w:val="nil"/>
              <w:right w:val="nil"/>
            </w:tcBorders>
            <w:hideMark/>
          </w:tcPr>
          <w:p w14:paraId="59BAA721"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12.6 ± 7.3</w:t>
            </w:r>
          </w:p>
        </w:tc>
        <w:tc>
          <w:tcPr>
            <w:tcW w:w="1393" w:type="dxa"/>
            <w:tcBorders>
              <w:top w:val="nil"/>
              <w:left w:val="nil"/>
              <w:bottom w:val="nil"/>
              <w:right w:val="nil"/>
            </w:tcBorders>
            <w:hideMark/>
          </w:tcPr>
          <w:p w14:paraId="68AA7FA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6FF0A56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7.2</w:t>
            </w:r>
          </w:p>
        </w:tc>
        <w:tc>
          <w:tcPr>
            <w:tcW w:w="1393" w:type="dxa"/>
            <w:tcBorders>
              <w:top w:val="nil"/>
              <w:left w:val="nil"/>
              <w:bottom w:val="nil"/>
              <w:right w:val="nil"/>
            </w:tcBorders>
            <w:hideMark/>
          </w:tcPr>
          <w:p w14:paraId="7E072C6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12.2</w:t>
            </w:r>
          </w:p>
        </w:tc>
        <w:tc>
          <w:tcPr>
            <w:tcW w:w="1393" w:type="dxa"/>
            <w:tcBorders>
              <w:top w:val="nil"/>
              <w:left w:val="nil"/>
              <w:bottom w:val="nil"/>
              <w:right w:val="nil"/>
            </w:tcBorders>
            <w:hideMark/>
          </w:tcPr>
          <w:p w14:paraId="744025B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18.3</w:t>
            </w:r>
          </w:p>
        </w:tc>
        <w:tc>
          <w:tcPr>
            <w:tcW w:w="1396" w:type="dxa"/>
            <w:tcBorders>
              <w:top w:val="nil"/>
              <w:left w:val="nil"/>
              <w:bottom w:val="nil"/>
              <w:right w:val="nil"/>
            </w:tcBorders>
            <w:hideMark/>
          </w:tcPr>
          <w:p w14:paraId="5BF4C343"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33.0</w:t>
            </w:r>
          </w:p>
        </w:tc>
      </w:tr>
      <w:tr w:rsidR="0038018A" w:rsidRPr="00623D6F" w14:paraId="67AAB194" w14:textId="77777777">
        <w:trPr>
          <w:trHeight w:val="335"/>
        </w:trPr>
        <w:tc>
          <w:tcPr>
            <w:tcW w:w="4399" w:type="dxa"/>
            <w:tcBorders>
              <w:top w:val="nil"/>
              <w:left w:val="nil"/>
              <w:bottom w:val="nil"/>
              <w:right w:val="nil"/>
            </w:tcBorders>
            <w:hideMark/>
          </w:tcPr>
          <w:p w14:paraId="3E4F0F24"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Sunshine duration (hr)</w:t>
            </w:r>
          </w:p>
        </w:tc>
        <w:tc>
          <w:tcPr>
            <w:tcW w:w="2118" w:type="dxa"/>
            <w:tcBorders>
              <w:top w:val="nil"/>
              <w:left w:val="nil"/>
              <w:bottom w:val="nil"/>
              <w:right w:val="nil"/>
            </w:tcBorders>
            <w:hideMark/>
          </w:tcPr>
          <w:p w14:paraId="7A049F2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12.0 ± 2.3</w:t>
            </w:r>
          </w:p>
        </w:tc>
        <w:tc>
          <w:tcPr>
            <w:tcW w:w="1393" w:type="dxa"/>
            <w:tcBorders>
              <w:top w:val="nil"/>
              <w:left w:val="nil"/>
              <w:bottom w:val="nil"/>
              <w:right w:val="nil"/>
            </w:tcBorders>
            <w:hideMark/>
          </w:tcPr>
          <w:p w14:paraId="1E5BB660"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9.7</w:t>
            </w:r>
          </w:p>
        </w:tc>
        <w:tc>
          <w:tcPr>
            <w:tcW w:w="1393" w:type="dxa"/>
            <w:tcBorders>
              <w:top w:val="nil"/>
              <w:left w:val="nil"/>
              <w:bottom w:val="nil"/>
              <w:right w:val="nil"/>
            </w:tcBorders>
            <w:hideMark/>
          </w:tcPr>
          <w:p w14:paraId="3F7054B8"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10.5</w:t>
            </w:r>
          </w:p>
        </w:tc>
        <w:tc>
          <w:tcPr>
            <w:tcW w:w="1393" w:type="dxa"/>
            <w:tcBorders>
              <w:top w:val="nil"/>
              <w:left w:val="nil"/>
              <w:bottom w:val="nil"/>
              <w:right w:val="nil"/>
            </w:tcBorders>
            <w:hideMark/>
          </w:tcPr>
          <w:p w14:paraId="536EFA7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12.2</w:t>
            </w:r>
          </w:p>
        </w:tc>
        <w:tc>
          <w:tcPr>
            <w:tcW w:w="1393" w:type="dxa"/>
            <w:tcBorders>
              <w:top w:val="nil"/>
              <w:left w:val="nil"/>
              <w:bottom w:val="nil"/>
              <w:right w:val="nil"/>
            </w:tcBorders>
            <w:hideMark/>
          </w:tcPr>
          <w:p w14:paraId="638CCA4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13.9</w:t>
            </w:r>
          </w:p>
        </w:tc>
        <w:tc>
          <w:tcPr>
            <w:tcW w:w="1396" w:type="dxa"/>
            <w:tcBorders>
              <w:top w:val="nil"/>
              <w:left w:val="nil"/>
              <w:bottom w:val="nil"/>
              <w:right w:val="nil"/>
            </w:tcBorders>
            <w:hideMark/>
          </w:tcPr>
          <w:p w14:paraId="2B39E8F4"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14.8</w:t>
            </w:r>
          </w:p>
        </w:tc>
      </w:tr>
      <w:tr w:rsidR="0038018A" w:rsidRPr="00623D6F" w14:paraId="77B1567B" w14:textId="77777777">
        <w:trPr>
          <w:trHeight w:val="321"/>
        </w:trPr>
        <w:tc>
          <w:tcPr>
            <w:tcW w:w="4399" w:type="dxa"/>
            <w:tcBorders>
              <w:top w:val="nil"/>
              <w:left w:val="nil"/>
              <w:bottom w:val="nil"/>
              <w:right w:val="nil"/>
            </w:tcBorders>
            <w:hideMark/>
          </w:tcPr>
          <w:p w14:paraId="1A6B6BE9"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Wind speed (m/s)</w:t>
            </w:r>
          </w:p>
        </w:tc>
        <w:tc>
          <w:tcPr>
            <w:tcW w:w="2118" w:type="dxa"/>
            <w:tcBorders>
              <w:top w:val="nil"/>
              <w:left w:val="nil"/>
              <w:bottom w:val="nil"/>
              <w:right w:val="nil"/>
            </w:tcBorders>
            <w:hideMark/>
          </w:tcPr>
          <w:p w14:paraId="261787C3"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2.5 ± 1.1</w:t>
            </w:r>
          </w:p>
        </w:tc>
        <w:tc>
          <w:tcPr>
            <w:tcW w:w="1393" w:type="dxa"/>
            <w:tcBorders>
              <w:top w:val="nil"/>
              <w:left w:val="nil"/>
              <w:bottom w:val="nil"/>
              <w:right w:val="nil"/>
            </w:tcBorders>
            <w:hideMark/>
          </w:tcPr>
          <w:p w14:paraId="6FC00D91"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35D569B0"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1.8</w:t>
            </w:r>
          </w:p>
        </w:tc>
        <w:tc>
          <w:tcPr>
            <w:tcW w:w="1393" w:type="dxa"/>
            <w:tcBorders>
              <w:top w:val="nil"/>
              <w:left w:val="nil"/>
              <w:bottom w:val="nil"/>
              <w:right w:val="nil"/>
            </w:tcBorders>
            <w:hideMark/>
          </w:tcPr>
          <w:p w14:paraId="57446213"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2.4</w:t>
            </w:r>
          </w:p>
        </w:tc>
        <w:tc>
          <w:tcPr>
            <w:tcW w:w="1393" w:type="dxa"/>
            <w:tcBorders>
              <w:top w:val="nil"/>
              <w:left w:val="nil"/>
              <w:bottom w:val="nil"/>
              <w:right w:val="nil"/>
            </w:tcBorders>
            <w:hideMark/>
          </w:tcPr>
          <w:p w14:paraId="75734446"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3.1</w:t>
            </w:r>
          </w:p>
        </w:tc>
        <w:tc>
          <w:tcPr>
            <w:tcW w:w="1396" w:type="dxa"/>
            <w:tcBorders>
              <w:top w:val="nil"/>
              <w:left w:val="nil"/>
              <w:bottom w:val="nil"/>
              <w:right w:val="nil"/>
            </w:tcBorders>
            <w:hideMark/>
          </w:tcPr>
          <w:p w14:paraId="620F154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10.1</w:t>
            </w:r>
          </w:p>
        </w:tc>
      </w:tr>
      <w:tr w:rsidR="0038018A" w:rsidRPr="00623D6F" w14:paraId="2848BB06" w14:textId="77777777">
        <w:trPr>
          <w:trHeight w:val="335"/>
        </w:trPr>
        <w:tc>
          <w:tcPr>
            <w:tcW w:w="4399" w:type="dxa"/>
            <w:tcBorders>
              <w:top w:val="nil"/>
              <w:left w:val="nil"/>
              <w:bottom w:val="nil"/>
              <w:right w:val="nil"/>
            </w:tcBorders>
            <w:hideMark/>
          </w:tcPr>
          <w:p w14:paraId="694FA444"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Daily rain (mm)</w:t>
            </w:r>
          </w:p>
        </w:tc>
        <w:tc>
          <w:tcPr>
            <w:tcW w:w="2118" w:type="dxa"/>
            <w:tcBorders>
              <w:top w:val="nil"/>
              <w:left w:val="nil"/>
              <w:bottom w:val="nil"/>
              <w:right w:val="nil"/>
            </w:tcBorders>
            <w:hideMark/>
          </w:tcPr>
          <w:p w14:paraId="2F5DC103"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3.2 ± 12.5</w:t>
            </w:r>
          </w:p>
        </w:tc>
        <w:tc>
          <w:tcPr>
            <w:tcW w:w="1393" w:type="dxa"/>
            <w:tcBorders>
              <w:top w:val="nil"/>
              <w:left w:val="nil"/>
              <w:bottom w:val="nil"/>
              <w:right w:val="nil"/>
            </w:tcBorders>
            <w:hideMark/>
          </w:tcPr>
          <w:p w14:paraId="3AC250AE"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4B9DECB7"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048F0997"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7E6FA8E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0.3</w:t>
            </w:r>
          </w:p>
        </w:tc>
        <w:tc>
          <w:tcPr>
            <w:tcW w:w="1396" w:type="dxa"/>
            <w:tcBorders>
              <w:top w:val="nil"/>
              <w:left w:val="nil"/>
              <w:bottom w:val="nil"/>
              <w:right w:val="nil"/>
            </w:tcBorders>
            <w:hideMark/>
          </w:tcPr>
          <w:p w14:paraId="1CB008A7"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310.0</w:t>
            </w:r>
          </w:p>
        </w:tc>
      </w:tr>
      <w:tr w:rsidR="0038018A" w:rsidRPr="00623D6F" w14:paraId="7EE1DA84" w14:textId="77777777">
        <w:trPr>
          <w:trHeight w:val="321"/>
        </w:trPr>
        <w:tc>
          <w:tcPr>
            <w:tcW w:w="4399" w:type="dxa"/>
            <w:tcBorders>
              <w:top w:val="nil"/>
              <w:left w:val="nil"/>
              <w:bottom w:val="nil"/>
              <w:right w:val="nil"/>
            </w:tcBorders>
            <w:hideMark/>
          </w:tcPr>
          <w:p w14:paraId="093B8C2E"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Dew point temperature (°C)</w:t>
            </w:r>
          </w:p>
        </w:tc>
        <w:tc>
          <w:tcPr>
            <w:tcW w:w="2118" w:type="dxa"/>
            <w:tcBorders>
              <w:top w:val="nil"/>
              <w:left w:val="nil"/>
              <w:bottom w:val="nil"/>
              <w:right w:val="nil"/>
            </w:tcBorders>
            <w:hideMark/>
          </w:tcPr>
          <w:p w14:paraId="4C7D80A0"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6.3 ± 11.6</w:t>
            </w:r>
          </w:p>
        </w:tc>
        <w:tc>
          <w:tcPr>
            <w:tcW w:w="1393" w:type="dxa"/>
            <w:tcBorders>
              <w:top w:val="nil"/>
              <w:left w:val="nil"/>
              <w:bottom w:val="nil"/>
              <w:right w:val="nil"/>
            </w:tcBorders>
            <w:hideMark/>
          </w:tcPr>
          <w:p w14:paraId="05BC51A5"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-25.9</w:t>
            </w:r>
          </w:p>
        </w:tc>
        <w:tc>
          <w:tcPr>
            <w:tcW w:w="1393" w:type="dxa"/>
            <w:tcBorders>
              <w:top w:val="nil"/>
              <w:left w:val="nil"/>
              <w:bottom w:val="nil"/>
              <w:right w:val="nil"/>
            </w:tcBorders>
            <w:hideMark/>
          </w:tcPr>
          <w:p w14:paraId="2494E06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-3.0</w:t>
            </w:r>
          </w:p>
        </w:tc>
        <w:tc>
          <w:tcPr>
            <w:tcW w:w="1393" w:type="dxa"/>
            <w:tcBorders>
              <w:top w:val="nil"/>
              <w:left w:val="nil"/>
              <w:bottom w:val="nil"/>
              <w:right w:val="nil"/>
            </w:tcBorders>
            <w:hideMark/>
          </w:tcPr>
          <w:p w14:paraId="7E720232"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7.3</w:t>
            </w:r>
          </w:p>
        </w:tc>
        <w:tc>
          <w:tcPr>
            <w:tcW w:w="1393" w:type="dxa"/>
            <w:tcBorders>
              <w:top w:val="nil"/>
              <w:left w:val="nil"/>
              <w:bottom w:val="nil"/>
              <w:right w:val="nil"/>
            </w:tcBorders>
            <w:hideMark/>
          </w:tcPr>
          <w:p w14:paraId="76CB2123"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16.4</w:t>
            </w:r>
          </w:p>
        </w:tc>
        <w:tc>
          <w:tcPr>
            <w:tcW w:w="1396" w:type="dxa"/>
            <w:tcBorders>
              <w:top w:val="nil"/>
              <w:left w:val="nil"/>
              <w:bottom w:val="nil"/>
              <w:right w:val="nil"/>
            </w:tcBorders>
            <w:hideMark/>
          </w:tcPr>
          <w:p w14:paraId="69C327F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28.2</w:t>
            </w:r>
          </w:p>
        </w:tc>
      </w:tr>
      <w:tr w:rsidR="0038018A" w:rsidRPr="00623D6F" w14:paraId="6A598DC2" w14:textId="77777777">
        <w:trPr>
          <w:trHeight w:val="335"/>
        </w:trPr>
        <w:tc>
          <w:tcPr>
            <w:tcW w:w="4399" w:type="dxa"/>
            <w:tcBorders>
              <w:top w:val="nil"/>
              <w:left w:val="nil"/>
              <w:bottom w:val="nil"/>
              <w:right w:val="nil"/>
            </w:tcBorders>
            <w:hideMark/>
          </w:tcPr>
          <w:p w14:paraId="3988F057"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Humidity (%)</w:t>
            </w:r>
          </w:p>
        </w:tc>
        <w:tc>
          <w:tcPr>
            <w:tcW w:w="2118" w:type="dxa"/>
            <w:tcBorders>
              <w:top w:val="nil"/>
              <w:left w:val="nil"/>
              <w:bottom w:val="nil"/>
              <w:right w:val="nil"/>
            </w:tcBorders>
            <w:hideMark/>
          </w:tcPr>
          <w:p w14:paraId="55791325"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62.1 ± 18.6</w:t>
            </w:r>
          </w:p>
        </w:tc>
        <w:tc>
          <w:tcPr>
            <w:tcW w:w="1393" w:type="dxa"/>
            <w:tcBorders>
              <w:top w:val="nil"/>
              <w:left w:val="nil"/>
              <w:bottom w:val="nil"/>
              <w:right w:val="nil"/>
            </w:tcBorders>
            <w:hideMark/>
          </w:tcPr>
          <w:p w14:paraId="20E04E9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583453D1"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49.9</w:t>
            </w:r>
          </w:p>
        </w:tc>
        <w:tc>
          <w:tcPr>
            <w:tcW w:w="1393" w:type="dxa"/>
            <w:tcBorders>
              <w:top w:val="nil"/>
              <w:left w:val="nil"/>
              <w:bottom w:val="nil"/>
              <w:right w:val="nil"/>
            </w:tcBorders>
            <w:hideMark/>
          </w:tcPr>
          <w:p w14:paraId="6A806C03"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63.3</w:t>
            </w:r>
          </w:p>
        </w:tc>
        <w:tc>
          <w:tcPr>
            <w:tcW w:w="1393" w:type="dxa"/>
            <w:tcBorders>
              <w:top w:val="nil"/>
              <w:left w:val="nil"/>
              <w:bottom w:val="nil"/>
              <w:right w:val="nil"/>
            </w:tcBorders>
            <w:hideMark/>
          </w:tcPr>
          <w:p w14:paraId="5BBCAF4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75.5</w:t>
            </w:r>
          </w:p>
        </w:tc>
        <w:tc>
          <w:tcPr>
            <w:tcW w:w="1396" w:type="dxa"/>
            <w:tcBorders>
              <w:top w:val="nil"/>
              <w:left w:val="nil"/>
              <w:bottom w:val="nil"/>
              <w:right w:val="nil"/>
            </w:tcBorders>
            <w:hideMark/>
          </w:tcPr>
          <w:p w14:paraId="709DA1E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100.0</w:t>
            </w:r>
          </w:p>
        </w:tc>
      </w:tr>
      <w:tr w:rsidR="0038018A" w:rsidRPr="00623D6F" w14:paraId="1A9BAEEE" w14:textId="77777777">
        <w:trPr>
          <w:trHeight w:val="321"/>
        </w:trPr>
        <w:tc>
          <w:tcPr>
            <w:tcW w:w="4399" w:type="dxa"/>
            <w:tcBorders>
              <w:top w:val="nil"/>
              <w:left w:val="nil"/>
              <w:bottom w:val="nil"/>
              <w:right w:val="nil"/>
            </w:tcBorders>
            <w:hideMark/>
          </w:tcPr>
          <w:p w14:paraId="08A04025"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Daily snow (cm)</w:t>
            </w:r>
          </w:p>
        </w:tc>
        <w:tc>
          <w:tcPr>
            <w:tcW w:w="2118" w:type="dxa"/>
            <w:tcBorders>
              <w:top w:val="nil"/>
              <w:left w:val="nil"/>
              <w:bottom w:val="nil"/>
              <w:right w:val="nil"/>
            </w:tcBorders>
            <w:hideMark/>
          </w:tcPr>
          <w:p w14:paraId="06C977CE"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0.1 ± 0.9</w:t>
            </w:r>
          </w:p>
        </w:tc>
        <w:tc>
          <w:tcPr>
            <w:tcW w:w="1393" w:type="dxa"/>
            <w:tcBorders>
              <w:top w:val="nil"/>
              <w:left w:val="nil"/>
              <w:bottom w:val="nil"/>
              <w:right w:val="nil"/>
            </w:tcBorders>
            <w:hideMark/>
          </w:tcPr>
          <w:p w14:paraId="7A05BB53"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48F066C6"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49A38B14"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221B4D3E"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6" w:type="dxa"/>
            <w:tcBorders>
              <w:top w:val="nil"/>
              <w:left w:val="nil"/>
              <w:bottom w:val="nil"/>
              <w:right w:val="nil"/>
            </w:tcBorders>
            <w:hideMark/>
          </w:tcPr>
          <w:p w14:paraId="0C6F083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29.2</w:t>
            </w:r>
          </w:p>
        </w:tc>
      </w:tr>
      <w:tr w:rsidR="0038018A" w:rsidRPr="00623D6F" w14:paraId="377464C3" w14:textId="77777777">
        <w:trPr>
          <w:trHeight w:val="335"/>
        </w:trPr>
        <w:tc>
          <w:tcPr>
            <w:tcW w:w="4399" w:type="dxa"/>
            <w:tcBorders>
              <w:top w:val="nil"/>
              <w:left w:val="nil"/>
              <w:bottom w:val="nil"/>
              <w:right w:val="nil"/>
            </w:tcBorders>
            <w:hideMark/>
          </w:tcPr>
          <w:p w14:paraId="61929EBA"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Cloud (1/10)</w:t>
            </w:r>
          </w:p>
        </w:tc>
        <w:tc>
          <w:tcPr>
            <w:tcW w:w="2118" w:type="dxa"/>
            <w:tcBorders>
              <w:top w:val="nil"/>
              <w:left w:val="nil"/>
              <w:bottom w:val="nil"/>
              <w:right w:val="nil"/>
            </w:tcBorders>
            <w:hideMark/>
          </w:tcPr>
          <w:p w14:paraId="50E01D3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4.5 ± 3.2</w:t>
            </w:r>
          </w:p>
        </w:tc>
        <w:tc>
          <w:tcPr>
            <w:tcW w:w="1393" w:type="dxa"/>
            <w:tcBorders>
              <w:top w:val="nil"/>
              <w:left w:val="nil"/>
              <w:bottom w:val="nil"/>
              <w:right w:val="nil"/>
            </w:tcBorders>
            <w:hideMark/>
          </w:tcPr>
          <w:p w14:paraId="40CE7491"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4B5ABC7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1.6</w:t>
            </w:r>
          </w:p>
        </w:tc>
        <w:tc>
          <w:tcPr>
            <w:tcW w:w="1393" w:type="dxa"/>
            <w:tcBorders>
              <w:top w:val="nil"/>
              <w:left w:val="nil"/>
              <w:bottom w:val="nil"/>
              <w:right w:val="nil"/>
            </w:tcBorders>
            <w:hideMark/>
          </w:tcPr>
          <w:p w14:paraId="72FDCAC5"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4.5</w:t>
            </w:r>
          </w:p>
        </w:tc>
        <w:tc>
          <w:tcPr>
            <w:tcW w:w="1393" w:type="dxa"/>
            <w:tcBorders>
              <w:top w:val="nil"/>
              <w:left w:val="nil"/>
              <w:bottom w:val="nil"/>
              <w:right w:val="nil"/>
            </w:tcBorders>
            <w:hideMark/>
          </w:tcPr>
          <w:p w14:paraId="0D58CCB9"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7.4</w:t>
            </w:r>
          </w:p>
        </w:tc>
        <w:tc>
          <w:tcPr>
            <w:tcW w:w="1396" w:type="dxa"/>
            <w:tcBorders>
              <w:top w:val="nil"/>
              <w:left w:val="nil"/>
              <w:bottom w:val="nil"/>
              <w:right w:val="nil"/>
            </w:tcBorders>
            <w:hideMark/>
          </w:tcPr>
          <w:p w14:paraId="22B29114"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10.0</w:t>
            </w:r>
          </w:p>
        </w:tc>
      </w:tr>
      <w:tr w:rsidR="0038018A" w:rsidRPr="00623D6F" w14:paraId="4C12B5BA" w14:textId="77777777">
        <w:trPr>
          <w:gridAfter w:val="6"/>
          <w:wAfter w:w="9086" w:type="dxa"/>
          <w:trHeight w:val="351"/>
        </w:trPr>
        <w:tc>
          <w:tcPr>
            <w:tcW w:w="4399" w:type="dxa"/>
            <w:tcBorders>
              <w:top w:val="nil"/>
              <w:left w:val="nil"/>
              <w:bottom w:val="nil"/>
              <w:right w:val="nil"/>
            </w:tcBorders>
            <w:hideMark/>
          </w:tcPr>
          <w:p w14:paraId="074A6509" w14:textId="77777777" w:rsidR="0038018A" w:rsidRPr="00623D6F" w:rsidRDefault="00C220BD">
            <w:pPr>
              <w:spacing w:line="360" w:lineRule="auto"/>
              <w:jc w:val="both"/>
              <w:rPr>
                <w:rFonts w:ascii="Book Antiqua" w:eastAsia="Book Antiqua" w:hAnsi="Book Antiqua"/>
                <w:bCs/>
              </w:rPr>
            </w:pPr>
            <w:r w:rsidRPr="00623D6F">
              <w:rPr>
                <w:rFonts w:ascii="Book Antiqua" w:eastAsia="Book Antiqua" w:hAnsi="Book Antiqua"/>
                <w:bCs/>
              </w:rPr>
              <w:t>Air pollutants</w:t>
            </w:r>
          </w:p>
        </w:tc>
      </w:tr>
      <w:tr w:rsidR="0038018A" w:rsidRPr="00623D6F" w14:paraId="01A81C5A" w14:textId="77777777">
        <w:trPr>
          <w:trHeight w:val="335"/>
        </w:trPr>
        <w:tc>
          <w:tcPr>
            <w:tcW w:w="4399" w:type="dxa"/>
            <w:tcBorders>
              <w:top w:val="nil"/>
              <w:left w:val="nil"/>
              <w:bottom w:val="nil"/>
              <w:right w:val="nil"/>
            </w:tcBorders>
            <w:hideMark/>
          </w:tcPr>
          <w:p w14:paraId="04D287E6"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PM</w:t>
            </w:r>
            <w:r w:rsidRPr="00623D6F">
              <w:rPr>
                <w:rFonts w:ascii="Book Antiqua" w:eastAsia="Book Antiqua" w:hAnsi="Book Antiqua"/>
                <w:vertAlign w:val="subscript"/>
              </w:rPr>
              <w:t xml:space="preserve">2.5 </w:t>
            </w:r>
            <w:r w:rsidRPr="00623D6F">
              <w:rPr>
                <w:rFonts w:ascii="Book Antiqua" w:eastAsia="Book Antiqua" w:hAnsi="Book Antiqua"/>
              </w:rPr>
              <w:t>(μg/m</w:t>
            </w:r>
            <w:r w:rsidRPr="00623D6F">
              <w:rPr>
                <w:rFonts w:ascii="Book Antiqua" w:eastAsia="Book Antiqua" w:hAnsi="Book Antiqua"/>
                <w:vertAlign w:val="superscript"/>
              </w:rPr>
              <w:t>3</w:t>
            </w:r>
            <w:r w:rsidRPr="00623D6F">
              <w:rPr>
                <w:rFonts w:ascii="Book Antiqua" w:eastAsia="Book Antiqua" w:hAnsi="Book Antiqua"/>
              </w:rPr>
              <w:t>)</w:t>
            </w:r>
          </w:p>
        </w:tc>
        <w:tc>
          <w:tcPr>
            <w:tcW w:w="2118" w:type="dxa"/>
            <w:tcBorders>
              <w:top w:val="nil"/>
              <w:left w:val="nil"/>
              <w:bottom w:val="nil"/>
              <w:right w:val="nil"/>
            </w:tcBorders>
            <w:hideMark/>
          </w:tcPr>
          <w:p w14:paraId="1BB4488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15.9 ± 16.1</w:t>
            </w:r>
          </w:p>
        </w:tc>
        <w:tc>
          <w:tcPr>
            <w:tcW w:w="1393" w:type="dxa"/>
            <w:tcBorders>
              <w:top w:val="nil"/>
              <w:left w:val="nil"/>
              <w:bottom w:val="nil"/>
              <w:right w:val="nil"/>
            </w:tcBorders>
            <w:hideMark/>
          </w:tcPr>
          <w:p w14:paraId="6E4FA2A2"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001F0C27"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3.0</w:t>
            </w:r>
          </w:p>
        </w:tc>
        <w:tc>
          <w:tcPr>
            <w:tcW w:w="1393" w:type="dxa"/>
            <w:tcBorders>
              <w:top w:val="nil"/>
              <w:left w:val="nil"/>
              <w:bottom w:val="nil"/>
              <w:right w:val="nil"/>
            </w:tcBorders>
            <w:hideMark/>
          </w:tcPr>
          <w:p w14:paraId="4221EBD7"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14.0</w:t>
            </w:r>
          </w:p>
        </w:tc>
        <w:tc>
          <w:tcPr>
            <w:tcW w:w="1393" w:type="dxa"/>
            <w:tcBorders>
              <w:top w:val="nil"/>
              <w:left w:val="nil"/>
              <w:bottom w:val="nil"/>
              <w:right w:val="nil"/>
            </w:tcBorders>
            <w:hideMark/>
          </w:tcPr>
          <w:p w14:paraId="2A616F60"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26.0</w:t>
            </w:r>
          </w:p>
        </w:tc>
        <w:tc>
          <w:tcPr>
            <w:tcW w:w="1396" w:type="dxa"/>
            <w:tcBorders>
              <w:top w:val="nil"/>
              <w:left w:val="nil"/>
              <w:bottom w:val="nil"/>
              <w:right w:val="nil"/>
            </w:tcBorders>
            <w:hideMark/>
          </w:tcPr>
          <w:p w14:paraId="76FA76A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99.0</w:t>
            </w:r>
          </w:p>
        </w:tc>
      </w:tr>
      <w:tr w:rsidR="0038018A" w:rsidRPr="00623D6F" w14:paraId="1FCE5849" w14:textId="77777777">
        <w:trPr>
          <w:trHeight w:val="321"/>
        </w:trPr>
        <w:tc>
          <w:tcPr>
            <w:tcW w:w="4399" w:type="dxa"/>
            <w:tcBorders>
              <w:top w:val="nil"/>
              <w:left w:val="nil"/>
              <w:bottom w:val="nil"/>
              <w:right w:val="nil"/>
            </w:tcBorders>
            <w:hideMark/>
          </w:tcPr>
          <w:p w14:paraId="29545714"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PM</w:t>
            </w:r>
            <w:r w:rsidRPr="00623D6F">
              <w:rPr>
                <w:rFonts w:ascii="Book Antiqua" w:eastAsia="Book Antiqua" w:hAnsi="Book Antiqua"/>
                <w:vertAlign w:val="subscript"/>
              </w:rPr>
              <w:t xml:space="preserve">10 </w:t>
            </w:r>
            <w:r w:rsidRPr="00623D6F">
              <w:rPr>
                <w:rFonts w:ascii="Book Antiqua" w:eastAsia="Book Antiqua" w:hAnsi="Book Antiqua"/>
              </w:rPr>
              <w:t>(μg/m</w:t>
            </w:r>
            <w:r w:rsidRPr="00623D6F">
              <w:rPr>
                <w:rFonts w:ascii="Book Antiqua" w:eastAsia="Book Antiqua" w:hAnsi="Book Antiqua"/>
                <w:vertAlign w:val="superscript"/>
              </w:rPr>
              <w:t>3</w:t>
            </w:r>
            <w:r w:rsidRPr="00623D6F">
              <w:rPr>
                <w:rFonts w:ascii="Book Antiqua" w:eastAsia="Book Antiqua" w:hAnsi="Book Antiqua"/>
              </w:rPr>
              <w:t>)</w:t>
            </w:r>
          </w:p>
        </w:tc>
        <w:tc>
          <w:tcPr>
            <w:tcW w:w="2118" w:type="dxa"/>
            <w:tcBorders>
              <w:top w:val="nil"/>
              <w:left w:val="nil"/>
              <w:bottom w:val="nil"/>
              <w:right w:val="nil"/>
            </w:tcBorders>
            <w:hideMark/>
          </w:tcPr>
          <w:p w14:paraId="239D5E74"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46.6 ± 25.9</w:t>
            </w:r>
          </w:p>
        </w:tc>
        <w:tc>
          <w:tcPr>
            <w:tcW w:w="1393" w:type="dxa"/>
            <w:tcBorders>
              <w:top w:val="nil"/>
              <w:left w:val="nil"/>
              <w:bottom w:val="nil"/>
              <w:right w:val="nil"/>
            </w:tcBorders>
            <w:hideMark/>
          </w:tcPr>
          <w:p w14:paraId="673D525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368D56D2"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31.2</w:t>
            </w:r>
          </w:p>
        </w:tc>
        <w:tc>
          <w:tcPr>
            <w:tcW w:w="1393" w:type="dxa"/>
            <w:tcBorders>
              <w:top w:val="nil"/>
              <w:left w:val="nil"/>
              <w:bottom w:val="nil"/>
              <w:right w:val="nil"/>
            </w:tcBorders>
            <w:hideMark/>
          </w:tcPr>
          <w:p w14:paraId="67488BB5"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42.6</w:t>
            </w:r>
          </w:p>
        </w:tc>
        <w:tc>
          <w:tcPr>
            <w:tcW w:w="1393" w:type="dxa"/>
            <w:tcBorders>
              <w:top w:val="nil"/>
              <w:left w:val="nil"/>
              <w:bottom w:val="nil"/>
              <w:right w:val="nil"/>
            </w:tcBorders>
            <w:hideMark/>
          </w:tcPr>
          <w:p w14:paraId="65247B4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57.0</w:t>
            </w:r>
          </w:p>
        </w:tc>
        <w:tc>
          <w:tcPr>
            <w:tcW w:w="1396" w:type="dxa"/>
            <w:tcBorders>
              <w:top w:val="nil"/>
              <w:left w:val="nil"/>
              <w:bottom w:val="nil"/>
              <w:right w:val="nil"/>
            </w:tcBorders>
            <w:hideMark/>
          </w:tcPr>
          <w:p w14:paraId="439AAC3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1025.4</w:t>
            </w:r>
          </w:p>
        </w:tc>
      </w:tr>
      <w:tr w:rsidR="0038018A" w:rsidRPr="00623D6F" w14:paraId="49CB3C24" w14:textId="77777777">
        <w:trPr>
          <w:trHeight w:val="335"/>
        </w:trPr>
        <w:tc>
          <w:tcPr>
            <w:tcW w:w="4399" w:type="dxa"/>
            <w:tcBorders>
              <w:top w:val="nil"/>
              <w:left w:val="nil"/>
              <w:bottom w:val="nil"/>
              <w:right w:val="nil"/>
            </w:tcBorders>
            <w:hideMark/>
          </w:tcPr>
          <w:p w14:paraId="4A1D9DDE" w14:textId="6F785DF8" w:rsidR="0038018A" w:rsidRPr="00623D6F" w:rsidRDefault="0081763A">
            <w:pPr>
              <w:spacing w:line="360" w:lineRule="auto"/>
              <w:ind w:firstLineChars="100" w:firstLine="240"/>
              <w:jc w:val="both"/>
              <w:rPr>
                <w:rFonts w:ascii="Book Antiqua" w:eastAsia="Book Antiqua" w:hAnsi="Book Antiqua"/>
              </w:rPr>
            </w:pPr>
            <w:r w:rsidRPr="00623D6F">
              <w:rPr>
                <w:rFonts w:ascii="Book Antiqua" w:eastAsia="Book Antiqua" w:hAnsi="Book Antiqua"/>
                <w:vertAlign w:val="superscript"/>
              </w:rPr>
              <w:t>1</w:t>
            </w:r>
            <w:r w:rsidR="00C220BD" w:rsidRPr="00623D6F">
              <w:rPr>
                <w:rFonts w:ascii="Book Antiqua" w:eastAsia="Book Antiqua" w:hAnsi="Book Antiqua"/>
              </w:rPr>
              <w:t>O</w:t>
            </w:r>
            <w:r w:rsidR="00C220BD" w:rsidRPr="00623D6F">
              <w:rPr>
                <w:rFonts w:ascii="Book Antiqua" w:eastAsia="Book Antiqua" w:hAnsi="Book Antiqua"/>
                <w:vertAlign w:val="subscript"/>
              </w:rPr>
              <w:t>3</w:t>
            </w:r>
            <w:r w:rsidR="00C220BD" w:rsidRPr="00623D6F">
              <w:rPr>
                <w:rFonts w:ascii="Book Antiqua" w:eastAsia="Book Antiqua" w:hAnsi="Book Antiqua"/>
              </w:rPr>
              <w:t xml:space="preserve"> (ppb)</w:t>
            </w:r>
          </w:p>
        </w:tc>
        <w:tc>
          <w:tcPr>
            <w:tcW w:w="2118" w:type="dxa"/>
            <w:tcBorders>
              <w:top w:val="nil"/>
              <w:left w:val="nil"/>
              <w:bottom w:val="nil"/>
              <w:right w:val="nil"/>
            </w:tcBorders>
            <w:hideMark/>
          </w:tcPr>
          <w:p w14:paraId="6D3E3413"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23.7 ± 11.6</w:t>
            </w:r>
          </w:p>
        </w:tc>
        <w:tc>
          <w:tcPr>
            <w:tcW w:w="1393" w:type="dxa"/>
            <w:tcBorders>
              <w:top w:val="nil"/>
              <w:left w:val="nil"/>
              <w:bottom w:val="nil"/>
              <w:right w:val="nil"/>
            </w:tcBorders>
            <w:hideMark/>
          </w:tcPr>
          <w:p w14:paraId="0660A25C"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444154C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15.4</w:t>
            </w:r>
          </w:p>
        </w:tc>
        <w:tc>
          <w:tcPr>
            <w:tcW w:w="1393" w:type="dxa"/>
            <w:tcBorders>
              <w:top w:val="nil"/>
              <w:left w:val="nil"/>
              <w:bottom w:val="nil"/>
              <w:right w:val="nil"/>
            </w:tcBorders>
            <w:hideMark/>
          </w:tcPr>
          <w:p w14:paraId="195F0AD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23.0</w:t>
            </w:r>
          </w:p>
        </w:tc>
        <w:tc>
          <w:tcPr>
            <w:tcW w:w="1393" w:type="dxa"/>
            <w:tcBorders>
              <w:top w:val="nil"/>
              <w:left w:val="nil"/>
              <w:bottom w:val="nil"/>
              <w:right w:val="nil"/>
            </w:tcBorders>
            <w:hideMark/>
          </w:tcPr>
          <w:p w14:paraId="6E300085"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31.3</w:t>
            </w:r>
          </w:p>
        </w:tc>
        <w:tc>
          <w:tcPr>
            <w:tcW w:w="1396" w:type="dxa"/>
            <w:tcBorders>
              <w:top w:val="nil"/>
              <w:left w:val="nil"/>
              <w:bottom w:val="nil"/>
              <w:right w:val="nil"/>
            </w:tcBorders>
            <w:hideMark/>
          </w:tcPr>
          <w:p w14:paraId="4290D86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83.8</w:t>
            </w:r>
          </w:p>
        </w:tc>
      </w:tr>
      <w:tr w:rsidR="0038018A" w:rsidRPr="00623D6F" w14:paraId="2AB3033E" w14:textId="77777777">
        <w:trPr>
          <w:trHeight w:val="321"/>
        </w:trPr>
        <w:tc>
          <w:tcPr>
            <w:tcW w:w="4399" w:type="dxa"/>
            <w:tcBorders>
              <w:top w:val="nil"/>
              <w:left w:val="nil"/>
              <w:bottom w:val="nil"/>
              <w:right w:val="nil"/>
            </w:tcBorders>
            <w:hideMark/>
          </w:tcPr>
          <w:p w14:paraId="14CEFE8F"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NO</w:t>
            </w:r>
            <w:r w:rsidRPr="00623D6F">
              <w:rPr>
                <w:rFonts w:ascii="Book Antiqua" w:eastAsia="Book Antiqua" w:hAnsi="Book Antiqua"/>
                <w:vertAlign w:val="subscript"/>
              </w:rPr>
              <w:t>2</w:t>
            </w:r>
            <w:r w:rsidRPr="00623D6F">
              <w:rPr>
                <w:rFonts w:ascii="Book Antiqua" w:eastAsia="Book Antiqua" w:hAnsi="Book Antiqua"/>
              </w:rPr>
              <w:t xml:space="preserve"> (ppb)</w:t>
            </w:r>
          </w:p>
        </w:tc>
        <w:tc>
          <w:tcPr>
            <w:tcW w:w="2118" w:type="dxa"/>
            <w:tcBorders>
              <w:top w:val="nil"/>
              <w:left w:val="nil"/>
              <w:bottom w:val="nil"/>
              <w:right w:val="nil"/>
            </w:tcBorders>
            <w:hideMark/>
          </w:tcPr>
          <w:p w14:paraId="64086061"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28.2 ± 12.6</w:t>
            </w:r>
          </w:p>
        </w:tc>
        <w:tc>
          <w:tcPr>
            <w:tcW w:w="1393" w:type="dxa"/>
            <w:tcBorders>
              <w:top w:val="nil"/>
              <w:left w:val="nil"/>
              <w:bottom w:val="nil"/>
              <w:right w:val="nil"/>
            </w:tcBorders>
            <w:hideMark/>
          </w:tcPr>
          <w:p w14:paraId="30665E6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624158BB"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18.9</w:t>
            </w:r>
          </w:p>
        </w:tc>
        <w:tc>
          <w:tcPr>
            <w:tcW w:w="1393" w:type="dxa"/>
            <w:tcBorders>
              <w:top w:val="nil"/>
              <w:left w:val="nil"/>
              <w:bottom w:val="nil"/>
              <w:right w:val="nil"/>
            </w:tcBorders>
            <w:hideMark/>
          </w:tcPr>
          <w:p w14:paraId="7FF5F5A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26.4</w:t>
            </w:r>
          </w:p>
        </w:tc>
        <w:tc>
          <w:tcPr>
            <w:tcW w:w="1393" w:type="dxa"/>
            <w:tcBorders>
              <w:top w:val="nil"/>
              <w:left w:val="nil"/>
              <w:bottom w:val="nil"/>
              <w:right w:val="nil"/>
            </w:tcBorders>
            <w:hideMark/>
          </w:tcPr>
          <w:p w14:paraId="19DE8501"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35.5</w:t>
            </w:r>
          </w:p>
        </w:tc>
        <w:tc>
          <w:tcPr>
            <w:tcW w:w="1396" w:type="dxa"/>
            <w:tcBorders>
              <w:top w:val="nil"/>
              <w:left w:val="nil"/>
              <w:bottom w:val="nil"/>
              <w:right w:val="nil"/>
            </w:tcBorders>
            <w:hideMark/>
          </w:tcPr>
          <w:p w14:paraId="08A12FCA"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94.9</w:t>
            </w:r>
          </w:p>
        </w:tc>
      </w:tr>
      <w:tr w:rsidR="0038018A" w:rsidRPr="00623D6F" w14:paraId="2C679F1C" w14:textId="77777777">
        <w:trPr>
          <w:trHeight w:val="335"/>
        </w:trPr>
        <w:tc>
          <w:tcPr>
            <w:tcW w:w="4399" w:type="dxa"/>
            <w:tcBorders>
              <w:top w:val="nil"/>
              <w:left w:val="nil"/>
              <w:bottom w:val="nil"/>
              <w:right w:val="nil"/>
            </w:tcBorders>
            <w:hideMark/>
          </w:tcPr>
          <w:p w14:paraId="30903778"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SO</w:t>
            </w:r>
            <w:r w:rsidRPr="00623D6F">
              <w:rPr>
                <w:rFonts w:ascii="Book Antiqua" w:eastAsia="Book Antiqua" w:hAnsi="Book Antiqua"/>
                <w:vertAlign w:val="subscript"/>
              </w:rPr>
              <w:t>2</w:t>
            </w:r>
            <w:r w:rsidRPr="00623D6F">
              <w:rPr>
                <w:rFonts w:ascii="Book Antiqua" w:eastAsia="Book Antiqua" w:hAnsi="Book Antiqua"/>
              </w:rPr>
              <w:t xml:space="preserve"> (ppb)</w:t>
            </w:r>
          </w:p>
        </w:tc>
        <w:tc>
          <w:tcPr>
            <w:tcW w:w="2118" w:type="dxa"/>
            <w:tcBorders>
              <w:top w:val="nil"/>
              <w:left w:val="nil"/>
              <w:bottom w:val="nil"/>
              <w:right w:val="nil"/>
            </w:tcBorders>
            <w:hideMark/>
          </w:tcPr>
          <w:p w14:paraId="27ACB72F"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5.1 ± 2.1</w:t>
            </w:r>
          </w:p>
        </w:tc>
        <w:tc>
          <w:tcPr>
            <w:tcW w:w="1393" w:type="dxa"/>
            <w:tcBorders>
              <w:top w:val="nil"/>
              <w:left w:val="nil"/>
              <w:bottom w:val="nil"/>
              <w:right w:val="nil"/>
            </w:tcBorders>
            <w:hideMark/>
          </w:tcPr>
          <w:p w14:paraId="27FC4F95"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nil"/>
              <w:right w:val="nil"/>
            </w:tcBorders>
            <w:hideMark/>
          </w:tcPr>
          <w:p w14:paraId="1585C1E0"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3.8</w:t>
            </w:r>
          </w:p>
        </w:tc>
        <w:tc>
          <w:tcPr>
            <w:tcW w:w="1393" w:type="dxa"/>
            <w:tcBorders>
              <w:top w:val="nil"/>
              <w:left w:val="nil"/>
              <w:bottom w:val="nil"/>
              <w:right w:val="nil"/>
            </w:tcBorders>
            <w:hideMark/>
          </w:tcPr>
          <w:p w14:paraId="476B7170"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4.9</w:t>
            </w:r>
          </w:p>
        </w:tc>
        <w:tc>
          <w:tcPr>
            <w:tcW w:w="1393" w:type="dxa"/>
            <w:tcBorders>
              <w:top w:val="nil"/>
              <w:left w:val="nil"/>
              <w:bottom w:val="nil"/>
              <w:right w:val="nil"/>
            </w:tcBorders>
            <w:hideMark/>
          </w:tcPr>
          <w:p w14:paraId="7FEB9EF7"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6.2</w:t>
            </w:r>
          </w:p>
        </w:tc>
        <w:tc>
          <w:tcPr>
            <w:tcW w:w="1396" w:type="dxa"/>
            <w:tcBorders>
              <w:top w:val="nil"/>
              <w:left w:val="nil"/>
              <w:bottom w:val="nil"/>
              <w:right w:val="nil"/>
            </w:tcBorders>
            <w:hideMark/>
          </w:tcPr>
          <w:p w14:paraId="0D3E5C4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25.8</w:t>
            </w:r>
          </w:p>
        </w:tc>
      </w:tr>
      <w:tr w:rsidR="0038018A" w:rsidRPr="00623D6F" w14:paraId="16B03C68" w14:textId="77777777">
        <w:trPr>
          <w:trHeight w:val="321"/>
        </w:trPr>
        <w:tc>
          <w:tcPr>
            <w:tcW w:w="4399" w:type="dxa"/>
            <w:tcBorders>
              <w:top w:val="nil"/>
              <w:left w:val="nil"/>
              <w:bottom w:val="single" w:sz="4" w:space="0" w:color="auto"/>
              <w:right w:val="nil"/>
            </w:tcBorders>
            <w:hideMark/>
          </w:tcPr>
          <w:p w14:paraId="1E4FC44C" w14:textId="77777777" w:rsidR="0038018A" w:rsidRPr="00623D6F" w:rsidRDefault="00C220BD">
            <w:pPr>
              <w:spacing w:line="360" w:lineRule="auto"/>
              <w:ind w:firstLineChars="100" w:firstLine="240"/>
              <w:jc w:val="both"/>
              <w:rPr>
                <w:rFonts w:ascii="Book Antiqua" w:eastAsia="Book Antiqua" w:hAnsi="Book Antiqua"/>
              </w:rPr>
            </w:pPr>
            <w:r w:rsidRPr="00623D6F">
              <w:rPr>
                <w:rFonts w:ascii="Book Antiqua" w:eastAsia="Book Antiqua" w:hAnsi="Book Antiqua"/>
              </w:rPr>
              <w:t>CO (ppm)</w:t>
            </w:r>
          </w:p>
        </w:tc>
        <w:tc>
          <w:tcPr>
            <w:tcW w:w="2118" w:type="dxa"/>
            <w:tcBorders>
              <w:top w:val="nil"/>
              <w:left w:val="nil"/>
              <w:bottom w:val="single" w:sz="4" w:space="0" w:color="auto"/>
              <w:right w:val="nil"/>
            </w:tcBorders>
            <w:hideMark/>
          </w:tcPr>
          <w:p w14:paraId="752A6A41"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0.5 ± 0.2</w:t>
            </w:r>
          </w:p>
        </w:tc>
        <w:tc>
          <w:tcPr>
            <w:tcW w:w="1393" w:type="dxa"/>
            <w:tcBorders>
              <w:top w:val="nil"/>
              <w:left w:val="nil"/>
              <w:bottom w:val="single" w:sz="4" w:space="0" w:color="auto"/>
              <w:right w:val="nil"/>
            </w:tcBorders>
            <w:hideMark/>
          </w:tcPr>
          <w:p w14:paraId="773B26DD"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0.0</w:t>
            </w:r>
          </w:p>
        </w:tc>
        <w:tc>
          <w:tcPr>
            <w:tcW w:w="1393" w:type="dxa"/>
            <w:tcBorders>
              <w:top w:val="nil"/>
              <w:left w:val="nil"/>
              <w:bottom w:val="single" w:sz="4" w:space="0" w:color="auto"/>
              <w:right w:val="nil"/>
            </w:tcBorders>
            <w:hideMark/>
          </w:tcPr>
          <w:p w14:paraId="334ED1D0"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0.4</w:t>
            </w:r>
          </w:p>
        </w:tc>
        <w:tc>
          <w:tcPr>
            <w:tcW w:w="1393" w:type="dxa"/>
            <w:tcBorders>
              <w:top w:val="nil"/>
              <w:left w:val="nil"/>
              <w:bottom w:val="single" w:sz="4" w:space="0" w:color="auto"/>
              <w:right w:val="nil"/>
            </w:tcBorders>
            <w:hideMark/>
          </w:tcPr>
          <w:p w14:paraId="71D3F732"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0.5</w:t>
            </w:r>
          </w:p>
        </w:tc>
        <w:tc>
          <w:tcPr>
            <w:tcW w:w="1393" w:type="dxa"/>
            <w:tcBorders>
              <w:top w:val="nil"/>
              <w:left w:val="nil"/>
              <w:bottom w:val="single" w:sz="4" w:space="0" w:color="auto"/>
              <w:right w:val="nil"/>
            </w:tcBorders>
            <w:hideMark/>
          </w:tcPr>
          <w:p w14:paraId="6BBF22D0" w14:textId="77777777" w:rsidR="0038018A" w:rsidRPr="00623D6F" w:rsidRDefault="00C220BD">
            <w:pPr>
              <w:spacing w:line="360" w:lineRule="auto"/>
              <w:jc w:val="both"/>
              <w:rPr>
                <w:rFonts w:ascii="Book Antiqua" w:eastAsia="Book Antiqua" w:hAnsi="Book Antiqua"/>
              </w:rPr>
            </w:pPr>
            <w:r w:rsidRPr="00623D6F">
              <w:rPr>
                <w:rFonts w:ascii="Book Antiqua" w:eastAsia="Book Antiqua" w:hAnsi="Book Antiqua"/>
              </w:rPr>
              <w:t>0.6</w:t>
            </w:r>
          </w:p>
        </w:tc>
        <w:tc>
          <w:tcPr>
            <w:tcW w:w="1396" w:type="dxa"/>
            <w:tcBorders>
              <w:top w:val="nil"/>
              <w:left w:val="nil"/>
              <w:bottom w:val="single" w:sz="4" w:space="0" w:color="auto"/>
              <w:right w:val="nil"/>
            </w:tcBorders>
            <w:hideMark/>
          </w:tcPr>
          <w:p w14:paraId="1EA763E6" w14:textId="77777777" w:rsidR="0038018A" w:rsidRPr="00623D6F" w:rsidRDefault="00C220BD">
            <w:pPr>
              <w:spacing w:line="360" w:lineRule="auto"/>
              <w:jc w:val="both"/>
              <w:rPr>
                <w:rFonts w:ascii="Book Antiqua" w:eastAsia="Book Antiqua" w:hAnsi="Book Antiqua"/>
                <w:lang w:eastAsia="ko-KR"/>
              </w:rPr>
            </w:pPr>
            <w:r w:rsidRPr="00623D6F">
              <w:rPr>
                <w:rFonts w:ascii="Book Antiqua" w:eastAsia="Book Antiqua" w:hAnsi="Book Antiqua"/>
                <w:lang w:eastAsia="ko-KR"/>
              </w:rPr>
              <w:t>2.2</w:t>
            </w:r>
          </w:p>
        </w:tc>
      </w:tr>
    </w:tbl>
    <w:p w14:paraId="020A310F" w14:textId="1154FD94" w:rsidR="0038018A" w:rsidRDefault="0081763A">
      <w:pPr>
        <w:snapToGrid w:val="0"/>
        <w:spacing w:line="360" w:lineRule="auto"/>
        <w:contextualSpacing/>
        <w:jc w:val="both"/>
      </w:pPr>
      <w:r w:rsidRPr="00623D6F">
        <w:rPr>
          <w:rFonts w:ascii="Book Antiqua" w:eastAsia="Book Antiqua" w:hAnsi="Book Antiqua"/>
          <w:vertAlign w:val="superscript"/>
        </w:rPr>
        <w:t>1</w:t>
      </w:r>
      <w:r w:rsidR="00C220BD" w:rsidRPr="00623D6F">
        <w:rPr>
          <w:rFonts w:ascii="Book Antiqua" w:eastAsia="Book Antiqua" w:hAnsi="Book Antiqua"/>
        </w:rPr>
        <w:t>An</w:t>
      </w:r>
      <w:r w:rsidR="00C220BD" w:rsidRPr="00623D6F">
        <w:rPr>
          <w:rFonts w:ascii="Book Antiqua" w:eastAsia="Book Antiqua" w:hAnsi="Book Antiqua"/>
          <w:vertAlign w:val="superscript"/>
        </w:rPr>
        <w:t xml:space="preserve"> </w:t>
      </w:r>
      <w:r w:rsidR="00C220BD" w:rsidRPr="00623D6F">
        <w:rPr>
          <w:rFonts w:ascii="Book Antiqua" w:eastAsia="Book Antiqua" w:hAnsi="Book Antiqua"/>
        </w:rPr>
        <w:t>8 h maximum was used for O</w:t>
      </w:r>
      <w:r w:rsidR="00C220BD" w:rsidRPr="00623D6F">
        <w:rPr>
          <w:rFonts w:ascii="Book Antiqua" w:eastAsia="Book Antiqua" w:hAnsi="Book Antiqua"/>
          <w:vertAlign w:val="subscript"/>
        </w:rPr>
        <w:t>3</w:t>
      </w:r>
      <w:r w:rsidR="00C220BD" w:rsidRPr="00623D6F">
        <w:rPr>
          <w:rFonts w:ascii="Book Antiqua" w:eastAsia="Book Antiqua" w:hAnsi="Book Antiqua"/>
        </w:rPr>
        <w:t>.</w:t>
      </w:r>
      <w:r w:rsidR="00C220BD" w:rsidRPr="00623D6F">
        <w:rPr>
          <w:rFonts w:ascii="Book Antiqua" w:eastAsia="Book Antiqua" w:hAnsi="Book Antiqua"/>
          <w:vertAlign w:val="subscript"/>
        </w:rPr>
        <w:t xml:space="preserve"> </w:t>
      </w:r>
      <w:r w:rsidR="00C220BD" w:rsidRPr="00623D6F">
        <w:rPr>
          <w:rFonts w:ascii="Book Antiqua" w:eastAsia="Book Antiqua" w:hAnsi="Book Antiqua"/>
        </w:rPr>
        <w:t>SD: Standard deviation</w:t>
      </w:r>
      <w:r w:rsidR="00C220BD" w:rsidRPr="00623D6F">
        <w:rPr>
          <w:rFonts w:ascii="Book Antiqua" w:eastAsia="Book Antiqua" w:hAnsi="Book Antiqua"/>
          <w:kern w:val="2"/>
          <w:lang w:eastAsia="ko-KR"/>
        </w:rPr>
        <w:t xml:space="preserve">; </w:t>
      </w:r>
      <w:r w:rsidR="00C220BD" w:rsidRPr="00623D6F">
        <w:rPr>
          <w:rFonts w:ascii="Book Antiqua" w:eastAsia="Book Antiqua" w:hAnsi="Book Antiqua" w:cs="Book Antiqua"/>
          <w:color w:val="000000"/>
        </w:rPr>
        <w:t>PM</w:t>
      </w:r>
      <w:r w:rsidR="00C220BD" w:rsidRPr="00623D6F">
        <w:rPr>
          <w:rFonts w:ascii="Book Antiqua" w:eastAsia="Book Antiqua" w:hAnsi="Book Antiqua" w:cs="Book Antiqua"/>
          <w:color w:val="000000"/>
          <w:vertAlign w:val="subscript"/>
        </w:rPr>
        <w:t>2.5</w:t>
      </w:r>
      <w:r w:rsidR="00C220BD" w:rsidRPr="00623D6F">
        <w:rPr>
          <w:rFonts w:ascii="Book Antiqua" w:eastAsia="Book Antiqua" w:hAnsi="Book Antiqua" w:cs="Book Antiqua"/>
          <w:color w:val="000000"/>
        </w:rPr>
        <w:t>: Particulate matter with a diameter ≤ 2.5 µm; PM</w:t>
      </w:r>
      <w:r w:rsidR="00C220BD" w:rsidRPr="00623D6F">
        <w:rPr>
          <w:rFonts w:ascii="Book Antiqua" w:eastAsia="Book Antiqua" w:hAnsi="Book Antiqua" w:cs="Book Antiqua"/>
          <w:color w:val="000000"/>
          <w:vertAlign w:val="subscript"/>
        </w:rPr>
        <w:t>10</w:t>
      </w:r>
      <w:r w:rsidR="00C220BD" w:rsidRPr="00623D6F">
        <w:rPr>
          <w:rFonts w:ascii="Book Antiqua" w:eastAsia="Book Antiqua" w:hAnsi="Book Antiqua" w:cs="Book Antiqua"/>
          <w:color w:val="000000"/>
        </w:rPr>
        <w:t xml:space="preserve">: Particulate matter with a diameter ≤ 10 µm; </w:t>
      </w:r>
      <w:r w:rsidR="00C220BD" w:rsidRPr="00623D6F">
        <w:rPr>
          <w:rFonts w:ascii="Book Antiqua" w:eastAsia="Book Antiqua" w:hAnsi="Book Antiqua"/>
        </w:rPr>
        <w:t>NO</w:t>
      </w:r>
      <w:r w:rsidR="00C220BD" w:rsidRPr="00623D6F">
        <w:rPr>
          <w:rFonts w:ascii="Book Antiqua" w:eastAsia="Book Antiqua" w:hAnsi="Book Antiqua"/>
          <w:vertAlign w:val="subscript"/>
        </w:rPr>
        <w:t>2</w:t>
      </w:r>
      <w:r w:rsidR="00C220BD" w:rsidRPr="00623D6F">
        <w:rPr>
          <w:rFonts w:ascii="Book Antiqua" w:eastAsia="Book Antiqua" w:hAnsi="Book Antiqua"/>
        </w:rPr>
        <w:t xml:space="preserve">: </w:t>
      </w:r>
      <w:r w:rsidR="00C220BD" w:rsidRPr="00623D6F">
        <w:rPr>
          <w:rFonts w:ascii="Book Antiqua" w:eastAsia="Book Antiqua" w:hAnsi="Book Antiqua" w:cs="Book Antiqua"/>
          <w:color w:val="000000"/>
        </w:rPr>
        <w:t>Nitrogen dioxide; S</w:t>
      </w:r>
      <w:r w:rsidR="00C220BD" w:rsidRPr="00623D6F">
        <w:rPr>
          <w:rFonts w:ascii="Book Antiqua" w:eastAsia="Book Antiqua" w:hAnsi="Book Antiqua"/>
        </w:rPr>
        <w:t>O</w:t>
      </w:r>
      <w:r w:rsidR="00C220BD" w:rsidRPr="00623D6F">
        <w:rPr>
          <w:rFonts w:ascii="Book Antiqua" w:eastAsia="Book Antiqua" w:hAnsi="Book Antiqua"/>
          <w:vertAlign w:val="subscript"/>
        </w:rPr>
        <w:t>2</w:t>
      </w:r>
      <w:r w:rsidR="00C220BD" w:rsidRPr="00623D6F">
        <w:rPr>
          <w:rFonts w:ascii="Book Antiqua" w:eastAsia="Book Antiqua" w:hAnsi="Book Antiqua"/>
        </w:rPr>
        <w:t>:</w:t>
      </w:r>
      <w:r w:rsidR="00C220BD" w:rsidRPr="00623D6F">
        <w:rPr>
          <w:rFonts w:ascii="Book Antiqua" w:eastAsia="Book Antiqua" w:hAnsi="Book Antiqua" w:cs="Book Antiqua"/>
          <w:color w:val="000000"/>
        </w:rPr>
        <w:t xml:space="preserve"> Sulphur dioxide; CO: Carbon monoxide; ppb: Parts-per-billion; ppm: Parts-per-million.</w:t>
      </w:r>
    </w:p>
    <w:sectPr w:rsidR="0038018A">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482D2" w14:textId="77777777" w:rsidR="000A79C2" w:rsidRDefault="000A79C2">
      <w:r>
        <w:separator/>
      </w:r>
    </w:p>
  </w:endnote>
  <w:endnote w:type="continuationSeparator" w:id="0">
    <w:p w14:paraId="1A1D108C" w14:textId="77777777" w:rsidR="000A79C2" w:rsidRDefault="000A7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Book Antiqua">
    <w:altName w:val="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198409"/>
      <w:docPartObj>
        <w:docPartGallery w:val="Page Numbers (Bottom of Page)"/>
        <w:docPartUnique/>
      </w:docPartObj>
    </w:sdtPr>
    <w:sdtEndPr/>
    <w:sdtContent>
      <w:sdt>
        <w:sdtPr>
          <w:id w:val="-1"/>
          <w:docPartObj>
            <w:docPartGallery w:val="Page Numbers (Top of Page)"/>
            <w:docPartUnique/>
          </w:docPartObj>
        </w:sdtPr>
        <w:sdtEndPr/>
        <w:sdtContent>
          <w:p w14:paraId="5CCC5F4D" w14:textId="77777777" w:rsidR="0038018A" w:rsidRDefault="00C220BD">
            <w:pPr>
              <w:pStyle w:val="a5"/>
              <w:jc w:val="right"/>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623D6F">
              <w:rPr>
                <w:rFonts w:ascii="Book Antiqua" w:hAnsi="Book Antiqua"/>
                <w:noProof/>
                <w:sz w:val="24"/>
                <w:szCs w:val="24"/>
              </w:rPr>
              <w:t>29</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623D6F">
              <w:rPr>
                <w:rFonts w:ascii="Book Antiqua" w:hAnsi="Book Antiqua"/>
                <w:noProof/>
                <w:sz w:val="24"/>
                <w:szCs w:val="24"/>
              </w:rPr>
              <w:t>29</w:t>
            </w:r>
            <w:r>
              <w:rPr>
                <w:rFonts w:ascii="Book Antiqua" w:hAnsi="Book Antiqua"/>
                <w:sz w:val="24"/>
                <w:szCs w:val="24"/>
              </w:rPr>
              <w:fldChar w:fldCharType="end"/>
            </w:r>
          </w:p>
        </w:sdtContent>
      </w:sdt>
    </w:sdtContent>
  </w:sdt>
  <w:p w14:paraId="2770FA12" w14:textId="77777777" w:rsidR="0038018A" w:rsidRDefault="0038018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308D3" w14:textId="77777777" w:rsidR="000A79C2" w:rsidRDefault="000A79C2">
      <w:r>
        <w:separator/>
      </w:r>
    </w:p>
  </w:footnote>
  <w:footnote w:type="continuationSeparator" w:id="0">
    <w:p w14:paraId="33C21D63" w14:textId="77777777" w:rsidR="000A79C2" w:rsidRDefault="000A79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18A"/>
    <w:rsid w:val="000A79C2"/>
    <w:rsid w:val="000E56CA"/>
    <w:rsid w:val="000F0F8E"/>
    <w:rsid w:val="001154C8"/>
    <w:rsid w:val="00131DE5"/>
    <w:rsid w:val="00137527"/>
    <w:rsid w:val="00182C60"/>
    <w:rsid w:val="0038018A"/>
    <w:rsid w:val="00387C23"/>
    <w:rsid w:val="00504033"/>
    <w:rsid w:val="005E199A"/>
    <w:rsid w:val="005E4C87"/>
    <w:rsid w:val="00623D6F"/>
    <w:rsid w:val="00633F08"/>
    <w:rsid w:val="00665172"/>
    <w:rsid w:val="006B00F0"/>
    <w:rsid w:val="00732BA3"/>
    <w:rsid w:val="0079463C"/>
    <w:rsid w:val="007D1C10"/>
    <w:rsid w:val="0081763A"/>
    <w:rsid w:val="00882A54"/>
    <w:rsid w:val="008D0CC6"/>
    <w:rsid w:val="009779CF"/>
    <w:rsid w:val="009A0074"/>
    <w:rsid w:val="00A3600A"/>
    <w:rsid w:val="00A61237"/>
    <w:rsid w:val="00BF5AFE"/>
    <w:rsid w:val="00C220BD"/>
    <w:rsid w:val="00CB3225"/>
    <w:rsid w:val="00D466E1"/>
    <w:rsid w:val="00D55A38"/>
    <w:rsid w:val="00E27918"/>
    <w:rsid w:val="00EB59D1"/>
    <w:rsid w:val="00EE5E9B"/>
    <w:rsid w:val="00EF6932"/>
    <w:rsid w:val="00F2706B"/>
  </w:rsids>
  <m:mathPr>
    <m:mathFont m:val="Cambria Math"/>
    <m:brkBin m:val="before"/>
    <m:brkBinSub m:val="--"/>
    <m:smallFrac m:val="0"/>
    <m:dispDef/>
    <m:lMargin m:val="0"/>
    <m:rMargin m:val="0"/>
    <m:defJc m:val="centerGroup"/>
    <m:wrapIndent m:val="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D6A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nhideWhenUsed="0"/>
    <w:lsdException w:name="Medium List 1 Accent 1" w:semiHidden="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풍선 도움말 텍스트1"/>
    <w:basedOn w:val="a"/>
    <w:link w:val="a3"/>
    <w:rPr>
      <w:sz w:val="18"/>
      <w:szCs w:val="18"/>
    </w:rPr>
  </w:style>
  <w:style w:type="character" w:customStyle="1" w:styleId="a3">
    <w:name w:val="批注框文本 字符"/>
    <w:basedOn w:val="a0"/>
    <w:link w:val="1"/>
    <w:rPr>
      <w:sz w:val="18"/>
      <w:szCs w:val="18"/>
    </w:rPr>
  </w:style>
  <w:style w:type="table" w:customStyle="1" w:styleId="10">
    <w:name w:val="표 구분선1"/>
    <w:basedOn w:val="a1"/>
    <w:uiPriority w:val="39"/>
    <w:rPr>
      <w:rFonts w:ascii="Malgun Gothic" w:hAnsi="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rsid w:val="00A61237"/>
    <w:rPr>
      <w:rFonts w:asciiTheme="majorHAnsi" w:eastAsiaTheme="majorEastAsia" w:hAnsiTheme="majorHAnsi" w:cstheme="majorBidi"/>
      <w:sz w:val="18"/>
      <w:szCs w:val="18"/>
    </w:rPr>
  </w:style>
  <w:style w:type="character" w:customStyle="1" w:styleId="Char1">
    <w:name w:val="批注框文本 Char"/>
    <w:basedOn w:val="a0"/>
    <w:link w:val="a6"/>
    <w:rsid w:val="00A61237"/>
    <w:rPr>
      <w:rFonts w:asciiTheme="majorHAnsi" w:eastAsiaTheme="majorEastAsia" w:hAnsiTheme="majorHAnsi" w:cstheme="majorBidi"/>
      <w:sz w:val="18"/>
      <w:szCs w:val="18"/>
    </w:rPr>
  </w:style>
  <w:style w:type="character" w:styleId="a7">
    <w:name w:val="Hyperlink"/>
    <w:basedOn w:val="a0"/>
    <w:unhideWhenUsed/>
    <w:rsid w:val="007946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96" w:unhideWhenUsed="0"/>
    <w:lsdException w:name="Light List" w:semiHidden="0" w:uiPriority="97" w:unhideWhenUsed="0"/>
    <w:lsdException w:name="Light Grid" w:semiHidden="0" w:uiPriority="98" w:unhideWhenUsed="0"/>
    <w:lsdException w:name="Medium Shading 1" w:semiHidden="0" w:uiPriority="99"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iPriority="96" w:unhideWhenUsed="0"/>
    <w:lsdException w:name="Light List Accent 1" w:semiHidden="0" w:uiPriority="97" w:unhideWhenUsed="0"/>
    <w:lsdException w:name="Light Grid Accent 1" w:semiHidden="0" w:uiPriority="98" w:unhideWhenUsed="0"/>
    <w:lsdException w:name="Medium Shading 1 Accent 1" w:semiHidden="0" w:uiPriority="99" w:unhideWhenUsed="0"/>
    <w:lsdException w:name="Medium Shading 2 Accent 1" w:semiHidden="0" w:unhideWhenUsed="0"/>
    <w:lsdException w:name="Medium List 1 Accent 1" w:semiHidden="0" w:unhideWhenUsed="0"/>
    <w:lsdException w:name="Revision" w:unhideWhenUsed="0"/>
    <w:lsdException w:name="List Paragraph" w:semiHidden="0" w:uiPriority="52" w:unhideWhenUsed="0" w:qFormat="1"/>
    <w:lsdException w:name="Quote" w:semiHidden="0" w:uiPriority="41" w:unhideWhenUsed="0" w:qFormat="1"/>
    <w:lsdException w:name="Intense Quote" w:semiHidden="0" w:uiPriority="48"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iPriority="96" w:unhideWhenUsed="0"/>
    <w:lsdException w:name="Light List Accent 2" w:semiHidden="0" w:uiPriority="97" w:unhideWhenUsed="0"/>
    <w:lsdException w:name="Light Grid Accent 2" w:semiHidden="0" w:uiPriority="98" w:unhideWhenUsed="0"/>
    <w:lsdException w:name="Medium Shading 1 Accent 2" w:semiHidden="0" w:uiPriority="99"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iPriority="96" w:unhideWhenUsed="0"/>
    <w:lsdException w:name="Light List Accent 3" w:semiHidden="0" w:uiPriority="97" w:unhideWhenUsed="0"/>
    <w:lsdException w:name="Light Grid Accent 3" w:semiHidden="0" w:uiPriority="98" w:unhideWhenUsed="0"/>
    <w:lsdException w:name="Medium Shading 1 Accent 3" w:semiHidden="0" w:uiPriority="99"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iPriority="96" w:unhideWhenUsed="0"/>
    <w:lsdException w:name="Light List Accent 4" w:semiHidden="0" w:uiPriority="97" w:unhideWhenUsed="0"/>
    <w:lsdException w:name="Light Grid Accent 4" w:semiHidden="0" w:uiPriority="98" w:unhideWhenUsed="0"/>
    <w:lsdException w:name="Medium Shading 1 Accent 4" w:semiHidden="0" w:uiPriority="99"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iPriority="96" w:unhideWhenUsed="0"/>
    <w:lsdException w:name="Light List Accent 5" w:semiHidden="0" w:uiPriority="97" w:unhideWhenUsed="0"/>
    <w:lsdException w:name="Light Grid Accent 5" w:semiHidden="0" w:uiPriority="98" w:unhideWhenUsed="0"/>
    <w:lsdException w:name="Medium Shading 1 Accent 5" w:semiHidden="0" w:uiPriority="99"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iPriority="96" w:unhideWhenUsed="0"/>
    <w:lsdException w:name="Light List Accent 6" w:semiHidden="0" w:uiPriority="97" w:unhideWhenUsed="0"/>
    <w:lsdException w:name="Light Grid Accent 6" w:semiHidden="0" w:uiPriority="98" w:unhideWhenUsed="0"/>
    <w:lsdException w:name="Medium Shading 1 Accent 6" w:semiHidden="0" w:uiPriority="99"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25" w:unhideWhenUsed="0" w:qFormat="1"/>
    <w:lsdException w:name="Intense Emphasis" w:semiHidden="0" w:uiPriority="33" w:unhideWhenUsed="0" w:qFormat="1"/>
    <w:lsdException w:name="Subtle Reference" w:semiHidden="0" w:uiPriority="49" w:unhideWhenUsed="0" w:qFormat="1"/>
    <w:lsdException w:name="Intense Reference" w:semiHidden="0" w:uiPriority="50" w:unhideWhenUsed="0" w:qFormat="1"/>
    <w:lsdException w:name="Book Title" w:semiHidden="0" w:uiPriority="51" w:unhideWhenUsed="0" w:qFormat="1"/>
    <w:lsdException w:name="Bibliography" w:uiPriority="55"/>
    <w:lsdException w:name="TOC Heading" w:uiPriority="57"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풍선 도움말 텍스트1"/>
    <w:basedOn w:val="a"/>
    <w:link w:val="a3"/>
    <w:rPr>
      <w:sz w:val="18"/>
      <w:szCs w:val="18"/>
    </w:rPr>
  </w:style>
  <w:style w:type="character" w:customStyle="1" w:styleId="a3">
    <w:name w:val="批注框文本 字符"/>
    <w:basedOn w:val="a0"/>
    <w:link w:val="1"/>
    <w:rPr>
      <w:sz w:val="18"/>
      <w:szCs w:val="18"/>
    </w:rPr>
  </w:style>
  <w:style w:type="table" w:customStyle="1" w:styleId="10">
    <w:name w:val="표 구분선1"/>
    <w:basedOn w:val="a1"/>
    <w:uiPriority w:val="39"/>
    <w:rPr>
      <w:rFonts w:ascii="Malgun Gothic" w:hAnsi="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Pr>
      <w:sz w:val="18"/>
      <w:szCs w:val="18"/>
    </w:rPr>
  </w:style>
  <w:style w:type="paragraph" w:styleId="a5">
    <w:name w:val="footer"/>
    <w:basedOn w:val="a"/>
    <w:link w:val="Char0"/>
    <w:uiPriority w:val="99"/>
    <w:unhideWhenUsed/>
    <w:pPr>
      <w:tabs>
        <w:tab w:val="center" w:pos="4153"/>
        <w:tab w:val="right" w:pos="8306"/>
      </w:tabs>
      <w:snapToGrid w:val="0"/>
    </w:pPr>
    <w:rPr>
      <w:sz w:val="18"/>
      <w:szCs w:val="18"/>
    </w:rPr>
  </w:style>
  <w:style w:type="character" w:customStyle="1" w:styleId="Char0">
    <w:name w:val="页脚 Char"/>
    <w:basedOn w:val="a0"/>
    <w:link w:val="a5"/>
    <w:uiPriority w:val="99"/>
    <w:rPr>
      <w:sz w:val="18"/>
      <w:szCs w:val="18"/>
    </w:rPr>
  </w:style>
  <w:style w:type="paragraph" w:styleId="a6">
    <w:name w:val="Balloon Text"/>
    <w:basedOn w:val="a"/>
    <w:link w:val="Char1"/>
    <w:rsid w:val="00A61237"/>
    <w:rPr>
      <w:rFonts w:asciiTheme="majorHAnsi" w:eastAsiaTheme="majorEastAsia" w:hAnsiTheme="majorHAnsi" w:cstheme="majorBidi"/>
      <w:sz w:val="18"/>
      <w:szCs w:val="18"/>
    </w:rPr>
  </w:style>
  <w:style w:type="character" w:customStyle="1" w:styleId="Char1">
    <w:name w:val="批注框文本 Char"/>
    <w:basedOn w:val="a0"/>
    <w:link w:val="a6"/>
    <w:rsid w:val="00A61237"/>
    <w:rPr>
      <w:rFonts w:asciiTheme="majorHAnsi" w:eastAsiaTheme="majorEastAsia" w:hAnsiTheme="majorHAnsi" w:cstheme="majorBidi"/>
      <w:sz w:val="18"/>
      <w:szCs w:val="18"/>
    </w:rPr>
  </w:style>
  <w:style w:type="character" w:styleId="a7">
    <w:name w:val="Hyperlink"/>
    <w:basedOn w:val="a0"/>
    <w:unhideWhenUsed/>
    <w:rsid w:val="007946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34557">
      <w:bodyDiv w:val="1"/>
      <w:marLeft w:val="0"/>
      <w:marRight w:val="0"/>
      <w:marTop w:val="0"/>
      <w:marBottom w:val="0"/>
      <w:divBdr>
        <w:top w:val="none" w:sz="0" w:space="0" w:color="auto"/>
        <w:left w:val="none" w:sz="0" w:space="0" w:color="auto"/>
        <w:bottom w:val="none" w:sz="0" w:space="0" w:color="auto"/>
        <w:right w:val="none" w:sz="0" w:space="0" w:color="auto"/>
      </w:divBdr>
      <w:divsChild>
        <w:div w:id="1092896169">
          <w:marLeft w:val="0"/>
          <w:marRight w:val="0"/>
          <w:marTop w:val="0"/>
          <w:marBottom w:val="0"/>
          <w:divBdr>
            <w:top w:val="none" w:sz="0" w:space="0" w:color="auto"/>
            <w:left w:val="none" w:sz="0" w:space="0" w:color="auto"/>
            <w:bottom w:val="none" w:sz="0" w:space="0" w:color="auto"/>
            <w:right w:val="none" w:sz="0" w:space="0" w:color="auto"/>
          </w:divBdr>
        </w:div>
      </w:divsChild>
    </w:div>
    <w:div w:id="1617176878">
      <w:bodyDiv w:val="1"/>
      <w:marLeft w:val="0"/>
      <w:marRight w:val="0"/>
      <w:marTop w:val="0"/>
      <w:marBottom w:val="0"/>
      <w:divBdr>
        <w:top w:val="none" w:sz="0" w:space="0" w:color="auto"/>
        <w:left w:val="none" w:sz="0" w:space="0" w:color="auto"/>
        <w:bottom w:val="none" w:sz="0" w:space="0" w:color="auto"/>
        <w:right w:val="none" w:sz="0" w:space="0" w:color="auto"/>
      </w:divBdr>
      <w:divsChild>
        <w:div w:id="229075624">
          <w:marLeft w:val="0"/>
          <w:marRight w:val="0"/>
          <w:marTop w:val="0"/>
          <w:marBottom w:val="0"/>
          <w:divBdr>
            <w:top w:val="single" w:sz="6" w:space="0" w:color="auto"/>
            <w:left w:val="single" w:sz="6" w:space="0" w:color="auto"/>
            <w:bottom w:val="single" w:sz="6" w:space="0" w:color="auto"/>
            <w:right w:val="single" w:sz="6" w:space="0" w:color="auto"/>
          </w:divBdr>
          <w:divsChild>
            <w:div w:id="116739895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6/i39/6074.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6377</Words>
  <Characters>36354</Characters>
  <Application>Microsoft Office Word</Application>
  <DocSecurity>0</DocSecurity>
  <Lines>302</Lines>
  <Paragraphs>85</Paragraphs>
  <ScaleCrop>false</ScaleCrop>
  <LinksUpToDate>false</LinksUpToDate>
  <CharactersWithSpaces>42646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2020-09-15T23:08:00Z</dcterms:created>
  <dcterms:modified xsi:type="dcterms:W3CDTF">2020-10-21T02:42:00Z</dcterms:modified>
  <cp:version>1000.0100.01</cp:version>
</cp:coreProperties>
</file>