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7480E" w14:textId="3574CD51" w:rsidR="00695D76" w:rsidRPr="007832ED" w:rsidRDefault="00695D76" w:rsidP="00B8567E">
      <w:pPr>
        <w:spacing w:line="360" w:lineRule="auto"/>
        <w:contextualSpacing/>
        <w:jc w:val="both"/>
        <w:rPr>
          <w:rFonts w:ascii="Book Antiqua" w:hAnsi="Book Antiqua" w:cs="Times New Roman"/>
          <w:bCs/>
          <w:sz w:val="24"/>
          <w:szCs w:val="24"/>
          <w:lang w:val="en-GB"/>
        </w:rPr>
      </w:pPr>
      <w:r w:rsidRPr="007832ED">
        <w:rPr>
          <w:rFonts w:ascii="Book Antiqua" w:hAnsi="Book Antiqua" w:cs="Times New Roman"/>
          <w:b/>
          <w:sz w:val="24"/>
          <w:szCs w:val="24"/>
          <w:lang w:val="en-GB"/>
        </w:rPr>
        <w:t>Name of Journal</w:t>
      </w:r>
      <w:r w:rsidRPr="007832ED">
        <w:rPr>
          <w:rFonts w:ascii="Book Antiqua" w:hAnsi="Book Antiqua" w:cs="Times New Roman"/>
          <w:bCs/>
          <w:sz w:val="24"/>
          <w:szCs w:val="24"/>
          <w:lang w:val="en-GB"/>
        </w:rPr>
        <w:t xml:space="preserve">: </w:t>
      </w:r>
      <w:r w:rsidRPr="007832ED">
        <w:rPr>
          <w:rFonts w:ascii="Book Antiqua" w:hAnsi="Book Antiqua" w:cs="Times New Roman"/>
          <w:bCs/>
          <w:i/>
          <w:iCs/>
          <w:sz w:val="24"/>
          <w:szCs w:val="24"/>
          <w:lang w:val="en-GB"/>
        </w:rPr>
        <w:t>World Journal of Gastroenterology</w:t>
      </w:r>
    </w:p>
    <w:p w14:paraId="38442F15" w14:textId="6AFBABCD" w:rsidR="00695D76" w:rsidRPr="007832ED" w:rsidRDefault="00695D76" w:rsidP="00B8567E">
      <w:pPr>
        <w:spacing w:line="360" w:lineRule="auto"/>
        <w:contextualSpacing/>
        <w:jc w:val="both"/>
        <w:rPr>
          <w:rFonts w:ascii="Book Antiqua" w:hAnsi="Book Antiqua" w:cs="Times New Roman"/>
          <w:bCs/>
          <w:sz w:val="24"/>
          <w:szCs w:val="24"/>
          <w:lang w:val="en-GB"/>
        </w:rPr>
      </w:pPr>
      <w:r w:rsidRPr="007832ED">
        <w:rPr>
          <w:rFonts w:ascii="Book Antiqua" w:hAnsi="Book Antiqua" w:cs="Times New Roman"/>
          <w:b/>
          <w:sz w:val="24"/>
          <w:szCs w:val="24"/>
          <w:lang w:val="en-GB"/>
        </w:rPr>
        <w:t>Manuscript NO</w:t>
      </w:r>
      <w:r w:rsidRPr="007832ED">
        <w:rPr>
          <w:rFonts w:ascii="Book Antiqua" w:hAnsi="Book Antiqua" w:cs="Times New Roman"/>
          <w:bCs/>
          <w:sz w:val="24"/>
          <w:szCs w:val="24"/>
          <w:lang w:val="en-GB"/>
        </w:rPr>
        <w:t>:</w:t>
      </w:r>
      <w:r w:rsidR="00F0284F">
        <w:rPr>
          <w:rFonts w:ascii="Book Antiqua" w:hAnsi="Book Antiqua" w:cs="Times New Roman"/>
          <w:bCs/>
          <w:sz w:val="24"/>
          <w:szCs w:val="24"/>
          <w:lang w:val="en-GB"/>
        </w:rPr>
        <w:t xml:space="preserve"> </w:t>
      </w:r>
      <w:r w:rsidR="00F0284F" w:rsidRPr="00EA0AF5">
        <w:rPr>
          <w:rFonts w:ascii="Book Antiqua" w:hAnsi="Book Antiqua" w:cs="Times New Roman"/>
          <w:bCs/>
          <w:sz w:val="24"/>
          <w:szCs w:val="24"/>
          <w:lang w:val="en-GB"/>
        </w:rPr>
        <w:t>58395</w:t>
      </w:r>
    </w:p>
    <w:p w14:paraId="2ACF04FC" w14:textId="77777777" w:rsidR="00695D76" w:rsidRPr="007832ED" w:rsidRDefault="00695D76" w:rsidP="00B8567E">
      <w:pPr>
        <w:spacing w:line="360" w:lineRule="auto"/>
        <w:contextualSpacing/>
        <w:jc w:val="both"/>
        <w:rPr>
          <w:rFonts w:ascii="Book Antiqua" w:hAnsi="Book Antiqua" w:cs="Times New Roman"/>
          <w:bCs/>
          <w:sz w:val="24"/>
          <w:szCs w:val="24"/>
          <w:lang w:val="en-GB"/>
        </w:rPr>
      </w:pPr>
      <w:r w:rsidRPr="007832ED">
        <w:rPr>
          <w:rFonts w:ascii="Book Antiqua" w:hAnsi="Book Antiqua" w:cs="Times New Roman"/>
          <w:b/>
          <w:sz w:val="24"/>
          <w:szCs w:val="24"/>
          <w:lang w:val="en-GB"/>
        </w:rPr>
        <w:t>Manuscript Type</w:t>
      </w:r>
      <w:r w:rsidRPr="007832ED">
        <w:rPr>
          <w:rFonts w:ascii="Book Antiqua" w:hAnsi="Book Antiqua" w:cs="Times New Roman"/>
          <w:bCs/>
          <w:sz w:val="24"/>
          <w:szCs w:val="24"/>
          <w:lang w:val="en-GB"/>
        </w:rPr>
        <w:t>: ORIGINAL ARTICLE</w:t>
      </w:r>
    </w:p>
    <w:p w14:paraId="43ADF533" w14:textId="77777777" w:rsidR="005660E1" w:rsidRPr="007832ED" w:rsidRDefault="005660E1" w:rsidP="00B8567E">
      <w:pPr>
        <w:spacing w:line="360" w:lineRule="auto"/>
        <w:contextualSpacing/>
        <w:jc w:val="both"/>
        <w:rPr>
          <w:rFonts w:ascii="Book Antiqua" w:hAnsi="Book Antiqua" w:cs="Times New Roman"/>
          <w:b/>
          <w:i/>
          <w:iCs/>
          <w:sz w:val="24"/>
          <w:szCs w:val="24"/>
          <w:lang w:val="en-GB"/>
        </w:rPr>
      </w:pPr>
    </w:p>
    <w:p w14:paraId="62FEEE8B" w14:textId="15C1B79E" w:rsidR="00695D76" w:rsidRPr="007832ED" w:rsidRDefault="00695D76" w:rsidP="00B8567E">
      <w:pPr>
        <w:spacing w:line="360" w:lineRule="auto"/>
        <w:contextualSpacing/>
        <w:jc w:val="both"/>
        <w:rPr>
          <w:rFonts w:ascii="Book Antiqua" w:hAnsi="Book Antiqua" w:cs="Times New Roman"/>
          <w:b/>
          <w:i/>
          <w:iCs/>
          <w:sz w:val="24"/>
          <w:szCs w:val="24"/>
          <w:lang w:val="en-GB"/>
        </w:rPr>
      </w:pPr>
      <w:r w:rsidRPr="007832ED">
        <w:rPr>
          <w:rFonts w:ascii="Book Antiqua" w:hAnsi="Book Antiqua" w:cs="Times New Roman"/>
          <w:b/>
          <w:i/>
          <w:iCs/>
          <w:sz w:val="24"/>
          <w:szCs w:val="24"/>
          <w:lang w:val="en-GB"/>
        </w:rPr>
        <w:t>Basic Study</w:t>
      </w:r>
    </w:p>
    <w:p w14:paraId="1D324D43" w14:textId="77777777" w:rsidR="00AE1568" w:rsidRPr="00015AA7" w:rsidRDefault="00AE1568" w:rsidP="00AE1568">
      <w:pPr>
        <w:adjustRightInd w:val="0"/>
        <w:snapToGrid w:val="0"/>
        <w:spacing w:after="0" w:line="360" w:lineRule="auto"/>
        <w:jc w:val="both"/>
        <w:rPr>
          <w:rFonts w:ascii="Book Antiqua" w:hAnsi="Book Antiqua" w:cs="Times New Roman"/>
          <w:b/>
          <w:sz w:val="24"/>
          <w:szCs w:val="24"/>
          <w:lang w:val="en-GB"/>
        </w:rPr>
      </w:pPr>
      <w:bookmarkStart w:id="0" w:name="_Hlk46182224"/>
      <w:r w:rsidRPr="00015AA7">
        <w:rPr>
          <w:rFonts w:ascii="Book Antiqua" w:hAnsi="Book Antiqua" w:cs="Times New Roman"/>
          <w:b/>
          <w:sz w:val="24"/>
          <w:szCs w:val="24"/>
          <w:lang w:val="en-GB"/>
        </w:rPr>
        <w:t xml:space="preserve">Polyethylene glycol 35 ameliorates pancreatic inflammatory response in </w:t>
      </w:r>
      <w:proofErr w:type="spellStart"/>
      <w:r w:rsidRPr="00015AA7">
        <w:rPr>
          <w:rFonts w:ascii="Book Antiqua" w:hAnsi="Book Antiqua" w:cs="Times New Roman"/>
          <w:b/>
          <w:sz w:val="24"/>
          <w:szCs w:val="24"/>
          <w:lang w:val="en-GB"/>
        </w:rPr>
        <w:t>cerulein</w:t>
      </w:r>
      <w:proofErr w:type="spellEnd"/>
      <w:r w:rsidRPr="00015AA7">
        <w:rPr>
          <w:rFonts w:ascii="Book Antiqua" w:hAnsi="Book Antiqua" w:cs="Times New Roman"/>
          <w:b/>
          <w:sz w:val="24"/>
          <w:szCs w:val="24"/>
          <w:lang w:val="en-GB"/>
        </w:rPr>
        <w:t>-induced acute pancreatitis in rats</w:t>
      </w:r>
    </w:p>
    <w:p w14:paraId="2DCAC3B4" w14:textId="77777777" w:rsidR="00AE1568" w:rsidRPr="00015AA7" w:rsidRDefault="00AE1568" w:rsidP="00AE1568">
      <w:pPr>
        <w:adjustRightInd w:val="0"/>
        <w:snapToGrid w:val="0"/>
        <w:spacing w:after="0" w:line="360" w:lineRule="auto"/>
        <w:jc w:val="both"/>
        <w:rPr>
          <w:rFonts w:ascii="Book Antiqua" w:hAnsi="Book Antiqua" w:cs="Times New Roman"/>
          <w:bCs/>
          <w:sz w:val="24"/>
          <w:szCs w:val="24"/>
          <w:lang w:val="en-GB"/>
        </w:rPr>
      </w:pPr>
    </w:p>
    <w:p w14:paraId="56C2AB5A" w14:textId="77777777" w:rsidR="00AE1568" w:rsidRPr="00015AA7" w:rsidRDefault="00AE1568" w:rsidP="00AE1568">
      <w:pPr>
        <w:adjustRightInd w:val="0"/>
        <w:snapToGrid w:val="0"/>
        <w:spacing w:after="0" w:line="360" w:lineRule="auto"/>
        <w:jc w:val="both"/>
        <w:rPr>
          <w:rFonts w:ascii="Book Antiqua" w:hAnsi="Book Antiqua" w:cs="Times New Roman"/>
          <w:bCs/>
          <w:sz w:val="24"/>
          <w:szCs w:val="24"/>
          <w:lang w:val="en-GB"/>
        </w:rPr>
      </w:pPr>
      <w:r w:rsidRPr="00015AA7">
        <w:rPr>
          <w:rFonts w:ascii="Book Antiqua" w:hAnsi="Book Antiqua" w:cs="Times New Roman"/>
          <w:bCs/>
          <w:sz w:val="24"/>
          <w:szCs w:val="24"/>
          <w:lang w:val="es-ES"/>
        </w:rPr>
        <w:t>Ferrero-Andrés A</w:t>
      </w:r>
      <w:r w:rsidRPr="00015AA7">
        <w:rPr>
          <w:rFonts w:ascii="Book Antiqua" w:hAnsi="Book Antiqua" w:cs="Times New Roman"/>
          <w:bCs/>
          <w:i/>
          <w:iCs/>
          <w:sz w:val="24"/>
          <w:szCs w:val="24"/>
          <w:lang w:val="es-ES"/>
        </w:rPr>
        <w:t xml:space="preserve"> et al.</w:t>
      </w:r>
      <w:r w:rsidRPr="00015AA7">
        <w:rPr>
          <w:rFonts w:ascii="Book Antiqua" w:hAnsi="Book Antiqua" w:cs="Times New Roman"/>
          <w:bCs/>
          <w:sz w:val="24"/>
          <w:szCs w:val="24"/>
          <w:lang w:val="es-ES"/>
        </w:rPr>
        <w:t xml:space="preserve"> </w:t>
      </w:r>
      <w:r w:rsidRPr="00015AA7">
        <w:rPr>
          <w:rFonts w:ascii="Book Antiqua" w:hAnsi="Book Antiqua" w:cs="Times New Roman"/>
          <w:bCs/>
          <w:sz w:val="24"/>
          <w:szCs w:val="24"/>
          <w:lang w:val="en-GB"/>
        </w:rPr>
        <w:t xml:space="preserve">PEG35 protection against </w:t>
      </w:r>
      <w:proofErr w:type="spellStart"/>
      <w:r w:rsidRPr="00015AA7">
        <w:rPr>
          <w:rFonts w:ascii="Book Antiqua" w:hAnsi="Book Antiqua" w:cs="Times New Roman"/>
          <w:bCs/>
          <w:sz w:val="24"/>
          <w:szCs w:val="24"/>
          <w:lang w:val="en-GB"/>
        </w:rPr>
        <w:t>cerulein</w:t>
      </w:r>
      <w:proofErr w:type="spellEnd"/>
      <w:r w:rsidRPr="00015AA7">
        <w:rPr>
          <w:rFonts w:ascii="Book Antiqua" w:hAnsi="Book Antiqua" w:cs="Times New Roman"/>
          <w:bCs/>
          <w:sz w:val="24"/>
          <w:szCs w:val="24"/>
          <w:lang w:val="en-GB"/>
        </w:rPr>
        <w:t>-induced acute pancreatitis</w:t>
      </w:r>
      <w:r w:rsidRPr="00015AA7" w:rsidDel="00633473">
        <w:rPr>
          <w:rFonts w:ascii="Book Antiqua" w:hAnsi="Book Antiqua" w:cs="Times New Roman"/>
          <w:bCs/>
          <w:sz w:val="24"/>
          <w:szCs w:val="24"/>
          <w:lang w:val="en-GB"/>
        </w:rPr>
        <w:t xml:space="preserve"> </w:t>
      </w:r>
    </w:p>
    <w:p w14:paraId="0534892B" w14:textId="77777777" w:rsidR="00AE1568" w:rsidRPr="00015AA7" w:rsidRDefault="00AE1568" w:rsidP="00AE1568">
      <w:pPr>
        <w:adjustRightInd w:val="0"/>
        <w:snapToGrid w:val="0"/>
        <w:spacing w:after="0" w:line="360" w:lineRule="auto"/>
        <w:jc w:val="both"/>
        <w:rPr>
          <w:rFonts w:ascii="Book Antiqua" w:hAnsi="Book Antiqua" w:cs="Times New Roman"/>
          <w:sz w:val="24"/>
          <w:szCs w:val="24"/>
          <w:lang w:val="en-GB"/>
        </w:rPr>
      </w:pPr>
    </w:p>
    <w:p w14:paraId="4B7EF88F" w14:textId="77777777" w:rsidR="00AE1568" w:rsidRPr="00015AA7" w:rsidRDefault="00AE1568" w:rsidP="00AE1568">
      <w:pPr>
        <w:adjustRightInd w:val="0"/>
        <w:snapToGrid w:val="0"/>
        <w:spacing w:after="0" w:line="360" w:lineRule="auto"/>
        <w:jc w:val="both"/>
        <w:rPr>
          <w:rFonts w:ascii="Book Antiqua" w:hAnsi="Book Antiqua" w:cs="Times New Roman"/>
          <w:sz w:val="24"/>
          <w:szCs w:val="24"/>
          <w:lang w:val="es-ES"/>
        </w:rPr>
      </w:pPr>
      <w:r w:rsidRPr="00015AA7">
        <w:rPr>
          <w:rFonts w:ascii="Book Antiqua" w:hAnsi="Book Antiqua" w:cs="Times New Roman"/>
          <w:sz w:val="24"/>
          <w:szCs w:val="24"/>
          <w:lang w:val="es-ES"/>
        </w:rPr>
        <w:t>Ana Ferrero-Andrés, Arnau Panisello-Roselló, Joan Roselló-Catafau, Emma Folch-Puy</w:t>
      </w:r>
    </w:p>
    <w:p w14:paraId="611259CB" w14:textId="77777777" w:rsidR="00AE1568" w:rsidRPr="00015AA7" w:rsidRDefault="00AE1568" w:rsidP="00AE1568">
      <w:pPr>
        <w:adjustRightInd w:val="0"/>
        <w:snapToGrid w:val="0"/>
        <w:spacing w:after="0" w:line="360" w:lineRule="auto"/>
        <w:jc w:val="both"/>
        <w:rPr>
          <w:rFonts w:ascii="Book Antiqua" w:hAnsi="Book Antiqua" w:cs="Times New Roman"/>
          <w:sz w:val="24"/>
          <w:szCs w:val="24"/>
          <w:lang w:val="es-ES"/>
        </w:rPr>
      </w:pPr>
    </w:p>
    <w:p w14:paraId="180BA467" w14:textId="77777777" w:rsidR="00AE1568" w:rsidRPr="00015AA7" w:rsidRDefault="00AE1568" w:rsidP="00AE1568">
      <w:pPr>
        <w:adjustRightInd w:val="0"/>
        <w:snapToGrid w:val="0"/>
        <w:spacing w:after="0" w:line="360" w:lineRule="auto"/>
        <w:jc w:val="both"/>
        <w:rPr>
          <w:rFonts w:ascii="Book Antiqua" w:hAnsi="Book Antiqua" w:cs="Times New Roman"/>
          <w:sz w:val="24"/>
          <w:szCs w:val="24"/>
          <w:lang w:val="es-ES"/>
        </w:rPr>
      </w:pPr>
      <w:r w:rsidRPr="00015AA7">
        <w:rPr>
          <w:rFonts w:ascii="Book Antiqua" w:hAnsi="Book Antiqua" w:cs="Times New Roman"/>
          <w:b/>
          <w:bCs/>
          <w:sz w:val="24"/>
          <w:szCs w:val="24"/>
          <w:lang w:val="es-ES"/>
        </w:rPr>
        <w:t>Ana Ferrero-Andrés, Arnau Panisello-Roselló</w:t>
      </w:r>
      <w:r w:rsidRPr="00015AA7">
        <w:rPr>
          <w:rFonts w:ascii="Book Antiqua" w:hAnsi="Book Antiqua" w:cs="Times New Roman"/>
          <w:sz w:val="24"/>
          <w:szCs w:val="24"/>
          <w:lang w:val="es-ES"/>
        </w:rPr>
        <w:t>, Experimental Pathology Department, Institut d'Investigacions Biomèdiques de Barcelona-Consejo Superior de Investi</w:t>
      </w:r>
      <w:r>
        <w:rPr>
          <w:rFonts w:ascii="Book Antiqua" w:hAnsi="Book Antiqua" w:cs="Times New Roman"/>
          <w:sz w:val="24"/>
          <w:szCs w:val="24"/>
          <w:lang w:val="es-ES"/>
        </w:rPr>
        <w:t>gaciones científicas, Barcelona</w:t>
      </w:r>
      <w:r w:rsidRPr="00015AA7">
        <w:rPr>
          <w:rFonts w:ascii="Book Antiqua" w:hAnsi="Book Antiqua" w:cs="Times New Roman"/>
          <w:sz w:val="24"/>
          <w:szCs w:val="24"/>
          <w:lang w:val="es-ES"/>
        </w:rPr>
        <w:t xml:space="preserve"> 08036</w:t>
      </w:r>
      <w:r>
        <w:rPr>
          <w:rFonts w:ascii="Book Antiqua" w:hAnsi="Book Antiqua" w:cs="Times New Roman" w:hint="eastAsia"/>
          <w:sz w:val="24"/>
          <w:szCs w:val="24"/>
          <w:lang w:val="es-ES" w:eastAsia="zh-CN"/>
        </w:rPr>
        <w:t>,</w:t>
      </w:r>
      <w:r w:rsidRPr="00015AA7">
        <w:rPr>
          <w:rFonts w:ascii="Book Antiqua" w:hAnsi="Book Antiqua" w:cs="Times New Roman"/>
          <w:sz w:val="24"/>
          <w:szCs w:val="24"/>
          <w:lang w:val="es-ES"/>
        </w:rPr>
        <w:t xml:space="preserve"> Catalonia, Spain</w:t>
      </w:r>
    </w:p>
    <w:p w14:paraId="11AECD3A" w14:textId="77777777" w:rsidR="00AE1568" w:rsidRPr="00015AA7" w:rsidRDefault="00AE1568" w:rsidP="00AE1568">
      <w:pPr>
        <w:adjustRightInd w:val="0"/>
        <w:snapToGrid w:val="0"/>
        <w:spacing w:after="0" w:line="360" w:lineRule="auto"/>
        <w:jc w:val="both"/>
        <w:rPr>
          <w:rFonts w:ascii="Book Antiqua" w:hAnsi="Book Antiqua" w:cs="Times New Roman"/>
          <w:b/>
          <w:bCs/>
          <w:sz w:val="24"/>
          <w:szCs w:val="24"/>
          <w:lang w:val="es-ES"/>
        </w:rPr>
      </w:pPr>
    </w:p>
    <w:p w14:paraId="7A03DA52" w14:textId="77777777" w:rsidR="00AE1568" w:rsidRPr="00015AA7" w:rsidRDefault="00AE1568" w:rsidP="00AE1568">
      <w:pPr>
        <w:adjustRightInd w:val="0"/>
        <w:snapToGrid w:val="0"/>
        <w:spacing w:after="0" w:line="360" w:lineRule="auto"/>
        <w:jc w:val="both"/>
        <w:rPr>
          <w:rFonts w:ascii="Book Antiqua" w:hAnsi="Book Antiqua" w:cs="Times New Roman"/>
          <w:sz w:val="24"/>
          <w:szCs w:val="24"/>
          <w:lang w:val="es-ES"/>
        </w:rPr>
      </w:pPr>
      <w:r w:rsidRPr="00015AA7">
        <w:rPr>
          <w:rFonts w:ascii="Book Antiqua" w:hAnsi="Book Antiqua" w:cs="Times New Roman"/>
          <w:b/>
          <w:bCs/>
          <w:sz w:val="24"/>
          <w:szCs w:val="24"/>
          <w:lang w:val="es-ES"/>
        </w:rPr>
        <w:t>Joan Roselló-Catafau, Emma Folch-Puy,</w:t>
      </w:r>
      <w:r w:rsidRPr="00015AA7">
        <w:rPr>
          <w:rFonts w:ascii="Book Antiqua" w:hAnsi="Book Antiqua" w:cs="Times New Roman"/>
          <w:sz w:val="24"/>
          <w:szCs w:val="24"/>
          <w:lang w:val="es-ES"/>
        </w:rPr>
        <w:t xml:space="preserve"> Experimental Pathology Department, Institut d'Investigacions Biomèdiques de Barcelona-Consejo Superior de Investigaciones científicas, Centro de Investigación Biomédica en Red de Enfermedades Hepáticas y Digestivas, Institut d'Investigacions Biomèdiques August Pi i Sunyer</w:t>
      </w:r>
      <w:r>
        <w:rPr>
          <w:rFonts w:ascii="Book Antiqua" w:hAnsi="Book Antiqua" w:cs="Times New Roman"/>
          <w:sz w:val="24"/>
          <w:szCs w:val="24"/>
          <w:lang w:val="es-ES"/>
        </w:rPr>
        <w:t>, Barcelona</w:t>
      </w:r>
      <w:r w:rsidRPr="00015AA7">
        <w:rPr>
          <w:rFonts w:ascii="Book Antiqua" w:hAnsi="Book Antiqua" w:cs="Times New Roman"/>
          <w:sz w:val="24"/>
          <w:szCs w:val="24"/>
          <w:lang w:val="es-ES"/>
        </w:rPr>
        <w:t xml:space="preserve"> 08036</w:t>
      </w:r>
      <w:r>
        <w:rPr>
          <w:rFonts w:ascii="Book Antiqua" w:hAnsi="Book Antiqua" w:cs="Times New Roman" w:hint="eastAsia"/>
          <w:sz w:val="24"/>
          <w:szCs w:val="24"/>
          <w:lang w:val="es-ES" w:eastAsia="zh-CN"/>
        </w:rPr>
        <w:t>,</w:t>
      </w:r>
      <w:r w:rsidRPr="00015AA7">
        <w:rPr>
          <w:rFonts w:ascii="Book Antiqua" w:hAnsi="Book Antiqua" w:cs="Times New Roman"/>
          <w:sz w:val="24"/>
          <w:szCs w:val="24"/>
          <w:lang w:val="es-ES"/>
        </w:rPr>
        <w:t xml:space="preserve"> Catalonia, Spain</w:t>
      </w:r>
    </w:p>
    <w:p w14:paraId="00DB7B19" w14:textId="77777777" w:rsidR="00AE1568" w:rsidRPr="00015AA7" w:rsidRDefault="00AE1568" w:rsidP="00AE1568">
      <w:pPr>
        <w:adjustRightInd w:val="0"/>
        <w:snapToGrid w:val="0"/>
        <w:spacing w:after="0" w:line="360" w:lineRule="auto"/>
        <w:jc w:val="both"/>
        <w:rPr>
          <w:rFonts w:ascii="Book Antiqua" w:hAnsi="Book Antiqua" w:cs="Times New Roman"/>
          <w:sz w:val="24"/>
          <w:szCs w:val="24"/>
          <w:lang w:val="es-ES"/>
        </w:rPr>
      </w:pPr>
    </w:p>
    <w:p w14:paraId="7F0E1292" w14:textId="0763FD23" w:rsidR="00AE1568" w:rsidRPr="00015AA7" w:rsidRDefault="00AE1568" w:rsidP="00AE1568">
      <w:pPr>
        <w:adjustRightInd w:val="0"/>
        <w:snapToGrid w:val="0"/>
        <w:spacing w:after="0" w:line="360" w:lineRule="auto"/>
        <w:jc w:val="both"/>
        <w:rPr>
          <w:rFonts w:ascii="Book Antiqua" w:hAnsi="Book Antiqua" w:cs="Times New Roman"/>
          <w:sz w:val="24"/>
          <w:szCs w:val="24"/>
          <w:lang w:val="en-GB"/>
        </w:rPr>
      </w:pPr>
      <w:r w:rsidRPr="00015AA7">
        <w:rPr>
          <w:rFonts w:ascii="Book Antiqua" w:hAnsi="Book Antiqua" w:cs="Times New Roman"/>
          <w:b/>
          <w:bCs/>
          <w:sz w:val="24"/>
          <w:szCs w:val="24"/>
          <w:lang w:val="en-GB"/>
        </w:rPr>
        <w:t>Author contributions</w:t>
      </w:r>
      <w:r w:rsidRPr="00015AA7">
        <w:rPr>
          <w:rFonts w:ascii="Book Antiqua" w:hAnsi="Book Antiqua" w:cs="Times New Roman"/>
          <w:sz w:val="24"/>
          <w:szCs w:val="24"/>
          <w:lang w:val="en-GB"/>
        </w:rPr>
        <w:t xml:space="preserve">: </w:t>
      </w:r>
      <w:proofErr w:type="spellStart"/>
      <w:r w:rsidRPr="00015AA7">
        <w:rPr>
          <w:rFonts w:ascii="Book Antiqua" w:hAnsi="Book Antiqua" w:cs="Times New Roman"/>
          <w:sz w:val="24"/>
          <w:szCs w:val="24"/>
          <w:lang w:val="en-GB"/>
        </w:rPr>
        <w:t>Roselló-Catafau</w:t>
      </w:r>
      <w:proofErr w:type="spellEnd"/>
      <w:r w:rsidRPr="00015AA7">
        <w:rPr>
          <w:rFonts w:ascii="Book Antiqua" w:hAnsi="Book Antiqua" w:cs="Times New Roman"/>
          <w:sz w:val="24"/>
          <w:szCs w:val="24"/>
          <w:lang w:val="en-GB"/>
        </w:rPr>
        <w:t xml:space="preserve"> J and </w:t>
      </w:r>
      <w:proofErr w:type="spellStart"/>
      <w:r w:rsidRPr="00015AA7">
        <w:rPr>
          <w:rFonts w:ascii="Book Antiqua" w:hAnsi="Book Antiqua" w:cs="Times New Roman"/>
          <w:sz w:val="24"/>
          <w:szCs w:val="24"/>
          <w:lang w:val="en-GB"/>
        </w:rPr>
        <w:t>Folch-Puy</w:t>
      </w:r>
      <w:proofErr w:type="spellEnd"/>
      <w:r w:rsidRPr="00015AA7">
        <w:rPr>
          <w:rFonts w:ascii="Book Antiqua" w:hAnsi="Book Antiqua" w:cs="Times New Roman"/>
          <w:sz w:val="24"/>
          <w:szCs w:val="24"/>
          <w:lang w:val="en-GB"/>
        </w:rPr>
        <w:t xml:space="preserve"> E designed the study; </w:t>
      </w:r>
      <w:proofErr w:type="spellStart"/>
      <w:r w:rsidRPr="00015AA7">
        <w:rPr>
          <w:rFonts w:ascii="Book Antiqua" w:hAnsi="Book Antiqua" w:cs="Times New Roman"/>
          <w:sz w:val="24"/>
          <w:szCs w:val="24"/>
          <w:lang w:val="en-GB"/>
        </w:rPr>
        <w:t>Folch-Puy</w:t>
      </w:r>
      <w:proofErr w:type="spellEnd"/>
      <w:r w:rsidRPr="00015AA7">
        <w:rPr>
          <w:rFonts w:ascii="Book Antiqua" w:hAnsi="Book Antiqua" w:cs="Times New Roman"/>
          <w:sz w:val="24"/>
          <w:szCs w:val="24"/>
          <w:lang w:val="en-GB"/>
        </w:rPr>
        <w:t xml:space="preserve"> E coordinated the study; Ferrero-Andrés A and </w:t>
      </w:r>
      <w:proofErr w:type="spellStart"/>
      <w:r w:rsidRPr="00015AA7">
        <w:rPr>
          <w:rFonts w:ascii="Book Antiqua" w:hAnsi="Book Antiqua" w:cs="Times New Roman"/>
          <w:sz w:val="24"/>
          <w:szCs w:val="24"/>
          <w:lang w:val="en-GB"/>
        </w:rPr>
        <w:t>Panisello-Roselló</w:t>
      </w:r>
      <w:proofErr w:type="spellEnd"/>
      <w:r w:rsidRPr="00015AA7">
        <w:rPr>
          <w:rFonts w:ascii="Book Antiqua" w:hAnsi="Book Antiqua" w:cs="Times New Roman"/>
          <w:sz w:val="24"/>
          <w:szCs w:val="24"/>
          <w:lang w:val="en-GB"/>
        </w:rPr>
        <w:t xml:space="preserve"> A performed the experiments and acquired and analysed data; Ferrero-Andrés A and </w:t>
      </w:r>
      <w:proofErr w:type="spellStart"/>
      <w:r w:rsidRPr="00015AA7">
        <w:rPr>
          <w:rFonts w:ascii="Book Antiqua" w:hAnsi="Book Antiqua" w:cs="Times New Roman"/>
          <w:sz w:val="24"/>
          <w:szCs w:val="24"/>
          <w:lang w:val="en-GB"/>
        </w:rPr>
        <w:t>Folch-Puy</w:t>
      </w:r>
      <w:proofErr w:type="spellEnd"/>
      <w:r w:rsidRPr="00015AA7">
        <w:rPr>
          <w:rFonts w:ascii="Book Antiqua" w:hAnsi="Book Antiqua" w:cs="Times New Roman"/>
          <w:sz w:val="24"/>
          <w:szCs w:val="24"/>
          <w:lang w:val="en-GB"/>
        </w:rPr>
        <w:t xml:space="preserve"> E interpreted the data; Ferrero-Andrés A and </w:t>
      </w:r>
      <w:proofErr w:type="spellStart"/>
      <w:r w:rsidRPr="00015AA7">
        <w:rPr>
          <w:rFonts w:ascii="Book Antiqua" w:hAnsi="Book Antiqua" w:cs="Times New Roman"/>
          <w:sz w:val="24"/>
          <w:szCs w:val="24"/>
          <w:lang w:val="en-GB"/>
        </w:rPr>
        <w:t>Folch-Puy</w:t>
      </w:r>
      <w:proofErr w:type="spellEnd"/>
      <w:r w:rsidRPr="00015AA7">
        <w:rPr>
          <w:rFonts w:ascii="Book Antiqua" w:hAnsi="Book Antiqua" w:cs="Times New Roman"/>
          <w:sz w:val="24"/>
          <w:szCs w:val="24"/>
          <w:lang w:val="en-GB"/>
        </w:rPr>
        <w:t xml:space="preserve"> E wrote the original draft of the manuscript; Ferrero-Andrés A, </w:t>
      </w:r>
      <w:proofErr w:type="spellStart"/>
      <w:r w:rsidRPr="00015AA7">
        <w:rPr>
          <w:rFonts w:ascii="Book Antiqua" w:hAnsi="Book Antiqua" w:cs="Times New Roman"/>
          <w:sz w:val="24"/>
          <w:szCs w:val="24"/>
          <w:lang w:val="en-GB"/>
        </w:rPr>
        <w:t>Panisello-Roselló</w:t>
      </w:r>
      <w:proofErr w:type="spellEnd"/>
      <w:r w:rsidRPr="00015AA7">
        <w:rPr>
          <w:rFonts w:ascii="Book Antiqua" w:hAnsi="Book Antiqua" w:cs="Times New Roman"/>
          <w:sz w:val="24"/>
          <w:szCs w:val="24"/>
          <w:lang w:val="en-GB"/>
        </w:rPr>
        <w:t xml:space="preserve"> A, </w:t>
      </w:r>
      <w:proofErr w:type="spellStart"/>
      <w:r w:rsidRPr="00015AA7">
        <w:rPr>
          <w:rFonts w:ascii="Book Antiqua" w:hAnsi="Book Antiqua" w:cs="Times New Roman"/>
          <w:sz w:val="24"/>
          <w:szCs w:val="24"/>
          <w:lang w:val="en-GB"/>
        </w:rPr>
        <w:t>Roselló-Catafau</w:t>
      </w:r>
      <w:proofErr w:type="spellEnd"/>
      <w:r w:rsidRPr="00015AA7">
        <w:rPr>
          <w:rFonts w:ascii="Book Antiqua" w:hAnsi="Book Antiqua" w:cs="Times New Roman"/>
          <w:sz w:val="24"/>
          <w:szCs w:val="24"/>
          <w:lang w:val="en-GB"/>
        </w:rPr>
        <w:t xml:space="preserve"> J and </w:t>
      </w:r>
      <w:proofErr w:type="spellStart"/>
      <w:r w:rsidRPr="00015AA7">
        <w:rPr>
          <w:rFonts w:ascii="Book Antiqua" w:hAnsi="Book Antiqua" w:cs="Times New Roman"/>
          <w:sz w:val="24"/>
          <w:szCs w:val="24"/>
          <w:lang w:val="en-GB"/>
        </w:rPr>
        <w:t>Folch-Puy</w:t>
      </w:r>
      <w:proofErr w:type="spellEnd"/>
      <w:r w:rsidRPr="00015AA7">
        <w:rPr>
          <w:rFonts w:ascii="Book Antiqua" w:hAnsi="Book Antiqua" w:cs="Times New Roman"/>
          <w:sz w:val="24"/>
          <w:szCs w:val="24"/>
          <w:lang w:val="en-GB"/>
        </w:rPr>
        <w:t xml:space="preserve"> E reviewed and edited the manuscript</w:t>
      </w:r>
      <w:r w:rsidR="00EA0AF5">
        <w:rPr>
          <w:rFonts w:ascii="Book Antiqua" w:hAnsi="Book Antiqua" w:cs="Times New Roman"/>
          <w:sz w:val="24"/>
          <w:szCs w:val="24"/>
          <w:lang w:val="en-GB"/>
        </w:rPr>
        <w:t xml:space="preserve">; </w:t>
      </w:r>
      <w:r w:rsidR="00EA0AF5" w:rsidRPr="00015AA7">
        <w:rPr>
          <w:rFonts w:ascii="Book Antiqua" w:hAnsi="Book Antiqua" w:cs="Times New Roman"/>
          <w:sz w:val="24"/>
          <w:szCs w:val="24"/>
          <w:lang w:val="en-GB"/>
        </w:rPr>
        <w:t>a</w:t>
      </w:r>
      <w:r w:rsidRPr="00015AA7">
        <w:rPr>
          <w:rFonts w:ascii="Book Antiqua" w:hAnsi="Book Antiqua" w:cs="Times New Roman"/>
          <w:sz w:val="24"/>
          <w:szCs w:val="24"/>
          <w:lang w:val="en-GB"/>
        </w:rPr>
        <w:t>ll authors approved the final version of the article.</w:t>
      </w:r>
    </w:p>
    <w:p w14:paraId="59EB567C" w14:textId="77777777" w:rsidR="00AE1568" w:rsidRDefault="00AE1568" w:rsidP="00AE1568">
      <w:pPr>
        <w:adjustRightInd w:val="0"/>
        <w:snapToGrid w:val="0"/>
        <w:spacing w:after="0" w:line="360" w:lineRule="auto"/>
        <w:jc w:val="both"/>
        <w:rPr>
          <w:rFonts w:ascii="Book Antiqua" w:hAnsi="Book Antiqua" w:cs="Times New Roman"/>
          <w:b/>
          <w:bCs/>
          <w:sz w:val="24"/>
          <w:szCs w:val="24"/>
          <w:lang w:val="en-GB" w:eastAsia="zh-CN"/>
        </w:rPr>
      </w:pPr>
    </w:p>
    <w:p w14:paraId="3461CA8F" w14:textId="77777777" w:rsidR="00AE1568" w:rsidRPr="00DB7B81" w:rsidRDefault="00AE1568" w:rsidP="00AE1568">
      <w:pPr>
        <w:adjustRightInd w:val="0"/>
        <w:snapToGrid w:val="0"/>
        <w:spacing w:after="0" w:line="360" w:lineRule="auto"/>
        <w:jc w:val="both"/>
        <w:rPr>
          <w:rFonts w:ascii="Book Antiqua" w:hAnsi="Book Antiqua" w:cs="Times New Roman"/>
          <w:b/>
          <w:bCs/>
          <w:sz w:val="24"/>
          <w:szCs w:val="24"/>
          <w:lang w:val="es-ES" w:eastAsia="zh-CN"/>
        </w:rPr>
      </w:pPr>
      <w:r w:rsidRPr="00DB7B81">
        <w:rPr>
          <w:rFonts w:ascii="Book Antiqua" w:hAnsi="Book Antiqua" w:cs="Times New Roman"/>
          <w:b/>
          <w:bCs/>
          <w:sz w:val="24"/>
          <w:szCs w:val="24"/>
          <w:lang w:val="es-ES" w:eastAsia="zh-CN"/>
        </w:rPr>
        <w:lastRenderedPageBreak/>
        <w:t>Support by</w:t>
      </w:r>
      <w:r w:rsidRPr="00DB7B81">
        <w:rPr>
          <w:rFonts w:ascii="Book Antiqua" w:hAnsi="Book Antiqua" w:cs="Times New Roman"/>
          <w:bCs/>
          <w:sz w:val="24"/>
          <w:szCs w:val="24"/>
          <w:lang w:val="es-ES" w:eastAsia="zh-CN"/>
        </w:rPr>
        <w:t xml:space="preserve"> the grant from Ministerio de Ciencia e Innovación, No. PID2019-104130RB-I00.</w:t>
      </w:r>
    </w:p>
    <w:p w14:paraId="26A49EED" w14:textId="77777777" w:rsidR="00AE1568" w:rsidRPr="00DB7B81" w:rsidRDefault="00AE1568" w:rsidP="00AE1568">
      <w:pPr>
        <w:adjustRightInd w:val="0"/>
        <w:snapToGrid w:val="0"/>
        <w:spacing w:after="0" w:line="360" w:lineRule="auto"/>
        <w:jc w:val="both"/>
        <w:rPr>
          <w:rFonts w:ascii="Book Antiqua" w:hAnsi="Book Antiqua" w:cs="Times New Roman"/>
          <w:b/>
          <w:bCs/>
          <w:sz w:val="24"/>
          <w:szCs w:val="24"/>
          <w:lang w:val="es-ES" w:eastAsia="zh-CN"/>
        </w:rPr>
      </w:pPr>
    </w:p>
    <w:p w14:paraId="1471AECF" w14:textId="77777777" w:rsidR="00AE1568" w:rsidRPr="00015AA7" w:rsidRDefault="00AE1568" w:rsidP="00AE1568">
      <w:pPr>
        <w:adjustRightInd w:val="0"/>
        <w:snapToGrid w:val="0"/>
        <w:spacing w:after="0" w:line="360" w:lineRule="auto"/>
        <w:jc w:val="both"/>
        <w:rPr>
          <w:rFonts w:ascii="Book Antiqua" w:hAnsi="Book Antiqua" w:cs="Times New Roman"/>
          <w:sz w:val="24"/>
          <w:szCs w:val="24"/>
          <w:lang w:val="en-GB" w:eastAsia="zh-CN"/>
        </w:rPr>
      </w:pPr>
      <w:r w:rsidRPr="00DB7B81">
        <w:rPr>
          <w:rFonts w:ascii="Book Antiqua" w:hAnsi="Book Antiqua" w:cs="Times New Roman"/>
          <w:b/>
          <w:bCs/>
          <w:sz w:val="24"/>
          <w:szCs w:val="24"/>
          <w:lang w:val="es-ES"/>
        </w:rPr>
        <w:t>Corresponding Author:</w:t>
      </w:r>
      <w:r w:rsidRPr="00DB7B81">
        <w:rPr>
          <w:rFonts w:ascii="Book Antiqua" w:hAnsi="Book Antiqua" w:cs="Times New Roman"/>
          <w:sz w:val="24"/>
          <w:szCs w:val="24"/>
          <w:lang w:val="es-ES"/>
        </w:rPr>
        <w:t xml:space="preserve"> </w:t>
      </w:r>
      <w:r w:rsidRPr="00DB7B81">
        <w:rPr>
          <w:rFonts w:ascii="Book Antiqua" w:hAnsi="Book Antiqua" w:cs="Times New Roman"/>
          <w:b/>
          <w:bCs/>
          <w:sz w:val="24"/>
          <w:szCs w:val="24"/>
          <w:lang w:val="es-ES"/>
        </w:rPr>
        <w:t>Emma Folch-Puy, PhD, Senior Scientist,</w:t>
      </w:r>
      <w:r w:rsidRPr="00DB7B81">
        <w:rPr>
          <w:rFonts w:ascii="Book Antiqua" w:hAnsi="Book Antiqua" w:cs="Times New Roman"/>
          <w:sz w:val="24"/>
          <w:szCs w:val="24"/>
          <w:lang w:val="es-ES"/>
        </w:rPr>
        <w:t xml:space="preserve"> Experimental Pathology Department, Institut d'Investigacions Biomèdiques de Barcelona-Consejo Superior de Investigaciones científicas, Centro de Investigación Biomédica en Red de Enfermedades Hepáticas y Digestivas, Institut d'Investigacions Biomèdiques August Pi i Sunyer</w:t>
      </w:r>
      <w:r w:rsidRPr="00DB7B81">
        <w:rPr>
          <w:rFonts w:ascii="Book Antiqua" w:hAnsi="Book Antiqua" w:cs="Times New Roman"/>
          <w:sz w:val="24"/>
          <w:szCs w:val="24"/>
          <w:lang w:val="es-ES" w:eastAsia="zh-CN"/>
        </w:rPr>
        <w:t>,</w:t>
      </w:r>
      <w:r w:rsidRPr="00DB7B81">
        <w:rPr>
          <w:rFonts w:ascii="Book Antiqua" w:hAnsi="Book Antiqua" w:cs="Times New Roman"/>
          <w:sz w:val="24"/>
          <w:szCs w:val="24"/>
          <w:lang w:val="es-ES"/>
        </w:rPr>
        <w:t xml:space="preserve"> C/Roselló 161, Barcelona</w:t>
      </w:r>
      <w:r w:rsidRPr="00DB7B81">
        <w:rPr>
          <w:rFonts w:ascii="Book Antiqua" w:hAnsi="Book Antiqua" w:cs="Times New Roman"/>
          <w:sz w:val="24"/>
          <w:szCs w:val="24"/>
          <w:lang w:val="es-ES" w:eastAsia="zh-CN"/>
        </w:rPr>
        <w:t xml:space="preserve"> </w:t>
      </w:r>
      <w:r w:rsidRPr="00DB7B81">
        <w:rPr>
          <w:rFonts w:ascii="Book Antiqua" w:hAnsi="Book Antiqua" w:cs="Times New Roman"/>
          <w:sz w:val="24"/>
          <w:szCs w:val="24"/>
          <w:lang w:val="es-ES"/>
        </w:rPr>
        <w:t>08036,</w:t>
      </w:r>
      <w:r w:rsidRPr="00B92AA5">
        <w:rPr>
          <w:rFonts w:ascii="Book Antiqua" w:hAnsi="Book Antiqua" w:cs="Times New Roman"/>
          <w:sz w:val="24"/>
          <w:szCs w:val="24"/>
          <w:lang w:val="es-ES"/>
        </w:rPr>
        <w:t xml:space="preserve"> </w:t>
      </w:r>
      <w:r w:rsidRPr="00015AA7">
        <w:rPr>
          <w:rFonts w:ascii="Book Antiqua" w:hAnsi="Book Antiqua" w:cs="Times New Roman"/>
          <w:sz w:val="24"/>
          <w:szCs w:val="24"/>
          <w:lang w:val="es-ES"/>
        </w:rPr>
        <w:t>Catalonia,</w:t>
      </w:r>
      <w:r w:rsidRPr="00DB7B81">
        <w:rPr>
          <w:rFonts w:ascii="Book Antiqua" w:hAnsi="Book Antiqua" w:cs="Times New Roman"/>
          <w:sz w:val="24"/>
          <w:szCs w:val="24"/>
          <w:lang w:val="es-ES"/>
        </w:rPr>
        <w:t xml:space="preserve"> Spain. </w:t>
      </w:r>
      <w:hyperlink r:id="rId9" w:history="1">
        <w:r w:rsidRPr="00015AA7">
          <w:rPr>
            <w:rStyle w:val="a7"/>
            <w:rFonts w:ascii="Book Antiqua" w:hAnsi="Book Antiqua" w:cs="Times New Roman"/>
            <w:sz w:val="24"/>
            <w:szCs w:val="24"/>
            <w:lang w:val="en-GB"/>
          </w:rPr>
          <w:t>emma.folch@iibb.csic.es</w:t>
        </w:r>
      </w:hyperlink>
    </w:p>
    <w:p w14:paraId="684C0454" w14:textId="77777777" w:rsidR="00AE1568" w:rsidRDefault="00AE1568" w:rsidP="00AE1568">
      <w:pPr>
        <w:adjustRightInd w:val="0"/>
        <w:snapToGrid w:val="0"/>
        <w:spacing w:after="0" w:line="360" w:lineRule="auto"/>
        <w:jc w:val="both"/>
        <w:rPr>
          <w:rFonts w:ascii="Book Antiqua" w:hAnsi="Book Antiqua" w:cs="Times New Roman"/>
          <w:b/>
          <w:sz w:val="24"/>
          <w:szCs w:val="24"/>
          <w:lang w:val="en-GB" w:eastAsia="zh-CN"/>
        </w:rPr>
      </w:pPr>
    </w:p>
    <w:p w14:paraId="474EEF25" w14:textId="77777777" w:rsidR="00AE1568" w:rsidRPr="00127734" w:rsidRDefault="00AE1568" w:rsidP="00AE1568">
      <w:pPr>
        <w:widowControl w:val="0"/>
        <w:adjustRightInd w:val="0"/>
        <w:snapToGrid w:val="0"/>
        <w:spacing w:after="0" w:line="360" w:lineRule="auto"/>
        <w:jc w:val="both"/>
        <w:rPr>
          <w:rFonts w:ascii="Book Antiqua" w:eastAsia="宋体" w:hAnsi="Book Antiqua" w:cs="Times New Roman"/>
          <w:kern w:val="2"/>
          <w:sz w:val="24"/>
          <w:szCs w:val="24"/>
          <w:lang w:eastAsia="zh-CN"/>
        </w:rPr>
      </w:pPr>
      <w:bookmarkStart w:id="1" w:name="OLE_LINK75"/>
      <w:bookmarkStart w:id="2" w:name="OLE_LINK76"/>
      <w:bookmarkStart w:id="3" w:name="OLE_LINK269"/>
      <w:bookmarkStart w:id="4" w:name="OLE_LINK239"/>
      <w:r w:rsidRPr="00127734">
        <w:rPr>
          <w:rFonts w:ascii="Book Antiqua" w:eastAsia="宋体" w:hAnsi="Book Antiqua" w:cs="Times New Roman"/>
          <w:b/>
          <w:kern w:val="2"/>
          <w:sz w:val="24"/>
          <w:szCs w:val="24"/>
          <w:lang w:eastAsia="zh-CN"/>
        </w:rPr>
        <w:t xml:space="preserve">Received: </w:t>
      </w:r>
      <w:r>
        <w:rPr>
          <w:rFonts w:ascii="Book Antiqua" w:eastAsia="宋体" w:hAnsi="Book Antiqua" w:cs="Times New Roman" w:hint="eastAsia"/>
          <w:kern w:val="2"/>
          <w:sz w:val="24"/>
          <w:szCs w:val="24"/>
          <w:lang w:eastAsia="zh-CN"/>
        </w:rPr>
        <w:t>July</w:t>
      </w:r>
      <w:r>
        <w:rPr>
          <w:rFonts w:ascii="Book Antiqua" w:eastAsia="宋体" w:hAnsi="Book Antiqua" w:cs="Times New Roman"/>
          <w:kern w:val="2"/>
          <w:sz w:val="24"/>
          <w:szCs w:val="24"/>
          <w:lang w:eastAsia="zh-CN"/>
        </w:rPr>
        <w:t xml:space="preserve"> 21, 2020</w:t>
      </w:r>
    </w:p>
    <w:p w14:paraId="3A39361C" w14:textId="77777777" w:rsidR="00AE1568" w:rsidRPr="00127734" w:rsidRDefault="00AE1568" w:rsidP="00AE1568">
      <w:pPr>
        <w:widowControl w:val="0"/>
        <w:adjustRightInd w:val="0"/>
        <w:snapToGrid w:val="0"/>
        <w:spacing w:after="0" w:line="360" w:lineRule="auto"/>
        <w:jc w:val="both"/>
        <w:rPr>
          <w:rFonts w:ascii="Book Antiqua" w:eastAsia="宋体" w:hAnsi="Book Antiqua" w:cs="Times New Roman"/>
          <w:b/>
          <w:kern w:val="2"/>
          <w:sz w:val="24"/>
          <w:szCs w:val="24"/>
          <w:lang w:eastAsia="zh-CN"/>
        </w:rPr>
      </w:pPr>
      <w:r w:rsidRPr="00127734">
        <w:rPr>
          <w:rFonts w:ascii="Book Antiqua" w:eastAsia="宋体" w:hAnsi="Book Antiqua" w:cs="Times New Roman"/>
          <w:b/>
          <w:kern w:val="2"/>
          <w:sz w:val="24"/>
          <w:szCs w:val="24"/>
          <w:lang w:eastAsia="zh-CN"/>
        </w:rPr>
        <w:t xml:space="preserve">Revised: </w:t>
      </w:r>
      <w:r>
        <w:rPr>
          <w:rFonts w:ascii="Book Antiqua" w:eastAsia="宋体" w:hAnsi="Book Antiqua" w:cs="Times New Roman" w:hint="eastAsia"/>
          <w:kern w:val="2"/>
          <w:sz w:val="24"/>
          <w:szCs w:val="24"/>
          <w:lang w:eastAsia="zh-CN"/>
        </w:rPr>
        <w:t>August</w:t>
      </w:r>
      <w:r>
        <w:rPr>
          <w:rFonts w:ascii="Book Antiqua" w:eastAsia="宋体" w:hAnsi="Book Antiqua" w:cs="Times New Roman"/>
          <w:kern w:val="2"/>
          <w:sz w:val="24"/>
          <w:szCs w:val="24"/>
          <w:lang w:eastAsia="zh-CN"/>
        </w:rPr>
        <w:t xml:space="preserve"> 12, 2020</w:t>
      </w:r>
    </w:p>
    <w:p w14:paraId="3FDD9794" w14:textId="6F094B08" w:rsidR="00AE1568" w:rsidRPr="00127734" w:rsidRDefault="00AE1568" w:rsidP="00AE1568">
      <w:pPr>
        <w:widowControl w:val="0"/>
        <w:adjustRightInd w:val="0"/>
        <w:snapToGrid w:val="0"/>
        <w:spacing w:after="0" w:line="360" w:lineRule="auto"/>
        <w:jc w:val="both"/>
        <w:rPr>
          <w:rFonts w:ascii="Book Antiqua" w:eastAsia="宋体" w:hAnsi="Book Antiqua" w:cs="Times New Roman"/>
          <w:color w:val="000000"/>
          <w:kern w:val="2"/>
          <w:sz w:val="24"/>
          <w:szCs w:val="24"/>
          <w:lang w:eastAsia="zh-CN"/>
        </w:rPr>
      </w:pPr>
      <w:r w:rsidRPr="00127734">
        <w:rPr>
          <w:rFonts w:ascii="Book Antiqua" w:eastAsia="宋体" w:hAnsi="Book Antiqua" w:cs="Times New Roman"/>
          <w:b/>
          <w:kern w:val="2"/>
          <w:sz w:val="24"/>
          <w:szCs w:val="24"/>
          <w:lang w:eastAsia="zh-CN"/>
        </w:rPr>
        <w:t>Accepted:</w:t>
      </w:r>
      <w:r w:rsidRPr="00127734">
        <w:rPr>
          <w:rFonts w:ascii="Book Antiqua" w:eastAsia="宋体" w:hAnsi="Book Antiqua" w:cs="Times New Roman"/>
          <w:sz w:val="24"/>
          <w:szCs w:val="24"/>
        </w:rPr>
        <w:t xml:space="preserve"> </w:t>
      </w:r>
      <w:r w:rsidR="001404E7" w:rsidRPr="001404E7">
        <w:rPr>
          <w:rFonts w:ascii="Book Antiqua" w:eastAsia="宋体" w:hAnsi="Book Antiqua" w:cs="Times New Roman"/>
          <w:sz w:val="24"/>
          <w:szCs w:val="24"/>
        </w:rPr>
        <w:t>September 12, 2020</w:t>
      </w:r>
    </w:p>
    <w:p w14:paraId="330CE694" w14:textId="6337B11E" w:rsidR="00AE1568" w:rsidRPr="00127734" w:rsidRDefault="00AE1568" w:rsidP="00AE1568">
      <w:pPr>
        <w:widowControl w:val="0"/>
        <w:adjustRightInd w:val="0"/>
        <w:snapToGrid w:val="0"/>
        <w:spacing w:after="0" w:line="360" w:lineRule="auto"/>
        <w:jc w:val="both"/>
        <w:rPr>
          <w:rFonts w:ascii="Book Antiqua" w:eastAsia="宋体" w:hAnsi="Book Antiqua" w:cs="Times New Roman"/>
          <w:b/>
          <w:kern w:val="2"/>
          <w:sz w:val="24"/>
          <w:szCs w:val="24"/>
          <w:lang w:eastAsia="zh-CN"/>
        </w:rPr>
      </w:pPr>
      <w:r w:rsidRPr="00127734">
        <w:rPr>
          <w:rFonts w:ascii="Book Antiqua" w:eastAsia="宋体" w:hAnsi="Book Antiqua" w:cs="Times New Roman"/>
          <w:b/>
          <w:kern w:val="2"/>
          <w:sz w:val="24"/>
          <w:szCs w:val="24"/>
          <w:lang w:eastAsia="zh-CN"/>
        </w:rPr>
        <w:t>Published online:</w:t>
      </w:r>
      <w:bookmarkEnd w:id="1"/>
      <w:bookmarkEnd w:id="2"/>
      <w:bookmarkEnd w:id="3"/>
      <w:bookmarkEnd w:id="4"/>
      <w:r w:rsidR="00D93654">
        <w:rPr>
          <w:rFonts w:ascii="Book Antiqua" w:eastAsia="宋体" w:hAnsi="Book Antiqua" w:cs="Times New Roman" w:hint="eastAsia"/>
          <w:b/>
          <w:kern w:val="2"/>
          <w:sz w:val="24"/>
          <w:szCs w:val="24"/>
          <w:lang w:eastAsia="zh-CN"/>
        </w:rPr>
        <w:t xml:space="preserve"> </w:t>
      </w:r>
      <w:r w:rsidR="00D93654" w:rsidRPr="00D93654">
        <w:rPr>
          <w:rFonts w:ascii="Book Antiqua" w:eastAsia="宋体" w:hAnsi="Book Antiqua" w:cs="Times New Roman" w:hint="eastAsia"/>
          <w:kern w:val="2"/>
          <w:sz w:val="24"/>
          <w:szCs w:val="24"/>
          <w:lang w:eastAsia="zh-CN"/>
        </w:rPr>
        <w:t>October 21, 2020</w:t>
      </w:r>
    </w:p>
    <w:bookmarkEnd w:id="0"/>
    <w:p w14:paraId="31AE35EF" w14:textId="77777777" w:rsidR="000E3BD2" w:rsidRPr="007832ED" w:rsidRDefault="000E3BD2" w:rsidP="00B8567E">
      <w:pPr>
        <w:spacing w:line="360" w:lineRule="auto"/>
        <w:contextualSpacing/>
        <w:jc w:val="both"/>
        <w:rPr>
          <w:rFonts w:ascii="Book Antiqua" w:hAnsi="Book Antiqua" w:cs="Times New Roman"/>
          <w:sz w:val="24"/>
          <w:szCs w:val="24"/>
          <w:lang w:val="en-GB"/>
        </w:rPr>
      </w:pPr>
    </w:p>
    <w:p w14:paraId="0357E872" w14:textId="3552F74F" w:rsidR="004150F0" w:rsidRPr="00CF5C7B" w:rsidRDefault="00D4158B" w:rsidP="00B8567E">
      <w:pPr>
        <w:spacing w:line="360" w:lineRule="auto"/>
        <w:contextualSpacing/>
        <w:jc w:val="both"/>
        <w:rPr>
          <w:rFonts w:ascii="Book Antiqua" w:hAnsi="Book Antiqua" w:cs="Times New Roman"/>
          <w:b/>
          <w:sz w:val="24"/>
          <w:szCs w:val="24"/>
          <w:lang w:val="en-GB"/>
        </w:rPr>
      </w:pPr>
      <w:r w:rsidRPr="007832ED">
        <w:rPr>
          <w:rFonts w:ascii="Book Antiqua" w:hAnsi="Book Antiqua" w:cs="Times New Roman"/>
          <w:b/>
          <w:sz w:val="24"/>
          <w:szCs w:val="24"/>
          <w:lang w:val="en-GB"/>
        </w:rPr>
        <w:br w:type="page"/>
      </w:r>
      <w:r w:rsidR="00880369" w:rsidRPr="00CF5C7B">
        <w:rPr>
          <w:rFonts w:ascii="Book Antiqua" w:hAnsi="Book Antiqua" w:cs="Times New Roman"/>
          <w:b/>
          <w:sz w:val="24"/>
          <w:szCs w:val="24"/>
          <w:lang w:val="en-GB"/>
        </w:rPr>
        <w:lastRenderedPageBreak/>
        <w:t>Abstract</w:t>
      </w:r>
    </w:p>
    <w:p w14:paraId="6EA49529" w14:textId="77777777" w:rsidR="0006327B" w:rsidRPr="00C67AD0" w:rsidRDefault="0006327B" w:rsidP="00B8567E">
      <w:pPr>
        <w:spacing w:line="360" w:lineRule="auto"/>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BACKGROUND </w:t>
      </w:r>
    </w:p>
    <w:p w14:paraId="5B74D31D" w14:textId="66BB4B6E" w:rsidR="0006327B" w:rsidRPr="00C67AD0" w:rsidRDefault="006F2F7F" w:rsidP="00957ECB">
      <w:pPr>
        <w:spacing w:line="360" w:lineRule="auto"/>
        <w:contextualSpacing/>
        <w:jc w:val="both"/>
        <w:rPr>
          <w:rFonts w:ascii="Book Antiqua" w:hAnsi="Book Antiqua" w:cs="Times New Roman"/>
          <w:b/>
          <w:sz w:val="24"/>
          <w:szCs w:val="24"/>
          <w:lang w:val="en-GB"/>
        </w:rPr>
      </w:pPr>
      <w:r w:rsidRPr="00C67AD0">
        <w:rPr>
          <w:rFonts w:ascii="Book Antiqua" w:hAnsi="Book Antiqua" w:cs="Times New Roman"/>
          <w:sz w:val="24"/>
          <w:szCs w:val="24"/>
          <w:lang w:val="en-GB"/>
        </w:rPr>
        <w:t xml:space="preserve">Acute pancreatitis </w:t>
      </w:r>
      <w:r w:rsidR="00C566DA" w:rsidRPr="00C67AD0">
        <w:rPr>
          <w:rFonts w:ascii="Book Antiqua" w:hAnsi="Book Antiqua" w:cs="Times New Roman"/>
          <w:sz w:val="24"/>
          <w:szCs w:val="24"/>
          <w:lang w:val="en-GB"/>
        </w:rPr>
        <w:t xml:space="preserve">(AP) </w:t>
      </w:r>
      <w:r w:rsidRPr="00C67AD0">
        <w:rPr>
          <w:rFonts w:ascii="Book Antiqua" w:hAnsi="Book Antiqua" w:cs="Times New Roman"/>
          <w:sz w:val="24"/>
          <w:szCs w:val="24"/>
          <w:lang w:val="en-GB"/>
        </w:rPr>
        <w:t xml:space="preserve">is </w:t>
      </w:r>
      <w:r w:rsidR="00EE4CEC" w:rsidRPr="00C67AD0">
        <w:rPr>
          <w:rFonts w:ascii="Book Antiqua" w:hAnsi="Book Antiqua" w:cs="Times New Roman"/>
          <w:sz w:val="24"/>
          <w:szCs w:val="24"/>
          <w:lang w:val="en-GB"/>
        </w:rPr>
        <w:t xml:space="preserve">a sudden </w:t>
      </w:r>
      <w:r w:rsidRPr="00C67AD0">
        <w:rPr>
          <w:rFonts w:ascii="Book Antiqua" w:hAnsi="Book Antiqua" w:cs="Times New Roman"/>
          <w:sz w:val="24"/>
          <w:szCs w:val="24"/>
          <w:lang w:val="en-GB"/>
        </w:rPr>
        <w:t xml:space="preserve">inflammatory process of the pancreas that may also involve surrounding tissues </w:t>
      </w:r>
      <w:r w:rsidR="00D82C58" w:rsidRPr="00C67AD0">
        <w:rPr>
          <w:rFonts w:ascii="Book Antiqua" w:hAnsi="Book Antiqua" w:cs="Times New Roman"/>
          <w:sz w:val="24"/>
          <w:szCs w:val="24"/>
          <w:lang w:val="en-GB"/>
        </w:rPr>
        <w:t>and/</w:t>
      </w:r>
      <w:r w:rsidRPr="00C67AD0">
        <w:rPr>
          <w:rFonts w:ascii="Book Antiqua" w:hAnsi="Book Antiqua" w:cs="Times New Roman"/>
          <w:sz w:val="24"/>
          <w:szCs w:val="24"/>
          <w:lang w:val="en-GB"/>
        </w:rPr>
        <w:t xml:space="preserve">or remote organs. Inflammation and parenchymal cell death are </w:t>
      </w:r>
      <w:r w:rsidR="00D82C58" w:rsidRPr="00C67AD0">
        <w:rPr>
          <w:rFonts w:ascii="Book Antiqua" w:hAnsi="Book Antiqua" w:cs="Times New Roman"/>
          <w:sz w:val="24"/>
          <w:szCs w:val="24"/>
          <w:lang w:val="en-GB"/>
        </w:rPr>
        <w:t xml:space="preserve">common </w:t>
      </w:r>
      <w:r w:rsidRPr="00C67AD0">
        <w:rPr>
          <w:rFonts w:ascii="Book Antiqua" w:hAnsi="Book Antiqua" w:cs="Times New Roman"/>
          <w:sz w:val="24"/>
          <w:szCs w:val="24"/>
          <w:lang w:val="en-GB"/>
        </w:rPr>
        <w:t>pathologic</w:t>
      </w:r>
      <w:r w:rsidR="00D82C58" w:rsidRPr="00C67AD0">
        <w:rPr>
          <w:rFonts w:ascii="Book Antiqua" w:hAnsi="Book Antiqua" w:cs="Times New Roman"/>
          <w:sz w:val="24"/>
          <w:szCs w:val="24"/>
          <w:lang w:val="en-GB"/>
        </w:rPr>
        <w:t>al</w:t>
      </w:r>
      <w:r w:rsidRPr="00C67AD0">
        <w:rPr>
          <w:rFonts w:ascii="Book Antiqua" w:hAnsi="Book Antiqua" w:cs="Times New Roman"/>
          <w:sz w:val="24"/>
          <w:szCs w:val="24"/>
          <w:lang w:val="en-GB"/>
        </w:rPr>
        <w:t xml:space="preserve"> </w:t>
      </w:r>
      <w:r w:rsidR="00D82C58" w:rsidRPr="00C67AD0">
        <w:rPr>
          <w:rFonts w:ascii="Book Antiqua" w:hAnsi="Book Antiqua" w:cs="Times New Roman"/>
          <w:sz w:val="24"/>
          <w:szCs w:val="24"/>
          <w:lang w:val="en-GB"/>
        </w:rPr>
        <w:t>features</w:t>
      </w:r>
      <w:r w:rsidRPr="00C67AD0">
        <w:rPr>
          <w:rFonts w:ascii="Book Antiqua" w:hAnsi="Book Antiqua" w:cs="Times New Roman"/>
          <w:sz w:val="24"/>
          <w:szCs w:val="24"/>
          <w:lang w:val="en-GB"/>
        </w:rPr>
        <w:t xml:space="preserve"> of this </w:t>
      </w:r>
      <w:r w:rsidR="00D82C58" w:rsidRPr="00C67AD0">
        <w:rPr>
          <w:rFonts w:ascii="Book Antiqua" w:hAnsi="Book Antiqua" w:cs="Times New Roman"/>
          <w:sz w:val="24"/>
          <w:szCs w:val="24"/>
          <w:lang w:val="en-GB"/>
        </w:rPr>
        <w:t>condition</w:t>
      </w:r>
      <w:r w:rsidRPr="00C67AD0">
        <w:rPr>
          <w:rFonts w:ascii="Book Antiqua" w:hAnsi="Book Antiqua" w:cs="Times New Roman"/>
          <w:sz w:val="24"/>
          <w:szCs w:val="24"/>
          <w:lang w:val="en-GB"/>
        </w:rPr>
        <w:t xml:space="preserve"> and determinants of disease severity. </w:t>
      </w:r>
      <w:bookmarkStart w:id="5" w:name="_Hlk46181818"/>
      <w:r w:rsidR="0006327B" w:rsidRPr="00C67AD0">
        <w:rPr>
          <w:rFonts w:ascii="Book Antiqua" w:hAnsi="Book Antiqua" w:cs="Times New Roman"/>
          <w:sz w:val="24"/>
          <w:szCs w:val="24"/>
          <w:lang w:val="en-GB"/>
        </w:rPr>
        <w:t xml:space="preserve">Polyethylene glycols (PEGs) are non-immunogenic, non-toxic water-soluble </w:t>
      </w:r>
      <w:r w:rsidR="00285D35" w:rsidRPr="00C67AD0">
        <w:rPr>
          <w:rFonts w:ascii="Book Antiqua" w:hAnsi="Book Antiqua" w:cs="Times New Roman"/>
          <w:sz w:val="24"/>
          <w:szCs w:val="24"/>
          <w:lang w:val="en-GB"/>
        </w:rPr>
        <w:t xml:space="preserve">polymers </w:t>
      </w:r>
      <w:r w:rsidR="00A54829" w:rsidRPr="00C67AD0">
        <w:rPr>
          <w:rFonts w:ascii="Book Antiqua" w:hAnsi="Book Antiqua" w:cs="Times New Roman"/>
          <w:sz w:val="24"/>
          <w:szCs w:val="24"/>
          <w:lang w:val="en-GB"/>
        </w:rPr>
        <w:t>widely used in biological, chemical, clinical and pharmaceutical settings</w:t>
      </w:r>
      <w:r w:rsidR="0006327B" w:rsidRPr="00C67AD0">
        <w:rPr>
          <w:rFonts w:ascii="Book Antiqua" w:hAnsi="Book Antiqua" w:cs="Times New Roman"/>
          <w:sz w:val="24"/>
          <w:szCs w:val="24"/>
          <w:lang w:val="en-GB"/>
        </w:rPr>
        <w:t xml:space="preserve">. </w:t>
      </w:r>
    </w:p>
    <w:bookmarkEnd w:id="5"/>
    <w:p w14:paraId="2C1994A3" w14:textId="77777777" w:rsidR="00CF5C7B" w:rsidRPr="00C67AD0" w:rsidRDefault="00CF5C7B" w:rsidP="00B8567E">
      <w:pPr>
        <w:spacing w:line="360" w:lineRule="auto"/>
        <w:contextualSpacing/>
        <w:jc w:val="both"/>
        <w:rPr>
          <w:rFonts w:ascii="Book Antiqua" w:hAnsi="Book Antiqua" w:cs="Times New Roman"/>
          <w:bCs/>
          <w:sz w:val="24"/>
          <w:szCs w:val="24"/>
          <w:lang w:val="en-GB" w:eastAsia="zh-CN"/>
        </w:rPr>
      </w:pPr>
    </w:p>
    <w:p w14:paraId="0171B3C8" w14:textId="4BB9F614" w:rsidR="0006327B" w:rsidRPr="00C67AD0" w:rsidRDefault="0006327B" w:rsidP="00B8567E">
      <w:pPr>
        <w:spacing w:line="360" w:lineRule="auto"/>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AIM</w:t>
      </w:r>
    </w:p>
    <w:p w14:paraId="5E7D0FFD" w14:textId="07B5C32A" w:rsidR="00E82A2F" w:rsidRPr="00C67AD0" w:rsidRDefault="00AB7CCF"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T</w:t>
      </w:r>
      <w:r w:rsidR="00027A67" w:rsidRPr="00C67AD0">
        <w:rPr>
          <w:rFonts w:ascii="Book Antiqua" w:hAnsi="Book Antiqua" w:cs="Times New Roman"/>
          <w:sz w:val="24"/>
          <w:szCs w:val="24"/>
          <w:lang w:val="en-GB"/>
        </w:rPr>
        <w:t xml:space="preserve">o </w:t>
      </w:r>
      <w:r w:rsidR="007F78F7" w:rsidRPr="00C67AD0">
        <w:rPr>
          <w:rFonts w:ascii="Book Antiqua" w:hAnsi="Book Antiqua" w:cs="Times New Roman"/>
          <w:sz w:val="24"/>
          <w:szCs w:val="24"/>
          <w:lang w:val="en-GB"/>
        </w:rPr>
        <w:t xml:space="preserve">evaluate </w:t>
      </w:r>
      <w:r w:rsidR="00402C79" w:rsidRPr="00C67AD0">
        <w:rPr>
          <w:rFonts w:ascii="Book Antiqua" w:hAnsi="Book Antiqua" w:cs="Times New Roman"/>
          <w:sz w:val="24"/>
          <w:szCs w:val="24"/>
          <w:lang w:val="en-GB"/>
        </w:rPr>
        <w:t xml:space="preserve">the </w:t>
      </w:r>
      <w:r w:rsidR="007F78F7" w:rsidRPr="00C67AD0">
        <w:rPr>
          <w:rFonts w:ascii="Book Antiqua" w:hAnsi="Book Antiqua" w:cs="Times New Roman"/>
          <w:sz w:val="24"/>
          <w:szCs w:val="24"/>
          <w:lang w:val="en-GB"/>
        </w:rPr>
        <w:t xml:space="preserve">protective </w:t>
      </w:r>
      <w:r w:rsidR="00402C79" w:rsidRPr="00C67AD0">
        <w:rPr>
          <w:rFonts w:ascii="Book Antiqua" w:hAnsi="Book Antiqua" w:cs="Times New Roman"/>
          <w:sz w:val="24"/>
          <w:szCs w:val="24"/>
          <w:lang w:val="en-GB"/>
        </w:rPr>
        <w:t xml:space="preserve">effect of </w:t>
      </w:r>
      <w:r w:rsidR="00721537" w:rsidRPr="00C67AD0">
        <w:rPr>
          <w:rFonts w:ascii="Book Antiqua" w:hAnsi="Book Antiqua" w:cs="Times New Roman"/>
          <w:sz w:val="24"/>
          <w:szCs w:val="24"/>
          <w:lang w:val="en-GB"/>
        </w:rPr>
        <w:t>a 35</w:t>
      </w:r>
      <w:r w:rsidR="00AE7059" w:rsidRPr="00C67AD0">
        <w:rPr>
          <w:rFonts w:ascii="Book Antiqua" w:hAnsi="Book Antiqua" w:cs="Times New Roman"/>
          <w:sz w:val="24"/>
          <w:szCs w:val="24"/>
          <w:lang w:val="en-GB"/>
        </w:rPr>
        <w:t>-</w:t>
      </w:r>
      <w:r w:rsidR="00721537" w:rsidRPr="00C67AD0">
        <w:rPr>
          <w:rFonts w:ascii="Book Antiqua" w:hAnsi="Book Antiqua" w:cs="Times New Roman"/>
          <w:sz w:val="24"/>
          <w:szCs w:val="24"/>
          <w:lang w:val="en-GB"/>
        </w:rPr>
        <w:t xml:space="preserve">kDa </w:t>
      </w:r>
      <w:r w:rsidR="00732FE6" w:rsidRPr="00C67AD0">
        <w:rPr>
          <w:rFonts w:ascii="Book Antiqua" w:hAnsi="Book Antiqua" w:cs="Times New Roman"/>
          <w:sz w:val="24"/>
          <w:szCs w:val="24"/>
          <w:lang w:val="en-GB"/>
        </w:rPr>
        <w:t xml:space="preserve">molecular weight </w:t>
      </w:r>
      <w:r w:rsidR="00402C79" w:rsidRPr="00C67AD0">
        <w:rPr>
          <w:rFonts w:ascii="Book Antiqua" w:hAnsi="Book Antiqua" w:cs="Times New Roman"/>
          <w:sz w:val="24"/>
          <w:szCs w:val="24"/>
          <w:lang w:val="en-GB"/>
        </w:rPr>
        <w:t>PEG</w:t>
      </w:r>
      <w:r w:rsidR="00721537" w:rsidRPr="00C67AD0">
        <w:rPr>
          <w:rFonts w:ascii="Book Antiqua" w:hAnsi="Book Antiqua" w:cs="Times New Roman"/>
          <w:sz w:val="24"/>
          <w:szCs w:val="24"/>
          <w:lang w:val="en-GB"/>
        </w:rPr>
        <w:t xml:space="preserve"> (PEG</w:t>
      </w:r>
      <w:r w:rsidR="00402C79" w:rsidRPr="00C67AD0">
        <w:rPr>
          <w:rFonts w:ascii="Book Antiqua" w:hAnsi="Book Antiqua" w:cs="Times New Roman"/>
          <w:sz w:val="24"/>
          <w:szCs w:val="24"/>
          <w:lang w:val="en-GB"/>
        </w:rPr>
        <w:t>35</w:t>
      </w:r>
      <w:r w:rsidR="00721537"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on the pancreatic damage associated to </w:t>
      </w:r>
      <w:proofErr w:type="spellStart"/>
      <w:r w:rsidR="00402C79" w:rsidRPr="00C67AD0">
        <w:rPr>
          <w:rFonts w:ascii="Book Antiqua" w:hAnsi="Book Antiqua" w:cs="Times New Roman"/>
          <w:sz w:val="24"/>
          <w:szCs w:val="24"/>
          <w:lang w:val="en-GB"/>
        </w:rPr>
        <w:t>cerulein</w:t>
      </w:r>
      <w:proofErr w:type="spellEnd"/>
      <w:r w:rsidR="00402C79" w:rsidRPr="00C67AD0">
        <w:rPr>
          <w:rFonts w:ascii="Book Antiqua" w:hAnsi="Book Antiqua" w:cs="Times New Roman"/>
          <w:sz w:val="24"/>
          <w:szCs w:val="24"/>
          <w:lang w:val="en-GB"/>
        </w:rPr>
        <w:t xml:space="preserve">-induced </w:t>
      </w:r>
      <w:r w:rsidR="00DF2F7C" w:rsidRPr="00C67AD0">
        <w:rPr>
          <w:rFonts w:ascii="Book Antiqua" w:hAnsi="Book Antiqua" w:cs="Times New Roman"/>
          <w:sz w:val="24"/>
          <w:szCs w:val="24"/>
          <w:lang w:val="en-GB"/>
        </w:rPr>
        <w:t>acute pancreatitis</w:t>
      </w:r>
      <w:r w:rsidR="00402C79" w:rsidRPr="00C67AD0">
        <w:rPr>
          <w:rFonts w:ascii="Book Antiqua" w:hAnsi="Book Antiqua" w:cs="Times New Roman"/>
          <w:sz w:val="24"/>
          <w:szCs w:val="24"/>
          <w:lang w:val="en-GB"/>
        </w:rPr>
        <w:t xml:space="preserve"> </w:t>
      </w:r>
      <w:r w:rsidR="00035A4A" w:rsidRPr="00C67AD0">
        <w:rPr>
          <w:rFonts w:ascii="Book Antiqua" w:hAnsi="Book Antiqua" w:cs="Times New Roman"/>
          <w:i/>
          <w:iCs/>
          <w:sz w:val="24"/>
          <w:szCs w:val="24"/>
          <w:lang w:val="en-GB"/>
        </w:rPr>
        <w:t>in vivo</w:t>
      </w:r>
      <w:r w:rsidR="00035A4A" w:rsidRPr="00C67AD0">
        <w:rPr>
          <w:rFonts w:ascii="Book Antiqua" w:hAnsi="Book Antiqua" w:cs="Times New Roman"/>
          <w:sz w:val="24"/>
          <w:szCs w:val="24"/>
          <w:lang w:val="en-GB"/>
        </w:rPr>
        <w:t xml:space="preserve"> and </w:t>
      </w:r>
      <w:r w:rsidR="00402C79" w:rsidRPr="00C67AD0">
        <w:rPr>
          <w:rFonts w:ascii="Book Antiqua" w:hAnsi="Book Antiqua" w:cs="Times New Roman"/>
          <w:i/>
          <w:iCs/>
          <w:sz w:val="24"/>
          <w:szCs w:val="24"/>
          <w:lang w:val="en-GB"/>
        </w:rPr>
        <w:t>in vitro</w:t>
      </w:r>
      <w:r w:rsidR="00035A4A" w:rsidRPr="00C67AD0">
        <w:rPr>
          <w:rFonts w:ascii="Book Antiqua" w:hAnsi="Book Antiqua" w:cs="Times New Roman"/>
          <w:sz w:val="24"/>
          <w:szCs w:val="24"/>
          <w:lang w:val="en-GB"/>
        </w:rPr>
        <w:t>.</w:t>
      </w:r>
      <w:r w:rsidRPr="00C67AD0">
        <w:rPr>
          <w:rFonts w:ascii="Book Antiqua" w:hAnsi="Book Antiqua" w:cs="Times New Roman"/>
          <w:sz w:val="24"/>
          <w:szCs w:val="24"/>
          <w:lang w:val="en-GB"/>
        </w:rPr>
        <w:t xml:space="preserve"> </w:t>
      </w:r>
    </w:p>
    <w:p w14:paraId="6C67EF1A" w14:textId="77777777" w:rsidR="00CF5C7B" w:rsidRPr="00C67AD0" w:rsidRDefault="00CF5C7B" w:rsidP="00B8567E">
      <w:pPr>
        <w:spacing w:line="360" w:lineRule="auto"/>
        <w:contextualSpacing/>
        <w:jc w:val="both"/>
        <w:rPr>
          <w:rFonts w:ascii="Book Antiqua" w:hAnsi="Book Antiqua" w:cs="Times New Roman"/>
          <w:bCs/>
          <w:sz w:val="24"/>
          <w:szCs w:val="24"/>
          <w:lang w:val="en-GB" w:eastAsia="zh-CN"/>
        </w:rPr>
      </w:pPr>
    </w:p>
    <w:p w14:paraId="707ED3B7" w14:textId="16189C6B" w:rsidR="0006327B" w:rsidRPr="00C67AD0" w:rsidRDefault="0006327B" w:rsidP="00B8567E">
      <w:pPr>
        <w:spacing w:line="360" w:lineRule="auto"/>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METHODS</w:t>
      </w:r>
    </w:p>
    <w:p w14:paraId="2E658B94" w14:textId="16D9BFB8" w:rsidR="00DF5003" w:rsidRPr="00C67AD0" w:rsidRDefault="001C7FB2"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Wistar rats were </w:t>
      </w:r>
      <w:r w:rsidR="0057718F" w:rsidRPr="00C67AD0">
        <w:rPr>
          <w:rFonts w:ascii="Book Antiqua" w:hAnsi="Book Antiqua" w:cs="Times New Roman"/>
          <w:sz w:val="24"/>
          <w:szCs w:val="24"/>
          <w:lang w:val="en-GB"/>
        </w:rPr>
        <w:t xml:space="preserve">assigned </w:t>
      </w:r>
      <w:r w:rsidR="00EE4CEC" w:rsidRPr="00C67AD0">
        <w:rPr>
          <w:rFonts w:ascii="Book Antiqua" w:hAnsi="Book Antiqua" w:cs="Times New Roman"/>
          <w:sz w:val="24"/>
          <w:szCs w:val="24"/>
          <w:lang w:val="en-GB"/>
        </w:rPr>
        <w:t xml:space="preserve">at random </w:t>
      </w:r>
      <w:r w:rsidR="0057718F" w:rsidRPr="00C67AD0">
        <w:rPr>
          <w:rFonts w:ascii="Book Antiqua" w:hAnsi="Book Antiqua" w:cs="Times New Roman"/>
          <w:sz w:val="24"/>
          <w:szCs w:val="24"/>
          <w:lang w:val="en-GB"/>
        </w:rPr>
        <w:t>to a control group</w:t>
      </w:r>
      <w:r w:rsidRPr="00C67AD0">
        <w:rPr>
          <w:rFonts w:ascii="Book Antiqua" w:hAnsi="Book Antiqua" w:cs="Times New Roman"/>
          <w:sz w:val="24"/>
          <w:szCs w:val="24"/>
          <w:lang w:val="en-GB"/>
        </w:rPr>
        <w:t>,</w:t>
      </w:r>
      <w:r w:rsidR="0057718F" w:rsidRPr="00C67AD0">
        <w:rPr>
          <w:rFonts w:ascii="Book Antiqua" w:hAnsi="Book Antiqua" w:cs="Times New Roman"/>
          <w:sz w:val="24"/>
          <w:szCs w:val="24"/>
          <w:lang w:val="en-GB"/>
        </w:rPr>
        <w:t xml:space="preserve"> a</w:t>
      </w:r>
      <w:r w:rsidR="007F4372" w:rsidRPr="00C67AD0">
        <w:rPr>
          <w:rFonts w:ascii="Book Antiqua" w:hAnsi="Book Antiqua" w:cs="Times New Roman"/>
          <w:sz w:val="24"/>
          <w:szCs w:val="24"/>
          <w:lang w:val="en-GB"/>
        </w:rPr>
        <w:t xml:space="preserve"> </w:t>
      </w:r>
      <w:bookmarkStart w:id="6" w:name="_Hlk48093974"/>
      <w:proofErr w:type="spellStart"/>
      <w:r w:rsidR="007F4372" w:rsidRPr="00C67AD0">
        <w:rPr>
          <w:rFonts w:ascii="Book Antiqua" w:hAnsi="Book Antiqua" w:cs="Times New Roman"/>
          <w:sz w:val="24"/>
          <w:szCs w:val="24"/>
          <w:lang w:val="en-GB"/>
        </w:rPr>
        <w:t>cerulein</w:t>
      </w:r>
      <w:proofErr w:type="spellEnd"/>
      <w:r w:rsidR="007F4372" w:rsidRPr="00C67AD0">
        <w:rPr>
          <w:rFonts w:ascii="Book Antiqua" w:hAnsi="Book Antiqua" w:cs="Times New Roman"/>
          <w:sz w:val="24"/>
          <w:szCs w:val="24"/>
          <w:lang w:val="en-GB"/>
        </w:rPr>
        <w:t xml:space="preserve">–induced </w:t>
      </w:r>
      <w:r w:rsidR="00C566DA" w:rsidRPr="00C67AD0">
        <w:rPr>
          <w:rFonts w:ascii="Book Antiqua" w:hAnsi="Book Antiqua" w:cs="Times New Roman"/>
          <w:sz w:val="24"/>
          <w:szCs w:val="24"/>
          <w:lang w:val="en-GB"/>
        </w:rPr>
        <w:t>AP</w:t>
      </w:r>
      <w:r w:rsidR="00E81DA1" w:rsidRPr="00C67AD0">
        <w:rPr>
          <w:rFonts w:ascii="Book Antiqua" w:hAnsi="Book Antiqua" w:cs="Times New Roman"/>
          <w:sz w:val="24"/>
          <w:szCs w:val="24"/>
          <w:lang w:val="en-GB"/>
        </w:rPr>
        <w:t xml:space="preserve"> </w:t>
      </w:r>
      <w:r w:rsidR="0057718F" w:rsidRPr="00C67AD0">
        <w:rPr>
          <w:rFonts w:ascii="Book Antiqua" w:hAnsi="Book Antiqua" w:cs="Times New Roman"/>
          <w:sz w:val="24"/>
          <w:szCs w:val="24"/>
          <w:lang w:val="en-GB"/>
        </w:rPr>
        <w:t>group</w:t>
      </w:r>
      <w:r w:rsidR="007F4372" w:rsidRPr="00C67AD0">
        <w:rPr>
          <w:rFonts w:ascii="Book Antiqua" w:hAnsi="Book Antiqua" w:cs="Times New Roman"/>
          <w:sz w:val="24"/>
          <w:szCs w:val="24"/>
          <w:lang w:val="en-GB"/>
        </w:rPr>
        <w:t xml:space="preserve"> </w:t>
      </w:r>
      <w:r w:rsidR="0057718F" w:rsidRPr="00C67AD0">
        <w:rPr>
          <w:rFonts w:ascii="Book Antiqua" w:hAnsi="Book Antiqua" w:cs="Times New Roman"/>
          <w:sz w:val="24"/>
          <w:szCs w:val="24"/>
          <w:lang w:val="en-GB"/>
        </w:rPr>
        <w:t>and a</w:t>
      </w:r>
      <w:r w:rsidRPr="00C67AD0">
        <w:rPr>
          <w:rFonts w:ascii="Book Antiqua" w:hAnsi="Book Antiqua" w:cs="Times New Roman"/>
          <w:sz w:val="24"/>
          <w:szCs w:val="24"/>
          <w:lang w:val="en-GB"/>
        </w:rPr>
        <w:t xml:space="preserve"> PEG35 treatment group. </w:t>
      </w:r>
      <w:r w:rsidR="00C566DA" w:rsidRPr="00C67AD0">
        <w:rPr>
          <w:rFonts w:ascii="Book Antiqua" w:hAnsi="Book Antiqua" w:cs="Times New Roman"/>
          <w:sz w:val="24"/>
          <w:szCs w:val="24"/>
          <w:lang w:val="en-GB"/>
        </w:rPr>
        <w:t>AP</w:t>
      </w:r>
      <w:r w:rsidR="0075076E" w:rsidRPr="00C67AD0">
        <w:rPr>
          <w:rFonts w:ascii="Book Antiqua" w:hAnsi="Book Antiqua" w:cs="Times New Roman"/>
          <w:sz w:val="24"/>
          <w:szCs w:val="24"/>
          <w:lang w:val="en-GB"/>
        </w:rPr>
        <w:t xml:space="preserve"> </w:t>
      </w:r>
      <w:r w:rsidR="00E82A2F" w:rsidRPr="00C67AD0">
        <w:rPr>
          <w:rFonts w:ascii="Book Antiqua" w:hAnsi="Book Antiqua" w:cs="Times New Roman"/>
          <w:sz w:val="24"/>
          <w:szCs w:val="24"/>
          <w:lang w:val="en-GB"/>
        </w:rPr>
        <w:t xml:space="preserve">was induced by </w:t>
      </w:r>
      <w:r w:rsidR="00956F9A" w:rsidRPr="00C67AD0">
        <w:rPr>
          <w:rFonts w:ascii="Book Antiqua" w:hAnsi="Book Antiqua" w:cs="Times New Roman"/>
          <w:sz w:val="24"/>
          <w:szCs w:val="24"/>
          <w:lang w:val="en-GB"/>
        </w:rPr>
        <w:t xml:space="preserve">five hourly intraperitoneal injections of </w:t>
      </w:r>
      <w:proofErr w:type="spellStart"/>
      <w:r w:rsidR="00E03F88" w:rsidRPr="00C67AD0">
        <w:rPr>
          <w:rFonts w:ascii="Book Antiqua" w:hAnsi="Book Antiqua" w:cs="Times New Roman"/>
          <w:sz w:val="24"/>
          <w:szCs w:val="24"/>
          <w:lang w:val="en-GB"/>
        </w:rPr>
        <w:t>cerulein</w:t>
      </w:r>
      <w:proofErr w:type="spellEnd"/>
      <w:r w:rsidR="0008067F" w:rsidRPr="00C67AD0">
        <w:rPr>
          <w:rFonts w:ascii="Book Antiqua" w:hAnsi="Book Antiqua" w:cs="Times New Roman"/>
          <w:sz w:val="24"/>
          <w:szCs w:val="24"/>
          <w:lang w:val="en-GB"/>
        </w:rPr>
        <w:t xml:space="preserve"> </w:t>
      </w:r>
      <w:r w:rsidR="002879BC" w:rsidRPr="00C67AD0">
        <w:rPr>
          <w:rFonts w:ascii="Book Antiqua" w:hAnsi="Book Antiqua" w:cs="Times New Roman"/>
          <w:sz w:val="24"/>
          <w:szCs w:val="24"/>
          <w:lang w:val="en-GB"/>
        </w:rPr>
        <w:t>(</w:t>
      </w:r>
      <w:r w:rsidR="00E81DA1" w:rsidRPr="00C67AD0">
        <w:rPr>
          <w:rFonts w:ascii="Book Antiqua" w:hAnsi="Book Antiqua" w:cs="Times New Roman"/>
          <w:sz w:val="24"/>
          <w:szCs w:val="24"/>
          <w:lang w:val="en-GB"/>
        </w:rPr>
        <w:t>50</w:t>
      </w:r>
      <w:r w:rsidR="00C159C4" w:rsidRPr="00C67AD0">
        <w:rPr>
          <w:rFonts w:ascii="Book Antiqua" w:hAnsi="Book Antiqua" w:cs="Times New Roman"/>
          <w:sz w:val="24"/>
          <w:szCs w:val="24"/>
          <w:lang w:val="en-GB"/>
        </w:rPr>
        <w:t xml:space="preserve"> </w:t>
      </w:r>
      <w:proofErr w:type="spellStart"/>
      <w:r w:rsidR="00E81DA1" w:rsidRPr="00C67AD0">
        <w:rPr>
          <w:rFonts w:ascii="Book Antiqua" w:hAnsi="Book Antiqua" w:cs="Times New Roman"/>
          <w:sz w:val="24"/>
          <w:szCs w:val="24"/>
          <w:lang w:val="en-GB"/>
        </w:rPr>
        <w:t>μg</w:t>
      </w:r>
      <w:proofErr w:type="spellEnd"/>
      <w:r w:rsidR="00E81DA1" w:rsidRPr="00C67AD0">
        <w:rPr>
          <w:rFonts w:ascii="Book Antiqua" w:hAnsi="Book Antiqua" w:cs="Times New Roman"/>
          <w:sz w:val="24"/>
          <w:szCs w:val="24"/>
          <w:lang w:val="en-GB"/>
        </w:rPr>
        <w:t>/kg/</w:t>
      </w:r>
      <w:proofErr w:type="spellStart"/>
      <w:r w:rsidR="00E81DA1" w:rsidRPr="00C67AD0">
        <w:rPr>
          <w:rFonts w:ascii="Book Antiqua" w:hAnsi="Book Antiqua" w:cs="Times New Roman"/>
          <w:sz w:val="24"/>
          <w:szCs w:val="24"/>
          <w:lang w:val="en-GB"/>
        </w:rPr>
        <w:t>bw</w:t>
      </w:r>
      <w:proofErr w:type="spellEnd"/>
      <w:r w:rsidR="002879BC" w:rsidRPr="00C67AD0">
        <w:rPr>
          <w:rFonts w:ascii="Book Antiqua" w:hAnsi="Book Antiqua" w:cs="Times New Roman"/>
          <w:sz w:val="24"/>
          <w:szCs w:val="24"/>
          <w:lang w:val="en-GB"/>
        </w:rPr>
        <w:t>)</w:t>
      </w:r>
      <w:r w:rsidR="002256F5" w:rsidRPr="00C67AD0">
        <w:rPr>
          <w:rFonts w:ascii="Book Antiqua" w:hAnsi="Book Antiqua" w:cs="Times New Roman"/>
          <w:sz w:val="24"/>
          <w:szCs w:val="24"/>
          <w:lang w:val="en-GB"/>
        </w:rPr>
        <w:t>,</w:t>
      </w:r>
      <w:r w:rsidR="002879BC"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while the c</w:t>
      </w:r>
      <w:r w:rsidR="001D396B" w:rsidRPr="00C67AD0">
        <w:rPr>
          <w:rFonts w:ascii="Book Antiqua" w:hAnsi="Book Antiqua" w:cs="Times New Roman"/>
          <w:sz w:val="24"/>
          <w:szCs w:val="24"/>
          <w:lang w:val="en-GB"/>
        </w:rPr>
        <w:t xml:space="preserve">ontrol animals </w:t>
      </w:r>
      <w:r w:rsidR="00D01737" w:rsidRPr="00C67AD0">
        <w:rPr>
          <w:rFonts w:ascii="Book Antiqua" w:hAnsi="Book Antiqua" w:cs="Times New Roman"/>
          <w:sz w:val="24"/>
          <w:szCs w:val="24"/>
          <w:lang w:val="en-GB"/>
        </w:rPr>
        <w:t xml:space="preserve">received saline solution. </w:t>
      </w:r>
      <w:r w:rsidR="001D396B" w:rsidRPr="00C67AD0">
        <w:rPr>
          <w:rFonts w:ascii="Book Antiqua" w:hAnsi="Book Antiqua" w:cs="Times New Roman"/>
          <w:sz w:val="24"/>
          <w:szCs w:val="24"/>
          <w:lang w:val="en-GB"/>
        </w:rPr>
        <w:t xml:space="preserve">PEG35 was administered </w:t>
      </w:r>
      <w:r w:rsidR="00654A97" w:rsidRPr="00C67AD0">
        <w:rPr>
          <w:rFonts w:ascii="Book Antiqua" w:hAnsi="Book Antiqua" w:cs="Times New Roman"/>
          <w:sz w:val="24"/>
          <w:szCs w:val="24"/>
          <w:lang w:val="en-GB"/>
        </w:rPr>
        <w:t xml:space="preserve">intraperitoneally 10 minutes before each </w:t>
      </w:r>
      <w:proofErr w:type="spellStart"/>
      <w:r w:rsidR="00654A97" w:rsidRPr="00C67AD0">
        <w:rPr>
          <w:rFonts w:ascii="Book Antiqua" w:hAnsi="Book Antiqua" w:cs="Times New Roman"/>
          <w:sz w:val="24"/>
          <w:szCs w:val="24"/>
          <w:lang w:val="en-GB"/>
        </w:rPr>
        <w:t>cerulein</w:t>
      </w:r>
      <w:proofErr w:type="spellEnd"/>
      <w:r w:rsidR="00654A97" w:rsidRPr="00C67AD0">
        <w:rPr>
          <w:rFonts w:ascii="Book Antiqua" w:hAnsi="Book Antiqua" w:cs="Times New Roman"/>
          <w:sz w:val="24"/>
          <w:szCs w:val="24"/>
          <w:lang w:val="en-GB"/>
        </w:rPr>
        <w:t xml:space="preserve"> injection </w:t>
      </w:r>
      <w:r w:rsidR="001D396B" w:rsidRPr="00C67AD0">
        <w:rPr>
          <w:rFonts w:ascii="Book Antiqua" w:hAnsi="Book Antiqua" w:cs="Times New Roman"/>
          <w:sz w:val="24"/>
          <w:szCs w:val="24"/>
          <w:lang w:val="en-GB"/>
        </w:rPr>
        <w:t>in a dose of 10</w:t>
      </w:r>
      <w:r w:rsidR="00A70D43" w:rsidRPr="00C67AD0">
        <w:rPr>
          <w:rFonts w:ascii="Book Antiqua" w:hAnsi="Book Antiqua" w:cs="Times New Roman"/>
          <w:sz w:val="24"/>
          <w:szCs w:val="24"/>
          <w:lang w:val="en-GB"/>
        </w:rPr>
        <w:t xml:space="preserve"> </w:t>
      </w:r>
      <w:r w:rsidR="001D396B" w:rsidRPr="00C67AD0">
        <w:rPr>
          <w:rFonts w:ascii="Book Antiqua" w:hAnsi="Book Antiqua" w:cs="Times New Roman"/>
          <w:sz w:val="24"/>
          <w:szCs w:val="24"/>
          <w:lang w:val="en-GB"/>
        </w:rPr>
        <w:t>mg/kg</w:t>
      </w:r>
      <w:r w:rsidR="00654A97" w:rsidRPr="00C67AD0">
        <w:rPr>
          <w:rFonts w:ascii="Book Antiqua" w:hAnsi="Book Antiqua" w:cs="Times New Roman"/>
          <w:sz w:val="24"/>
          <w:szCs w:val="24"/>
          <w:lang w:val="en-GB"/>
        </w:rPr>
        <w:t>.</w:t>
      </w:r>
      <w:r w:rsidR="001D396B" w:rsidRPr="00C67AD0">
        <w:rPr>
          <w:rFonts w:ascii="Book Antiqua" w:hAnsi="Book Antiqua" w:cs="Times New Roman"/>
          <w:sz w:val="24"/>
          <w:szCs w:val="24"/>
          <w:lang w:val="en-GB"/>
        </w:rPr>
        <w:t xml:space="preserve"> </w:t>
      </w:r>
      <w:r w:rsidR="00633473" w:rsidRPr="00C67AD0">
        <w:rPr>
          <w:rFonts w:ascii="Book Antiqua" w:hAnsi="Book Antiqua" w:cs="Times New Roman"/>
          <w:sz w:val="24"/>
          <w:szCs w:val="24"/>
          <w:lang w:val="en-GB"/>
        </w:rPr>
        <w:t>A</w:t>
      </w:r>
      <w:r w:rsidR="001D396B" w:rsidRPr="00C67AD0">
        <w:rPr>
          <w:rFonts w:ascii="Book Antiqua" w:hAnsi="Book Antiqua" w:cs="Times New Roman"/>
          <w:sz w:val="24"/>
          <w:szCs w:val="24"/>
          <w:lang w:val="en-GB"/>
        </w:rPr>
        <w:t xml:space="preserve">fter </w:t>
      </w:r>
      <w:r w:rsidR="00C566DA" w:rsidRPr="00C67AD0">
        <w:rPr>
          <w:rFonts w:ascii="Book Antiqua" w:hAnsi="Book Antiqua" w:cs="Times New Roman"/>
          <w:sz w:val="24"/>
          <w:szCs w:val="24"/>
          <w:lang w:val="en-GB"/>
        </w:rPr>
        <w:t>AP</w:t>
      </w:r>
      <w:r w:rsidR="00633473" w:rsidRPr="00C67AD0">
        <w:rPr>
          <w:rFonts w:ascii="Book Antiqua" w:hAnsi="Book Antiqua" w:cs="Times New Roman"/>
          <w:sz w:val="24"/>
          <w:szCs w:val="24"/>
          <w:lang w:val="en-GB"/>
        </w:rPr>
        <w:t xml:space="preserve"> </w:t>
      </w:r>
      <w:r w:rsidR="001D396B" w:rsidRPr="00C67AD0">
        <w:rPr>
          <w:rFonts w:ascii="Book Antiqua" w:hAnsi="Book Antiqua" w:cs="Times New Roman"/>
          <w:sz w:val="24"/>
          <w:szCs w:val="24"/>
          <w:lang w:val="en-GB"/>
        </w:rPr>
        <w:t xml:space="preserve">induction, </w:t>
      </w:r>
      <w:r w:rsidR="0075076E" w:rsidRPr="00C67AD0">
        <w:rPr>
          <w:rFonts w:ascii="Book Antiqua" w:hAnsi="Book Antiqua" w:cs="Times New Roman"/>
          <w:sz w:val="24"/>
          <w:szCs w:val="24"/>
          <w:lang w:val="en-GB"/>
        </w:rPr>
        <w:t xml:space="preserve">samples of pancreatic </w:t>
      </w:r>
      <w:r w:rsidR="001D396B" w:rsidRPr="00C67AD0">
        <w:rPr>
          <w:rFonts w:ascii="Book Antiqua" w:hAnsi="Book Antiqua" w:cs="Times New Roman"/>
          <w:sz w:val="24"/>
          <w:szCs w:val="24"/>
          <w:lang w:val="en-GB"/>
        </w:rPr>
        <w:t>tissue and blood were collected</w:t>
      </w:r>
      <w:r w:rsidR="002879BC" w:rsidRPr="00C67AD0">
        <w:rPr>
          <w:rFonts w:ascii="Book Antiqua" w:hAnsi="Book Antiqua" w:cs="Times New Roman"/>
          <w:sz w:val="24"/>
          <w:szCs w:val="24"/>
          <w:lang w:val="en-GB"/>
        </w:rPr>
        <w:t xml:space="preserve"> for analysis</w:t>
      </w:r>
      <w:r w:rsidR="001D396B" w:rsidRPr="00C67AD0">
        <w:rPr>
          <w:rFonts w:ascii="Book Antiqua" w:hAnsi="Book Antiqua" w:cs="Times New Roman"/>
          <w:sz w:val="24"/>
          <w:szCs w:val="24"/>
          <w:lang w:val="en-GB"/>
        </w:rPr>
        <w:t>.</w:t>
      </w:r>
      <w:r w:rsidR="00654A97" w:rsidRPr="00C67AD0">
        <w:rPr>
          <w:rFonts w:ascii="Book Antiqua" w:hAnsi="Book Antiqua"/>
          <w:sz w:val="24"/>
          <w:szCs w:val="24"/>
          <w:lang w:val="en-GB"/>
        </w:rPr>
        <w:t xml:space="preserve"> </w:t>
      </w:r>
      <w:r w:rsidR="00654A97" w:rsidRPr="00C67AD0">
        <w:rPr>
          <w:rFonts w:ascii="Book Antiqua" w:hAnsi="Book Antiqua" w:cs="Times New Roman"/>
          <w:sz w:val="24"/>
          <w:szCs w:val="24"/>
          <w:lang w:val="en-GB"/>
        </w:rPr>
        <w:t xml:space="preserve">AR42J </w:t>
      </w:r>
      <w:r w:rsidR="00753DB0" w:rsidRPr="00C67AD0">
        <w:rPr>
          <w:rFonts w:ascii="Book Antiqua" w:hAnsi="Book Antiqua" w:cs="Times New Roman"/>
          <w:sz w:val="24"/>
          <w:szCs w:val="24"/>
          <w:lang w:val="en-GB"/>
        </w:rPr>
        <w:t xml:space="preserve">pancreatic acinar </w:t>
      </w:r>
      <w:r w:rsidR="00654A97" w:rsidRPr="00C67AD0">
        <w:rPr>
          <w:rFonts w:ascii="Book Antiqua" w:hAnsi="Book Antiqua" w:cs="Times New Roman"/>
          <w:sz w:val="24"/>
          <w:szCs w:val="24"/>
          <w:lang w:val="en-GB"/>
        </w:rPr>
        <w:t xml:space="preserve">cells were </w:t>
      </w:r>
      <w:r w:rsidR="002879BC" w:rsidRPr="00C67AD0">
        <w:rPr>
          <w:rFonts w:ascii="Book Antiqua" w:hAnsi="Book Antiqua" w:cs="Times New Roman"/>
          <w:sz w:val="24"/>
          <w:szCs w:val="24"/>
          <w:lang w:val="en-GB"/>
        </w:rPr>
        <w:t xml:space="preserve">treated with increasing concentrations of PEG35 prior to </w:t>
      </w:r>
      <w:r w:rsidR="00E81DA1" w:rsidRPr="00C67AD0">
        <w:rPr>
          <w:rFonts w:ascii="Book Antiqua" w:hAnsi="Book Antiqua" w:cs="Times New Roman"/>
          <w:sz w:val="24"/>
          <w:szCs w:val="24"/>
          <w:lang w:val="en-GB"/>
        </w:rPr>
        <w:t>exposure</w:t>
      </w:r>
      <w:r w:rsidR="00654A97" w:rsidRPr="00C67AD0">
        <w:rPr>
          <w:rFonts w:ascii="Book Antiqua" w:hAnsi="Book Antiqua" w:cs="Times New Roman"/>
          <w:sz w:val="24"/>
          <w:szCs w:val="24"/>
          <w:lang w:val="en-GB"/>
        </w:rPr>
        <w:t xml:space="preserve"> </w:t>
      </w:r>
      <w:r w:rsidR="00753DB0" w:rsidRPr="00C67AD0">
        <w:rPr>
          <w:rFonts w:ascii="Book Antiqua" w:hAnsi="Book Antiqua" w:cs="Times New Roman"/>
          <w:sz w:val="24"/>
          <w:szCs w:val="24"/>
          <w:lang w:val="en-GB"/>
        </w:rPr>
        <w:t xml:space="preserve">with </w:t>
      </w:r>
      <w:proofErr w:type="spellStart"/>
      <w:r w:rsidR="00CF5C7B" w:rsidRPr="00C67AD0">
        <w:rPr>
          <w:rFonts w:ascii="Book Antiqua" w:hAnsi="Book Antiqua" w:cs="Times New Roman" w:hint="eastAsia"/>
          <w:sz w:val="24"/>
          <w:szCs w:val="24"/>
          <w:lang w:val="en-GB" w:eastAsia="zh-CN"/>
        </w:rPr>
        <w:t>t</w:t>
      </w:r>
      <w:r w:rsidR="00CF5C7B" w:rsidRPr="00C67AD0">
        <w:rPr>
          <w:rFonts w:ascii="Book Antiqua" w:hAnsi="Book Antiqua" w:cs="Times New Roman"/>
          <w:sz w:val="24"/>
          <w:szCs w:val="24"/>
          <w:lang w:val="en-GB" w:eastAsia="zh-CN"/>
        </w:rPr>
        <w:t>umor</w:t>
      </w:r>
      <w:proofErr w:type="spellEnd"/>
      <w:r w:rsidR="00CF5C7B" w:rsidRPr="00C67AD0">
        <w:rPr>
          <w:rFonts w:ascii="Book Antiqua" w:hAnsi="Book Antiqua" w:cs="Times New Roman"/>
          <w:sz w:val="24"/>
          <w:szCs w:val="24"/>
          <w:lang w:val="en-GB" w:eastAsia="zh-CN"/>
        </w:rPr>
        <w:t xml:space="preserve"> necrosis factor α</w:t>
      </w:r>
      <w:r w:rsidR="00CF5C7B" w:rsidRPr="00C67AD0">
        <w:rPr>
          <w:rFonts w:ascii="Book Antiqua" w:hAnsi="Book Antiqua" w:cs="Times New Roman" w:hint="eastAsia"/>
          <w:sz w:val="24"/>
          <w:szCs w:val="24"/>
          <w:lang w:val="en-GB" w:eastAsia="zh-CN"/>
        </w:rPr>
        <w:t xml:space="preserve"> (</w:t>
      </w:r>
      <w:r w:rsidR="00CF5C7B" w:rsidRPr="00C67AD0">
        <w:rPr>
          <w:rFonts w:ascii="Book Antiqua" w:hAnsi="Book Antiqua" w:cs="Times New Roman"/>
          <w:sz w:val="24"/>
          <w:szCs w:val="24"/>
          <w:lang w:val="en-GB" w:eastAsia="zh-CN"/>
        </w:rPr>
        <w:t>TNFα</w:t>
      </w:r>
      <w:r w:rsidR="00CF5C7B" w:rsidRPr="00C67AD0">
        <w:rPr>
          <w:rFonts w:ascii="Book Antiqua" w:hAnsi="Book Antiqua" w:cs="Times New Roman" w:hint="eastAsia"/>
          <w:sz w:val="24"/>
          <w:szCs w:val="24"/>
          <w:lang w:val="en-GB" w:eastAsia="zh-CN"/>
        </w:rPr>
        <w:t>)</w:t>
      </w:r>
      <w:r w:rsidR="00F66950" w:rsidRPr="00C67AD0">
        <w:rPr>
          <w:rFonts w:ascii="Book Antiqua" w:hAnsi="Book Antiqua" w:cs="Times New Roman"/>
          <w:sz w:val="24"/>
          <w:szCs w:val="24"/>
          <w:lang w:val="en-GB"/>
        </w:rPr>
        <w:t xml:space="preserve">, </w:t>
      </w:r>
      <w:proofErr w:type="spellStart"/>
      <w:r w:rsidR="00F66950" w:rsidRPr="00C67AD0">
        <w:rPr>
          <w:rFonts w:ascii="Book Antiqua" w:hAnsi="Book Antiqua" w:cs="Times New Roman"/>
          <w:sz w:val="24"/>
          <w:szCs w:val="24"/>
          <w:lang w:val="en-GB"/>
        </w:rPr>
        <w:t>staurosporine</w:t>
      </w:r>
      <w:proofErr w:type="spellEnd"/>
      <w:r w:rsidR="00654A97" w:rsidRPr="00C67AD0">
        <w:rPr>
          <w:rFonts w:ascii="Book Antiqua" w:hAnsi="Book Antiqua" w:cs="Times New Roman"/>
          <w:sz w:val="24"/>
          <w:szCs w:val="24"/>
          <w:lang w:val="en-GB"/>
        </w:rPr>
        <w:t xml:space="preserve"> or </w:t>
      </w:r>
      <w:proofErr w:type="spellStart"/>
      <w:r w:rsidR="00654A97" w:rsidRPr="00C67AD0">
        <w:rPr>
          <w:rFonts w:ascii="Book Antiqua" w:hAnsi="Book Antiqua" w:cs="Times New Roman"/>
          <w:sz w:val="24"/>
          <w:szCs w:val="24"/>
          <w:lang w:val="en-GB"/>
        </w:rPr>
        <w:t>cerulein</w:t>
      </w:r>
      <w:proofErr w:type="spellEnd"/>
      <w:r w:rsidR="002879BC" w:rsidRPr="00C67AD0">
        <w:rPr>
          <w:rFonts w:ascii="Book Antiqua" w:hAnsi="Book Antiqua" w:cs="Times New Roman"/>
          <w:sz w:val="24"/>
          <w:szCs w:val="24"/>
          <w:lang w:val="en-GB"/>
        </w:rPr>
        <w:t>.</w:t>
      </w:r>
      <w:r w:rsidR="00395350" w:rsidRPr="00C67AD0">
        <w:rPr>
          <w:rFonts w:ascii="Book Antiqua" w:hAnsi="Book Antiqua" w:cs="Times New Roman"/>
          <w:sz w:val="24"/>
          <w:szCs w:val="24"/>
          <w:lang w:val="en-GB"/>
        </w:rPr>
        <w:t xml:space="preserve"> The</w:t>
      </w:r>
      <w:r w:rsidR="00402C79" w:rsidRPr="00C67AD0">
        <w:rPr>
          <w:rFonts w:ascii="Book Antiqua" w:hAnsi="Book Antiqua" w:cs="Times New Roman"/>
          <w:sz w:val="24"/>
          <w:szCs w:val="24"/>
          <w:lang w:val="en-GB"/>
        </w:rPr>
        <w:t xml:space="preserve"> </w:t>
      </w:r>
      <w:r w:rsidR="00FA68C6" w:rsidRPr="00C67AD0">
        <w:rPr>
          <w:rFonts w:ascii="Book Antiqua" w:hAnsi="Book Antiqua" w:cs="Times New Roman"/>
          <w:sz w:val="24"/>
          <w:szCs w:val="24"/>
          <w:lang w:val="en-GB"/>
        </w:rPr>
        <w:t xml:space="preserve">severity </w:t>
      </w:r>
      <w:r w:rsidR="00395350" w:rsidRPr="00C67AD0">
        <w:rPr>
          <w:rFonts w:ascii="Book Antiqua" w:hAnsi="Book Antiqua" w:cs="Times New Roman"/>
          <w:sz w:val="24"/>
          <w:szCs w:val="24"/>
          <w:lang w:val="en-GB"/>
        </w:rPr>
        <w:t xml:space="preserve">of </w:t>
      </w:r>
      <w:r w:rsidR="00C566DA" w:rsidRPr="00C67AD0">
        <w:rPr>
          <w:rFonts w:ascii="Book Antiqua" w:hAnsi="Book Antiqua" w:cs="Times New Roman"/>
          <w:sz w:val="24"/>
          <w:szCs w:val="24"/>
          <w:lang w:val="en-GB"/>
        </w:rPr>
        <w:t>AP</w:t>
      </w:r>
      <w:r w:rsidR="00395350" w:rsidRPr="00C67AD0">
        <w:rPr>
          <w:rFonts w:ascii="Book Antiqua" w:hAnsi="Book Antiqua" w:cs="Times New Roman"/>
          <w:sz w:val="24"/>
          <w:szCs w:val="24"/>
          <w:lang w:val="en-GB"/>
        </w:rPr>
        <w:t xml:space="preserve"> </w:t>
      </w:r>
      <w:r w:rsidR="00FA68C6" w:rsidRPr="00C67AD0">
        <w:rPr>
          <w:rFonts w:ascii="Book Antiqua" w:hAnsi="Book Antiqua" w:cs="Times New Roman"/>
          <w:sz w:val="24"/>
          <w:szCs w:val="24"/>
          <w:lang w:val="en-GB"/>
        </w:rPr>
        <w:t xml:space="preserve">was </w:t>
      </w:r>
      <w:r w:rsidR="00651E34" w:rsidRPr="00C67AD0">
        <w:rPr>
          <w:rFonts w:ascii="Book Antiqua" w:hAnsi="Book Antiqua" w:cs="Times New Roman"/>
          <w:sz w:val="24"/>
          <w:szCs w:val="24"/>
          <w:lang w:val="en-GB"/>
        </w:rPr>
        <w:t xml:space="preserve">determined </w:t>
      </w:r>
      <w:r w:rsidR="00FA68C6" w:rsidRPr="00C67AD0">
        <w:rPr>
          <w:rFonts w:ascii="Book Antiqua" w:hAnsi="Book Antiqua" w:cs="Times New Roman"/>
          <w:sz w:val="24"/>
          <w:szCs w:val="24"/>
          <w:lang w:val="en-GB"/>
        </w:rPr>
        <w:t>on the basis of p</w:t>
      </w:r>
      <w:r w:rsidR="0035248E" w:rsidRPr="00C67AD0">
        <w:rPr>
          <w:rFonts w:ascii="Book Antiqua" w:hAnsi="Book Antiqua" w:cs="Times New Roman"/>
          <w:sz w:val="24"/>
          <w:szCs w:val="24"/>
          <w:lang w:val="en-GB"/>
        </w:rPr>
        <w:t xml:space="preserve">lasma levels of lipase, </w:t>
      </w:r>
      <w:r w:rsidR="00314032" w:rsidRPr="00C67AD0">
        <w:rPr>
          <w:rFonts w:ascii="Book Antiqua" w:hAnsi="Book Antiqua" w:cs="Times New Roman"/>
          <w:sz w:val="24"/>
          <w:szCs w:val="24"/>
          <w:lang w:val="en-GB"/>
        </w:rPr>
        <w:t>l</w:t>
      </w:r>
      <w:r w:rsidR="00382C29" w:rsidRPr="00C67AD0">
        <w:rPr>
          <w:rFonts w:ascii="Book Antiqua" w:hAnsi="Book Antiqua" w:cs="Times New Roman"/>
          <w:sz w:val="24"/>
          <w:szCs w:val="24"/>
          <w:lang w:val="en-GB"/>
        </w:rPr>
        <w:t>actate dehydrogenase</w:t>
      </w:r>
      <w:r w:rsidR="0035248E" w:rsidRPr="00C67AD0">
        <w:rPr>
          <w:rFonts w:ascii="Book Antiqua" w:hAnsi="Book Antiqua" w:cs="Times New Roman"/>
          <w:sz w:val="24"/>
          <w:szCs w:val="24"/>
          <w:lang w:val="en-GB"/>
        </w:rPr>
        <w:t xml:space="preserve"> activity</w:t>
      </w:r>
      <w:r w:rsidR="00575F27" w:rsidRPr="00C67AD0">
        <w:rPr>
          <w:rFonts w:ascii="Book Antiqua" w:hAnsi="Book Antiqua" w:cs="Times New Roman"/>
          <w:sz w:val="24"/>
          <w:szCs w:val="24"/>
          <w:lang w:val="en-GB"/>
        </w:rPr>
        <w:t xml:space="preserve">, </w:t>
      </w:r>
      <w:r w:rsidR="000319AC" w:rsidRPr="00C67AD0">
        <w:rPr>
          <w:rFonts w:ascii="Book Antiqua" w:hAnsi="Book Antiqua" w:cs="Times New Roman"/>
          <w:sz w:val="24"/>
          <w:szCs w:val="24"/>
          <w:lang w:val="en-GB"/>
        </w:rPr>
        <w:t xml:space="preserve">pancreatic </w:t>
      </w:r>
      <w:proofErr w:type="spellStart"/>
      <w:r w:rsidR="000319AC" w:rsidRPr="00C67AD0">
        <w:rPr>
          <w:rFonts w:ascii="Book Antiqua" w:hAnsi="Book Antiqua" w:cs="Times New Roman"/>
          <w:sz w:val="24"/>
          <w:szCs w:val="24"/>
          <w:lang w:val="en-GB"/>
        </w:rPr>
        <w:t>edema</w:t>
      </w:r>
      <w:proofErr w:type="spellEnd"/>
      <w:r w:rsidR="00575F27" w:rsidRPr="00C67AD0">
        <w:rPr>
          <w:rFonts w:ascii="Book Antiqua" w:hAnsi="Book Antiqua" w:cs="Times New Roman"/>
          <w:sz w:val="24"/>
          <w:szCs w:val="24"/>
          <w:lang w:val="en-GB"/>
        </w:rPr>
        <w:t xml:space="preserve"> and histological changes</w:t>
      </w:r>
      <w:r w:rsidR="0035248E" w:rsidRPr="00C67AD0">
        <w:rPr>
          <w:rFonts w:ascii="Book Antiqua" w:hAnsi="Book Antiqua" w:cs="Times New Roman"/>
          <w:sz w:val="24"/>
          <w:szCs w:val="24"/>
          <w:lang w:val="en-GB"/>
        </w:rPr>
        <w:t xml:space="preserve">. To evaluate the extent of the inflammatory response, </w:t>
      </w:r>
      <w:r w:rsidR="00A23E18" w:rsidRPr="00C67AD0">
        <w:rPr>
          <w:rFonts w:ascii="Book Antiqua" w:hAnsi="Book Antiqua" w:cs="Times New Roman"/>
          <w:sz w:val="24"/>
          <w:szCs w:val="24"/>
          <w:lang w:val="en-GB"/>
        </w:rPr>
        <w:t xml:space="preserve">the </w:t>
      </w:r>
      <w:r w:rsidR="0035248E" w:rsidRPr="00C67AD0">
        <w:rPr>
          <w:rFonts w:ascii="Book Antiqua" w:hAnsi="Book Antiqua" w:cs="Times New Roman"/>
          <w:sz w:val="24"/>
          <w:szCs w:val="24"/>
          <w:lang w:val="en-GB"/>
        </w:rPr>
        <w:t>gene expression of inflammat</w:t>
      </w:r>
      <w:r w:rsidR="004A30B3" w:rsidRPr="00C67AD0">
        <w:rPr>
          <w:rFonts w:ascii="Book Antiqua" w:hAnsi="Book Antiqua" w:cs="Times New Roman"/>
          <w:sz w:val="24"/>
          <w:szCs w:val="24"/>
          <w:lang w:val="en-GB"/>
        </w:rPr>
        <w:t>ion-associated markers</w:t>
      </w:r>
      <w:r w:rsidR="0035248E" w:rsidRPr="00C67AD0">
        <w:rPr>
          <w:rFonts w:ascii="Book Antiqua" w:hAnsi="Book Antiqua" w:cs="Times New Roman"/>
          <w:sz w:val="24"/>
          <w:szCs w:val="24"/>
          <w:lang w:val="en-GB"/>
        </w:rPr>
        <w:t xml:space="preserve"> </w:t>
      </w:r>
      <w:r w:rsidR="002A29B6" w:rsidRPr="00C67AD0">
        <w:rPr>
          <w:rFonts w:ascii="Book Antiqua" w:hAnsi="Book Antiqua" w:cs="Times New Roman"/>
          <w:sz w:val="24"/>
          <w:szCs w:val="24"/>
          <w:lang w:val="en-GB"/>
        </w:rPr>
        <w:t>was</w:t>
      </w:r>
      <w:r w:rsidR="0035248E" w:rsidRPr="00C67AD0">
        <w:rPr>
          <w:rFonts w:ascii="Book Antiqua" w:hAnsi="Book Antiqua" w:cs="Times New Roman"/>
          <w:sz w:val="24"/>
          <w:szCs w:val="24"/>
          <w:lang w:val="en-GB"/>
        </w:rPr>
        <w:t xml:space="preserve"> determined in the pancreas</w:t>
      </w:r>
      <w:r w:rsidR="000319AC" w:rsidRPr="00C67AD0">
        <w:rPr>
          <w:rFonts w:ascii="Book Antiqua" w:hAnsi="Book Antiqua" w:cs="Times New Roman"/>
          <w:sz w:val="24"/>
          <w:szCs w:val="24"/>
          <w:lang w:val="en-GB"/>
        </w:rPr>
        <w:t xml:space="preserve"> and in</w:t>
      </w:r>
      <w:r w:rsidR="00402C79" w:rsidRPr="00C67AD0">
        <w:rPr>
          <w:rFonts w:ascii="Book Antiqua" w:hAnsi="Book Antiqua" w:cs="Times New Roman"/>
          <w:sz w:val="24"/>
          <w:szCs w:val="24"/>
          <w:lang w:val="en-GB"/>
        </w:rPr>
        <w:t xml:space="preserve"> AR42J</w:t>
      </w:r>
      <w:r w:rsidR="004C3998" w:rsidRPr="00C67AD0">
        <w:rPr>
          <w:rFonts w:ascii="Book Antiqua" w:hAnsi="Book Antiqua" w:cs="Times New Roman"/>
          <w:sz w:val="24"/>
          <w:szCs w:val="24"/>
          <w:lang w:val="en-GB"/>
        </w:rPr>
        <w:t xml:space="preserve">-treated </w:t>
      </w:r>
      <w:r w:rsidR="00402C79" w:rsidRPr="00C67AD0">
        <w:rPr>
          <w:rFonts w:ascii="Book Antiqua" w:hAnsi="Book Antiqua" w:cs="Times New Roman"/>
          <w:sz w:val="24"/>
          <w:szCs w:val="24"/>
          <w:lang w:val="en-GB"/>
        </w:rPr>
        <w:t>cells</w:t>
      </w:r>
      <w:r w:rsidR="00633473" w:rsidRPr="00C67AD0">
        <w:rPr>
          <w:rFonts w:ascii="Book Antiqua" w:hAnsi="Book Antiqua" w:cs="Times New Roman"/>
          <w:sz w:val="24"/>
          <w:szCs w:val="24"/>
          <w:lang w:val="en-GB"/>
        </w:rPr>
        <w:t>.</w:t>
      </w:r>
      <w:r w:rsidR="0035248E" w:rsidRPr="00C67AD0">
        <w:rPr>
          <w:rFonts w:ascii="Book Antiqua" w:hAnsi="Book Antiqua" w:cs="Times New Roman"/>
          <w:sz w:val="24"/>
          <w:szCs w:val="24"/>
          <w:lang w:val="en-GB"/>
        </w:rPr>
        <w:t xml:space="preserve"> </w:t>
      </w:r>
      <w:r w:rsidR="00395350" w:rsidRPr="00C67AD0">
        <w:rPr>
          <w:rFonts w:ascii="Book Antiqua" w:hAnsi="Book Antiqua" w:cs="Times New Roman"/>
          <w:sz w:val="24"/>
          <w:szCs w:val="24"/>
          <w:lang w:val="en-GB"/>
        </w:rPr>
        <w:t xml:space="preserve">Inflammation-induced cell death was also measured </w:t>
      </w:r>
      <w:r w:rsidR="000564DF" w:rsidRPr="00C67AD0">
        <w:rPr>
          <w:rFonts w:ascii="Book Antiqua" w:hAnsi="Book Antiqua" w:cs="Times New Roman"/>
          <w:sz w:val="24"/>
          <w:szCs w:val="24"/>
          <w:lang w:val="en-GB"/>
        </w:rPr>
        <w:t xml:space="preserve">in </w:t>
      </w:r>
      <w:r w:rsidR="00EE4CEC" w:rsidRPr="00C67AD0">
        <w:rPr>
          <w:rFonts w:ascii="Book Antiqua" w:hAnsi="Book Antiqua" w:cs="Times New Roman"/>
          <w:sz w:val="24"/>
          <w:szCs w:val="24"/>
          <w:lang w:val="en-GB"/>
        </w:rPr>
        <w:t xml:space="preserve">models of </w:t>
      </w:r>
      <w:r w:rsidR="004A30B3" w:rsidRPr="00C67AD0">
        <w:rPr>
          <w:rFonts w:ascii="Book Antiqua" w:hAnsi="Book Antiqua" w:cs="Times New Roman"/>
          <w:i/>
          <w:iCs/>
          <w:sz w:val="24"/>
          <w:szCs w:val="24"/>
          <w:lang w:val="en-GB"/>
        </w:rPr>
        <w:t xml:space="preserve">in vivo </w:t>
      </w:r>
      <w:r w:rsidR="004A30B3" w:rsidRPr="00C67AD0">
        <w:rPr>
          <w:rFonts w:ascii="Book Antiqua" w:hAnsi="Book Antiqua" w:cs="Times New Roman"/>
          <w:sz w:val="24"/>
          <w:szCs w:val="24"/>
          <w:lang w:val="en-GB"/>
        </w:rPr>
        <w:t xml:space="preserve">and </w:t>
      </w:r>
      <w:r w:rsidR="004A30B3" w:rsidRPr="00C67AD0">
        <w:rPr>
          <w:rFonts w:ascii="Book Antiqua" w:hAnsi="Book Antiqua" w:cs="Times New Roman"/>
          <w:i/>
          <w:iCs/>
          <w:sz w:val="24"/>
          <w:szCs w:val="24"/>
          <w:lang w:val="en-GB"/>
        </w:rPr>
        <w:t>in vitro</w:t>
      </w:r>
      <w:r w:rsidR="000564DF" w:rsidRPr="00C67AD0">
        <w:rPr>
          <w:rFonts w:ascii="Book Antiqua" w:hAnsi="Book Antiqua" w:cs="Times New Roman"/>
          <w:i/>
          <w:iCs/>
          <w:sz w:val="24"/>
          <w:szCs w:val="24"/>
          <w:lang w:val="en-GB"/>
        </w:rPr>
        <w:t xml:space="preserve"> </w:t>
      </w:r>
      <w:r w:rsidR="000564DF" w:rsidRPr="00C67AD0">
        <w:rPr>
          <w:rFonts w:ascii="Book Antiqua" w:hAnsi="Book Antiqua" w:cs="Times New Roman"/>
          <w:sz w:val="24"/>
          <w:szCs w:val="24"/>
          <w:lang w:val="en-GB"/>
        </w:rPr>
        <w:t>pancreatic damage</w:t>
      </w:r>
      <w:r w:rsidR="004A30B3" w:rsidRPr="00C67AD0">
        <w:rPr>
          <w:rFonts w:ascii="Book Antiqua" w:hAnsi="Book Antiqua" w:cs="Times New Roman"/>
          <w:sz w:val="24"/>
          <w:szCs w:val="24"/>
          <w:lang w:val="en-GB"/>
        </w:rPr>
        <w:t xml:space="preserve">. </w:t>
      </w:r>
    </w:p>
    <w:bookmarkEnd w:id="6"/>
    <w:p w14:paraId="6A4CB9FE" w14:textId="77777777" w:rsidR="00CF5C7B" w:rsidRPr="00C67AD0" w:rsidRDefault="00CF5C7B" w:rsidP="00B8567E">
      <w:pPr>
        <w:spacing w:line="360" w:lineRule="auto"/>
        <w:contextualSpacing/>
        <w:jc w:val="both"/>
        <w:rPr>
          <w:rFonts w:ascii="Book Antiqua" w:hAnsi="Book Antiqua" w:cs="Times New Roman"/>
          <w:bCs/>
          <w:sz w:val="24"/>
          <w:szCs w:val="24"/>
          <w:lang w:val="en-GB" w:eastAsia="zh-CN"/>
        </w:rPr>
      </w:pPr>
    </w:p>
    <w:p w14:paraId="7F87A9D6" w14:textId="05DFB935" w:rsidR="00753DB0" w:rsidRPr="00C67AD0" w:rsidRDefault="0006327B" w:rsidP="00B8567E">
      <w:pPr>
        <w:spacing w:line="360" w:lineRule="auto"/>
        <w:contextualSpacing/>
        <w:jc w:val="both"/>
        <w:rPr>
          <w:rFonts w:ascii="Book Antiqua" w:hAnsi="Book Antiqua"/>
          <w:bCs/>
          <w:sz w:val="24"/>
          <w:szCs w:val="24"/>
          <w:lang w:val="en-GB"/>
        </w:rPr>
      </w:pPr>
      <w:r w:rsidRPr="00C67AD0">
        <w:rPr>
          <w:rFonts w:ascii="Book Antiqua" w:hAnsi="Book Antiqua" w:cs="Times New Roman"/>
          <w:bCs/>
          <w:sz w:val="24"/>
          <w:szCs w:val="24"/>
          <w:lang w:val="en-GB"/>
        </w:rPr>
        <w:t>RESULTS</w:t>
      </w:r>
    </w:p>
    <w:p w14:paraId="4BE16CA9" w14:textId="359B04F4" w:rsidR="00753DB0" w:rsidRPr="00C67AD0" w:rsidRDefault="00753DB0" w:rsidP="00B8567E">
      <w:pPr>
        <w:spacing w:line="360" w:lineRule="auto"/>
        <w:contextualSpacing/>
        <w:jc w:val="both"/>
        <w:rPr>
          <w:rFonts w:ascii="Book Antiqua" w:hAnsi="Book Antiqua" w:cs="Times New Roman"/>
          <w:sz w:val="24"/>
          <w:szCs w:val="24"/>
          <w:lang w:val="en-GB"/>
        </w:rPr>
      </w:pPr>
      <w:bookmarkStart w:id="7" w:name="_Hlk48147433"/>
      <w:r w:rsidRPr="00C67AD0">
        <w:rPr>
          <w:rFonts w:ascii="Book Antiqua" w:hAnsi="Book Antiqua" w:cs="Times New Roman"/>
          <w:sz w:val="24"/>
          <w:szCs w:val="24"/>
          <w:lang w:val="en-GB"/>
        </w:rPr>
        <w:lastRenderedPageBreak/>
        <w:t xml:space="preserve">Administration of PEG35 significantly </w:t>
      </w:r>
      <w:r w:rsidR="00027A67" w:rsidRPr="00C67AD0">
        <w:rPr>
          <w:rFonts w:ascii="Book Antiqua" w:hAnsi="Book Antiqua" w:cs="Times New Roman"/>
          <w:sz w:val="24"/>
          <w:szCs w:val="24"/>
          <w:lang w:val="en-GB"/>
        </w:rPr>
        <w:t xml:space="preserve">improved </w:t>
      </w:r>
      <w:r w:rsidRPr="00C67AD0">
        <w:rPr>
          <w:rFonts w:ascii="Book Antiqua" w:hAnsi="Book Antiqua" w:cs="Times New Roman"/>
          <w:sz w:val="24"/>
          <w:szCs w:val="24"/>
          <w:lang w:val="en-GB"/>
        </w:rPr>
        <w:t>pancreatic damage</w:t>
      </w:r>
      <w:r w:rsidR="00BA1708" w:rsidRPr="00C67AD0">
        <w:rPr>
          <w:rFonts w:ascii="Book Antiqua" w:hAnsi="Book Antiqua" w:cs="Times New Roman"/>
          <w:sz w:val="24"/>
          <w:szCs w:val="24"/>
          <w:lang w:val="en-GB"/>
        </w:rPr>
        <w:t xml:space="preserve"> through reduction on lipase levels and tissue </w:t>
      </w:r>
      <w:proofErr w:type="spellStart"/>
      <w:r w:rsidR="00BA1708" w:rsidRPr="00C67AD0">
        <w:rPr>
          <w:rFonts w:ascii="Book Antiqua" w:hAnsi="Book Antiqua" w:cs="Times New Roman"/>
          <w:sz w:val="24"/>
          <w:szCs w:val="24"/>
          <w:lang w:val="en-GB"/>
        </w:rPr>
        <w:t>edema</w:t>
      </w:r>
      <w:proofErr w:type="spellEnd"/>
      <w:r w:rsidR="004A30B3" w:rsidRPr="00C67AD0">
        <w:rPr>
          <w:rFonts w:ascii="Book Antiqua" w:hAnsi="Book Antiqua" w:cs="Times New Roman"/>
          <w:sz w:val="24"/>
          <w:szCs w:val="24"/>
          <w:lang w:val="en-GB"/>
        </w:rPr>
        <w:t xml:space="preserve"> in </w:t>
      </w:r>
      <w:proofErr w:type="spellStart"/>
      <w:r w:rsidR="004A30B3" w:rsidRPr="00C67AD0">
        <w:rPr>
          <w:rFonts w:ascii="Book Antiqua" w:hAnsi="Book Antiqua" w:cs="Times New Roman"/>
          <w:sz w:val="24"/>
          <w:szCs w:val="24"/>
          <w:lang w:val="en-GB"/>
        </w:rPr>
        <w:t>cerulein</w:t>
      </w:r>
      <w:proofErr w:type="spellEnd"/>
      <w:r w:rsidR="004A30B3" w:rsidRPr="00C67AD0">
        <w:rPr>
          <w:rFonts w:ascii="Book Antiqua" w:hAnsi="Book Antiqua" w:cs="Times New Roman"/>
          <w:sz w:val="24"/>
          <w:szCs w:val="24"/>
          <w:lang w:val="en-GB"/>
        </w:rPr>
        <w:t>-</w:t>
      </w:r>
      <w:r w:rsidR="00B25A40" w:rsidRPr="00C67AD0">
        <w:rPr>
          <w:rFonts w:ascii="Book Antiqua" w:hAnsi="Book Antiqua" w:cs="Times New Roman"/>
          <w:sz w:val="24"/>
          <w:szCs w:val="24"/>
          <w:lang w:val="en-GB"/>
        </w:rPr>
        <w:t xml:space="preserve">induced </w:t>
      </w:r>
      <w:r w:rsidR="004A30B3" w:rsidRPr="00C67AD0">
        <w:rPr>
          <w:rFonts w:ascii="Book Antiqua" w:hAnsi="Book Antiqua" w:cs="Times New Roman"/>
          <w:sz w:val="24"/>
          <w:szCs w:val="24"/>
          <w:lang w:val="en-GB"/>
        </w:rPr>
        <w:t>AP rats</w:t>
      </w:r>
      <w:r w:rsidR="00BA1708" w:rsidRPr="00C67AD0">
        <w:rPr>
          <w:rFonts w:ascii="Book Antiqua" w:hAnsi="Book Antiqua" w:cs="Times New Roman"/>
          <w:sz w:val="24"/>
          <w:szCs w:val="24"/>
          <w:lang w:val="en-GB"/>
        </w:rPr>
        <w:t xml:space="preserve">. </w:t>
      </w:r>
      <w:r w:rsidR="00000943" w:rsidRPr="00C67AD0">
        <w:rPr>
          <w:rFonts w:ascii="Book Antiqua" w:hAnsi="Book Antiqua" w:cs="Times New Roman"/>
          <w:sz w:val="24"/>
          <w:szCs w:val="24"/>
          <w:lang w:val="en-GB"/>
        </w:rPr>
        <w:t xml:space="preserve">The increased associated </w:t>
      </w:r>
      <w:r w:rsidR="00BA1708" w:rsidRPr="00C67AD0">
        <w:rPr>
          <w:rFonts w:ascii="Book Antiqua" w:hAnsi="Book Antiqua" w:cs="Times New Roman"/>
          <w:sz w:val="24"/>
          <w:szCs w:val="24"/>
          <w:lang w:val="en-GB"/>
        </w:rPr>
        <w:t xml:space="preserve">inflammatory response </w:t>
      </w:r>
      <w:r w:rsidR="00FA3A0C" w:rsidRPr="00C67AD0">
        <w:rPr>
          <w:rFonts w:ascii="Book Antiqua" w:hAnsi="Book Antiqua" w:cs="Times New Roman"/>
          <w:sz w:val="24"/>
          <w:szCs w:val="24"/>
          <w:lang w:val="en-GB"/>
        </w:rPr>
        <w:t xml:space="preserve">caused by </w:t>
      </w:r>
      <w:proofErr w:type="spellStart"/>
      <w:r w:rsidR="00FA3A0C" w:rsidRPr="00C67AD0">
        <w:rPr>
          <w:rFonts w:ascii="Book Antiqua" w:hAnsi="Book Antiqua" w:cs="Times New Roman"/>
          <w:sz w:val="24"/>
          <w:szCs w:val="24"/>
          <w:lang w:val="en-GB"/>
        </w:rPr>
        <w:t>cerulein</w:t>
      </w:r>
      <w:proofErr w:type="spellEnd"/>
      <w:r w:rsidR="00FA3A0C" w:rsidRPr="00C67AD0">
        <w:rPr>
          <w:rFonts w:ascii="Book Antiqua" w:hAnsi="Book Antiqua" w:cs="Times New Roman"/>
          <w:sz w:val="24"/>
          <w:szCs w:val="24"/>
          <w:lang w:val="en-GB"/>
        </w:rPr>
        <w:t xml:space="preserve"> administration </w:t>
      </w:r>
      <w:r w:rsidR="00BA1708" w:rsidRPr="00C67AD0">
        <w:rPr>
          <w:rFonts w:ascii="Book Antiqua" w:hAnsi="Book Antiqua" w:cs="Times New Roman"/>
          <w:sz w:val="24"/>
          <w:szCs w:val="24"/>
          <w:lang w:val="en-GB"/>
        </w:rPr>
        <w:t xml:space="preserve">was attenuated by a decrease in </w:t>
      </w:r>
      <w:r w:rsidR="001A5F3A" w:rsidRPr="00C67AD0">
        <w:rPr>
          <w:rFonts w:ascii="Book Antiqua" w:hAnsi="Book Antiqua" w:cs="Times New Roman"/>
          <w:sz w:val="24"/>
          <w:szCs w:val="24"/>
          <w:lang w:val="en-GB"/>
        </w:rPr>
        <w:t xml:space="preserve">the gene expression of </w:t>
      </w:r>
      <w:r w:rsidR="00BA1708" w:rsidRPr="00C67AD0">
        <w:rPr>
          <w:rFonts w:ascii="Book Antiqua" w:hAnsi="Book Antiqua" w:cs="Times New Roman"/>
          <w:sz w:val="24"/>
          <w:szCs w:val="24"/>
          <w:lang w:val="en-GB"/>
        </w:rPr>
        <w:t>inflammation-</w:t>
      </w:r>
      <w:r w:rsidR="00000943" w:rsidRPr="00C67AD0">
        <w:rPr>
          <w:rFonts w:ascii="Book Antiqua" w:hAnsi="Book Antiqua" w:cs="Times New Roman"/>
          <w:sz w:val="24"/>
          <w:szCs w:val="24"/>
          <w:lang w:val="en-GB"/>
        </w:rPr>
        <w:t xml:space="preserve">related </w:t>
      </w:r>
      <w:r w:rsidR="00BA1708" w:rsidRPr="00C67AD0">
        <w:rPr>
          <w:rFonts w:ascii="Book Antiqua" w:hAnsi="Book Antiqua" w:cs="Times New Roman"/>
          <w:sz w:val="24"/>
          <w:szCs w:val="24"/>
          <w:lang w:val="en-GB"/>
        </w:rPr>
        <w:t>cytokines</w:t>
      </w:r>
      <w:r w:rsidR="004A30B3" w:rsidRPr="00C67AD0">
        <w:rPr>
          <w:rFonts w:ascii="Book Antiqua" w:hAnsi="Book Antiqua" w:cs="Times New Roman"/>
          <w:sz w:val="24"/>
          <w:szCs w:val="24"/>
          <w:lang w:val="en-GB"/>
        </w:rPr>
        <w:t xml:space="preserve"> </w:t>
      </w:r>
      <w:r w:rsidR="00BA1708" w:rsidRPr="00C67AD0">
        <w:rPr>
          <w:rFonts w:ascii="Book Antiqua" w:hAnsi="Book Antiqua" w:cs="Times New Roman"/>
          <w:sz w:val="24"/>
          <w:szCs w:val="24"/>
          <w:lang w:val="en-GB"/>
        </w:rPr>
        <w:t>and</w:t>
      </w:r>
      <w:r w:rsidR="00651E34" w:rsidRPr="00C67AD0">
        <w:rPr>
          <w:rFonts w:ascii="Book Antiqua" w:hAnsi="Book Antiqua" w:cs="Times New Roman"/>
          <w:sz w:val="24"/>
          <w:szCs w:val="24"/>
          <w:lang w:val="en-GB"/>
        </w:rPr>
        <w:t xml:space="preserve"> </w:t>
      </w:r>
      <w:r w:rsidR="00780F2D" w:rsidRPr="00C67AD0">
        <w:rPr>
          <w:rFonts w:ascii="Book Antiqua" w:hAnsi="Book Antiqua" w:cs="Times New Roman"/>
          <w:sz w:val="24"/>
          <w:szCs w:val="24"/>
          <w:lang w:val="en-GB"/>
        </w:rPr>
        <w:t xml:space="preserve">inducible nitric oxide synthase </w:t>
      </w:r>
      <w:r w:rsidR="00BA1708" w:rsidRPr="00C67AD0">
        <w:rPr>
          <w:rFonts w:ascii="Book Antiqua" w:hAnsi="Book Antiqua" w:cs="Times New Roman"/>
          <w:sz w:val="24"/>
          <w:szCs w:val="24"/>
          <w:lang w:val="en-GB"/>
        </w:rPr>
        <w:t xml:space="preserve">enzyme in the pancreas. </w:t>
      </w:r>
      <w:r w:rsidR="000663CF" w:rsidRPr="00C67AD0">
        <w:rPr>
          <w:rFonts w:ascii="Book Antiqua" w:hAnsi="Book Antiqua" w:cs="Times New Roman"/>
          <w:sz w:val="24"/>
          <w:szCs w:val="24"/>
          <w:lang w:val="en-GB"/>
        </w:rPr>
        <w:t xml:space="preserve">In </w:t>
      </w:r>
      <w:r w:rsidR="006F1326" w:rsidRPr="00C67AD0">
        <w:rPr>
          <w:rFonts w:ascii="Book Antiqua" w:hAnsi="Book Antiqua" w:cs="Times New Roman"/>
          <w:sz w:val="24"/>
          <w:szCs w:val="24"/>
          <w:lang w:val="en-GB"/>
        </w:rPr>
        <w:t xml:space="preserve">contrast, pancreatic tissue mRNA expression of </w:t>
      </w:r>
      <w:r w:rsidR="009D1615" w:rsidRPr="00C67AD0">
        <w:rPr>
          <w:rFonts w:ascii="Book Antiqua" w:hAnsi="Book Antiqua" w:cs="Times New Roman"/>
          <w:sz w:val="24"/>
          <w:szCs w:val="24"/>
          <w:lang w:val="en-GB"/>
        </w:rPr>
        <w:t>interleukin</w:t>
      </w:r>
      <w:r w:rsidR="009D1615" w:rsidRPr="00C67AD0">
        <w:rPr>
          <w:rFonts w:ascii="Book Antiqua" w:hAnsi="Book Antiqua" w:cs="Times New Roman" w:hint="eastAsia"/>
          <w:sz w:val="24"/>
          <w:szCs w:val="24"/>
          <w:lang w:val="en-GB" w:eastAsia="zh-CN"/>
        </w:rPr>
        <w:t xml:space="preserve"> </w:t>
      </w:r>
      <w:r w:rsidR="006F1326" w:rsidRPr="00C67AD0">
        <w:rPr>
          <w:rFonts w:ascii="Book Antiqua" w:hAnsi="Book Antiqua" w:cs="Times New Roman"/>
          <w:sz w:val="24"/>
          <w:szCs w:val="24"/>
          <w:lang w:val="en-GB"/>
        </w:rPr>
        <w:t>10 was markedly increased.</w:t>
      </w:r>
      <w:r w:rsidR="004A30B3" w:rsidRPr="00C67AD0">
        <w:rPr>
          <w:rFonts w:ascii="Book Antiqua" w:hAnsi="Book Antiqua" w:cs="Times New Roman"/>
          <w:sz w:val="24"/>
          <w:szCs w:val="24"/>
          <w:lang w:val="en-GB"/>
        </w:rPr>
        <w:t xml:space="preserve"> </w:t>
      </w:r>
      <w:r w:rsidR="00BA1708" w:rsidRPr="00C67AD0">
        <w:rPr>
          <w:rFonts w:ascii="Book Antiqua" w:hAnsi="Book Antiqua" w:cs="Times New Roman"/>
          <w:sz w:val="24"/>
          <w:szCs w:val="24"/>
          <w:lang w:val="en-GB"/>
        </w:rPr>
        <w:t xml:space="preserve">PEG35 treatment also protected against inflammation-induced cell death </w:t>
      </w:r>
      <w:r w:rsidR="00A23E18" w:rsidRPr="00C67AD0">
        <w:rPr>
          <w:rFonts w:ascii="Book Antiqua" w:hAnsi="Book Antiqua" w:cs="Times New Roman"/>
          <w:sz w:val="24"/>
          <w:szCs w:val="24"/>
          <w:lang w:val="en-GB"/>
        </w:rPr>
        <w:t>by attenuating</w:t>
      </w:r>
      <w:r w:rsidR="004A30B3" w:rsidRPr="00C67AD0">
        <w:rPr>
          <w:rFonts w:ascii="Book Antiqua" w:hAnsi="Book Antiqua" w:cs="Times New Roman"/>
          <w:sz w:val="24"/>
          <w:szCs w:val="24"/>
          <w:lang w:val="en-GB"/>
        </w:rPr>
        <w:t xml:space="preserve"> lactate dehydrogenase activity</w:t>
      </w:r>
      <w:r w:rsidR="00A23E18" w:rsidRPr="00C67AD0">
        <w:rPr>
          <w:rFonts w:ascii="Book Antiqua" w:hAnsi="Book Antiqua" w:cs="Times New Roman"/>
          <w:sz w:val="24"/>
          <w:szCs w:val="24"/>
          <w:lang w:val="en-GB"/>
        </w:rPr>
        <w:t xml:space="preserve"> and </w:t>
      </w:r>
      <w:r w:rsidR="00B25A40" w:rsidRPr="00C67AD0">
        <w:rPr>
          <w:rFonts w:ascii="Book Antiqua" w:hAnsi="Book Antiqua" w:cs="Times New Roman"/>
          <w:sz w:val="24"/>
          <w:szCs w:val="24"/>
          <w:lang w:val="en-GB"/>
        </w:rPr>
        <w:t xml:space="preserve">modulating </w:t>
      </w:r>
      <w:r w:rsidR="00A23E18" w:rsidRPr="00C67AD0">
        <w:rPr>
          <w:rFonts w:ascii="Book Antiqua" w:hAnsi="Book Antiqua" w:cs="Times New Roman"/>
          <w:sz w:val="24"/>
          <w:szCs w:val="24"/>
          <w:lang w:val="en-GB"/>
        </w:rPr>
        <w:t xml:space="preserve">the pancreatic </w:t>
      </w:r>
      <w:r w:rsidR="004A30B3" w:rsidRPr="00C67AD0">
        <w:rPr>
          <w:rFonts w:ascii="Book Antiqua" w:hAnsi="Book Antiqua" w:cs="Times New Roman"/>
          <w:sz w:val="24"/>
          <w:szCs w:val="24"/>
          <w:lang w:val="en-GB"/>
        </w:rPr>
        <w:t>levels of apoptosis regulator protein BCL-2</w:t>
      </w:r>
      <w:r w:rsidR="00B25A40" w:rsidRPr="00C67AD0">
        <w:rPr>
          <w:rFonts w:ascii="Book Antiqua" w:hAnsi="Book Antiqua" w:cs="Times New Roman"/>
          <w:sz w:val="24"/>
          <w:szCs w:val="24"/>
          <w:lang w:val="en-GB"/>
        </w:rPr>
        <w:t xml:space="preserve"> in </w:t>
      </w:r>
      <w:proofErr w:type="spellStart"/>
      <w:r w:rsidR="00B25A40" w:rsidRPr="00C67AD0">
        <w:rPr>
          <w:rFonts w:ascii="Book Antiqua" w:hAnsi="Book Antiqua" w:cs="Times New Roman"/>
          <w:sz w:val="24"/>
          <w:szCs w:val="24"/>
          <w:lang w:val="en-GB"/>
        </w:rPr>
        <w:t>cerulein</w:t>
      </w:r>
      <w:proofErr w:type="spellEnd"/>
      <w:r w:rsidR="00B25A40" w:rsidRPr="00C67AD0">
        <w:rPr>
          <w:rFonts w:ascii="Book Antiqua" w:hAnsi="Book Antiqua" w:cs="Times New Roman"/>
          <w:sz w:val="24"/>
          <w:szCs w:val="24"/>
          <w:lang w:val="en-GB"/>
        </w:rPr>
        <w:t xml:space="preserve"> </w:t>
      </w:r>
      <w:proofErr w:type="spellStart"/>
      <w:r w:rsidR="00B25A40" w:rsidRPr="00C67AD0">
        <w:rPr>
          <w:rFonts w:ascii="Book Antiqua" w:hAnsi="Book Antiqua" w:cs="Times New Roman"/>
          <w:sz w:val="24"/>
          <w:szCs w:val="24"/>
          <w:lang w:val="en-GB"/>
        </w:rPr>
        <w:t>hyperstimulated</w:t>
      </w:r>
      <w:proofErr w:type="spellEnd"/>
      <w:r w:rsidR="00B25A40" w:rsidRPr="00C67AD0">
        <w:rPr>
          <w:rFonts w:ascii="Book Antiqua" w:hAnsi="Book Antiqua" w:cs="Times New Roman"/>
          <w:sz w:val="24"/>
          <w:szCs w:val="24"/>
          <w:lang w:val="en-GB"/>
        </w:rPr>
        <w:t xml:space="preserve"> rats</w:t>
      </w:r>
      <w:r w:rsidR="004A30B3" w:rsidRPr="00C67AD0">
        <w:rPr>
          <w:rFonts w:ascii="Book Antiqua" w:hAnsi="Book Antiqua" w:cs="Times New Roman"/>
          <w:sz w:val="24"/>
          <w:szCs w:val="24"/>
          <w:lang w:val="en-GB"/>
        </w:rPr>
        <w:t xml:space="preserve">. </w:t>
      </w:r>
      <w:r w:rsidR="00BA1708" w:rsidRPr="00C67AD0">
        <w:rPr>
          <w:rFonts w:ascii="Book Antiqua" w:hAnsi="Book Antiqua" w:cs="Times New Roman"/>
          <w:sz w:val="24"/>
          <w:szCs w:val="24"/>
          <w:lang w:val="en-GB"/>
        </w:rPr>
        <w:t>Furthermore</w:t>
      </w:r>
      <w:r w:rsidR="004C3998" w:rsidRPr="00C67AD0">
        <w:rPr>
          <w:rFonts w:ascii="Book Antiqua" w:hAnsi="Book Antiqua" w:cs="Times New Roman"/>
          <w:sz w:val="24"/>
          <w:szCs w:val="24"/>
          <w:lang w:val="en-GB"/>
        </w:rPr>
        <w:t xml:space="preserve">, </w:t>
      </w:r>
      <w:r w:rsidR="004A30B3" w:rsidRPr="00C67AD0">
        <w:rPr>
          <w:rFonts w:ascii="Book Antiqua" w:hAnsi="Book Antiqua" w:cs="Times New Roman"/>
          <w:sz w:val="24"/>
          <w:szCs w:val="24"/>
          <w:lang w:val="en-GB"/>
        </w:rPr>
        <w:t xml:space="preserve">the activation of </w:t>
      </w:r>
      <w:r w:rsidR="004C3998" w:rsidRPr="00C67AD0">
        <w:rPr>
          <w:rFonts w:ascii="Book Antiqua" w:hAnsi="Book Antiqua" w:cs="Times New Roman"/>
          <w:sz w:val="24"/>
          <w:szCs w:val="24"/>
          <w:lang w:val="en-GB"/>
        </w:rPr>
        <w:t xml:space="preserve">pro-inflammatory </w:t>
      </w:r>
      <w:r w:rsidR="00B25A40" w:rsidRPr="00C67AD0">
        <w:rPr>
          <w:rFonts w:ascii="Book Antiqua" w:hAnsi="Book Antiqua" w:cs="Times New Roman"/>
          <w:sz w:val="24"/>
          <w:szCs w:val="24"/>
          <w:lang w:val="en-GB"/>
        </w:rPr>
        <w:t xml:space="preserve">markers </w:t>
      </w:r>
      <w:r w:rsidRPr="00C67AD0">
        <w:rPr>
          <w:rFonts w:ascii="Book Antiqua" w:hAnsi="Book Antiqua" w:cs="Times New Roman"/>
          <w:sz w:val="24"/>
          <w:szCs w:val="24"/>
          <w:lang w:val="en-GB"/>
        </w:rPr>
        <w:t xml:space="preserve">and </w:t>
      </w:r>
      <w:r w:rsidR="00F66950" w:rsidRPr="00C67AD0">
        <w:rPr>
          <w:rFonts w:ascii="Book Antiqua" w:hAnsi="Book Antiqua" w:cs="Times New Roman"/>
          <w:sz w:val="24"/>
          <w:szCs w:val="24"/>
          <w:lang w:val="en-GB"/>
        </w:rPr>
        <w:t>inflammation-induced cell death</w:t>
      </w:r>
      <w:r w:rsidR="00A23E18" w:rsidRPr="00C67AD0">
        <w:rPr>
          <w:rFonts w:ascii="Book Antiqua" w:hAnsi="Book Antiqua" w:cs="Times New Roman"/>
          <w:sz w:val="24"/>
          <w:szCs w:val="24"/>
          <w:lang w:val="en-GB"/>
        </w:rPr>
        <w:t xml:space="preserve"> </w:t>
      </w:r>
      <w:r w:rsidR="00F66950" w:rsidRPr="00C67AD0">
        <w:rPr>
          <w:rFonts w:ascii="Book Antiqua" w:hAnsi="Book Antiqua" w:cs="Times New Roman"/>
          <w:sz w:val="24"/>
          <w:szCs w:val="24"/>
          <w:lang w:val="en-GB"/>
        </w:rPr>
        <w:t>in pancreatic acinar cells</w:t>
      </w:r>
      <w:r w:rsidR="004A30B3" w:rsidRPr="00C67AD0">
        <w:rPr>
          <w:rFonts w:ascii="Book Antiqua" w:hAnsi="Book Antiqua" w:cs="Times New Roman"/>
          <w:sz w:val="24"/>
          <w:szCs w:val="24"/>
          <w:lang w:val="en-GB"/>
        </w:rPr>
        <w:t xml:space="preserve"> </w:t>
      </w:r>
      <w:r w:rsidR="00AE7059" w:rsidRPr="00C67AD0">
        <w:rPr>
          <w:rFonts w:ascii="Book Antiqua" w:hAnsi="Book Antiqua" w:cs="Times New Roman"/>
          <w:sz w:val="24"/>
          <w:szCs w:val="24"/>
          <w:lang w:val="en-GB"/>
        </w:rPr>
        <w:t xml:space="preserve">treated with TNFα, </w:t>
      </w:r>
      <w:proofErr w:type="spellStart"/>
      <w:r w:rsidR="00AE7059" w:rsidRPr="00C67AD0">
        <w:rPr>
          <w:rFonts w:ascii="Book Antiqua" w:hAnsi="Book Antiqua" w:cs="Times New Roman"/>
          <w:sz w:val="24"/>
          <w:szCs w:val="24"/>
          <w:lang w:val="en-GB"/>
        </w:rPr>
        <w:t>cerulein</w:t>
      </w:r>
      <w:proofErr w:type="spellEnd"/>
      <w:r w:rsidR="00AE7059" w:rsidRPr="00C67AD0">
        <w:rPr>
          <w:rFonts w:ascii="Book Antiqua" w:hAnsi="Book Antiqua" w:cs="Times New Roman"/>
          <w:sz w:val="24"/>
          <w:szCs w:val="24"/>
          <w:lang w:val="en-GB"/>
        </w:rPr>
        <w:t xml:space="preserve"> or </w:t>
      </w:r>
      <w:proofErr w:type="spellStart"/>
      <w:r w:rsidR="00AE7059" w:rsidRPr="00C67AD0">
        <w:rPr>
          <w:rFonts w:ascii="Book Antiqua" w:hAnsi="Book Antiqua" w:cs="Times New Roman"/>
          <w:sz w:val="24"/>
          <w:szCs w:val="24"/>
          <w:lang w:val="en-GB"/>
        </w:rPr>
        <w:t>staurosporine</w:t>
      </w:r>
      <w:proofErr w:type="spellEnd"/>
      <w:r w:rsidR="00AE7059" w:rsidRPr="00C67AD0">
        <w:rPr>
          <w:rFonts w:ascii="Book Antiqua" w:hAnsi="Book Antiqua" w:cs="Times New Roman"/>
          <w:sz w:val="24"/>
          <w:szCs w:val="24"/>
          <w:lang w:val="en-GB"/>
        </w:rPr>
        <w:t xml:space="preserve"> </w:t>
      </w:r>
      <w:r w:rsidR="004A30B3" w:rsidRPr="00C67AD0">
        <w:rPr>
          <w:rFonts w:ascii="Book Antiqua" w:hAnsi="Book Antiqua" w:cs="Times New Roman"/>
          <w:sz w:val="24"/>
          <w:szCs w:val="24"/>
          <w:lang w:val="en-GB"/>
        </w:rPr>
        <w:t xml:space="preserve">was </w:t>
      </w:r>
      <w:r w:rsidR="00FA3A0C" w:rsidRPr="00C67AD0">
        <w:rPr>
          <w:rFonts w:ascii="Book Antiqua" w:hAnsi="Book Antiqua" w:cs="Times New Roman"/>
          <w:sz w:val="24"/>
          <w:szCs w:val="24"/>
          <w:lang w:val="en-GB"/>
        </w:rPr>
        <w:t xml:space="preserve">significantly </w:t>
      </w:r>
      <w:r w:rsidR="00AE7059" w:rsidRPr="00C67AD0">
        <w:rPr>
          <w:rFonts w:ascii="Book Antiqua" w:hAnsi="Book Antiqua" w:cs="Times New Roman"/>
          <w:sz w:val="24"/>
          <w:szCs w:val="24"/>
          <w:lang w:val="en-GB"/>
        </w:rPr>
        <w:t xml:space="preserve">reduced </w:t>
      </w:r>
      <w:r w:rsidR="00005BD6" w:rsidRPr="00C67AD0">
        <w:rPr>
          <w:rFonts w:ascii="Book Antiqua" w:hAnsi="Book Antiqua" w:cs="Times New Roman"/>
          <w:sz w:val="24"/>
          <w:szCs w:val="24"/>
          <w:lang w:val="en-GB"/>
        </w:rPr>
        <w:t xml:space="preserve">by </w:t>
      </w:r>
      <w:r w:rsidR="004A30B3" w:rsidRPr="00C67AD0">
        <w:rPr>
          <w:rFonts w:ascii="Book Antiqua" w:hAnsi="Book Antiqua" w:cs="Times New Roman"/>
          <w:sz w:val="24"/>
          <w:szCs w:val="24"/>
          <w:lang w:val="en-GB"/>
        </w:rPr>
        <w:t>PEG35 treatment</w:t>
      </w:r>
      <w:r w:rsidR="00005BD6" w:rsidRPr="00C67AD0">
        <w:rPr>
          <w:rFonts w:ascii="Book Antiqua" w:hAnsi="Book Antiqua" w:cs="Times New Roman"/>
          <w:sz w:val="24"/>
          <w:szCs w:val="24"/>
          <w:lang w:val="en-GB"/>
        </w:rPr>
        <w:t>,</w:t>
      </w:r>
      <w:r w:rsidR="00000943" w:rsidRPr="00C67AD0">
        <w:rPr>
          <w:rFonts w:ascii="Book Antiqua" w:hAnsi="Book Antiqua" w:cs="Times New Roman"/>
          <w:sz w:val="24"/>
          <w:szCs w:val="24"/>
          <w:lang w:val="en-GB"/>
        </w:rPr>
        <w:t xml:space="preserve"> in a dose-dependent manner</w:t>
      </w:r>
      <w:r w:rsidR="004A30B3" w:rsidRPr="00C67AD0">
        <w:rPr>
          <w:rFonts w:ascii="Book Antiqua" w:hAnsi="Book Antiqua" w:cs="Times New Roman"/>
          <w:sz w:val="24"/>
          <w:szCs w:val="24"/>
          <w:lang w:val="en-GB"/>
        </w:rPr>
        <w:t>.</w:t>
      </w:r>
      <w:r w:rsidR="00A23E18" w:rsidRPr="00C67AD0">
        <w:rPr>
          <w:rFonts w:ascii="Book Antiqua" w:hAnsi="Book Antiqua" w:cs="Times New Roman"/>
          <w:sz w:val="24"/>
          <w:szCs w:val="24"/>
          <w:lang w:val="en-GB"/>
        </w:rPr>
        <w:t xml:space="preserve"> </w:t>
      </w:r>
    </w:p>
    <w:bookmarkEnd w:id="7"/>
    <w:p w14:paraId="1C8847BA" w14:textId="77777777" w:rsidR="00CF5C7B" w:rsidRPr="00C67AD0" w:rsidRDefault="00CF5C7B" w:rsidP="00B8567E">
      <w:pPr>
        <w:spacing w:line="360" w:lineRule="auto"/>
        <w:contextualSpacing/>
        <w:jc w:val="both"/>
        <w:rPr>
          <w:rFonts w:ascii="Book Antiqua" w:hAnsi="Book Antiqua" w:cs="Times New Roman"/>
          <w:bCs/>
          <w:sz w:val="24"/>
          <w:szCs w:val="24"/>
          <w:lang w:val="en-GB" w:eastAsia="zh-CN"/>
        </w:rPr>
      </w:pPr>
    </w:p>
    <w:p w14:paraId="388A3CDC" w14:textId="40A038DB" w:rsidR="0035248E" w:rsidRPr="00C67AD0" w:rsidRDefault="002B21C7" w:rsidP="00B8567E">
      <w:pPr>
        <w:spacing w:line="360" w:lineRule="auto"/>
        <w:contextualSpacing/>
        <w:jc w:val="both"/>
        <w:rPr>
          <w:rFonts w:ascii="Book Antiqua" w:hAnsi="Book Antiqua" w:cs="Times New Roman"/>
          <w:bCs/>
          <w:sz w:val="24"/>
          <w:szCs w:val="24"/>
          <w:lang w:val="en-GB"/>
        </w:rPr>
      </w:pPr>
      <w:r>
        <w:rPr>
          <w:rFonts w:ascii="Book Antiqua" w:hAnsi="Book Antiqua" w:cs="Times New Roman"/>
          <w:bCs/>
          <w:sz w:val="24"/>
          <w:szCs w:val="24"/>
          <w:lang w:val="en-GB"/>
        </w:rPr>
        <w:t>CONCLUSION</w:t>
      </w:r>
    </w:p>
    <w:p w14:paraId="365E1027" w14:textId="7F2501C1" w:rsidR="00B44A58" w:rsidRPr="00C67AD0" w:rsidRDefault="00B44A58"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PEG35 </w:t>
      </w:r>
      <w:r w:rsidR="00467D8B" w:rsidRPr="00C67AD0">
        <w:rPr>
          <w:rFonts w:ascii="Book Antiqua" w:hAnsi="Book Antiqua" w:cs="Times New Roman"/>
          <w:sz w:val="24"/>
          <w:szCs w:val="24"/>
          <w:lang w:val="en-GB"/>
        </w:rPr>
        <w:t xml:space="preserve">ameliorates </w:t>
      </w:r>
      <w:r w:rsidRPr="00C67AD0">
        <w:rPr>
          <w:rFonts w:ascii="Book Antiqua" w:hAnsi="Book Antiqua" w:cs="Times New Roman"/>
          <w:sz w:val="24"/>
          <w:szCs w:val="24"/>
          <w:lang w:val="en-GB"/>
        </w:rPr>
        <w:t xml:space="preserve">pancreatic </w:t>
      </w:r>
      <w:r w:rsidR="005C620D" w:rsidRPr="00C67AD0">
        <w:rPr>
          <w:rFonts w:ascii="Book Antiqua" w:hAnsi="Book Antiqua" w:cs="Times New Roman"/>
          <w:sz w:val="24"/>
          <w:szCs w:val="24"/>
          <w:lang w:val="en-GB"/>
        </w:rPr>
        <w:t xml:space="preserve">damage in </w:t>
      </w:r>
      <w:proofErr w:type="spellStart"/>
      <w:r w:rsidR="005C620D" w:rsidRPr="00C67AD0">
        <w:rPr>
          <w:rFonts w:ascii="Book Antiqua" w:hAnsi="Book Antiqua" w:cs="Times New Roman"/>
          <w:sz w:val="24"/>
          <w:szCs w:val="24"/>
          <w:lang w:val="en-GB"/>
        </w:rPr>
        <w:t>cerulein</w:t>
      </w:r>
      <w:proofErr w:type="spellEnd"/>
      <w:r w:rsidR="005C620D" w:rsidRPr="00C67AD0">
        <w:rPr>
          <w:rFonts w:ascii="Book Antiqua" w:hAnsi="Book Antiqua" w:cs="Times New Roman"/>
          <w:sz w:val="24"/>
          <w:szCs w:val="24"/>
          <w:lang w:val="en-GB"/>
        </w:rPr>
        <w:t xml:space="preserve">-induced AP </w:t>
      </w:r>
      <w:r w:rsidR="00B25A40" w:rsidRPr="00C67AD0">
        <w:rPr>
          <w:rFonts w:ascii="Book Antiqua" w:hAnsi="Book Antiqua" w:cs="Times New Roman"/>
          <w:sz w:val="24"/>
          <w:szCs w:val="24"/>
          <w:lang w:val="en-GB"/>
        </w:rPr>
        <w:t xml:space="preserve">and </w:t>
      </w:r>
      <w:r w:rsidR="00C2345B" w:rsidRPr="00C67AD0">
        <w:rPr>
          <w:rFonts w:ascii="Book Antiqua" w:hAnsi="Book Antiqua" w:cs="Times New Roman"/>
          <w:sz w:val="24"/>
          <w:szCs w:val="24"/>
          <w:lang w:val="en-GB"/>
        </w:rPr>
        <w:t>AR42J</w:t>
      </w:r>
      <w:r w:rsidR="00B25A40" w:rsidRPr="00C67AD0">
        <w:rPr>
          <w:rFonts w:ascii="Book Antiqua" w:hAnsi="Book Antiqua" w:cs="Times New Roman"/>
          <w:sz w:val="24"/>
          <w:szCs w:val="24"/>
          <w:lang w:val="en-GB"/>
        </w:rPr>
        <w:t xml:space="preserve">-treated cells </w:t>
      </w:r>
      <w:r w:rsidR="005C620D" w:rsidRPr="00C67AD0">
        <w:rPr>
          <w:rFonts w:ascii="Book Antiqua" w:hAnsi="Book Antiqua" w:cs="Times New Roman"/>
          <w:sz w:val="24"/>
          <w:szCs w:val="24"/>
          <w:lang w:val="en-GB"/>
        </w:rPr>
        <w:t xml:space="preserve">through the attenuation of the inflammatory </w:t>
      </w:r>
      <w:r w:rsidR="00B25A40" w:rsidRPr="00C67AD0">
        <w:rPr>
          <w:rFonts w:ascii="Book Antiqua" w:hAnsi="Book Antiqua" w:cs="Times New Roman"/>
          <w:sz w:val="24"/>
          <w:szCs w:val="24"/>
          <w:lang w:val="en-GB"/>
        </w:rPr>
        <w:t xml:space="preserve">response </w:t>
      </w:r>
      <w:r w:rsidR="005C620D" w:rsidRPr="00C67AD0">
        <w:rPr>
          <w:rFonts w:ascii="Book Antiqua" w:hAnsi="Book Antiqua" w:cs="Times New Roman"/>
          <w:sz w:val="24"/>
          <w:szCs w:val="24"/>
          <w:lang w:val="en-GB"/>
        </w:rPr>
        <w:t xml:space="preserve">and associated cell death. </w:t>
      </w:r>
      <w:r w:rsidRPr="00C67AD0">
        <w:rPr>
          <w:rFonts w:ascii="Book Antiqua" w:hAnsi="Book Antiqua" w:cs="Times New Roman"/>
          <w:sz w:val="24"/>
          <w:szCs w:val="24"/>
          <w:lang w:val="en-GB"/>
        </w:rPr>
        <w:t xml:space="preserve">PEG35 may be a valuable option in the </w:t>
      </w:r>
      <w:r w:rsidR="001F4A48" w:rsidRPr="00C67AD0">
        <w:rPr>
          <w:rFonts w:ascii="Book Antiqua" w:hAnsi="Book Antiqua" w:cs="Times New Roman"/>
          <w:sz w:val="24"/>
          <w:szCs w:val="24"/>
          <w:lang w:val="en-GB"/>
        </w:rPr>
        <w:t xml:space="preserve">management </w:t>
      </w:r>
      <w:r w:rsidRPr="00C67AD0">
        <w:rPr>
          <w:rFonts w:ascii="Book Antiqua" w:hAnsi="Book Antiqua" w:cs="Times New Roman"/>
          <w:sz w:val="24"/>
          <w:szCs w:val="24"/>
          <w:lang w:val="en-GB"/>
        </w:rPr>
        <w:t xml:space="preserve">of AP. </w:t>
      </w:r>
    </w:p>
    <w:p w14:paraId="2A8C6F04" w14:textId="77777777" w:rsidR="00B44A58" w:rsidRPr="00C67AD0" w:rsidRDefault="00B44A58" w:rsidP="00B8567E">
      <w:pPr>
        <w:spacing w:line="360" w:lineRule="auto"/>
        <w:contextualSpacing/>
        <w:jc w:val="both"/>
        <w:rPr>
          <w:rFonts w:ascii="Book Antiqua" w:hAnsi="Book Antiqua" w:cs="Times New Roman"/>
          <w:b/>
          <w:bCs/>
          <w:sz w:val="24"/>
          <w:szCs w:val="24"/>
          <w:lang w:val="en-GB"/>
        </w:rPr>
      </w:pPr>
    </w:p>
    <w:p w14:paraId="08F0A10D" w14:textId="77777777" w:rsidR="001F325A" w:rsidRPr="00C67AD0" w:rsidRDefault="001F325A" w:rsidP="001F325A">
      <w:pPr>
        <w:spacing w:line="360" w:lineRule="auto"/>
        <w:contextualSpacing/>
        <w:jc w:val="both"/>
        <w:rPr>
          <w:rFonts w:ascii="Book Antiqua" w:hAnsi="Book Antiqua" w:cs="Times New Roman"/>
          <w:sz w:val="24"/>
          <w:szCs w:val="24"/>
          <w:lang w:val="en-GB" w:eastAsia="zh-CN"/>
        </w:rPr>
      </w:pPr>
      <w:r w:rsidRPr="00C67AD0">
        <w:rPr>
          <w:rFonts w:ascii="Book Antiqua" w:hAnsi="Book Antiqua" w:cs="Times New Roman"/>
          <w:b/>
          <w:bCs/>
          <w:sz w:val="24"/>
          <w:szCs w:val="24"/>
          <w:lang w:val="en-GB"/>
        </w:rPr>
        <w:t xml:space="preserve">Key </w:t>
      </w:r>
      <w:r w:rsidRPr="00C67AD0">
        <w:rPr>
          <w:rFonts w:ascii="Book Antiqua" w:hAnsi="Book Antiqua" w:cs="Times New Roman" w:hint="eastAsia"/>
          <w:b/>
          <w:bCs/>
          <w:sz w:val="24"/>
          <w:szCs w:val="24"/>
          <w:lang w:val="en-GB" w:eastAsia="zh-CN"/>
        </w:rPr>
        <w:t>W</w:t>
      </w:r>
      <w:r w:rsidRPr="00C67AD0">
        <w:rPr>
          <w:rFonts w:ascii="Book Antiqua" w:hAnsi="Book Antiqua" w:cs="Times New Roman"/>
          <w:b/>
          <w:bCs/>
          <w:sz w:val="24"/>
          <w:szCs w:val="24"/>
          <w:lang w:val="en-GB"/>
        </w:rPr>
        <w:t>ords:</w:t>
      </w:r>
      <w:r w:rsidRPr="00C67AD0">
        <w:rPr>
          <w:rFonts w:ascii="Book Antiqua" w:hAnsi="Book Antiqua" w:cs="Times New Roman"/>
          <w:sz w:val="24"/>
          <w:szCs w:val="24"/>
          <w:lang w:val="en-GB"/>
        </w:rPr>
        <w:t xml:space="preserve"> </w:t>
      </w:r>
      <w:r w:rsidRPr="00C67AD0">
        <w:rPr>
          <w:rFonts w:ascii="Book Antiqua" w:hAnsi="Book Antiqua" w:cs="Times New Roman" w:hint="eastAsia"/>
          <w:sz w:val="24"/>
          <w:szCs w:val="24"/>
          <w:lang w:val="en-GB" w:eastAsia="zh-CN"/>
        </w:rPr>
        <w:t>A</w:t>
      </w:r>
      <w:r w:rsidRPr="00C67AD0">
        <w:rPr>
          <w:rFonts w:ascii="Book Antiqua" w:hAnsi="Book Antiqua" w:cs="Times New Roman"/>
          <w:sz w:val="24"/>
          <w:szCs w:val="24"/>
          <w:lang w:val="en-GB"/>
        </w:rPr>
        <w:t>cute pancreatitis</w:t>
      </w:r>
      <w:r w:rsidRPr="00C67AD0">
        <w:rPr>
          <w:rFonts w:ascii="Book Antiqua" w:hAnsi="Book Antiqua" w:cs="Times New Roman" w:hint="eastAsia"/>
          <w:sz w:val="24"/>
          <w:szCs w:val="24"/>
          <w:lang w:val="en-GB" w:eastAsia="zh-CN"/>
        </w:rPr>
        <w:t>; I</w:t>
      </w:r>
      <w:r w:rsidRPr="00C67AD0">
        <w:rPr>
          <w:rFonts w:ascii="Book Antiqua" w:hAnsi="Book Antiqua" w:cs="Times New Roman"/>
          <w:sz w:val="24"/>
          <w:szCs w:val="24"/>
          <w:lang w:val="en-GB"/>
        </w:rPr>
        <w:t>nflammation</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w:t>
      </w:r>
      <w:r w:rsidRPr="00C67AD0">
        <w:rPr>
          <w:rFonts w:ascii="Book Antiqua" w:hAnsi="Book Antiqua" w:cs="Times New Roman" w:hint="eastAsia"/>
          <w:sz w:val="24"/>
          <w:szCs w:val="24"/>
          <w:lang w:val="en-GB" w:eastAsia="zh-CN"/>
        </w:rPr>
        <w:t>P</w:t>
      </w:r>
      <w:r w:rsidRPr="00C67AD0">
        <w:rPr>
          <w:rFonts w:ascii="Book Antiqua" w:hAnsi="Book Antiqua" w:cs="Times New Roman"/>
          <w:sz w:val="24"/>
          <w:szCs w:val="24"/>
          <w:lang w:val="en-GB"/>
        </w:rPr>
        <w:t>olyethylene glycols</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w:t>
      </w:r>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rPr>
        <w:t>ytokines</w:t>
      </w:r>
      <w:r w:rsidRPr="00C67AD0">
        <w:rPr>
          <w:rFonts w:ascii="Book Antiqua" w:hAnsi="Book Antiqua" w:cs="Times New Roman" w:hint="eastAsia"/>
          <w:sz w:val="24"/>
          <w:szCs w:val="24"/>
          <w:lang w:val="en-GB" w:eastAsia="zh-CN"/>
        </w:rPr>
        <w:t xml:space="preserve">; </w:t>
      </w:r>
      <w:r w:rsidRPr="00C67AD0">
        <w:rPr>
          <w:rFonts w:ascii="Book Antiqua" w:hAnsi="Book Antiqua" w:cs="Times New Roman"/>
          <w:sz w:val="24"/>
          <w:szCs w:val="24"/>
          <w:lang w:val="en-GB"/>
        </w:rPr>
        <w:t>AR42J cells</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w:t>
      </w:r>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rPr>
        <w:t>ell death</w:t>
      </w:r>
    </w:p>
    <w:p w14:paraId="2E2FFE9C" w14:textId="533D89C5" w:rsidR="009C5B30" w:rsidRPr="00C67AD0" w:rsidRDefault="009C5B30" w:rsidP="00B8567E">
      <w:pPr>
        <w:spacing w:line="360" w:lineRule="auto"/>
        <w:contextualSpacing/>
        <w:jc w:val="both"/>
        <w:rPr>
          <w:rFonts w:ascii="Book Antiqua" w:hAnsi="Book Antiqua" w:cs="Times New Roman"/>
          <w:b/>
          <w:bCs/>
          <w:sz w:val="24"/>
          <w:szCs w:val="24"/>
          <w:lang w:val="en-GB" w:eastAsia="zh-CN"/>
        </w:rPr>
      </w:pPr>
    </w:p>
    <w:p w14:paraId="5DF86817" w14:textId="77777777" w:rsidR="00D61EF6" w:rsidRDefault="00D61EF6" w:rsidP="00B8567E">
      <w:pPr>
        <w:spacing w:line="360" w:lineRule="auto"/>
        <w:contextualSpacing/>
        <w:jc w:val="both"/>
        <w:rPr>
          <w:rFonts w:ascii="Book Antiqua" w:hAnsi="Book Antiqua" w:cs="Book Antiqua" w:hint="eastAsia"/>
          <w:color w:val="000000"/>
          <w:lang w:eastAsia="zh-CN"/>
        </w:rPr>
      </w:pPr>
      <w:r w:rsidRPr="00D61EF6">
        <w:rPr>
          <w:rFonts w:ascii="Book Antiqua" w:eastAsia="宋体" w:hAnsi="Book Antiqua" w:cs="Times New Roman" w:hint="eastAsia"/>
          <w:b/>
          <w:iCs/>
          <w:kern w:val="2"/>
          <w:sz w:val="24"/>
          <w:szCs w:val="24"/>
          <w:lang w:eastAsia="zh-CN"/>
        </w:rPr>
        <w:t xml:space="preserve">Citation: </w:t>
      </w:r>
      <w:r w:rsidR="001F325A" w:rsidRPr="00C67AD0">
        <w:rPr>
          <w:rFonts w:ascii="Book Antiqua" w:eastAsia="宋体" w:hAnsi="Book Antiqua" w:cs="Times New Roman"/>
          <w:iCs/>
          <w:kern w:val="2"/>
          <w:sz w:val="24"/>
          <w:szCs w:val="24"/>
          <w:lang w:eastAsia="zh-CN"/>
        </w:rPr>
        <w:t>Ferrero-Andrés</w:t>
      </w:r>
      <w:r w:rsidR="001F325A" w:rsidRPr="00C67AD0">
        <w:rPr>
          <w:rFonts w:ascii="Book Antiqua" w:eastAsia="宋体" w:hAnsi="Book Antiqua" w:cs="Times New Roman" w:hint="eastAsia"/>
          <w:iCs/>
          <w:kern w:val="2"/>
          <w:sz w:val="24"/>
          <w:szCs w:val="24"/>
          <w:lang w:eastAsia="zh-CN"/>
        </w:rPr>
        <w:t xml:space="preserve"> A</w:t>
      </w:r>
      <w:r w:rsidR="001F325A" w:rsidRPr="00C67AD0">
        <w:rPr>
          <w:rFonts w:ascii="Book Antiqua" w:eastAsia="宋体" w:hAnsi="Book Antiqua" w:cs="Times New Roman"/>
          <w:iCs/>
          <w:kern w:val="2"/>
          <w:sz w:val="24"/>
          <w:szCs w:val="24"/>
          <w:lang w:eastAsia="zh-CN"/>
        </w:rPr>
        <w:t xml:space="preserve">, </w:t>
      </w:r>
      <w:proofErr w:type="spellStart"/>
      <w:r w:rsidR="001F325A" w:rsidRPr="00C67AD0">
        <w:rPr>
          <w:rFonts w:ascii="Book Antiqua" w:eastAsia="宋体" w:hAnsi="Book Antiqua" w:cs="Times New Roman"/>
          <w:iCs/>
          <w:kern w:val="2"/>
          <w:sz w:val="24"/>
          <w:szCs w:val="24"/>
          <w:lang w:eastAsia="zh-CN"/>
        </w:rPr>
        <w:t>Panisello-Roselló</w:t>
      </w:r>
      <w:proofErr w:type="spellEnd"/>
      <w:r w:rsidR="001F325A" w:rsidRPr="00C67AD0">
        <w:rPr>
          <w:rFonts w:ascii="Book Antiqua" w:eastAsia="宋体" w:hAnsi="Book Antiqua" w:cs="Times New Roman" w:hint="eastAsia"/>
          <w:iCs/>
          <w:kern w:val="2"/>
          <w:sz w:val="24"/>
          <w:szCs w:val="24"/>
          <w:lang w:eastAsia="zh-CN"/>
        </w:rPr>
        <w:t xml:space="preserve"> A</w:t>
      </w:r>
      <w:r w:rsidR="001F325A" w:rsidRPr="00C67AD0">
        <w:rPr>
          <w:rFonts w:ascii="Book Antiqua" w:eastAsia="宋体" w:hAnsi="Book Antiqua" w:cs="Times New Roman"/>
          <w:iCs/>
          <w:kern w:val="2"/>
          <w:sz w:val="24"/>
          <w:szCs w:val="24"/>
          <w:lang w:eastAsia="zh-CN"/>
        </w:rPr>
        <w:t xml:space="preserve">, </w:t>
      </w:r>
      <w:proofErr w:type="spellStart"/>
      <w:r w:rsidR="001F325A" w:rsidRPr="00C67AD0">
        <w:rPr>
          <w:rFonts w:ascii="Book Antiqua" w:eastAsia="宋体" w:hAnsi="Book Antiqua" w:cs="Times New Roman"/>
          <w:iCs/>
          <w:kern w:val="2"/>
          <w:sz w:val="24"/>
          <w:szCs w:val="24"/>
          <w:lang w:eastAsia="zh-CN"/>
        </w:rPr>
        <w:t>Roselló-Catafau</w:t>
      </w:r>
      <w:proofErr w:type="spellEnd"/>
      <w:r w:rsidR="001F325A" w:rsidRPr="00C67AD0">
        <w:rPr>
          <w:rFonts w:ascii="Book Antiqua" w:eastAsia="宋体" w:hAnsi="Book Antiqua" w:cs="Times New Roman" w:hint="eastAsia"/>
          <w:iCs/>
          <w:kern w:val="2"/>
          <w:sz w:val="24"/>
          <w:szCs w:val="24"/>
          <w:lang w:eastAsia="zh-CN"/>
        </w:rPr>
        <w:t xml:space="preserve"> J</w:t>
      </w:r>
      <w:r w:rsidR="001F325A" w:rsidRPr="00C67AD0">
        <w:rPr>
          <w:rFonts w:ascii="Book Antiqua" w:eastAsia="宋体" w:hAnsi="Book Antiqua" w:cs="Times New Roman"/>
          <w:iCs/>
          <w:kern w:val="2"/>
          <w:sz w:val="24"/>
          <w:szCs w:val="24"/>
          <w:lang w:eastAsia="zh-CN"/>
        </w:rPr>
        <w:t xml:space="preserve">, </w:t>
      </w:r>
      <w:proofErr w:type="spellStart"/>
      <w:r w:rsidR="001F325A" w:rsidRPr="00C67AD0">
        <w:rPr>
          <w:rFonts w:ascii="Book Antiqua" w:eastAsia="宋体" w:hAnsi="Book Antiqua" w:cs="Times New Roman"/>
          <w:iCs/>
          <w:kern w:val="2"/>
          <w:sz w:val="24"/>
          <w:szCs w:val="24"/>
          <w:lang w:eastAsia="zh-CN"/>
        </w:rPr>
        <w:t>Folch-Puy</w:t>
      </w:r>
      <w:proofErr w:type="spellEnd"/>
      <w:r w:rsidR="001F325A" w:rsidRPr="00C67AD0">
        <w:rPr>
          <w:rFonts w:ascii="Book Antiqua" w:eastAsia="宋体" w:hAnsi="Book Antiqua" w:cs="Times New Roman" w:hint="eastAsia"/>
          <w:iCs/>
          <w:kern w:val="2"/>
          <w:sz w:val="24"/>
          <w:szCs w:val="24"/>
          <w:lang w:eastAsia="zh-CN"/>
        </w:rPr>
        <w:t xml:space="preserve"> E. </w:t>
      </w:r>
      <w:r w:rsidR="001F325A" w:rsidRPr="00C67AD0">
        <w:rPr>
          <w:rFonts w:ascii="Book Antiqua" w:eastAsia="宋体" w:hAnsi="Book Antiqua" w:cs="Times New Roman"/>
          <w:iCs/>
          <w:kern w:val="2"/>
          <w:sz w:val="24"/>
          <w:szCs w:val="24"/>
          <w:lang w:eastAsia="zh-CN"/>
        </w:rPr>
        <w:t xml:space="preserve">Polyethylene glycol 35 ameliorates pancreatic inflammatory response in </w:t>
      </w:r>
      <w:proofErr w:type="spellStart"/>
      <w:r w:rsidR="001F325A" w:rsidRPr="00C67AD0">
        <w:rPr>
          <w:rFonts w:ascii="Book Antiqua" w:eastAsia="宋体" w:hAnsi="Book Antiqua" w:cs="Times New Roman"/>
          <w:iCs/>
          <w:kern w:val="2"/>
          <w:sz w:val="24"/>
          <w:szCs w:val="24"/>
          <w:lang w:eastAsia="zh-CN"/>
        </w:rPr>
        <w:t>cerulein</w:t>
      </w:r>
      <w:proofErr w:type="spellEnd"/>
      <w:r w:rsidR="001F325A" w:rsidRPr="00C67AD0">
        <w:rPr>
          <w:rFonts w:ascii="Book Antiqua" w:eastAsia="宋体" w:hAnsi="Book Antiqua" w:cs="Times New Roman"/>
          <w:iCs/>
          <w:kern w:val="2"/>
          <w:sz w:val="24"/>
          <w:szCs w:val="24"/>
          <w:lang w:eastAsia="zh-CN"/>
        </w:rPr>
        <w:t>-induced acute pancreatitis in rats</w:t>
      </w:r>
      <w:r w:rsidR="001F325A" w:rsidRPr="00C67AD0">
        <w:rPr>
          <w:rFonts w:ascii="Book Antiqua" w:eastAsia="宋体" w:hAnsi="Book Antiqua" w:cs="Times New Roman" w:hint="eastAsia"/>
          <w:iCs/>
          <w:kern w:val="2"/>
          <w:sz w:val="24"/>
          <w:szCs w:val="24"/>
          <w:lang w:eastAsia="zh-CN"/>
        </w:rPr>
        <w:t>.</w:t>
      </w:r>
      <w:r w:rsidR="001F325A" w:rsidRPr="00C67AD0">
        <w:rPr>
          <w:rFonts w:ascii="Book Antiqua" w:eastAsia="宋体" w:hAnsi="Book Antiqua" w:cs="Times New Roman" w:hint="eastAsia"/>
          <w:i/>
          <w:iCs/>
          <w:kern w:val="2"/>
          <w:sz w:val="24"/>
          <w:szCs w:val="24"/>
          <w:lang w:eastAsia="zh-CN"/>
        </w:rPr>
        <w:t xml:space="preserve"> </w:t>
      </w:r>
      <w:r w:rsidR="001F325A" w:rsidRPr="00C67AD0">
        <w:rPr>
          <w:rFonts w:ascii="Book Antiqua" w:eastAsia="宋体" w:hAnsi="Book Antiqua" w:cs="Times New Roman"/>
          <w:i/>
          <w:iCs/>
          <w:kern w:val="2"/>
          <w:sz w:val="24"/>
          <w:szCs w:val="24"/>
          <w:lang w:eastAsia="zh-CN"/>
        </w:rPr>
        <w:t xml:space="preserve">World J </w:t>
      </w:r>
      <w:proofErr w:type="spellStart"/>
      <w:r w:rsidR="001F325A" w:rsidRPr="00C67AD0">
        <w:rPr>
          <w:rFonts w:ascii="Book Antiqua" w:eastAsia="宋体" w:hAnsi="Book Antiqua" w:cs="Times New Roman"/>
          <w:i/>
          <w:iCs/>
          <w:kern w:val="2"/>
          <w:sz w:val="24"/>
          <w:szCs w:val="24"/>
          <w:lang w:eastAsia="zh-CN"/>
        </w:rPr>
        <w:t>Gastroenterol</w:t>
      </w:r>
      <w:proofErr w:type="spellEnd"/>
      <w:r w:rsidR="001F325A" w:rsidRPr="00C67AD0">
        <w:rPr>
          <w:rFonts w:ascii="Book Antiqua" w:eastAsia="宋体" w:hAnsi="Book Antiqua" w:cs="Times New Roman" w:hint="eastAsia"/>
          <w:i/>
          <w:iCs/>
          <w:kern w:val="2"/>
          <w:sz w:val="24"/>
          <w:szCs w:val="24"/>
          <w:lang w:eastAsia="zh-CN"/>
        </w:rPr>
        <w:t xml:space="preserve"> </w:t>
      </w:r>
      <w:r w:rsidR="001F325A" w:rsidRPr="00C67AD0">
        <w:rPr>
          <w:rFonts w:ascii="Book Antiqua" w:eastAsia="宋体" w:hAnsi="Book Antiqua" w:cs="Times New Roman" w:hint="eastAsia"/>
          <w:iCs/>
          <w:kern w:val="2"/>
          <w:sz w:val="24"/>
          <w:szCs w:val="24"/>
          <w:lang w:eastAsia="zh-CN"/>
        </w:rPr>
        <w:t>2020</w:t>
      </w:r>
      <w:r w:rsidR="00D93654">
        <w:rPr>
          <w:rFonts w:ascii="Book Antiqua" w:eastAsia="宋体" w:hAnsi="Book Antiqua" w:cs="Times New Roman" w:hint="eastAsia"/>
          <w:iCs/>
          <w:kern w:val="2"/>
          <w:sz w:val="24"/>
          <w:szCs w:val="24"/>
          <w:lang w:eastAsia="zh-CN"/>
        </w:rPr>
        <w:t xml:space="preserve">; </w:t>
      </w:r>
      <w:r w:rsidR="00D93654" w:rsidRPr="00803E1F">
        <w:rPr>
          <w:rFonts w:ascii="Book Antiqua" w:eastAsia="Book Antiqua" w:hAnsi="Book Antiqua" w:cs="Book Antiqua"/>
          <w:color w:val="000000"/>
        </w:rPr>
        <w:t xml:space="preserve">26(39): </w:t>
      </w:r>
      <w:r w:rsidR="00D93654">
        <w:rPr>
          <w:rFonts w:ascii="Book Antiqua" w:hAnsi="Book Antiqua" w:hint="eastAsia"/>
          <w:sz w:val="24"/>
          <w:szCs w:val="24"/>
        </w:rPr>
        <w:t>5970</w:t>
      </w:r>
      <w:r w:rsidR="00D93654">
        <w:rPr>
          <w:rFonts w:ascii="Book Antiqua" w:hAnsi="Book Antiqua" w:hint="eastAsia"/>
          <w:sz w:val="24"/>
          <w:szCs w:val="24"/>
          <w:lang w:eastAsia="zh-CN"/>
        </w:rPr>
        <w:t>-</w:t>
      </w:r>
      <w:r w:rsidR="00D93654">
        <w:rPr>
          <w:rFonts w:ascii="Book Antiqua" w:hAnsi="Book Antiqua" w:hint="eastAsia"/>
          <w:sz w:val="24"/>
          <w:szCs w:val="24"/>
        </w:rPr>
        <w:t>5982</w:t>
      </w:r>
      <w:r w:rsidR="00D93654" w:rsidRPr="00803E1F">
        <w:rPr>
          <w:rFonts w:ascii="Book Antiqua" w:eastAsia="Book Antiqua" w:hAnsi="Book Antiqua" w:cs="Book Antiqua"/>
          <w:color w:val="000000"/>
        </w:rPr>
        <w:t xml:space="preserve">  </w:t>
      </w:r>
    </w:p>
    <w:p w14:paraId="248620E2" w14:textId="77777777" w:rsidR="00D61EF6" w:rsidRDefault="00D93654" w:rsidP="00B8567E">
      <w:pPr>
        <w:spacing w:line="360" w:lineRule="auto"/>
        <w:contextualSpacing/>
        <w:jc w:val="both"/>
        <w:rPr>
          <w:rFonts w:ascii="Book Antiqua" w:hAnsi="Book Antiqua" w:cs="Book Antiqua" w:hint="eastAsia"/>
          <w:color w:val="000000"/>
          <w:lang w:eastAsia="zh-CN"/>
        </w:rPr>
      </w:pPr>
      <w:r w:rsidRPr="00D61EF6">
        <w:rPr>
          <w:rFonts w:ascii="Book Antiqua" w:eastAsia="Book Antiqua" w:hAnsi="Book Antiqua" w:cs="Book Antiqua"/>
          <w:b/>
          <w:color w:val="000000"/>
        </w:rPr>
        <w:t xml:space="preserve">URL: </w:t>
      </w:r>
      <w:r w:rsidRPr="00803E1F">
        <w:rPr>
          <w:rFonts w:ascii="Book Antiqua" w:eastAsia="Book Antiqua" w:hAnsi="Book Antiqua" w:cs="Book Antiqua"/>
          <w:color w:val="000000"/>
        </w:rPr>
        <w:t>https://www.wjgnet.com/1007-9327/full/v26/i39/</w:t>
      </w:r>
      <w:r>
        <w:rPr>
          <w:rFonts w:ascii="Book Antiqua" w:hAnsi="Book Antiqua" w:hint="eastAsia"/>
          <w:sz w:val="24"/>
          <w:szCs w:val="24"/>
        </w:rPr>
        <w:t>59</w:t>
      </w:r>
      <w:r>
        <w:rPr>
          <w:rFonts w:ascii="Book Antiqua" w:hAnsi="Book Antiqua" w:hint="eastAsia"/>
          <w:sz w:val="24"/>
          <w:szCs w:val="24"/>
          <w:lang w:eastAsia="zh-CN"/>
        </w:rPr>
        <w:t>70</w:t>
      </w:r>
      <w:r w:rsidRPr="00803E1F">
        <w:rPr>
          <w:rFonts w:ascii="Book Antiqua" w:eastAsia="Book Antiqua" w:hAnsi="Book Antiqua" w:cs="Book Antiqua"/>
          <w:color w:val="000000"/>
        </w:rPr>
        <w:t xml:space="preserve">.htm  </w:t>
      </w:r>
    </w:p>
    <w:p w14:paraId="116083ED" w14:textId="48A84B0D" w:rsidR="001F325A" w:rsidRPr="00D93654" w:rsidRDefault="00D93654" w:rsidP="00B8567E">
      <w:pPr>
        <w:spacing w:line="360" w:lineRule="auto"/>
        <w:contextualSpacing/>
        <w:jc w:val="both"/>
        <w:rPr>
          <w:rFonts w:ascii="Book Antiqua" w:hAnsi="Book Antiqua" w:cs="Times New Roman" w:hint="eastAsia"/>
          <w:b/>
          <w:bCs/>
          <w:sz w:val="24"/>
          <w:szCs w:val="24"/>
          <w:lang w:val="en-GB" w:eastAsia="zh-CN"/>
        </w:rPr>
      </w:pPr>
      <w:r w:rsidRPr="00D61EF6">
        <w:rPr>
          <w:rFonts w:ascii="Book Antiqua" w:eastAsia="Book Antiqua" w:hAnsi="Book Antiqua" w:cs="Book Antiqua"/>
          <w:b/>
          <w:color w:val="000000"/>
        </w:rPr>
        <w:t>DOI:</w:t>
      </w:r>
      <w:r w:rsidRPr="00803E1F">
        <w:rPr>
          <w:rFonts w:ascii="Book Antiqua" w:eastAsia="Book Antiqua" w:hAnsi="Book Antiqua" w:cs="Book Antiqua"/>
          <w:color w:val="000000"/>
        </w:rPr>
        <w:t xml:space="preserve"> https://dx.doi.org/10.3748/wjg.v26.i39.</w:t>
      </w:r>
      <w:r>
        <w:rPr>
          <w:rFonts w:ascii="Book Antiqua" w:hAnsi="Book Antiqua" w:hint="eastAsia"/>
          <w:sz w:val="24"/>
          <w:szCs w:val="24"/>
        </w:rPr>
        <w:t>59</w:t>
      </w:r>
      <w:r>
        <w:rPr>
          <w:rFonts w:ascii="Book Antiqua" w:hAnsi="Book Antiqua" w:hint="eastAsia"/>
          <w:sz w:val="24"/>
          <w:szCs w:val="24"/>
          <w:lang w:eastAsia="zh-CN"/>
        </w:rPr>
        <w:t>70</w:t>
      </w:r>
      <w:r>
        <w:rPr>
          <w:rFonts w:ascii="Book Antiqua" w:eastAsia="Book Antiqua" w:hAnsi="Book Antiqua" w:cs="Book Antiqua"/>
          <w:color w:val="000000"/>
        </w:rPr>
        <w:t xml:space="preserve"> </w:t>
      </w:r>
    </w:p>
    <w:p w14:paraId="3EB1D505" w14:textId="77777777" w:rsidR="001F325A" w:rsidRPr="00C67AD0" w:rsidRDefault="001F325A" w:rsidP="00B8567E">
      <w:pPr>
        <w:spacing w:line="360" w:lineRule="auto"/>
        <w:contextualSpacing/>
        <w:jc w:val="both"/>
        <w:rPr>
          <w:rFonts w:ascii="Book Antiqua" w:hAnsi="Book Antiqua" w:cs="Times New Roman"/>
          <w:b/>
          <w:bCs/>
          <w:sz w:val="24"/>
          <w:szCs w:val="24"/>
          <w:lang w:val="en-GB" w:eastAsia="zh-CN"/>
        </w:rPr>
      </w:pPr>
    </w:p>
    <w:p w14:paraId="54199789" w14:textId="74280B0E" w:rsidR="004D52B9" w:rsidRPr="00C67AD0" w:rsidRDefault="004D52B9"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b/>
          <w:bCs/>
          <w:sz w:val="24"/>
          <w:szCs w:val="24"/>
          <w:lang w:val="en-GB"/>
        </w:rPr>
        <w:t xml:space="preserve">Core </w:t>
      </w:r>
      <w:r w:rsidR="00CF5C7B" w:rsidRPr="00C67AD0">
        <w:rPr>
          <w:rFonts w:ascii="Book Antiqua" w:hAnsi="Book Antiqua" w:cs="Times New Roman" w:hint="eastAsia"/>
          <w:b/>
          <w:bCs/>
          <w:sz w:val="24"/>
          <w:szCs w:val="24"/>
          <w:lang w:val="en-GB" w:eastAsia="zh-CN"/>
        </w:rPr>
        <w:t>T</w:t>
      </w:r>
      <w:r w:rsidRPr="00C67AD0">
        <w:rPr>
          <w:rFonts w:ascii="Book Antiqua" w:hAnsi="Book Antiqua" w:cs="Times New Roman"/>
          <w:b/>
          <w:bCs/>
          <w:sz w:val="24"/>
          <w:szCs w:val="24"/>
          <w:lang w:val="en-GB"/>
        </w:rPr>
        <w:t>ip:</w:t>
      </w:r>
      <w:r w:rsidR="00985390" w:rsidRPr="00C67AD0">
        <w:rPr>
          <w:rFonts w:ascii="Book Antiqua" w:hAnsi="Book Antiqua" w:cs="Times New Roman"/>
          <w:b/>
          <w:bCs/>
          <w:sz w:val="24"/>
          <w:szCs w:val="24"/>
          <w:lang w:val="en-GB"/>
        </w:rPr>
        <w:t xml:space="preserve"> </w:t>
      </w:r>
      <w:r w:rsidR="006B2CE4" w:rsidRPr="00C67AD0">
        <w:rPr>
          <w:rFonts w:ascii="Book Antiqua" w:hAnsi="Book Antiqua" w:cs="Times New Roman"/>
          <w:sz w:val="24"/>
          <w:szCs w:val="24"/>
          <w:lang w:val="en-GB"/>
        </w:rPr>
        <w:t xml:space="preserve">Acute pancreatitis (AP) is </w:t>
      </w:r>
      <w:r w:rsidR="00EE4CEC" w:rsidRPr="00C67AD0">
        <w:rPr>
          <w:rFonts w:ascii="Book Antiqua" w:hAnsi="Book Antiqua" w:cs="Times New Roman"/>
          <w:sz w:val="24"/>
          <w:szCs w:val="24"/>
          <w:lang w:val="en-GB"/>
        </w:rPr>
        <w:t>a sudden</w:t>
      </w:r>
      <w:r w:rsidR="006B2CE4" w:rsidRPr="00C67AD0">
        <w:rPr>
          <w:rFonts w:ascii="Book Antiqua" w:hAnsi="Book Antiqua" w:cs="Times New Roman"/>
          <w:sz w:val="24"/>
          <w:szCs w:val="24"/>
          <w:lang w:val="en-GB"/>
        </w:rPr>
        <w:t xml:space="preserve"> inflammatory </w:t>
      </w:r>
      <w:r w:rsidR="003B48C0" w:rsidRPr="00C67AD0">
        <w:rPr>
          <w:rFonts w:ascii="Book Antiqua" w:hAnsi="Book Antiqua" w:cs="Times New Roman"/>
          <w:sz w:val="24"/>
          <w:szCs w:val="24"/>
          <w:lang w:val="en-GB"/>
        </w:rPr>
        <w:t>condition</w:t>
      </w:r>
      <w:r w:rsidR="006B2CE4" w:rsidRPr="00C67AD0">
        <w:rPr>
          <w:rFonts w:ascii="Book Antiqua" w:hAnsi="Book Antiqua" w:cs="Times New Roman"/>
          <w:sz w:val="24"/>
          <w:szCs w:val="24"/>
          <w:lang w:val="en-GB"/>
        </w:rPr>
        <w:t xml:space="preserve"> of the pancreas with variable involvement of peri-pancreatic tissues and/or remote organ systems.</w:t>
      </w:r>
      <w:r w:rsidR="006B2CE4" w:rsidRPr="00C67AD0">
        <w:rPr>
          <w:rFonts w:ascii="Book Antiqua" w:hAnsi="Book Antiqua"/>
          <w:sz w:val="24"/>
          <w:szCs w:val="24"/>
          <w:lang w:val="en-GB"/>
        </w:rPr>
        <w:t xml:space="preserve"> </w:t>
      </w:r>
      <w:r w:rsidR="00D72356" w:rsidRPr="00C67AD0">
        <w:rPr>
          <w:rFonts w:ascii="Book Antiqua" w:hAnsi="Book Antiqua"/>
          <w:sz w:val="24"/>
          <w:szCs w:val="24"/>
          <w:lang w:val="en-GB"/>
        </w:rPr>
        <w:t xml:space="preserve">This disease is </w:t>
      </w:r>
      <w:r w:rsidR="00D72356" w:rsidRPr="00C67AD0">
        <w:rPr>
          <w:rFonts w:ascii="Book Antiqua" w:hAnsi="Book Antiqua" w:cs="Times New Roman"/>
          <w:sz w:val="24"/>
          <w:szCs w:val="24"/>
          <w:lang w:val="en-GB"/>
        </w:rPr>
        <w:t>a major clinical challenge</w:t>
      </w:r>
      <w:r w:rsidR="000663CF" w:rsidRPr="00C67AD0">
        <w:rPr>
          <w:rFonts w:ascii="Book Antiqua" w:hAnsi="Book Antiqua" w:cs="Times New Roman"/>
          <w:sz w:val="24"/>
          <w:szCs w:val="24"/>
          <w:lang w:val="en-GB"/>
        </w:rPr>
        <w:t xml:space="preserve"> for which</w:t>
      </w:r>
      <w:r w:rsidR="0048634C" w:rsidRPr="00C67AD0">
        <w:rPr>
          <w:rFonts w:ascii="Book Antiqua" w:hAnsi="Book Antiqua" w:cs="Times New Roman"/>
          <w:sz w:val="24"/>
          <w:szCs w:val="24"/>
          <w:lang w:val="en-GB"/>
        </w:rPr>
        <w:t xml:space="preserve"> </w:t>
      </w:r>
      <w:r w:rsidR="006B2CE4" w:rsidRPr="00C67AD0">
        <w:rPr>
          <w:rFonts w:ascii="Book Antiqua" w:hAnsi="Book Antiqua" w:cs="Times New Roman"/>
          <w:sz w:val="24"/>
          <w:szCs w:val="24"/>
          <w:lang w:val="en-GB"/>
        </w:rPr>
        <w:t xml:space="preserve">no specific </w:t>
      </w:r>
      <w:r w:rsidR="006107EB" w:rsidRPr="00C67AD0">
        <w:rPr>
          <w:rFonts w:ascii="Book Antiqua" w:hAnsi="Book Antiqua" w:cs="Times New Roman"/>
          <w:sz w:val="24"/>
          <w:szCs w:val="24"/>
          <w:lang w:val="en-GB"/>
        </w:rPr>
        <w:t>pharmacological therapy</w:t>
      </w:r>
      <w:r w:rsidR="006B2CE4" w:rsidRPr="00C67AD0">
        <w:rPr>
          <w:rFonts w:ascii="Book Antiqua" w:hAnsi="Book Antiqua" w:cs="Times New Roman"/>
          <w:sz w:val="24"/>
          <w:szCs w:val="24"/>
          <w:lang w:val="en-GB"/>
        </w:rPr>
        <w:t xml:space="preserve"> </w:t>
      </w:r>
      <w:r w:rsidR="000663CF" w:rsidRPr="00C67AD0">
        <w:rPr>
          <w:rFonts w:ascii="Book Antiqua" w:hAnsi="Book Antiqua" w:cs="Times New Roman"/>
          <w:sz w:val="24"/>
          <w:szCs w:val="24"/>
          <w:lang w:val="en-GB"/>
        </w:rPr>
        <w:t xml:space="preserve">currently </w:t>
      </w:r>
      <w:r w:rsidR="006B2CE4" w:rsidRPr="00C67AD0">
        <w:rPr>
          <w:rFonts w:ascii="Book Antiqua" w:hAnsi="Book Antiqua" w:cs="Times New Roman"/>
          <w:sz w:val="24"/>
          <w:szCs w:val="24"/>
          <w:lang w:val="en-GB"/>
        </w:rPr>
        <w:t>exists.</w:t>
      </w:r>
      <w:r w:rsidR="00D72356" w:rsidRPr="00C67AD0">
        <w:rPr>
          <w:rFonts w:ascii="Book Antiqua" w:hAnsi="Book Antiqua" w:cs="Times New Roman"/>
          <w:sz w:val="24"/>
          <w:szCs w:val="24"/>
          <w:lang w:val="en-GB"/>
        </w:rPr>
        <w:t xml:space="preserve"> </w:t>
      </w:r>
      <w:bookmarkStart w:id="8" w:name="_Hlk46181711"/>
      <w:r w:rsidR="00850DA0" w:rsidRPr="00C67AD0">
        <w:rPr>
          <w:rFonts w:ascii="Book Antiqua" w:hAnsi="Book Antiqua" w:cs="Times New Roman"/>
          <w:sz w:val="24"/>
          <w:szCs w:val="24"/>
          <w:lang w:val="en-GB"/>
        </w:rPr>
        <w:t>Th</w:t>
      </w:r>
      <w:r w:rsidR="00C97DD4" w:rsidRPr="00C67AD0">
        <w:rPr>
          <w:rFonts w:ascii="Book Antiqua" w:hAnsi="Book Antiqua" w:cs="Times New Roman"/>
          <w:sz w:val="24"/>
          <w:szCs w:val="24"/>
          <w:lang w:val="en-GB"/>
        </w:rPr>
        <w:t>e</w:t>
      </w:r>
      <w:r w:rsidR="00850DA0" w:rsidRPr="00C67AD0">
        <w:rPr>
          <w:rFonts w:ascii="Book Antiqua" w:hAnsi="Book Antiqua" w:cs="Times New Roman"/>
          <w:sz w:val="24"/>
          <w:szCs w:val="24"/>
          <w:lang w:val="en-GB"/>
        </w:rPr>
        <w:t xml:space="preserve"> manuscript describes the protective </w:t>
      </w:r>
      <w:r w:rsidR="00850DA0" w:rsidRPr="00C67AD0">
        <w:rPr>
          <w:rFonts w:ascii="Book Antiqua" w:hAnsi="Book Antiqua" w:cs="Times New Roman"/>
          <w:sz w:val="24"/>
          <w:szCs w:val="24"/>
          <w:lang w:val="en-GB"/>
        </w:rPr>
        <w:lastRenderedPageBreak/>
        <w:t xml:space="preserve">role of </w:t>
      </w:r>
      <w:r w:rsidR="00780F2D" w:rsidRPr="00C67AD0">
        <w:rPr>
          <w:rFonts w:ascii="Book Antiqua" w:hAnsi="Book Antiqua" w:cs="Times New Roman"/>
          <w:sz w:val="24"/>
          <w:szCs w:val="24"/>
          <w:lang w:val="en-GB"/>
        </w:rPr>
        <w:t xml:space="preserve">35-kDa </w:t>
      </w:r>
      <w:r w:rsidR="00732FE6" w:rsidRPr="00C67AD0">
        <w:rPr>
          <w:rFonts w:ascii="Book Antiqua" w:hAnsi="Book Antiqua" w:cs="Times New Roman"/>
          <w:sz w:val="24"/>
          <w:szCs w:val="24"/>
          <w:lang w:val="en-GB"/>
        </w:rPr>
        <w:t xml:space="preserve">molecular weight </w:t>
      </w:r>
      <w:r w:rsidR="00780F2D" w:rsidRPr="00C67AD0">
        <w:rPr>
          <w:rFonts w:ascii="Book Antiqua" w:hAnsi="Book Antiqua" w:cs="Times New Roman"/>
          <w:sz w:val="24"/>
          <w:szCs w:val="24"/>
          <w:lang w:val="en-GB"/>
        </w:rPr>
        <w:t xml:space="preserve">polyethylene glycol </w:t>
      </w:r>
      <w:r w:rsidR="00780F2D" w:rsidRPr="00C67AD0">
        <w:rPr>
          <w:rFonts w:ascii="Book Antiqua" w:hAnsi="Book Antiqua" w:cs="Times New Roman" w:hint="eastAsia"/>
          <w:sz w:val="24"/>
          <w:szCs w:val="24"/>
          <w:lang w:val="en-GB" w:eastAsia="zh-CN"/>
        </w:rPr>
        <w:t>(</w:t>
      </w:r>
      <w:r w:rsidR="00780F2D" w:rsidRPr="00C67AD0">
        <w:rPr>
          <w:rFonts w:ascii="Book Antiqua" w:hAnsi="Book Antiqua" w:cs="Times New Roman"/>
          <w:sz w:val="24"/>
          <w:szCs w:val="24"/>
          <w:lang w:val="en-GB"/>
        </w:rPr>
        <w:t>PEG35</w:t>
      </w:r>
      <w:r w:rsidR="00780F2D" w:rsidRPr="00C67AD0">
        <w:rPr>
          <w:rFonts w:ascii="Book Antiqua" w:hAnsi="Book Antiqua" w:cs="Times New Roman" w:hint="eastAsia"/>
          <w:sz w:val="24"/>
          <w:szCs w:val="24"/>
          <w:lang w:val="en-GB" w:eastAsia="zh-CN"/>
        </w:rPr>
        <w:t>)</w:t>
      </w:r>
      <w:r w:rsidR="00850DA0" w:rsidRPr="00C67AD0">
        <w:rPr>
          <w:rFonts w:ascii="Book Antiqua" w:hAnsi="Book Antiqua" w:cs="Times New Roman"/>
          <w:sz w:val="24"/>
          <w:szCs w:val="24"/>
          <w:lang w:val="en-GB"/>
        </w:rPr>
        <w:t xml:space="preserve"> on </w:t>
      </w:r>
      <w:proofErr w:type="spellStart"/>
      <w:r w:rsidR="00850DA0" w:rsidRPr="00C67AD0">
        <w:rPr>
          <w:rFonts w:ascii="Book Antiqua" w:hAnsi="Book Antiqua" w:cs="Times New Roman"/>
          <w:sz w:val="24"/>
          <w:szCs w:val="24"/>
          <w:lang w:val="en-GB"/>
        </w:rPr>
        <w:t>cerulein</w:t>
      </w:r>
      <w:proofErr w:type="spellEnd"/>
      <w:r w:rsidR="00850DA0" w:rsidRPr="00C67AD0">
        <w:rPr>
          <w:rFonts w:ascii="Book Antiqua" w:hAnsi="Book Antiqua" w:cs="Times New Roman"/>
          <w:sz w:val="24"/>
          <w:szCs w:val="24"/>
          <w:lang w:val="en-GB"/>
        </w:rPr>
        <w:t xml:space="preserve">-induced </w:t>
      </w:r>
      <w:bookmarkEnd w:id="8"/>
      <w:r w:rsidR="00850DA0" w:rsidRPr="00C67AD0">
        <w:rPr>
          <w:rFonts w:ascii="Book Antiqua" w:hAnsi="Book Antiqua" w:cs="Times New Roman"/>
          <w:sz w:val="24"/>
          <w:szCs w:val="24"/>
          <w:lang w:val="en-GB"/>
        </w:rPr>
        <w:t xml:space="preserve">AP. PEG35 treatment was able to lessen the inflammatory process in the pancreas and </w:t>
      </w:r>
      <w:r w:rsidR="00D72356" w:rsidRPr="00C67AD0">
        <w:rPr>
          <w:rFonts w:ascii="Book Antiqua" w:hAnsi="Book Antiqua" w:cs="Times New Roman"/>
          <w:sz w:val="24"/>
          <w:szCs w:val="24"/>
          <w:lang w:val="en-GB"/>
        </w:rPr>
        <w:t xml:space="preserve">associated cell death </w:t>
      </w:r>
      <w:r w:rsidR="000564DF" w:rsidRPr="00C67AD0">
        <w:rPr>
          <w:rFonts w:ascii="Book Antiqua" w:hAnsi="Book Antiqua" w:cs="Times New Roman"/>
          <w:sz w:val="24"/>
          <w:szCs w:val="24"/>
          <w:lang w:val="en-GB"/>
        </w:rPr>
        <w:t xml:space="preserve">in </w:t>
      </w:r>
      <w:proofErr w:type="spellStart"/>
      <w:r w:rsidR="000564DF" w:rsidRPr="00C67AD0">
        <w:rPr>
          <w:rFonts w:ascii="Book Antiqua" w:hAnsi="Book Antiqua" w:cs="Times New Roman"/>
          <w:sz w:val="24"/>
          <w:szCs w:val="24"/>
          <w:lang w:val="en-GB"/>
        </w:rPr>
        <w:t>cerulein</w:t>
      </w:r>
      <w:proofErr w:type="spellEnd"/>
      <w:r w:rsidR="000564DF" w:rsidRPr="00C67AD0">
        <w:rPr>
          <w:rFonts w:ascii="Book Antiqua" w:hAnsi="Book Antiqua" w:cs="Times New Roman"/>
          <w:sz w:val="24"/>
          <w:szCs w:val="24"/>
          <w:lang w:val="en-GB"/>
        </w:rPr>
        <w:t>-induced AP</w:t>
      </w:r>
      <w:r w:rsidR="00D72356" w:rsidRPr="00C67AD0">
        <w:rPr>
          <w:rFonts w:ascii="Book Antiqua" w:hAnsi="Book Antiqua" w:cs="Times New Roman"/>
          <w:sz w:val="24"/>
          <w:szCs w:val="24"/>
          <w:lang w:val="en-GB"/>
        </w:rPr>
        <w:t xml:space="preserve"> and </w:t>
      </w:r>
      <w:r w:rsidR="000564DF" w:rsidRPr="00C67AD0">
        <w:rPr>
          <w:rFonts w:ascii="Book Antiqua" w:hAnsi="Book Antiqua" w:cs="Times New Roman"/>
          <w:i/>
          <w:iCs/>
          <w:sz w:val="24"/>
          <w:szCs w:val="24"/>
          <w:lang w:val="en-GB"/>
        </w:rPr>
        <w:t>in vitro</w:t>
      </w:r>
      <w:r w:rsidR="000564DF" w:rsidRPr="00C67AD0">
        <w:rPr>
          <w:rFonts w:ascii="Book Antiqua" w:hAnsi="Book Antiqua" w:cs="Times New Roman"/>
          <w:sz w:val="24"/>
          <w:szCs w:val="24"/>
          <w:lang w:val="en-GB"/>
        </w:rPr>
        <w:t xml:space="preserve"> models of pancreatic damage</w:t>
      </w:r>
      <w:r w:rsidR="00D72356" w:rsidRPr="00C67AD0">
        <w:rPr>
          <w:rFonts w:ascii="Book Antiqua" w:hAnsi="Book Antiqua" w:cs="Times New Roman"/>
          <w:sz w:val="24"/>
          <w:szCs w:val="24"/>
          <w:lang w:val="en-GB"/>
        </w:rPr>
        <w:t xml:space="preserve">. </w:t>
      </w:r>
    </w:p>
    <w:p w14:paraId="1727E77D" w14:textId="77777777" w:rsidR="005660E1" w:rsidRPr="00C67AD0" w:rsidRDefault="005660E1" w:rsidP="00B8567E">
      <w:pPr>
        <w:spacing w:line="360" w:lineRule="auto"/>
        <w:contextualSpacing/>
        <w:jc w:val="both"/>
        <w:rPr>
          <w:rFonts w:ascii="Book Antiqua" w:hAnsi="Book Antiqua" w:cs="Times New Roman"/>
          <w:sz w:val="24"/>
          <w:szCs w:val="24"/>
          <w:lang w:val="en-GB"/>
        </w:rPr>
      </w:pPr>
    </w:p>
    <w:p w14:paraId="2A4DA867" w14:textId="5DB1FD1A" w:rsidR="001F420C" w:rsidRPr="00C67AD0" w:rsidRDefault="001F420C" w:rsidP="00B8567E">
      <w:pPr>
        <w:spacing w:line="360" w:lineRule="auto"/>
        <w:contextualSpacing/>
        <w:jc w:val="both"/>
        <w:rPr>
          <w:rFonts w:ascii="Book Antiqua" w:hAnsi="Book Antiqua" w:cs="Times New Roman"/>
          <w:sz w:val="24"/>
          <w:szCs w:val="24"/>
          <w:lang w:val="en-GB"/>
        </w:rPr>
      </w:pPr>
    </w:p>
    <w:p w14:paraId="734314AB" w14:textId="195360B7" w:rsidR="00AD34C6" w:rsidRPr="00C67AD0" w:rsidRDefault="0044170C" w:rsidP="00B8567E">
      <w:pPr>
        <w:spacing w:line="360" w:lineRule="auto"/>
        <w:contextualSpacing/>
        <w:jc w:val="both"/>
        <w:rPr>
          <w:rFonts w:ascii="Book Antiqua" w:hAnsi="Book Antiqua" w:cs="Times New Roman"/>
          <w:b/>
          <w:sz w:val="24"/>
          <w:szCs w:val="24"/>
          <w:u w:val="single"/>
          <w:lang w:val="en-GB"/>
        </w:rPr>
      </w:pPr>
      <w:r w:rsidRPr="00C67AD0">
        <w:rPr>
          <w:rFonts w:ascii="Book Antiqua" w:hAnsi="Book Antiqua" w:cs="Times New Roman"/>
          <w:b/>
          <w:sz w:val="24"/>
          <w:szCs w:val="24"/>
          <w:lang w:val="en-GB"/>
        </w:rPr>
        <w:br w:type="page"/>
      </w:r>
      <w:r w:rsidR="009E3B75" w:rsidRPr="00C67AD0">
        <w:rPr>
          <w:rFonts w:ascii="Book Antiqua" w:hAnsi="Book Antiqua" w:cs="Times New Roman"/>
          <w:b/>
          <w:sz w:val="24"/>
          <w:szCs w:val="24"/>
          <w:u w:val="single"/>
          <w:lang w:val="en-GB"/>
        </w:rPr>
        <w:lastRenderedPageBreak/>
        <w:t>INTRODUCTION</w:t>
      </w:r>
    </w:p>
    <w:p w14:paraId="1CDBBFDE" w14:textId="77777777" w:rsidR="00E854DF" w:rsidRPr="00C67AD0" w:rsidRDefault="00BF0295" w:rsidP="00E854DF">
      <w:pPr>
        <w:spacing w:line="360" w:lineRule="auto"/>
        <w:contextualSpacing/>
        <w:jc w:val="both"/>
        <w:rPr>
          <w:rFonts w:ascii="Book Antiqua" w:hAnsi="Book Antiqua" w:cs="Times New Roman"/>
          <w:sz w:val="24"/>
          <w:szCs w:val="24"/>
          <w:lang w:val="en-GB" w:eastAsia="zh-CN"/>
        </w:rPr>
      </w:pPr>
      <w:r w:rsidRPr="00C67AD0">
        <w:rPr>
          <w:rFonts w:ascii="Book Antiqua" w:hAnsi="Book Antiqua" w:cs="Times New Roman"/>
          <w:sz w:val="24"/>
          <w:szCs w:val="24"/>
          <w:lang w:val="en-GB"/>
        </w:rPr>
        <w:t xml:space="preserve">Acute pancreatitis </w:t>
      </w:r>
      <w:r w:rsidR="00D10B17" w:rsidRPr="00C67AD0">
        <w:rPr>
          <w:rFonts w:ascii="Book Antiqua" w:hAnsi="Book Antiqua" w:cs="Times New Roman"/>
          <w:sz w:val="24"/>
          <w:szCs w:val="24"/>
          <w:lang w:val="en-GB"/>
        </w:rPr>
        <w:t xml:space="preserve">(AP) </w:t>
      </w:r>
      <w:r w:rsidRPr="00C67AD0">
        <w:rPr>
          <w:rFonts w:ascii="Book Antiqua" w:hAnsi="Book Antiqua" w:cs="Times New Roman"/>
          <w:sz w:val="24"/>
          <w:szCs w:val="24"/>
          <w:lang w:val="en-GB"/>
        </w:rPr>
        <w:t xml:space="preserve">is an inflammatory disease of the exocrine pancreas </w:t>
      </w:r>
      <w:r w:rsidR="000C0080" w:rsidRPr="00C67AD0">
        <w:rPr>
          <w:rFonts w:ascii="Book Antiqua" w:hAnsi="Book Antiqua" w:cs="Times New Roman"/>
          <w:sz w:val="24"/>
          <w:szCs w:val="24"/>
          <w:lang w:val="en-GB"/>
        </w:rPr>
        <w:t xml:space="preserve">characterized by abnormal </w:t>
      </w:r>
      <w:r w:rsidR="00D543E3" w:rsidRPr="00C67AD0">
        <w:rPr>
          <w:rFonts w:ascii="Book Antiqua" w:hAnsi="Book Antiqua" w:cs="Times New Roman"/>
          <w:sz w:val="24"/>
          <w:szCs w:val="24"/>
          <w:lang w:val="en-GB"/>
        </w:rPr>
        <w:t xml:space="preserve">intracellular </w:t>
      </w:r>
      <w:r w:rsidR="000C0080" w:rsidRPr="00C67AD0">
        <w:rPr>
          <w:rFonts w:ascii="Book Antiqua" w:hAnsi="Book Antiqua" w:cs="Times New Roman"/>
          <w:sz w:val="24"/>
          <w:szCs w:val="24"/>
          <w:lang w:val="en-GB"/>
        </w:rPr>
        <w:t>activation of proteolytic enzymes</w:t>
      </w:r>
      <w:r w:rsidR="00F651C9" w:rsidRPr="00C67AD0">
        <w:rPr>
          <w:rFonts w:ascii="Book Antiqua" w:hAnsi="Book Antiqua" w:cs="Times New Roman"/>
          <w:sz w:val="24"/>
          <w:szCs w:val="24"/>
          <w:lang w:val="en-GB"/>
        </w:rPr>
        <w:t>.</w:t>
      </w:r>
      <w:r w:rsidR="000C0080" w:rsidRPr="00C67AD0">
        <w:rPr>
          <w:rFonts w:ascii="Book Antiqua" w:hAnsi="Book Antiqua" w:cs="Times New Roman"/>
          <w:sz w:val="24"/>
          <w:szCs w:val="24"/>
          <w:lang w:val="en-GB"/>
        </w:rPr>
        <w:t xml:space="preserve"> </w:t>
      </w:r>
      <w:r w:rsidR="00B94BDF" w:rsidRPr="00C67AD0">
        <w:rPr>
          <w:rFonts w:ascii="Book Antiqua" w:hAnsi="Book Antiqua" w:cs="Times New Roman"/>
          <w:sz w:val="24"/>
          <w:szCs w:val="24"/>
          <w:lang w:val="en-GB"/>
        </w:rPr>
        <w:t>P</w:t>
      </w:r>
      <w:r w:rsidR="000C0080" w:rsidRPr="00C67AD0">
        <w:rPr>
          <w:rFonts w:ascii="Book Antiqua" w:hAnsi="Book Antiqua" w:cs="Times New Roman"/>
          <w:sz w:val="24"/>
          <w:szCs w:val="24"/>
          <w:lang w:val="en-GB"/>
        </w:rPr>
        <w:t>arenchymal injury, pancreatic acinar cell</w:t>
      </w:r>
      <w:r w:rsidR="002A34DB" w:rsidRPr="00C67AD0">
        <w:rPr>
          <w:rFonts w:ascii="Book Antiqua" w:hAnsi="Book Antiqua" w:cs="Times New Roman"/>
          <w:sz w:val="24"/>
          <w:szCs w:val="24"/>
          <w:lang w:val="en-GB"/>
        </w:rPr>
        <w:t xml:space="preserve"> death</w:t>
      </w:r>
      <w:r w:rsidR="000C0080" w:rsidRPr="00C67AD0">
        <w:rPr>
          <w:rFonts w:ascii="Book Antiqua" w:hAnsi="Book Antiqua" w:cs="Times New Roman"/>
          <w:sz w:val="24"/>
          <w:szCs w:val="24"/>
          <w:lang w:val="en-GB"/>
        </w:rPr>
        <w:t xml:space="preserve"> and an intense inflammatory reaction</w:t>
      </w:r>
      <w:r w:rsidR="00F651C9" w:rsidRPr="00C67AD0">
        <w:rPr>
          <w:rFonts w:ascii="Book Antiqua" w:hAnsi="Book Antiqua" w:cs="Times New Roman"/>
          <w:sz w:val="24"/>
          <w:szCs w:val="24"/>
          <w:lang w:val="en-GB"/>
        </w:rPr>
        <w:t xml:space="preserve"> are common pathological features of this condition and determin</w:t>
      </w:r>
      <w:r w:rsidR="00D543E3" w:rsidRPr="00C67AD0">
        <w:rPr>
          <w:rFonts w:ascii="Book Antiqua" w:hAnsi="Book Antiqua" w:cs="Times New Roman"/>
          <w:sz w:val="24"/>
          <w:szCs w:val="24"/>
          <w:lang w:val="en-GB"/>
        </w:rPr>
        <w:t xml:space="preserve">e the severity of the </w:t>
      </w:r>
      <w:r w:rsidR="00F651C9" w:rsidRPr="00C67AD0">
        <w:rPr>
          <w:rFonts w:ascii="Book Antiqua" w:hAnsi="Book Antiqua" w:cs="Times New Roman"/>
          <w:sz w:val="24"/>
          <w:szCs w:val="24"/>
          <w:lang w:val="en-GB"/>
        </w:rPr>
        <w:t>disease</w:t>
      </w:r>
      <w:r w:rsidR="00283C56" w:rsidRPr="00C67AD0">
        <w:rPr>
          <w:rFonts w:ascii="Book Antiqua" w:hAnsi="Book Antiqua" w:cs="Times New Roman"/>
          <w:sz w:val="24"/>
          <w:szCs w:val="24"/>
          <w:lang w:val="en-GB"/>
        </w:rPr>
        <w:fldChar w:fldCharType="begin" w:fldLock="1"/>
      </w:r>
      <w:r w:rsidR="00EA7EC1" w:rsidRPr="00C67AD0">
        <w:rPr>
          <w:rFonts w:ascii="Book Antiqua" w:hAnsi="Book Antiqua" w:cs="Times New Roman"/>
          <w:sz w:val="24"/>
          <w:szCs w:val="24"/>
          <w:lang w:val="en-GB"/>
        </w:rPr>
        <w:instrText>ADDIN CSL_CITATION {"citationItems":[{"id":"ITEM-1","itemData":{"DOI":"10.1053/j.gastro.2017.08.071","PMID":"28918190","abstract":"Pancreatitis is a common disorder with significant morbidity and mortality, yet little is known about its pathogenesis, and there is no specific or effective treatment. Its development involves dysregulated autophagy and unresolved inflammation, demonstrated by studies in genetic and experimental mouse models. Disease severity depends on whether the inflammatory response resolves or amplifies, leading to multi-organ failure. Dysregulated autophagy might promote the inflammatory response in the pancreas. We discuss the roles of autophagy and inflammation in pancreatitis, mechanisms of deregulation, and connections among disordered pathways. We identify gaps in our knowledge and delineate perspective directions for research. Elucidation of pathogenic mechanisms could lead to new targets for treating or reducing the severity of pancreatitis.","author":[{"dropping-particle":"","family":"Gukovskaya","given":"Anna S.","non-dropping-particle":"","parse-names":false,"suffix":""},{"dropping-particle":"","family":"Gukovsky","given":"Ilya","non-dropping-particle":"","parse-names":false,"suffix":""},{"dropping-particle":"","family":"Algül","given":"Hana","non-dropping-particle":"","parse-names":false,"suffix":""},{"dropping-particle":"","family":"Habtezion","given":"Aida","non-dropping-particle":"","parse-names":false,"suffix":""}],"container-title":"Gastroenterology","id":"ITEM-1","issue":"5","issued":{"date-parts":[["2017","11","1"]]},"page":"1212-1226","publisher":"W.B. Saunders","title":"Autophagy, Inflammation, and Immune Dysfunction in the Pathogenesis of Pancreatitis","type":"article-journal","volume":"153"},"uris":["http://www.mendeley.com/documents/?uuid=dac5ba3b-10a1-36f5-b244-c68bfd9791c1"]}],"mendeley":{"formattedCitation":"&lt;sup&gt;[1]&lt;/sup&gt;","plainTextFormattedCitation":"[1]","previouslyFormattedCitation":"&lt;sup&gt;[1]&lt;/sup&gt;"},"properties":{"noteIndex":0},"schema":"https://github.com/citation-style-language/schema/raw/master/csl-citation.json"}</w:instrText>
      </w:r>
      <w:r w:rsidR="00283C56" w:rsidRPr="00C67AD0">
        <w:rPr>
          <w:rFonts w:ascii="Book Antiqua" w:hAnsi="Book Antiqua" w:cs="Times New Roman"/>
          <w:sz w:val="24"/>
          <w:szCs w:val="24"/>
          <w:lang w:val="en-GB"/>
        </w:rPr>
        <w:fldChar w:fldCharType="separate"/>
      </w:r>
      <w:r w:rsidR="00283C56" w:rsidRPr="00C67AD0">
        <w:rPr>
          <w:rFonts w:ascii="Book Antiqua" w:hAnsi="Book Antiqua" w:cs="Times New Roman"/>
          <w:noProof/>
          <w:sz w:val="24"/>
          <w:szCs w:val="24"/>
          <w:vertAlign w:val="superscript"/>
          <w:lang w:val="en-GB"/>
        </w:rPr>
        <w:t>[1]</w:t>
      </w:r>
      <w:r w:rsidR="00283C56" w:rsidRPr="00C67AD0">
        <w:rPr>
          <w:rFonts w:ascii="Book Antiqua" w:hAnsi="Book Antiqua" w:cs="Times New Roman"/>
          <w:sz w:val="24"/>
          <w:szCs w:val="24"/>
          <w:lang w:val="en-GB"/>
        </w:rPr>
        <w:fldChar w:fldCharType="end"/>
      </w:r>
      <w:r w:rsidR="00F651C9" w:rsidRPr="00C67AD0">
        <w:rPr>
          <w:rFonts w:ascii="Book Antiqua" w:hAnsi="Book Antiqua" w:cs="Times New Roman"/>
          <w:sz w:val="24"/>
          <w:szCs w:val="24"/>
          <w:lang w:val="en-GB"/>
        </w:rPr>
        <w:t>.</w:t>
      </w:r>
      <w:r w:rsidR="000C0080" w:rsidRPr="00C67AD0">
        <w:rPr>
          <w:rFonts w:ascii="Book Antiqua" w:hAnsi="Book Antiqua" w:cs="Times New Roman"/>
          <w:sz w:val="24"/>
          <w:szCs w:val="24"/>
          <w:lang w:val="en-GB"/>
        </w:rPr>
        <w:t xml:space="preserve"> </w:t>
      </w:r>
      <w:r w:rsidR="00E06159" w:rsidRPr="00C67AD0">
        <w:rPr>
          <w:rFonts w:ascii="Book Antiqua" w:hAnsi="Book Antiqua" w:cs="Times New Roman"/>
          <w:sz w:val="24"/>
          <w:szCs w:val="24"/>
          <w:lang w:val="en-GB"/>
        </w:rPr>
        <w:t xml:space="preserve">A majority of patients presenting with AP have </w:t>
      </w:r>
      <w:r w:rsidR="00C159C4" w:rsidRPr="00C67AD0">
        <w:rPr>
          <w:rFonts w:ascii="Book Antiqua" w:hAnsi="Book Antiqua" w:cs="Times New Roman"/>
          <w:sz w:val="24"/>
          <w:szCs w:val="24"/>
          <w:lang w:val="en-GB"/>
        </w:rPr>
        <w:t xml:space="preserve">the </w:t>
      </w:r>
      <w:r w:rsidR="00E06159" w:rsidRPr="00C67AD0">
        <w:rPr>
          <w:rFonts w:ascii="Book Antiqua" w:hAnsi="Book Antiqua" w:cs="Times New Roman"/>
          <w:sz w:val="24"/>
          <w:szCs w:val="24"/>
          <w:lang w:val="en-GB"/>
        </w:rPr>
        <w:t>mild form of the disease</w:t>
      </w:r>
      <w:r w:rsidR="00B94BDF" w:rsidRPr="00C67AD0">
        <w:rPr>
          <w:rFonts w:ascii="Book Antiqua" w:hAnsi="Book Antiqua" w:cs="Times New Roman"/>
          <w:sz w:val="24"/>
          <w:szCs w:val="24"/>
          <w:lang w:val="en-GB"/>
        </w:rPr>
        <w:t xml:space="preserve">, which </w:t>
      </w:r>
      <w:r w:rsidR="009F6F36" w:rsidRPr="00C67AD0">
        <w:rPr>
          <w:rFonts w:ascii="Book Antiqua" w:hAnsi="Book Antiqua" w:cs="Times New Roman"/>
          <w:sz w:val="24"/>
          <w:szCs w:val="24"/>
          <w:lang w:val="en-GB"/>
        </w:rPr>
        <w:t xml:space="preserve">is mostly self-limited and </w:t>
      </w:r>
      <w:r w:rsidR="00984BEC" w:rsidRPr="00C67AD0">
        <w:rPr>
          <w:rFonts w:ascii="Book Antiqua" w:hAnsi="Book Antiqua" w:cs="Times New Roman"/>
          <w:sz w:val="24"/>
          <w:szCs w:val="24"/>
          <w:lang w:val="en-GB"/>
        </w:rPr>
        <w:t xml:space="preserve">consists of </w:t>
      </w:r>
      <w:r w:rsidR="00197113" w:rsidRPr="00C67AD0">
        <w:rPr>
          <w:rFonts w:ascii="Book Antiqua" w:hAnsi="Book Antiqua" w:cs="Times New Roman"/>
          <w:sz w:val="24"/>
          <w:szCs w:val="24"/>
          <w:lang w:val="en-GB"/>
        </w:rPr>
        <w:t xml:space="preserve">the </w:t>
      </w:r>
      <w:r w:rsidR="00984BEC" w:rsidRPr="00C67AD0">
        <w:rPr>
          <w:rFonts w:ascii="Book Antiqua" w:hAnsi="Book Antiqua" w:cs="Times New Roman"/>
          <w:sz w:val="24"/>
          <w:szCs w:val="24"/>
          <w:lang w:val="en-GB"/>
        </w:rPr>
        <w:t xml:space="preserve">appearance </w:t>
      </w:r>
      <w:r w:rsidR="00197113" w:rsidRPr="00C67AD0">
        <w:rPr>
          <w:rFonts w:ascii="Book Antiqua" w:hAnsi="Book Antiqua" w:cs="Times New Roman"/>
          <w:sz w:val="24"/>
          <w:szCs w:val="24"/>
          <w:lang w:val="en-GB"/>
        </w:rPr>
        <w:t xml:space="preserve">of </w:t>
      </w:r>
      <w:proofErr w:type="spellStart"/>
      <w:r w:rsidR="00197113" w:rsidRPr="00C67AD0">
        <w:rPr>
          <w:rFonts w:ascii="Book Antiqua" w:hAnsi="Book Antiqua" w:cs="Times New Roman"/>
          <w:sz w:val="24"/>
          <w:szCs w:val="24"/>
          <w:lang w:val="en-GB"/>
        </w:rPr>
        <w:t>edema</w:t>
      </w:r>
      <w:proofErr w:type="spellEnd"/>
      <w:r w:rsidR="00197113" w:rsidRPr="00C67AD0">
        <w:rPr>
          <w:rFonts w:ascii="Book Antiqua" w:hAnsi="Book Antiqua" w:cs="Times New Roman"/>
          <w:sz w:val="24"/>
          <w:szCs w:val="24"/>
          <w:lang w:val="en-GB"/>
        </w:rPr>
        <w:t xml:space="preserve"> </w:t>
      </w:r>
      <w:r w:rsidR="00984BEC" w:rsidRPr="00C67AD0">
        <w:rPr>
          <w:rFonts w:ascii="Book Antiqua" w:hAnsi="Book Antiqua" w:cs="Times New Roman"/>
          <w:sz w:val="24"/>
          <w:szCs w:val="24"/>
          <w:lang w:val="en-GB"/>
        </w:rPr>
        <w:t>and inflammation of the pancreas</w:t>
      </w:r>
      <w:r w:rsidR="005C188F" w:rsidRPr="00C67AD0">
        <w:rPr>
          <w:rFonts w:ascii="Book Antiqua" w:hAnsi="Book Antiqua" w:cs="Times New Roman"/>
          <w:sz w:val="24"/>
          <w:szCs w:val="24"/>
          <w:lang w:val="en-GB"/>
        </w:rPr>
        <w:fldChar w:fldCharType="begin" w:fldLock="1"/>
      </w:r>
      <w:r w:rsidR="005C188F" w:rsidRPr="00C67AD0">
        <w:rPr>
          <w:rFonts w:ascii="Book Antiqua" w:hAnsi="Book Antiqua" w:cs="Times New Roman"/>
          <w:sz w:val="24"/>
          <w:szCs w:val="24"/>
          <w:lang w:val="en-GB"/>
        </w:rPr>
        <w:instrText>ADDIN CSL_CITATION {"citationItems":[{"id":"ITEM-1","itemData":{"DOI":"10.1136/gutjnl-2012-302779","ISBN":"0017-5749","PMID":"23100216","abstract":"BACKGROUND AND OBJECTIVE: The Atlanta classification of acute pancreatitis enabled standardised reporting of research and aided communication between clinicians. Deficiencies identified and improved understanding of the disease make a revision necessary. METHODS: A web-based consultation was undertaken in 2007 to ensure wide participation of pancreatologists. After an initial meeting, the Working Group sent a draft document to 11 national and international pancreatic associations. This working draft was forwarded to all members. Revisions were made in response to comments, and the web-based consultation was repeated three times. The final consensus was reviewed, and only statements based on published evidence were retained. RESULTS: The revised classification of acute pancreatitis identified two phases of the disease: early and late. Severity is classified as mild, moderate or severe. Mild acute pancreatitis, the most common form, has no organ failure, local or systemic complications and usually resolves in the first week. Moderately severe acute pancreatitis is defined by the presence of transient organ failure, local complications or exacerbation of co-morbid disease. Severe acute pancreatitis is defined by persistent organ failure, that is, organ failure &gt;48 h. Local complications are peripancreatic fluid collections, pancreatic and peripancreatic necrosis (sterile or infected), pseudocyst and walled-off necrosis (sterile or infected). We present a standardised template for reporting CT images. CONCLUSIONS: This international, web-based consensus provides clear definitions to classify acute pancreatitis using easily identified clinical and radiologic criteria. The wide consultation among pancreatologists to reach this consensus should encourage widespread adoption.","author":[{"dropping-particle":"","family":"Banks","given":"P A","non-dropping-particle":"","parse-names":false,"suffix":""},{"dropping-particle":"","family":"Bollen","given":"T L","non-dropping-particle":"","parse-names":false,"suffix":""},{"dropping-particle":"","family":"Dervenis","given":"C","non-dropping-particle":"","parse-names":false,"suffix":""},{"dropping-particle":"","family":"Gooszen","given":"H G","non-dropping-particle":"","parse-names":false,"suffix":""},{"dropping-particle":"","family":"Johnson","given":"C D","non-dropping-particle":"","parse-names":false,"suffix":""},{"dropping-particle":"","family":"Sarr","given":"M G","non-dropping-particle":"","parse-names":false,"suffix":""},{"dropping-particle":"","family":"Tsiotos","given":"G G","non-dropping-particle":"","parse-names":false,"suffix":""},{"dropping-particle":"","family":"Vege","given":"S S","non-dropping-particle":"","parse-names":false,"suffix":""}],"container-title":"Gut","edition":"2012/10/27","id":"ITEM-1","issue":"1","issued":{"date-parts":[["2013"]]},"language":"eng","note":"1468-3288\nBanks, Peter A\nBollen, Thomas L\nDervenis, Christos\nGooszen, Hein G\nJohnson, Colin D\nSarr, Michael G\nTsiotos, Gregory G\nVege, Santhi Swaroop\nAcute Pancreatitis Classification Working Group\nConsensus Development Conference\nJournal Article\nEngland\nGut. 2013 Jan;62(1):102-11. doi: 10.1136/gutjnl-2012-302779. Epub 2012 Oct 25.","page":"102-111","title":"Classification of acute pancreatitis--2012: revision of the Atlanta classification and definitions by international consensus","type":"article-journal","volume":"62"},"uris":["http://www.mendeley.com/documents/?uuid=85b1956a-9f8f-4005-904c-498eb2a07275"]}],"mendeley":{"formattedCitation":"&lt;sup&gt;[2]&lt;/sup&gt;","plainTextFormattedCitation":"[2]","previouslyFormattedCitation":"&lt;sup&gt;[2]&lt;/sup&gt;"},"properties":{"noteIndex":0},"schema":"https://github.com/citation-style-language/schema/raw/master/csl-citation.json"}</w:instrText>
      </w:r>
      <w:r w:rsidR="005C188F" w:rsidRPr="00C67AD0">
        <w:rPr>
          <w:rFonts w:ascii="Book Antiqua" w:hAnsi="Book Antiqua" w:cs="Times New Roman"/>
          <w:sz w:val="24"/>
          <w:szCs w:val="24"/>
          <w:lang w:val="en-GB"/>
        </w:rPr>
        <w:fldChar w:fldCharType="separate"/>
      </w:r>
      <w:r w:rsidR="005C188F" w:rsidRPr="00C67AD0">
        <w:rPr>
          <w:rFonts w:ascii="Book Antiqua" w:hAnsi="Book Antiqua" w:cs="Times New Roman"/>
          <w:noProof/>
          <w:sz w:val="24"/>
          <w:szCs w:val="24"/>
          <w:vertAlign w:val="superscript"/>
          <w:lang w:val="en-GB"/>
        </w:rPr>
        <w:t>[2]</w:t>
      </w:r>
      <w:r w:rsidR="005C188F" w:rsidRPr="00C67AD0">
        <w:rPr>
          <w:rFonts w:ascii="Book Antiqua" w:hAnsi="Book Antiqua" w:cs="Times New Roman"/>
          <w:sz w:val="24"/>
          <w:szCs w:val="24"/>
          <w:lang w:val="en-GB"/>
        </w:rPr>
        <w:fldChar w:fldCharType="end"/>
      </w:r>
      <w:r w:rsidR="00197113" w:rsidRPr="00C67AD0">
        <w:rPr>
          <w:rFonts w:ascii="Book Antiqua" w:hAnsi="Book Antiqua" w:cs="Times New Roman"/>
          <w:sz w:val="24"/>
          <w:szCs w:val="24"/>
          <w:lang w:val="en-GB"/>
        </w:rPr>
        <w:t>.</w:t>
      </w:r>
      <w:r w:rsidR="009F6F36" w:rsidRPr="00C67AD0">
        <w:rPr>
          <w:rFonts w:ascii="Book Antiqua" w:hAnsi="Book Antiqua" w:cs="Times New Roman"/>
          <w:sz w:val="24"/>
          <w:szCs w:val="24"/>
          <w:lang w:val="en-GB"/>
        </w:rPr>
        <w:t xml:space="preserve"> </w:t>
      </w:r>
      <w:r w:rsidR="00197113" w:rsidRPr="00C67AD0">
        <w:rPr>
          <w:rFonts w:ascii="Book Antiqua" w:hAnsi="Book Antiqua" w:cs="Times New Roman"/>
          <w:sz w:val="24"/>
          <w:szCs w:val="24"/>
          <w:lang w:val="en-GB"/>
        </w:rPr>
        <w:t>In this group, organ failure and local complications are generally not observed</w:t>
      </w:r>
      <w:r w:rsidR="00B94BDF" w:rsidRPr="00C67AD0">
        <w:rPr>
          <w:rFonts w:ascii="Book Antiqua" w:hAnsi="Book Antiqua" w:cs="Times New Roman"/>
          <w:sz w:val="24"/>
          <w:szCs w:val="24"/>
          <w:lang w:val="en-GB"/>
        </w:rPr>
        <w:t>,</w:t>
      </w:r>
      <w:r w:rsidR="00197113" w:rsidRPr="00C67AD0">
        <w:rPr>
          <w:rFonts w:ascii="Book Antiqua" w:hAnsi="Book Antiqua" w:cs="Times New Roman"/>
          <w:sz w:val="24"/>
          <w:szCs w:val="24"/>
          <w:lang w:val="en-GB"/>
        </w:rPr>
        <w:t xml:space="preserve"> and the disease usually resolves in the first week.</w:t>
      </w:r>
      <w:r w:rsidR="00197113" w:rsidRPr="00C67AD0">
        <w:rPr>
          <w:rFonts w:ascii="Book Antiqua" w:hAnsi="Book Antiqua"/>
          <w:sz w:val="24"/>
          <w:szCs w:val="24"/>
          <w:lang w:val="en-GB"/>
        </w:rPr>
        <w:t xml:space="preserve"> </w:t>
      </w:r>
      <w:r w:rsidR="00B94BDF" w:rsidRPr="00C67AD0">
        <w:rPr>
          <w:rFonts w:ascii="Book Antiqua" w:hAnsi="Book Antiqua" w:cs="Times New Roman"/>
          <w:sz w:val="24"/>
          <w:szCs w:val="24"/>
          <w:lang w:val="en-GB"/>
        </w:rPr>
        <w:t>However</w:t>
      </w:r>
      <w:r w:rsidR="009F6F36" w:rsidRPr="00C67AD0">
        <w:rPr>
          <w:rFonts w:ascii="Book Antiqua" w:hAnsi="Book Antiqua" w:cs="Times New Roman"/>
          <w:sz w:val="24"/>
          <w:szCs w:val="24"/>
          <w:lang w:val="en-GB"/>
        </w:rPr>
        <w:t>, between 20% and 30% develop a severe form requiring intensive care unit admission, which is often associated with local and systemic complications</w:t>
      </w:r>
      <w:r w:rsidR="00984BEC" w:rsidRPr="00C67AD0">
        <w:rPr>
          <w:rFonts w:ascii="Book Antiqua" w:hAnsi="Book Antiqua" w:cs="Times New Roman"/>
          <w:sz w:val="24"/>
          <w:szCs w:val="24"/>
          <w:lang w:val="en-GB"/>
        </w:rPr>
        <w:t xml:space="preserve"> and, in some occasions</w:t>
      </w:r>
      <w:r w:rsidR="00780F2D" w:rsidRPr="00C67AD0">
        <w:rPr>
          <w:rFonts w:ascii="Book Antiqua" w:hAnsi="Book Antiqua" w:cs="Times New Roman"/>
          <w:sz w:val="24"/>
          <w:szCs w:val="24"/>
          <w:lang w:val="en-GB"/>
        </w:rPr>
        <w:t>, leads to death</w:t>
      </w:r>
      <w:r w:rsidR="001E5905" w:rsidRPr="00C67AD0">
        <w:rPr>
          <w:rFonts w:ascii="Book Antiqua" w:hAnsi="Book Antiqua" w:cs="Times New Roman"/>
          <w:sz w:val="24"/>
          <w:szCs w:val="24"/>
          <w:lang w:val="en-GB"/>
        </w:rPr>
        <w:fldChar w:fldCharType="begin" w:fldLock="1"/>
      </w:r>
      <w:r w:rsidR="005C188F" w:rsidRPr="00C67AD0">
        <w:rPr>
          <w:rFonts w:ascii="Book Antiqua" w:hAnsi="Book Antiqua" w:cs="Times New Roman"/>
          <w:sz w:val="24"/>
          <w:szCs w:val="24"/>
          <w:lang w:val="en-GB"/>
        </w:rPr>
        <w:instrText>ADDIN CSL_CITATION {"citationItems":[{"id":"ITEM-1","itemData":{"DOI":"10.1053/j.gastro.2011.06.073","ISBN":"0016-5085","PMID":"21741922","abstract":"BACKGROUND &amp; AIMS: Treatment of patients with necrotizing pancreatitis has become more conservative and less invasive, but there are few data from prospective studies to support the efficacy of this change. We performed a prospective multicenter study of treatment outcomes among patients with necrotizing pancreatitis. METHODS: We collected data from 639 consecutive patients with necrotizing pancreatitis, from 2004 to 2008, treated at 21 Dutch hospitals. Data were analyzed for disease severity, interventions (radiologic, endoscopic, surgical), and outcome. RESULTS: Overall mortality was 15% (n=93). Organ failure occurred in 240 patients (38%), with 35% mortality. Treatment was conservative in 397 patients (62%), with 7% mortality. An intervention was performed in 242 patients (38%), with 27% mortality; this included early emergency laparotomy in 32 patients (5%), with 78% mortality. Patients with longer times between admission and intervention had lower mortality: 0 to 14 days, 56%; 14 to 29 days, 26%; and &gt;29 days, 15% (P&lt;.001). A total of 208 patients (33%) received interventions for infected necrosis, with 19% mortality. Catheter drainage was most often performed as the first intervention (63% of cases), without additional necrosectomy in 35% of patients. Primary catheter drainage had fewer complications than primary necrosectomy (42% vs 64%, P=.003). Patients with pancreatic parenchymal necrosis (n=324), compared with patients with only peripancreatic necrosis (n=315), had a higher risk of organ failure (50% vs 24%, P&lt;.001) and mortality (20% vs 9%, P&lt;.001). CONCLUSIONS: Approximately 62% of patients with necrotizing pancreatitis can be treated without an intervention and with low mortality. In patients with infected necrosis, delayed intervention and catheter drainage as first treatment improves outcome.","author":[{"dropping-particle":"","family":"Santvoort","given":"H C","non-dropping-particle":"van","parse-names":false,"suffix":""},{"dropping-particle":"","family":"Bakker","given":"O J","non-dropping-particle":"","parse-names":false,"suffix":""},{"dropping-particle":"","family":"Bollen","given":"T L","non-dropping-particle":"","parse-names":false,"suffix":""},{"dropping-particle":"","family":"Besselink","given":"M G","non-dropping-particle":"","parse-names":false,"suffix":""},{"dropping-particle":"","family":"Ahmed Ali","given":"U","non-dropping-particle":"","parse-names":false,"suffix":""},{"dropping-particle":"","family":"Schrijver","given":"A M","non-dropping-particle":"","parse-names":false,"suffix":""},{"dropping-particle":"","family":"Boermeester","given":"M A","non-dropping-particle":"","parse-names":false,"suffix":""},{"dropping-particle":"","family":"Goor","given":"H","non-dropping-particle":"van","parse-names":false,"suffix":""},{"dropping-particle":"","family":"Dejong","given":"C H","non-dropping-particle":"","parse-names":false,"suffix":""},{"dropping-particle":"","family":"Eijck","given":"C H","non-dropping-particle":"van","parse-names":false,"suffix":""},{"dropping-particle":"","family":"Ramshorst","given":"B","non-dropping-particle":"van","parse-names":false,"suffix":""},{"dropping-particle":"","family":"Schaapherder","given":"A F","non-dropping-particle":"","parse-names":false,"suffix":""},{"dropping-particle":"","family":"Harst","given":"E","non-dropping-particle":"van der","parse-names":false,"suffix":""},{"dropping-particle":"","family":"Hofker","given":"S","non-dropping-particle":"","parse-names":false,"suffix":""},{"dropping-particle":"","family":"Nieuwenhuijs","given":"V B","non-dropping-particle":"","parse-names":false,"suffix":""},{"dropping-particle":"","family":"Brink","given":"M A","non-dropping-particle":"","parse-names":false,"suffix":""},{"dropping-particle":"","family":"Kruyt","given":"P M","non-dropping-particle":"","parse-names":false,"suffix":""},{"dropping-particle":"","family":"Manusama","given":"E R","non-dropping-particle":"","parse-names":false,"suffix":""},{"dropping-particle":"","family":"Schelling","given":"G P","non-dropping-particle":"van der","parse-names":false,"suffix":""},{"dropping-particle":"","family":"Karsten","given":"T","non-dropping-particle":"","parse-names":false,"suffix":""},{"dropping-particle":"","family":"Hesselink","given":"E J","non-dropping-particle":"","parse-names":false,"suffix":""},{"dropping-particle":"","family":"Laarhoven","given":"C J","non-dropping-particle":"van","parse-names":false,"suffix":""},{"dropping-particle":"","family":"Rosman","given":"C","non-dropping-particle":"","parse-names":false,"suffix":""},{"dropping-particle":"","family":"Bosscha","given":"K","non-dropping-particle":"","parse-names":false,"suffix":""},{"dropping-particle":"","family":"Wit","given":"R J","non-dropping-particle":"de","parse-names":false,"suffix":""},{"dropping-particle":"","family":"Houdijk","given":"A P","non-dropping-particle":"","parse-names":false,"suffix":""},{"dropping-particle":"","family":"Cuesta","given":"M A","non-dropping-particle":"","parse-names":false,"suffix":""},{"dropping-particle":"","family":"Wahab","given":"P J","non-dropping-particle":"","parse-names":false,"suffix":""},{"dropping-particle":"","family":"Gooszen","given":"H G","non-dropping-particle":"","parse-names":false,"suffix":""}],"container-title":"Gastroenterology","edition":"2011/07/12","id":"ITEM-1","issue":"4","issued":{"date-parts":[["2011"]]},"language":"eng","note":"1528-0012\nvan Santvoort, Hjalmar C\nBakker, Olaf J\nBollen, Thomas L\nBesselink, Marc G\nAhmed Ali, Usama\nSchrijver, A Marjolein\nBoermeester, Marja A\nvan Goor, Harry\nDejong, Cornelis H\nvan Eijck, Casper H\nvan Ramshorst, Bert\nSchaapherder, Alexander F\nvan der Harst, Erwin\nHofker, Sijbrand\nNieuwenhuijs, Vincent B\nBrink, Menno A\nKruyt, Philip M\nManusama, Eric R\nvan der Schelling, George P\nKarsten, Tom\nHesselink, Eric J\nvan Laarhoven, Cornelis J\nRosman, Camiel\nBosscha, Koop\nde Wit, Ralph J\nHoudijk, Alexander P\nCuesta, Miguel A\nWahab, Peter J\nGooszen, Hein G\nDutch Pancreatitis Study Group\nJournal Article\nMulticenter Study\nResearch Support, Non-U.S. Gov't\nUnited States\nGastroenterology. 2011 Oct;141(4):1254-63. doi: 10.1053/j.gastro.2011.06.073. Epub 2011 Jul 8.","page":"1254-1263","title":"A conservative and minimally invasive approach to necrotizing pancreatitis improves outcome","type":"article-journal","volume":"141"},"uris":["http://www.mendeley.com/documents/?uuid=e5e066a4-dbba-4aa4-acd3-d6f5c009f97b"]}],"mendeley":{"formattedCitation":"&lt;sup&gt;[3]&lt;/sup&gt;","plainTextFormattedCitation":"[3]","previouslyFormattedCitation":"&lt;sup&gt;[3]&lt;/sup&gt;"},"properties":{"noteIndex":0},"schema":"https://github.com/citation-style-language/schema/raw/master/csl-citation.json"}</w:instrText>
      </w:r>
      <w:r w:rsidR="001E5905" w:rsidRPr="00C67AD0">
        <w:rPr>
          <w:rFonts w:ascii="Book Antiqua" w:hAnsi="Book Antiqua" w:cs="Times New Roman"/>
          <w:sz w:val="24"/>
          <w:szCs w:val="24"/>
          <w:lang w:val="en-GB"/>
        </w:rPr>
        <w:fldChar w:fldCharType="separate"/>
      </w:r>
      <w:r w:rsidR="005C188F" w:rsidRPr="00C67AD0">
        <w:rPr>
          <w:rFonts w:ascii="Book Antiqua" w:hAnsi="Book Antiqua" w:cs="Times New Roman"/>
          <w:noProof/>
          <w:sz w:val="24"/>
          <w:szCs w:val="24"/>
          <w:vertAlign w:val="superscript"/>
          <w:lang w:val="en-GB"/>
        </w:rPr>
        <w:t>[3]</w:t>
      </w:r>
      <w:r w:rsidR="001E5905" w:rsidRPr="00C67AD0">
        <w:rPr>
          <w:rFonts w:ascii="Book Antiqua" w:hAnsi="Book Antiqua" w:cs="Times New Roman"/>
          <w:sz w:val="24"/>
          <w:szCs w:val="24"/>
          <w:lang w:val="en-GB"/>
        </w:rPr>
        <w:fldChar w:fldCharType="end"/>
      </w:r>
      <w:r w:rsidR="00D543E3" w:rsidRPr="00C67AD0">
        <w:rPr>
          <w:rFonts w:ascii="Book Antiqua" w:hAnsi="Book Antiqua" w:cs="Times New Roman"/>
          <w:sz w:val="24"/>
          <w:szCs w:val="24"/>
          <w:lang w:val="en-GB"/>
        </w:rPr>
        <w:t>.</w:t>
      </w:r>
      <w:r w:rsidR="00C40C8A" w:rsidRPr="00C67AD0">
        <w:rPr>
          <w:lang w:val="en-GB"/>
        </w:rPr>
        <w:t xml:space="preserve"> </w:t>
      </w:r>
      <w:r w:rsidR="001745FE" w:rsidRPr="00C67AD0">
        <w:rPr>
          <w:rFonts w:ascii="Book Antiqua" w:hAnsi="Book Antiqua" w:cs="Times New Roman"/>
          <w:sz w:val="24"/>
          <w:szCs w:val="24"/>
          <w:lang w:val="en-GB"/>
        </w:rPr>
        <w:t>To date</w:t>
      </w:r>
      <w:r w:rsidR="00C40C8A" w:rsidRPr="00C67AD0">
        <w:rPr>
          <w:rFonts w:ascii="Book Antiqua" w:hAnsi="Book Antiqua" w:cs="Times New Roman"/>
          <w:sz w:val="24"/>
          <w:szCs w:val="24"/>
          <w:lang w:val="en-GB"/>
        </w:rPr>
        <w:t xml:space="preserve">, no drug </w:t>
      </w:r>
      <w:r w:rsidR="00B94BDF" w:rsidRPr="00C67AD0">
        <w:rPr>
          <w:rFonts w:ascii="Book Antiqua" w:hAnsi="Book Antiqua" w:cs="Times New Roman"/>
          <w:sz w:val="24"/>
          <w:szCs w:val="24"/>
          <w:lang w:val="en-GB"/>
        </w:rPr>
        <w:t xml:space="preserve">is available </w:t>
      </w:r>
      <w:r w:rsidR="00C40C8A" w:rsidRPr="00C67AD0">
        <w:rPr>
          <w:rFonts w:ascii="Book Antiqua" w:hAnsi="Book Antiqua" w:cs="Times New Roman"/>
          <w:sz w:val="24"/>
          <w:szCs w:val="24"/>
          <w:lang w:val="en-GB"/>
        </w:rPr>
        <w:t xml:space="preserve">to prevent or treat </w:t>
      </w:r>
      <w:r w:rsidR="00B94BDF" w:rsidRPr="00C67AD0">
        <w:rPr>
          <w:rFonts w:ascii="Book Antiqua" w:hAnsi="Book Antiqua" w:cs="Times New Roman"/>
          <w:sz w:val="24"/>
          <w:szCs w:val="24"/>
          <w:lang w:val="en-GB"/>
        </w:rPr>
        <w:t xml:space="preserve">this </w:t>
      </w:r>
      <w:r w:rsidR="00C40C8A" w:rsidRPr="00C67AD0">
        <w:rPr>
          <w:rFonts w:ascii="Book Antiqua" w:hAnsi="Book Antiqua" w:cs="Times New Roman"/>
          <w:sz w:val="24"/>
          <w:szCs w:val="24"/>
          <w:lang w:val="en-GB"/>
        </w:rPr>
        <w:t>condition</w:t>
      </w:r>
      <w:r w:rsidR="00B94BDF" w:rsidRPr="00C67AD0">
        <w:rPr>
          <w:rFonts w:ascii="Book Antiqua" w:hAnsi="Book Antiqua" w:cs="Times New Roman"/>
          <w:sz w:val="24"/>
          <w:szCs w:val="24"/>
          <w:lang w:val="en-GB"/>
        </w:rPr>
        <w:t>,</w:t>
      </w:r>
      <w:r w:rsidR="00C40C8A" w:rsidRPr="00C67AD0">
        <w:rPr>
          <w:rFonts w:ascii="Book Antiqua" w:hAnsi="Book Antiqua" w:cs="Times New Roman"/>
          <w:sz w:val="24"/>
          <w:szCs w:val="24"/>
          <w:lang w:val="en-GB"/>
        </w:rPr>
        <w:t xml:space="preserve"> and </w:t>
      </w:r>
      <w:r w:rsidR="001745FE" w:rsidRPr="00C67AD0">
        <w:rPr>
          <w:rFonts w:ascii="Book Antiqua" w:hAnsi="Book Antiqua" w:cs="Times New Roman"/>
          <w:sz w:val="24"/>
          <w:szCs w:val="24"/>
          <w:lang w:val="en-GB"/>
        </w:rPr>
        <w:t xml:space="preserve">any </w:t>
      </w:r>
      <w:r w:rsidR="00C40C8A" w:rsidRPr="00C67AD0">
        <w:rPr>
          <w:rFonts w:ascii="Book Antiqua" w:hAnsi="Book Antiqua" w:cs="Times New Roman"/>
          <w:sz w:val="24"/>
          <w:szCs w:val="24"/>
          <w:lang w:val="en-GB"/>
        </w:rPr>
        <w:t xml:space="preserve">improved clinical outcomes </w:t>
      </w:r>
      <w:r w:rsidR="00B94BDF" w:rsidRPr="00C67AD0">
        <w:rPr>
          <w:rFonts w:ascii="Book Antiqua" w:hAnsi="Book Antiqua" w:cs="Times New Roman"/>
          <w:sz w:val="24"/>
          <w:szCs w:val="24"/>
          <w:lang w:val="en-GB"/>
        </w:rPr>
        <w:t xml:space="preserve">have </w:t>
      </w:r>
      <w:r w:rsidR="00C40C8A" w:rsidRPr="00C67AD0">
        <w:rPr>
          <w:rFonts w:ascii="Book Antiqua" w:hAnsi="Book Antiqua" w:cs="Times New Roman"/>
          <w:sz w:val="24"/>
          <w:szCs w:val="24"/>
          <w:lang w:val="en-GB"/>
        </w:rPr>
        <w:t xml:space="preserve">mostly </w:t>
      </w:r>
      <w:r w:rsidR="00B94BDF" w:rsidRPr="00C67AD0">
        <w:rPr>
          <w:rFonts w:ascii="Book Antiqua" w:hAnsi="Book Antiqua" w:cs="Times New Roman"/>
          <w:sz w:val="24"/>
          <w:szCs w:val="24"/>
          <w:lang w:val="en-GB"/>
        </w:rPr>
        <w:t xml:space="preserve">been </w:t>
      </w:r>
      <w:r w:rsidR="00C40C8A" w:rsidRPr="00C67AD0">
        <w:rPr>
          <w:rFonts w:ascii="Book Antiqua" w:hAnsi="Book Antiqua" w:cs="Times New Roman"/>
          <w:sz w:val="24"/>
          <w:szCs w:val="24"/>
          <w:lang w:val="en-GB"/>
        </w:rPr>
        <w:t>due to continuous advancement of various supportive treatments.</w:t>
      </w:r>
    </w:p>
    <w:p w14:paraId="5A2A7B4A" w14:textId="355C72BA" w:rsidR="00250773" w:rsidRPr="00C67AD0" w:rsidRDefault="00516C35" w:rsidP="00E854DF">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Although p</w:t>
      </w:r>
      <w:r w:rsidR="00D3514C" w:rsidRPr="00C67AD0">
        <w:rPr>
          <w:rFonts w:ascii="Book Antiqua" w:hAnsi="Book Antiqua" w:cs="Times New Roman"/>
          <w:sz w:val="24"/>
          <w:szCs w:val="24"/>
          <w:lang w:val="en-GB"/>
        </w:rPr>
        <w:t xml:space="preserve">ancreatic inflammation may be </w:t>
      </w:r>
      <w:r w:rsidR="00DD2507" w:rsidRPr="00C67AD0">
        <w:rPr>
          <w:rFonts w:ascii="Book Antiqua" w:hAnsi="Book Antiqua" w:cs="Times New Roman"/>
          <w:sz w:val="24"/>
          <w:szCs w:val="24"/>
          <w:lang w:val="en-GB"/>
        </w:rPr>
        <w:t>firstly</w:t>
      </w:r>
      <w:r w:rsidR="00D3514C" w:rsidRPr="00C67AD0">
        <w:rPr>
          <w:rFonts w:ascii="Book Antiqua" w:hAnsi="Book Antiqua" w:cs="Times New Roman"/>
          <w:sz w:val="24"/>
          <w:szCs w:val="24"/>
          <w:lang w:val="en-GB"/>
        </w:rPr>
        <w:t xml:space="preserve"> </w:t>
      </w:r>
      <w:r w:rsidR="00EE4CEC" w:rsidRPr="00C67AD0">
        <w:rPr>
          <w:rFonts w:ascii="Book Antiqua" w:hAnsi="Book Antiqua" w:cs="Times New Roman"/>
          <w:sz w:val="24"/>
          <w:szCs w:val="24"/>
          <w:lang w:val="en-GB"/>
        </w:rPr>
        <w:t xml:space="preserve">caused </w:t>
      </w:r>
      <w:r w:rsidR="00D3514C" w:rsidRPr="00C67AD0">
        <w:rPr>
          <w:rFonts w:ascii="Book Antiqua" w:hAnsi="Book Antiqua" w:cs="Times New Roman"/>
          <w:sz w:val="24"/>
          <w:szCs w:val="24"/>
          <w:lang w:val="en-GB"/>
        </w:rPr>
        <w:t xml:space="preserve">by acinar events such as trypsinogen activation, it </w:t>
      </w:r>
      <w:r w:rsidR="00EE4CEC" w:rsidRPr="00C67AD0">
        <w:rPr>
          <w:rFonts w:ascii="Book Antiqua" w:hAnsi="Book Antiqua" w:cs="Times New Roman"/>
          <w:sz w:val="24"/>
          <w:szCs w:val="24"/>
          <w:lang w:val="en-GB"/>
        </w:rPr>
        <w:t xml:space="preserve">finally </w:t>
      </w:r>
      <w:r w:rsidR="00D3514C" w:rsidRPr="00C67AD0">
        <w:rPr>
          <w:rFonts w:ascii="Book Antiqua" w:hAnsi="Book Antiqua" w:cs="Times New Roman"/>
          <w:sz w:val="24"/>
          <w:szCs w:val="24"/>
          <w:lang w:val="en-GB"/>
        </w:rPr>
        <w:t xml:space="preserve">depends on the subsequent </w:t>
      </w:r>
      <w:r w:rsidR="00EE4CEC" w:rsidRPr="00C67AD0">
        <w:rPr>
          <w:rFonts w:ascii="Book Antiqua" w:hAnsi="Book Antiqua" w:cs="Times New Roman"/>
          <w:sz w:val="24"/>
          <w:szCs w:val="24"/>
          <w:lang w:val="en-GB"/>
        </w:rPr>
        <w:t xml:space="preserve">stimulation </w:t>
      </w:r>
      <w:r w:rsidR="00D3514C" w:rsidRPr="00C67AD0">
        <w:rPr>
          <w:rFonts w:ascii="Book Antiqua" w:hAnsi="Book Antiqua" w:cs="Times New Roman"/>
          <w:sz w:val="24"/>
          <w:szCs w:val="24"/>
          <w:lang w:val="en-GB"/>
        </w:rPr>
        <w:t>of components of the innate immune system. The</w:t>
      </w:r>
      <w:r w:rsidR="007D282D" w:rsidRPr="00C67AD0">
        <w:rPr>
          <w:rFonts w:ascii="Book Antiqua" w:hAnsi="Book Antiqua" w:cs="Times New Roman"/>
          <w:sz w:val="24"/>
          <w:szCs w:val="24"/>
          <w:lang w:val="en-GB"/>
        </w:rPr>
        <w:t xml:space="preserve"> initial</w:t>
      </w:r>
      <w:r w:rsidR="00D3514C" w:rsidRPr="00C67AD0">
        <w:rPr>
          <w:rFonts w:ascii="Book Antiqua" w:hAnsi="Book Antiqua" w:cs="Times New Roman"/>
          <w:sz w:val="24"/>
          <w:szCs w:val="24"/>
          <w:lang w:val="en-GB"/>
        </w:rPr>
        <w:t xml:space="preserve"> acinar cell damage triggers the </w:t>
      </w:r>
      <w:r w:rsidR="008C1408" w:rsidRPr="00C67AD0">
        <w:rPr>
          <w:rFonts w:ascii="Book Antiqua" w:hAnsi="Book Antiqua" w:cs="Times New Roman"/>
          <w:sz w:val="24"/>
          <w:szCs w:val="24"/>
          <w:lang w:val="en-GB"/>
        </w:rPr>
        <w:t xml:space="preserve">release </w:t>
      </w:r>
      <w:r w:rsidR="00D3514C" w:rsidRPr="00C67AD0">
        <w:rPr>
          <w:rFonts w:ascii="Book Antiqua" w:hAnsi="Book Antiqua" w:cs="Times New Roman"/>
          <w:sz w:val="24"/>
          <w:szCs w:val="24"/>
          <w:lang w:val="en-GB"/>
        </w:rPr>
        <w:t>of pro-inflammatory cytokines</w:t>
      </w:r>
      <w:r w:rsidR="007D282D" w:rsidRPr="00C67AD0">
        <w:rPr>
          <w:rFonts w:ascii="Book Antiqua" w:hAnsi="Book Antiqua" w:cs="Times New Roman"/>
          <w:sz w:val="24"/>
          <w:szCs w:val="24"/>
          <w:lang w:val="en-GB"/>
        </w:rPr>
        <w:t xml:space="preserve"> and </w:t>
      </w:r>
      <w:r w:rsidR="00D3514C" w:rsidRPr="00C67AD0">
        <w:rPr>
          <w:rFonts w:ascii="Book Antiqua" w:hAnsi="Book Antiqua" w:cs="Times New Roman"/>
          <w:sz w:val="24"/>
          <w:szCs w:val="24"/>
          <w:lang w:val="en-GB"/>
        </w:rPr>
        <w:t>chemokines</w:t>
      </w:r>
      <w:r w:rsidR="00D6178D" w:rsidRPr="00C67AD0">
        <w:rPr>
          <w:rFonts w:ascii="Book Antiqua" w:hAnsi="Book Antiqua" w:cs="Times New Roman"/>
          <w:sz w:val="24"/>
          <w:szCs w:val="24"/>
          <w:lang w:val="en-GB"/>
        </w:rPr>
        <w:t>,</w:t>
      </w:r>
      <w:r w:rsidR="00D3514C" w:rsidRPr="00C67AD0">
        <w:rPr>
          <w:rFonts w:ascii="Book Antiqua" w:hAnsi="Book Antiqua" w:cs="Times New Roman"/>
          <w:sz w:val="24"/>
          <w:szCs w:val="24"/>
          <w:lang w:val="en-GB"/>
        </w:rPr>
        <w:t xml:space="preserve"> leading to increase of microvascular permeability </w:t>
      </w:r>
      <w:r w:rsidRPr="00C67AD0">
        <w:rPr>
          <w:rFonts w:ascii="Book Antiqua" w:hAnsi="Book Antiqua" w:cs="Times New Roman"/>
          <w:sz w:val="24"/>
          <w:szCs w:val="24"/>
          <w:lang w:val="en-GB"/>
        </w:rPr>
        <w:t>and subsequent</w:t>
      </w:r>
      <w:r w:rsidR="00D3514C" w:rsidRPr="00C67AD0">
        <w:rPr>
          <w:rFonts w:ascii="Book Antiqua" w:hAnsi="Book Antiqua" w:cs="Times New Roman"/>
          <w:sz w:val="24"/>
          <w:szCs w:val="24"/>
          <w:lang w:val="en-GB"/>
        </w:rPr>
        <w:t xml:space="preserve"> formation of interstitial </w:t>
      </w:r>
      <w:proofErr w:type="spellStart"/>
      <w:r w:rsidR="00D3514C" w:rsidRPr="00C67AD0">
        <w:rPr>
          <w:rFonts w:ascii="Book Antiqua" w:hAnsi="Book Antiqua" w:cs="Times New Roman"/>
          <w:sz w:val="24"/>
          <w:szCs w:val="24"/>
          <w:lang w:val="en-GB"/>
        </w:rPr>
        <w:t>edema</w:t>
      </w:r>
      <w:proofErr w:type="spellEnd"/>
      <w:r w:rsidR="00283C56" w:rsidRPr="00C67AD0">
        <w:rPr>
          <w:rFonts w:ascii="Book Antiqua" w:hAnsi="Book Antiqua" w:cs="Times New Roman"/>
          <w:sz w:val="24"/>
          <w:szCs w:val="24"/>
          <w:lang w:val="en-GB"/>
        </w:rPr>
        <w:fldChar w:fldCharType="begin" w:fldLock="1"/>
      </w:r>
      <w:r w:rsidR="00283C56" w:rsidRPr="00C67AD0">
        <w:rPr>
          <w:rFonts w:ascii="Book Antiqua" w:hAnsi="Book Antiqua" w:cs="Times New Roman"/>
          <w:sz w:val="24"/>
          <w:szCs w:val="24"/>
          <w:lang w:val="en-GB"/>
        </w:rPr>
        <w:instrText>ADDIN CSL_CITATION {"citationItems":[{"id":"ITEM-1","itemData":{"DOI":"10.1155/2018/6218798","ISSN":"1687630X","PMID":"29736167","abstract":"Acute pancreatitis represents a disorder characterized by acute necroinflammatory changes of the pancreas and is histologically characterized by acinar cell destruction. Diagnosed clinically with the Revised Atlanta Criteria, and with alcohol and cholelithiasis/choledocholithiasis as the two most prominent antecedents, acute pancreatitis ranks first amongst gastrointestinal diagnoses requiring admission and 21st amongst all diagnoses requiring hospitalization with estimated costs approximating 2.6 billion dollars annually. Complications arising from acute pancreatitis follow a progression from pancreatic/peripancreatic fluid collections to pseudocysts and from pancreatic/peripancreatic necrosis to walled-off necrosis that typically occur over the course of a 4-week interval. Treatment relies heavily on fluid resuscitation and nutrition with advanced endoscopic techniques and cholecystectomy utilized in the setting of gallstone pancreatitis. When necessity dictates a drainage procedure (persistent abdominal pain, gastric or duodenal outlet obstruction, biliary obstruction, and infection), an endoscopic ultrasound with advanced endoscopic techniques and technology rather than surgical intervention is increasingly being utilized to manage symptomatic pseudocysts and walled-off pancreatic necrosis by performing a cystogastrostomy.","author":[{"dropping-particle":"","family":"Garber","given":"A","non-dropping-particle":"","parse-names":false,"suffix":""},{"dropping-particle":"","family":"Frakes","given":"C","non-dropping-particle":"","parse-names":false,"suffix":""},{"dropping-particle":"","family":"Arora","given":"Z","non-dropping-particle":"","parse-names":false,"suffix":""},{"dropping-particle":"","family":"Chahal. P","given":"","non-dropping-particle":"","parse-names":false,"suffix":""}],"container-title":"Gastroenterology Research and Practice","id":"ITEM-1","issued":{"date-parts":[["2018"]]},"publisher":"Gastroenterol Res Pract","title":"Mechanisms and management of acute pancreatitis","type":"article","volume":"2018"},"uris":["http://www.mendeley.com/documents/?uuid=79f854f5-2026-34eb-a521-b57bdc973663"]}],"mendeley":{"formattedCitation":"&lt;sup&gt;[4]&lt;/sup&gt;","plainTextFormattedCitation":"[4]","previouslyFormattedCitation":"&lt;sup&gt;[4]&lt;/sup&gt;"},"properties":{"noteIndex":0},"schema":"https://github.com/citation-style-language/schema/raw/master/csl-citation.json"}</w:instrText>
      </w:r>
      <w:r w:rsidR="00283C56" w:rsidRPr="00C67AD0">
        <w:rPr>
          <w:rFonts w:ascii="Book Antiqua" w:hAnsi="Book Antiqua" w:cs="Times New Roman"/>
          <w:sz w:val="24"/>
          <w:szCs w:val="24"/>
          <w:lang w:val="en-GB"/>
        </w:rPr>
        <w:fldChar w:fldCharType="separate"/>
      </w:r>
      <w:r w:rsidR="00283C56" w:rsidRPr="00C67AD0">
        <w:rPr>
          <w:rFonts w:ascii="Book Antiqua" w:hAnsi="Book Antiqua" w:cs="Times New Roman"/>
          <w:noProof/>
          <w:sz w:val="24"/>
          <w:szCs w:val="24"/>
          <w:vertAlign w:val="superscript"/>
          <w:lang w:val="en-GB"/>
        </w:rPr>
        <w:t>[4]</w:t>
      </w:r>
      <w:r w:rsidR="00283C56" w:rsidRPr="00C67AD0">
        <w:rPr>
          <w:rFonts w:ascii="Book Antiqua" w:hAnsi="Book Antiqua" w:cs="Times New Roman"/>
          <w:sz w:val="24"/>
          <w:szCs w:val="24"/>
          <w:lang w:val="en-GB"/>
        </w:rPr>
        <w:fldChar w:fldCharType="end"/>
      </w:r>
      <w:r w:rsidR="00D3514C" w:rsidRPr="00C67AD0">
        <w:rPr>
          <w:rFonts w:ascii="Book Antiqua" w:hAnsi="Book Antiqua" w:cs="Times New Roman"/>
          <w:sz w:val="24"/>
          <w:szCs w:val="24"/>
          <w:lang w:val="en-GB"/>
        </w:rPr>
        <w:t>.</w:t>
      </w:r>
      <w:r w:rsidR="00D3514C" w:rsidRPr="00C67AD0" w:rsidDel="00D3514C">
        <w:rPr>
          <w:rFonts w:ascii="Book Antiqua" w:hAnsi="Book Antiqua" w:cs="Times New Roman"/>
          <w:sz w:val="24"/>
          <w:szCs w:val="24"/>
          <w:lang w:val="en-GB"/>
        </w:rPr>
        <w:t xml:space="preserve"> </w:t>
      </w:r>
      <w:r w:rsidR="00D6178D" w:rsidRPr="00C67AD0">
        <w:rPr>
          <w:rFonts w:ascii="Book Antiqua" w:hAnsi="Book Antiqua" w:cs="Times New Roman"/>
          <w:sz w:val="24"/>
          <w:szCs w:val="24"/>
          <w:lang w:val="en-GB"/>
        </w:rPr>
        <w:t>A</w:t>
      </w:r>
      <w:r w:rsidR="007D282D" w:rsidRPr="00C67AD0">
        <w:rPr>
          <w:rFonts w:ascii="Book Antiqua" w:hAnsi="Book Antiqua" w:cs="Times New Roman"/>
          <w:sz w:val="24"/>
          <w:szCs w:val="24"/>
          <w:lang w:val="en-GB"/>
        </w:rPr>
        <w:t>c</w:t>
      </w:r>
      <w:r w:rsidR="00D3514C" w:rsidRPr="00C67AD0">
        <w:rPr>
          <w:rFonts w:ascii="Book Antiqua" w:hAnsi="Book Antiqua" w:cs="Times New Roman"/>
          <w:sz w:val="24"/>
          <w:szCs w:val="24"/>
          <w:lang w:val="en-GB"/>
        </w:rPr>
        <w:t xml:space="preserve">tivation of inflammatory cells </w:t>
      </w:r>
      <w:r w:rsidR="00D6178D" w:rsidRPr="00C67AD0">
        <w:rPr>
          <w:rFonts w:ascii="Book Antiqua" w:hAnsi="Book Antiqua" w:cs="Times New Roman"/>
          <w:sz w:val="24"/>
          <w:szCs w:val="24"/>
          <w:lang w:val="en-GB"/>
        </w:rPr>
        <w:t xml:space="preserve">then </w:t>
      </w:r>
      <w:r w:rsidR="00C40C8A" w:rsidRPr="00C67AD0">
        <w:rPr>
          <w:rFonts w:ascii="Book Antiqua" w:hAnsi="Book Antiqua" w:cs="Times New Roman"/>
          <w:sz w:val="24"/>
          <w:szCs w:val="24"/>
          <w:lang w:val="en-GB"/>
        </w:rPr>
        <w:t>provokes the</w:t>
      </w:r>
      <w:r w:rsidR="00D3514C" w:rsidRPr="00C67AD0">
        <w:rPr>
          <w:rFonts w:ascii="Book Antiqua" w:hAnsi="Book Antiqua" w:cs="Times New Roman"/>
          <w:sz w:val="24"/>
          <w:szCs w:val="24"/>
          <w:lang w:val="en-GB"/>
        </w:rPr>
        <w:t xml:space="preserve"> production of </w:t>
      </w:r>
      <w:r w:rsidR="00C40C8A" w:rsidRPr="00C67AD0">
        <w:rPr>
          <w:rFonts w:ascii="Book Antiqua" w:hAnsi="Book Antiqua" w:cs="Times New Roman"/>
          <w:sz w:val="24"/>
          <w:szCs w:val="24"/>
          <w:lang w:val="en-GB"/>
        </w:rPr>
        <w:t xml:space="preserve">additional </w:t>
      </w:r>
      <w:r w:rsidR="00D3514C" w:rsidRPr="00C67AD0">
        <w:rPr>
          <w:rFonts w:ascii="Book Antiqua" w:hAnsi="Book Antiqua" w:cs="Times New Roman"/>
          <w:sz w:val="24"/>
          <w:szCs w:val="24"/>
          <w:lang w:val="en-GB"/>
        </w:rPr>
        <w:t xml:space="preserve">cytokines and other mediators that initiate the inflammatory response. These mediators recruit </w:t>
      </w:r>
      <w:r w:rsidR="006A4F0C" w:rsidRPr="00C67AD0">
        <w:rPr>
          <w:rFonts w:ascii="Book Antiqua" w:hAnsi="Book Antiqua" w:cs="Times New Roman"/>
          <w:sz w:val="24"/>
          <w:szCs w:val="24"/>
          <w:lang w:val="en-GB"/>
        </w:rPr>
        <w:t>different types of leukocytes (</w:t>
      </w:r>
      <w:r w:rsidR="00D32F1F" w:rsidRPr="00C67AD0">
        <w:rPr>
          <w:rFonts w:ascii="Book Antiqua" w:hAnsi="Book Antiqua" w:cs="Times New Roman"/>
          <w:sz w:val="24"/>
          <w:szCs w:val="24"/>
          <w:lang w:val="en-GB"/>
        </w:rPr>
        <w:t xml:space="preserve">first </w:t>
      </w:r>
      <w:r w:rsidR="00D3514C" w:rsidRPr="00C67AD0">
        <w:rPr>
          <w:rFonts w:ascii="Book Antiqua" w:hAnsi="Book Antiqua" w:cs="Times New Roman"/>
          <w:sz w:val="24"/>
          <w:szCs w:val="24"/>
          <w:lang w:val="en-GB"/>
        </w:rPr>
        <w:t xml:space="preserve">neutrophils, </w:t>
      </w:r>
      <w:r w:rsidR="00D32F1F" w:rsidRPr="00C67AD0">
        <w:rPr>
          <w:rFonts w:ascii="Book Antiqua" w:hAnsi="Book Antiqua" w:cs="Times New Roman"/>
          <w:sz w:val="24"/>
          <w:szCs w:val="24"/>
          <w:lang w:val="en-GB"/>
        </w:rPr>
        <w:t>followed by</w:t>
      </w:r>
      <w:r w:rsidR="00D3514C" w:rsidRPr="00C67AD0">
        <w:rPr>
          <w:rFonts w:ascii="Book Antiqua" w:hAnsi="Book Antiqua" w:cs="Times New Roman"/>
          <w:sz w:val="24"/>
          <w:szCs w:val="24"/>
          <w:lang w:val="en-GB"/>
        </w:rPr>
        <w:t xml:space="preserve"> macrophages, monocytes and lymphocytes</w:t>
      </w:r>
      <w:r w:rsidR="006A4F0C" w:rsidRPr="00C67AD0">
        <w:rPr>
          <w:rFonts w:ascii="Book Antiqua" w:hAnsi="Book Antiqua" w:cs="Times New Roman"/>
          <w:sz w:val="24"/>
          <w:szCs w:val="24"/>
          <w:lang w:val="en-GB"/>
        </w:rPr>
        <w:t>)</w:t>
      </w:r>
      <w:r w:rsidR="00D3514C" w:rsidRPr="00C67AD0">
        <w:rPr>
          <w:rFonts w:ascii="Book Antiqua" w:hAnsi="Book Antiqua" w:cs="Times New Roman"/>
          <w:sz w:val="24"/>
          <w:szCs w:val="24"/>
          <w:lang w:val="en-GB"/>
        </w:rPr>
        <w:t xml:space="preserve"> to the pancreas</w:t>
      </w:r>
      <w:r w:rsidR="007D282D" w:rsidRPr="00C67AD0">
        <w:rPr>
          <w:rFonts w:ascii="Book Antiqua" w:hAnsi="Book Antiqua" w:cs="Times New Roman"/>
          <w:sz w:val="24"/>
          <w:szCs w:val="24"/>
          <w:lang w:val="en-GB"/>
        </w:rPr>
        <w:t>.</w:t>
      </w:r>
      <w:r w:rsidR="00FE594E" w:rsidRPr="00C67AD0">
        <w:rPr>
          <w:rFonts w:ascii="Book Antiqua" w:hAnsi="Book Antiqua" w:cs="Times New Roman"/>
          <w:sz w:val="24"/>
          <w:szCs w:val="24"/>
          <w:lang w:val="en-GB"/>
        </w:rPr>
        <w:t xml:space="preserve"> </w:t>
      </w:r>
      <w:r w:rsidR="00D10B17" w:rsidRPr="00C67AD0">
        <w:rPr>
          <w:rFonts w:ascii="Book Antiqua" w:hAnsi="Book Antiqua" w:cs="Times New Roman"/>
          <w:sz w:val="24"/>
          <w:szCs w:val="24"/>
          <w:lang w:val="en-GB"/>
        </w:rPr>
        <w:t xml:space="preserve">In parallel to </w:t>
      </w:r>
      <w:r w:rsidR="008C1408" w:rsidRPr="00C67AD0">
        <w:rPr>
          <w:rFonts w:ascii="Book Antiqua" w:hAnsi="Book Antiqua" w:cs="Times New Roman"/>
          <w:sz w:val="24"/>
          <w:szCs w:val="24"/>
          <w:lang w:val="en-GB"/>
        </w:rPr>
        <w:t>the pro-inflammatory response</w:t>
      </w:r>
      <w:r w:rsidR="0013475F" w:rsidRPr="00C67AD0">
        <w:rPr>
          <w:rFonts w:ascii="Book Antiqua" w:hAnsi="Book Antiqua" w:cs="Times New Roman"/>
          <w:sz w:val="24"/>
          <w:szCs w:val="24"/>
          <w:lang w:val="en-GB"/>
        </w:rPr>
        <w:t xml:space="preserve">, an anti-inflammatory response </w:t>
      </w:r>
      <w:r w:rsidR="00D10B17" w:rsidRPr="00C67AD0">
        <w:rPr>
          <w:rFonts w:ascii="Book Antiqua" w:hAnsi="Book Antiqua" w:cs="Times New Roman"/>
          <w:sz w:val="24"/>
          <w:szCs w:val="24"/>
          <w:lang w:val="en-GB"/>
        </w:rPr>
        <w:t xml:space="preserve">is </w:t>
      </w:r>
      <w:r w:rsidR="008C1408" w:rsidRPr="00C67AD0">
        <w:rPr>
          <w:rFonts w:ascii="Book Antiqua" w:hAnsi="Book Antiqua" w:cs="Times New Roman"/>
          <w:sz w:val="24"/>
          <w:szCs w:val="24"/>
          <w:lang w:val="en-GB"/>
        </w:rPr>
        <w:t xml:space="preserve">also </w:t>
      </w:r>
      <w:r w:rsidR="00D10B17" w:rsidRPr="00C67AD0">
        <w:rPr>
          <w:rFonts w:ascii="Book Antiqua" w:hAnsi="Book Antiqua" w:cs="Times New Roman"/>
          <w:sz w:val="24"/>
          <w:szCs w:val="24"/>
          <w:lang w:val="en-GB"/>
        </w:rPr>
        <w:t>released</w:t>
      </w:r>
      <w:r w:rsidR="0027283F" w:rsidRPr="00C67AD0">
        <w:rPr>
          <w:rFonts w:ascii="Book Antiqua" w:hAnsi="Book Antiqua" w:cs="Times New Roman"/>
          <w:sz w:val="24"/>
          <w:szCs w:val="24"/>
          <w:lang w:val="en-GB"/>
        </w:rPr>
        <w:fldChar w:fldCharType="begin" w:fldLock="1"/>
      </w:r>
      <w:r w:rsidR="00AA0E0D" w:rsidRPr="00C67AD0">
        <w:rPr>
          <w:rFonts w:ascii="Book Antiqua" w:hAnsi="Book Antiqua" w:cs="Times New Roman"/>
          <w:sz w:val="24"/>
          <w:szCs w:val="24"/>
          <w:lang w:val="en-GB"/>
        </w:rPr>
        <w:instrText>ADDIN CSL_CITATION {"citationItems":[{"id":"ITEM-1","itemData":{"DOI":"10.1053/j.gastro.2019.09.040","ISBN":"0016-5085","PMID":"31593700","abstract":"BACKGROUND &amp; AIMS: Pancreatitis starts with primarily sterile local inflammation that induces systemic inflammatory response syndrome, followed by compensatory anti-inflammatory response syndrome (CARS). We investigated the mechanisms of these processes in mice and human serum. METHODS: We induced severe acute pancreatitis by partial duct ligation with caerulein stimulation or intraperitoneal injection of l-arginine in mice with deletion of interleukin (IL)12B, NLRP3, or IL18 and in mice given MCC950, a small molecule inhibitor of the NLRP3-inflammasome. Pancreata were collected from mice and analyzed by histology, and cytokine levels were measured in serum samples. We measured activation of adaptive immune responses in mice with pancreatitis by flow cytometry analysis of T cells (CD25 and CD69) isolated from the spleen. Differentiation of T-helper (Th1) cells, Th2 cells, and T-regulatory cells was determined by nuclear staining for TBET, GATA3, and FOXP3. We performed transcriptome analysis of mouse lymph nodes and bone marrow-derived macrophages after incubation with acini. We measured levels of cytokines in serum samples from patients with mild and severe acute pancreatitis. RESULTS: Activation of the adaptive immune response in mice was initiated by macrophage-derived, caspase 1-processed cytokines and required activation of NLRP3 (confirmed in serum samples from patients with pancreatitis). Spleen cells from mice with pancreatitis had increases in Th2 cells but not in Th1 cells. Bone marrow-derived macrophages secreted IL1B and IL18, but not IL12, after co-incubation with pancreatic acini. T-cell activation and severity of acute pancreatitis did not differ significantly between IL12B-deficient and control mice. In contrast, NLRP3- or IL18-deficient mice had reduced activation of T cells and no increase in Th2 cell-mediated responses compared with control mice. The systemic type 2 immune response was mediated by macrophage-derived cytokines of the IL1 family. Specifically, IL18 induced a Th2 cell-mediated response in the absence of IL12. MCC950 significantly reduced neutrophil infiltration, T-cell activation, and disease severity in mice. CONCLUSIONS: In mice with severe pancreatitis, we found systemic inflammatory response syndrome and compensatory anti-inflammatory response syndrome developed in parallel. Infiltrating macrophages promote inflammation and simultaneously induce a Th2 cell-mediated response via IL18. Inhibition of NLRP3 reduces syste…","author":[{"dropping-particle":"","family":"Sendler","given":"M","non-dropping-particle":"","parse-names":false,"suffix":""},{"dropping-particle":"","family":"Brandt","given":"C","non-dropping-particle":"van den","parse-names":false,"suffix":""},{"dropping-particle":"","family":"Glaubitz","given":"J","non-dropping-particle":"","parse-names":false,"suffix":""},{"dropping-particle":"","family":"Wilden","given":"A","non-dropping-particle":"","parse-names":false,"suffix":""},{"dropping-particle":"","family":"Golchert","given":"J","non-dropping-particle":"","parse-names":false,"suffix":""},{"dropping-particle":"","family":"Weiss","given":"F U","non-dropping-particle":"","parse-names":false,"suffix":""},{"dropping-particle":"","family":"Homuth","given":"G","non-dropping-particle":"","parse-names":false,"suffix":""},{"dropping-particle":"","family":"Freitas Chama","given":"L L","non-dropping-particle":"De","parse-names":false,"suffix":""},{"dropping-particle":"","family":"Mishra","given":"N","non-dropping-particle":"","parse-names":false,"suffix":""},{"dropping-particle":"","family":"Mahajan","given":"U M","non-dropping-particle":"","parse-names":false,"suffix":""},{"dropping-particle":"","family":"Bossaller","given":"L","non-dropping-particle":"","parse-names":false,"suffix":""},{"dropping-particle":"","family":"Völker","given":"U","non-dropping-particle":"","parse-names":false,"suffix":""},{"dropping-particle":"","family":"Bröker","given":"B M","non-dropping-particle":"","parse-names":false,"suffix":""},{"dropping-particle":"","family":"Mayerle","given":"J","non-dropping-particle":"","parse-names":false,"suffix":""},{"dropping-particle":"","family":"Lerch","given":"M M","non-dropping-particle":"","parse-names":false,"suffix":""}],"container-title":"Gastroenterology","edition":"2019/10/09","id":"ITEM-1","issue":"1","issued":{"date-parts":[["2020"]]},"language":"eng","note":"1528-0012\nSendler, Matthias\nvan den Brandt, Cindy\nGlaubitz, Juliane\nWilden, Anika\nGolchert, Janine\nWeiss, Frank Ulrich\nHomuth, Georg\nDe Freitas Chama, Laura L\nMishra, Neha\nMahajan, Ujjwal Mukund\nBossaller, Lukas\nVölker, Uwe\nBröker, Barbara M\nMayerle, Julia\nLerch, Markus M\nJournal Article\nResearch Support, Non-U.S. Gov't\nUnited States\nGastroenterology. 2020 Jan;158(1):253-269.e14. doi: 10.1053/j.gastro.2019.09.040. Epub 2019 Oct 5.","page":"253-269.e14","title":"NLRP3 Inflammasome Regulates Development of Systemic Inflammatory Response and Compensatory Anti-Inflammatory Response Syndromes in Mice With Acute Pancreatitis","type":"article-journal","volume":"158"},"uris":["http://www.mendeley.com/documents/?uuid=b41ff925-1fb1-4e21-8538-13ce650d9ed1"]}],"mendeley":{"formattedCitation":"&lt;sup&gt;[5]&lt;/sup&gt;","plainTextFormattedCitation":"[5]","previouslyFormattedCitation":"&lt;sup&gt;[5]&lt;/sup&gt;"},"properties":{"noteIndex":0},"schema":"https://github.com/citation-style-language/schema/raw/master/csl-citation.json"}</w:instrText>
      </w:r>
      <w:r w:rsidR="0027283F" w:rsidRPr="00C67AD0">
        <w:rPr>
          <w:rFonts w:ascii="Book Antiqua" w:hAnsi="Book Antiqua" w:cs="Times New Roman"/>
          <w:sz w:val="24"/>
          <w:szCs w:val="24"/>
          <w:lang w:val="en-GB"/>
        </w:rPr>
        <w:fldChar w:fldCharType="separate"/>
      </w:r>
      <w:r w:rsidR="0027283F" w:rsidRPr="00C67AD0">
        <w:rPr>
          <w:rFonts w:ascii="Book Antiqua" w:hAnsi="Book Antiqua" w:cs="Times New Roman"/>
          <w:noProof/>
          <w:sz w:val="24"/>
          <w:szCs w:val="24"/>
          <w:vertAlign w:val="superscript"/>
          <w:lang w:val="en-GB"/>
        </w:rPr>
        <w:t>[5]</w:t>
      </w:r>
      <w:r w:rsidR="0027283F" w:rsidRPr="00C67AD0">
        <w:rPr>
          <w:rFonts w:ascii="Book Antiqua" w:hAnsi="Book Antiqua" w:cs="Times New Roman"/>
          <w:sz w:val="24"/>
          <w:szCs w:val="24"/>
          <w:lang w:val="en-GB"/>
        </w:rPr>
        <w:fldChar w:fldCharType="end"/>
      </w:r>
      <w:r w:rsidR="00D10B17" w:rsidRPr="00C67AD0">
        <w:rPr>
          <w:rFonts w:ascii="Book Antiqua" w:hAnsi="Book Antiqua" w:cs="Times New Roman"/>
          <w:sz w:val="24"/>
          <w:szCs w:val="24"/>
          <w:lang w:val="en-GB"/>
        </w:rPr>
        <w:t>. If the anti-inflammatory response is adequate, the</w:t>
      </w:r>
      <w:r w:rsidR="00250773" w:rsidRPr="00C67AD0">
        <w:rPr>
          <w:rFonts w:ascii="Book Antiqua" w:hAnsi="Book Antiqua" w:cs="Times New Roman"/>
          <w:sz w:val="24"/>
          <w:szCs w:val="24"/>
          <w:lang w:val="en-GB"/>
        </w:rPr>
        <w:t xml:space="preserve"> local inflammation </w:t>
      </w:r>
      <w:r w:rsidR="008C1408" w:rsidRPr="00C67AD0">
        <w:rPr>
          <w:rFonts w:ascii="Book Antiqua" w:hAnsi="Book Antiqua" w:cs="Times New Roman"/>
          <w:sz w:val="24"/>
          <w:szCs w:val="24"/>
          <w:lang w:val="en-GB"/>
        </w:rPr>
        <w:t>resolves</w:t>
      </w:r>
      <w:r w:rsidR="00250773" w:rsidRPr="00C67AD0">
        <w:rPr>
          <w:rFonts w:ascii="Book Antiqua" w:hAnsi="Book Antiqua" w:cs="Times New Roman"/>
          <w:sz w:val="24"/>
          <w:szCs w:val="24"/>
          <w:lang w:val="en-GB"/>
        </w:rPr>
        <w:t xml:space="preserve"> at this stage. However, in some cases, an overwhelming pro</w:t>
      </w:r>
      <w:r w:rsidR="003B6931" w:rsidRPr="00C67AD0">
        <w:rPr>
          <w:rFonts w:ascii="Book Antiqua" w:hAnsi="Book Antiqua" w:cs="Times New Roman"/>
          <w:sz w:val="24"/>
          <w:szCs w:val="24"/>
          <w:lang w:val="en-GB"/>
        </w:rPr>
        <w:t>-</w:t>
      </w:r>
      <w:r w:rsidR="00250773" w:rsidRPr="00C67AD0">
        <w:rPr>
          <w:rFonts w:ascii="Book Antiqua" w:hAnsi="Book Antiqua" w:cs="Times New Roman"/>
          <w:sz w:val="24"/>
          <w:szCs w:val="24"/>
          <w:lang w:val="en-GB"/>
        </w:rPr>
        <w:t xml:space="preserve">inflammatory response </w:t>
      </w:r>
      <w:r w:rsidR="003B6931" w:rsidRPr="00C67AD0">
        <w:rPr>
          <w:rFonts w:ascii="Book Antiqua" w:hAnsi="Book Antiqua" w:cs="Times New Roman"/>
          <w:sz w:val="24"/>
          <w:szCs w:val="24"/>
          <w:lang w:val="en-GB"/>
        </w:rPr>
        <w:t xml:space="preserve">drives the migration of </w:t>
      </w:r>
      <w:r w:rsidR="00250773" w:rsidRPr="00C67AD0">
        <w:rPr>
          <w:rFonts w:ascii="Book Antiqua" w:hAnsi="Book Antiqua" w:cs="Times New Roman"/>
          <w:sz w:val="24"/>
          <w:szCs w:val="24"/>
          <w:lang w:val="en-GB"/>
        </w:rPr>
        <w:t xml:space="preserve">inflammatory mediators </w:t>
      </w:r>
      <w:r w:rsidR="003B6931" w:rsidRPr="00C67AD0">
        <w:rPr>
          <w:rFonts w:ascii="Book Antiqua" w:hAnsi="Book Antiqua" w:cs="Times New Roman"/>
          <w:sz w:val="24"/>
          <w:szCs w:val="24"/>
          <w:lang w:val="en-GB"/>
        </w:rPr>
        <w:t>i</w:t>
      </w:r>
      <w:r w:rsidR="00250773" w:rsidRPr="00C67AD0">
        <w:rPr>
          <w:rFonts w:ascii="Book Antiqua" w:hAnsi="Book Antiqua" w:cs="Times New Roman"/>
          <w:sz w:val="24"/>
          <w:szCs w:val="24"/>
          <w:lang w:val="en-GB"/>
        </w:rPr>
        <w:t>nto systemic circulation</w:t>
      </w:r>
      <w:r w:rsidR="00721537" w:rsidRPr="00C67AD0">
        <w:rPr>
          <w:rFonts w:ascii="Book Antiqua" w:hAnsi="Book Antiqua" w:cs="Times New Roman"/>
          <w:sz w:val="24"/>
          <w:szCs w:val="24"/>
          <w:lang w:val="en-GB"/>
        </w:rPr>
        <w:t>,</w:t>
      </w:r>
      <w:r w:rsidR="00250773" w:rsidRPr="00C67AD0">
        <w:rPr>
          <w:rFonts w:ascii="Book Antiqua" w:hAnsi="Book Antiqua" w:cs="Times New Roman"/>
          <w:sz w:val="24"/>
          <w:szCs w:val="24"/>
          <w:lang w:val="en-GB"/>
        </w:rPr>
        <w:t xml:space="preserve"> leading to </w:t>
      </w:r>
      <w:r w:rsidR="00D10B17" w:rsidRPr="00C67AD0">
        <w:rPr>
          <w:rFonts w:ascii="Book Antiqua" w:hAnsi="Book Antiqua" w:cs="Times New Roman"/>
          <w:sz w:val="24"/>
          <w:szCs w:val="24"/>
          <w:lang w:val="en-GB"/>
        </w:rPr>
        <w:t>distant organ dysfunction</w:t>
      </w:r>
      <w:r w:rsidR="00EC4037" w:rsidRPr="00C67AD0">
        <w:rPr>
          <w:rFonts w:ascii="Book Antiqua" w:hAnsi="Book Antiqua" w:cs="Times New Roman"/>
          <w:sz w:val="24"/>
          <w:szCs w:val="24"/>
          <w:lang w:val="en-GB"/>
        </w:rPr>
        <w:fldChar w:fldCharType="begin" w:fldLock="1"/>
      </w:r>
      <w:r w:rsidR="00EA7EC1" w:rsidRPr="00C67AD0">
        <w:rPr>
          <w:rFonts w:ascii="Book Antiqua" w:hAnsi="Book Antiqua" w:cs="Times New Roman"/>
          <w:sz w:val="24"/>
          <w:szCs w:val="24"/>
          <w:lang w:val="en-GB"/>
        </w:rPr>
        <w:instrText>ADDIN CSL_CITATION {"citationItems":[{"id":"ITEM-1","itemData":{"DOI":"10.3748/wjg.v16.i23.2867","PMID":"20556831","abstract":"Acute pancreatitis (AP) is a common disease, which usually exists in its mild form. However, in a fifth of cases, the disease is severe, with local pancreatic complications or systemic organ dysfunction or both. Because the development of organ failure is the major cause of death in AP, early identification of patients likely to develop organ failure is important. AP is initiated by intracellular activation of pancreatic proen-zymes and autodigestion of the pancreas. Destruction of the pancreatic parenchyma first induces an inflam-matory reaction locally, but may lead to overwhelming systemic production of inflammatory mediators and early organ failure. Concomitantly, anti-inflammatory cytokines and specific cytokine inhibitors are produced. This anti-inflammatory reaction may overcompensate and inhibit the immune response, rendering the host at risk of systemic infection. At present, there is no specific treatment for AP. Increased understanding of the pathogenesis of systemic inflammation and development of organ dysfunction may provide us with drugs to ameliorate physiological disturbances. © 2010 Baishideng.","author":[{"dropping-particle":"","family":"Kylänpää","given":"Marja Leena","non-dropping-particle":"","parse-names":false,"suffix":""},{"dropping-particle":"","family":"Repo","given":"Heikki","non-dropping-particle":"","parse-names":false,"suffix":""},{"dropping-particle":"","family":"Puolakkainen","given":"Pauli Antero","non-dropping-particle":"","parse-names":false,"suffix":""}],"container-title":"World Journal of Gastroenterology","id":"ITEM-1","issue":"23","issued":{"date-parts":[["2010"]]},"page":"2867-2872","publisher":"WJG Press","title":"Inflammation and immunosuppression in severe acute pancreatitis","type":"article-journal","volume":"16"},"uris":["http://www.mendeley.com/documents/?uuid=09ed946e-fbf0-3c84-b2df-cfebde305e84"]}],"mendeley":{"formattedCitation":"&lt;sup&gt;[6]&lt;/sup&gt;","plainTextFormattedCitation":"[6]","previouslyFormattedCitation":"&lt;sup&gt;[6]&lt;/sup&gt;"},"properties":{"noteIndex":0},"schema":"https://github.com/citation-style-language/schema/raw/master/csl-citation.json"}</w:instrText>
      </w:r>
      <w:r w:rsidR="00EC4037" w:rsidRPr="00C67AD0">
        <w:rPr>
          <w:rFonts w:ascii="Book Antiqua" w:hAnsi="Book Antiqua" w:cs="Times New Roman"/>
          <w:sz w:val="24"/>
          <w:szCs w:val="24"/>
          <w:lang w:val="en-GB"/>
        </w:rPr>
        <w:fldChar w:fldCharType="separate"/>
      </w:r>
      <w:r w:rsidR="00EC4037" w:rsidRPr="00C67AD0">
        <w:rPr>
          <w:rFonts w:ascii="Book Antiqua" w:hAnsi="Book Antiqua" w:cs="Times New Roman"/>
          <w:noProof/>
          <w:sz w:val="24"/>
          <w:szCs w:val="24"/>
          <w:vertAlign w:val="superscript"/>
          <w:lang w:val="en-GB"/>
        </w:rPr>
        <w:t>[6]</w:t>
      </w:r>
      <w:r w:rsidR="00EC4037" w:rsidRPr="00C67AD0">
        <w:rPr>
          <w:rFonts w:ascii="Book Antiqua" w:hAnsi="Book Antiqua" w:cs="Times New Roman"/>
          <w:sz w:val="24"/>
          <w:szCs w:val="24"/>
          <w:lang w:val="en-GB"/>
        </w:rPr>
        <w:fldChar w:fldCharType="end"/>
      </w:r>
      <w:r w:rsidR="00B12ED2" w:rsidRPr="00C67AD0">
        <w:rPr>
          <w:rFonts w:ascii="Book Antiqua" w:hAnsi="Book Antiqua" w:cs="Times New Roman"/>
          <w:sz w:val="24"/>
          <w:szCs w:val="24"/>
          <w:lang w:val="en-GB"/>
        </w:rPr>
        <w:t>.</w:t>
      </w:r>
      <w:r w:rsidR="003B6931" w:rsidRPr="00C67AD0">
        <w:rPr>
          <w:rFonts w:ascii="Book Antiqua" w:hAnsi="Book Antiqua" w:cs="Times New Roman"/>
          <w:sz w:val="24"/>
          <w:szCs w:val="24"/>
          <w:lang w:val="en-GB"/>
        </w:rPr>
        <w:t xml:space="preserve"> </w:t>
      </w:r>
    </w:p>
    <w:p w14:paraId="4DE8BB82" w14:textId="40FB6B8F" w:rsidR="00B44A58" w:rsidRPr="00C67AD0" w:rsidRDefault="004013C2" w:rsidP="005F0580">
      <w:pPr>
        <w:spacing w:line="360" w:lineRule="auto"/>
        <w:ind w:firstLineChars="100" w:firstLine="240"/>
        <w:contextualSpacing/>
        <w:jc w:val="both"/>
        <w:rPr>
          <w:rFonts w:ascii="Book Antiqua" w:hAnsi="Book Antiqua" w:cs="Times New Roman"/>
          <w:sz w:val="24"/>
          <w:szCs w:val="24"/>
          <w:lang w:val="en-GB" w:eastAsia="zh-CN"/>
        </w:rPr>
      </w:pPr>
      <w:r w:rsidRPr="00C67AD0">
        <w:rPr>
          <w:rFonts w:ascii="Book Antiqua" w:hAnsi="Book Antiqua" w:cs="Times New Roman"/>
          <w:sz w:val="24"/>
          <w:szCs w:val="24"/>
          <w:lang w:val="en-GB"/>
        </w:rPr>
        <w:t>Polyethylene</w:t>
      </w:r>
      <w:r w:rsidR="003D6BCA" w:rsidRPr="00C67AD0">
        <w:rPr>
          <w:rFonts w:ascii="Book Antiqua" w:hAnsi="Book Antiqua" w:cs="Times New Roman"/>
          <w:sz w:val="24"/>
          <w:szCs w:val="24"/>
          <w:lang w:val="en-GB"/>
        </w:rPr>
        <w:t xml:space="preserve"> glycol</w:t>
      </w:r>
      <w:r w:rsidR="002A34DB" w:rsidRPr="00C67AD0">
        <w:rPr>
          <w:rFonts w:ascii="Book Antiqua" w:hAnsi="Book Antiqua" w:cs="Times New Roman"/>
          <w:sz w:val="24"/>
          <w:szCs w:val="24"/>
          <w:lang w:val="en-GB"/>
        </w:rPr>
        <w:t>s</w:t>
      </w:r>
      <w:r w:rsidR="003D6BCA" w:rsidRPr="00C67AD0">
        <w:rPr>
          <w:rFonts w:ascii="Book Antiqua" w:hAnsi="Book Antiqua" w:cs="Times New Roman"/>
          <w:sz w:val="24"/>
          <w:szCs w:val="24"/>
          <w:lang w:val="en-GB"/>
        </w:rPr>
        <w:t xml:space="preserve"> (PEG</w:t>
      </w:r>
      <w:r w:rsidR="002A34DB" w:rsidRPr="00C67AD0">
        <w:rPr>
          <w:rFonts w:ascii="Book Antiqua" w:hAnsi="Book Antiqua" w:cs="Times New Roman"/>
          <w:sz w:val="24"/>
          <w:szCs w:val="24"/>
          <w:lang w:val="en-GB"/>
        </w:rPr>
        <w:t>s</w:t>
      </w:r>
      <w:r w:rsidR="003D6BCA" w:rsidRPr="00C67AD0">
        <w:rPr>
          <w:rFonts w:ascii="Book Antiqua" w:hAnsi="Book Antiqua" w:cs="Times New Roman"/>
          <w:sz w:val="24"/>
          <w:szCs w:val="24"/>
          <w:lang w:val="en-GB"/>
        </w:rPr>
        <w:t xml:space="preserve">) </w:t>
      </w:r>
      <w:r w:rsidR="002A34DB" w:rsidRPr="00C67AD0">
        <w:rPr>
          <w:rFonts w:ascii="Book Antiqua" w:hAnsi="Book Antiqua" w:cs="Times New Roman"/>
          <w:sz w:val="24"/>
          <w:szCs w:val="24"/>
          <w:lang w:val="en-GB"/>
        </w:rPr>
        <w:t>are</w:t>
      </w:r>
      <w:r w:rsidR="00B33CEE" w:rsidRPr="00C67AD0">
        <w:rPr>
          <w:rFonts w:ascii="Book Antiqua" w:hAnsi="Book Antiqua" w:cs="Times New Roman"/>
          <w:sz w:val="24"/>
          <w:szCs w:val="24"/>
          <w:lang w:val="en-GB"/>
        </w:rPr>
        <w:t xml:space="preserve"> hydrophilic </w:t>
      </w:r>
      <w:r w:rsidR="003D6BCA" w:rsidRPr="00C67AD0">
        <w:rPr>
          <w:rFonts w:ascii="Book Antiqua" w:hAnsi="Book Antiqua" w:cs="Times New Roman"/>
          <w:sz w:val="24"/>
          <w:szCs w:val="24"/>
          <w:lang w:val="en-GB"/>
        </w:rPr>
        <w:t>polymer</w:t>
      </w:r>
      <w:r w:rsidR="002A34DB" w:rsidRPr="00C67AD0">
        <w:rPr>
          <w:rFonts w:ascii="Book Antiqua" w:hAnsi="Book Antiqua" w:cs="Times New Roman"/>
          <w:sz w:val="24"/>
          <w:szCs w:val="24"/>
          <w:lang w:val="en-GB"/>
        </w:rPr>
        <w:t>s</w:t>
      </w:r>
      <w:r w:rsidR="003D6BCA" w:rsidRPr="00C67AD0">
        <w:rPr>
          <w:rFonts w:ascii="Book Antiqua" w:hAnsi="Book Antiqua" w:cs="Times New Roman"/>
          <w:sz w:val="24"/>
          <w:szCs w:val="24"/>
          <w:lang w:val="en-GB"/>
        </w:rPr>
        <w:t xml:space="preserve"> comp</w:t>
      </w:r>
      <w:r w:rsidR="00F23C56" w:rsidRPr="00C67AD0">
        <w:rPr>
          <w:rFonts w:ascii="Book Antiqua" w:hAnsi="Book Antiqua" w:cs="Times New Roman"/>
          <w:sz w:val="24"/>
          <w:szCs w:val="24"/>
          <w:lang w:val="en-GB"/>
        </w:rPr>
        <w:t>ri</w:t>
      </w:r>
      <w:r w:rsidR="003D6BCA" w:rsidRPr="00C67AD0">
        <w:rPr>
          <w:rFonts w:ascii="Book Antiqua" w:hAnsi="Book Antiqua" w:cs="Times New Roman"/>
          <w:sz w:val="24"/>
          <w:szCs w:val="24"/>
          <w:lang w:val="en-GB"/>
        </w:rPr>
        <w:t>s</w:t>
      </w:r>
      <w:r w:rsidR="00C57416" w:rsidRPr="00C67AD0">
        <w:rPr>
          <w:rFonts w:ascii="Book Antiqua" w:hAnsi="Book Antiqua" w:cs="Times New Roman"/>
          <w:sz w:val="24"/>
          <w:szCs w:val="24"/>
          <w:lang w:val="en-GB"/>
        </w:rPr>
        <w:t>ed of</w:t>
      </w:r>
      <w:r w:rsidR="003D6BCA" w:rsidRPr="00C67AD0">
        <w:rPr>
          <w:rFonts w:ascii="Book Antiqua" w:hAnsi="Book Antiqua" w:cs="Times New Roman"/>
          <w:sz w:val="24"/>
          <w:szCs w:val="24"/>
          <w:lang w:val="en-GB"/>
        </w:rPr>
        <w:t xml:space="preserve"> repeating ethylene glycol units</w:t>
      </w:r>
      <w:r w:rsidR="00EC4037" w:rsidRPr="00C67AD0">
        <w:rPr>
          <w:rFonts w:ascii="Book Antiqua" w:hAnsi="Book Antiqua" w:cs="Times New Roman"/>
          <w:sz w:val="24"/>
          <w:szCs w:val="24"/>
          <w:lang w:val="en-GB"/>
        </w:rPr>
        <w:fldChar w:fldCharType="begin" w:fldLock="1"/>
      </w:r>
      <w:r w:rsidR="00F354DD" w:rsidRPr="00C67AD0">
        <w:rPr>
          <w:rFonts w:ascii="Book Antiqua" w:hAnsi="Book Antiqua" w:cs="Times New Roman"/>
          <w:sz w:val="24"/>
          <w:szCs w:val="24"/>
          <w:lang w:val="en-GB"/>
        </w:rPr>
        <w:instrText>ADDIN CSL_CITATION {"citationItems":[{"id":"ITEM-1","itemData":{"DOI":"10.3748/wjg.v22.i28.6501","PMID":"27605884","abstract":"Liver ischemia-reperfusion injury (IRI) is an inherent feature of liver surgery and liver transplantation in which damage to a hypoxic organ (ischemia) is exacerbated following the return of oxygen delivery (reperfusion). IRI is a major cause of primary nonfunction after transplantation and may lead to graft rejection, regardless of immunological considerations. The immediate response involves the disruption of cellular mitochondrial oxidative phosphorylation and the accumulation of metabolic intermediates during the ischemic period, and oxidative stress during blood flow restoration. Moreover, a complex cascade of inflammatory mediators is generated during reperfusion, contributing to the extension of the damage and finally to organ failure. A variety of pharmacological interventions (antioxidants, anticytokines, etc. ) have been proposed to alleviate graft injury but their usefulness is limited by the local and specific action of the drugs and by their potential undesirable toxic effects. Polyethylene glycols (PEGs), which are non-toxic water-soluble compounds approved by the FDA, have been widely used as a vehicle or a base in food, cosmetics and pharmaceuticals, and also as adjuvants for ameliorating drug pharmacokinetics. Some PEGs are also currently used as additives in organ preservation solutions prior to transplantation in order to limit the damage associated with cold ischemia reperfusion. More recently, the administration of PEGs of different molecular weights by intravenous injection has emerged as a new therapeutic tool to protect liver grafts from IRI. In this review, we summarize the current knowledge concerning the use of PEGs as a useful target for limiting liver IRI.","author":[{"dropping-particle":"","family":"Pasut","given":"Gianfranco","non-dropping-particle":"","parse-names":false,"suffix":""},{"dropping-particle":"","family":"Panisello","given":"Arnau","non-dropping-particle":"","parse-names":false,"suffix":""},{"dropping-particle":"","family":"Folch-Puy","given":"Emma","non-dropping-particle":"","parse-names":false,"suffix":""},{"dropping-particle":"","family":"Lopez","given":"Alexandre","non-dropping-particle":"","parse-names":false,"suffix":""},{"dropping-particle":"","family":"Castro-Benítez","given":"Carlos","non-dropping-particle":"","parse-names":false,"suffix":""},{"dropping-particle":"","family":"Calvo","given":"Maria","non-dropping-particle":"","parse-names":false,"suffix":""},{"dropping-particle":"","family":"Carbonell","given":"Teresa","non-dropping-particle":"","parse-names":false,"suffix":""},{"dropping-particle":"","family":"García-Gil","given":"Agustín","non-dropping-particle":"","parse-names":false,"suffix":""},{"dropping-particle":"","family":"Adam","given":"René","non-dropping-particle":"","parse-names":false,"suffix":""},{"dropping-particle":"","family":"Roselló-Catafau","given":"Joan","non-dropping-particle":"","parse-names":false,"suffix":""}],"container-title":"World Journal of Gastroenterology","id":"ITEM-1","issue":"28","issued":{"date-parts":[["2016","7","28"]]},"page":"6501-6508","publisher":"Baishideng Publishing Group Co., Limited","title":"Polyethylene glycols: An effective strategy for limiting liver ischemia reperfusion injury","type":"article","volume":"22"},"uris":["http://www.mendeley.com/documents/?uuid=411df80f-b88b-326d-bd42-67d3d524d9fd"]}],"mendeley":{"formattedCitation":"&lt;sup&gt;[7]&lt;/sup&gt;","plainTextFormattedCitation":"[7]","previouslyFormattedCitation":"&lt;sup&gt;[7]&lt;/sup&gt;"},"properties":{"noteIndex":0},"schema":"https://github.com/citation-style-language/schema/raw/master/csl-citation.json"}</w:instrText>
      </w:r>
      <w:r w:rsidR="00EC4037" w:rsidRPr="00C67AD0">
        <w:rPr>
          <w:rFonts w:ascii="Book Antiqua" w:hAnsi="Book Antiqua" w:cs="Times New Roman"/>
          <w:sz w:val="24"/>
          <w:szCs w:val="24"/>
          <w:lang w:val="en-GB"/>
        </w:rPr>
        <w:fldChar w:fldCharType="separate"/>
      </w:r>
      <w:r w:rsidR="00EC4037" w:rsidRPr="00C67AD0">
        <w:rPr>
          <w:rFonts w:ascii="Book Antiqua" w:hAnsi="Book Antiqua" w:cs="Times New Roman"/>
          <w:noProof/>
          <w:sz w:val="24"/>
          <w:szCs w:val="24"/>
          <w:vertAlign w:val="superscript"/>
          <w:lang w:val="en-GB"/>
        </w:rPr>
        <w:t>[7]</w:t>
      </w:r>
      <w:r w:rsidR="00EC4037" w:rsidRPr="00C67AD0">
        <w:rPr>
          <w:rFonts w:ascii="Book Antiqua" w:hAnsi="Book Antiqua" w:cs="Times New Roman"/>
          <w:sz w:val="24"/>
          <w:szCs w:val="24"/>
          <w:lang w:val="en-GB"/>
        </w:rPr>
        <w:fldChar w:fldCharType="end"/>
      </w:r>
      <w:r w:rsidR="00F354DD" w:rsidRPr="00C67AD0">
        <w:rPr>
          <w:rFonts w:ascii="Book Antiqua" w:hAnsi="Book Antiqua" w:cs="Times New Roman"/>
          <w:sz w:val="24"/>
          <w:szCs w:val="24"/>
          <w:lang w:val="en-GB"/>
        </w:rPr>
        <w:t>.</w:t>
      </w:r>
      <w:r w:rsidRPr="00C67AD0">
        <w:rPr>
          <w:rFonts w:ascii="Book Antiqua" w:hAnsi="Book Antiqua" w:cs="Times New Roman"/>
          <w:sz w:val="24"/>
          <w:szCs w:val="24"/>
          <w:lang w:val="en-GB"/>
        </w:rPr>
        <w:t xml:space="preserve"> </w:t>
      </w:r>
      <w:r w:rsidR="00F93802" w:rsidRPr="00C67AD0">
        <w:rPr>
          <w:rFonts w:ascii="Book Antiqua" w:hAnsi="Book Antiqua" w:cs="Times New Roman"/>
          <w:sz w:val="24"/>
          <w:szCs w:val="24"/>
          <w:lang w:val="en-GB"/>
        </w:rPr>
        <w:t xml:space="preserve">PEGs have several physicochemical properties that make it </w:t>
      </w:r>
      <w:r w:rsidR="00017053" w:rsidRPr="00C67AD0">
        <w:rPr>
          <w:rFonts w:ascii="Book Antiqua" w:hAnsi="Book Antiqua" w:cs="Times New Roman"/>
          <w:sz w:val="24"/>
          <w:szCs w:val="24"/>
          <w:lang w:val="en-GB"/>
        </w:rPr>
        <w:t xml:space="preserve">advantageous </w:t>
      </w:r>
      <w:r w:rsidR="00F93802" w:rsidRPr="00C67AD0">
        <w:rPr>
          <w:rFonts w:ascii="Book Antiqua" w:hAnsi="Book Antiqua" w:cs="Times New Roman"/>
          <w:sz w:val="24"/>
          <w:szCs w:val="24"/>
          <w:lang w:val="en-GB"/>
        </w:rPr>
        <w:t xml:space="preserve">in </w:t>
      </w:r>
      <w:r w:rsidR="00017053" w:rsidRPr="00C67AD0">
        <w:rPr>
          <w:rFonts w:ascii="Book Antiqua" w:hAnsi="Book Antiqua" w:cs="Times New Roman"/>
          <w:sz w:val="24"/>
          <w:szCs w:val="24"/>
          <w:lang w:val="en-GB"/>
        </w:rPr>
        <w:t xml:space="preserve">diverse </w:t>
      </w:r>
      <w:r w:rsidR="00F93802" w:rsidRPr="00C67AD0">
        <w:rPr>
          <w:rFonts w:ascii="Book Antiqua" w:hAnsi="Book Antiqua" w:cs="Times New Roman"/>
          <w:sz w:val="24"/>
          <w:szCs w:val="24"/>
          <w:lang w:val="en-GB"/>
        </w:rPr>
        <w:t xml:space="preserve">biological, chemical and pharmaceutical settings, especially </w:t>
      </w:r>
      <w:r w:rsidR="00F93802" w:rsidRPr="00C67AD0">
        <w:rPr>
          <w:rFonts w:ascii="Book Antiqua" w:hAnsi="Book Antiqua" w:cs="Times New Roman"/>
          <w:sz w:val="24"/>
          <w:szCs w:val="24"/>
          <w:lang w:val="en-GB"/>
        </w:rPr>
        <w:lastRenderedPageBreak/>
        <w:t>in view of its low toxicity</w:t>
      </w:r>
      <w:r w:rsidR="00CD3BD4" w:rsidRPr="00C67AD0">
        <w:rPr>
          <w:rFonts w:ascii="Book Antiqua" w:hAnsi="Book Antiqua" w:cs="Times New Roman"/>
          <w:sz w:val="24"/>
          <w:szCs w:val="24"/>
          <w:lang w:val="en-GB"/>
        </w:rPr>
        <w:t>.</w:t>
      </w:r>
      <w:r w:rsidR="008E5EDD" w:rsidRPr="00C67AD0">
        <w:rPr>
          <w:rFonts w:ascii="Book Antiqua" w:hAnsi="Book Antiqua" w:cs="Times New Roman"/>
          <w:sz w:val="24"/>
          <w:szCs w:val="24"/>
          <w:lang w:val="en-GB"/>
        </w:rPr>
        <w:t xml:space="preserve"> </w:t>
      </w:r>
      <w:r w:rsidR="00C72B98" w:rsidRPr="00C67AD0">
        <w:rPr>
          <w:rFonts w:ascii="Book Antiqua" w:hAnsi="Book Antiqua" w:cs="Times New Roman"/>
          <w:sz w:val="24"/>
          <w:szCs w:val="24"/>
          <w:lang w:val="en-GB"/>
        </w:rPr>
        <w:t>For instance, t</w:t>
      </w:r>
      <w:r w:rsidR="00B44A58" w:rsidRPr="00C67AD0">
        <w:rPr>
          <w:rFonts w:ascii="Book Antiqua" w:hAnsi="Book Antiqua" w:cs="Times New Roman"/>
          <w:sz w:val="24"/>
          <w:szCs w:val="24"/>
          <w:lang w:val="en-GB"/>
        </w:rPr>
        <w:t xml:space="preserve">hese polymers </w:t>
      </w:r>
      <w:r w:rsidR="00C72B98" w:rsidRPr="00C67AD0">
        <w:rPr>
          <w:rFonts w:ascii="Book Antiqua" w:hAnsi="Book Antiqua" w:cs="Times New Roman"/>
          <w:sz w:val="24"/>
          <w:szCs w:val="24"/>
          <w:lang w:val="en-GB"/>
        </w:rPr>
        <w:t xml:space="preserve">have been found to exert beneficial effects in </w:t>
      </w:r>
      <w:r w:rsidR="00C159C4" w:rsidRPr="00C67AD0">
        <w:rPr>
          <w:rFonts w:ascii="Book Antiqua" w:hAnsi="Book Antiqua" w:cs="Times New Roman"/>
          <w:sz w:val="24"/>
          <w:szCs w:val="24"/>
          <w:lang w:val="en-GB"/>
        </w:rPr>
        <w:t xml:space="preserve">several </w:t>
      </w:r>
      <w:r w:rsidR="00C72B98" w:rsidRPr="00C67AD0">
        <w:rPr>
          <w:rFonts w:ascii="Book Antiqua" w:hAnsi="Book Antiqua" w:cs="Times New Roman"/>
          <w:i/>
          <w:sz w:val="24"/>
          <w:szCs w:val="24"/>
          <w:lang w:val="en-GB"/>
        </w:rPr>
        <w:t>in vivo</w:t>
      </w:r>
      <w:r w:rsidR="00C72B98" w:rsidRPr="00C67AD0">
        <w:rPr>
          <w:rFonts w:ascii="Book Antiqua" w:hAnsi="Book Antiqua" w:cs="Times New Roman"/>
          <w:sz w:val="24"/>
          <w:szCs w:val="24"/>
          <w:lang w:val="en-GB"/>
        </w:rPr>
        <w:t xml:space="preserve"> and </w:t>
      </w:r>
      <w:r w:rsidR="00C72B98" w:rsidRPr="00C67AD0">
        <w:rPr>
          <w:rFonts w:ascii="Book Antiqua" w:hAnsi="Book Antiqua" w:cs="Times New Roman"/>
          <w:i/>
          <w:sz w:val="24"/>
          <w:szCs w:val="24"/>
          <w:lang w:val="en-GB"/>
        </w:rPr>
        <w:t>in vitro</w:t>
      </w:r>
      <w:r w:rsidR="00C72B98" w:rsidRPr="00C67AD0">
        <w:rPr>
          <w:rFonts w:ascii="Book Antiqua" w:hAnsi="Book Antiqua" w:cs="Times New Roman"/>
          <w:sz w:val="24"/>
          <w:szCs w:val="24"/>
          <w:lang w:val="en-GB"/>
        </w:rPr>
        <w:t xml:space="preserve"> models of </w:t>
      </w:r>
      <w:r w:rsidR="00FB4F41" w:rsidRPr="00C67AD0">
        <w:rPr>
          <w:rFonts w:ascii="Book Antiqua" w:hAnsi="Book Antiqua" w:cs="Times New Roman"/>
          <w:sz w:val="24"/>
          <w:szCs w:val="24"/>
          <w:lang w:val="en-GB"/>
        </w:rPr>
        <w:t xml:space="preserve">cell and </w:t>
      </w:r>
      <w:r w:rsidR="00C72B98" w:rsidRPr="00C67AD0">
        <w:rPr>
          <w:rFonts w:ascii="Book Antiqua" w:hAnsi="Book Antiqua" w:cs="Times New Roman"/>
          <w:sz w:val="24"/>
          <w:szCs w:val="24"/>
          <w:lang w:val="en-GB"/>
        </w:rPr>
        <w:t>tissue injury</w:t>
      </w:r>
      <w:r w:rsidR="00F354DD" w:rsidRPr="00C67AD0">
        <w:rPr>
          <w:rFonts w:ascii="Book Antiqua" w:hAnsi="Book Antiqua" w:cs="Times New Roman"/>
          <w:sz w:val="24"/>
          <w:szCs w:val="24"/>
          <w:lang w:val="en-GB"/>
        </w:rPr>
        <w:fldChar w:fldCharType="begin" w:fldLock="1"/>
      </w:r>
      <w:r w:rsidR="00EA7EC1" w:rsidRPr="00C67AD0">
        <w:rPr>
          <w:rFonts w:ascii="Book Antiqua" w:hAnsi="Book Antiqua" w:cs="Times New Roman"/>
          <w:sz w:val="24"/>
          <w:szCs w:val="24"/>
          <w:lang w:val="en-GB"/>
        </w:rPr>
        <w:instrText>ADDIN CSL_CITATION {"citationItems":[{"id":"ITEM-1","itemData":{"DOI":"10.1159/000209389","PMID":"19468251","abstract":"Objective: Polyethylene glycol (PEG), a hydrophilic polymer, can immediately repair neuronal membranes and inhibit free radical production following trauma. The aim of this study is to examine whether PEG can directly repair mitochondria in the event of trauma. Method: Purified brain mitochondria from guinea pigs were used. Mitochondrial function was assessed by biochemical methods and structural changes were observed by both fluorescence light microscopy and coherent anti-Stokes Raman scattering microscopy. Results: We present evidence suggesting that PEG is capable of directly reducing injury to mitochondria independent of plasma membrane repair. Specifically, the suppression of oxygen consumption rate of purified mitochondria due to H 2O2 and/or calcium can be significantly reversed by 12.5 mM PEG. PEG also significantly reduced mitochondrial swelling due to similar injury. Furthermore, we have shown that such PEG-mediated mitochondrial protection is dependent on the molecular weight of PEG, suggesting a direct physical blockade of mitochondrial permeability transitional pore by PEG. Conclusion: These findings, coupled with previous evidence that PEG enters the cytosol following mechanical trauma, strongly indicate that there are at least 2 avenues of PEG-mediated cytoprotection in mechanically injured spinal cords: repair of plasma membrane and protection of mitochondria. Copyright © 2009 S. Karger AG, Basel.","author":[{"dropping-particle":"","family":"Chen","given":"Haiping","non-dropping-particle":"","parse-names":false,"suffix":""},{"dropping-particle":"","family":"Quick","given":"Eamon","non-dropping-particle":"","parse-names":false,"suffix":""},{"dropping-particle":"","family":"Leung","given":"Gary","non-dropping-particle":"","parse-names":false,"suffix":""},{"dropping-particle":"","family":"Hamann","given":"Kristin","non-dropping-particle":"","parse-names":false,"suffix":""},{"dropping-particle":"","family":"Fu","given":"Yan","non-dropping-particle":"","parse-names":false,"suffix":""},{"dropping-particle":"","family":"Cheng","given":"Ji Xin","non-dropping-particle":"","parse-names":false,"suffix":""},{"dropping-particle":"","family":"Shi","given":"Riyi","non-dropping-particle":"","parse-names":false,"suffix":""}],"container-title":"Pathobiology","id":"ITEM-1","issue":"3","issued":{"date-parts":[["2009","5"]]},"page":"117-128","publisher":"Pathobiology","title":"Polyethylene glycol protects injured neuronal mitochondria","type":"article-journal","volume":"76"},"uris":["http://www.mendeley.com/documents/?uuid=e20b1001-395f-3220-8667-13bfdef531ea"]},{"id":"ITEM-2","itemData":{"DOI":"10.1152/ajpheart.01054.2010","PMID":"21335476","abstract":"Apoptosis plays a significant role in maladaptive remodeling and ventricular dysfunction following ischemia-reperfusion injury. There is a critical need for novel approaches to inhibit apoptotic cell death following reperfusion, as this loss of cardiac myocytes can progressively lead to heart failure. We investigated the ability and signaling mechanisms of a highmolecular- weight polyethylene glycol-based copolymer, PEG 15-20, to protect cardiac myocytes from hypoxia-reoxygenation (H-R)-induced cell death and its efficacy in preserving ventricular function following extended hypothermic ischemia and warm reperfusion as relevant to cardiac transplantation. Pretreatment of neonatal rat ventricular myocytes with a 5% PEG solution led to a threefold decline in apoptosis after H-R relative to untreated controls. There was a similar decline in caspase-3 activity in conjunction with inhibition of cytochrome c release from the inner mitochondrial membrane. Treatment with PEG also reduced reactive oxygen species production after H-R, and sarcolemmal lipid-raft architecture was preserved, consistent with membrane stabilization. Cell survival signaling was upregulated after H-R with PEG, as demonstrated by increased phosphorylation of Akt, GSK-3β, and ERK1/2. There was also maintenance of cardiac myocyte β -adrenergic signaling, which is critical for myocardial function. PEG 15-20 was very effective in preserving left ventricular function following prolonged hypothermic ischemia and warm reperfusion. PEG 15-20 has a potent protective antiapoptotic effect in cardiac myocytes exposed to H-R injury and may represent a novel therapeutic strategy to decrease myocardial cell death and ventricular dysfunction at the time of reperfusion during acute coronary syndrome or following prolonged donor heart preservation. © 2011 the American Physiological Society.","author":[{"dropping-particle":"","family":"Malhotra","given":"Ricky","non-dropping-particle":"","parse-names":false,"suffix":""},{"dropping-particle":"","family":"Valuckaite","given":"Vesta","non-dropping-particle":"","parse-names":false,"suffix":""},{"dropping-particle":"","family":"Staron","given":"Michelle L.","non-dropping-particle":"","parse-names":false,"suffix":""},{"dropping-particle":"","family":"Theccanat","given":"Tiju","non-dropping-particle":"","parse-names":false,"suffix":""},{"dropping-particle":"","family":"D'Souza","given":"Karen M.","non-dropping-particle":"","parse-names":false,"suffix":""},{"dropping-particle":"","family":"Alverdy","given":"John C.","non-dropping-particle":"","parse-names":false,"suffix":""},{"dropping-particle":"","family":"Akhter","given":"Shahab A.","non-dropping-particle":"","parse-names":false,"suffix":""}],"container-title":"American Journal of Physiology - Heart and Circulatory Physiology","id":"ITEM-2","issue":"5","issued":{"date-parts":[["2011","5"]]},"publisher":"Am J Physiol Heart Circ Physiol","title":"High-molecular-weight polyethylene glycol protects cardiac myocytes from hypoxia- and reoxygenation-induced cell death and preserves ventricular function","type":"article-journal","volume":"300"},"uris":["http://www.mendeley.com/documents/?uuid=a37bbb21-6778-37e3-8485-d58d0e2ac142"]},{"id":"ITEM-3","itemData":{"DOI":"10.1016/j.mvr.2008.11.007","PMID":"19121327","abstract":"Acute lung injury represents the result of multiple pathways initiated by local or systemic insults and is characterized by profound vascular permeability, pulmonary edema, and life-threatening respiratory failure. Permeability-reducing therapies are of potential clinical utility but are currently unavailable. We hypothesized that polyethylene glycol (PEG) compounds, inert and non-toxic polymers that serve as a surrogate mucin lining in intestinal epithelium, may attenuate agonist-mediated lung endothelial cell (EC) barrier dysfunction. High molecular weight PEG (PEG15-20) produced rapid, dose-dependent increases in transendothelial electrical resistance (TER) in human lung endothelium cultured on gold microelectrodes, reflecting increased paracellular integrity. The maximal effective concentration of 8% PEG induced a sustained 125% increase in TER (40 h), results similar to barrier-enhancing agonists such as sphingosine 1-phosphate (40% increase in TER). Maximal PEG barrier enhancement was achieved at 45-60 min and PEG effectively reversed both thrombin- and LPS-induced EC barrier dysfunction. Consistent with the increase in TER, immunofluorescent studies demonstrated that PEG produced significant cytoskeletal rearrangement with formation of well-defined cortical actin rings and lamellipodia containing the actin-binding proteins, cortactin and MLCK, known participants in cell-matrix and cell-cell junctional adhesion. Finally, PEG challenge induced rapid alterations in levels of MAP kinase and MLC phosphorylation. In summary, PEG joins a number of EC barrier-regulatory agents which rapidly activate barrier-enhancing signal transduction pathways which target the cytoskeleton and provides a potential therapeutic strategy in inflammatory lung injury. © 2008 Elsevier Inc. All rights reserved.","author":[{"dropping-particle":"","family":"Chiang","given":"Eddie T.","non-dropping-particle":"","parse-names":false,"suffix":""},{"dropping-particle":"","family":"Camp","given":"Sara M.","non-dropping-particle":"","parse-names":false,"suffix":""},{"dropping-particle":"","family":"Dudek","given":"Steven M.","non-dropping-particle":"","parse-names":false,"suffix":""},{"dropping-particle":"","family":"Brown","given":"Mary E.","non-dropping-particle":"","parse-names":false,"suffix":""},{"dropping-particle":"V.","family":"Usatyuk","given":"Peter","non-dropping-particle":"","parse-names":false,"suffix":""},{"dropping-particle":"","family":"Zaborina","given":"Olga","non-dropping-particle":"","parse-names":false,"suffix":""},{"dropping-particle":"","family":"Alverdy","given":"John C.","non-dropping-particle":"","parse-names":false,"suffix":""},{"dropping-particle":"","family":"Garcia","given":"Joe G.N.","non-dropping-particle":"","parse-names":false,"suffix":""}],"container-title":"Microvascular Research","id":"ITEM-3","issue":"2","issued":{"date-parts":[["2009","3"]]},"page":"174-186","publisher":"Microvasc Res","title":"Protective effects of high-molecular weight Polyethylene Glycol (PEG) in human lung endothelial cell barrier regulation: Role of actin cytoskeletal rearrangement","type":"article-journal","volume":"77"},"uris":["http://www.mendeley.com/documents/?uuid=042b53a6-db08-33df-8904-5478d6ca0707"]}],"mendeley":{"formattedCitation":"&lt;sup&gt;[8–10]&lt;/sup&gt;","plainTextFormattedCitation":"[8–10]","previouslyFormattedCitation":"&lt;sup&gt;[8–10]&lt;/sup&gt;"},"properties":{"noteIndex":0},"schema":"https://github.com/citation-style-language/schema/raw/master/csl-citation.json"}</w:instrText>
      </w:r>
      <w:r w:rsidR="00F354DD" w:rsidRPr="00C67AD0">
        <w:rPr>
          <w:rFonts w:ascii="Book Antiqua" w:hAnsi="Book Antiqua" w:cs="Times New Roman"/>
          <w:sz w:val="24"/>
          <w:szCs w:val="24"/>
          <w:lang w:val="en-GB"/>
        </w:rPr>
        <w:fldChar w:fldCharType="separate"/>
      </w:r>
      <w:r w:rsidR="00FB4F41" w:rsidRPr="00C67AD0">
        <w:rPr>
          <w:rFonts w:ascii="Book Antiqua" w:hAnsi="Book Antiqua" w:cs="Times New Roman"/>
          <w:noProof/>
          <w:sz w:val="24"/>
          <w:szCs w:val="24"/>
          <w:vertAlign w:val="superscript"/>
          <w:lang w:val="en-GB"/>
        </w:rPr>
        <w:t>[8–10]</w:t>
      </w:r>
      <w:r w:rsidR="00F354DD" w:rsidRPr="00C67AD0">
        <w:rPr>
          <w:rFonts w:ascii="Book Antiqua" w:hAnsi="Book Antiqua" w:cs="Times New Roman"/>
          <w:sz w:val="24"/>
          <w:szCs w:val="24"/>
          <w:lang w:val="en-GB"/>
        </w:rPr>
        <w:fldChar w:fldCharType="end"/>
      </w:r>
      <w:r w:rsidR="005F0580" w:rsidRPr="00C67AD0">
        <w:rPr>
          <w:rFonts w:ascii="Book Antiqua" w:hAnsi="Book Antiqua" w:cs="Times New Roman" w:hint="eastAsia"/>
          <w:sz w:val="24"/>
          <w:szCs w:val="24"/>
          <w:lang w:val="en-GB" w:eastAsia="zh-CN"/>
        </w:rPr>
        <w:t>.</w:t>
      </w:r>
    </w:p>
    <w:p w14:paraId="57BDEDFC" w14:textId="2871718C" w:rsidR="009C5B30" w:rsidRPr="00C67AD0" w:rsidRDefault="00B44A58" w:rsidP="005F0580">
      <w:pPr>
        <w:spacing w:line="360" w:lineRule="auto"/>
        <w:ind w:firstLineChars="100" w:firstLine="240"/>
        <w:contextualSpacing/>
        <w:jc w:val="both"/>
        <w:rPr>
          <w:rFonts w:ascii="Book Antiqua" w:hAnsi="Book Antiqua" w:cs="Times New Roman"/>
          <w:b/>
          <w:bCs/>
          <w:sz w:val="24"/>
          <w:szCs w:val="24"/>
          <w:u w:val="single"/>
          <w:lang w:val="en-GB"/>
        </w:rPr>
      </w:pPr>
      <w:r w:rsidRPr="00C67AD0">
        <w:rPr>
          <w:rFonts w:ascii="Book Antiqua" w:hAnsi="Book Antiqua" w:cs="Times New Roman"/>
          <w:sz w:val="24"/>
          <w:szCs w:val="24"/>
          <w:lang w:val="en-GB"/>
        </w:rPr>
        <w:t xml:space="preserve">There are very few studies linking PEGs of different molecular weight with an anti-inflammatory activity. In a model of traumatic inflammation, the intraperitoneal administration of </w:t>
      </w:r>
      <w:r w:rsidR="00C57416" w:rsidRPr="00C67AD0">
        <w:rPr>
          <w:rFonts w:ascii="Book Antiqua" w:hAnsi="Book Antiqua" w:cs="Times New Roman"/>
          <w:sz w:val="24"/>
          <w:szCs w:val="24"/>
          <w:lang w:val="en-GB"/>
        </w:rPr>
        <w:t xml:space="preserve">4-kDa </w:t>
      </w:r>
      <w:r w:rsidR="00732FE6" w:rsidRPr="00C67AD0">
        <w:rPr>
          <w:rFonts w:ascii="Book Antiqua" w:hAnsi="Book Antiqua" w:cs="Times New Roman"/>
          <w:sz w:val="24"/>
          <w:szCs w:val="24"/>
          <w:lang w:val="en-GB"/>
        </w:rPr>
        <w:t xml:space="preserve">molecular weight </w:t>
      </w:r>
      <w:r w:rsidRPr="00C67AD0">
        <w:rPr>
          <w:rFonts w:ascii="Book Antiqua" w:hAnsi="Book Antiqua" w:cs="Times New Roman"/>
          <w:sz w:val="24"/>
          <w:szCs w:val="24"/>
          <w:lang w:val="en-GB"/>
        </w:rPr>
        <w:t>PEG prevented the formation of initial adhesions and reduced the leukocytes number in the peritoneal cavity as a consequence of an inflammatory peritoneal reaction</w:t>
      </w:r>
      <w:r w:rsidR="009A5DD0" w:rsidRPr="00C67AD0">
        <w:rPr>
          <w:rFonts w:ascii="Book Antiqua" w:hAnsi="Book Antiqua" w:cs="Times New Roman"/>
          <w:sz w:val="24"/>
          <w:szCs w:val="24"/>
          <w:lang w:val="en-GB"/>
        </w:rPr>
        <w:fldChar w:fldCharType="begin" w:fldLock="1"/>
      </w:r>
      <w:r w:rsidR="00EA7EC1" w:rsidRPr="00C67AD0">
        <w:rPr>
          <w:rFonts w:ascii="Book Antiqua" w:hAnsi="Book Antiqua" w:cs="Times New Roman"/>
          <w:sz w:val="24"/>
          <w:szCs w:val="24"/>
          <w:lang w:val="en-GB"/>
        </w:rPr>
        <w:instrText>ADDIN CSL_CITATION {"citationItems":[{"id":"ITEM-1","itemData":{"DOI":"10.1016/S0002-9610(98)00102-0","PMID":"9683139","abstract":"BACKGROUND: Postoperative separation of the peritoneal surfaces is a promising approach for the prevention of adhesion formation. Instillation of polyethylene glycol 4000 (PEG) was recommended as an appropriate method. METHODS: In a time-course study in rats, efficacy and mode of action of PEG was investigated. Adhesions were induced by crushing of the cecum. Sixty animals were randomly allocated to three control groups with intraperitoneal instillation of 5 mL 0.9% NaCl and to three therapy groups treated with 5 mL 20% PEG. After 3, 7, and 21 days, adhesion grade, intraperitoneal leukocytes, and collagen incorporation into the adhesion strands were evaluated. RESULTS: Administration of PEG resulted in a decrease of leukocytes by 43% (days 3 and 7), a reduction of the adhesion score by 85% (day 3), 77% (day 7), and 79% (day 21), and an impairment of collagen deposition by 54% (day 7) and 44% (day 21). CONCLUSIONS: Coating the peritoneal surfaces with PEG is a highly effective measure to suppress the fatal sequence of posttraumatic inflammation, formation of initial adhesions, and their subsequent organization to strong permanent adhesion strands.","author":[{"dropping-particle":"","family":"Nagelschmidt","given":"Manfred","non-dropping-particle":"","parse-names":false,"suffix":""},{"dropping-particle":"","family":"Minor","given":"Thomas","non-dropping-particle":"","parse-names":false,"suffix":""},{"dropping-particle":"","family":"Saad","given":"Stefan","non-dropping-particle":"","parse-names":false,"suffix":""},{"dropping-particle":"","family":"Nagelschmidt","given":"Manfred","non-dropping-particle":"","parse-names":false,"suffix":""}],"container-title":"American Journal of Surgery","id":"ITEM-1","issue":"1","issued":{"date-parts":[["1998","7"]]},"page":"76-80","publisher":"Am J Surg","title":"Polyethylene glycol 4000 attenuates adhesion formation in rats by suppression of peritoneal inflammation and collagen incorporation","type":"article-journal","volume":"176"},"uris":["http://www.mendeley.com/documents/?uuid=9935b2c9-2c21-36cf-ae4c-011d8fd15cf3"]}],"mendeley":{"formattedCitation":"&lt;sup&gt;[11]&lt;/sup&gt;","plainTextFormattedCitation":"[11]","previouslyFormattedCitation":"&lt;sup&gt;[11]&lt;/sup&gt;"},"properties":{"noteIndex":0},"schema":"https://github.com/citation-style-language/schema/raw/master/csl-citation.json"}</w:instrText>
      </w:r>
      <w:r w:rsidR="009A5DD0" w:rsidRPr="00C67AD0">
        <w:rPr>
          <w:rFonts w:ascii="Book Antiqua" w:hAnsi="Book Antiqua" w:cs="Times New Roman"/>
          <w:sz w:val="24"/>
          <w:szCs w:val="24"/>
          <w:lang w:val="en-GB"/>
        </w:rPr>
        <w:fldChar w:fldCharType="separate"/>
      </w:r>
      <w:r w:rsidR="009A5DD0" w:rsidRPr="00C67AD0">
        <w:rPr>
          <w:rFonts w:ascii="Book Antiqua" w:hAnsi="Book Antiqua" w:cs="Times New Roman"/>
          <w:noProof/>
          <w:sz w:val="24"/>
          <w:szCs w:val="24"/>
          <w:vertAlign w:val="superscript"/>
          <w:lang w:val="en-GB"/>
        </w:rPr>
        <w:t>[11]</w:t>
      </w:r>
      <w:r w:rsidR="009A5DD0" w:rsidRPr="00C67AD0">
        <w:rPr>
          <w:rFonts w:ascii="Book Antiqua" w:hAnsi="Book Antiqua" w:cs="Times New Roman"/>
          <w:sz w:val="24"/>
          <w:szCs w:val="24"/>
          <w:lang w:val="en-GB"/>
        </w:rPr>
        <w:fldChar w:fldCharType="end"/>
      </w:r>
      <w:r w:rsidRPr="00C67AD0">
        <w:rPr>
          <w:rFonts w:ascii="Book Antiqua" w:hAnsi="Book Antiqua" w:cs="Times New Roman"/>
          <w:sz w:val="24"/>
          <w:szCs w:val="24"/>
          <w:lang w:val="en-GB"/>
        </w:rPr>
        <w:t xml:space="preserve">. </w:t>
      </w:r>
      <w:r w:rsidR="00467CC2" w:rsidRPr="00C67AD0">
        <w:rPr>
          <w:rFonts w:ascii="Book Antiqua" w:hAnsi="Book Antiqua" w:cs="Times New Roman"/>
          <w:sz w:val="24"/>
          <w:szCs w:val="24"/>
          <w:lang w:val="en-GB"/>
        </w:rPr>
        <w:t>O</w:t>
      </w:r>
      <w:r w:rsidRPr="00C67AD0">
        <w:rPr>
          <w:rFonts w:ascii="Book Antiqua" w:hAnsi="Book Antiqua" w:cs="Times New Roman"/>
          <w:sz w:val="24"/>
          <w:szCs w:val="24"/>
          <w:lang w:val="en-GB"/>
        </w:rPr>
        <w:t xml:space="preserve">ral </w:t>
      </w:r>
      <w:r w:rsidR="00467CC2" w:rsidRPr="00C67AD0">
        <w:rPr>
          <w:rFonts w:ascii="Book Antiqua" w:hAnsi="Book Antiqua" w:cs="Times New Roman"/>
          <w:sz w:val="24"/>
          <w:szCs w:val="24"/>
          <w:lang w:val="en-GB"/>
        </w:rPr>
        <w:t>treatment with</w:t>
      </w:r>
      <w:r w:rsidRPr="00C67AD0">
        <w:rPr>
          <w:rFonts w:ascii="Book Antiqua" w:hAnsi="Book Antiqua" w:cs="Times New Roman"/>
          <w:sz w:val="24"/>
          <w:szCs w:val="24"/>
          <w:lang w:val="en-GB"/>
        </w:rPr>
        <w:t xml:space="preserve"> 4-kDa PEG in experimental colitis </w:t>
      </w:r>
      <w:r w:rsidR="00156B6C" w:rsidRPr="00C67AD0">
        <w:rPr>
          <w:rFonts w:ascii="Book Antiqua" w:hAnsi="Book Antiqua" w:cs="Times New Roman"/>
          <w:sz w:val="24"/>
          <w:szCs w:val="24"/>
          <w:lang w:val="en-GB"/>
        </w:rPr>
        <w:t xml:space="preserve">reinforced </w:t>
      </w:r>
      <w:r w:rsidRPr="00C67AD0">
        <w:rPr>
          <w:rFonts w:ascii="Book Antiqua" w:hAnsi="Book Antiqua" w:cs="Times New Roman"/>
          <w:sz w:val="24"/>
          <w:szCs w:val="24"/>
          <w:lang w:val="en-GB"/>
        </w:rPr>
        <w:t>the epithelial barrier</w:t>
      </w:r>
      <w:r w:rsidR="00156B6C" w:rsidRPr="00C67AD0">
        <w:rPr>
          <w:rFonts w:ascii="Book Antiqua" w:hAnsi="Book Antiqua" w:cs="Times New Roman"/>
          <w:sz w:val="24"/>
          <w:szCs w:val="24"/>
          <w:lang w:val="en-GB"/>
        </w:rPr>
        <w:t xml:space="preserve"> function</w:t>
      </w:r>
      <w:r w:rsidRPr="00C67AD0">
        <w:rPr>
          <w:rFonts w:ascii="Book Antiqua" w:hAnsi="Book Antiqua" w:cs="Times New Roman"/>
          <w:sz w:val="24"/>
          <w:szCs w:val="24"/>
          <w:lang w:val="en-GB"/>
        </w:rPr>
        <w:t xml:space="preserve"> and reduced</w:t>
      </w:r>
      <w:r w:rsidR="00467CC2" w:rsidRPr="00C67AD0">
        <w:rPr>
          <w:rFonts w:ascii="Book Antiqua" w:hAnsi="Book Antiqua" w:cs="Times New Roman"/>
          <w:sz w:val="24"/>
          <w:szCs w:val="24"/>
          <w:lang w:val="en-GB"/>
        </w:rPr>
        <w:t xml:space="preserve"> the</w:t>
      </w:r>
      <w:r w:rsidRPr="00C67AD0">
        <w:rPr>
          <w:rFonts w:ascii="Book Antiqua" w:hAnsi="Book Antiqua" w:cs="Times New Roman"/>
          <w:sz w:val="24"/>
          <w:szCs w:val="24"/>
          <w:lang w:val="en-GB"/>
        </w:rPr>
        <w:t xml:space="preserve"> inflammation </w:t>
      </w:r>
      <w:r w:rsidR="00467CC2" w:rsidRPr="00C67AD0">
        <w:rPr>
          <w:rFonts w:ascii="Book Antiqua" w:hAnsi="Book Antiqua" w:cs="Times New Roman"/>
          <w:sz w:val="24"/>
          <w:szCs w:val="24"/>
          <w:lang w:val="en-GB"/>
        </w:rPr>
        <w:t xml:space="preserve">of </w:t>
      </w:r>
      <w:r w:rsidRPr="00C67AD0">
        <w:rPr>
          <w:rFonts w:ascii="Book Antiqua" w:hAnsi="Book Antiqua" w:cs="Times New Roman"/>
          <w:sz w:val="24"/>
          <w:szCs w:val="24"/>
          <w:lang w:val="en-GB"/>
        </w:rPr>
        <w:t>the colon</w:t>
      </w:r>
      <w:r w:rsidR="00265CFD" w:rsidRPr="00C67AD0">
        <w:rPr>
          <w:rFonts w:ascii="Book Antiqua" w:hAnsi="Book Antiqua" w:cs="Times New Roman"/>
          <w:sz w:val="24"/>
          <w:szCs w:val="24"/>
          <w:lang w:val="en-GB"/>
        </w:rPr>
        <w:fldChar w:fldCharType="begin" w:fldLock="1"/>
      </w:r>
      <w:r w:rsidR="00EA7EC1" w:rsidRPr="00C67AD0">
        <w:rPr>
          <w:rFonts w:ascii="Book Antiqua" w:hAnsi="Book Antiqua" w:cs="Times New Roman"/>
          <w:sz w:val="24"/>
          <w:szCs w:val="24"/>
          <w:lang w:val="en-GB"/>
        </w:rPr>
        <w:instrText>ADDIN CSL_CITATION {"citationItems":[{"id":"ITEM-1","itemData":{"DOI":"10.1007/s00384-006-0232-4","PMID":"17061105","abstract":"Objective: Polyethylene glycol (PEG) has been suggested to protect against pathogen colonization by improving colonic barrier function. We aimed to establish whether PEG 4000 affects colonic barrier function and the development of colitis induced by 2,4,6-trinitrobenzenesulfonic acid (TNBS) in rats. Materials and methods: PEG was included in the drinking water for a period of 48 h before intracolonic administration of TNBS. Results and discussion: PEG increased colonic surface hydrophobicity and diminished luminal bacterial load. Moreover, PEG markedly reduced mucosal damage and inflammation induced by TNBS. This protection effect appeared to be independent of its laxative properties since the laxatives mannitol or senna extracts had no effect on TNBS colitis. Using everted colonic sacs, pretreatment with PEG produced a lasting reduction in epithelial permeability to mannitol and dextran-70 K that correlated with decreased surface hydrophobicity. Conclusion: Our results suggest that the protective effect of PEG on TNBS colitis is associated with reinforcement of the epithelial barrier. © Springer-Verlag 2006.","author":[{"dropping-particle":"","family":"Videla","given":"Sebastián","non-dropping-particle":"","parse-names":false,"suffix":""},{"dropping-particle":"","family":"Lugea","given":"Aurelia","non-dropping-particle":"","parse-names":false,"suffix":""},{"dropping-particle":"","family":"Vilaseca","given":"Jaime","non-dropping-particle":"","parse-names":false,"suffix":""},{"dropping-particle":"","family":"Guarner","given":"Francisco","non-dropping-particle":"","parse-names":false,"suffix":""},{"dropping-particle":"","family":"Treserra","given":"Francesc","non-dropping-particle":"","parse-names":false,"suffix":""},{"dropping-particle":"","family":"Salas","given":"Antonio","non-dropping-particle":"","parse-names":false,"suffix":""},{"dropping-particle":"","family":"Crespo","given":"Ernesto","non-dropping-particle":"","parse-names":false,"suffix":""},{"dropping-particle":"","family":"Medina","given":"Carlos","non-dropping-particle":"","parse-names":false,"suffix":""},{"dropping-particle":"","family":"Malagelada","given":"Juan R.","non-dropping-particle":"","parse-names":false,"suffix":""}],"container-title":"International Journal of Colorectal Disease","id":"ITEM-1","issue":"6","issued":{"date-parts":[["2007","6"]]},"page":"571-580","publisher":"Int J Colorectal Dis","title":"Polyethylene glycol enhances colonic barrier function and ameliorates experimental colitis in rats","type":"article-journal","volume":"22"},"uris":["http://www.mendeley.com/documents/?uuid=b8ea32af-e67a-3995-8386-1567b76e0a34"]}],"mendeley":{"formattedCitation":"&lt;sup&gt;[12]&lt;/sup&gt;","plainTextFormattedCitation":"[12]","previouslyFormattedCitation":"&lt;sup&gt;[12]&lt;/sup&gt;"},"properties":{"noteIndex":0},"schema":"https://github.com/citation-style-language/schema/raw/master/csl-citation.json"}</w:instrText>
      </w:r>
      <w:r w:rsidR="00265CFD" w:rsidRPr="00C67AD0">
        <w:rPr>
          <w:rFonts w:ascii="Book Antiqua" w:hAnsi="Book Antiqua" w:cs="Times New Roman"/>
          <w:sz w:val="24"/>
          <w:szCs w:val="24"/>
          <w:lang w:val="en-GB"/>
        </w:rPr>
        <w:fldChar w:fldCharType="separate"/>
      </w:r>
      <w:r w:rsidR="00FB4F41" w:rsidRPr="00C67AD0">
        <w:rPr>
          <w:rFonts w:ascii="Book Antiqua" w:hAnsi="Book Antiqua" w:cs="Times New Roman"/>
          <w:noProof/>
          <w:sz w:val="24"/>
          <w:szCs w:val="24"/>
          <w:vertAlign w:val="superscript"/>
          <w:lang w:val="en-GB"/>
        </w:rPr>
        <w:t>[12]</w:t>
      </w:r>
      <w:r w:rsidR="00265CFD" w:rsidRPr="00C67AD0">
        <w:rPr>
          <w:rFonts w:ascii="Book Antiqua" w:hAnsi="Book Antiqua" w:cs="Times New Roman"/>
          <w:sz w:val="24"/>
          <w:szCs w:val="24"/>
          <w:lang w:val="en-GB"/>
        </w:rPr>
        <w:fldChar w:fldCharType="end"/>
      </w:r>
      <w:r w:rsidRPr="00C67AD0">
        <w:rPr>
          <w:rFonts w:ascii="Book Antiqua" w:hAnsi="Book Antiqua" w:cs="Times New Roman"/>
          <w:sz w:val="24"/>
          <w:szCs w:val="24"/>
          <w:lang w:val="en-GB"/>
        </w:rPr>
        <w:t xml:space="preserve">. Likewise, in </w:t>
      </w:r>
      <w:r w:rsidR="00461613" w:rsidRPr="00C67AD0">
        <w:rPr>
          <w:rFonts w:ascii="Book Antiqua" w:hAnsi="Book Antiqua" w:cs="Times New Roman"/>
          <w:sz w:val="24"/>
          <w:szCs w:val="24"/>
          <w:lang w:val="en-GB"/>
        </w:rPr>
        <w:t>two different</w:t>
      </w:r>
      <w:r w:rsidRPr="00C67AD0">
        <w:rPr>
          <w:rFonts w:ascii="Book Antiqua" w:hAnsi="Book Antiqua" w:cs="Times New Roman"/>
          <w:sz w:val="24"/>
          <w:szCs w:val="24"/>
          <w:lang w:val="en-GB"/>
        </w:rPr>
        <w:t xml:space="preserve"> model</w:t>
      </w:r>
      <w:r w:rsidR="00461613" w:rsidRPr="00C67AD0">
        <w:rPr>
          <w:rFonts w:ascii="Book Antiqua" w:hAnsi="Book Antiqua" w:cs="Times New Roman"/>
          <w:sz w:val="24"/>
          <w:szCs w:val="24"/>
          <w:lang w:val="en-GB"/>
        </w:rPr>
        <w:t>s</w:t>
      </w:r>
      <w:r w:rsidRPr="00C67AD0">
        <w:rPr>
          <w:rFonts w:ascii="Book Antiqua" w:hAnsi="Book Antiqua" w:cs="Times New Roman"/>
          <w:sz w:val="24"/>
          <w:szCs w:val="24"/>
          <w:lang w:val="en-GB"/>
        </w:rPr>
        <w:t xml:space="preserve"> of gut-derived sepsis, therapeutic administration of PEG </w:t>
      </w:r>
      <w:r w:rsidR="00461613" w:rsidRPr="00C67AD0">
        <w:rPr>
          <w:rFonts w:ascii="Book Antiqua" w:hAnsi="Book Antiqua" w:cs="Times New Roman"/>
          <w:sz w:val="24"/>
          <w:szCs w:val="24"/>
          <w:lang w:val="en-GB"/>
        </w:rPr>
        <w:t>reduced inflammatory cytokine expression and activation of neutrophils</w:t>
      </w:r>
      <w:r w:rsidR="00265CFD" w:rsidRPr="00C67AD0">
        <w:rPr>
          <w:rFonts w:ascii="Book Antiqua" w:hAnsi="Book Antiqua" w:cs="Times New Roman"/>
          <w:sz w:val="24"/>
          <w:szCs w:val="24"/>
          <w:lang w:val="en-GB"/>
        </w:rPr>
        <w:fldChar w:fldCharType="begin" w:fldLock="1"/>
      </w:r>
      <w:r w:rsidR="00EA7EC1" w:rsidRPr="00C67AD0">
        <w:rPr>
          <w:rFonts w:ascii="Book Antiqua" w:hAnsi="Book Antiqua" w:cs="Times New Roman"/>
          <w:sz w:val="24"/>
          <w:szCs w:val="24"/>
          <w:lang w:val="en-GB"/>
        </w:rPr>
        <w:instrText>ADDIN CSL_CITATION {"citationItems":[{"id":"ITEM-1","itemData":{"DOI":"10.1097/CCM.0b013e3181c8fcd0","PMID":"20009757","abstract":"Objective: For several chronic inflammatory disease states, therapy is enhanced by improving the pharmacokinetic properties of anti-inflammatory drugs through conjugation with polyethylene glycol. We hypothesized that part of the beneficial action of PEGylated drugs may be derived from the anti-inflammatory properties of polyethylene glycol (PEG) itself. Design: Randomized, double-blinded, controlled ex vivo and in vivo laboratory studies. Setting: University research laboratories. Subjects: Human neutrophils and mononuclear cells, macrophage cell line, and adult rats and mice. Interventions: The effect of PEG (either low-molecular-weight [200-400] or high-molecular-weight [&gt;4000]) was assessed on survival after systemic inflammation induced by lipopolysaccharide or zymosan. The effects of PEG on zymosan, lipopolysaccharide, or streptolysin-induced inflammatory and bioenergetic responses of immune cells were also assessed. Measurements and Main Results: Low-molecular-weight PEG reduced inflammatory cytokine expression, pyrexia, and mortality by &gt;50% in both lipopolysaccharide and zymosan models of sepsis. Low-molecular-weight PEG reduced cytokine expression both in vivo and in vitro, and attenuated activation of human neutrophils in response to lipopolysaccharide or zymosan. By contrast, high-molecular-weight PEG conferred less significant survival effects after lipopolysaccharide and zymosan, and it did not exhibit such profound anti-inflammatory effects. Low-molecular-weight PEG attenuated lipopolysaccharide-induced activation of pro-apoptotic pathways (lysophosphatidic acid receptor and caspase-domain signaling) in the livers of endotoxemic rats.Streptolysin-induced necrosis of human neutrophils was reduced by low-molecular-weight PEG, indicating a mechanism that involves coating and/or stabilizing the cellular membrane. Low-molecular-weight PEG preserved human neutrophil responses to septic serum and bioenergetic function in macrophages and neutrophils. Conclusion: PEG is a commonly used, safe, nonimmunogenic molecule possessing hitherto unappreciated anti-inflammatory properties. Low-molecular-weight PEG may potentially play a role in the therapy of systemic inflammation and sepsis. Copyright © 2010 by the Society of Critical Care Medicine and Lippincott Williams &amp; Wilkins.","author":[{"dropping-particle":"","family":"Ackland","given":"Gareth L.","non-dropping-particle":"","parse-names":false,"suffix":""},{"dropping-particle":"","family":"Gutierrez Del Arroyo","given":"Ana","non-dropping-particle":"","parse-names":false,"suffix":""},{"dropping-particle":"","family":"Yao","given":"Song T.","non-dropping-particle":"","parse-names":false,"suffix":""},{"dropping-particle":"","family":"Stephens","given":"Robert C.","non-dropping-particle":"","parse-names":false,"suffix":""},{"dropping-particle":"","family":"Dyson","given":"Alexander","non-dropping-particle":"","parse-names":false,"suffix":""},{"dropping-particle":"","family":"Klein","given":"Nigel J.","non-dropping-particle":"","parse-names":false,"suffix":""},{"dropping-particle":"","family":"Singer","given":"Mervyn","non-dropping-particle":"","parse-names":false,"suffix":""},{"dropping-particle":"V.","family":"Gourine","given":"Alexander","non-dropping-particle":"","parse-names":false,"suffix":""}],"container-title":"Critical Care Medicine","id":"ITEM-1","issue":"2","issued":{"date-parts":[["2010"]]},"page":"629-636","publisher":"Lippincott Williams and Wilkins","title":"Low-molecular-weight polyethylene glycol improves survival in experimental sepsis","type":"article-journal","volume":"38"},"uris":["http://www.mendeley.com/documents/?uuid=1f7a1c2f-e887-3a70-b4bf-eb0453716f8b"]}],"mendeley":{"formattedCitation":"&lt;sup&gt;[13]&lt;/sup&gt;","plainTextFormattedCitation":"[13]","previouslyFormattedCitation":"&lt;sup&gt;[13]&lt;/sup&gt;"},"properties":{"noteIndex":0},"schema":"https://github.com/citation-style-language/schema/raw/master/csl-citation.json"}</w:instrText>
      </w:r>
      <w:r w:rsidR="00265CFD" w:rsidRPr="00C67AD0">
        <w:rPr>
          <w:rFonts w:ascii="Book Antiqua" w:hAnsi="Book Antiqua" w:cs="Times New Roman"/>
          <w:sz w:val="24"/>
          <w:szCs w:val="24"/>
          <w:lang w:val="en-GB"/>
        </w:rPr>
        <w:fldChar w:fldCharType="separate"/>
      </w:r>
      <w:r w:rsidR="00FB4F41" w:rsidRPr="00C67AD0">
        <w:rPr>
          <w:rFonts w:ascii="Book Antiqua" w:hAnsi="Book Antiqua" w:cs="Times New Roman"/>
          <w:noProof/>
          <w:sz w:val="24"/>
          <w:szCs w:val="24"/>
          <w:vertAlign w:val="superscript"/>
          <w:lang w:val="en-GB"/>
        </w:rPr>
        <w:t>[13]</w:t>
      </w:r>
      <w:r w:rsidR="00265CFD" w:rsidRPr="00C67AD0">
        <w:rPr>
          <w:rFonts w:ascii="Book Antiqua" w:hAnsi="Book Antiqua" w:cs="Times New Roman"/>
          <w:sz w:val="24"/>
          <w:szCs w:val="24"/>
          <w:lang w:val="en-GB"/>
        </w:rPr>
        <w:fldChar w:fldCharType="end"/>
      </w:r>
      <w:r w:rsidRPr="00C67AD0">
        <w:rPr>
          <w:rFonts w:ascii="Book Antiqua" w:hAnsi="Book Antiqua" w:cs="Times New Roman"/>
          <w:sz w:val="24"/>
          <w:szCs w:val="24"/>
          <w:lang w:val="en-GB"/>
        </w:rPr>
        <w:t xml:space="preserve">. </w:t>
      </w:r>
      <w:r w:rsidR="000A51E0" w:rsidRPr="00C67AD0">
        <w:rPr>
          <w:rFonts w:ascii="Book Antiqua" w:hAnsi="Book Antiqua" w:cs="Times New Roman"/>
          <w:sz w:val="24"/>
          <w:szCs w:val="24"/>
          <w:lang w:val="en-GB"/>
        </w:rPr>
        <w:t>O</w:t>
      </w:r>
      <w:r w:rsidRPr="00C67AD0">
        <w:rPr>
          <w:rFonts w:ascii="Book Antiqua" w:hAnsi="Book Antiqua" w:cs="Times New Roman"/>
          <w:sz w:val="24"/>
          <w:szCs w:val="24"/>
          <w:lang w:val="en-GB"/>
        </w:rPr>
        <w:t xml:space="preserve">ur group has recently demonstrated an anti-inflammatory role for </w:t>
      </w:r>
      <w:r w:rsidR="00461613" w:rsidRPr="00C67AD0">
        <w:rPr>
          <w:rFonts w:ascii="Book Antiqua" w:hAnsi="Book Antiqua" w:cs="Times New Roman"/>
          <w:sz w:val="24"/>
          <w:szCs w:val="24"/>
          <w:lang w:val="en-GB"/>
        </w:rPr>
        <w:t xml:space="preserve">PEG35 </w:t>
      </w:r>
      <w:r w:rsidR="00027DF9" w:rsidRPr="00C67AD0">
        <w:rPr>
          <w:rFonts w:ascii="Book Antiqua" w:hAnsi="Book Antiqua" w:cs="Times New Roman"/>
          <w:sz w:val="24"/>
          <w:szCs w:val="24"/>
          <w:lang w:val="en-GB"/>
        </w:rPr>
        <w:t>in a</w:t>
      </w:r>
      <w:r w:rsidR="00F8384D" w:rsidRPr="00C67AD0">
        <w:rPr>
          <w:rFonts w:ascii="Book Antiqua" w:hAnsi="Book Antiqua" w:cs="Times New Roman"/>
          <w:sz w:val="24"/>
          <w:szCs w:val="24"/>
          <w:lang w:val="en-GB"/>
        </w:rPr>
        <w:t xml:space="preserve">n experimental </w:t>
      </w:r>
      <w:r w:rsidR="00027DF9" w:rsidRPr="00C67AD0">
        <w:rPr>
          <w:rFonts w:ascii="Book Antiqua" w:hAnsi="Book Antiqua" w:cs="Times New Roman"/>
          <w:sz w:val="24"/>
          <w:szCs w:val="24"/>
          <w:lang w:val="en-GB"/>
        </w:rPr>
        <w:t xml:space="preserve">model of </w:t>
      </w:r>
      <w:r w:rsidR="00B001C7" w:rsidRPr="00C67AD0">
        <w:rPr>
          <w:rFonts w:ascii="Book Antiqua" w:hAnsi="Book Antiqua" w:cs="Times New Roman"/>
          <w:sz w:val="24"/>
          <w:szCs w:val="24"/>
          <w:lang w:val="en-GB"/>
        </w:rPr>
        <w:t>severe</w:t>
      </w:r>
      <w:r w:rsidR="00027DF9" w:rsidRPr="00C67AD0">
        <w:rPr>
          <w:rFonts w:ascii="Book Antiqua" w:hAnsi="Book Antiqua" w:cs="Times New Roman"/>
          <w:sz w:val="24"/>
          <w:szCs w:val="24"/>
          <w:lang w:val="en-GB"/>
        </w:rPr>
        <w:t xml:space="preserve"> </w:t>
      </w:r>
      <w:r w:rsidR="00B001C7" w:rsidRPr="00C67AD0">
        <w:rPr>
          <w:rFonts w:ascii="Book Antiqua" w:hAnsi="Book Antiqua" w:cs="Times New Roman"/>
          <w:sz w:val="24"/>
          <w:szCs w:val="24"/>
          <w:lang w:val="en-GB"/>
        </w:rPr>
        <w:t>necrotizing AP</w:t>
      </w:r>
      <w:r w:rsidRPr="00C67AD0">
        <w:rPr>
          <w:rFonts w:ascii="Book Antiqua" w:hAnsi="Book Antiqua" w:cs="Times New Roman"/>
          <w:sz w:val="24"/>
          <w:szCs w:val="24"/>
          <w:lang w:val="en-GB"/>
        </w:rPr>
        <w:t xml:space="preserve">. </w:t>
      </w:r>
      <w:r w:rsidR="006352A1" w:rsidRPr="00C67AD0">
        <w:rPr>
          <w:rFonts w:ascii="Book Antiqua" w:hAnsi="Book Antiqua" w:cs="Times New Roman"/>
          <w:sz w:val="24"/>
          <w:szCs w:val="24"/>
          <w:lang w:val="en-GB"/>
        </w:rPr>
        <w:t xml:space="preserve">In this sense, </w:t>
      </w:r>
      <w:bookmarkStart w:id="9" w:name="_Hlk48091282"/>
      <w:r w:rsidR="00156B6C" w:rsidRPr="00C67AD0">
        <w:rPr>
          <w:rFonts w:ascii="Book Antiqua" w:hAnsi="Book Antiqua" w:cs="Times New Roman"/>
          <w:sz w:val="24"/>
          <w:szCs w:val="24"/>
          <w:lang w:val="en-GB"/>
        </w:rPr>
        <w:t>the</w:t>
      </w:r>
      <w:r w:rsidRPr="00C67AD0">
        <w:rPr>
          <w:rFonts w:ascii="Book Antiqua" w:hAnsi="Book Antiqua" w:cs="Times New Roman"/>
          <w:sz w:val="24"/>
          <w:szCs w:val="24"/>
          <w:lang w:val="en-GB"/>
        </w:rPr>
        <w:t xml:space="preserve"> therapeutic administration of PEG35 </w:t>
      </w:r>
      <w:r w:rsidR="00461613" w:rsidRPr="00C67AD0">
        <w:rPr>
          <w:rFonts w:ascii="Book Antiqua" w:hAnsi="Book Antiqua" w:cs="Times New Roman"/>
          <w:sz w:val="24"/>
          <w:szCs w:val="24"/>
          <w:lang w:val="en-GB"/>
        </w:rPr>
        <w:t xml:space="preserve">notably alleviated the severity of AP </w:t>
      </w:r>
      <w:r w:rsidR="00673578" w:rsidRPr="00C67AD0">
        <w:rPr>
          <w:rFonts w:ascii="Book Antiqua" w:hAnsi="Book Antiqua" w:cs="Times New Roman"/>
          <w:sz w:val="24"/>
          <w:szCs w:val="24"/>
          <w:lang w:val="en-GB"/>
        </w:rPr>
        <w:t xml:space="preserve">and </w:t>
      </w:r>
      <w:r w:rsidR="00027DF9" w:rsidRPr="00C67AD0">
        <w:rPr>
          <w:rFonts w:ascii="Book Antiqua" w:hAnsi="Book Antiqua" w:cs="Times New Roman"/>
          <w:sz w:val="24"/>
          <w:szCs w:val="24"/>
          <w:lang w:val="en-GB"/>
        </w:rPr>
        <w:t xml:space="preserve">protected against </w:t>
      </w:r>
      <w:r w:rsidR="00156B6C" w:rsidRPr="00C67AD0">
        <w:rPr>
          <w:rFonts w:ascii="Book Antiqua" w:hAnsi="Book Antiqua" w:cs="Times New Roman"/>
          <w:sz w:val="24"/>
          <w:szCs w:val="24"/>
          <w:lang w:val="en-GB"/>
        </w:rPr>
        <w:t xml:space="preserve">the </w:t>
      </w:r>
      <w:r w:rsidR="00BA1708" w:rsidRPr="00C67AD0">
        <w:rPr>
          <w:rFonts w:ascii="Book Antiqua" w:hAnsi="Book Antiqua" w:cs="Times New Roman"/>
          <w:sz w:val="24"/>
          <w:szCs w:val="24"/>
          <w:lang w:val="en-GB"/>
        </w:rPr>
        <w:t xml:space="preserve">associated </w:t>
      </w:r>
      <w:r w:rsidR="00156B6C" w:rsidRPr="00C67AD0">
        <w:rPr>
          <w:rFonts w:ascii="Book Antiqua" w:hAnsi="Book Antiqua" w:cs="Times New Roman"/>
          <w:sz w:val="24"/>
          <w:szCs w:val="24"/>
          <w:lang w:val="en-GB"/>
        </w:rPr>
        <w:t>lung inflammatory response</w:t>
      </w:r>
      <w:bookmarkEnd w:id="9"/>
      <w:r w:rsidR="00265CFD" w:rsidRPr="00C67AD0">
        <w:rPr>
          <w:rFonts w:ascii="Book Antiqua" w:hAnsi="Book Antiqua" w:cs="Times New Roman"/>
          <w:sz w:val="24"/>
          <w:szCs w:val="24"/>
          <w:lang w:val="en-GB"/>
        </w:rPr>
        <w:fldChar w:fldCharType="begin" w:fldLock="1"/>
      </w:r>
      <w:r w:rsidR="009A5DD0" w:rsidRPr="00C67AD0">
        <w:rPr>
          <w:rFonts w:ascii="Book Antiqua" w:hAnsi="Book Antiqua" w:cs="Times New Roman"/>
          <w:sz w:val="24"/>
          <w:szCs w:val="24"/>
          <w:lang w:val="en-GB"/>
        </w:rPr>
        <w:instrText>ADDIN CSL_CITATION {"citationItems":[{"id":"ITEM-1","itemData":{"DOI":"10.3390/ijms21030917","PMID":"32019239","abstract":"Acute pancreatitis is an inflammatory disorder of the pancreas. Its presentation ranges from self-limiting disease to acute necrotizing pancreatitis (ANP) with multiorgan failure and a high mortality. Polyethylene glycols (PEGs) are non-immunogenic, non-toxic, and water-soluble chemicals composed of repeating units of ethylene glycol. The present article explores the effect of PEG35 administration on reducing the severity of ANP and associated lung injury. ANP was induced by injection of 5% sodium taurocholate into the biliopancreatic duct. PEG35 was administered intravenously either prophylactically or therapeutically. Three hours after ANP induction, pancreas and lung tissue samples and blood were collected and ANP severity was assessed. To evaluate the inflammatory response, gene expression of pro-inflammatory cytokines and chemokine and the changes in the presence of myeloperoxidase and adhesion molecule levels were determined in both the pancreas and the lung. To evaluate cell death, lactate dehydrogenase (LDH) activity and apoptotic cleaved caspase-3 localization were determined in plasma and in both the pancreatic and lung tissue respectively. ANP-associated local and systemic inflammatory processes were reduced when PEG35 was administered prophylactically. PEG35 pre-treatment also protected against acute pancreatitis-associated cell death. Notably, the therapeutic administration of PEG35 significantly decreased associated lung injury, even when the pancreatic lesion was equivalent to that in the untreated ANP-induced group. Our results support a protective role of PEG35 against the ANP-associated inflammatory process and identify PEG35 as a promising tool for the treatment of the potentially lethal complications of the disease.","author":[{"dropping-particle":"","family":"Ferrero-Andrés","given":"Ana","non-dropping-particle":"","parse-names":false,"suffix":""},{"dropping-particle":"","family":"Panisello-Roselló","given":"Arnau","non-dropping-particle":"","parse-names":false,"suffix":""},{"dropping-particle":"","family":"Serafín","given":"Anna","non-dropping-particle":"","parse-names":false,"suffix":""},{"dropping-particle":"","family":"Roselló-Catafau","given":"Joan","non-dropping-particle":"","parse-names":false,"suffix":""},{"dropping-particle":"","family":"Folch-Puy","given":"Emma","non-dropping-particle":"","parse-names":false,"suffix":""}],"container-title":"International Journal of Molecular Sciences","id":"ITEM-1","issue":"3","issued":{"date-parts":[["2020","2","1"]]},"publisher":"MDPI AG","title":"Polyethylene glycol 35 (PEG35) protects against inflammation in experimental acute necrotizing pancreatitis and associated lung injury","type":"article-journal","volume":"21"},"uris":["http://www.mendeley.com/documents/?uuid=306828db-e2c7-3dad-b74d-1740d8e90fe1"]}],"mendeley":{"formattedCitation":"&lt;sup&gt;[14]&lt;/sup&gt;","plainTextFormattedCitation":"[14]","previouslyFormattedCitation":"&lt;sup&gt;[14]&lt;/sup&gt;"},"properties":{"noteIndex":0},"schema":"https://github.com/citation-style-language/schema/raw/master/csl-citation.json"}</w:instrText>
      </w:r>
      <w:r w:rsidR="00265CFD" w:rsidRPr="00C67AD0">
        <w:rPr>
          <w:rFonts w:ascii="Book Antiqua" w:hAnsi="Book Antiqua" w:cs="Times New Roman"/>
          <w:sz w:val="24"/>
          <w:szCs w:val="24"/>
          <w:lang w:val="en-GB"/>
        </w:rPr>
        <w:fldChar w:fldCharType="separate"/>
      </w:r>
      <w:r w:rsidR="00FB4F41" w:rsidRPr="00C67AD0">
        <w:rPr>
          <w:rFonts w:ascii="Book Antiqua" w:hAnsi="Book Antiqua" w:cs="Times New Roman"/>
          <w:noProof/>
          <w:sz w:val="24"/>
          <w:szCs w:val="24"/>
          <w:vertAlign w:val="superscript"/>
          <w:lang w:val="en-GB"/>
        </w:rPr>
        <w:t>[14]</w:t>
      </w:r>
      <w:r w:rsidR="00265CFD" w:rsidRPr="00C67AD0">
        <w:rPr>
          <w:rFonts w:ascii="Book Antiqua" w:hAnsi="Book Antiqua" w:cs="Times New Roman"/>
          <w:sz w:val="24"/>
          <w:szCs w:val="24"/>
          <w:lang w:val="en-GB"/>
        </w:rPr>
        <w:fldChar w:fldCharType="end"/>
      </w:r>
      <w:r w:rsidRPr="00C67AD0">
        <w:rPr>
          <w:rFonts w:ascii="Book Antiqua" w:hAnsi="Book Antiqua" w:cs="Times New Roman"/>
          <w:sz w:val="24"/>
          <w:szCs w:val="24"/>
          <w:lang w:val="en-GB"/>
        </w:rPr>
        <w:t xml:space="preserve">.  </w:t>
      </w:r>
    </w:p>
    <w:p w14:paraId="2368BED2" w14:textId="2B0BAD64" w:rsidR="00B44A58" w:rsidRPr="00C67AD0" w:rsidRDefault="000A51E0" w:rsidP="00B36325">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Based on</w:t>
      </w:r>
      <w:r w:rsidR="00B44A58" w:rsidRPr="00C67AD0">
        <w:rPr>
          <w:rFonts w:ascii="Book Antiqua" w:hAnsi="Book Antiqua" w:cs="Times New Roman"/>
          <w:sz w:val="24"/>
          <w:szCs w:val="24"/>
          <w:lang w:val="en-GB"/>
        </w:rPr>
        <w:t xml:space="preserve"> the protective features of PEGs, we </w:t>
      </w:r>
      <w:r w:rsidRPr="00C67AD0">
        <w:rPr>
          <w:rFonts w:ascii="Book Antiqua" w:hAnsi="Book Antiqua" w:cs="Times New Roman"/>
          <w:sz w:val="24"/>
          <w:szCs w:val="24"/>
          <w:lang w:val="en-GB"/>
        </w:rPr>
        <w:t xml:space="preserve">now have </w:t>
      </w:r>
      <w:r w:rsidR="00B44A58" w:rsidRPr="00C67AD0">
        <w:rPr>
          <w:rFonts w:ascii="Book Antiqua" w:hAnsi="Book Antiqua" w:cs="Times New Roman"/>
          <w:sz w:val="24"/>
          <w:szCs w:val="24"/>
          <w:lang w:val="en-GB"/>
        </w:rPr>
        <w:t>evaluated the effect</w:t>
      </w:r>
      <w:r w:rsidRPr="00C67AD0">
        <w:rPr>
          <w:rFonts w:ascii="Book Antiqua" w:hAnsi="Book Antiqua" w:cs="Times New Roman"/>
          <w:sz w:val="24"/>
          <w:szCs w:val="24"/>
          <w:lang w:val="en-GB"/>
        </w:rPr>
        <w:t>s</w:t>
      </w:r>
      <w:r w:rsidR="00B44A58" w:rsidRPr="00C67AD0">
        <w:rPr>
          <w:rFonts w:ascii="Book Antiqua" w:hAnsi="Book Antiqua" w:cs="Times New Roman"/>
          <w:sz w:val="24"/>
          <w:szCs w:val="24"/>
          <w:lang w:val="en-GB"/>
        </w:rPr>
        <w:t xml:space="preserve"> of PEG35 in experimental models of pancreatic damage </w:t>
      </w:r>
      <w:r w:rsidR="00B44A58" w:rsidRPr="00C67AD0">
        <w:rPr>
          <w:rFonts w:ascii="Book Antiqua" w:hAnsi="Book Antiqua" w:cs="Times New Roman"/>
          <w:i/>
          <w:iCs/>
          <w:sz w:val="24"/>
          <w:szCs w:val="24"/>
          <w:lang w:val="en-GB"/>
        </w:rPr>
        <w:t>in vivo</w:t>
      </w:r>
      <w:r w:rsidR="00B44A58" w:rsidRPr="00C67AD0">
        <w:rPr>
          <w:rFonts w:ascii="Book Antiqua" w:hAnsi="Book Antiqua" w:cs="Times New Roman"/>
          <w:sz w:val="24"/>
          <w:szCs w:val="24"/>
          <w:lang w:val="en-GB"/>
        </w:rPr>
        <w:t xml:space="preserve"> and </w:t>
      </w:r>
      <w:r w:rsidR="00B44A58" w:rsidRPr="00C67AD0">
        <w:rPr>
          <w:rFonts w:ascii="Book Antiqua" w:hAnsi="Book Antiqua" w:cs="Times New Roman"/>
          <w:i/>
          <w:iCs/>
          <w:sz w:val="24"/>
          <w:szCs w:val="24"/>
          <w:lang w:val="en-GB"/>
        </w:rPr>
        <w:t>in vitro</w:t>
      </w:r>
      <w:r w:rsidR="00B44A58" w:rsidRPr="00C67AD0">
        <w:rPr>
          <w:rFonts w:ascii="Book Antiqua" w:hAnsi="Book Antiqua" w:cs="Times New Roman"/>
          <w:sz w:val="24"/>
          <w:szCs w:val="24"/>
          <w:lang w:val="en-GB"/>
        </w:rPr>
        <w:t>.</w:t>
      </w:r>
    </w:p>
    <w:p w14:paraId="51D12983" w14:textId="77777777" w:rsidR="00B44A58" w:rsidRPr="00C67AD0" w:rsidRDefault="00B44A58" w:rsidP="00B8567E">
      <w:pPr>
        <w:spacing w:line="360" w:lineRule="auto"/>
        <w:ind w:firstLine="567"/>
        <w:contextualSpacing/>
        <w:jc w:val="both"/>
        <w:rPr>
          <w:rFonts w:ascii="Book Antiqua" w:hAnsi="Book Antiqua" w:cs="Times New Roman"/>
          <w:b/>
          <w:bCs/>
          <w:sz w:val="24"/>
          <w:szCs w:val="24"/>
          <w:u w:val="single"/>
          <w:lang w:val="en-GB"/>
        </w:rPr>
      </w:pPr>
    </w:p>
    <w:p w14:paraId="3ACFF470" w14:textId="38600C20" w:rsidR="00F815A8" w:rsidRPr="00C67AD0" w:rsidRDefault="00270BE4" w:rsidP="00B8567E">
      <w:pPr>
        <w:spacing w:line="360" w:lineRule="auto"/>
        <w:contextualSpacing/>
        <w:jc w:val="both"/>
        <w:rPr>
          <w:rFonts w:ascii="Book Antiqua" w:hAnsi="Book Antiqua" w:cs="Times New Roman"/>
          <w:b/>
          <w:bCs/>
          <w:sz w:val="24"/>
          <w:szCs w:val="24"/>
          <w:u w:val="single"/>
          <w:lang w:val="en-GB"/>
        </w:rPr>
      </w:pPr>
      <w:r w:rsidRPr="00C67AD0">
        <w:rPr>
          <w:rFonts w:ascii="Book Antiqua" w:hAnsi="Book Antiqua" w:cs="Times New Roman"/>
          <w:b/>
          <w:bCs/>
          <w:sz w:val="24"/>
          <w:szCs w:val="24"/>
          <w:u w:val="single"/>
          <w:lang w:val="en-GB"/>
        </w:rPr>
        <w:t xml:space="preserve">MATERIALS AND </w:t>
      </w:r>
      <w:r w:rsidR="00D4794F" w:rsidRPr="00C67AD0">
        <w:rPr>
          <w:rFonts w:ascii="Book Antiqua" w:hAnsi="Book Antiqua" w:cs="Times New Roman"/>
          <w:b/>
          <w:bCs/>
          <w:sz w:val="24"/>
          <w:szCs w:val="24"/>
          <w:u w:val="single"/>
          <w:lang w:val="en-GB"/>
        </w:rPr>
        <w:t>METHODS</w:t>
      </w:r>
    </w:p>
    <w:p w14:paraId="56E14F84" w14:textId="201E003E" w:rsidR="007E0F59" w:rsidRPr="00C67AD0" w:rsidRDefault="007E0F59" w:rsidP="00B8567E">
      <w:pPr>
        <w:spacing w:line="360" w:lineRule="auto"/>
        <w:contextualSpacing/>
        <w:jc w:val="both"/>
        <w:rPr>
          <w:rFonts w:ascii="Book Antiqua" w:hAnsi="Book Antiqua" w:cs="Times New Roman"/>
          <w:b/>
          <w:i/>
          <w:iCs/>
          <w:sz w:val="24"/>
          <w:szCs w:val="24"/>
          <w:lang w:val="en-GB"/>
        </w:rPr>
      </w:pPr>
      <w:bookmarkStart w:id="10" w:name="_Hlk50634420"/>
      <w:r w:rsidRPr="00C67AD0">
        <w:rPr>
          <w:rFonts w:ascii="Book Antiqua" w:hAnsi="Book Antiqua" w:cs="Times New Roman"/>
          <w:b/>
          <w:i/>
          <w:iCs/>
          <w:sz w:val="24"/>
          <w:szCs w:val="24"/>
          <w:lang w:val="en-GB"/>
        </w:rPr>
        <w:t>Experimental animals</w:t>
      </w:r>
      <w:r w:rsidR="00E9457A" w:rsidRPr="00C67AD0">
        <w:rPr>
          <w:rFonts w:ascii="Book Antiqua" w:hAnsi="Book Antiqua" w:cs="Times New Roman"/>
          <w:b/>
          <w:i/>
          <w:iCs/>
          <w:sz w:val="24"/>
          <w:szCs w:val="24"/>
          <w:lang w:val="en-GB"/>
        </w:rPr>
        <w:t xml:space="preserve"> and model </w:t>
      </w:r>
      <w:r w:rsidR="00DF6145" w:rsidRPr="00C67AD0">
        <w:rPr>
          <w:rFonts w:ascii="Book Antiqua" w:hAnsi="Book Antiqua" w:cs="Times New Roman"/>
          <w:b/>
          <w:i/>
          <w:iCs/>
          <w:sz w:val="24"/>
          <w:szCs w:val="24"/>
          <w:lang w:val="en-GB"/>
        </w:rPr>
        <w:t xml:space="preserve">of </w:t>
      </w:r>
      <w:proofErr w:type="spellStart"/>
      <w:r w:rsidR="00DF6145" w:rsidRPr="00C67AD0">
        <w:rPr>
          <w:rFonts w:ascii="Book Antiqua" w:hAnsi="Book Antiqua" w:cs="Times New Roman"/>
          <w:b/>
          <w:i/>
          <w:iCs/>
          <w:sz w:val="24"/>
          <w:szCs w:val="24"/>
          <w:lang w:val="en-GB"/>
        </w:rPr>
        <w:t>cerulein</w:t>
      </w:r>
      <w:proofErr w:type="spellEnd"/>
      <w:r w:rsidR="00DF6145" w:rsidRPr="00C67AD0">
        <w:rPr>
          <w:rFonts w:ascii="Book Antiqua" w:hAnsi="Book Antiqua" w:cs="Times New Roman"/>
          <w:b/>
          <w:i/>
          <w:iCs/>
          <w:sz w:val="24"/>
          <w:szCs w:val="24"/>
          <w:lang w:val="en-GB"/>
        </w:rPr>
        <w:t>-induced AP</w:t>
      </w:r>
    </w:p>
    <w:bookmarkEnd w:id="10"/>
    <w:p w14:paraId="456BF834" w14:textId="40C65DBF" w:rsidR="00EB464F" w:rsidRPr="00C67AD0" w:rsidRDefault="00AB2F29" w:rsidP="00B8567E">
      <w:pPr>
        <w:spacing w:line="360" w:lineRule="auto"/>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All experimental </w:t>
      </w:r>
      <w:r w:rsidR="00D543E3" w:rsidRPr="00C67AD0">
        <w:rPr>
          <w:rFonts w:ascii="Book Antiqua" w:hAnsi="Book Antiqua" w:cs="Times New Roman"/>
          <w:bCs/>
          <w:sz w:val="24"/>
          <w:szCs w:val="24"/>
          <w:lang w:val="en-GB"/>
        </w:rPr>
        <w:t>animal</w:t>
      </w:r>
      <w:r w:rsidRPr="00C67AD0">
        <w:rPr>
          <w:rFonts w:ascii="Book Antiqua" w:hAnsi="Book Antiqua" w:cs="Times New Roman"/>
          <w:bCs/>
          <w:sz w:val="24"/>
          <w:szCs w:val="24"/>
          <w:lang w:val="en-GB"/>
        </w:rPr>
        <w:t xml:space="preserve"> proce</w:t>
      </w:r>
      <w:r w:rsidR="00467CC2" w:rsidRPr="00C67AD0">
        <w:rPr>
          <w:rFonts w:ascii="Book Antiqua" w:hAnsi="Book Antiqua" w:cs="Times New Roman"/>
          <w:bCs/>
          <w:sz w:val="24"/>
          <w:szCs w:val="24"/>
          <w:lang w:val="en-GB"/>
        </w:rPr>
        <w:t>edings</w:t>
      </w:r>
      <w:r w:rsidRPr="00C67AD0">
        <w:rPr>
          <w:rFonts w:ascii="Book Antiqua" w:hAnsi="Book Antiqua" w:cs="Times New Roman"/>
          <w:bCs/>
          <w:sz w:val="24"/>
          <w:szCs w:val="24"/>
          <w:lang w:val="en-GB"/>
        </w:rPr>
        <w:t xml:space="preserve"> were conducted </w:t>
      </w:r>
      <w:r w:rsidR="00467CC2" w:rsidRPr="00C67AD0">
        <w:rPr>
          <w:rFonts w:ascii="Book Antiqua" w:hAnsi="Book Antiqua" w:cs="Times New Roman"/>
          <w:bCs/>
          <w:sz w:val="24"/>
          <w:szCs w:val="24"/>
          <w:lang w:val="en-GB"/>
        </w:rPr>
        <w:t>according</w:t>
      </w:r>
      <w:r w:rsidRPr="00C67AD0">
        <w:rPr>
          <w:rFonts w:ascii="Book Antiqua" w:hAnsi="Book Antiqua" w:cs="Times New Roman"/>
          <w:bCs/>
          <w:sz w:val="24"/>
          <w:szCs w:val="24"/>
          <w:lang w:val="en-GB"/>
        </w:rPr>
        <w:t xml:space="preserve"> with European Union regulatory standards for </w:t>
      </w:r>
      <w:r w:rsidR="00467CC2" w:rsidRPr="00C67AD0">
        <w:rPr>
          <w:rFonts w:ascii="Book Antiqua" w:hAnsi="Book Antiqua" w:cs="Times New Roman"/>
          <w:bCs/>
          <w:sz w:val="24"/>
          <w:szCs w:val="24"/>
          <w:lang w:val="en-GB"/>
        </w:rPr>
        <w:t xml:space="preserve">experimentation with </w:t>
      </w:r>
      <w:r w:rsidRPr="00C67AD0">
        <w:rPr>
          <w:rFonts w:ascii="Book Antiqua" w:hAnsi="Book Antiqua" w:cs="Times New Roman"/>
          <w:bCs/>
          <w:sz w:val="24"/>
          <w:szCs w:val="24"/>
          <w:lang w:val="en-GB"/>
        </w:rPr>
        <w:t>animal</w:t>
      </w:r>
      <w:r w:rsidR="00467CC2" w:rsidRPr="00C67AD0">
        <w:rPr>
          <w:rFonts w:ascii="Book Antiqua" w:hAnsi="Book Antiqua" w:cs="Times New Roman"/>
          <w:bCs/>
          <w:sz w:val="24"/>
          <w:szCs w:val="24"/>
          <w:lang w:val="en-GB"/>
        </w:rPr>
        <w:t>s</w:t>
      </w:r>
      <w:r w:rsidRPr="00C67AD0">
        <w:rPr>
          <w:rFonts w:ascii="Book Antiqua" w:hAnsi="Book Antiqua" w:cs="Times New Roman"/>
          <w:bCs/>
          <w:sz w:val="24"/>
          <w:szCs w:val="24"/>
          <w:lang w:val="en-GB"/>
        </w:rPr>
        <w:t xml:space="preserve"> (Directive 2010/63/EU on the </w:t>
      </w:r>
      <w:r w:rsidR="009A5E52" w:rsidRPr="00C67AD0">
        <w:rPr>
          <w:rFonts w:ascii="Book Antiqua" w:hAnsi="Book Antiqua" w:cs="Times New Roman"/>
          <w:bCs/>
          <w:sz w:val="24"/>
          <w:szCs w:val="24"/>
          <w:lang w:val="en-GB"/>
        </w:rPr>
        <w:t xml:space="preserve">Protection </w:t>
      </w:r>
      <w:r w:rsidRPr="00C67AD0">
        <w:rPr>
          <w:rFonts w:ascii="Book Antiqua" w:hAnsi="Book Antiqua" w:cs="Times New Roman"/>
          <w:bCs/>
          <w:sz w:val="24"/>
          <w:szCs w:val="24"/>
          <w:lang w:val="en-GB"/>
        </w:rPr>
        <w:t xml:space="preserve">of </w:t>
      </w:r>
      <w:r w:rsidR="009A5E52" w:rsidRPr="00C67AD0">
        <w:rPr>
          <w:rFonts w:ascii="Book Antiqua" w:hAnsi="Book Antiqua" w:cs="Times New Roman"/>
          <w:bCs/>
          <w:sz w:val="24"/>
          <w:szCs w:val="24"/>
          <w:lang w:val="en-GB"/>
        </w:rPr>
        <w:t>A</w:t>
      </w:r>
      <w:r w:rsidRPr="00C67AD0">
        <w:rPr>
          <w:rFonts w:ascii="Book Antiqua" w:hAnsi="Book Antiqua" w:cs="Times New Roman"/>
          <w:bCs/>
          <w:sz w:val="24"/>
          <w:szCs w:val="24"/>
          <w:lang w:val="en-GB"/>
        </w:rPr>
        <w:t xml:space="preserve">nimals </w:t>
      </w:r>
      <w:r w:rsidR="009A5E52" w:rsidRPr="00C67AD0">
        <w:rPr>
          <w:rFonts w:ascii="Book Antiqua" w:hAnsi="Book Antiqua" w:cs="Times New Roman"/>
          <w:bCs/>
          <w:sz w:val="24"/>
          <w:szCs w:val="24"/>
          <w:lang w:val="en-GB"/>
        </w:rPr>
        <w:t>U</w:t>
      </w:r>
      <w:r w:rsidRPr="00C67AD0">
        <w:rPr>
          <w:rFonts w:ascii="Book Antiqua" w:hAnsi="Book Antiqua" w:cs="Times New Roman"/>
          <w:bCs/>
          <w:sz w:val="24"/>
          <w:szCs w:val="24"/>
          <w:lang w:val="en-GB"/>
        </w:rPr>
        <w:t xml:space="preserve">sed for </w:t>
      </w:r>
      <w:r w:rsidR="009A5E52" w:rsidRPr="00C67AD0">
        <w:rPr>
          <w:rFonts w:ascii="Book Antiqua" w:hAnsi="Book Antiqua" w:cs="Times New Roman"/>
          <w:bCs/>
          <w:sz w:val="24"/>
          <w:szCs w:val="24"/>
          <w:lang w:val="en-GB"/>
        </w:rPr>
        <w:t>S</w:t>
      </w:r>
      <w:r w:rsidRPr="00C67AD0">
        <w:rPr>
          <w:rFonts w:ascii="Book Antiqua" w:hAnsi="Book Antiqua" w:cs="Times New Roman"/>
          <w:bCs/>
          <w:sz w:val="24"/>
          <w:szCs w:val="24"/>
          <w:lang w:val="en-GB"/>
        </w:rPr>
        <w:t xml:space="preserve">cientific </w:t>
      </w:r>
      <w:r w:rsidR="009A5E52" w:rsidRPr="00C67AD0">
        <w:rPr>
          <w:rFonts w:ascii="Book Antiqua" w:hAnsi="Book Antiqua" w:cs="Times New Roman"/>
          <w:bCs/>
          <w:sz w:val="24"/>
          <w:szCs w:val="24"/>
          <w:lang w:val="en-GB"/>
        </w:rPr>
        <w:t>P</w:t>
      </w:r>
      <w:r w:rsidRPr="00C67AD0">
        <w:rPr>
          <w:rFonts w:ascii="Book Antiqua" w:hAnsi="Book Antiqua" w:cs="Times New Roman"/>
          <w:bCs/>
          <w:sz w:val="24"/>
          <w:szCs w:val="24"/>
          <w:lang w:val="en-GB"/>
        </w:rPr>
        <w:t xml:space="preserve">urposes). The Ethical Committee for Animal Experimentation (CEEA, </w:t>
      </w:r>
      <w:r w:rsidR="00467CC2" w:rsidRPr="00C67AD0">
        <w:rPr>
          <w:rFonts w:ascii="Book Antiqua" w:hAnsi="Book Antiqua" w:cs="Times New Roman"/>
          <w:bCs/>
          <w:sz w:val="24"/>
          <w:szCs w:val="24"/>
          <w:lang w:val="en-GB"/>
        </w:rPr>
        <w:t xml:space="preserve">University of Barcelona, 11/04/2018, </w:t>
      </w:r>
      <w:r w:rsidR="00FB4373" w:rsidRPr="00C67AD0">
        <w:rPr>
          <w:rFonts w:ascii="Book Antiqua" w:hAnsi="Book Antiqua" w:cs="Times New Roman"/>
          <w:bCs/>
          <w:sz w:val="24"/>
          <w:szCs w:val="24"/>
          <w:lang w:val="en-GB"/>
        </w:rPr>
        <w:t>ethic approval number: 211/18)</w:t>
      </w:r>
      <w:r w:rsidRPr="00C67AD0">
        <w:rPr>
          <w:rFonts w:ascii="Book Antiqua" w:hAnsi="Book Antiqua" w:cs="Times New Roman"/>
          <w:bCs/>
          <w:sz w:val="24"/>
          <w:szCs w:val="24"/>
          <w:lang w:val="en-GB"/>
        </w:rPr>
        <w:t xml:space="preserve"> </w:t>
      </w:r>
      <w:r w:rsidR="00467CC2" w:rsidRPr="00C67AD0">
        <w:rPr>
          <w:rFonts w:ascii="Book Antiqua" w:hAnsi="Book Antiqua" w:cs="Times New Roman"/>
          <w:bCs/>
          <w:sz w:val="24"/>
          <w:szCs w:val="24"/>
          <w:lang w:val="en-GB"/>
        </w:rPr>
        <w:t xml:space="preserve">authorized </w:t>
      </w:r>
      <w:r w:rsidR="009A5E52" w:rsidRPr="00C67AD0">
        <w:rPr>
          <w:rFonts w:ascii="Book Antiqua" w:hAnsi="Book Antiqua" w:cs="Times New Roman"/>
          <w:bCs/>
          <w:sz w:val="24"/>
          <w:szCs w:val="24"/>
          <w:lang w:val="en-GB"/>
        </w:rPr>
        <w:t xml:space="preserve">all </w:t>
      </w:r>
      <w:r w:rsidRPr="00C67AD0">
        <w:rPr>
          <w:rFonts w:ascii="Book Antiqua" w:hAnsi="Book Antiqua" w:cs="Times New Roman"/>
          <w:bCs/>
          <w:sz w:val="24"/>
          <w:szCs w:val="24"/>
          <w:lang w:val="en-GB"/>
        </w:rPr>
        <w:t xml:space="preserve">animal </w:t>
      </w:r>
      <w:r w:rsidR="006A5242" w:rsidRPr="00C67AD0">
        <w:rPr>
          <w:rFonts w:ascii="Book Antiqua" w:hAnsi="Book Antiqua" w:cs="Times New Roman"/>
          <w:bCs/>
          <w:sz w:val="24"/>
          <w:szCs w:val="24"/>
          <w:lang w:val="en-GB"/>
        </w:rPr>
        <w:t>experimentation</w:t>
      </w:r>
      <w:r w:rsidR="00FB4373" w:rsidRPr="00C67AD0">
        <w:rPr>
          <w:rFonts w:ascii="Book Antiqua" w:hAnsi="Book Antiqua" w:cs="Times New Roman"/>
          <w:bCs/>
          <w:sz w:val="24"/>
          <w:szCs w:val="24"/>
          <w:lang w:val="en-GB"/>
        </w:rPr>
        <w:t>.</w:t>
      </w:r>
      <w:r w:rsidR="00D543E3" w:rsidRPr="00C67AD0">
        <w:rPr>
          <w:rFonts w:ascii="Book Antiqua" w:hAnsi="Book Antiqua" w:cs="Times New Roman"/>
          <w:bCs/>
          <w:sz w:val="24"/>
          <w:szCs w:val="24"/>
          <w:lang w:val="en-GB"/>
        </w:rPr>
        <w:t xml:space="preserve"> </w:t>
      </w:r>
    </w:p>
    <w:p w14:paraId="1FE962D4" w14:textId="410073FA" w:rsidR="008C40E5" w:rsidRPr="00C67AD0" w:rsidRDefault="0027011E" w:rsidP="00BC5EC0">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bCs/>
          <w:sz w:val="24"/>
          <w:szCs w:val="24"/>
          <w:lang w:val="en-GB"/>
        </w:rPr>
        <w:t xml:space="preserve">The protocol was designed to minimize pain </w:t>
      </w:r>
      <w:r w:rsidR="00097FFA" w:rsidRPr="00C67AD0">
        <w:rPr>
          <w:rFonts w:ascii="Book Antiqua" w:hAnsi="Book Antiqua" w:cs="Times New Roman"/>
          <w:bCs/>
          <w:sz w:val="24"/>
          <w:szCs w:val="24"/>
          <w:lang w:val="en-GB"/>
        </w:rPr>
        <w:t xml:space="preserve">and </w:t>
      </w:r>
      <w:r w:rsidRPr="00C67AD0">
        <w:rPr>
          <w:rFonts w:ascii="Book Antiqua" w:hAnsi="Book Antiqua" w:cs="Times New Roman"/>
          <w:bCs/>
          <w:sz w:val="24"/>
          <w:szCs w:val="24"/>
          <w:lang w:val="en-GB"/>
        </w:rPr>
        <w:t xml:space="preserve">discomfort to animals. </w:t>
      </w:r>
      <w:r w:rsidR="009B311F" w:rsidRPr="00C67AD0">
        <w:rPr>
          <w:rFonts w:ascii="Book Antiqua" w:hAnsi="Book Antiqua" w:cs="Times New Roman"/>
          <w:bCs/>
          <w:sz w:val="24"/>
          <w:szCs w:val="24"/>
          <w:lang w:val="en-GB"/>
        </w:rPr>
        <w:t>Adult m</w:t>
      </w:r>
      <w:r w:rsidR="00AB2F29" w:rsidRPr="00C67AD0">
        <w:rPr>
          <w:rFonts w:ascii="Book Antiqua" w:hAnsi="Book Antiqua" w:cs="Times New Roman"/>
          <w:bCs/>
          <w:sz w:val="24"/>
          <w:szCs w:val="24"/>
          <w:lang w:val="en-GB"/>
        </w:rPr>
        <w:t>ale</w:t>
      </w:r>
      <w:r w:rsidR="00174D60" w:rsidRPr="00C67AD0">
        <w:rPr>
          <w:rFonts w:ascii="Book Antiqua" w:hAnsi="Book Antiqua" w:cs="Times New Roman"/>
          <w:bCs/>
          <w:sz w:val="24"/>
          <w:szCs w:val="24"/>
          <w:lang w:val="en-GB"/>
        </w:rPr>
        <w:t xml:space="preserve"> Wistar rats </w:t>
      </w:r>
      <w:r w:rsidR="00D34FEF" w:rsidRPr="00C67AD0">
        <w:rPr>
          <w:rFonts w:ascii="Book Antiqua" w:hAnsi="Book Antiqua" w:cs="Times New Roman"/>
          <w:bCs/>
          <w:sz w:val="24"/>
          <w:szCs w:val="24"/>
          <w:lang w:val="en-GB"/>
        </w:rPr>
        <w:t>(</w:t>
      </w:r>
      <w:r w:rsidR="00D34FEF" w:rsidRPr="00C67AD0">
        <w:rPr>
          <w:rFonts w:ascii="Book Antiqua" w:hAnsi="Book Antiqua" w:cs="Times New Roman"/>
          <w:bCs/>
          <w:i/>
          <w:iCs/>
          <w:sz w:val="24"/>
          <w:szCs w:val="24"/>
          <w:lang w:val="en-GB"/>
        </w:rPr>
        <w:t>n</w:t>
      </w:r>
      <w:r w:rsidR="00BC5EC0" w:rsidRPr="00C67AD0">
        <w:rPr>
          <w:rFonts w:ascii="Book Antiqua" w:hAnsi="Book Antiqua" w:cs="Times New Roman" w:hint="eastAsia"/>
          <w:bCs/>
          <w:i/>
          <w:iCs/>
          <w:sz w:val="24"/>
          <w:szCs w:val="24"/>
          <w:lang w:val="en-GB" w:eastAsia="zh-CN"/>
        </w:rPr>
        <w:t xml:space="preserve"> </w:t>
      </w:r>
      <w:r w:rsidR="00D34FEF" w:rsidRPr="00C67AD0">
        <w:rPr>
          <w:rFonts w:ascii="Book Antiqua" w:hAnsi="Book Antiqua" w:cs="Times New Roman"/>
          <w:bCs/>
          <w:i/>
          <w:iCs/>
          <w:sz w:val="24"/>
          <w:szCs w:val="24"/>
          <w:lang w:val="en-GB"/>
        </w:rPr>
        <w:t>=</w:t>
      </w:r>
      <w:r w:rsidR="00BC5EC0" w:rsidRPr="00C67AD0">
        <w:rPr>
          <w:rFonts w:ascii="Book Antiqua" w:hAnsi="Book Antiqua" w:cs="Times New Roman" w:hint="eastAsia"/>
          <w:bCs/>
          <w:i/>
          <w:iCs/>
          <w:sz w:val="24"/>
          <w:szCs w:val="24"/>
          <w:lang w:val="en-GB" w:eastAsia="zh-CN"/>
        </w:rPr>
        <w:t xml:space="preserve"> </w:t>
      </w:r>
      <w:r w:rsidR="00D34FEF" w:rsidRPr="00C67AD0">
        <w:rPr>
          <w:rFonts w:ascii="Book Antiqua" w:hAnsi="Book Antiqua" w:cs="Times New Roman"/>
          <w:bCs/>
          <w:i/>
          <w:iCs/>
          <w:sz w:val="24"/>
          <w:szCs w:val="24"/>
          <w:lang w:val="en-GB"/>
        </w:rPr>
        <w:t>21</w:t>
      </w:r>
      <w:r w:rsidR="00D34FEF" w:rsidRPr="00C67AD0">
        <w:rPr>
          <w:rFonts w:ascii="Book Antiqua" w:hAnsi="Book Antiqua" w:cs="Times New Roman"/>
          <w:bCs/>
          <w:sz w:val="24"/>
          <w:szCs w:val="24"/>
          <w:lang w:val="en-GB"/>
        </w:rPr>
        <w:t xml:space="preserve">) </w:t>
      </w:r>
      <w:r w:rsidR="00174D60" w:rsidRPr="00C67AD0">
        <w:rPr>
          <w:rFonts w:ascii="Book Antiqua" w:hAnsi="Book Antiqua" w:cs="Times New Roman"/>
          <w:bCs/>
          <w:sz w:val="24"/>
          <w:szCs w:val="24"/>
          <w:lang w:val="en-GB"/>
        </w:rPr>
        <w:t>weighing 200</w:t>
      </w:r>
      <w:r w:rsidR="002B21C7">
        <w:rPr>
          <w:rFonts w:ascii="Book Antiqua" w:hAnsi="Book Antiqua" w:cs="Times New Roman" w:hint="eastAsia"/>
          <w:bCs/>
          <w:sz w:val="24"/>
          <w:szCs w:val="24"/>
          <w:lang w:val="en-GB" w:eastAsia="zh-CN"/>
        </w:rPr>
        <w:t>-</w:t>
      </w:r>
      <w:r w:rsidR="00174D60" w:rsidRPr="00C67AD0">
        <w:rPr>
          <w:rFonts w:ascii="Book Antiqua" w:hAnsi="Book Antiqua" w:cs="Times New Roman"/>
          <w:bCs/>
          <w:sz w:val="24"/>
          <w:szCs w:val="24"/>
          <w:lang w:val="en-GB"/>
        </w:rPr>
        <w:t>250 g were purchased from Charles River (</w:t>
      </w:r>
      <w:r w:rsidR="00DF5003" w:rsidRPr="00C67AD0">
        <w:rPr>
          <w:rFonts w:ascii="Book Antiqua" w:hAnsi="Book Antiqua" w:cs="Times New Roman"/>
          <w:bCs/>
          <w:sz w:val="24"/>
          <w:szCs w:val="24"/>
          <w:lang w:val="en-GB"/>
        </w:rPr>
        <w:t>Boston, M</w:t>
      </w:r>
      <w:r w:rsidR="00165E67" w:rsidRPr="00C67AD0">
        <w:rPr>
          <w:rFonts w:ascii="Book Antiqua" w:hAnsi="Book Antiqua" w:cs="Times New Roman"/>
          <w:bCs/>
          <w:sz w:val="24"/>
          <w:szCs w:val="24"/>
          <w:lang w:val="en-GB"/>
        </w:rPr>
        <w:t>A</w:t>
      </w:r>
      <w:r w:rsidR="00BC5EC0" w:rsidRPr="00C67AD0">
        <w:rPr>
          <w:rFonts w:ascii="Book Antiqua" w:hAnsi="Book Antiqua" w:cs="Times New Roman"/>
          <w:bCs/>
          <w:sz w:val="24"/>
          <w:szCs w:val="24"/>
          <w:lang w:val="en-GB"/>
        </w:rPr>
        <w:t>, U</w:t>
      </w:r>
      <w:r w:rsidR="00BC5EC0" w:rsidRPr="00C67AD0">
        <w:rPr>
          <w:rFonts w:ascii="Book Antiqua" w:hAnsi="Book Antiqua" w:cs="Times New Roman" w:hint="eastAsia"/>
          <w:bCs/>
          <w:sz w:val="24"/>
          <w:szCs w:val="24"/>
          <w:lang w:val="en-GB" w:eastAsia="zh-CN"/>
        </w:rPr>
        <w:t>nited States</w:t>
      </w:r>
      <w:r w:rsidR="00174D60" w:rsidRPr="00C67AD0">
        <w:rPr>
          <w:rFonts w:ascii="Book Antiqua" w:hAnsi="Book Antiqua" w:cs="Times New Roman"/>
          <w:bCs/>
          <w:sz w:val="24"/>
          <w:szCs w:val="24"/>
          <w:lang w:val="en-GB"/>
        </w:rPr>
        <w:t>)</w:t>
      </w:r>
      <w:r w:rsidR="00C62D68" w:rsidRPr="00C67AD0">
        <w:rPr>
          <w:rFonts w:ascii="Book Antiqua" w:hAnsi="Book Antiqua" w:cs="Times New Roman"/>
          <w:bCs/>
          <w:sz w:val="24"/>
          <w:szCs w:val="24"/>
          <w:lang w:val="en-GB"/>
        </w:rPr>
        <w:t xml:space="preserve"> </w:t>
      </w:r>
      <w:r w:rsidR="00097FFA" w:rsidRPr="00C67AD0">
        <w:rPr>
          <w:rFonts w:ascii="Book Antiqua" w:hAnsi="Book Antiqua" w:cs="Times New Roman"/>
          <w:bCs/>
          <w:sz w:val="24"/>
          <w:szCs w:val="24"/>
          <w:lang w:val="en-GB"/>
        </w:rPr>
        <w:t>and</w:t>
      </w:r>
      <w:r w:rsidR="00C62D68" w:rsidRPr="00C67AD0">
        <w:rPr>
          <w:rFonts w:ascii="Book Antiqua" w:hAnsi="Book Antiqua" w:cs="Times New Roman"/>
          <w:bCs/>
          <w:sz w:val="24"/>
          <w:szCs w:val="24"/>
          <w:lang w:val="en-GB"/>
        </w:rPr>
        <w:t xml:space="preserve"> </w:t>
      </w:r>
      <w:r w:rsidR="006A5242" w:rsidRPr="00C67AD0">
        <w:rPr>
          <w:rFonts w:ascii="Book Antiqua" w:hAnsi="Book Antiqua" w:cs="Times New Roman"/>
          <w:bCs/>
          <w:sz w:val="24"/>
          <w:szCs w:val="24"/>
          <w:lang w:val="en-GB"/>
        </w:rPr>
        <w:t xml:space="preserve">accommodated </w:t>
      </w:r>
      <w:r w:rsidR="00174D60" w:rsidRPr="00C67AD0">
        <w:rPr>
          <w:rFonts w:ascii="Book Antiqua" w:hAnsi="Book Antiqua" w:cs="Times New Roman"/>
          <w:bCs/>
          <w:sz w:val="24"/>
          <w:szCs w:val="24"/>
          <w:lang w:val="en-GB"/>
        </w:rPr>
        <w:t xml:space="preserve">in a controlled environment with free access to standard laboratory pelleted formula (A04; </w:t>
      </w:r>
      <w:proofErr w:type="spellStart"/>
      <w:r w:rsidR="00174D60" w:rsidRPr="00C67AD0">
        <w:rPr>
          <w:rFonts w:ascii="Book Antiqua" w:hAnsi="Book Antiqua" w:cs="Times New Roman"/>
          <w:bCs/>
          <w:sz w:val="24"/>
          <w:szCs w:val="24"/>
          <w:lang w:val="en-GB"/>
        </w:rPr>
        <w:t>Panlab</w:t>
      </w:r>
      <w:proofErr w:type="spellEnd"/>
      <w:r w:rsidR="00174D60" w:rsidRPr="00C67AD0">
        <w:rPr>
          <w:rFonts w:ascii="Book Antiqua" w:hAnsi="Book Antiqua" w:cs="Times New Roman"/>
          <w:bCs/>
          <w:sz w:val="24"/>
          <w:szCs w:val="24"/>
          <w:lang w:val="en-GB"/>
        </w:rPr>
        <w:t xml:space="preserve">, Barcelona, Spain) and tap water. </w:t>
      </w:r>
      <w:r w:rsidR="00097FFA" w:rsidRPr="00C67AD0">
        <w:rPr>
          <w:rFonts w:ascii="Book Antiqua" w:hAnsi="Book Antiqua" w:cs="Times New Roman"/>
          <w:bCs/>
          <w:sz w:val="24"/>
          <w:szCs w:val="24"/>
          <w:lang w:val="en-GB"/>
        </w:rPr>
        <w:t>R</w:t>
      </w:r>
      <w:r w:rsidR="008C40E5" w:rsidRPr="00C67AD0">
        <w:rPr>
          <w:rFonts w:ascii="Book Antiqua" w:hAnsi="Book Antiqua" w:cs="Times New Roman"/>
          <w:bCs/>
          <w:sz w:val="24"/>
          <w:szCs w:val="24"/>
          <w:lang w:val="en-GB"/>
        </w:rPr>
        <w:t xml:space="preserve">ats were kept in a climate-controlled environment with </w:t>
      </w:r>
      <w:r w:rsidR="00097FFA" w:rsidRPr="00C67AD0">
        <w:rPr>
          <w:rFonts w:ascii="Book Antiqua" w:hAnsi="Book Antiqua" w:cs="Times New Roman"/>
          <w:bCs/>
          <w:sz w:val="24"/>
          <w:szCs w:val="24"/>
          <w:lang w:val="en-GB"/>
        </w:rPr>
        <w:t xml:space="preserve">a </w:t>
      </w:r>
      <w:r w:rsidR="008C40E5" w:rsidRPr="00C67AD0">
        <w:rPr>
          <w:rFonts w:ascii="Book Antiqua" w:hAnsi="Book Antiqua" w:cs="Times New Roman"/>
          <w:bCs/>
          <w:sz w:val="24"/>
          <w:szCs w:val="24"/>
          <w:lang w:val="en-GB"/>
        </w:rPr>
        <w:t xml:space="preserve">12-h light/12-h dark cycle for </w:t>
      </w:r>
      <w:r w:rsidR="00AB2F29" w:rsidRPr="00C67AD0">
        <w:rPr>
          <w:rFonts w:ascii="Book Antiqua" w:hAnsi="Book Antiqua" w:cs="Times New Roman"/>
          <w:bCs/>
          <w:sz w:val="24"/>
          <w:szCs w:val="24"/>
          <w:lang w:val="en-GB"/>
        </w:rPr>
        <w:t>one</w:t>
      </w:r>
      <w:r w:rsidR="00BC61D6" w:rsidRPr="00C67AD0">
        <w:rPr>
          <w:rFonts w:ascii="Book Antiqua" w:hAnsi="Book Antiqua" w:cs="Times New Roman"/>
          <w:bCs/>
          <w:sz w:val="24"/>
          <w:szCs w:val="24"/>
          <w:lang w:val="en-GB"/>
        </w:rPr>
        <w:t xml:space="preserve"> </w:t>
      </w:r>
      <w:r w:rsidR="00AB2F29" w:rsidRPr="00C67AD0">
        <w:rPr>
          <w:rFonts w:ascii="Book Antiqua" w:hAnsi="Book Antiqua" w:cs="Times New Roman"/>
          <w:bCs/>
          <w:sz w:val="24"/>
          <w:szCs w:val="24"/>
          <w:lang w:val="en-GB"/>
        </w:rPr>
        <w:t>week</w:t>
      </w:r>
      <w:r w:rsidR="00BC61D6" w:rsidRPr="00C67AD0">
        <w:rPr>
          <w:rFonts w:ascii="Book Antiqua" w:hAnsi="Book Antiqua" w:cs="Times New Roman"/>
          <w:bCs/>
          <w:sz w:val="24"/>
          <w:szCs w:val="24"/>
          <w:lang w:val="en-GB"/>
        </w:rPr>
        <w:t xml:space="preserve">. For the </w:t>
      </w:r>
      <w:r w:rsidR="00AB2F29" w:rsidRPr="00C67AD0">
        <w:rPr>
          <w:rFonts w:ascii="Book Antiqua" w:hAnsi="Book Antiqua" w:cs="Times New Roman"/>
          <w:sz w:val="24"/>
          <w:szCs w:val="24"/>
          <w:lang w:val="en-GB"/>
        </w:rPr>
        <w:t xml:space="preserve">12 h </w:t>
      </w:r>
      <w:r w:rsidR="00BC61D6" w:rsidRPr="00C67AD0">
        <w:rPr>
          <w:rFonts w:ascii="Book Antiqua" w:hAnsi="Book Antiqua" w:cs="Times New Roman"/>
          <w:sz w:val="24"/>
          <w:szCs w:val="24"/>
          <w:lang w:val="en-GB"/>
        </w:rPr>
        <w:t xml:space="preserve">prior to the experiment of AP induction, </w:t>
      </w:r>
      <w:r w:rsidR="000C720B" w:rsidRPr="00C67AD0">
        <w:rPr>
          <w:rFonts w:ascii="Book Antiqua" w:hAnsi="Book Antiqua" w:cs="Times New Roman"/>
          <w:sz w:val="24"/>
          <w:szCs w:val="24"/>
          <w:lang w:val="en-GB"/>
        </w:rPr>
        <w:t>rats</w:t>
      </w:r>
      <w:r w:rsidR="00BC61D6" w:rsidRPr="00C67AD0">
        <w:rPr>
          <w:rFonts w:ascii="Book Antiqua" w:hAnsi="Book Antiqua" w:cs="Times New Roman"/>
          <w:sz w:val="24"/>
          <w:szCs w:val="24"/>
          <w:lang w:val="en-GB"/>
        </w:rPr>
        <w:t xml:space="preserve"> </w:t>
      </w:r>
      <w:r w:rsidR="00BC61D6" w:rsidRPr="00C67AD0">
        <w:rPr>
          <w:rFonts w:ascii="Book Antiqua" w:hAnsi="Book Antiqua" w:cs="Times New Roman"/>
          <w:bCs/>
          <w:sz w:val="24"/>
          <w:szCs w:val="24"/>
          <w:lang w:val="en-GB"/>
        </w:rPr>
        <w:t>were</w:t>
      </w:r>
      <w:r w:rsidR="00BC61D6" w:rsidRPr="00C67AD0">
        <w:rPr>
          <w:rFonts w:ascii="Book Antiqua" w:hAnsi="Book Antiqua" w:cs="Times New Roman"/>
          <w:sz w:val="24"/>
          <w:szCs w:val="24"/>
          <w:lang w:val="en-GB"/>
        </w:rPr>
        <w:t xml:space="preserve"> fasted </w:t>
      </w:r>
      <w:r w:rsidR="00AB2F29" w:rsidRPr="00C67AD0">
        <w:rPr>
          <w:rFonts w:ascii="Book Antiqua" w:hAnsi="Book Antiqua" w:cs="Times New Roman"/>
          <w:sz w:val="24"/>
          <w:szCs w:val="24"/>
          <w:lang w:val="en-GB"/>
        </w:rPr>
        <w:t xml:space="preserve">with free access to drinking water. </w:t>
      </w:r>
    </w:p>
    <w:p w14:paraId="61386953" w14:textId="0BDC814D" w:rsidR="0070632E" w:rsidRPr="00C67AD0" w:rsidRDefault="000C720B" w:rsidP="00BC5EC0">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lastRenderedPageBreak/>
        <w:t>R</w:t>
      </w:r>
      <w:r w:rsidR="00AB2F29" w:rsidRPr="00C67AD0">
        <w:rPr>
          <w:rFonts w:ascii="Book Antiqua" w:hAnsi="Book Antiqua" w:cs="Times New Roman"/>
          <w:bCs/>
          <w:sz w:val="24"/>
          <w:szCs w:val="24"/>
          <w:lang w:val="en-GB"/>
        </w:rPr>
        <w:t xml:space="preserve">ats were randomly </w:t>
      </w:r>
      <w:r w:rsidR="00CE04FE" w:rsidRPr="00C67AD0">
        <w:rPr>
          <w:rFonts w:ascii="Book Antiqua" w:hAnsi="Book Antiqua" w:cs="Times New Roman"/>
          <w:bCs/>
          <w:sz w:val="24"/>
          <w:szCs w:val="24"/>
          <w:lang w:val="en-GB"/>
        </w:rPr>
        <w:t>selected and assigned to</w:t>
      </w:r>
      <w:r w:rsidR="00AB2F29" w:rsidRPr="00C67AD0">
        <w:rPr>
          <w:rFonts w:ascii="Book Antiqua" w:hAnsi="Book Antiqua" w:cs="Times New Roman"/>
          <w:bCs/>
          <w:sz w:val="24"/>
          <w:szCs w:val="24"/>
          <w:lang w:val="en-GB"/>
        </w:rPr>
        <w:t xml:space="preserve"> three equal groups</w:t>
      </w:r>
      <w:r w:rsidR="005475D9" w:rsidRPr="00C67AD0">
        <w:rPr>
          <w:rFonts w:ascii="Book Antiqua" w:hAnsi="Book Antiqua" w:cs="Times New Roman"/>
          <w:bCs/>
          <w:sz w:val="24"/>
          <w:szCs w:val="24"/>
          <w:lang w:val="en-GB"/>
        </w:rPr>
        <w:t xml:space="preserve">: </w:t>
      </w:r>
      <w:r w:rsidR="00BC5EC0" w:rsidRPr="00C67AD0">
        <w:rPr>
          <w:rFonts w:ascii="Book Antiqua" w:hAnsi="Book Antiqua" w:cs="Times New Roman" w:hint="eastAsia"/>
          <w:bCs/>
          <w:sz w:val="24"/>
          <w:szCs w:val="24"/>
          <w:lang w:val="en-GB" w:eastAsia="zh-CN"/>
        </w:rPr>
        <w:t>(1</w:t>
      </w:r>
      <w:r w:rsidR="00F7554D" w:rsidRPr="00C67AD0">
        <w:rPr>
          <w:rFonts w:ascii="Book Antiqua" w:hAnsi="Book Antiqua" w:cs="Times New Roman"/>
          <w:bCs/>
          <w:sz w:val="24"/>
          <w:szCs w:val="24"/>
          <w:lang w:val="en-GB"/>
        </w:rPr>
        <w:t xml:space="preserve">) </w:t>
      </w:r>
      <w:r w:rsidR="00A310EA" w:rsidRPr="00C67AD0">
        <w:rPr>
          <w:rFonts w:ascii="Book Antiqua" w:hAnsi="Book Antiqua" w:cs="Times New Roman"/>
          <w:bCs/>
          <w:sz w:val="24"/>
          <w:szCs w:val="24"/>
          <w:lang w:val="en-GB"/>
        </w:rPr>
        <w:t xml:space="preserve">treated with </w:t>
      </w:r>
      <w:r w:rsidR="007947E4" w:rsidRPr="00C67AD0">
        <w:rPr>
          <w:rFonts w:ascii="Book Antiqua" w:hAnsi="Book Antiqua" w:cs="Times New Roman"/>
          <w:bCs/>
          <w:sz w:val="24"/>
          <w:szCs w:val="24"/>
          <w:lang w:val="en-GB"/>
        </w:rPr>
        <w:t>saline</w:t>
      </w:r>
      <w:r w:rsidR="00A310EA" w:rsidRPr="00C67AD0">
        <w:rPr>
          <w:rFonts w:ascii="Book Antiqua" w:hAnsi="Book Antiqua" w:cs="Times New Roman"/>
          <w:bCs/>
          <w:sz w:val="24"/>
          <w:szCs w:val="24"/>
          <w:lang w:val="en-GB"/>
        </w:rPr>
        <w:t>,</w:t>
      </w:r>
      <w:r w:rsidR="007947E4" w:rsidRPr="00C67AD0">
        <w:rPr>
          <w:rFonts w:ascii="Book Antiqua" w:hAnsi="Book Antiqua" w:cs="Times New Roman"/>
          <w:bCs/>
          <w:sz w:val="24"/>
          <w:szCs w:val="24"/>
          <w:lang w:val="en-GB"/>
        </w:rPr>
        <w:t xml:space="preserve"> </w:t>
      </w:r>
      <w:r w:rsidR="00F7554D" w:rsidRPr="00C67AD0">
        <w:rPr>
          <w:rFonts w:ascii="Book Antiqua" w:hAnsi="Book Antiqua" w:cs="Times New Roman"/>
          <w:bCs/>
          <w:sz w:val="24"/>
          <w:szCs w:val="24"/>
          <w:lang w:val="en-GB"/>
        </w:rPr>
        <w:t xml:space="preserve">as </w:t>
      </w:r>
      <w:r w:rsidR="007947E4" w:rsidRPr="00C67AD0">
        <w:rPr>
          <w:rFonts w:ascii="Book Antiqua" w:hAnsi="Book Antiqua" w:cs="Times New Roman"/>
          <w:bCs/>
          <w:sz w:val="24"/>
          <w:szCs w:val="24"/>
          <w:lang w:val="en-GB"/>
        </w:rPr>
        <w:t>control</w:t>
      </w:r>
      <w:r w:rsidR="00F7554D" w:rsidRPr="00C67AD0">
        <w:rPr>
          <w:rFonts w:ascii="Book Antiqua" w:hAnsi="Book Antiqua" w:cs="Times New Roman"/>
          <w:bCs/>
          <w:sz w:val="24"/>
          <w:szCs w:val="24"/>
          <w:lang w:val="en-GB"/>
        </w:rPr>
        <w:t>s</w:t>
      </w:r>
      <w:r w:rsidR="007947E4" w:rsidRPr="00C67AD0">
        <w:rPr>
          <w:rFonts w:ascii="Book Antiqua" w:hAnsi="Book Antiqua" w:cs="Times New Roman"/>
          <w:bCs/>
          <w:sz w:val="24"/>
          <w:szCs w:val="24"/>
          <w:lang w:val="en-GB"/>
        </w:rPr>
        <w:t xml:space="preserve"> (</w:t>
      </w:r>
      <w:r w:rsidR="005475D9" w:rsidRPr="00C67AD0">
        <w:rPr>
          <w:rFonts w:ascii="Book Antiqua" w:hAnsi="Book Antiqua" w:cs="Times New Roman"/>
          <w:bCs/>
          <w:i/>
          <w:iCs/>
          <w:sz w:val="24"/>
          <w:szCs w:val="24"/>
          <w:lang w:val="en-GB"/>
        </w:rPr>
        <w:t>n</w:t>
      </w:r>
      <w:r w:rsidR="00783226">
        <w:rPr>
          <w:rFonts w:ascii="Book Antiqua" w:hAnsi="Book Antiqua" w:cs="Times New Roman"/>
          <w:bCs/>
          <w:i/>
          <w:iCs/>
          <w:sz w:val="24"/>
          <w:szCs w:val="24"/>
          <w:lang w:val="en-GB"/>
        </w:rPr>
        <w:t xml:space="preserve"> </w:t>
      </w:r>
      <w:r w:rsidR="005475D9" w:rsidRPr="00C67AD0">
        <w:rPr>
          <w:rFonts w:ascii="Book Antiqua" w:hAnsi="Book Antiqua" w:cs="Times New Roman"/>
          <w:bCs/>
          <w:sz w:val="24"/>
          <w:szCs w:val="24"/>
          <w:lang w:val="en-GB"/>
        </w:rPr>
        <w:t>=</w:t>
      </w:r>
      <w:r w:rsidR="00783226">
        <w:rPr>
          <w:rFonts w:ascii="Book Antiqua" w:hAnsi="Book Antiqua" w:cs="Times New Roman"/>
          <w:bCs/>
          <w:sz w:val="24"/>
          <w:szCs w:val="24"/>
          <w:lang w:val="en-GB"/>
        </w:rPr>
        <w:t xml:space="preserve"> </w:t>
      </w:r>
      <w:r w:rsidR="005475D9" w:rsidRPr="00C67AD0">
        <w:rPr>
          <w:rFonts w:ascii="Book Antiqua" w:hAnsi="Book Antiqua" w:cs="Times New Roman"/>
          <w:bCs/>
          <w:sz w:val="24"/>
          <w:szCs w:val="24"/>
          <w:lang w:val="en-GB"/>
        </w:rPr>
        <w:t>7</w:t>
      </w:r>
      <w:r w:rsidR="007947E4" w:rsidRPr="00C67AD0">
        <w:rPr>
          <w:rFonts w:ascii="Book Antiqua" w:hAnsi="Book Antiqua" w:cs="Times New Roman"/>
          <w:bCs/>
          <w:sz w:val="24"/>
          <w:szCs w:val="24"/>
          <w:lang w:val="en-GB"/>
        </w:rPr>
        <w:t>)</w:t>
      </w:r>
      <w:r w:rsidR="00BC5EC0" w:rsidRPr="00C67AD0">
        <w:rPr>
          <w:rFonts w:ascii="Book Antiqua" w:hAnsi="Book Antiqua" w:cs="Times New Roman" w:hint="eastAsia"/>
          <w:bCs/>
          <w:sz w:val="24"/>
          <w:szCs w:val="24"/>
          <w:lang w:val="en-GB" w:eastAsia="zh-CN"/>
        </w:rPr>
        <w:t>; (2</w:t>
      </w:r>
      <w:r w:rsidR="00F7554D" w:rsidRPr="00C67AD0">
        <w:rPr>
          <w:rFonts w:ascii="Book Antiqua" w:hAnsi="Book Antiqua" w:cs="Times New Roman"/>
          <w:bCs/>
          <w:sz w:val="24"/>
          <w:szCs w:val="24"/>
          <w:lang w:val="en-GB"/>
        </w:rPr>
        <w:t xml:space="preserve">) </w:t>
      </w:r>
      <w:r w:rsidR="00A310EA" w:rsidRPr="00C67AD0">
        <w:rPr>
          <w:rFonts w:ascii="Book Antiqua" w:hAnsi="Book Antiqua" w:cs="Times New Roman"/>
          <w:bCs/>
          <w:sz w:val="24"/>
          <w:szCs w:val="24"/>
          <w:lang w:val="en-GB"/>
        </w:rPr>
        <w:t xml:space="preserve">treated with </w:t>
      </w:r>
      <w:bookmarkStart w:id="11" w:name="_Hlk30597332"/>
      <w:proofErr w:type="spellStart"/>
      <w:r w:rsidR="007947E4" w:rsidRPr="00C67AD0">
        <w:rPr>
          <w:rFonts w:ascii="Book Antiqua" w:hAnsi="Book Antiqua" w:cs="Times New Roman"/>
          <w:bCs/>
          <w:sz w:val="24"/>
          <w:szCs w:val="24"/>
          <w:lang w:val="en-GB"/>
        </w:rPr>
        <w:t>cerulein</w:t>
      </w:r>
      <w:bookmarkEnd w:id="11"/>
      <w:proofErr w:type="spellEnd"/>
      <w:r w:rsidR="00A310EA" w:rsidRPr="00C67AD0">
        <w:rPr>
          <w:rFonts w:ascii="Book Antiqua" w:hAnsi="Book Antiqua" w:cs="Times New Roman"/>
          <w:bCs/>
          <w:sz w:val="24"/>
          <w:szCs w:val="24"/>
          <w:lang w:val="en-GB"/>
        </w:rPr>
        <w:t>,</w:t>
      </w:r>
      <w:r w:rsidR="00F7554D" w:rsidRPr="00C67AD0">
        <w:rPr>
          <w:rFonts w:ascii="Book Antiqua" w:hAnsi="Book Antiqua" w:cs="Times New Roman"/>
          <w:bCs/>
          <w:sz w:val="24"/>
          <w:szCs w:val="24"/>
          <w:lang w:val="en-GB"/>
        </w:rPr>
        <w:t xml:space="preserve"> to induce </w:t>
      </w:r>
      <w:r w:rsidR="007A5D8E" w:rsidRPr="00C67AD0">
        <w:rPr>
          <w:rFonts w:ascii="Book Antiqua" w:hAnsi="Book Antiqua" w:cs="Times New Roman"/>
          <w:bCs/>
          <w:sz w:val="24"/>
          <w:szCs w:val="24"/>
          <w:lang w:val="en-GB"/>
        </w:rPr>
        <w:t xml:space="preserve">AP </w:t>
      </w:r>
      <w:r w:rsidR="007947E4" w:rsidRPr="00C67AD0">
        <w:rPr>
          <w:rFonts w:ascii="Book Antiqua" w:hAnsi="Book Antiqua" w:cs="Times New Roman"/>
          <w:bCs/>
          <w:sz w:val="24"/>
          <w:szCs w:val="24"/>
          <w:lang w:val="en-GB"/>
        </w:rPr>
        <w:t>(</w:t>
      </w:r>
      <w:proofErr w:type="spellStart"/>
      <w:r w:rsidR="007A5D8E" w:rsidRPr="00C67AD0">
        <w:rPr>
          <w:rFonts w:ascii="Book Antiqua" w:hAnsi="Book Antiqua" w:cs="Times New Roman"/>
          <w:bCs/>
          <w:sz w:val="24"/>
          <w:szCs w:val="24"/>
          <w:lang w:val="en-GB"/>
        </w:rPr>
        <w:t>CerAP</w:t>
      </w:r>
      <w:proofErr w:type="spellEnd"/>
      <w:r w:rsidR="005475D9" w:rsidRPr="00C67AD0">
        <w:rPr>
          <w:rFonts w:ascii="Book Antiqua" w:hAnsi="Book Antiqua" w:cs="Times New Roman"/>
          <w:bCs/>
          <w:sz w:val="24"/>
          <w:szCs w:val="24"/>
          <w:lang w:val="en-GB"/>
        </w:rPr>
        <w:t xml:space="preserve">, </w:t>
      </w:r>
      <w:r w:rsidR="005475D9" w:rsidRPr="00C67AD0">
        <w:rPr>
          <w:rFonts w:ascii="Book Antiqua" w:hAnsi="Book Antiqua" w:cs="Times New Roman"/>
          <w:bCs/>
          <w:i/>
          <w:iCs/>
          <w:sz w:val="24"/>
          <w:szCs w:val="24"/>
          <w:lang w:val="en-GB"/>
        </w:rPr>
        <w:t>n</w:t>
      </w:r>
      <w:r w:rsidRPr="00C67AD0">
        <w:rPr>
          <w:rFonts w:ascii="Book Antiqua" w:hAnsi="Book Antiqua" w:cs="Times New Roman"/>
          <w:bCs/>
          <w:i/>
          <w:iCs/>
          <w:sz w:val="24"/>
          <w:szCs w:val="24"/>
          <w:lang w:val="en-GB"/>
        </w:rPr>
        <w:t> </w:t>
      </w:r>
      <w:r w:rsidR="005475D9" w:rsidRPr="00C67AD0">
        <w:rPr>
          <w:rFonts w:ascii="Book Antiqua" w:hAnsi="Book Antiqua" w:cs="Times New Roman"/>
          <w:bCs/>
          <w:sz w:val="24"/>
          <w:szCs w:val="24"/>
          <w:lang w:val="en-GB"/>
        </w:rPr>
        <w:t>=</w:t>
      </w:r>
      <w:r w:rsidRPr="00C67AD0">
        <w:rPr>
          <w:rFonts w:ascii="Book Antiqua" w:hAnsi="Book Antiqua" w:cs="Times New Roman"/>
          <w:bCs/>
          <w:sz w:val="24"/>
          <w:szCs w:val="24"/>
          <w:lang w:val="en-GB"/>
        </w:rPr>
        <w:t> </w:t>
      </w:r>
      <w:r w:rsidR="005475D9" w:rsidRPr="00C67AD0">
        <w:rPr>
          <w:rFonts w:ascii="Book Antiqua" w:hAnsi="Book Antiqua" w:cs="Times New Roman"/>
          <w:bCs/>
          <w:sz w:val="24"/>
          <w:szCs w:val="24"/>
          <w:lang w:val="en-GB"/>
        </w:rPr>
        <w:t>7</w:t>
      </w:r>
      <w:r w:rsidR="007947E4" w:rsidRPr="00C67AD0">
        <w:rPr>
          <w:rFonts w:ascii="Book Antiqua" w:hAnsi="Book Antiqua" w:cs="Times New Roman"/>
          <w:bCs/>
          <w:sz w:val="24"/>
          <w:szCs w:val="24"/>
          <w:lang w:val="en-GB"/>
        </w:rPr>
        <w:t xml:space="preserve">) </w:t>
      </w:r>
      <w:r w:rsidR="005475D9" w:rsidRPr="00C67AD0">
        <w:rPr>
          <w:rFonts w:ascii="Book Antiqua" w:hAnsi="Book Antiqua" w:cs="Times New Roman"/>
          <w:bCs/>
          <w:sz w:val="24"/>
          <w:szCs w:val="24"/>
          <w:lang w:val="en-GB"/>
        </w:rPr>
        <w:t xml:space="preserve">and </w:t>
      </w:r>
      <w:r w:rsidR="00BC5EC0" w:rsidRPr="00C67AD0">
        <w:rPr>
          <w:rFonts w:ascii="Book Antiqua" w:hAnsi="Book Antiqua" w:cs="Times New Roman" w:hint="eastAsia"/>
          <w:bCs/>
          <w:sz w:val="24"/>
          <w:szCs w:val="24"/>
          <w:lang w:val="en-GB" w:eastAsia="zh-CN"/>
        </w:rPr>
        <w:t>(3</w:t>
      </w:r>
      <w:r w:rsidR="00996182" w:rsidRPr="00C67AD0">
        <w:rPr>
          <w:rFonts w:ascii="Book Antiqua" w:hAnsi="Book Antiqua" w:cs="Times New Roman"/>
          <w:bCs/>
          <w:sz w:val="24"/>
          <w:szCs w:val="24"/>
          <w:lang w:val="en-GB"/>
        </w:rPr>
        <w:t xml:space="preserve">) treated with </w:t>
      </w:r>
      <w:proofErr w:type="spellStart"/>
      <w:r w:rsidR="00996182" w:rsidRPr="00C67AD0">
        <w:rPr>
          <w:rFonts w:ascii="Book Antiqua" w:hAnsi="Book Antiqua" w:cs="Times New Roman"/>
          <w:bCs/>
          <w:sz w:val="24"/>
          <w:szCs w:val="24"/>
          <w:lang w:val="en-GB"/>
        </w:rPr>
        <w:t>cerulein</w:t>
      </w:r>
      <w:proofErr w:type="spellEnd"/>
      <w:r w:rsidR="00996182" w:rsidRPr="00C67AD0">
        <w:rPr>
          <w:rFonts w:ascii="Book Antiqua" w:hAnsi="Book Antiqua" w:cs="Times New Roman"/>
          <w:bCs/>
          <w:sz w:val="24"/>
          <w:szCs w:val="24"/>
          <w:lang w:val="en-GB"/>
        </w:rPr>
        <w:t xml:space="preserve"> after a </w:t>
      </w:r>
      <w:r w:rsidR="007947E4" w:rsidRPr="00C67AD0">
        <w:rPr>
          <w:rFonts w:ascii="Book Antiqua" w:hAnsi="Book Antiqua" w:cs="Times New Roman"/>
          <w:bCs/>
          <w:sz w:val="24"/>
          <w:szCs w:val="24"/>
          <w:lang w:val="en-GB"/>
        </w:rPr>
        <w:t xml:space="preserve">PEG35 </w:t>
      </w:r>
      <w:proofErr w:type="spellStart"/>
      <w:r w:rsidR="00996182" w:rsidRPr="00C67AD0">
        <w:rPr>
          <w:rFonts w:ascii="Book Antiqua" w:hAnsi="Book Antiqua" w:cs="Times New Roman"/>
          <w:bCs/>
          <w:sz w:val="24"/>
          <w:szCs w:val="24"/>
          <w:lang w:val="en-GB"/>
        </w:rPr>
        <w:t>pretreatment</w:t>
      </w:r>
      <w:proofErr w:type="spellEnd"/>
      <w:r w:rsidR="00996182" w:rsidRPr="00C67AD0">
        <w:rPr>
          <w:rFonts w:ascii="Book Antiqua" w:hAnsi="Book Antiqua" w:cs="Times New Roman"/>
          <w:bCs/>
          <w:sz w:val="24"/>
          <w:szCs w:val="24"/>
          <w:lang w:val="en-GB"/>
        </w:rPr>
        <w:t xml:space="preserve"> </w:t>
      </w:r>
      <w:r w:rsidR="005475D9" w:rsidRPr="00C67AD0">
        <w:rPr>
          <w:rFonts w:ascii="Book Antiqua" w:hAnsi="Book Antiqua" w:cs="Times New Roman"/>
          <w:bCs/>
          <w:sz w:val="24"/>
          <w:szCs w:val="24"/>
          <w:lang w:val="en-GB"/>
        </w:rPr>
        <w:t>(PEG35</w:t>
      </w:r>
      <w:r w:rsidR="00BC5EC0" w:rsidRPr="00C67AD0">
        <w:rPr>
          <w:rFonts w:ascii="Book Antiqua" w:hAnsi="Book Antiqua" w:cs="Times New Roman" w:hint="eastAsia"/>
          <w:bCs/>
          <w:sz w:val="24"/>
          <w:szCs w:val="24"/>
          <w:lang w:val="en-GB" w:eastAsia="zh-CN"/>
        </w:rPr>
        <w:t xml:space="preserve"> </w:t>
      </w:r>
      <w:r w:rsidR="005475D9" w:rsidRPr="00C67AD0">
        <w:rPr>
          <w:rFonts w:ascii="Book Antiqua" w:hAnsi="Book Antiqua" w:cs="Times New Roman"/>
          <w:bCs/>
          <w:sz w:val="24"/>
          <w:szCs w:val="24"/>
          <w:lang w:val="en-GB"/>
        </w:rPr>
        <w:t>+</w:t>
      </w:r>
      <w:r w:rsidR="00BC5EC0" w:rsidRPr="00C67AD0">
        <w:rPr>
          <w:rFonts w:ascii="Book Antiqua" w:hAnsi="Book Antiqua" w:cs="Times New Roman" w:hint="eastAsia"/>
          <w:bCs/>
          <w:sz w:val="24"/>
          <w:szCs w:val="24"/>
          <w:lang w:val="en-GB" w:eastAsia="zh-CN"/>
        </w:rPr>
        <w:t xml:space="preserve"> </w:t>
      </w:r>
      <w:proofErr w:type="spellStart"/>
      <w:r w:rsidR="007A5D8E" w:rsidRPr="00C67AD0">
        <w:rPr>
          <w:rFonts w:ascii="Book Antiqua" w:hAnsi="Book Antiqua" w:cs="Times New Roman"/>
          <w:bCs/>
          <w:sz w:val="24"/>
          <w:szCs w:val="24"/>
          <w:lang w:val="en-GB"/>
        </w:rPr>
        <w:t>CerAP</w:t>
      </w:r>
      <w:proofErr w:type="spellEnd"/>
      <w:r w:rsidR="005475D9" w:rsidRPr="00C67AD0">
        <w:rPr>
          <w:rFonts w:ascii="Book Antiqua" w:hAnsi="Book Antiqua" w:cs="Times New Roman"/>
          <w:bCs/>
          <w:sz w:val="24"/>
          <w:szCs w:val="24"/>
          <w:lang w:val="en-GB"/>
        </w:rPr>
        <w:t xml:space="preserve">, </w:t>
      </w:r>
      <w:r w:rsidR="005475D9" w:rsidRPr="00C67AD0">
        <w:rPr>
          <w:rFonts w:ascii="Book Antiqua" w:hAnsi="Book Antiqua" w:cs="Times New Roman"/>
          <w:bCs/>
          <w:i/>
          <w:iCs/>
          <w:sz w:val="24"/>
          <w:szCs w:val="24"/>
          <w:lang w:val="en-GB"/>
        </w:rPr>
        <w:t>n</w:t>
      </w:r>
      <w:r w:rsidR="00C63DB8" w:rsidRPr="00C67AD0">
        <w:rPr>
          <w:rFonts w:ascii="Book Antiqua" w:hAnsi="Book Antiqua" w:cs="Times New Roman"/>
          <w:bCs/>
          <w:i/>
          <w:iCs/>
          <w:sz w:val="24"/>
          <w:szCs w:val="24"/>
          <w:lang w:val="en-GB"/>
        </w:rPr>
        <w:t> </w:t>
      </w:r>
      <w:r w:rsidR="005475D9" w:rsidRPr="00C67AD0">
        <w:rPr>
          <w:rFonts w:ascii="Book Antiqua" w:hAnsi="Book Antiqua" w:cs="Times New Roman"/>
          <w:bCs/>
          <w:sz w:val="24"/>
          <w:szCs w:val="24"/>
          <w:lang w:val="en-GB"/>
        </w:rPr>
        <w:t>=</w:t>
      </w:r>
      <w:r w:rsidR="00BA7D8C" w:rsidRPr="00C67AD0">
        <w:rPr>
          <w:rFonts w:ascii="Book Antiqua" w:hAnsi="Book Antiqua" w:cs="Times New Roman"/>
          <w:bCs/>
          <w:sz w:val="24"/>
          <w:szCs w:val="24"/>
          <w:lang w:val="en-GB"/>
        </w:rPr>
        <w:t> </w:t>
      </w:r>
      <w:r w:rsidR="005475D9" w:rsidRPr="00C67AD0">
        <w:rPr>
          <w:rFonts w:ascii="Book Antiqua" w:hAnsi="Book Antiqua" w:cs="Times New Roman"/>
          <w:bCs/>
          <w:sz w:val="24"/>
          <w:szCs w:val="24"/>
          <w:lang w:val="en-GB"/>
        </w:rPr>
        <w:t>7)</w:t>
      </w:r>
      <w:r w:rsidR="007947E4" w:rsidRPr="00C67AD0">
        <w:rPr>
          <w:rFonts w:ascii="Book Antiqua" w:hAnsi="Book Antiqua" w:cs="Times New Roman"/>
          <w:bCs/>
          <w:sz w:val="24"/>
          <w:szCs w:val="24"/>
          <w:lang w:val="en-GB"/>
        </w:rPr>
        <w:t>.</w:t>
      </w:r>
      <w:r w:rsidR="008C40E5" w:rsidRPr="00C67AD0">
        <w:rPr>
          <w:rFonts w:ascii="Book Antiqua" w:hAnsi="Book Antiqua" w:cs="Times New Roman"/>
          <w:sz w:val="24"/>
          <w:szCs w:val="24"/>
          <w:lang w:val="en-GB"/>
        </w:rPr>
        <w:t xml:space="preserve"> </w:t>
      </w:r>
      <w:r w:rsidR="006A5242" w:rsidRPr="00C67AD0">
        <w:rPr>
          <w:rFonts w:ascii="Book Antiqua" w:hAnsi="Book Antiqua" w:cs="Times New Roman"/>
          <w:sz w:val="24"/>
          <w:szCs w:val="24"/>
          <w:lang w:val="en-GB"/>
        </w:rPr>
        <w:t>I</w:t>
      </w:r>
      <w:r w:rsidR="001F761F" w:rsidRPr="00C67AD0">
        <w:rPr>
          <w:rFonts w:ascii="Book Antiqua" w:hAnsi="Book Antiqua" w:cs="Times New Roman"/>
          <w:sz w:val="24"/>
          <w:szCs w:val="24"/>
          <w:lang w:val="en-GB"/>
        </w:rPr>
        <w:t>mmediately before</w:t>
      </w:r>
      <w:r w:rsidR="000A3136" w:rsidRPr="00C67AD0">
        <w:rPr>
          <w:rFonts w:ascii="Book Antiqua" w:hAnsi="Book Antiqua" w:cs="Times New Roman"/>
          <w:sz w:val="24"/>
          <w:szCs w:val="24"/>
          <w:lang w:val="en-GB"/>
        </w:rPr>
        <w:t xml:space="preserve"> the</w:t>
      </w:r>
      <w:r w:rsidR="001F761F" w:rsidRPr="00C67AD0">
        <w:rPr>
          <w:rFonts w:ascii="Book Antiqua" w:hAnsi="Book Antiqua" w:cs="Times New Roman"/>
          <w:sz w:val="24"/>
          <w:szCs w:val="24"/>
          <w:lang w:val="en-GB"/>
        </w:rPr>
        <w:t xml:space="preserve"> first injection</w:t>
      </w:r>
      <w:r w:rsidR="000A3136" w:rsidRPr="00C67AD0">
        <w:rPr>
          <w:rFonts w:ascii="Book Antiqua" w:hAnsi="Book Antiqua" w:cs="Times New Roman"/>
          <w:sz w:val="24"/>
          <w:szCs w:val="24"/>
          <w:lang w:val="en-GB"/>
        </w:rPr>
        <w:t xml:space="preserve"> of PEG35 or saline</w:t>
      </w:r>
      <w:r w:rsidR="006A5242" w:rsidRPr="00C67AD0">
        <w:rPr>
          <w:rFonts w:ascii="Book Antiqua" w:hAnsi="Book Antiqua" w:cs="Times New Roman"/>
          <w:sz w:val="24"/>
          <w:szCs w:val="24"/>
          <w:lang w:val="en-GB"/>
        </w:rPr>
        <w:t>, 0.05 mg/kg of buprenorphine was administered as an analgesic</w:t>
      </w:r>
      <w:r w:rsidR="001F761F" w:rsidRPr="00C67AD0">
        <w:rPr>
          <w:rFonts w:ascii="Book Antiqua" w:hAnsi="Book Antiqua" w:cs="Times New Roman"/>
          <w:sz w:val="24"/>
          <w:szCs w:val="24"/>
          <w:lang w:val="en-GB"/>
        </w:rPr>
        <w:t xml:space="preserve">. </w:t>
      </w:r>
      <w:proofErr w:type="spellStart"/>
      <w:r w:rsidR="00230D8B" w:rsidRPr="00C67AD0">
        <w:rPr>
          <w:rFonts w:ascii="Book Antiqua" w:hAnsi="Book Antiqua" w:cs="Times New Roman"/>
          <w:sz w:val="24"/>
          <w:szCs w:val="24"/>
          <w:lang w:val="en-GB"/>
        </w:rPr>
        <w:t>Cerulein</w:t>
      </w:r>
      <w:proofErr w:type="spellEnd"/>
      <w:r w:rsidR="00230D8B" w:rsidRPr="00C67AD0">
        <w:rPr>
          <w:rFonts w:ascii="Book Antiqua" w:hAnsi="Book Antiqua" w:cs="Times New Roman"/>
          <w:sz w:val="24"/>
          <w:szCs w:val="24"/>
          <w:lang w:val="en-GB"/>
        </w:rPr>
        <w:t xml:space="preserve"> (</w:t>
      </w:r>
      <w:bookmarkStart w:id="12" w:name="OLE_LINK1"/>
      <w:r w:rsidR="00230D8B" w:rsidRPr="00C67AD0">
        <w:rPr>
          <w:rFonts w:ascii="Book Antiqua" w:hAnsi="Book Antiqua" w:cs="Times New Roman"/>
          <w:sz w:val="24"/>
          <w:szCs w:val="24"/>
          <w:lang w:val="en-GB"/>
        </w:rPr>
        <w:t>Sigma-Aldrich, St. Louis, MO</w:t>
      </w:r>
      <w:bookmarkEnd w:id="12"/>
      <w:r w:rsidR="00230D8B" w:rsidRPr="00C67AD0">
        <w:rPr>
          <w:rFonts w:ascii="Book Antiqua" w:hAnsi="Book Antiqua" w:cs="Times New Roman"/>
          <w:sz w:val="24"/>
          <w:szCs w:val="24"/>
          <w:lang w:val="en-GB"/>
        </w:rPr>
        <w:t xml:space="preserve">) was dissolved with phosphate-buffered saline </w:t>
      </w:r>
      <w:r w:rsidR="00DB0B94" w:rsidRPr="00C67AD0">
        <w:rPr>
          <w:rFonts w:ascii="Book Antiqua" w:hAnsi="Book Antiqua" w:cs="Times New Roman"/>
          <w:sz w:val="24"/>
          <w:szCs w:val="24"/>
          <w:lang w:val="en-GB"/>
        </w:rPr>
        <w:t xml:space="preserve">(PBS) </w:t>
      </w:r>
      <w:r w:rsidR="004B7F9C" w:rsidRPr="00C67AD0">
        <w:rPr>
          <w:rFonts w:ascii="Book Antiqua" w:hAnsi="Book Antiqua" w:cs="Times New Roman"/>
          <w:sz w:val="24"/>
          <w:szCs w:val="24"/>
          <w:lang w:val="en-GB"/>
        </w:rPr>
        <w:t xml:space="preserve">and administered intraperitoneally at a </w:t>
      </w:r>
      <w:r w:rsidR="00920DC6" w:rsidRPr="00C67AD0">
        <w:rPr>
          <w:rFonts w:ascii="Book Antiqua" w:hAnsi="Book Antiqua" w:cs="Times New Roman"/>
          <w:sz w:val="24"/>
          <w:szCs w:val="24"/>
          <w:lang w:val="en-GB"/>
        </w:rPr>
        <w:t>supramaximal</w:t>
      </w:r>
      <w:r w:rsidR="004B7F9C" w:rsidRPr="00C67AD0">
        <w:rPr>
          <w:rFonts w:ascii="Book Antiqua" w:hAnsi="Book Antiqua" w:cs="Times New Roman"/>
          <w:sz w:val="24"/>
          <w:szCs w:val="24"/>
          <w:lang w:val="en-GB"/>
        </w:rPr>
        <w:t xml:space="preserve"> stimulating concentration </w:t>
      </w:r>
      <w:r w:rsidR="00230D8B" w:rsidRPr="00C67AD0">
        <w:rPr>
          <w:rFonts w:ascii="Book Antiqua" w:hAnsi="Book Antiqua" w:cs="Times New Roman"/>
          <w:sz w:val="24"/>
          <w:szCs w:val="24"/>
          <w:lang w:val="en-GB"/>
        </w:rPr>
        <w:t xml:space="preserve">of </w:t>
      </w:r>
      <w:r w:rsidR="00B66FE7" w:rsidRPr="00C67AD0">
        <w:rPr>
          <w:rFonts w:ascii="Book Antiqua" w:hAnsi="Book Antiqua" w:cs="Times New Roman"/>
          <w:sz w:val="24"/>
          <w:szCs w:val="24"/>
          <w:lang w:val="en-GB"/>
        </w:rPr>
        <w:t>50</w:t>
      </w:r>
      <w:r w:rsidR="00265CFD" w:rsidRPr="00C67AD0">
        <w:rPr>
          <w:rFonts w:ascii="Book Antiqua" w:hAnsi="Book Antiqua" w:cs="Times New Roman"/>
          <w:sz w:val="24"/>
          <w:szCs w:val="24"/>
          <w:lang w:val="en-GB"/>
        </w:rPr>
        <w:t xml:space="preserve"> </w:t>
      </w:r>
      <w:proofErr w:type="spellStart"/>
      <w:r w:rsidR="00B66FE7" w:rsidRPr="00C67AD0">
        <w:rPr>
          <w:rFonts w:ascii="Book Antiqua" w:hAnsi="Book Antiqua" w:cs="Times New Roman"/>
          <w:sz w:val="24"/>
          <w:szCs w:val="24"/>
          <w:lang w:val="en-GB"/>
        </w:rPr>
        <w:t>μg</w:t>
      </w:r>
      <w:proofErr w:type="spellEnd"/>
      <w:r w:rsidR="00B66FE7" w:rsidRPr="00C67AD0">
        <w:rPr>
          <w:rFonts w:ascii="Book Antiqua" w:hAnsi="Book Antiqua" w:cs="Times New Roman"/>
          <w:sz w:val="24"/>
          <w:szCs w:val="24"/>
          <w:lang w:val="en-GB"/>
        </w:rPr>
        <w:t>/kg/</w:t>
      </w:r>
      <w:r w:rsidR="00BA7D8C" w:rsidRPr="00C67AD0">
        <w:rPr>
          <w:rFonts w:ascii="Book Antiqua" w:hAnsi="Book Antiqua" w:cs="Times New Roman"/>
          <w:sz w:val="24"/>
          <w:szCs w:val="24"/>
          <w:lang w:val="en-GB"/>
        </w:rPr>
        <w:t>body weight (</w:t>
      </w:r>
      <w:proofErr w:type="spellStart"/>
      <w:r w:rsidR="00B66FE7" w:rsidRPr="00C67AD0">
        <w:rPr>
          <w:rFonts w:ascii="Book Antiqua" w:hAnsi="Book Antiqua" w:cs="Times New Roman"/>
          <w:sz w:val="24"/>
          <w:szCs w:val="24"/>
          <w:lang w:val="en-GB"/>
        </w:rPr>
        <w:t>bw</w:t>
      </w:r>
      <w:proofErr w:type="spellEnd"/>
      <w:r w:rsidR="00BA7D8C" w:rsidRPr="00C67AD0">
        <w:rPr>
          <w:rFonts w:ascii="Book Antiqua" w:hAnsi="Book Antiqua" w:cs="Times New Roman"/>
          <w:sz w:val="24"/>
          <w:szCs w:val="24"/>
          <w:lang w:val="en-GB"/>
        </w:rPr>
        <w:t>)</w:t>
      </w:r>
      <w:r w:rsidR="00B66FE7" w:rsidRPr="00C67AD0">
        <w:rPr>
          <w:rFonts w:ascii="Book Antiqua" w:hAnsi="Book Antiqua" w:cs="Times New Roman"/>
          <w:sz w:val="24"/>
          <w:szCs w:val="24"/>
          <w:lang w:val="en-GB"/>
        </w:rPr>
        <w:t xml:space="preserve"> </w:t>
      </w:r>
      <w:r w:rsidR="004B7F9C" w:rsidRPr="00C67AD0">
        <w:rPr>
          <w:rFonts w:ascii="Book Antiqua" w:hAnsi="Book Antiqua" w:cs="Times New Roman"/>
          <w:sz w:val="24"/>
          <w:szCs w:val="24"/>
          <w:lang w:val="en-GB"/>
        </w:rPr>
        <w:t>a</w:t>
      </w:r>
      <w:r w:rsidR="00230D8B" w:rsidRPr="00C67AD0">
        <w:rPr>
          <w:rFonts w:ascii="Book Antiqua" w:hAnsi="Book Antiqua" w:cs="Times New Roman"/>
          <w:sz w:val="24"/>
          <w:szCs w:val="24"/>
          <w:lang w:val="en-GB"/>
        </w:rPr>
        <w:t>t 1-</w:t>
      </w:r>
      <w:r w:rsidR="00BA7D8C" w:rsidRPr="00C67AD0">
        <w:rPr>
          <w:rFonts w:ascii="Book Antiqua" w:hAnsi="Book Antiqua" w:cs="Times New Roman"/>
          <w:sz w:val="24"/>
          <w:szCs w:val="24"/>
          <w:lang w:val="en-GB"/>
        </w:rPr>
        <w:t xml:space="preserve">h </w:t>
      </w:r>
      <w:r w:rsidR="00230D8B" w:rsidRPr="00C67AD0">
        <w:rPr>
          <w:rFonts w:ascii="Book Antiqua" w:hAnsi="Book Antiqua" w:cs="Times New Roman"/>
          <w:sz w:val="24"/>
          <w:szCs w:val="24"/>
          <w:lang w:val="en-GB"/>
        </w:rPr>
        <w:t>intervals (total of 5 injections</w:t>
      </w:r>
      <w:r w:rsidR="00B66FE7" w:rsidRPr="00C67AD0">
        <w:rPr>
          <w:rFonts w:ascii="Book Antiqua" w:hAnsi="Book Antiqua" w:cs="Times New Roman"/>
          <w:sz w:val="24"/>
          <w:szCs w:val="24"/>
          <w:lang w:val="en-GB"/>
        </w:rPr>
        <w:t>)</w:t>
      </w:r>
      <w:r w:rsidR="00BA7D8C" w:rsidRPr="00C67AD0">
        <w:rPr>
          <w:rFonts w:ascii="Book Antiqua" w:hAnsi="Book Antiqua" w:cs="Times New Roman"/>
          <w:sz w:val="24"/>
          <w:szCs w:val="24"/>
          <w:lang w:val="en-GB"/>
        </w:rPr>
        <w:t>;</w:t>
      </w:r>
      <w:r w:rsidR="007D35E9" w:rsidRPr="00C67AD0">
        <w:rPr>
          <w:rFonts w:ascii="Book Antiqua" w:hAnsi="Book Antiqua" w:cs="Times New Roman"/>
          <w:sz w:val="24"/>
          <w:szCs w:val="24"/>
          <w:lang w:val="en-GB"/>
        </w:rPr>
        <w:t xml:space="preserve"> c</w:t>
      </w:r>
      <w:r w:rsidR="00C21C06" w:rsidRPr="00C67AD0">
        <w:rPr>
          <w:rFonts w:ascii="Book Antiqua" w:hAnsi="Book Antiqua" w:cs="Times New Roman"/>
          <w:sz w:val="24"/>
          <w:szCs w:val="24"/>
          <w:lang w:val="en-GB"/>
        </w:rPr>
        <w:t xml:space="preserve">ontrol animals received </w:t>
      </w:r>
      <w:r w:rsidR="00CD40ED" w:rsidRPr="00C67AD0">
        <w:rPr>
          <w:rFonts w:ascii="Book Antiqua" w:hAnsi="Book Antiqua" w:cs="Times New Roman"/>
          <w:sz w:val="24"/>
          <w:szCs w:val="24"/>
          <w:lang w:val="en-GB"/>
        </w:rPr>
        <w:t xml:space="preserve">intraperitoneal </w:t>
      </w:r>
      <w:r w:rsidR="00C21C06" w:rsidRPr="00C67AD0">
        <w:rPr>
          <w:rFonts w:ascii="Book Antiqua" w:hAnsi="Book Antiqua" w:cs="Times New Roman"/>
          <w:sz w:val="24"/>
          <w:szCs w:val="24"/>
          <w:lang w:val="en-GB"/>
        </w:rPr>
        <w:t>saline solution</w:t>
      </w:r>
      <w:r w:rsidR="00BA7D8C" w:rsidRPr="00C67AD0">
        <w:rPr>
          <w:rFonts w:ascii="Book Antiqua" w:hAnsi="Book Antiqua" w:cs="Times New Roman"/>
          <w:sz w:val="24"/>
          <w:szCs w:val="24"/>
          <w:lang w:val="en-GB"/>
        </w:rPr>
        <w:t xml:space="preserve"> </w:t>
      </w:r>
      <w:r w:rsidR="00D3053D" w:rsidRPr="00C67AD0">
        <w:rPr>
          <w:rFonts w:ascii="Book Antiqua" w:hAnsi="Book Antiqua" w:cs="Times New Roman"/>
          <w:sz w:val="24"/>
          <w:szCs w:val="24"/>
          <w:lang w:val="en-GB"/>
        </w:rPr>
        <w:t>with</w:t>
      </w:r>
      <w:r w:rsidR="00BA7D8C" w:rsidRPr="00C67AD0">
        <w:rPr>
          <w:rFonts w:ascii="Book Antiqua" w:hAnsi="Book Antiqua" w:cs="Times New Roman"/>
          <w:sz w:val="24"/>
          <w:szCs w:val="24"/>
          <w:lang w:val="en-GB"/>
        </w:rPr>
        <w:t xml:space="preserve"> the same regime</w:t>
      </w:r>
      <w:r w:rsidR="00C21C06" w:rsidRPr="00C67AD0">
        <w:rPr>
          <w:rFonts w:ascii="Book Antiqua" w:hAnsi="Book Antiqua" w:cs="Times New Roman"/>
          <w:sz w:val="24"/>
          <w:szCs w:val="24"/>
          <w:lang w:val="en-GB"/>
        </w:rPr>
        <w:t>.</w:t>
      </w:r>
      <w:r w:rsidR="007947E4" w:rsidRPr="00C67AD0">
        <w:rPr>
          <w:rFonts w:ascii="Book Antiqua" w:hAnsi="Book Antiqua" w:cs="Times New Roman"/>
          <w:sz w:val="24"/>
          <w:szCs w:val="24"/>
          <w:lang w:val="en-GB"/>
        </w:rPr>
        <w:t xml:space="preserve"> </w:t>
      </w:r>
      <w:r w:rsidR="0070632E" w:rsidRPr="00C67AD0">
        <w:rPr>
          <w:rFonts w:ascii="Book Antiqua" w:hAnsi="Book Antiqua" w:cs="Times New Roman"/>
          <w:sz w:val="24"/>
          <w:szCs w:val="24"/>
          <w:lang w:val="en-GB"/>
        </w:rPr>
        <w:t>Th</w:t>
      </w:r>
      <w:r w:rsidR="00102409" w:rsidRPr="00C67AD0">
        <w:rPr>
          <w:rFonts w:ascii="Book Antiqua" w:hAnsi="Book Antiqua" w:cs="Times New Roman"/>
          <w:sz w:val="24"/>
          <w:szCs w:val="24"/>
          <w:lang w:val="en-GB"/>
        </w:rPr>
        <w:t>e use of this supramaximal dos</w:t>
      </w:r>
      <w:r w:rsidR="00BA7D8C" w:rsidRPr="00C67AD0">
        <w:rPr>
          <w:rFonts w:ascii="Book Antiqua" w:hAnsi="Book Antiqua" w:cs="Times New Roman"/>
          <w:sz w:val="24"/>
          <w:szCs w:val="24"/>
          <w:lang w:val="en-GB"/>
        </w:rPr>
        <w:t>age</w:t>
      </w:r>
      <w:r w:rsidR="00102409" w:rsidRPr="00C67AD0">
        <w:rPr>
          <w:rFonts w:ascii="Book Antiqua" w:hAnsi="Book Antiqua" w:cs="Times New Roman"/>
          <w:sz w:val="24"/>
          <w:szCs w:val="24"/>
          <w:lang w:val="en-GB"/>
        </w:rPr>
        <w:t xml:space="preserve"> of </w:t>
      </w:r>
      <w:proofErr w:type="spellStart"/>
      <w:r w:rsidR="00102409" w:rsidRPr="00C67AD0">
        <w:rPr>
          <w:rFonts w:ascii="Book Antiqua" w:hAnsi="Book Antiqua" w:cs="Times New Roman"/>
          <w:sz w:val="24"/>
          <w:szCs w:val="24"/>
          <w:lang w:val="en-GB"/>
        </w:rPr>
        <w:t>cerulein</w:t>
      </w:r>
      <w:proofErr w:type="spellEnd"/>
      <w:r w:rsidR="00102409" w:rsidRPr="00C67AD0">
        <w:rPr>
          <w:rFonts w:ascii="Book Antiqua" w:hAnsi="Book Antiqua" w:cs="Times New Roman"/>
          <w:sz w:val="24"/>
          <w:szCs w:val="24"/>
          <w:lang w:val="en-GB"/>
        </w:rPr>
        <w:t xml:space="preserve"> induce a transient form of interstitial </w:t>
      </w:r>
      <w:proofErr w:type="spellStart"/>
      <w:r w:rsidR="00102409" w:rsidRPr="00C67AD0">
        <w:rPr>
          <w:rFonts w:ascii="Book Antiqua" w:hAnsi="Book Antiqua" w:cs="Times New Roman"/>
          <w:sz w:val="24"/>
          <w:szCs w:val="24"/>
          <w:lang w:val="en-GB"/>
        </w:rPr>
        <w:t>edematous</w:t>
      </w:r>
      <w:proofErr w:type="spellEnd"/>
      <w:r w:rsidR="00102409" w:rsidRPr="00C67AD0">
        <w:rPr>
          <w:rFonts w:ascii="Book Antiqua" w:hAnsi="Book Antiqua" w:cs="Times New Roman"/>
          <w:sz w:val="24"/>
          <w:szCs w:val="24"/>
          <w:lang w:val="en-GB"/>
        </w:rPr>
        <w:t xml:space="preserve"> </w:t>
      </w:r>
      <w:r w:rsidR="00B12ED2" w:rsidRPr="00C67AD0">
        <w:rPr>
          <w:rFonts w:ascii="Book Antiqua" w:hAnsi="Book Antiqua" w:cs="Times New Roman"/>
          <w:sz w:val="24"/>
          <w:szCs w:val="24"/>
          <w:lang w:val="en-GB"/>
        </w:rPr>
        <w:t>AP</w:t>
      </w:r>
      <w:r w:rsidR="00102409" w:rsidRPr="00C67AD0">
        <w:rPr>
          <w:rFonts w:ascii="Book Antiqua" w:hAnsi="Book Antiqua" w:cs="Times New Roman"/>
          <w:sz w:val="24"/>
          <w:szCs w:val="24"/>
          <w:lang w:val="en-GB"/>
        </w:rPr>
        <w:t xml:space="preserve"> characterized by marked </w:t>
      </w:r>
      <w:proofErr w:type="spellStart"/>
      <w:r w:rsidR="00102409" w:rsidRPr="00C67AD0">
        <w:rPr>
          <w:rFonts w:ascii="Book Antiqua" w:hAnsi="Book Antiqua" w:cs="Times New Roman"/>
          <w:sz w:val="24"/>
          <w:szCs w:val="24"/>
          <w:lang w:val="en-GB"/>
        </w:rPr>
        <w:t>hyperamylasemia</w:t>
      </w:r>
      <w:proofErr w:type="spellEnd"/>
      <w:r w:rsidR="00102409" w:rsidRPr="00C67AD0">
        <w:rPr>
          <w:rFonts w:ascii="Book Antiqua" w:hAnsi="Book Antiqua" w:cs="Times New Roman"/>
          <w:sz w:val="24"/>
          <w:szCs w:val="24"/>
          <w:lang w:val="en-GB"/>
        </w:rPr>
        <w:t xml:space="preserve">, pancreatic </w:t>
      </w:r>
      <w:proofErr w:type="spellStart"/>
      <w:r w:rsidR="00102409" w:rsidRPr="00C67AD0">
        <w:rPr>
          <w:rFonts w:ascii="Book Antiqua" w:hAnsi="Book Antiqua" w:cs="Times New Roman"/>
          <w:sz w:val="24"/>
          <w:szCs w:val="24"/>
          <w:lang w:val="en-GB"/>
        </w:rPr>
        <w:t>edema</w:t>
      </w:r>
      <w:proofErr w:type="spellEnd"/>
      <w:r w:rsidR="00102409" w:rsidRPr="00C67AD0">
        <w:rPr>
          <w:rFonts w:ascii="Book Antiqua" w:hAnsi="Book Antiqua" w:cs="Times New Roman"/>
          <w:sz w:val="24"/>
          <w:szCs w:val="24"/>
          <w:lang w:val="en-GB"/>
        </w:rPr>
        <w:t xml:space="preserve"> </w:t>
      </w:r>
      <w:r w:rsidR="00265CFD" w:rsidRPr="00C67AD0">
        <w:rPr>
          <w:rFonts w:ascii="Book Antiqua" w:hAnsi="Book Antiqua" w:cs="Times New Roman"/>
          <w:sz w:val="24"/>
          <w:szCs w:val="24"/>
          <w:lang w:val="en-GB"/>
        </w:rPr>
        <w:t>and neutrophil</w:t>
      </w:r>
      <w:r w:rsidR="00102409" w:rsidRPr="00C67AD0">
        <w:rPr>
          <w:rFonts w:ascii="Book Antiqua" w:hAnsi="Book Antiqua" w:cs="Times New Roman"/>
          <w:sz w:val="24"/>
          <w:szCs w:val="24"/>
          <w:lang w:val="en-GB"/>
        </w:rPr>
        <w:t xml:space="preserve"> </w:t>
      </w:r>
      <w:r w:rsidR="00B7259E" w:rsidRPr="00C67AD0">
        <w:rPr>
          <w:rFonts w:ascii="Book Antiqua" w:hAnsi="Book Antiqua" w:cs="Times New Roman"/>
          <w:sz w:val="24"/>
          <w:szCs w:val="24"/>
          <w:lang w:val="en-GB"/>
        </w:rPr>
        <w:t>infiltr</w:t>
      </w:r>
      <w:r w:rsidR="00102409" w:rsidRPr="00C67AD0">
        <w:rPr>
          <w:rFonts w:ascii="Book Antiqua" w:hAnsi="Book Antiqua" w:cs="Times New Roman"/>
          <w:sz w:val="24"/>
          <w:szCs w:val="24"/>
          <w:lang w:val="en-GB"/>
        </w:rPr>
        <w:t>ation within the pancreas</w:t>
      </w:r>
      <w:r w:rsidR="00BA7D8C" w:rsidRPr="00C67AD0">
        <w:rPr>
          <w:rFonts w:ascii="Book Antiqua" w:hAnsi="Book Antiqua" w:cs="Times New Roman"/>
          <w:sz w:val="24"/>
          <w:szCs w:val="24"/>
          <w:lang w:val="en-GB"/>
        </w:rPr>
        <w:t>,</w:t>
      </w:r>
      <w:r w:rsidR="00B7259E" w:rsidRPr="00C67AD0">
        <w:rPr>
          <w:rFonts w:ascii="Book Antiqua" w:hAnsi="Book Antiqua" w:cs="Times New Roman"/>
          <w:sz w:val="24"/>
          <w:szCs w:val="24"/>
          <w:lang w:val="en-GB"/>
        </w:rPr>
        <w:t xml:space="preserve"> </w:t>
      </w:r>
      <w:r w:rsidR="00BA7D8C" w:rsidRPr="00C67AD0">
        <w:rPr>
          <w:rFonts w:ascii="Book Antiqua" w:hAnsi="Book Antiqua" w:cs="Times New Roman"/>
          <w:sz w:val="24"/>
          <w:szCs w:val="24"/>
          <w:lang w:val="en-GB"/>
        </w:rPr>
        <w:t xml:space="preserve">as well as </w:t>
      </w:r>
      <w:r w:rsidR="00102409" w:rsidRPr="00C67AD0">
        <w:rPr>
          <w:rFonts w:ascii="Book Antiqua" w:hAnsi="Book Antiqua" w:cs="Times New Roman"/>
          <w:sz w:val="24"/>
          <w:szCs w:val="24"/>
          <w:lang w:val="en-GB"/>
        </w:rPr>
        <w:t xml:space="preserve">pancreatic acinar cell </w:t>
      </w:r>
      <w:r w:rsidR="00EF0EFE" w:rsidRPr="00C67AD0">
        <w:rPr>
          <w:rFonts w:ascii="Book Antiqua" w:hAnsi="Book Antiqua" w:cs="Times New Roman"/>
          <w:sz w:val="24"/>
          <w:szCs w:val="24"/>
          <w:lang w:val="en-GB"/>
        </w:rPr>
        <w:t xml:space="preserve">vacuolization and </w:t>
      </w:r>
      <w:r w:rsidR="00102409" w:rsidRPr="00C67AD0">
        <w:rPr>
          <w:rFonts w:ascii="Book Antiqua" w:hAnsi="Book Antiqua" w:cs="Times New Roman"/>
          <w:sz w:val="24"/>
          <w:szCs w:val="24"/>
          <w:lang w:val="en-GB"/>
        </w:rPr>
        <w:t>necrosis</w:t>
      </w:r>
      <w:r w:rsidR="00265CFD" w:rsidRPr="00C67AD0">
        <w:rPr>
          <w:rFonts w:ascii="Book Antiqua" w:hAnsi="Book Antiqua" w:cs="Times New Roman"/>
          <w:sz w:val="24"/>
          <w:szCs w:val="24"/>
          <w:lang w:val="en-GB"/>
        </w:rPr>
        <w:fldChar w:fldCharType="begin" w:fldLock="1"/>
      </w:r>
      <w:r w:rsidR="00074350" w:rsidRPr="00C67AD0">
        <w:rPr>
          <w:rFonts w:ascii="Book Antiqua" w:hAnsi="Book Antiqua" w:cs="Times New Roman"/>
          <w:sz w:val="24"/>
          <w:szCs w:val="24"/>
          <w:lang w:val="en-GB"/>
        </w:rPr>
        <w:instrText>ADDIN CSL_CITATION {"citationItems":[{"id":"ITEM-1","itemData":{"DOI":"10.5946/ce.2014.47.3.212","ISSN":"22342443","PMID":"24944983","abstract":"Acute pancreatitis is an inflammatory disease characterized by interstitial edema, inflammatory cell infiltration, and acinar cell necrosis, depending on its severity. Regardless of the extent of tissue injury, acute pancreatitis is a completely reversible process with evident normal tissue architecture after recovery. Its pathogenic mechanism has been known to be closely related to intracellular digestive enzyme activation. In contrast to acute pancreatitis, chronic pancreatitis is characterized by irreversible tissue damage such as acinar cell atrophy and pancreatic fibrosis that results in exocrine and endocrine insufficiency. Recently, many studies of chronic pancreatitis have been prompted by the discovery of the pancreatic stellate cell, which has been identified and distinguished as the key effector cell of pancreatic fibrosis. However, investigations into the pathogenesis and treatment of pancreatitis face many obstacles because of its anatomical location and disparate clinical course. Due to these difficulties, most of our knowledge on pancreatitis is based on research conducted using experimental models of pancreatitis. In this review, several experimental models of pancreatitis will be discussed in terms of technique, advantages, and limitations. © 2014 Korean Society of Gastrointestinal Endoscopy.","author":[{"dropping-particle":"","family":"Hyun","given":"Jong Jin","non-dropping-particle":"","parse-names":false,"suffix":""},{"dropping-particle":"","family":"Lee","given":"Hong Sik","non-dropping-particle":"","parse-names":false,"suffix":""}],"container-title":"Clinical Endoscopy","id":"ITEM-1","issue":"3","issued":{"date-parts":[["2014"]]},"page":"212-216","publisher":"Korean Society of Gastrointestinal Endoscopy","title":"Experimental models of pancreatitis","type":"article-journal","volume":"47"},"uris":["http://www.mendeley.com/documents/?uuid=a5a5d0ec-7eee-3e0e-824c-c5c9c1d0ab0b"]}],"mendeley":{"formattedCitation":"&lt;sup&gt;[15]&lt;/sup&gt;","plainTextFormattedCitation":"[15]","previouslyFormattedCitation":"&lt;sup&gt;[15]&lt;/sup&gt;"},"properties":{"noteIndex":0},"schema":"https://github.com/citation-style-language/schema/raw/master/csl-citation.json"}</w:instrText>
      </w:r>
      <w:r w:rsidR="00265CFD" w:rsidRPr="00C67AD0">
        <w:rPr>
          <w:rFonts w:ascii="Book Antiqua" w:hAnsi="Book Antiqua" w:cs="Times New Roman"/>
          <w:sz w:val="24"/>
          <w:szCs w:val="24"/>
          <w:lang w:val="en-GB"/>
        </w:rPr>
        <w:fldChar w:fldCharType="separate"/>
      </w:r>
      <w:r w:rsidR="00FB4F41" w:rsidRPr="00C67AD0">
        <w:rPr>
          <w:rFonts w:ascii="Book Antiqua" w:hAnsi="Book Antiqua" w:cs="Times New Roman"/>
          <w:noProof/>
          <w:sz w:val="24"/>
          <w:szCs w:val="24"/>
          <w:vertAlign w:val="superscript"/>
          <w:lang w:val="en-GB"/>
        </w:rPr>
        <w:t>[15]</w:t>
      </w:r>
      <w:r w:rsidR="00265CFD" w:rsidRPr="00C67AD0">
        <w:rPr>
          <w:rFonts w:ascii="Book Antiqua" w:hAnsi="Book Antiqua" w:cs="Times New Roman"/>
          <w:sz w:val="24"/>
          <w:szCs w:val="24"/>
          <w:lang w:val="en-GB"/>
        </w:rPr>
        <w:fldChar w:fldCharType="end"/>
      </w:r>
      <w:r w:rsidR="00B12ED2" w:rsidRPr="00C67AD0">
        <w:rPr>
          <w:rFonts w:ascii="Book Antiqua" w:hAnsi="Book Antiqua" w:cs="Times New Roman"/>
          <w:sz w:val="24"/>
          <w:szCs w:val="24"/>
          <w:lang w:val="en-GB"/>
        </w:rPr>
        <w:t>.</w:t>
      </w:r>
      <w:r w:rsidR="00102409" w:rsidRPr="00C67AD0">
        <w:rPr>
          <w:rFonts w:ascii="Book Antiqua" w:hAnsi="Book Antiqua"/>
          <w:sz w:val="24"/>
          <w:szCs w:val="24"/>
          <w:lang w:val="en-GB"/>
        </w:rPr>
        <w:t xml:space="preserve"> </w:t>
      </w:r>
    </w:p>
    <w:p w14:paraId="319CFFF6" w14:textId="5EBE4F1A" w:rsidR="00275E8E" w:rsidRPr="00C67AD0" w:rsidRDefault="00B66FE7" w:rsidP="00BC5EC0">
      <w:pPr>
        <w:tabs>
          <w:tab w:val="left" w:pos="284"/>
        </w:tabs>
        <w:spacing w:line="360" w:lineRule="auto"/>
        <w:ind w:firstLineChars="100" w:firstLine="240"/>
        <w:contextualSpacing/>
        <w:jc w:val="both"/>
        <w:rPr>
          <w:rFonts w:ascii="Book Antiqua" w:hAnsi="Book Antiqua" w:cs="Times New Roman"/>
          <w:sz w:val="24"/>
          <w:szCs w:val="24"/>
          <w:lang w:val="en-GB"/>
        </w:rPr>
      </w:pPr>
      <w:bookmarkStart w:id="13" w:name="_Hlk50634453"/>
      <w:r w:rsidRPr="00C67AD0">
        <w:rPr>
          <w:rFonts w:ascii="Book Antiqua" w:hAnsi="Book Antiqua" w:cs="Times New Roman"/>
          <w:sz w:val="24"/>
          <w:szCs w:val="24"/>
          <w:lang w:val="en-GB"/>
        </w:rPr>
        <w:t xml:space="preserve">PEG35 was administered intraperitoneally </w:t>
      </w:r>
      <w:r w:rsidR="00DF0642" w:rsidRPr="00C67AD0">
        <w:rPr>
          <w:rFonts w:ascii="Book Antiqua" w:hAnsi="Book Antiqua" w:cs="Times New Roman"/>
          <w:sz w:val="24"/>
          <w:szCs w:val="24"/>
          <w:lang w:val="en-GB"/>
        </w:rPr>
        <w:t xml:space="preserve">at </w:t>
      </w:r>
      <w:r w:rsidRPr="00C67AD0">
        <w:rPr>
          <w:rFonts w:ascii="Book Antiqua" w:hAnsi="Book Antiqua" w:cs="Times New Roman"/>
          <w:sz w:val="24"/>
          <w:szCs w:val="24"/>
          <w:lang w:val="en-GB"/>
        </w:rPr>
        <w:t>a dose of 10</w:t>
      </w:r>
      <w:r w:rsidR="00DF0642"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mg/kg, 10 min </w:t>
      </w:r>
      <w:r w:rsidR="00115670" w:rsidRPr="00C67AD0">
        <w:rPr>
          <w:rFonts w:ascii="Book Antiqua" w:hAnsi="Book Antiqua" w:cs="Times New Roman"/>
          <w:sz w:val="24"/>
          <w:szCs w:val="24"/>
          <w:lang w:val="en-GB"/>
        </w:rPr>
        <w:t xml:space="preserve">prior to </w:t>
      </w:r>
      <w:r w:rsidR="00433BFE" w:rsidRPr="00C67AD0">
        <w:rPr>
          <w:rFonts w:ascii="Book Antiqua" w:hAnsi="Book Antiqua" w:cs="Times New Roman"/>
          <w:sz w:val="24"/>
          <w:szCs w:val="24"/>
          <w:lang w:val="en-GB"/>
        </w:rPr>
        <w:t xml:space="preserve">each </w:t>
      </w:r>
      <w:proofErr w:type="spellStart"/>
      <w:r w:rsidRPr="00C67AD0">
        <w:rPr>
          <w:rFonts w:ascii="Book Antiqua" w:hAnsi="Book Antiqua" w:cs="Times New Roman"/>
          <w:sz w:val="24"/>
          <w:szCs w:val="24"/>
          <w:lang w:val="en-GB"/>
        </w:rPr>
        <w:t>cerulein</w:t>
      </w:r>
      <w:proofErr w:type="spellEnd"/>
      <w:r w:rsidRPr="00C67AD0">
        <w:rPr>
          <w:rFonts w:ascii="Book Antiqua" w:hAnsi="Book Antiqua" w:cs="Times New Roman"/>
          <w:sz w:val="24"/>
          <w:szCs w:val="24"/>
          <w:lang w:val="en-GB"/>
        </w:rPr>
        <w:t xml:space="preserve"> injection</w:t>
      </w:r>
      <w:bookmarkEnd w:id="13"/>
      <w:r w:rsidRPr="00C67AD0">
        <w:rPr>
          <w:rFonts w:ascii="Book Antiqua" w:hAnsi="Book Antiqua" w:cs="Times New Roman"/>
          <w:sz w:val="24"/>
          <w:szCs w:val="24"/>
          <w:lang w:val="en-GB"/>
        </w:rPr>
        <w:t xml:space="preserve">. </w:t>
      </w:r>
      <w:r w:rsidR="00AB2F29" w:rsidRPr="00C67AD0">
        <w:rPr>
          <w:rFonts w:ascii="Book Antiqua" w:hAnsi="Book Antiqua" w:cs="Times New Roman"/>
          <w:sz w:val="24"/>
          <w:szCs w:val="24"/>
          <w:lang w:val="en-GB"/>
        </w:rPr>
        <w:t>Immediately a</w:t>
      </w:r>
      <w:r w:rsidR="00CD40ED" w:rsidRPr="00C67AD0">
        <w:rPr>
          <w:rFonts w:ascii="Book Antiqua" w:hAnsi="Book Antiqua" w:cs="Times New Roman"/>
          <w:sz w:val="24"/>
          <w:szCs w:val="24"/>
          <w:lang w:val="en-GB"/>
        </w:rPr>
        <w:t xml:space="preserve">fter the last injection of </w:t>
      </w:r>
      <w:proofErr w:type="spellStart"/>
      <w:r w:rsidR="00CD40ED" w:rsidRPr="00C67AD0">
        <w:rPr>
          <w:rFonts w:ascii="Book Antiqua" w:hAnsi="Book Antiqua" w:cs="Times New Roman"/>
          <w:sz w:val="24"/>
          <w:szCs w:val="24"/>
          <w:lang w:val="en-GB"/>
        </w:rPr>
        <w:t>cerulein</w:t>
      </w:r>
      <w:proofErr w:type="spellEnd"/>
      <w:r w:rsidR="00CD40ED" w:rsidRPr="00C67AD0">
        <w:rPr>
          <w:rFonts w:ascii="Book Antiqua" w:hAnsi="Book Antiqua" w:cs="Times New Roman"/>
          <w:sz w:val="24"/>
          <w:szCs w:val="24"/>
          <w:lang w:val="en-GB"/>
        </w:rPr>
        <w:t xml:space="preserve"> or saline, </w:t>
      </w:r>
      <w:r w:rsidR="00174D60" w:rsidRPr="00C67AD0">
        <w:rPr>
          <w:rFonts w:ascii="Book Antiqua" w:hAnsi="Book Antiqua" w:cs="Times New Roman"/>
          <w:sz w:val="24"/>
          <w:szCs w:val="24"/>
          <w:lang w:val="en-GB"/>
        </w:rPr>
        <w:t>animals were euthanized</w:t>
      </w:r>
      <w:r w:rsidR="0027011E" w:rsidRPr="00C67AD0">
        <w:rPr>
          <w:rFonts w:ascii="Book Antiqua" w:hAnsi="Book Antiqua" w:cs="Times New Roman"/>
          <w:sz w:val="24"/>
          <w:szCs w:val="24"/>
          <w:lang w:val="en-GB"/>
        </w:rPr>
        <w:t xml:space="preserve"> by </w:t>
      </w:r>
      <w:r w:rsidR="00CB04FC" w:rsidRPr="00C67AD0">
        <w:rPr>
          <w:rFonts w:ascii="Book Antiqua" w:hAnsi="Book Antiqua" w:cs="Times New Roman"/>
          <w:sz w:val="24"/>
          <w:szCs w:val="24"/>
          <w:lang w:val="en-GB"/>
        </w:rPr>
        <w:t xml:space="preserve">intraperitoneal </w:t>
      </w:r>
      <w:r w:rsidR="0027011E" w:rsidRPr="00C67AD0">
        <w:rPr>
          <w:rFonts w:ascii="Book Antiqua" w:hAnsi="Book Antiqua" w:cs="Times New Roman"/>
          <w:sz w:val="24"/>
          <w:szCs w:val="24"/>
          <w:lang w:val="en-GB"/>
        </w:rPr>
        <w:t xml:space="preserve">injection of </w:t>
      </w:r>
      <w:r w:rsidR="00CB04FC" w:rsidRPr="00C67AD0">
        <w:rPr>
          <w:rFonts w:ascii="Book Antiqua" w:hAnsi="Book Antiqua" w:cs="Times New Roman"/>
          <w:sz w:val="24"/>
          <w:szCs w:val="24"/>
          <w:lang w:val="en-GB"/>
        </w:rPr>
        <w:t xml:space="preserve">40-60 mg/kg </w:t>
      </w:r>
      <w:r w:rsidR="00DB0B94" w:rsidRPr="00C67AD0">
        <w:rPr>
          <w:rFonts w:ascii="Book Antiqua" w:hAnsi="Book Antiqua" w:cs="Times New Roman"/>
          <w:sz w:val="24"/>
          <w:szCs w:val="24"/>
          <w:lang w:val="en-GB"/>
        </w:rPr>
        <w:t xml:space="preserve">of </w:t>
      </w:r>
      <w:r w:rsidR="0027011E" w:rsidRPr="00C67AD0">
        <w:rPr>
          <w:rFonts w:ascii="Book Antiqua" w:hAnsi="Book Antiqua" w:cs="Times New Roman"/>
          <w:sz w:val="24"/>
          <w:szCs w:val="24"/>
          <w:lang w:val="en-GB"/>
        </w:rPr>
        <w:t>sodium pentobarbital</w:t>
      </w:r>
      <w:r w:rsidR="00534C38" w:rsidRPr="00C67AD0">
        <w:rPr>
          <w:rFonts w:ascii="Book Antiqua" w:hAnsi="Book Antiqua" w:cs="Times New Roman"/>
          <w:sz w:val="24"/>
          <w:szCs w:val="24"/>
          <w:lang w:val="en-GB"/>
        </w:rPr>
        <w:t>,</w:t>
      </w:r>
      <w:r w:rsidR="00174D60" w:rsidRPr="00C67AD0">
        <w:rPr>
          <w:rFonts w:ascii="Book Antiqua" w:hAnsi="Book Antiqua" w:cs="Times New Roman"/>
          <w:sz w:val="24"/>
          <w:szCs w:val="24"/>
          <w:lang w:val="en-GB"/>
        </w:rPr>
        <w:t xml:space="preserve"> and blood was collected </w:t>
      </w:r>
      <w:r w:rsidR="00FF4A08" w:rsidRPr="00C67AD0">
        <w:rPr>
          <w:rFonts w:ascii="Book Antiqua" w:hAnsi="Book Antiqua" w:cs="Times New Roman"/>
          <w:sz w:val="24"/>
          <w:szCs w:val="24"/>
          <w:lang w:val="en-GB"/>
        </w:rPr>
        <w:t xml:space="preserve">from the vena cava </w:t>
      </w:r>
      <w:r w:rsidR="00174D60" w:rsidRPr="00C67AD0">
        <w:rPr>
          <w:rFonts w:ascii="Book Antiqua" w:hAnsi="Book Antiqua" w:cs="Times New Roman"/>
          <w:sz w:val="24"/>
          <w:szCs w:val="24"/>
          <w:lang w:val="en-GB"/>
        </w:rPr>
        <w:t>in heparinized syringes. Harvested blood was centrifuged</w:t>
      </w:r>
      <w:r w:rsidR="00534C38" w:rsidRPr="00C67AD0">
        <w:rPr>
          <w:rFonts w:ascii="Book Antiqua" w:hAnsi="Book Antiqua" w:cs="Times New Roman"/>
          <w:sz w:val="24"/>
          <w:szCs w:val="24"/>
          <w:lang w:val="en-GB"/>
        </w:rPr>
        <w:t xml:space="preserve"> and</w:t>
      </w:r>
      <w:r w:rsidR="00174D60" w:rsidRPr="00C67AD0">
        <w:rPr>
          <w:rFonts w:ascii="Book Antiqua" w:hAnsi="Book Antiqua" w:cs="Times New Roman"/>
          <w:sz w:val="24"/>
          <w:szCs w:val="24"/>
          <w:lang w:val="en-GB"/>
        </w:rPr>
        <w:t xml:space="preserve"> the </w:t>
      </w:r>
      <w:r w:rsidR="00FF4A08" w:rsidRPr="00C67AD0">
        <w:rPr>
          <w:rFonts w:ascii="Book Antiqua" w:hAnsi="Book Antiqua" w:cs="Times New Roman"/>
          <w:sz w:val="24"/>
          <w:szCs w:val="24"/>
          <w:lang w:val="en-GB"/>
        </w:rPr>
        <w:t xml:space="preserve">obtained </w:t>
      </w:r>
      <w:r w:rsidR="00174D60" w:rsidRPr="00C67AD0">
        <w:rPr>
          <w:rFonts w:ascii="Book Antiqua" w:hAnsi="Book Antiqua" w:cs="Times New Roman"/>
          <w:sz w:val="24"/>
          <w:szCs w:val="24"/>
          <w:lang w:val="en-GB"/>
        </w:rPr>
        <w:t xml:space="preserve">plasma </w:t>
      </w:r>
      <w:r w:rsidR="00534C38" w:rsidRPr="00C67AD0">
        <w:rPr>
          <w:rFonts w:ascii="Book Antiqua" w:hAnsi="Book Antiqua" w:cs="Times New Roman"/>
          <w:sz w:val="24"/>
          <w:szCs w:val="24"/>
          <w:lang w:val="en-GB"/>
        </w:rPr>
        <w:t xml:space="preserve">was </w:t>
      </w:r>
      <w:r w:rsidR="00174D60" w:rsidRPr="00C67AD0">
        <w:rPr>
          <w:rFonts w:ascii="Book Antiqua" w:hAnsi="Book Antiqua" w:cs="Times New Roman"/>
          <w:sz w:val="24"/>
          <w:szCs w:val="24"/>
          <w:lang w:val="en-GB"/>
        </w:rPr>
        <w:t>stored at −80</w:t>
      </w:r>
      <w:r w:rsidR="00BC5EC0" w:rsidRPr="00C67AD0">
        <w:rPr>
          <w:rFonts w:ascii="Book Antiqua" w:hAnsi="Book Antiqua" w:cs="Times New Roman" w:hint="eastAsia"/>
          <w:sz w:val="24"/>
          <w:szCs w:val="24"/>
          <w:lang w:val="en-GB" w:eastAsia="zh-CN"/>
        </w:rPr>
        <w:t xml:space="preserve"> </w:t>
      </w:r>
      <w:r w:rsidR="00174D60" w:rsidRPr="00C67AD0">
        <w:rPr>
          <w:rFonts w:ascii="Book Antiqua" w:hAnsi="Book Antiqua" w:cs="Times New Roman"/>
          <w:sz w:val="24"/>
          <w:szCs w:val="24"/>
          <w:lang w:val="en-GB"/>
        </w:rPr>
        <w:t xml:space="preserve">°C </w:t>
      </w:r>
      <w:r w:rsidR="00160C18" w:rsidRPr="00C67AD0">
        <w:rPr>
          <w:rFonts w:ascii="Book Antiqua" w:hAnsi="Book Antiqua" w:cs="Times New Roman"/>
          <w:sz w:val="24"/>
          <w:szCs w:val="24"/>
          <w:lang w:val="en-GB"/>
        </w:rPr>
        <w:t xml:space="preserve">until </w:t>
      </w:r>
      <w:r w:rsidR="00165E67" w:rsidRPr="00C67AD0">
        <w:rPr>
          <w:rFonts w:ascii="Book Antiqua" w:hAnsi="Book Antiqua" w:cs="Times New Roman"/>
          <w:sz w:val="24"/>
          <w:szCs w:val="24"/>
          <w:lang w:val="en-GB"/>
        </w:rPr>
        <w:t>analysis</w:t>
      </w:r>
      <w:r w:rsidR="0060732F" w:rsidRPr="00C67AD0">
        <w:rPr>
          <w:rFonts w:ascii="Book Antiqua" w:hAnsi="Book Antiqua" w:cs="Times New Roman"/>
          <w:sz w:val="24"/>
          <w:szCs w:val="24"/>
          <w:lang w:val="en-GB"/>
        </w:rPr>
        <w:t xml:space="preserve">. </w:t>
      </w:r>
      <w:r w:rsidR="00275E8E" w:rsidRPr="00C67AD0">
        <w:rPr>
          <w:rFonts w:ascii="Book Antiqua" w:hAnsi="Book Antiqua" w:cs="Times New Roman"/>
          <w:sz w:val="24"/>
          <w:szCs w:val="24"/>
          <w:lang w:val="en-GB"/>
        </w:rPr>
        <w:t>Four t</w:t>
      </w:r>
      <w:r w:rsidR="00174D60" w:rsidRPr="00C67AD0">
        <w:rPr>
          <w:rFonts w:ascii="Book Antiqua" w:hAnsi="Book Antiqua" w:cs="Times New Roman"/>
          <w:sz w:val="24"/>
          <w:szCs w:val="24"/>
          <w:lang w:val="en-GB"/>
        </w:rPr>
        <w:t>issue samples from each animal were taken from the head of the pancreas</w:t>
      </w:r>
      <w:r w:rsidR="00275E8E" w:rsidRPr="00C67AD0">
        <w:rPr>
          <w:rFonts w:ascii="Book Antiqua" w:hAnsi="Book Antiqua" w:cs="Times New Roman"/>
          <w:sz w:val="24"/>
          <w:szCs w:val="24"/>
          <w:lang w:val="en-GB"/>
        </w:rPr>
        <w:t>.</w:t>
      </w:r>
      <w:r w:rsidR="00174D60" w:rsidRPr="00C67AD0">
        <w:rPr>
          <w:rFonts w:ascii="Book Antiqua" w:hAnsi="Book Antiqua" w:cs="Times New Roman"/>
          <w:sz w:val="24"/>
          <w:szCs w:val="24"/>
          <w:lang w:val="en-GB"/>
        </w:rPr>
        <w:t xml:space="preserve"> </w:t>
      </w:r>
      <w:r w:rsidR="00275E8E" w:rsidRPr="00C67AD0">
        <w:rPr>
          <w:rFonts w:ascii="Book Antiqua" w:hAnsi="Book Antiqua" w:cs="Times New Roman"/>
          <w:sz w:val="24"/>
          <w:szCs w:val="24"/>
          <w:lang w:val="en-GB"/>
        </w:rPr>
        <w:t>One portion</w:t>
      </w:r>
      <w:r w:rsidR="00534C38" w:rsidRPr="00C67AD0">
        <w:rPr>
          <w:rFonts w:ascii="Book Antiqua" w:hAnsi="Book Antiqua" w:cs="Times New Roman"/>
          <w:sz w:val="24"/>
          <w:szCs w:val="24"/>
          <w:lang w:val="en-GB"/>
        </w:rPr>
        <w:t xml:space="preserve"> of each tissue </w:t>
      </w:r>
      <w:r w:rsidR="00EF0EFE" w:rsidRPr="00C67AD0">
        <w:rPr>
          <w:rFonts w:ascii="Book Antiqua" w:hAnsi="Book Antiqua" w:cs="Times New Roman"/>
          <w:sz w:val="24"/>
          <w:szCs w:val="24"/>
          <w:lang w:val="en-GB"/>
        </w:rPr>
        <w:t xml:space="preserve">sample was immediately </w:t>
      </w:r>
      <w:r w:rsidR="003B13DB" w:rsidRPr="00C67AD0">
        <w:rPr>
          <w:rFonts w:ascii="Book Antiqua" w:hAnsi="Book Antiqua" w:cs="Times New Roman"/>
          <w:sz w:val="24"/>
          <w:szCs w:val="24"/>
          <w:lang w:val="en-GB"/>
        </w:rPr>
        <w:t>weighed and oven</w:t>
      </w:r>
      <w:r w:rsidR="00534C38" w:rsidRPr="00C67AD0">
        <w:rPr>
          <w:rFonts w:ascii="Book Antiqua" w:hAnsi="Book Antiqua" w:cs="Times New Roman"/>
          <w:sz w:val="24"/>
          <w:szCs w:val="24"/>
          <w:lang w:val="en-GB"/>
        </w:rPr>
        <w:t>-</w:t>
      </w:r>
      <w:r w:rsidR="003B13DB" w:rsidRPr="00C67AD0">
        <w:rPr>
          <w:rFonts w:ascii="Book Antiqua" w:hAnsi="Book Antiqua" w:cs="Times New Roman"/>
          <w:sz w:val="24"/>
          <w:szCs w:val="24"/>
          <w:lang w:val="en-GB"/>
        </w:rPr>
        <w:t xml:space="preserve">dried for the </w:t>
      </w:r>
      <w:r w:rsidR="0060732F" w:rsidRPr="00C67AD0">
        <w:rPr>
          <w:rFonts w:ascii="Book Antiqua" w:hAnsi="Book Antiqua" w:cs="Times New Roman"/>
          <w:sz w:val="24"/>
          <w:szCs w:val="24"/>
          <w:lang w:val="en-GB"/>
        </w:rPr>
        <w:t xml:space="preserve">wet-to-dry </w:t>
      </w:r>
      <w:r w:rsidR="003B13DB" w:rsidRPr="00C67AD0">
        <w:rPr>
          <w:rFonts w:ascii="Book Antiqua" w:hAnsi="Book Antiqua" w:cs="Times New Roman"/>
          <w:sz w:val="24"/>
          <w:szCs w:val="24"/>
          <w:lang w:val="en-GB"/>
        </w:rPr>
        <w:t xml:space="preserve">weight </w:t>
      </w:r>
      <w:r w:rsidR="0060732F" w:rsidRPr="00C67AD0">
        <w:rPr>
          <w:rFonts w:ascii="Book Antiqua" w:hAnsi="Book Antiqua" w:cs="Times New Roman"/>
          <w:sz w:val="24"/>
          <w:szCs w:val="24"/>
          <w:lang w:val="en-GB"/>
        </w:rPr>
        <w:t>ratio</w:t>
      </w:r>
      <w:r w:rsidR="003B13DB" w:rsidRPr="00C67AD0">
        <w:rPr>
          <w:rFonts w:ascii="Book Antiqua" w:hAnsi="Book Antiqua" w:cs="Times New Roman"/>
          <w:sz w:val="24"/>
          <w:szCs w:val="24"/>
          <w:lang w:val="en-GB"/>
        </w:rPr>
        <w:t xml:space="preserve"> calculation</w:t>
      </w:r>
      <w:r w:rsidR="0060732F" w:rsidRPr="00C67AD0">
        <w:rPr>
          <w:rFonts w:ascii="Book Antiqua" w:hAnsi="Book Antiqua" w:cs="Times New Roman"/>
          <w:sz w:val="24"/>
          <w:szCs w:val="24"/>
          <w:lang w:val="en-GB"/>
        </w:rPr>
        <w:t xml:space="preserve">. </w:t>
      </w:r>
      <w:r w:rsidR="00275E8E" w:rsidRPr="00C67AD0">
        <w:rPr>
          <w:rFonts w:ascii="Book Antiqua" w:hAnsi="Book Antiqua" w:cs="Times New Roman"/>
          <w:sz w:val="24"/>
          <w:szCs w:val="24"/>
          <w:lang w:val="en-GB"/>
        </w:rPr>
        <w:t xml:space="preserve">Another portion was fixed in 10% </w:t>
      </w:r>
      <w:r w:rsidR="008033F1" w:rsidRPr="00C67AD0">
        <w:rPr>
          <w:rFonts w:ascii="Book Antiqua" w:hAnsi="Book Antiqua" w:cs="Times New Roman"/>
          <w:sz w:val="24"/>
          <w:szCs w:val="24"/>
          <w:lang w:val="en-GB"/>
        </w:rPr>
        <w:t xml:space="preserve">phosphate−buffered </w:t>
      </w:r>
      <w:r w:rsidR="00275E8E" w:rsidRPr="00C67AD0">
        <w:rPr>
          <w:rFonts w:ascii="Book Antiqua" w:hAnsi="Book Antiqua" w:cs="Times New Roman"/>
          <w:sz w:val="24"/>
          <w:szCs w:val="24"/>
          <w:lang w:val="en-GB"/>
        </w:rPr>
        <w:t xml:space="preserve">formalin for histological analysis. The third portion was frozen and stored at </w:t>
      </w:r>
      <w:r w:rsidR="008033F1" w:rsidRPr="00C67AD0">
        <w:rPr>
          <w:rFonts w:ascii="Times New Roman" w:hAnsi="Times New Roman" w:cs="Times New Roman"/>
          <w:sz w:val="24"/>
          <w:szCs w:val="24"/>
          <w:lang w:val="en-GB"/>
        </w:rPr>
        <w:t>−</w:t>
      </w:r>
      <w:r w:rsidR="00275E8E" w:rsidRPr="00C67AD0">
        <w:rPr>
          <w:rFonts w:ascii="Book Antiqua" w:hAnsi="Book Antiqua" w:cs="Times New Roman"/>
          <w:sz w:val="24"/>
          <w:szCs w:val="24"/>
          <w:lang w:val="en-GB"/>
        </w:rPr>
        <w:t>80</w:t>
      </w:r>
      <w:r w:rsidR="00BC5EC0" w:rsidRPr="00C67AD0">
        <w:rPr>
          <w:rFonts w:ascii="Book Antiqua" w:hAnsi="Book Antiqua" w:cs="Times New Roman" w:hint="eastAsia"/>
          <w:sz w:val="24"/>
          <w:szCs w:val="24"/>
          <w:lang w:val="en-GB" w:eastAsia="zh-CN"/>
        </w:rPr>
        <w:t xml:space="preserve"> </w:t>
      </w:r>
      <w:r w:rsidR="00275E8E" w:rsidRPr="00C67AD0">
        <w:rPr>
          <w:rFonts w:ascii="Book Antiqua" w:hAnsi="Book Antiqua" w:cs="Book Antiqua"/>
          <w:sz w:val="24"/>
          <w:szCs w:val="24"/>
          <w:lang w:val="en-GB"/>
        </w:rPr>
        <w:t>º</w:t>
      </w:r>
      <w:r w:rsidR="00275E8E" w:rsidRPr="00C67AD0">
        <w:rPr>
          <w:rFonts w:ascii="Book Antiqua" w:hAnsi="Book Antiqua" w:cs="Times New Roman"/>
          <w:sz w:val="24"/>
          <w:szCs w:val="24"/>
          <w:lang w:val="en-GB"/>
        </w:rPr>
        <w:t xml:space="preserve">C for western blot analysis, and the last portion was </w:t>
      </w:r>
      <w:r w:rsidR="00160C18" w:rsidRPr="00C67AD0">
        <w:rPr>
          <w:rFonts w:ascii="Book Antiqua" w:hAnsi="Book Antiqua" w:cs="Times New Roman"/>
          <w:sz w:val="24"/>
          <w:szCs w:val="24"/>
          <w:lang w:val="en-GB"/>
        </w:rPr>
        <w:t xml:space="preserve">saved </w:t>
      </w:r>
      <w:r w:rsidR="00275E8E" w:rsidRPr="00C67AD0">
        <w:rPr>
          <w:rFonts w:ascii="Book Antiqua" w:hAnsi="Book Antiqua" w:cs="Times New Roman"/>
          <w:sz w:val="24"/>
          <w:szCs w:val="24"/>
          <w:lang w:val="en-GB"/>
        </w:rPr>
        <w:t xml:space="preserve">in </w:t>
      </w:r>
      <w:proofErr w:type="spellStart"/>
      <w:r w:rsidR="00275E8E" w:rsidRPr="00C67AD0">
        <w:rPr>
          <w:rFonts w:ascii="Book Antiqua" w:hAnsi="Book Antiqua" w:cs="Times New Roman"/>
          <w:sz w:val="24"/>
          <w:szCs w:val="24"/>
          <w:lang w:val="en-GB"/>
        </w:rPr>
        <w:t>RNAlater</w:t>
      </w:r>
      <w:proofErr w:type="spellEnd"/>
      <w:r w:rsidR="00275E8E" w:rsidRPr="00C67AD0">
        <w:rPr>
          <w:rFonts w:ascii="Book Antiqua" w:hAnsi="Book Antiqua" w:cs="Times New Roman"/>
          <w:sz w:val="24"/>
          <w:szCs w:val="24"/>
          <w:lang w:val="en-GB"/>
        </w:rPr>
        <w:t xml:space="preserve"> solution for real</w:t>
      </w:r>
      <w:r w:rsidR="00275E8E" w:rsidRPr="00C67AD0">
        <w:rPr>
          <w:rFonts w:ascii="Times New Roman" w:hAnsi="Times New Roman" w:cs="Times New Roman"/>
          <w:sz w:val="24"/>
          <w:szCs w:val="24"/>
          <w:lang w:val="en-GB"/>
        </w:rPr>
        <w:t>‐</w:t>
      </w:r>
      <w:r w:rsidR="00275E8E" w:rsidRPr="00C67AD0">
        <w:rPr>
          <w:rFonts w:ascii="Book Antiqua" w:hAnsi="Book Antiqua" w:cs="Times New Roman"/>
          <w:sz w:val="24"/>
          <w:szCs w:val="24"/>
          <w:lang w:val="en-GB"/>
        </w:rPr>
        <w:t xml:space="preserve">time </w:t>
      </w:r>
      <w:proofErr w:type="spellStart"/>
      <w:r w:rsidR="001D2F0A" w:rsidRPr="00C67AD0">
        <w:rPr>
          <w:rFonts w:ascii="Book Antiqua" w:hAnsi="Book Antiqua" w:cs="Times New Roman"/>
          <w:sz w:val="24"/>
          <w:szCs w:val="24"/>
          <w:lang w:val="en-GB"/>
        </w:rPr>
        <w:t>qRT</w:t>
      </w:r>
      <w:proofErr w:type="spellEnd"/>
      <w:r w:rsidR="001D2F0A" w:rsidRPr="00C67AD0">
        <w:rPr>
          <w:rFonts w:ascii="Book Antiqua" w:hAnsi="Book Antiqua" w:cs="Times New Roman"/>
          <w:sz w:val="24"/>
          <w:szCs w:val="24"/>
          <w:lang w:val="en-GB"/>
        </w:rPr>
        <w:t>-PCR</w:t>
      </w:r>
      <w:r w:rsidR="00275E8E" w:rsidRPr="00C67AD0">
        <w:rPr>
          <w:rFonts w:ascii="Book Antiqua" w:hAnsi="Book Antiqua" w:cs="Times New Roman"/>
          <w:sz w:val="24"/>
          <w:szCs w:val="24"/>
          <w:lang w:val="en-GB"/>
        </w:rPr>
        <w:t xml:space="preserve"> analysis.</w:t>
      </w:r>
    </w:p>
    <w:p w14:paraId="42102BB8" w14:textId="0CD18EE2" w:rsidR="00F716A0" w:rsidRPr="00C67AD0" w:rsidRDefault="00275E8E" w:rsidP="00275E8E">
      <w:pPr>
        <w:tabs>
          <w:tab w:val="left" w:pos="284"/>
        </w:tabs>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sz w:val="24"/>
          <w:szCs w:val="24"/>
          <w:lang w:val="en-GB"/>
        </w:rPr>
        <w:t xml:space="preserve"> </w:t>
      </w:r>
    </w:p>
    <w:p w14:paraId="7B460A2A" w14:textId="375BFD65" w:rsidR="00F716A0" w:rsidRPr="00C67AD0" w:rsidRDefault="00F716A0" w:rsidP="00B8567E">
      <w:pPr>
        <w:tabs>
          <w:tab w:val="left" w:pos="284"/>
        </w:tabs>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 xml:space="preserve">Histopathological </w:t>
      </w:r>
      <w:r w:rsidR="00BC5EC0" w:rsidRPr="00C67AD0">
        <w:rPr>
          <w:rFonts w:ascii="Book Antiqua" w:hAnsi="Book Antiqua" w:cs="Times New Roman"/>
          <w:b/>
          <w:i/>
          <w:iCs/>
          <w:sz w:val="24"/>
          <w:szCs w:val="24"/>
          <w:lang w:val="en-GB"/>
        </w:rPr>
        <w:t>exami</w:t>
      </w:r>
      <w:r w:rsidRPr="00C67AD0">
        <w:rPr>
          <w:rFonts w:ascii="Book Antiqua" w:hAnsi="Book Antiqua" w:cs="Times New Roman"/>
          <w:b/>
          <w:i/>
          <w:iCs/>
          <w:sz w:val="24"/>
          <w:szCs w:val="24"/>
          <w:lang w:val="en-GB"/>
        </w:rPr>
        <w:t>nation</w:t>
      </w:r>
    </w:p>
    <w:p w14:paraId="4241E6A7" w14:textId="29DE4880" w:rsidR="009C5B30" w:rsidRPr="00C67AD0" w:rsidRDefault="00160C18" w:rsidP="00B8567E">
      <w:pPr>
        <w:tabs>
          <w:tab w:val="left" w:pos="284"/>
        </w:tabs>
        <w:spacing w:line="360" w:lineRule="auto"/>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Pancreas </w:t>
      </w:r>
      <w:r w:rsidR="00F716A0" w:rsidRPr="00C67AD0">
        <w:rPr>
          <w:rFonts w:ascii="Book Antiqua" w:hAnsi="Book Antiqua" w:cs="Times New Roman"/>
          <w:bCs/>
          <w:sz w:val="24"/>
          <w:szCs w:val="24"/>
          <w:lang w:val="en-GB"/>
        </w:rPr>
        <w:t xml:space="preserve">tissue </w:t>
      </w:r>
      <w:r w:rsidR="00DE509D" w:rsidRPr="00C67AD0">
        <w:rPr>
          <w:rFonts w:ascii="Book Antiqua" w:hAnsi="Book Antiqua" w:cs="Times New Roman"/>
          <w:bCs/>
          <w:sz w:val="24"/>
          <w:szCs w:val="24"/>
          <w:lang w:val="en-GB"/>
        </w:rPr>
        <w:t>was</w:t>
      </w:r>
      <w:r w:rsidR="00F716A0" w:rsidRPr="00C67AD0">
        <w:rPr>
          <w:rFonts w:ascii="Book Antiqua" w:hAnsi="Book Antiqua" w:cs="Times New Roman"/>
          <w:bCs/>
          <w:sz w:val="24"/>
          <w:szCs w:val="24"/>
          <w:lang w:val="en-GB"/>
        </w:rPr>
        <w:t xml:space="preserve"> fixed in 10% </w:t>
      </w:r>
      <w:bookmarkStart w:id="14" w:name="_Hlk48150006"/>
      <w:r w:rsidR="00F716A0" w:rsidRPr="00C67AD0">
        <w:rPr>
          <w:rFonts w:ascii="Book Antiqua" w:hAnsi="Book Antiqua" w:cs="Times New Roman"/>
          <w:bCs/>
          <w:sz w:val="24"/>
          <w:szCs w:val="24"/>
          <w:lang w:val="en-GB"/>
        </w:rPr>
        <w:t xml:space="preserve">phosphate-buffered </w:t>
      </w:r>
      <w:bookmarkEnd w:id="14"/>
      <w:r w:rsidR="00F716A0" w:rsidRPr="00C67AD0">
        <w:rPr>
          <w:rFonts w:ascii="Book Antiqua" w:hAnsi="Book Antiqua" w:cs="Times New Roman"/>
          <w:bCs/>
          <w:sz w:val="24"/>
          <w:szCs w:val="24"/>
          <w:lang w:val="en-GB"/>
        </w:rPr>
        <w:t>formalin and</w:t>
      </w:r>
      <w:r w:rsidRPr="00C67AD0">
        <w:rPr>
          <w:rFonts w:ascii="Book Antiqua" w:hAnsi="Book Antiqua" w:cs="Times New Roman"/>
          <w:bCs/>
          <w:sz w:val="24"/>
          <w:szCs w:val="24"/>
          <w:lang w:val="en-GB"/>
        </w:rPr>
        <w:t xml:space="preserve"> then</w:t>
      </w:r>
      <w:r w:rsidR="00F716A0" w:rsidRPr="00C67AD0">
        <w:rPr>
          <w:rFonts w:ascii="Book Antiqua" w:hAnsi="Book Antiqua" w:cs="Times New Roman"/>
          <w:bCs/>
          <w:sz w:val="24"/>
          <w:szCs w:val="24"/>
          <w:lang w:val="en-GB"/>
        </w:rPr>
        <w:t xml:space="preserve"> embedded in paraffin. 3-μm thickness </w:t>
      </w:r>
      <w:r w:rsidRPr="00C67AD0">
        <w:rPr>
          <w:rFonts w:ascii="Book Antiqua" w:hAnsi="Book Antiqua" w:cs="Times New Roman"/>
          <w:bCs/>
          <w:sz w:val="24"/>
          <w:szCs w:val="24"/>
          <w:lang w:val="en-GB"/>
        </w:rPr>
        <w:t xml:space="preserve">sections </w:t>
      </w:r>
      <w:r w:rsidR="00F716A0" w:rsidRPr="00C67AD0">
        <w:rPr>
          <w:rFonts w:ascii="Book Antiqua" w:hAnsi="Book Antiqua" w:cs="Times New Roman"/>
          <w:bCs/>
          <w:sz w:val="24"/>
          <w:szCs w:val="24"/>
          <w:lang w:val="en-GB"/>
        </w:rPr>
        <w:t xml:space="preserve">were mounted on glass slides. Slides were dewaxed and rehydrated </w:t>
      </w:r>
      <w:r w:rsidRPr="00C67AD0">
        <w:rPr>
          <w:rFonts w:ascii="Book Antiqua" w:hAnsi="Book Antiqua" w:cs="Times New Roman"/>
          <w:bCs/>
          <w:sz w:val="24"/>
          <w:szCs w:val="24"/>
          <w:lang w:val="en-GB"/>
        </w:rPr>
        <w:t>and stained</w:t>
      </w:r>
      <w:r w:rsidR="00F716A0" w:rsidRPr="00C67AD0">
        <w:rPr>
          <w:rFonts w:ascii="Book Antiqua" w:hAnsi="Book Antiqua" w:cs="Times New Roman"/>
          <w:bCs/>
          <w:sz w:val="24"/>
          <w:szCs w:val="24"/>
          <w:lang w:val="en-GB"/>
        </w:rPr>
        <w:t xml:space="preserve"> with </w:t>
      </w:r>
      <w:proofErr w:type="spellStart"/>
      <w:r w:rsidR="00F716A0" w:rsidRPr="00C67AD0">
        <w:rPr>
          <w:rFonts w:ascii="Book Antiqua" w:hAnsi="Book Antiqua" w:cs="Times New Roman"/>
          <w:bCs/>
          <w:sz w:val="24"/>
          <w:szCs w:val="24"/>
          <w:lang w:val="en-GB"/>
        </w:rPr>
        <w:t>hematoxylin</w:t>
      </w:r>
      <w:proofErr w:type="spellEnd"/>
      <w:r w:rsidR="00F716A0" w:rsidRPr="00C67AD0">
        <w:rPr>
          <w:rFonts w:ascii="Book Antiqua" w:hAnsi="Book Antiqua" w:cs="Times New Roman"/>
          <w:bCs/>
          <w:sz w:val="24"/>
          <w:szCs w:val="24"/>
          <w:lang w:val="en-GB"/>
        </w:rPr>
        <w:t xml:space="preserve"> and eosin. </w:t>
      </w:r>
      <w:r w:rsidR="005F6FB3" w:rsidRPr="00C67AD0">
        <w:rPr>
          <w:rFonts w:ascii="Book Antiqua" w:hAnsi="Book Antiqua" w:cs="Times New Roman"/>
          <w:bCs/>
          <w:sz w:val="24"/>
          <w:szCs w:val="24"/>
          <w:lang w:val="en-GB"/>
        </w:rPr>
        <w:t xml:space="preserve">Assessment of changes </w:t>
      </w:r>
      <w:r w:rsidRPr="00C67AD0">
        <w:rPr>
          <w:rFonts w:ascii="Book Antiqua" w:hAnsi="Book Antiqua" w:cs="Times New Roman"/>
          <w:bCs/>
          <w:sz w:val="24"/>
          <w:szCs w:val="24"/>
          <w:lang w:val="en-GB"/>
        </w:rPr>
        <w:t xml:space="preserve">in the tissue </w:t>
      </w:r>
      <w:r w:rsidR="005F6FB3" w:rsidRPr="00C67AD0">
        <w:rPr>
          <w:rFonts w:ascii="Book Antiqua" w:hAnsi="Book Antiqua" w:cs="Times New Roman"/>
          <w:bCs/>
          <w:sz w:val="24"/>
          <w:szCs w:val="24"/>
          <w:lang w:val="en-GB"/>
        </w:rPr>
        <w:t xml:space="preserve">was carried out by an experienced pathologist through the examination of </w:t>
      </w:r>
      <w:r w:rsidR="00A376CA" w:rsidRPr="00C67AD0">
        <w:rPr>
          <w:rFonts w:ascii="Book Antiqua" w:hAnsi="Book Antiqua" w:cs="Times New Roman"/>
          <w:bCs/>
          <w:sz w:val="24"/>
          <w:szCs w:val="24"/>
          <w:lang w:val="en-GB"/>
        </w:rPr>
        <w:t xml:space="preserve">different </w:t>
      </w:r>
      <w:r w:rsidR="00F716A0" w:rsidRPr="00C67AD0">
        <w:rPr>
          <w:rFonts w:ascii="Book Antiqua" w:hAnsi="Book Antiqua" w:cs="Times New Roman"/>
          <w:bCs/>
          <w:sz w:val="24"/>
          <w:szCs w:val="24"/>
          <w:lang w:val="en-GB"/>
        </w:rPr>
        <w:t xml:space="preserve">microscopic fields </w:t>
      </w:r>
      <w:r w:rsidR="00A376CA" w:rsidRPr="00C67AD0">
        <w:rPr>
          <w:rFonts w:ascii="Book Antiqua" w:hAnsi="Book Antiqua" w:cs="Times New Roman"/>
          <w:bCs/>
          <w:sz w:val="24"/>
          <w:szCs w:val="24"/>
          <w:lang w:val="en-GB"/>
        </w:rPr>
        <w:t xml:space="preserve">randomly chosen </w:t>
      </w:r>
      <w:r w:rsidR="00F716A0" w:rsidRPr="00C67AD0">
        <w:rPr>
          <w:rFonts w:ascii="Book Antiqua" w:hAnsi="Book Antiqua" w:cs="Times New Roman"/>
          <w:bCs/>
          <w:sz w:val="24"/>
          <w:szCs w:val="24"/>
          <w:lang w:val="en-GB"/>
        </w:rPr>
        <w:t xml:space="preserve">from each experimental group in a blinded manner. </w:t>
      </w:r>
      <w:r w:rsidR="00A376CA" w:rsidRPr="00C67AD0">
        <w:rPr>
          <w:rFonts w:ascii="Book Antiqua" w:hAnsi="Book Antiqua" w:cs="Times New Roman"/>
          <w:bCs/>
          <w:sz w:val="24"/>
          <w:szCs w:val="24"/>
          <w:lang w:val="en-GB"/>
        </w:rPr>
        <w:t>Pancreatic</w:t>
      </w:r>
      <w:r w:rsidR="00F716A0" w:rsidRPr="00C67AD0">
        <w:rPr>
          <w:rFonts w:ascii="Book Antiqua" w:hAnsi="Book Antiqua" w:cs="Times New Roman"/>
          <w:bCs/>
          <w:sz w:val="24"/>
          <w:szCs w:val="24"/>
          <w:lang w:val="en-GB"/>
        </w:rPr>
        <w:t xml:space="preserve"> tissue </w:t>
      </w:r>
      <w:r w:rsidR="00A376CA" w:rsidRPr="00C67AD0">
        <w:rPr>
          <w:rFonts w:ascii="Book Antiqua" w:hAnsi="Book Antiqua" w:cs="Times New Roman"/>
          <w:bCs/>
          <w:sz w:val="24"/>
          <w:szCs w:val="24"/>
          <w:lang w:val="en-GB"/>
        </w:rPr>
        <w:t xml:space="preserve">sections </w:t>
      </w:r>
      <w:r w:rsidR="00F716A0" w:rsidRPr="00C67AD0">
        <w:rPr>
          <w:rFonts w:ascii="Book Antiqua" w:hAnsi="Book Antiqua" w:cs="Times New Roman"/>
          <w:bCs/>
          <w:sz w:val="24"/>
          <w:szCs w:val="24"/>
          <w:lang w:val="en-GB"/>
        </w:rPr>
        <w:t xml:space="preserve">were </w:t>
      </w:r>
      <w:r w:rsidR="00A026BE" w:rsidRPr="00C67AD0">
        <w:rPr>
          <w:rFonts w:ascii="Book Antiqua" w:hAnsi="Book Antiqua" w:cs="Times New Roman"/>
          <w:bCs/>
          <w:sz w:val="24"/>
          <w:szCs w:val="24"/>
          <w:lang w:val="en-GB"/>
        </w:rPr>
        <w:t xml:space="preserve">evaluated </w:t>
      </w:r>
      <w:r w:rsidR="00F716A0" w:rsidRPr="00C67AD0">
        <w:rPr>
          <w:rFonts w:ascii="Book Antiqua" w:hAnsi="Book Antiqua" w:cs="Times New Roman"/>
          <w:bCs/>
          <w:sz w:val="24"/>
          <w:szCs w:val="24"/>
          <w:lang w:val="en-GB"/>
        </w:rPr>
        <w:t xml:space="preserve">for the severity of </w:t>
      </w:r>
      <w:r w:rsidR="00F716A0" w:rsidRPr="00C67AD0">
        <w:rPr>
          <w:rFonts w:ascii="Book Antiqua" w:hAnsi="Book Antiqua" w:cs="Times New Roman"/>
          <w:bCs/>
          <w:sz w:val="24"/>
          <w:szCs w:val="24"/>
          <w:lang w:val="en-GB"/>
        </w:rPr>
        <w:lastRenderedPageBreak/>
        <w:t xml:space="preserve">pancreatitis based on </w:t>
      </w:r>
      <w:proofErr w:type="spellStart"/>
      <w:r w:rsidR="00F716A0" w:rsidRPr="00C67AD0">
        <w:rPr>
          <w:rFonts w:ascii="Book Antiqua" w:hAnsi="Book Antiqua" w:cs="Times New Roman"/>
          <w:bCs/>
          <w:sz w:val="24"/>
          <w:szCs w:val="24"/>
          <w:lang w:val="en-GB"/>
        </w:rPr>
        <w:t>edema</w:t>
      </w:r>
      <w:proofErr w:type="spellEnd"/>
      <w:r w:rsidR="00F716A0" w:rsidRPr="00C67AD0">
        <w:rPr>
          <w:rFonts w:ascii="Book Antiqua" w:hAnsi="Book Antiqua" w:cs="Times New Roman"/>
          <w:bCs/>
          <w:sz w:val="24"/>
          <w:szCs w:val="24"/>
          <w:lang w:val="en-GB"/>
        </w:rPr>
        <w:t>, inflammatory infiltration, parenchymal necrosis, and vacuolation of acinar cells.</w:t>
      </w:r>
    </w:p>
    <w:p w14:paraId="3764DE0E" w14:textId="77777777" w:rsidR="00A026BE" w:rsidRPr="00C67AD0" w:rsidRDefault="00A026BE" w:rsidP="00B8567E">
      <w:pPr>
        <w:tabs>
          <w:tab w:val="left" w:pos="284"/>
        </w:tabs>
        <w:spacing w:line="360" w:lineRule="auto"/>
        <w:contextualSpacing/>
        <w:jc w:val="both"/>
        <w:rPr>
          <w:rFonts w:ascii="Book Antiqua" w:hAnsi="Book Antiqua" w:cs="Times New Roman"/>
          <w:bCs/>
          <w:sz w:val="24"/>
          <w:szCs w:val="24"/>
          <w:lang w:val="en-GB"/>
        </w:rPr>
      </w:pPr>
    </w:p>
    <w:p w14:paraId="4D1A1768" w14:textId="0093D43D" w:rsidR="0075627D" w:rsidRPr="00C67AD0" w:rsidRDefault="0075627D" w:rsidP="00B8567E">
      <w:pPr>
        <w:tabs>
          <w:tab w:val="left" w:pos="284"/>
        </w:tabs>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Cell</w:t>
      </w:r>
      <w:r w:rsidR="0095246B" w:rsidRPr="00C67AD0">
        <w:rPr>
          <w:rFonts w:ascii="Book Antiqua" w:hAnsi="Book Antiqua" w:cs="Times New Roman"/>
          <w:b/>
          <w:i/>
          <w:iCs/>
          <w:sz w:val="24"/>
          <w:szCs w:val="24"/>
          <w:lang w:val="en-GB"/>
        </w:rPr>
        <w:t xml:space="preserve"> lines</w:t>
      </w:r>
      <w:r w:rsidRPr="00C67AD0">
        <w:rPr>
          <w:rFonts w:ascii="Book Antiqua" w:hAnsi="Book Antiqua" w:cs="Times New Roman"/>
          <w:b/>
          <w:i/>
          <w:iCs/>
          <w:sz w:val="24"/>
          <w:szCs w:val="24"/>
          <w:lang w:val="en-GB"/>
        </w:rPr>
        <w:t xml:space="preserve"> and treatments</w:t>
      </w:r>
    </w:p>
    <w:p w14:paraId="3D82702B" w14:textId="3CEA1CA5" w:rsidR="009C5CDD" w:rsidRPr="00C67AD0" w:rsidRDefault="00534C38" w:rsidP="00B8567E">
      <w:pPr>
        <w:tabs>
          <w:tab w:val="left" w:pos="284"/>
        </w:tabs>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The r</w:t>
      </w:r>
      <w:r w:rsidR="0075627D" w:rsidRPr="00C67AD0">
        <w:rPr>
          <w:rFonts w:ascii="Book Antiqua" w:hAnsi="Book Antiqua" w:cs="Times New Roman"/>
          <w:sz w:val="24"/>
          <w:szCs w:val="24"/>
          <w:lang w:val="en-GB"/>
        </w:rPr>
        <w:t xml:space="preserve">at pancreatic acinar </w:t>
      </w:r>
      <w:r w:rsidR="003B13DB" w:rsidRPr="00C67AD0">
        <w:rPr>
          <w:rFonts w:ascii="Book Antiqua" w:hAnsi="Book Antiqua" w:cs="Times New Roman"/>
          <w:sz w:val="24"/>
          <w:szCs w:val="24"/>
          <w:lang w:val="en-GB"/>
        </w:rPr>
        <w:t xml:space="preserve">AR42J </w:t>
      </w:r>
      <w:r w:rsidR="0075627D" w:rsidRPr="00C67AD0">
        <w:rPr>
          <w:rFonts w:ascii="Book Antiqua" w:hAnsi="Book Antiqua" w:cs="Times New Roman"/>
          <w:sz w:val="24"/>
          <w:szCs w:val="24"/>
          <w:lang w:val="en-GB"/>
        </w:rPr>
        <w:t xml:space="preserve">cell line was </w:t>
      </w:r>
      <w:r w:rsidRPr="00C67AD0">
        <w:rPr>
          <w:rFonts w:ascii="Book Antiqua" w:hAnsi="Book Antiqua" w:cs="Times New Roman"/>
          <w:sz w:val="24"/>
          <w:szCs w:val="24"/>
          <w:lang w:val="en-GB"/>
        </w:rPr>
        <w:t xml:space="preserve">purchased </w:t>
      </w:r>
      <w:r w:rsidR="0075627D" w:rsidRPr="00C67AD0">
        <w:rPr>
          <w:rFonts w:ascii="Book Antiqua" w:hAnsi="Book Antiqua" w:cs="Times New Roman"/>
          <w:sz w:val="24"/>
          <w:szCs w:val="24"/>
          <w:lang w:val="en-GB"/>
        </w:rPr>
        <w:t xml:space="preserve">from Sigma </w:t>
      </w:r>
      <w:r w:rsidR="000A27C0" w:rsidRPr="00C67AD0">
        <w:rPr>
          <w:rFonts w:ascii="Book Antiqua" w:hAnsi="Book Antiqua" w:cs="Times New Roman"/>
          <w:sz w:val="24"/>
          <w:szCs w:val="24"/>
          <w:lang w:val="en-GB"/>
        </w:rPr>
        <w:t xml:space="preserve">(St. Louis, MI, </w:t>
      </w:r>
      <w:r w:rsidR="00BC5EC0" w:rsidRPr="00C67AD0">
        <w:rPr>
          <w:rFonts w:ascii="Book Antiqua" w:hAnsi="Book Antiqua" w:cs="Times New Roman"/>
          <w:bCs/>
          <w:sz w:val="24"/>
          <w:szCs w:val="24"/>
          <w:lang w:val="en-GB"/>
        </w:rPr>
        <w:t>U</w:t>
      </w:r>
      <w:r w:rsidR="00BC5EC0" w:rsidRPr="00C67AD0">
        <w:rPr>
          <w:rFonts w:ascii="Book Antiqua" w:hAnsi="Book Antiqua" w:cs="Times New Roman" w:hint="eastAsia"/>
          <w:bCs/>
          <w:sz w:val="24"/>
          <w:szCs w:val="24"/>
          <w:lang w:val="en-GB" w:eastAsia="zh-CN"/>
        </w:rPr>
        <w:t>nited States</w:t>
      </w:r>
      <w:r w:rsidR="00A213D5"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C</w:t>
      </w:r>
      <w:r w:rsidR="008010AD" w:rsidRPr="00C67AD0">
        <w:rPr>
          <w:rFonts w:ascii="Book Antiqua" w:hAnsi="Book Antiqua" w:cs="Times New Roman"/>
          <w:sz w:val="24"/>
          <w:szCs w:val="24"/>
          <w:lang w:val="en-GB"/>
        </w:rPr>
        <w:t>ells were grown at 37</w:t>
      </w:r>
      <w:r w:rsidR="00EE5C62">
        <w:rPr>
          <w:rFonts w:ascii="Book Antiqua" w:hAnsi="Book Antiqua" w:cs="Times New Roman"/>
          <w:sz w:val="24"/>
          <w:szCs w:val="24"/>
          <w:lang w:val="en-GB"/>
        </w:rPr>
        <w:t xml:space="preserve"> </w:t>
      </w:r>
      <w:r w:rsidR="008010AD" w:rsidRPr="00C67AD0">
        <w:rPr>
          <w:rFonts w:ascii="Book Antiqua" w:hAnsi="Book Antiqua" w:cs="Times New Roman"/>
          <w:sz w:val="24"/>
          <w:szCs w:val="24"/>
          <w:lang w:val="en-GB"/>
        </w:rPr>
        <w:t xml:space="preserve">ºC in RPMI medium supplemented with </w:t>
      </w:r>
      <w:r w:rsidR="0027011E" w:rsidRPr="00C67AD0">
        <w:rPr>
          <w:rFonts w:ascii="Book Antiqua" w:hAnsi="Book Antiqua" w:cs="Times New Roman"/>
          <w:sz w:val="24"/>
          <w:szCs w:val="24"/>
          <w:lang w:val="en-GB"/>
        </w:rPr>
        <w:t>100 mL/L</w:t>
      </w:r>
      <w:r w:rsidR="008010AD" w:rsidRPr="00C67AD0">
        <w:rPr>
          <w:rFonts w:ascii="Book Antiqua" w:hAnsi="Book Antiqua" w:cs="Times New Roman"/>
          <w:sz w:val="24"/>
          <w:szCs w:val="24"/>
          <w:lang w:val="en-GB"/>
        </w:rPr>
        <w:t xml:space="preserve"> </w:t>
      </w:r>
      <w:proofErr w:type="spellStart"/>
      <w:r w:rsidR="00A213D5" w:rsidRPr="00C67AD0">
        <w:rPr>
          <w:rFonts w:ascii="Book Antiqua" w:hAnsi="Book Antiqua" w:cs="Times New Roman"/>
          <w:sz w:val="24"/>
          <w:szCs w:val="24"/>
          <w:lang w:val="en-GB"/>
        </w:rPr>
        <w:t>fetal</w:t>
      </w:r>
      <w:proofErr w:type="spellEnd"/>
      <w:r w:rsidR="00A213D5" w:rsidRPr="00C67AD0">
        <w:rPr>
          <w:rFonts w:ascii="Book Antiqua" w:hAnsi="Book Antiqua" w:cs="Times New Roman"/>
          <w:sz w:val="24"/>
          <w:szCs w:val="24"/>
          <w:lang w:val="en-GB"/>
        </w:rPr>
        <w:t xml:space="preserve"> bovine serum</w:t>
      </w:r>
      <w:r w:rsidR="008010AD" w:rsidRPr="00C67AD0">
        <w:rPr>
          <w:rFonts w:ascii="Book Antiqua" w:hAnsi="Book Antiqua" w:cs="Times New Roman"/>
          <w:sz w:val="24"/>
          <w:szCs w:val="24"/>
          <w:lang w:val="en-GB"/>
        </w:rPr>
        <w:t xml:space="preserve">, </w:t>
      </w:r>
      <w:r w:rsidR="00A376CA" w:rsidRPr="00C67AD0">
        <w:rPr>
          <w:rFonts w:ascii="Book Antiqua" w:hAnsi="Book Antiqua" w:cs="Times New Roman"/>
          <w:sz w:val="24"/>
          <w:szCs w:val="24"/>
          <w:lang w:val="en-GB"/>
        </w:rPr>
        <w:t xml:space="preserve">100 U/ml </w:t>
      </w:r>
      <w:r w:rsidR="008010AD" w:rsidRPr="00C67AD0">
        <w:rPr>
          <w:rFonts w:ascii="Book Antiqua" w:hAnsi="Book Antiqua" w:cs="Times New Roman"/>
          <w:sz w:val="24"/>
          <w:szCs w:val="24"/>
          <w:lang w:val="en-GB"/>
        </w:rPr>
        <w:t xml:space="preserve">penicillin and </w:t>
      </w:r>
      <w:r w:rsidR="00A376CA" w:rsidRPr="00C67AD0">
        <w:rPr>
          <w:rFonts w:ascii="Book Antiqua" w:hAnsi="Book Antiqua" w:cs="Times New Roman"/>
          <w:sz w:val="24"/>
          <w:szCs w:val="24"/>
          <w:lang w:val="en-GB"/>
        </w:rPr>
        <w:t xml:space="preserve">100 </w:t>
      </w:r>
      <w:proofErr w:type="spellStart"/>
      <w:r w:rsidR="00A376CA" w:rsidRPr="00C67AD0">
        <w:rPr>
          <w:rFonts w:ascii="Book Antiqua" w:hAnsi="Book Antiqua" w:cs="Times New Roman"/>
          <w:sz w:val="24"/>
          <w:szCs w:val="24"/>
          <w:lang w:val="en-GB"/>
        </w:rPr>
        <w:t>μg</w:t>
      </w:r>
      <w:proofErr w:type="spellEnd"/>
      <w:r w:rsidR="00A376CA" w:rsidRPr="00C67AD0">
        <w:rPr>
          <w:rFonts w:ascii="Book Antiqua" w:hAnsi="Book Antiqua" w:cs="Times New Roman"/>
          <w:sz w:val="24"/>
          <w:szCs w:val="24"/>
          <w:lang w:val="en-GB"/>
        </w:rPr>
        <w:t xml:space="preserve">/mL </w:t>
      </w:r>
      <w:r w:rsidR="008010AD" w:rsidRPr="00C67AD0">
        <w:rPr>
          <w:rFonts w:ascii="Book Antiqua" w:hAnsi="Book Antiqua" w:cs="Times New Roman"/>
          <w:sz w:val="24"/>
          <w:szCs w:val="24"/>
          <w:lang w:val="en-GB"/>
        </w:rPr>
        <w:t>streptomycin in a humidified atmosphere of 5</w:t>
      </w:r>
      <w:r w:rsidR="0027011E" w:rsidRPr="00C67AD0">
        <w:rPr>
          <w:rFonts w:ascii="Book Antiqua" w:hAnsi="Book Antiqua" w:cs="Times New Roman"/>
          <w:sz w:val="24"/>
          <w:szCs w:val="24"/>
          <w:lang w:val="en-GB"/>
        </w:rPr>
        <w:t xml:space="preserve">0 mL/L </w:t>
      </w:r>
      <w:r w:rsidR="008010AD" w:rsidRPr="00C67AD0">
        <w:rPr>
          <w:rFonts w:ascii="Book Antiqua" w:hAnsi="Book Antiqua" w:cs="Times New Roman"/>
          <w:sz w:val="24"/>
          <w:szCs w:val="24"/>
          <w:lang w:val="en-GB"/>
        </w:rPr>
        <w:t>CO</w:t>
      </w:r>
      <w:r w:rsidR="008010AD" w:rsidRPr="00C67AD0">
        <w:rPr>
          <w:rFonts w:ascii="Book Antiqua" w:hAnsi="Book Antiqua" w:cs="Times New Roman"/>
          <w:sz w:val="24"/>
          <w:szCs w:val="24"/>
          <w:vertAlign w:val="subscript"/>
          <w:lang w:val="en-GB"/>
        </w:rPr>
        <w:t>2</w:t>
      </w:r>
      <w:r w:rsidR="008010AD" w:rsidRPr="00C67AD0">
        <w:rPr>
          <w:rFonts w:ascii="Book Antiqua" w:hAnsi="Book Antiqua" w:cs="Times New Roman"/>
          <w:sz w:val="24"/>
          <w:szCs w:val="24"/>
          <w:lang w:val="en-GB"/>
        </w:rPr>
        <w:t xml:space="preserve">. </w:t>
      </w:r>
      <w:r w:rsidR="00D564AD" w:rsidRPr="00C67AD0">
        <w:rPr>
          <w:rFonts w:ascii="Book Antiqua" w:hAnsi="Book Antiqua" w:cs="Times New Roman"/>
          <w:sz w:val="24"/>
          <w:szCs w:val="24"/>
          <w:lang w:val="en-GB"/>
        </w:rPr>
        <w:t>A</w:t>
      </w:r>
      <w:r w:rsidR="009974C1" w:rsidRPr="00C67AD0">
        <w:rPr>
          <w:rFonts w:ascii="Book Antiqua" w:hAnsi="Book Antiqua" w:cs="Times New Roman"/>
          <w:sz w:val="24"/>
          <w:szCs w:val="24"/>
          <w:lang w:val="en-GB"/>
        </w:rPr>
        <w:t>cinar cells were plated at a density of 3</w:t>
      </w:r>
      <w:r w:rsidR="00D564AD" w:rsidRPr="00C67AD0">
        <w:rPr>
          <w:rFonts w:ascii="Book Antiqua" w:hAnsi="Book Antiqua" w:cs="Times New Roman"/>
          <w:sz w:val="24"/>
          <w:szCs w:val="24"/>
          <w:lang w:val="en-GB"/>
        </w:rPr>
        <w:t> </w:t>
      </w:r>
      <w:r w:rsidR="00D564AD" w:rsidRPr="00C67AD0">
        <w:rPr>
          <w:rFonts w:ascii="Book Antiqua" w:hAnsi="Book Antiqua" w:cs="Times New Roman"/>
          <w:sz w:val="24"/>
          <w:szCs w:val="24"/>
          <w:lang w:val="en-GB"/>
        </w:rPr>
        <w:sym w:font="Symbol" w:char="F0B4"/>
      </w:r>
      <w:r w:rsidR="00D564AD" w:rsidRPr="00C67AD0">
        <w:rPr>
          <w:rFonts w:ascii="Book Antiqua" w:hAnsi="Book Antiqua" w:cs="Times New Roman"/>
          <w:sz w:val="24"/>
          <w:szCs w:val="24"/>
          <w:lang w:val="en-GB"/>
        </w:rPr>
        <w:t> </w:t>
      </w:r>
      <w:r w:rsidR="009974C1" w:rsidRPr="00C67AD0">
        <w:rPr>
          <w:rFonts w:ascii="Book Antiqua" w:hAnsi="Book Antiqua" w:cs="Times New Roman"/>
          <w:sz w:val="24"/>
          <w:szCs w:val="24"/>
          <w:lang w:val="en-GB"/>
        </w:rPr>
        <w:t>10</w:t>
      </w:r>
      <w:r w:rsidR="009974C1" w:rsidRPr="00C67AD0">
        <w:rPr>
          <w:rFonts w:ascii="Book Antiqua" w:hAnsi="Book Antiqua" w:cs="Times New Roman"/>
          <w:sz w:val="24"/>
          <w:szCs w:val="24"/>
          <w:vertAlign w:val="superscript"/>
          <w:lang w:val="en-GB"/>
        </w:rPr>
        <w:t>5</w:t>
      </w:r>
      <w:r w:rsidR="00A213D5" w:rsidRPr="00C67AD0">
        <w:rPr>
          <w:rFonts w:ascii="Book Antiqua" w:hAnsi="Book Antiqua" w:cs="Times New Roman"/>
          <w:sz w:val="24"/>
          <w:szCs w:val="24"/>
          <w:lang w:val="en-GB"/>
        </w:rPr>
        <w:t>/</w:t>
      </w:r>
      <w:r w:rsidR="009974C1" w:rsidRPr="00C67AD0">
        <w:rPr>
          <w:rFonts w:ascii="Book Antiqua" w:hAnsi="Book Antiqua" w:cs="Times New Roman"/>
          <w:sz w:val="24"/>
          <w:szCs w:val="24"/>
          <w:lang w:val="en-GB"/>
        </w:rPr>
        <w:t>well</w:t>
      </w:r>
      <w:r w:rsidR="00A213D5" w:rsidRPr="00C67AD0">
        <w:rPr>
          <w:rFonts w:ascii="Book Antiqua" w:hAnsi="Book Antiqua" w:cs="Times New Roman"/>
          <w:sz w:val="24"/>
          <w:szCs w:val="24"/>
          <w:lang w:val="en-GB"/>
        </w:rPr>
        <w:t xml:space="preserve"> in </w:t>
      </w:r>
      <w:r w:rsidR="009974C1" w:rsidRPr="00C67AD0">
        <w:rPr>
          <w:rFonts w:ascii="Book Antiqua" w:hAnsi="Book Antiqua" w:cs="Times New Roman"/>
          <w:sz w:val="24"/>
          <w:szCs w:val="24"/>
          <w:lang w:val="en-GB"/>
        </w:rPr>
        <w:t>12</w:t>
      </w:r>
      <w:r w:rsidR="00A213D5" w:rsidRPr="00C67AD0">
        <w:rPr>
          <w:rFonts w:ascii="Book Antiqua" w:hAnsi="Book Antiqua" w:cs="Times New Roman"/>
          <w:sz w:val="24"/>
          <w:szCs w:val="24"/>
          <w:lang w:val="en-GB"/>
        </w:rPr>
        <w:t>-well culture</w:t>
      </w:r>
      <w:r w:rsidR="009974C1" w:rsidRPr="00C67AD0">
        <w:rPr>
          <w:rFonts w:ascii="Book Antiqua" w:hAnsi="Book Antiqua" w:cs="Times New Roman"/>
          <w:sz w:val="24"/>
          <w:szCs w:val="24"/>
          <w:lang w:val="en-GB"/>
        </w:rPr>
        <w:t xml:space="preserve"> </w:t>
      </w:r>
      <w:r w:rsidR="00A213D5" w:rsidRPr="00C67AD0">
        <w:rPr>
          <w:rFonts w:ascii="Book Antiqua" w:hAnsi="Book Antiqua" w:cs="Times New Roman"/>
          <w:sz w:val="24"/>
          <w:szCs w:val="24"/>
          <w:lang w:val="en-GB"/>
        </w:rPr>
        <w:t>plates</w:t>
      </w:r>
      <w:r w:rsidR="00754604" w:rsidRPr="00C67AD0">
        <w:rPr>
          <w:rFonts w:ascii="Book Antiqua" w:hAnsi="Book Antiqua" w:cs="Times New Roman"/>
          <w:sz w:val="24"/>
          <w:szCs w:val="24"/>
          <w:lang w:val="en-GB"/>
        </w:rPr>
        <w:t>,</w:t>
      </w:r>
      <w:r w:rsidR="00A213D5" w:rsidRPr="00C67AD0">
        <w:rPr>
          <w:rFonts w:ascii="Book Antiqua" w:hAnsi="Book Antiqua" w:cs="Times New Roman"/>
          <w:sz w:val="24"/>
          <w:szCs w:val="24"/>
          <w:lang w:val="en-GB"/>
        </w:rPr>
        <w:t xml:space="preserve"> </w:t>
      </w:r>
      <w:r w:rsidR="009974C1" w:rsidRPr="00C67AD0">
        <w:rPr>
          <w:rFonts w:ascii="Book Antiqua" w:hAnsi="Book Antiqua" w:cs="Times New Roman"/>
          <w:sz w:val="24"/>
          <w:szCs w:val="24"/>
          <w:lang w:val="en-GB"/>
        </w:rPr>
        <w:t xml:space="preserve">or </w:t>
      </w:r>
      <w:r w:rsidR="007E06FF" w:rsidRPr="00C67AD0">
        <w:rPr>
          <w:rFonts w:ascii="Book Antiqua" w:hAnsi="Book Antiqua" w:cs="Times New Roman"/>
          <w:sz w:val="24"/>
          <w:szCs w:val="24"/>
          <w:lang w:val="en-GB"/>
        </w:rPr>
        <w:t xml:space="preserve">at a density of </w:t>
      </w:r>
      <w:r w:rsidR="009974C1" w:rsidRPr="00C67AD0">
        <w:rPr>
          <w:rFonts w:ascii="Book Antiqua" w:hAnsi="Book Antiqua" w:cs="Times New Roman"/>
          <w:sz w:val="24"/>
          <w:szCs w:val="24"/>
          <w:lang w:val="en-GB"/>
        </w:rPr>
        <w:t>2</w:t>
      </w:r>
      <w:r w:rsidR="00EE5C62">
        <w:rPr>
          <w:rFonts w:ascii="Book Antiqua" w:hAnsi="Book Antiqua" w:cs="Times New Roman"/>
          <w:sz w:val="24"/>
          <w:szCs w:val="24"/>
          <w:lang w:val="en-GB"/>
        </w:rPr>
        <w:t xml:space="preserve"> </w:t>
      </w:r>
      <w:r w:rsidR="00D564AD" w:rsidRPr="006155E4">
        <w:rPr>
          <w:rFonts w:ascii="Book Antiqua" w:hAnsi="Book Antiqua" w:cs="Times New Roman"/>
          <w:sz w:val="24"/>
          <w:szCs w:val="24"/>
          <w:lang w:val="en-GB"/>
        </w:rPr>
        <w:sym w:font="Symbol" w:char="F0B4"/>
      </w:r>
      <w:r w:rsidR="00EE5C62">
        <w:rPr>
          <w:rFonts w:ascii="Book Antiqua" w:hAnsi="Book Antiqua" w:cs="Times New Roman"/>
          <w:sz w:val="24"/>
          <w:szCs w:val="24"/>
          <w:lang w:val="en-GB"/>
        </w:rPr>
        <w:t xml:space="preserve"> </w:t>
      </w:r>
      <w:r w:rsidR="009974C1" w:rsidRPr="00C67AD0">
        <w:rPr>
          <w:rFonts w:ascii="Book Antiqua" w:hAnsi="Book Antiqua" w:cs="Times New Roman"/>
          <w:sz w:val="24"/>
          <w:szCs w:val="24"/>
          <w:lang w:val="en-GB"/>
        </w:rPr>
        <w:t>10</w:t>
      </w:r>
      <w:r w:rsidR="009974C1" w:rsidRPr="00C67AD0">
        <w:rPr>
          <w:rFonts w:ascii="Book Antiqua" w:hAnsi="Book Antiqua" w:cs="Times New Roman"/>
          <w:sz w:val="24"/>
          <w:szCs w:val="24"/>
          <w:vertAlign w:val="superscript"/>
          <w:lang w:val="en-GB"/>
        </w:rPr>
        <w:t>4</w:t>
      </w:r>
      <w:r w:rsidR="009974C1" w:rsidRPr="00C67AD0">
        <w:rPr>
          <w:rFonts w:ascii="Book Antiqua" w:hAnsi="Book Antiqua" w:cs="Times New Roman"/>
          <w:sz w:val="24"/>
          <w:szCs w:val="24"/>
          <w:lang w:val="en-GB"/>
        </w:rPr>
        <w:t>/well in 96-well plates</w:t>
      </w:r>
      <w:r w:rsidR="00754604" w:rsidRPr="00C67AD0">
        <w:rPr>
          <w:rFonts w:ascii="Book Antiqua" w:hAnsi="Book Antiqua" w:cs="Times New Roman"/>
          <w:sz w:val="24"/>
          <w:szCs w:val="24"/>
          <w:lang w:val="en-GB"/>
        </w:rPr>
        <w:t>,</w:t>
      </w:r>
      <w:r w:rsidR="009974C1" w:rsidRPr="00C67AD0">
        <w:rPr>
          <w:rFonts w:ascii="Book Antiqua" w:hAnsi="Book Antiqua" w:cs="Times New Roman"/>
          <w:sz w:val="24"/>
          <w:szCs w:val="24"/>
          <w:lang w:val="en-GB"/>
        </w:rPr>
        <w:t xml:space="preserve"> </w:t>
      </w:r>
      <w:r w:rsidR="00A213D5" w:rsidRPr="00C67AD0">
        <w:rPr>
          <w:rFonts w:ascii="Book Antiqua" w:hAnsi="Book Antiqua" w:cs="Times New Roman"/>
          <w:sz w:val="24"/>
          <w:szCs w:val="24"/>
          <w:lang w:val="en-GB"/>
        </w:rPr>
        <w:t xml:space="preserve">and allowed to attach for </w:t>
      </w:r>
      <w:r w:rsidR="00F95DF1" w:rsidRPr="00C67AD0">
        <w:rPr>
          <w:rFonts w:ascii="Book Antiqua" w:hAnsi="Book Antiqua" w:cs="Times New Roman"/>
          <w:sz w:val="24"/>
          <w:szCs w:val="24"/>
          <w:lang w:val="en-GB"/>
        </w:rPr>
        <w:t xml:space="preserve">24 </w:t>
      </w:r>
      <w:r w:rsidR="00754604" w:rsidRPr="00C67AD0">
        <w:rPr>
          <w:rFonts w:ascii="Book Antiqua" w:hAnsi="Book Antiqua" w:cs="Times New Roman"/>
          <w:sz w:val="24"/>
          <w:szCs w:val="24"/>
          <w:lang w:val="en-GB"/>
        </w:rPr>
        <w:t xml:space="preserve">h </w:t>
      </w:r>
      <w:r w:rsidR="00F95DF1" w:rsidRPr="00C67AD0">
        <w:rPr>
          <w:rFonts w:ascii="Book Antiqua" w:hAnsi="Book Antiqua" w:cs="Times New Roman"/>
          <w:sz w:val="24"/>
          <w:szCs w:val="24"/>
          <w:lang w:val="en-GB"/>
        </w:rPr>
        <w:t xml:space="preserve">or 48 </w:t>
      </w:r>
      <w:r w:rsidR="00754604" w:rsidRPr="00C67AD0">
        <w:rPr>
          <w:rFonts w:ascii="Book Antiqua" w:hAnsi="Book Antiqua" w:cs="Times New Roman"/>
          <w:sz w:val="24"/>
          <w:szCs w:val="24"/>
          <w:lang w:val="en-GB"/>
        </w:rPr>
        <w:t>h</w:t>
      </w:r>
      <w:r w:rsidR="00A213D5" w:rsidRPr="00C67AD0">
        <w:rPr>
          <w:rFonts w:ascii="Book Antiqua" w:hAnsi="Book Antiqua" w:cs="Times New Roman"/>
          <w:sz w:val="24"/>
          <w:szCs w:val="24"/>
          <w:lang w:val="en-GB"/>
        </w:rPr>
        <w:t>.</w:t>
      </w:r>
      <w:r w:rsidR="00F3302B" w:rsidRPr="00C67AD0">
        <w:rPr>
          <w:rFonts w:ascii="Book Antiqua" w:hAnsi="Book Antiqua" w:cs="Times New Roman"/>
          <w:sz w:val="24"/>
          <w:szCs w:val="24"/>
          <w:lang w:val="en-GB"/>
        </w:rPr>
        <w:t xml:space="preserve"> C</w:t>
      </w:r>
      <w:r w:rsidR="00A213D5" w:rsidRPr="00C67AD0">
        <w:rPr>
          <w:rFonts w:ascii="Book Antiqua" w:hAnsi="Book Antiqua" w:cs="Times New Roman"/>
          <w:sz w:val="24"/>
          <w:szCs w:val="24"/>
          <w:lang w:val="en-GB"/>
        </w:rPr>
        <w:t xml:space="preserve">ells were </w:t>
      </w:r>
      <w:proofErr w:type="spellStart"/>
      <w:r w:rsidR="00A213D5" w:rsidRPr="00C67AD0">
        <w:rPr>
          <w:rFonts w:ascii="Book Antiqua" w:hAnsi="Book Antiqua" w:cs="Times New Roman"/>
          <w:sz w:val="24"/>
          <w:szCs w:val="24"/>
          <w:lang w:val="en-GB"/>
        </w:rPr>
        <w:t>pretreated</w:t>
      </w:r>
      <w:proofErr w:type="spellEnd"/>
      <w:r w:rsidR="00A213D5" w:rsidRPr="00C67AD0">
        <w:rPr>
          <w:rFonts w:ascii="Book Antiqua" w:hAnsi="Book Antiqua" w:cs="Times New Roman"/>
          <w:sz w:val="24"/>
          <w:szCs w:val="24"/>
          <w:lang w:val="en-GB"/>
        </w:rPr>
        <w:t xml:space="preserve"> with PEG35 </w:t>
      </w:r>
      <w:r w:rsidR="009974C1" w:rsidRPr="00C67AD0">
        <w:rPr>
          <w:rFonts w:ascii="Book Antiqua" w:hAnsi="Book Antiqua" w:cs="Times New Roman"/>
          <w:sz w:val="24"/>
          <w:szCs w:val="24"/>
          <w:lang w:val="en-GB"/>
        </w:rPr>
        <w:t xml:space="preserve">diluted in </w:t>
      </w:r>
      <w:r w:rsidR="00A213D5" w:rsidRPr="00C67AD0">
        <w:rPr>
          <w:rFonts w:ascii="Book Antiqua" w:hAnsi="Book Antiqua" w:cs="Times New Roman"/>
          <w:sz w:val="24"/>
          <w:szCs w:val="24"/>
          <w:lang w:val="en-GB"/>
        </w:rPr>
        <w:t xml:space="preserve">PBS, at a concentration of 0.5, 1, 2, 4, </w:t>
      </w:r>
      <w:r w:rsidR="00F3302B" w:rsidRPr="00C67AD0">
        <w:rPr>
          <w:rFonts w:ascii="Book Antiqua" w:hAnsi="Book Antiqua" w:cs="Times New Roman"/>
          <w:sz w:val="24"/>
          <w:szCs w:val="24"/>
          <w:lang w:val="en-GB"/>
        </w:rPr>
        <w:t xml:space="preserve">or </w:t>
      </w:r>
      <w:r w:rsidR="00A213D5" w:rsidRPr="00C67AD0">
        <w:rPr>
          <w:rFonts w:ascii="Book Antiqua" w:hAnsi="Book Antiqua" w:cs="Times New Roman"/>
          <w:sz w:val="24"/>
          <w:szCs w:val="24"/>
          <w:lang w:val="en-GB"/>
        </w:rPr>
        <w:t xml:space="preserve">6% </w:t>
      </w:r>
      <w:r w:rsidR="00B76D5C" w:rsidRPr="00C67AD0">
        <w:rPr>
          <w:rFonts w:ascii="Book Antiqua" w:hAnsi="Book Antiqua" w:cs="Times New Roman"/>
          <w:sz w:val="24"/>
          <w:szCs w:val="24"/>
          <w:lang w:val="en-GB"/>
        </w:rPr>
        <w:t xml:space="preserve">for </w:t>
      </w:r>
      <w:r w:rsidR="00A213D5" w:rsidRPr="00C67AD0">
        <w:rPr>
          <w:rFonts w:ascii="Book Antiqua" w:hAnsi="Book Antiqua" w:cs="Times New Roman"/>
          <w:sz w:val="24"/>
          <w:szCs w:val="24"/>
          <w:lang w:val="en-GB"/>
        </w:rPr>
        <w:t xml:space="preserve">30 </w:t>
      </w:r>
      <w:r w:rsidR="00CA2A92" w:rsidRPr="00C67AD0">
        <w:rPr>
          <w:rFonts w:ascii="Book Antiqua" w:hAnsi="Book Antiqua" w:cs="Times New Roman"/>
          <w:sz w:val="24"/>
          <w:szCs w:val="24"/>
          <w:lang w:val="en-GB"/>
        </w:rPr>
        <w:t xml:space="preserve">min </w:t>
      </w:r>
      <w:r w:rsidR="009974C1" w:rsidRPr="00C67AD0">
        <w:rPr>
          <w:rFonts w:ascii="Book Antiqua" w:hAnsi="Book Antiqua" w:cs="Times New Roman"/>
          <w:sz w:val="24"/>
          <w:szCs w:val="24"/>
          <w:lang w:val="en-GB"/>
        </w:rPr>
        <w:t xml:space="preserve">prior to treatment </w:t>
      </w:r>
      <w:r w:rsidR="00A007D4" w:rsidRPr="00C67AD0">
        <w:rPr>
          <w:rFonts w:ascii="Book Antiqua" w:hAnsi="Book Antiqua" w:cs="Times New Roman"/>
          <w:sz w:val="24"/>
          <w:szCs w:val="24"/>
          <w:lang w:val="en-GB"/>
        </w:rPr>
        <w:t xml:space="preserve">with the </w:t>
      </w:r>
      <w:r w:rsidR="009974C1" w:rsidRPr="00C67AD0">
        <w:rPr>
          <w:rFonts w:ascii="Book Antiqua" w:hAnsi="Book Antiqua" w:cs="Times New Roman"/>
          <w:sz w:val="24"/>
          <w:szCs w:val="24"/>
          <w:lang w:val="en-GB"/>
        </w:rPr>
        <w:t>appropriate stimuli</w:t>
      </w:r>
      <w:r w:rsidR="007A61B7" w:rsidRPr="00C67AD0">
        <w:rPr>
          <w:rFonts w:ascii="Book Antiqua" w:hAnsi="Book Antiqua" w:cs="Times New Roman"/>
          <w:sz w:val="24"/>
          <w:szCs w:val="24"/>
          <w:lang w:val="en-GB"/>
        </w:rPr>
        <w:t xml:space="preserve">: </w:t>
      </w:r>
      <w:r w:rsidR="0080252E" w:rsidRPr="00C67AD0">
        <w:rPr>
          <w:rFonts w:ascii="Book Antiqua" w:hAnsi="Book Antiqua" w:cs="Times New Roman"/>
          <w:sz w:val="24"/>
          <w:szCs w:val="24"/>
          <w:lang w:val="en-GB"/>
        </w:rPr>
        <w:t>2 µ</w:t>
      </w:r>
      <w:r w:rsidR="006155E4">
        <w:rPr>
          <w:rFonts w:ascii="Book Antiqua" w:hAnsi="Book Antiqua" w:cs="Times New Roman" w:hint="eastAsia"/>
          <w:sz w:val="24"/>
          <w:szCs w:val="24"/>
          <w:lang w:val="en-GB" w:eastAsia="zh-CN"/>
        </w:rPr>
        <w:t>mol/L</w:t>
      </w:r>
      <w:r w:rsidR="0080252E" w:rsidRPr="00C67AD0">
        <w:rPr>
          <w:rFonts w:ascii="Book Antiqua" w:hAnsi="Book Antiqua" w:cs="Times New Roman"/>
          <w:sz w:val="24"/>
          <w:szCs w:val="24"/>
          <w:lang w:val="en-GB"/>
        </w:rPr>
        <w:t xml:space="preserve"> or </w:t>
      </w:r>
      <w:r w:rsidR="00165E67" w:rsidRPr="00C67AD0">
        <w:rPr>
          <w:rFonts w:ascii="Book Antiqua" w:hAnsi="Book Antiqua" w:cs="Times New Roman"/>
          <w:sz w:val="24"/>
          <w:szCs w:val="24"/>
          <w:lang w:val="en-GB"/>
        </w:rPr>
        <w:t>4</w:t>
      </w:r>
      <w:r w:rsidR="0027011E" w:rsidRPr="00C67AD0">
        <w:rPr>
          <w:rFonts w:ascii="Book Antiqua" w:hAnsi="Book Antiqua" w:cs="Times New Roman"/>
          <w:sz w:val="24"/>
          <w:szCs w:val="24"/>
          <w:lang w:val="en-GB"/>
        </w:rPr>
        <w:t xml:space="preserve"> </w:t>
      </w:r>
      <w:r w:rsidR="009974C1" w:rsidRPr="00C67AD0">
        <w:rPr>
          <w:rFonts w:ascii="Book Antiqua" w:hAnsi="Book Antiqua" w:cs="Times New Roman"/>
          <w:sz w:val="24"/>
          <w:szCs w:val="24"/>
          <w:lang w:val="en-GB"/>
        </w:rPr>
        <w:t>µ</w:t>
      </w:r>
      <w:proofErr w:type="spellStart"/>
      <w:r w:rsidR="006155E4">
        <w:rPr>
          <w:rFonts w:ascii="Book Antiqua" w:hAnsi="Book Antiqua" w:cs="Times New Roman" w:hint="eastAsia"/>
          <w:sz w:val="24"/>
          <w:szCs w:val="24"/>
          <w:lang w:val="en-GB" w:eastAsia="zh-CN"/>
        </w:rPr>
        <w:t>mol</w:t>
      </w:r>
      <w:proofErr w:type="spellEnd"/>
      <w:r w:rsidR="006155E4">
        <w:rPr>
          <w:rFonts w:ascii="Book Antiqua" w:hAnsi="Book Antiqua" w:cs="Times New Roman" w:hint="eastAsia"/>
          <w:sz w:val="24"/>
          <w:szCs w:val="24"/>
          <w:lang w:val="en-GB" w:eastAsia="zh-CN"/>
        </w:rPr>
        <w:t>/L</w:t>
      </w:r>
      <w:r w:rsidR="009974C1" w:rsidRPr="00C67AD0">
        <w:rPr>
          <w:rFonts w:ascii="Book Antiqua" w:hAnsi="Book Antiqua" w:cs="Times New Roman"/>
          <w:sz w:val="24"/>
          <w:szCs w:val="24"/>
          <w:lang w:val="en-GB"/>
        </w:rPr>
        <w:t xml:space="preserve"> </w:t>
      </w:r>
      <w:proofErr w:type="spellStart"/>
      <w:r w:rsidR="009974C1" w:rsidRPr="00C67AD0">
        <w:rPr>
          <w:rFonts w:ascii="Book Antiqua" w:hAnsi="Book Antiqua" w:cs="Times New Roman"/>
          <w:sz w:val="24"/>
          <w:szCs w:val="24"/>
          <w:lang w:val="en-GB"/>
        </w:rPr>
        <w:t>staurosporine</w:t>
      </w:r>
      <w:proofErr w:type="spellEnd"/>
      <w:r w:rsidR="009974C1" w:rsidRPr="00C67AD0">
        <w:rPr>
          <w:rFonts w:ascii="Book Antiqua" w:hAnsi="Book Antiqua" w:cs="Times New Roman"/>
          <w:sz w:val="24"/>
          <w:szCs w:val="24"/>
          <w:lang w:val="en-GB"/>
        </w:rPr>
        <w:t>, 100</w:t>
      </w:r>
      <w:r w:rsidR="00F95DF1" w:rsidRPr="00C67AD0">
        <w:rPr>
          <w:rFonts w:ascii="Book Antiqua" w:hAnsi="Book Antiqua" w:cs="Times New Roman"/>
          <w:sz w:val="24"/>
          <w:szCs w:val="24"/>
          <w:lang w:val="en-GB"/>
        </w:rPr>
        <w:t xml:space="preserve"> </w:t>
      </w:r>
      <w:r w:rsidR="00B76D5C" w:rsidRPr="00C67AD0">
        <w:rPr>
          <w:rFonts w:ascii="Book Antiqua" w:hAnsi="Book Antiqua" w:cs="Times New Roman"/>
          <w:sz w:val="24"/>
          <w:szCs w:val="24"/>
          <w:lang w:val="en-GB"/>
        </w:rPr>
        <w:t>n</w:t>
      </w:r>
      <w:r w:rsidR="009974C1" w:rsidRPr="00C67AD0">
        <w:rPr>
          <w:rFonts w:ascii="Book Antiqua" w:hAnsi="Book Antiqua" w:cs="Times New Roman"/>
          <w:sz w:val="24"/>
          <w:szCs w:val="24"/>
          <w:lang w:val="en-GB"/>
        </w:rPr>
        <w:t>g/m</w:t>
      </w:r>
      <w:r w:rsidR="00BE2FF0" w:rsidRPr="00C67AD0">
        <w:rPr>
          <w:rFonts w:ascii="Book Antiqua" w:hAnsi="Book Antiqua" w:cs="Times New Roman"/>
          <w:sz w:val="24"/>
          <w:szCs w:val="24"/>
          <w:lang w:val="en-GB"/>
        </w:rPr>
        <w:t>L</w:t>
      </w:r>
      <w:r w:rsidR="009974C1" w:rsidRPr="00C67AD0">
        <w:rPr>
          <w:rFonts w:ascii="Book Antiqua" w:hAnsi="Book Antiqua" w:cs="Times New Roman"/>
          <w:sz w:val="24"/>
          <w:szCs w:val="24"/>
          <w:lang w:val="en-GB"/>
        </w:rPr>
        <w:t xml:space="preserve"> TNFα</w:t>
      </w:r>
      <w:r w:rsidR="00956F9A" w:rsidRPr="00C67AD0">
        <w:rPr>
          <w:rFonts w:ascii="Book Antiqua" w:hAnsi="Book Antiqua" w:cs="Times New Roman"/>
          <w:sz w:val="24"/>
          <w:szCs w:val="24"/>
          <w:lang w:val="en-GB"/>
        </w:rPr>
        <w:t xml:space="preserve"> or</w:t>
      </w:r>
      <w:r w:rsidR="009974C1" w:rsidRPr="00C67AD0">
        <w:rPr>
          <w:rFonts w:ascii="Book Antiqua" w:hAnsi="Book Antiqua" w:cs="Times New Roman"/>
          <w:sz w:val="24"/>
          <w:szCs w:val="24"/>
          <w:lang w:val="en-GB"/>
        </w:rPr>
        <w:t xml:space="preserve"> </w:t>
      </w:r>
      <w:r w:rsidR="00B76D5C" w:rsidRPr="00C67AD0">
        <w:rPr>
          <w:rFonts w:ascii="Book Antiqua" w:hAnsi="Book Antiqua" w:cs="Times New Roman"/>
          <w:sz w:val="24"/>
          <w:szCs w:val="24"/>
          <w:lang w:val="en-GB"/>
        </w:rPr>
        <w:t>10</w:t>
      </w:r>
      <w:r w:rsidR="00F95DF1" w:rsidRPr="00C67AD0">
        <w:rPr>
          <w:rFonts w:ascii="Book Antiqua" w:hAnsi="Book Antiqua" w:cs="Times New Roman"/>
          <w:sz w:val="24"/>
          <w:szCs w:val="24"/>
          <w:lang w:val="en-GB"/>
        </w:rPr>
        <w:t xml:space="preserve"> </w:t>
      </w:r>
      <w:proofErr w:type="spellStart"/>
      <w:r w:rsidR="009974C1" w:rsidRPr="00C67AD0">
        <w:rPr>
          <w:rFonts w:ascii="Book Antiqua" w:hAnsi="Book Antiqua" w:cs="Times New Roman"/>
          <w:sz w:val="24"/>
          <w:szCs w:val="24"/>
          <w:lang w:val="en-GB"/>
        </w:rPr>
        <w:t>nM</w:t>
      </w:r>
      <w:proofErr w:type="spellEnd"/>
      <w:r w:rsidR="009974C1" w:rsidRPr="00C67AD0">
        <w:rPr>
          <w:rFonts w:ascii="Book Antiqua" w:hAnsi="Book Antiqua" w:cs="Times New Roman"/>
          <w:sz w:val="24"/>
          <w:szCs w:val="24"/>
          <w:lang w:val="en-GB"/>
        </w:rPr>
        <w:t xml:space="preserve"> </w:t>
      </w:r>
      <w:proofErr w:type="spellStart"/>
      <w:r w:rsidR="009974C1" w:rsidRPr="00C67AD0">
        <w:rPr>
          <w:rFonts w:ascii="Book Antiqua" w:hAnsi="Book Antiqua" w:cs="Times New Roman"/>
          <w:sz w:val="24"/>
          <w:szCs w:val="24"/>
          <w:lang w:val="en-GB"/>
        </w:rPr>
        <w:t>cerulein</w:t>
      </w:r>
      <w:proofErr w:type="spellEnd"/>
      <w:r w:rsidR="00A213D5" w:rsidRPr="00C67AD0">
        <w:rPr>
          <w:rFonts w:ascii="Book Antiqua" w:hAnsi="Book Antiqua" w:cs="Times New Roman"/>
          <w:sz w:val="24"/>
          <w:szCs w:val="24"/>
          <w:lang w:val="en-GB"/>
        </w:rPr>
        <w:t xml:space="preserve">. </w:t>
      </w:r>
      <w:r w:rsidR="00917F95" w:rsidRPr="00C67AD0">
        <w:rPr>
          <w:rFonts w:ascii="Book Antiqua" w:hAnsi="Book Antiqua" w:cs="Times New Roman"/>
          <w:sz w:val="24"/>
          <w:szCs w:val="24"/>
          <w:lang w:val="en-GB"/>
        </w:rPr>
        <w:t xml:space="preserve">All three reagents were purchased from Sigma-Aldrich (St. Louis, MO, </w:t>
      </w:r>
      <w:r w:rsidR="00BC5EC0" w:rsidRPr="00C67AD0">
        <w:rPr>
          <w:rFonts w:ascii="Book Antiqua" w:hAnsi="Book Antiqua" w:cs="Times New Roman"/>
          <w:bCs/>
          <w:sz w:val="24"/>
          <w:szCs w:val="24"/>
          <w:lang w:val="en-GB"/>
        </w:rPr>
        <w:t>U</w:t>
      </w:r>
      <w:r w:rsidR="00BC5EC0" w:rsidRPr="00C67AD0">
        <w:rPr>
          <w:rFonts w:ascii="Book Antiqua" w:hAnsi="Book Antiqua" w:cs="Times New Roman" w:hint="eastAsia"/>
          <w:bCs/>
          <w:sz w:val="24"/>
          <w:szCs w:val="24"/>
          <w:lang w:val="en-GB" w:eastAsia="zh-CN"/>
        </w:rPr>
        <w:t>nited States</w:t>
      </w:r>
      <w:r w:rsidR="00917F95" w:rsidRPr="00C67AD0">
        <w:rPr>
          <w:rFonts w:ascii="Book Antiqua" w:hAnsi="Book Antiqua" w:cs="Times New Roman"/>
          <w:sz w:val="24"/>
          <w:szCs w:val="24"/>
          <w:lang w:val="en-GB"/>
        </w:rPr>
        <w:t xml:space="preserve">). </w:t>
      </w:r>
      <w:r w:rsidR="00E30D65" w:rsidRPr="00C67AD0">
        <w:rPr>
          <w:rFonts w:ascii="Book Antiqua" w:hAnsi="Book Antiqua" w:cs="Times New Roman"/>
          <w:sz w:val="24"/>
          <w:szCs w:val="24"/>
          <w:lang w:val="en-GB"/>
        </w:rPr>
        <w:t>T</w:t>
      </w:r>
      <w:r w:rsidR="008A1001" w:rsidRPr="00C67AD0">
        <w:rPr>
          <w:rFonts w:ascii="Book Antiqua" w:hAnsi="Book Antiqua" w:cs="Times New Roman"/>
          <w:sz w:val="24"/>
          <w:szCs w:val="24"/>
          <w:lang w:val="en-GB"/>
        </w:rPr>
        <w:t xml:space="preserve">ime points of </w:t>
      </w:r>
      <w:r w:rsidR="0091077C" w:rsidRPr="00C67AD0">
        <w:rPr>
          <w:rFonts w:ascii="Book Antiqua" w:hAnsi="Book Antiqua" w:cs="Times New Roman"/>
          <w:sz w:val="24"/>
          <w:szCs w:val="24"/>
          <w:lang w:val="en-GB"/>
        </w:rPr>
        <w:t xml:space="preserve">3 </w:t>
      </w:r>
      <w:r w:rsidR="00E30D65" w:rsidRPr="00C67AD0">
        <w:rPr>
          <w:rFonts w:ascii="Book Antiqua" w:hAnsi="Book Antiqua" w:cs="Times New Roman"/>
          <w:sz w:val="24"/>
          <w:szCs w:val="24"/>
          <w:lang w:val="en-GB"/>
        </w:rPr>
        <w:t xml:space="preserve">h were used </w:t>
      </w:r>
      <w:r w:rsidR="008A1001" w:rsidRPr="00C67AD0">
        <w:rPr>
          <w:rFonts w:ascii="Book Antiqua" w:hAnsi="Book Antiqua" w:cs="Times New Roman"/>
          <w:sz w:val="24"/>
          <w:szCs w:val="24"/>
          <w:lang w:val="en-GB"/>
        </w:rPr>
        <w:t>for TNFα treatment</w:t>
      </w:r>
      <w:r w:rsidR="003A0838" w:rsidRPr="00C67AD0">
        <w:rPr>
          <w:rFonts w:ascii="Book Antiqua" w:hAnsi="Book Antiqua" w:cs="Times New Roman"/>
          <w:sz w:val="24"/>
          <w:szCs w:val="24"/>
          <w:lang w:val="en-GB"/>
        </w:rPr>
        <w:t>,</w:t>
      </w:r>
      <w:r w:rsidR="008A1001" w:rsidRPr="00C67AD0">
        <w:rPr>
          <w:rFonts w:ascii="Book Antiqua" w:hAnsi="Book Antiqua" w:cs="Times New Roman"/>
          <w:sz w:val="24"/>
          <w:szCs w:val="24"/>
          <w:lang w:val="en-GB"/>
        </w:rPr>
        <w:t xml:space="preserve"> and </w:t>
      </w:r>
      <w:r w:rsidR="00E30D65" w:rsidRPr="00C67AD0">
        <w:rPr>
          <w:rFonts w:ascii="Book Antiqua" w:hAnsi="Book Antiqua" w:cs="Times New Roman"/>
          <w:sz w:val="24"/>
          <w:szCs w:val="24"/>
          <w:lang w:val="en-GB"/>
        </w:rPr>
        <w:t xml:space="preserve">of </w:t>
      </w:r>
      <w:r w:rsidR="008A1001" w:rsidRPr="00C67AD0">
        <w:rPr>
          <w:rFonts w:ascii="Book Antiqua" w:hAnsi="Book Antiqua" w:cs="Times New Roman"/>
          <w:sz w:val="24"/>
          <w:szCs w:val="24"/>
          <w:lang w:val="en-GB"/>
        </w:rPr>
        <w:t xml:space="preserve">24 </w:t>
      </w:r>
      <w:r w:rsidR="003A0838" w:rsidRPr="00C67AD0">
        <w:rPr>
          <w:rFonts w:ascii="Book Antiqua" w:hAnsi="Book Antiqua" w:cs="Times New Roman"/>
          <w:sz w:val="24"/>
          <w:szCs w:val="24"/>
          <w:lang w:val="en-GB"/>
        </w:rPr>
        <w:t xml:space="preserve">h </w:t>
      </w:r>
      <w:r w:rsidR="008A1001" w:rsidRPr="00C67AD0">
        <w:rPr>
          <w:rFonts w:ascii="Book Antiqua" w:hAnsi="Book Antiqua" w:cs="Times New Roman"/>
          <w:sz w:val="24"/>
          <w:szCs w:val="24"/>
          <w:lang w:val="en-GB"/>
        </w:rPr>
        <w:t xml:space="preserve">for the </w:t>
      </w:r>
      <w:r w:rsidR="003A0838" w:rsidRPr="00C67AD0">
        <w:rPr>
          <w:rFonts w:ascii="Book Antiqua" w:hAnsi="Book Antiqua" w:cs="Times New Roman"/>
          <w:sz w:val="24"/>
          <w:szCs w:val="24"/>
          <w:lang w:val="en-GB"/>
        </w:rPr>
        <w:t xml:space="preserve">remaining </w:t>
      </w:r>
      <w:r w:rsidR="008A1001" w:rsidRPr="00C67AD0">
        <w:rPr>
          <w:rFonts w:ascii="Book Antiqua" w:hAnsi="Book Antiqua" w:cs="Times New Roman"/>
          <w:sz w:val="24"/>
          <w:szCs w:val="24"/>
          <w:lang w:val="en-GB"/>
        </w:rPr>
        <w:t xml:space="preserve">stimuli. </w:t>
      </w:r>
    </w:p>
    <w:p w14:paraId="5ABD303F" w14:textId="77777777" w:rsidR="009C5B30" w:rsidRPr="00C67AD0" w:rsidRDefault="009C5B30" w:rsidP="00B8567E">
      <w:pPr>
        <w:tabs>
          <w:tab w:val="left" w:pos="284"/>
        </w:tabs>
        <w:spacing w:line="360" w:lineRule="auto"/>
        <w:contextualSpacing/>
        <w:jc w:val="both"/>
        <w:rPr>
          <w:rFonts w:ascii="Book Antiqua" w:hAnsi="Book Antiqua" w:cs="Times New Roman"/>
          <w:b/>
          <w:i/>
          <w:iCs/>
          <w:sz w:val="24"/>
          <w:szCs w:val="24"/>
          <w:lang w:val="en-GB"/>
        </w:rPr>
      </w:pPr>
    </w:p>
    <w:p w14:paraId="09642832" w14:textId="26F0B7E1" w:rsidR="00D4794F" w:rsidRPr="00C67AD0" w:rsidRDefault="00980CC9" w:rsidP="00B8567E">
      <w:pPr>
        <w:tabs>
          <w:tab w:val="left" w:pos="284"/>
        </w:tabs>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Lipase activity</w:t>
      </w:r>
    </w:p>
    <w:p w14:paraId="53A9D2B2" w14:textId="4E0F423D" w:rsidR="00EB4E30" w:rsidRPr="00C67AD0" w:rsidRDefault="00980CC9" w:rsidP="00B8567E">
      <w:pPr>
        <w:tabs>
          <w:tab w:val="left" w:pos="567"/>
        </w:tabs>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Plasma lipase </w:t>
      </w:r>
      <w:r w:rsidR="00DB067D" w:rsidRPr="00C67AD0">
        <w:rPr>
          <w:rFonts w:ascii="Book Antiqua" w:hAnsi="Book Antiqua" w:cs="Times New Roman"/>
          <w:sz w:val="24"/>
          <w:szCs w:val="24"/>
          <w:lang w:val="en-GB"/>
        </w:rPr>
        <w:t xml:space="preserve">activity </w:t>
      </w:r>
      <w:r w:rsidR="00A376CA" w:rsidRPr="00C67AD0">
        <w:rPr>
          <w:rFonts w:ascii="Book Antiqua" w:hAnsi="Book Antiqua" w:cs="Times New Roman"/>
          <w:sz w:val="24"/>
          <w:szCs w:val="24"/>
          <w:lang w:val="en-GB"/>
        </w:rPr>
        <w:t xml:space="preserve">levels were </w:t>
      </w:r>
      <w:r w:rsidRPr="00C67AD0">
        <w:rPr>
          <w:rFonts w:ascii="Book Antiqua" w:hAnsi="Book Antiqua" w:cs="Times New Roman"/>
          <w:sz w:val="24"/>
          <w:szCs w:val="24"/>
          <w:lang w:val="en-GB"/>
        </w:rPr>
        <w:t xml:space="preserve">determined using a turbidimetric assay kit from </w:t>
      </w:r>
      <w:proofErr w:type="spellStart"/>
      <w:r w:rsidRPr="00C67AD0">
        <w:rPr>
          <w:rFonts w:ascii="Book Antiqua" w:hAnsi="Book Antiqua" w:cs="Times New Roman"/>
          <w:sz w:val="24"/>
          <w:szCs w:val="24"/>
          <w:lang w:val="en-GB"/>
        </w:rPr>
        <w:t>Randox</w:t>
      </w:r>
      <w:proofErr w:type="spellEnd"/>
      <w:r w:rsidRPr="00C67AD0">
        <w:rPr>
          <w:rFonts w:ascii="Book Antiqua" w:hAnsi="Book Antiqua" w:cs="Times New Roman"/>
          <w:sz w:val="24"/>
          <w:szCs w:val="24"/>
          <w:lang w:val="en-GB"/>
        </w:rPr>
        <w:t xml:space="preserve"> (County Antrim, </w:t>
      </w:r>
      <w:r w:rsidR="0095246B" w:rsidRPr="00C67AD0">
        <w:rPr>
          <w:rFonts w:ascii="Book Antiqua" w:hAnsi="Book Antiqua" w:cs="Times New Roman"/>
          <w:sz w:val="24"/>
          <w:szCs w:val="24"/>
          <w:lang w:val="en-GB"/>
        </w:rPr>
        <w:t xml:space="preserve">Crumlin, </w:t>
      </w:r>
      <w:r w:rsidR="00BC5EC0" w:rsidRPr="00C67AD0">
        <w:rPr>
          <w:rFonts w:ascii="Book Antiqua" w:hAnsi="Book Antiqua" w:cs="Times New Roman"/>
          <w:sz w:val="24"/>
          <w:szCs w:val="24"/>
          <w:lang w:val="en-GB"/>
        </w:rPr>
        <w:t>U</w:t>
      </w:r>
      <w:r w:rsidR="00BC5EC0" w:rsidRPr="00C67AD0">
        <w:rPr>
          <w:rFonts w:ascii="Book Antiqua" w:hAnsi="Book Antiqua" w:cs="Times New Roman" w:hint="eastAsia"/>
          <w:sz w:val="24"/>
          <w:szCs w:val="24"/>
          <w:lang w:val="en-GB" w:eastAsia="zh-CN"/>
        </w:rPr>
        <w:t>nited Kingdom</w:t>
      </w:r>
      <w:r w:rsidRPr="00C67AD0">
        <w:rPr>
          <w:rFonts w:ascii="Book Antiqua" w:hAnsi="Book Antiqua" w:cs="Times New Roman"/>
          <w:sz w:val="24"/>
          <w:szCs w:val="24"/>
          <w:lang w:val="en-GB"/>
        </w:rPr>
        <w:t xml:space="preserve">), </w:t>
      </w:r>
      <w:r w:rsidR="00A376CA" w:rsidRPr="00C67AD0">
        <w:rPr>
          <w:rFonts w:ascii="Book Antiqua" w:hAnsi="Book Antiqua" w:cs="Times New Roman"/>
          <w:sz w:val="24"/>
          <w:szCs w:val="24"/>
          <w:lang w:val="en-GB"/>
        </w:rPr>
        <w:t xml:space="preserve">in accordance with </w:t>
      </w:r>
      <w:r w:rsidRPr="00C67AD0">
        <w:rPr>
          <w:rFonts w:ascii="Book Antiqua" w:hAnsi="Book Antiqua" w:cs="Times New Roman"/>
          <w:sz w:val="24"/>
          <w:szCs w:val="24"/>
          <w:lang w:val="en-GB"/>
        </w:rPr>
        <w:t>the supplier’s specifications.</w:t>
      </w:r>
      <w:r w:rsidR="005F554B" w:rsidRPr="00C67AD0">
        <w:rPr>
          <w:rFonts w:ascii="Book Antiqua" w:hAnsi="Book Antiqua" w:cs="Times New Roman"/>
          <w:sz w:val="24"/>
          <w:szCs w:val="24"/>
          <w:lang w:val="en-GB"/>
        </w:rPr>
        <w:t xml:space="preserve"> </w:t>
      </w:r>
      <w:r w:rsidR="00EB4E30" w:rsidRPr="00C67AD0">
        <w:rPr>
          <w:rFonts w:ascii="Book Antiqua" w:hAnsi="Book Antiqua" w:cs="Times New Roman"/>
          <w:sz w:val="24"/>
          <w:szCs w:val="24"/>
          <w:lang w:val="en-GB"/>
        </w:rPr>
        <w:t xml:space="preserve">Briefly, </w:t>
      </w:r>
      <w:r w:rsidR="00F04B3C" w:rsidRPr="00C67AD0">
        <w:rPr>
          <w:rFonts w:ascii="Book Antiqua" w:hAnsi="Book Antiqua" w:cs="Times New Roman"/>
          <w:sz w:val="24"/>
          <w:szCs w:val="24"/>
          <w:lang w:val="en-GB"/>
        </w:rPr>
        <w:t xml:space="preserve">the degradation of </w:t>
      </w:r>
      <w:r w:rsidR="00115B23" w:rsidRPr="00C67AD0">
        <w:rPr>
          <w:rFonts w:ascii="Book Antiqua" w:hAnsi="Book Antiqua" w:cs="Times New Roman"/>
          <w:sz w:val="24"/>
          <w:szCs w:val="24"/>
          <w:lang w:val="en-GB"/>
        </w:rPr>
        <w:t xml:space="preserve">triolein </w:t>
      </w:r>
      <w:r w:rsidR="00EB4E30" w:rsidRPr="00C67AD0">
        <w:rPr>
          <w:rFonts w:ascii="Book Antiqua" w:hAnsi="Book Antiqua" w:cs="Times New Roman"/>
          <w:sz w:val="24"/>
          <w:szCs w:val="24"/>
          <w:lang w:val="en-GB"/>
        </w:rPr>
        <w:t xml:space="preserve">by the pancreatic lipase results in </w:t>
      </w:r>
      <w:r w:rsidR="00F04B3C" w:rsidRPr="00C67AD0">
        <w:rPr>
          <w:rFonts w:ascii="Book Antiqua" w:hAnsi="Book Antiqua" w:cs="Times New Roman"/>
          <w:sz w:val="24"/>
          <w:szCs w:val="24"/>
          <w:lang w:val="en-GB"/>
        </w:rPr>
        <w:t xml:space="preserve">lowered </w:t>
      </w:r>
      <w:r w:rsidR="00EB4E30" w:rsidRPr="00C67AD0">
        <w:rPr>
          <w:rFonts w:ascii="Book Antiqua" w:hAnsi="Book Antiqua" w:cs="Times New Roman"/>
          <w:sz w:val="24"/>
          <w:szCs w:val="24"/>
          <w:lang w:val="en-GB"/>
        </w:rPr>
        <w:t xml:space="preserve">turbidity, which was </w:t>
      </w:r>
      <w:r w:rsidR="00F04B3C" w:rsidRPr="00C67AD0">
        <w:rPr>
          <w:rFonts w:ascii="Book Antiqua" w:hAnsi="Book Antiqua" w:cs="Times New Roman"/>
          <w:sz w:val="24"/>
          <w:szCs w:val="24"/>
          <w:lang w:val="en-GB"/>
        </w:rPr>
        <w:t xml:space="preserve">determined </w:t>
      </w:r>
      <w:r w:rsidR="00EB4E30" w:rsidRPr="00C67AD0">
        <w:rPr>
          <w:rFonts w:ascii="Book Antiqua" w:hAnsi="Book Antiqua" w:cs="Times New Roman"/>
          <w:sz w:val="24"/>
          <w:szCs w:val="24"/>
          <w:lang w:val="en-GB"/>
        </w:rPr>
        <w:t>in the sample at 340 nm using a</w:t>
      </w:r>
      <w:r w:rsidR="00F04B3C" w:rsidRPr="00C67AD0">
        <w:rPr>
          <w:rFonts w:ascii="Book Antiqua" w:hAnsi="Book Antiqua" w:cs="Times New Roman"/>
          <w:sz w:val="24"/>
          <w:szCs w:val="24"/>
          <w:lang w:val="en-GB"/>
        </w:rPr>
        <w:t xml:space="preserve"> </w:t>
      </w:r>
      <w:r w:rsidR="00EB4E30" w:rsidRPr="00C67AD0">
        <w:rPr>
          <w:rFonts w:ascii="Book Antiqua" w:hAnsi="Book Antiqua" w:cs="Times New Roman"/>
          <w:sz w:val="24"/>
          <w:szCs w:val="24"/>
          <w:lang w:val="en-GB"/>
        </w:rPr>
        <w:t>microplate reader (</w:t>
      </w:r>
      <w:proofErr w:type="spellStart"/>
      <w:r w:rsidR="00EB4E30" w:rsidRPr="00C67AD0">
        <w:rPr>
          <w:rFonts w:ascii="Book Antiqua" w:hAnsi="Book Antiqua" w:cs="Times New Roman"/>
          <w:sz w:val="24"/>
          <w:szCs w:val="24"/>
          <w:lang w:val="en-GB"/>
        </w:rPr>
        <w:t>iEMS</w:t>
      </w:r>
      <w:proofErr w:type="spellEnd"/>
      <w:r w:rsidR="00EB4E30" w:rsidRPr="00C67AD0">
        <w:rPr>
          <w:rFonts w:ascii="Book Antiqua" w:hAnsi="Book Antiqua" w:cs="Times New Roman"/>
          <w:sz w:val="24"/>
          <w:szCs w:val="24"/>
          <w:lang w:val="en-GB"/>
        </w:rPr>
        <w:t xml:space="preserve"> Reader MF; </w:t>
      </w:r>
      <w:proofErr w:type="spellStart"/>
      <w:r w:rsidR="00EB4E30" w:rsidRPr="00C67AD0">
        <w:rPr>
          <w:rFonts w:ascii="Book Antiqua" w:hAnsi="Book Antiqua" w:cs="Times New Roman"/>
          <w:sz w:val="24"/>
          <w:szCs w:val="24"/>
          <w:lang w:val="en-GB"/>
        </w:rPr>
        <w:t>Labsystems</w:t>
      </w:r>
      <w:proofErr w:type="spellEnd"/>
      <w:r w:rsidR="00EB4E30" w:rsidRPr="00C67AD0">
        <w:rPr>
          <w:rFonts w:ascii="Book Antiqua" w:hAnsi="Book Antiqua" w:cs="Times New Roman"/>
          <w:sz w:val="24"/>
          <w:szCs w:val="24"/>
          <w:lang w:val="en-GB"/>
        </w:rPr>
        <w:t xml:space="preserve">, Helsinki, Finland). </w:t>
      </w:r>
      <w:r w:rsidR="00F04B3C" w:rsidRPr="00C67AD0">
        <w:rPr>
          <w:rFonts w:ascii="Book Antiqua" w:hAnsi="Book Antiqua" w:cs="Times New Roman"/>
          <w:sz w:val="24"/>
          <w:szCs w:val="24"/>
          <w:lang w:val="en-GB"/>
        </w:rPr>
        <w:t>The activity of the s</w:t>
      </w:r>
      <w:r w:rsidR="00115B23" w:rsidRPr="00C67AD0">
        <w:rPr>
          <w:rFonts w:ascii="Book Antiqua" w:hAnsi="Book Antiqua" w:cs="Times New Roman"/>
          <w:sz w:val="24"/>
          <w:szCs w:val="24"/>
          <w:lang w:val="en-GB"/>
        </w:rPr>
        <w:t xml:space="preserve">ample </w:t>
      </w:r>
      <w:r w:rsidR="00EB4E30" w:rsidRPr="00C67AD0">
        <w:rPr>
          <w:rFonts w:ascii="Book Antiqua" w:hAnsi="Book Antiqua" w:cs="Times New Roman"/>
          <w:sz w:val="24"/>
          <w:szCs w:val="24"/>
          <w:lang w:val="en-GB"/>
        </w:rPr>
        <w:t>was obtained in U/L. All samples were run in duplicate.</w:t>
      </w:r>
    </w:p>
    <w:p w14:paraId="32D1BDA6" w14:textId="77777777" w:rsidR="007F6985" w:rsidRPr="00C67AD0" w:rsidRDefault="007F6985" w:rsidP="00B8567E">
      <w:pPr>
        <w:tabs>
          <w:tab w:val="left" w:pos="567"/>
        </w:tabs>
        <w:spacing w:line="360" w:lineRule="auto"/>
        <w:contextualSpacing/>
        <w:jc w:val="both"/>
        <w:rPr>
          <w:rFonts w:ascii="Book Antiqua" w:hAnsi="Book Antiqua" w:cs="Times New Roman"/>
          <w:b/>
          <w:i/>
          <w:iCs/>
          <w:sz w:val="24"/>
          <w:szCs w:val="24"/>
          <w:lang w:val="en-GB"/>
        </w:rPr>
      </w:pPr>
    </w:p>
    <w:p w14:paraId="00EFBB8E" w14:textId="658823C9" w:rsidR="00E9794E" w:rsidRPr="00C67AD0" w:rsidRDefault="00E9794E" w:rsidP="00B8567E">
      <w:pPr>
        <w:tabs>
          <w:tab w:val="left" w:pos="567"/>
        </w:tabs>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Pancreas wet-to-dry weight ratio</w:t>
      </w:r>
    </w:p>
    <w:p w14:paraId="29655C3D" w14:textId="12F0BECE" w:rsidR="00E9794E" w:rsidRPr="00C67AD0" w:rsidRDefault="00FB1212" w:rsidP="00B8567E">
      <w:pPr>
        <w:tabs>
          <w:tab w:val="left" w:pos="567"/>
        </w:tabs>
        <w:spacing w:line="360" w:lineRule="auto"/>
        <w:contextualSpacing/>
        <w:jc w:val="both"/>
        <w:rPr>
          <w:rFonts w:ascii="Book Antiqua" w:hAnsi="Book Antiqua" w:cs="Times New Roman"/>
          <w:sz w:val="24"/>
          <w:szCs w:val="24"/>
          <w:lang w:val="en-GB"/>
        </w:rPr>
      </w:pPr>
      <w:proofErr w:type="spellStart"/>
      <w:r w:rsidRPr="00C67AD0">
        <w:rPr>
          <w:rFonts w:ascii="Book Antiqua" w:hAnsi="Book Antiqua" w:cs="Times New Roman"/>
          <w:sz w:val="24"/>
          <w:szCs w:val="24"/>
          <w:lang w:val="en-GB"/>
        </w:rPr>
        <w:t>Edema</w:t>
      </w:r>
      <w:proofErr w:type="spellEnd"/>
      <w:r w:rsidRPr="00C67AD0">
        <w:rPr>
          <w:rFonts w:ascii="Book Antiqua" w:hAnsi="Book Antiqua" w:cs="Times New Roman"/>
          <w:sz w:val="24"/>
          <w:szCs w:val="24"/>
          <w:lang w:val="en-GB"/>
        </w:rPr>
        <w:t xml:space="preserve"> formation in the pancreas </w:t>
      </w:r>
      <w:r w:rsidR="0089344B" w:rsidRPr="00C67AD0">
        <w:rPr>
          <w:rFonts w:ascii="Book Antiqua" w:hAnsi="Book Antiqua" w:cs="Times New Roman"/>
          <w:sz w:val="24"/>
          <w:szCs w:val="24"/>
          <w:lang w:val="en-GB"/>
        </w:rPr>
        <w:t xml:space="preserve">was evaluated by </w:t>
      </w:r>
      <w:r w:rsidRPr="00C67AD0">
        <w:rPr>
          <w:rFonts w:ascii="Book Antiqua" w:hAnsi="Book Antiqua" w:cs="Times New Roman"/>
          <w:sz w:val="24"/>
          <w:szCs w:val="24"/>
          <w:lang w:val="en-GB"/>
        </w:rPr>
        <w:t>the determination of the</w:t>
      </w:r>
      <w:r w:rsidR="0089344B" w:rsidRPr="00C67AD0">
        <w:rPr>
          <w:rFonts w:ascii="Book Antiqua" w:hAnsi="Book Antiqua" w:cs="Times New Roman"/>
          <w:sz w:val="24"/>
          <w:szCs w:val="24"/>
          <w:lang w:val="en-GB"/>
        </w:rPr>
        <w:t xml:space="preserve"> wet-to-dry weight ratio. A </w:t>
      </w:r>
      <w:r w:rsidRPr="00C67AD0">
        <w:rPr>
          <w:rFonts w:ascii="Book Antiqua" w:hAnsi="Book Antiqua" w:cs="Times New Roman"/>
          <w:sz w:val="24"/>
          <w:szCs w:val="24"/>
          <w:lang w:val="en-GB"/>
        </w:rPr>
        <w:t xml:space="preserve">portion </w:t>
      </w:r>
      <w:r w:rsidR="0089344B" w:rsidRPr="00C67AD0">
        <w:rPr>
          <w:rFonts w:ascii="Book Antiqua" w:hAnsi="Book Antiqua" w:cs="Times New Roman"/>
          <w:sz w:val="24"/>
          <w:szCs w:val="24"/>
          <w:lang w:val="en-GB"/>
        </w:rPr>
        <w:t xml:space="preserve">of the pancreas was weighed. The </w:t>
      </w:r>
      <w:r w:rsidRPr="00C67AD0">
        <w:rPr>
          <w:rFonts w:ascii="Book Antiqua" w:hAnsi="Book Antiqua" w:cs="Times New Roman"/>
          <w:sz w:val="24"/>
          <w:szCs w:val="24"/>
          <w:lang w:val="en-GB"/>
        </w:rPr>
        <w:t xml:space="preserve">content of </w:t>
      </w:r>
      <w:r w:rsidR="0089344B" w:rsidRPr="00C67AD0">
        <w:rPr>
          <w:rFonts w:ascii="Book Antiqua" w:hAnsi="Book Antiqua" w:cs="Times New Roman"/>
          <w:sz w:val="24"/>
          <w:szCs w:val="24"/>
          <w:lang w:val="en-GB"/>
        </w:rPr>
        <w:t xml:space="preserve">water was </w:t>
      </w:r>
      <w:r w:rsidRPr="00C67AD0">
        <w:rPr>
          <w:rFonts w:ascii="Book Antiqua" w:hAnsi="Book Antiqua" w:cs="Times New Roman"/>
          <w:sz w:val="24"/>
          <w:szCs w:val="24"/>
          <w:lang w:val="en-GB"/>
        </w:rPr>
        <w:t xml:space="preserve">measured </w:t>
      </w:r>
      <w:r w:rsidR="0089344B" w:rsidRPr="00C67AD0">
        <w:rPr>
          <w:rFonts w:ascii="Book Antiqua" w:hAnsi="Book Antiqua" w:cs="Times New Roman"/>
          <w:sz w:val="24"/>
          <w:szCs w:val="24"/>
          <w:lang w:val="en-GB"/>
        </w:rPr>
        <w:t xml:space="preserve">by calculating the wet-to-dry weight ratio from the initial weight (wet weight) and its weight after incubation </w:t>
      </w:r>
      <w:r w:rsidR="003B13DB" w:rsidRPr="00C67AD0">
        <w:rPr>
          <w:rFonts w:ascii="Book Antiqua" w:hAnsi="Book Antiqua" w:cs="Times New Roman"/>
          <w:sz w:val="24"/>
          <w:szCs w:val="24"/>
          <w:lang w:val="en-GB"/>
        </w:rPr>
        <w:t xml:space="preserve">in an oven </w:t>
      </w:r>
      <w:r w:rsidR="0089344B" w:rsidRPr="00C67AD0">
        <w:rPr>
          <w:rFonts w:ascii="Book Antiqua" w:hAnsi="Book Antiqua" w:cs="Times New Roman"/>
          <w:sz w:val="24"/>
          <w:szCs w:val="24"/>
          <w:lang w:val="en-GB"/>
        </w:rPr>
        <w:t>at 60 °C for 48 h (dry weight).</w:t>
      </w:r>
    </w:p>
    <w:p w14:paraId="4CBC499A" w14:textId="77777777" w:rsidR="009C5B30" w:rsidRPr="00C67AD0" w:rsidRDefault="009C5B30" w:rsidP="00B8567E">
      <w:pPr>
        <w:tabs>
          <w:tab w:val="left" w:pos="567"/>
        </w:tabs>
        <w:spacing w:line="360" w:lineRule="auto"/>
        <w:contextualSpacing/>
        <w:jc w:val="both"/>
        <w:rPr>
          <w:rFonts w:ascii="Book Antiqua" w:hAnsi="Book Antiqua" w:cs="Times New Roman"/>
          <w:b/>
          <w:i/>
          <w:iCs/>
          <w:sz w:val="24"/>
          <w:szCs w:val="24"/>
          <w:lang w:val="en-GB"/>
        </w:rPr>
      </w:pPr>
    </w:p>
    <w:p w14:paraId="47254236" w14:textId="3704C312" w:rsidR="00EB4E30" w:rsidRPr="00C67AD0" w:rsidRDefault="00EB4E30" w:rsidP="00B8567E">
      <w:pPr>
        <w:tabs>
          <w:tab w:val="left" w:pos="567"/>
        </w:tabs>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Lactate dehydrogenase activity</w:t>
      </w:r>
    </w:p>
    <w:p w14:paraId="3A97DF05" w14:textId="6FF9879D" w:rsidR="00E9457A" w:rsidRPr="00C67AD0" w:rsidRDefault="00EB4E30"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lastRenderedPageBreak/>
        <w:t xml:space="preserve">Lactate dehydrogenase (LDH) activity was measured in </w:t>
      </w:r>
      <w:r w:rsidR="004728D1" w:rsidRPr="00C67AD0">
        <w:rPr>
          <w:rFonts w:ascii="Book Antiqua" w:hAnsi="Book Antiqua" w:cs="Times New Roman"/>
          <w:sz w:val="24"/>
          <w:szCs w:val="24"/>
          <w:lang w:val="en-GB"/>
        </w:rPr>
        <w:t xml:space="preserve">plasma </w:t>
      </w:r>
      <w:r w:rsidRPr="00C67AD0">
        <w:rPr>
          <w:rFonts w:ascii="Book Antiqua" w:hAnsi="Book Antiqua" w:cs="Times New Roman"/>
          <w:sz w:val="24"/>
          <w:szCs w:val="24"/>
          <w:lang w:val="en-GB"/>
        </w:rPr>
        <w:t xml:space="preserve">samples </w:t>
      </w:r>
      <w:r w:rsidR="00F716A0" w:rsidRPr="00C67AD0">
        <w:rPr>
          <w:rFonts w:ascii="Book Antiqua" w:hAnsi="Book Antiqua" w:cs="Times New Roman"/>
          <w:sz w:val="24"/>
          <w:szCs w:val="24"/>
          <w:lang w:val="en-GB"/>
        </w:rPr>
        <w:t xml:space="preserve">and cell </w:t>
      </w:r>
      <w:r w:rsidR="008F3056" w:rsidRPr="00C67AD0">
        <w:rPr>
          <w:rFonts w:ascii="Book Antiqua" w:hAnsi="Book Antiqua" w:cs="Times New Roman"/>
          <w:sz w:val="24"/>
          <w:szCs w:val="24"/>
          <w:lang w:val="en-GB"/>
        </w:rPr>
        <w:t xml:space="preserve">culture </w:t>
      </w:r>
      <w:r w:rsidR="00F716A0" w:rsidRPr="00C67AD0">
        <w:rPr>
          <w:rFonts w:ascii="Book Antiqua" w:hAnsi="Book Antiqua" w:cs="Times New Roman"/>
          <w:sz w:val="24"/>
          <w:szCs w:val="24"/>
          <w:lang w:val="en-GB"/>
        </w:rPr>
        <w:t>supernatant</w:t>
      </w:r>
      <w:r w:rsidR="00084CF7" w:rsidRPr="00C67AD0">
        <w:rPr>
          <w:rFonts w:ascii="Book Antiqua" w:hAnsi="Book Antiqua" w:cs="Times New Roman"/>
          <w:sz w:val="24"/>
          <w:szCs w:val="24"/>
          <w:lang w:val="en-GB"/>
        </w:rPr>
        <w:t>s</w:t>
      </w:r>
      <w:r w:rsidR="00F716A0"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using the Lactate Dehydrogenase Assay Kit (Abcam; </w:t>
      </w:r>
      <w:bookmarkStart w:id="15" w:name="_Hlk45010989"/>
      <w:r w:rsidRPr="00C67AD0">
        <w:rPr>
          <w:rFonts w:ascii="Book Antiqua" w:hAnsi="Book Antiqua" w:cs="Times New Roman"/>
          <w:sz w:val="24"/>
          <w:szCs w:val="24"/>
          <w:lang w:val="en-GB"/>
        </w:rPr>
        <w:t xml:space="preserve">Cambridge, </w:t>
      </w:r>
      <w:bookmarkEnd w:id="15"/>
      <w:r w:rsidR="000A6DB7" w:rsidRPr="00C67AD0">
        <w:rPr>
          <w:rFonts w:ascii="Book Antiqua" w:hAnsi="Book Antiqua" w:cs="Times New Roman"/>
          <w:sz w:val="24"/>
          <w:szCs w:val="24"/>
          <w:lang w:val="en-GB"/>
        </w:rPr>
        <w:t>U</w:t>
      </w:r>
      <w:r w:rsidR="000A6DB7" w:rsidRPr="00C67AD0">
        <w:rPr>
          <w:rFonts w:ascii="Book Antiqua" w:hAnsi="Book Antiqua" w:cs="Times New Roman" w:hint="eastAsia"/>
          <w:sz w:val="24"/>
          <w:szCs w:val="24"/>
          <w:lang w:val="en-GB" w:eastAsia="zh-CN"/>
        </w:rPr>
        <w:t>nited Kingdom</w:t>
      </w:r>
      <w:r w:rsidRPr="00C67AD0">
        <w:rPr>
          <w:rFonts w:ascii="Book Antiqua" w:hAnsi="Book Antiqua" w:cs="Times New Roman"/>
          <w:sz w:val="24"/>
          <w:szCs w:val="24"/>
          <w:lang w:val="en-GB"/>
        </w:rPr>
        <w:t xml:space="preserve">). </w:t>
      </w:r>
      <w:r w:rsidR="00FB1212" w:rsidRPr="00C67AD0">
        <w:rPr>
          <w:rFonts w:ascii="Book Antiqua" w:hAnsi="Book Antiqua" w:cs="Times New Roman"/>
          <w:sz w:val="24"/>
          <w:szCs w:val="24"/>
          <w:lang w:val="en-GB"/>
        </w:rPr>
        <w:t>Briefly</w:t>
      </w:r>
      <w:r w:rsidRPr="00C67AD0">
        <w:rPr>
          <w:rFonts w:ascii="Book Antiqua" w:hAnsi="Book Antiqua" w:cs="Times New Roman"/>
          <w:sz w:val="24"/>
          <w:szCs w:val="24"/>
          <w:lang w:val="en-GB"/>
        </w:rPr>
        <w:t xml:space="preserve">, LDH reduces NAD to </w:t>
      </w:r>
      <w:r w:rsidR="00C62D68" w:rsidRPr="00C67AD0">
        <w:rPr>
          <w:rFonts w:ascii="Book Antiqua" w:hAnsi="Book Antiqua" w:cs="Times New Roman"/>
          <w:sz w:val="24"/>
          <w:szCs w:val="24"/>
          <w:lang w:val="en-GB"/>
        </w:rPr>
        <w:t>NADH, which</w:t>
      </w:r>
      <w:r w:rsidRPr="00C67AD0">
        <w:rPr>
          <w:rFonts w:ascii="Book Antiqua" w:hAnsi="Book Antiqua" w:cs="Times New Roman"/>
          <w:sz w:val="24"/>
          <w:szCs w:val="24"/>
          <w:lang w:val="en-GB"/>
        </w:rPr>
        <w:t xml:space="preserve"> interacts with a specific probe to produce colo</w:t>
      </w:r>
      <w:r w:rsidR="00D11837" w:rsidRPr="00C67AD0">
        <w:rPr>
          <w:rFonts w:ascii="Book Antiqua" w:hAnsi="Book Antiqua" w:cs="Times New Roman"/>
          <w:sz w:val="24"/>
          <w:szCs w:val="24"/>
          <w:lang w:val="en-GB"/>
        </w:rPr>
        <w:t>u</w:t>
      </w:r>
      <w:r w:rsidRPr="00C67AD0">
        <w:rPr>
          <w:rFonts w:ascii="Book Antiqua" w:hAnsi="Book Antiqua" w:cs="Times New Roman"/>
          <w:sz w:val="24"/>
          <w:szCs w:val="24"/>
          <w:lang w:val="en-GB"/>
        </w:rPr>
        <w:t xml:space="preserve">r. Changes in absorbance due to NADH formation were </w:t>
      </w:r>
      <w:r w:rsidR="00156461" w:rsidRPr="00C67AD0">
        <w:rPr>
          <w:rFonts w:ascii="Book Antiqua" w:hAnsi="Book Antiqua" w:cs="Times New Roman"/>
          <w:sz w:val="24"/>
          <w:szCs w:val="24"/>
          <w:lang w:val="en-GB"/>
        </w:rPr>
        <w:t xml:space="preserve">measured </w:t>
      </w:r>
      <w:r w:rsidRPr="00C67AD0">
        <w:rPr>
          <w:rFonts w:ascii="Book Antiqua" w:hAnsi="Book Antiqua" w:cs="Times New Roman"/>
          <w:sz w:val="24"/>
          <w:szCs w:val="24"/>
          <w:lang w:val="en-GB"/>
        </w:rPr>
        <w:t>at 450 nm at 37 °C using an automated microplate reader (</w:t>
      </w:r>
      <w:proofErr w:type="spellStart"/>
      <w:r w:rsidRPr="00C67AD0">
        <w:rPr>
          <w:rFonts w:ascii="Book Antiqua" w:hAnsi="Book Antiqua" w:cs="Times New Roman"/>
          <w:sz w:val="24"/>
          <w:szCs w:val="24"/>
          <w:lang w:val="en-GB"/>
        </w:rPr>
        <w:t>iEMS</w:t>
      </w:r>
      <w:proofErr w:type="spellEnd"/>
      <w:r w:rsidRPr="00C67AD0">
        <w:rPr>
          <w:rFonts w:ascii="Book Antiqua" w:hAnsi="Book Antiqua" w:cs="Times New Roman"/>
          <w:sz w:val="24"/>
          <w:szCs w:val="24"/>
          <w:lang w:val="en-GB"/>
        </w:rPr>
        <w:t xml:space="preserve"> Reader MF; </w:t>
      </w:r>
      <w:proofErr w:type="spellStart"/>
      <w:r w:rsidRPr="00C67AD0">
        <w:rPr>
          <w:rFonts w:ascii="Book Antiqua" w:hAnsi="Book Antiqua" w:cs="Times New Roman"/>
          <w:sz w:val="24"/>
          <w:szCs w:val="24"/>
          <w:lang w:val="en-GB"/>
        </w:rPr>
        <w:t>Labsystems</w:t>
      </w:r>
      <w:proofErr w:type="spellEnd"/>
      <w:r w:rsidRPr="00C67AD0">
        <w:rPr>
          <w:rFonts w:ascii="Book Antiqua" w:hAnsi="Book Antiqua" w:cs="Times New Roman"/>
          <w:sz w:val="24"/>
          <w:szCs w:val="24"/>
          <w:lang w:val="en-GB"/>
        </w:rPr>
        <w:t xml:space="preserve">, Helsinki, Finland). </w:t>
      </w:r>
      <w:r w:rsidR="004918E8" w:rsidRPr="00C67AD0">
        <w:rPr>
          <w:rFonts w:ascii="Book Antiqua" w:hAnsi="Book Antiqua" w:cs="Times New Roman"/>
          <w:sz w:val="24"/>
          <w:szCs w:val="24"/>
          <w:lang w:val="en-GB"/>
        </w:rPr>
        <w:t xml:space="preserve">Sample </w:t>
      </w:r>
      <w:r w:rsidRPr="00C67AD0">
        <w:rPr>
          <w:rFonts w:ascii="Book Antiqua" w:hAnsi="Book Antiqua" w:cs="Times New Roman"/>
          <w:sz w:val="24"/>
          <w:szCs w:val="24"/>
          <w:lang w:val="en-GB"/>
        </w:rPr>
        <w:t xml:space="preserve">activity was expressed in </w:t>
      </w:r>
      <w:proofErr w:type="spellStart"/>
      <w:r w:rsidRPr="00C67AD0">
        <w:rPr>
          <w:rFonts w:ascii="Book Antiqua" w:hAnsi="Book Antiqua" w:cs="Times New Roman"/>
          <w:sz w:val="24"/>
          <w:szCs w:val="24"/>
          <w:lang w:val="en-GB"/>
        </w:rPr>
        <w:t>mU</w:t>
      </w:r>
      <w:proofErr w:type="spellEnd"/>
      <w:r w:rsidRPr="00C67AD0">
        <w:rPr>
          <w:rFonts w:ascii="Book Antiqua" w:hAnsi="Book Antiqua" w:cs="Times New Roman"/>
          <w:sz w:val="24"/>
          <w:szCs w:val="24"/>
          <w:lang w:val="en-GB"/>
        </w:rPr>
        <w:t>/</w:t>
      </w:r>
      <w:proofErr w:type="spellStart"/>
      <w:r w:rsidRPr="00C67AD0">
        <w:rPr>
          <w:rFonts w:ascii="Book Antiqua" w:hAnsi="Book Antiqua" w:cs="Times New Roman"/>
          <w:sz w:val="24"/>
          <w:szCs w:val="24"/>
          <w:lang w:val="en-GB"/>
        </w:rPr>
        <w:t>mL.</w:t>
      </w:r>
      <w:proofErr w:type="spellEnd"/>
      <w:r w:rsidRPr="00C67AD0">
        <w:rPr>
          <w:rFonts w:ascii="Book Antiqua" w:hAnsi="Book Antiqua" w:cs="Times New Roman"/>
          <w:sz w:val="24"/>
          <w:szCs w:val="24"/>
          <w:lang w:val="en-GB"/>
        </w:rPr>
        <w:t xml:space="preserve"> All samples were run in duplicate. The lower limit of detection for ELISA ranged from 14 to 36 </w:t>
      </w:r>
      <w:proofErr w:type="spellStart"/>
      <w:r w:rsidRPr="00C67AD0">
        <w:rPr>
          <w:rFonts w:ascii="Book Antiqua" w:hAnsi="Book Antiqua" w:cs="Times New Roman"/>
          <w:sz w:val="24"/>
          <w:szCs w:val="24"/>
          <w:lang w:val="en-GB"/>
        </w:rPr>
        <w:t>mU</w:t>
      </w:r>
      <w:proofErr w:type="spellEnd"/>
      <w:r w:rsidRPr="00C67AD0">
        <w:rPr>
          <w:rFonts w:ascii="Book Antiqua" w:hAnsi="Book Antiqua" w:cs="Times New Roman"/>
          <w:sz w:val="24"/>
          <w:szCs w:val="24"/>
          <w:lang w:val="en-GB"/>
        </w:rPr>
        <w:t>/</w:t>
      </w:r>
      <w:proofErr w:type="spellStart"/>
      <w:r w:rsidRPr="00C67AD0">
        <w:rPr>
          <w:rFonts w:ascii="Book Antiqua" w:hAnsi="Book Antiqua" w:cs="Times New Roman"/>
          <w:sz w:val="24"/>
          <w:szCs w:val="24"/>
          <w:lang w:val="en-GB"/>
        </w:rPr>
        <w:t>mL.</w:t>
      </w:r>
      <w:proofErr w:type="spellEnd"/>
    </w:p>
    <w:p w14:paraId="06DDE6A6" w14:textId="77777777" w:rsidR="009C5B30" w:rsidRPr="00C67AD0" w:rsidRDefault="009C5B30" w:rsidP="00B8567E">
      <w:pPr>
        <w:spacing w:line="360" w:lineRule="auto"/>
        <w:contextualSpacing/>
        <w:jc w:val="both"/>
        <w:rPr>
          <w:rFonts w:ascii="Book Antiqua" w:hAnsi="Book Antiqua" w:cs="Times New Roman"/>
          <w:b/>
          <w:i/>
          <w:iCs/>
          <w:sz w:val="24"/>
          <w:szCs w:val="24"/>
          <w:lang w:val="en-GB"/>
        </w:rPr>
      </w:pPr>
    </w:p>
    <w:p w14:paraId="704DC4AE" w14:textId="6E607E65" w:rsidR="00DD5C2E" w:rsidRPr="00C67AD0" w:rsidRDefault="00DD5C2E" w:rsidP="00B8567E">
      <w:pPr>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MTT cell proliferation assay</w:t>
      </w:r>
    </w:p>
    <w:p w14:paraId="2A0D05D6" w14:textId="55A2632A" w:rsidR="00DD5C2E" w:rsidRPr="00C67AD0" w:rsidRDefault="00B73AEF"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The cell </w:t>
      </w:r>
      <w:r w:rsidR="00D25086" w:rsidRPr="00C67AD0">
        <w:rPr>
          <w:rFonts w:ascii="Book Antiqua" w:hAnsi="Book Antiqua" w:cs="Times New Roman"/>
          <w:sz w:val="24"/>
          <w:szCs w:val="24"/>
          <w:lang w:val="en-GB"/>
        </w:rPr>
        <w:t>proliferation</w:t>
      </w:r>
      <w:r w:rsidRPr="00C67AD0">
        <w:rPr>
          <w:rFonts w:ascii="Book Antiqua" w:hAnsi="Book Antiqua" w:cs="Times New Roman"/>
          <w:sz w:val="24"/>
          <w:szCs w:val="24"/>
          <w:lang w:val="en-GB"/>
        </w:rPr>
        <w:t xml:space="preserve"> was determined by </w:t>
      </w:r>
      <w:r w:rsidR="002820F5" w:rsidRPr="00C67AD0">
        <w:rPr>
          <w:rFonts w:ascii="Book Antiqua" w:hAnsi="Book Antiqua" w:cs="Times New Roman"/>
          <w:sz w:val="24"/>
          <w:szCs w:val="24"/>
          <w:lang w:val="en-GB"/>
        </w:rPr>
        <w:t xml:space="preserve">measuring metabolic activity </w:t>
      </w:r>
      <w:r w:rsidR="00156461" w:rsidRPr="00C67AD0">
        <w:rPr>
          <w:rFonts w:ascii="Book Antiqua" w:hAnsi="Book Antiqua" w:cs="Times New Roman"/>
          <w:sz w:val="24"/>
          <w:szCs w:val="24"/>
          <w:lang w:val="en-GB"/>
        </w:rPr>
        <w:t xml:space="preserve">of the cells </w:t>
      </w:r>
      <w:r w:rsidR="002820F5" w:rsidRPr="00C67AD0">
        <w:rPr>
          <w:rFonts w:ascii="Book Antiqua" w:hAnsi="Book Antiqua" w:cs="Times New Roman"/>
          <w:sz w:val="24"/>
          <w:szCs w:val="24"/>
          <w:lang w:val="en-GB"/>
        </w:rPr>
        <w:t xml:space="preserve">through </w:t>
      </w:r>
      <w:r w:rsidRPr="00C67AD0">
        <w:rPr>
          <w:rFonts w:ascii="Book Antiqua" w:hAnsi="Book Antiqua" w:cs="Times New Roman"/>
          <w:sz w:val="24"/>
          <w:szCs w:val="24"/>
          <w:lang w:val="en-GB"/>
        </w:rPr>
        <w:t>the</w:t>
      </w:r>
      <w:r w:rsidR="00D25086" w:rsidRPr="00C67AD0">
        <w:rPr>
          <w:rFonts w:ascii="Book Antiqua" w:hAnsi="Book Antiqua" w:cs="Times New Roman"/>
          <w:sz w:val="24"/>
          <w:szCs w:val="24"/>
          <w:lang w:val="en-GB"/>
        </w:rPr>
        <w:t xml:space="preserve"> reduction of the tetrazolium dye MTT</w:t>
      </w:r>
      <w:r w:rsidR="008A0749" w:rsidRPr="00C67AD0">
        <w:rPr>
          <w:rFonts w:ascii="Book Antiqua" w:hAnsi="Book Antiqua" w:cs="Times New Roman"/>
          <w:sz w:val="24"/>
          <w:szCs w:val="24"/>
          <w:lang w:val="en-GB"/>
        </w:rPr>
        <w:t xml:space="preserve"> </w:t>
      </w:r>
      <w:r w:rsidR="008A0749"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3-(4,5-dimethylthiazol-2-yl)-</w:t>
      </w:r>
      <w:r w:rsidR="008A0749" w:rsidRPr="00C67AD0">
        <w:rPr>
          <w:rFonts w:ascii="Book Antiqua" w:hAnsi="Book Antiqua" w:cs="Times New Roman"/>
          <w:sz w:val="24"/>
          <w:szCs w:val="24"/>
          <w:lang w:val="en-GB"/>
        </w:rPr>
        <w:t>2,5-diphenyltetrazolium bromide</w:t>
      </w:r>
      <w:r w:rsidR="008A0749"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w:t>
      </w:r>
      <w:r w:rsidR="00D25086" w:rsidRPr="00C67AD0">
        <w:rPr>
          <w:rFonts w:ascii="Book Antiqua" w:hAnsi="Book Antiqua" w:cs="Times New Roman"/>
          <w:sz w:val="24"/>
          <w:szCs w:val="24"/>
          <w:lang w:val="en-GB"/>
        </w:rPr>
        <w:t xml:space="preserve">to its insoluble formazan. </w:t>
      </w:r>
      <w:r w:rsidR="00DD5C2E" w:rsidRPr="00C67AD0">
        <w:rPr>
          <w:rFonts w:ascii="Book Antiqua" w:hAnsi="Book Antiqua" w:cs="Times New Roman"/>
          <w:sz w:val="24"/>
          <w:szCs w:val="24"/>
          <w:lang w:val="en-GB"/>
        </w:rPr>
        <w:t>AR42J cells were seeded in 96-well plates at a density of 2</w:t>
      </w:r>
      <w:r w:rsidR="00C774A0" w:rsidRPr="00C67AD0">
        <w:rPr>
          <w:rFonts w:ascii="Book Antiqua" w:hAnsi="Book Antiqua" w:cs="Times New Roman"/>
          <w:sz w:val="24"/>
          <w:szCs w:val="24"/>
          <w:lang w:val="en-GB"/>
        </w:rPr>
        <w:t> </w:t>
      </w:r>
      <w:r w:rsidR="00C774A0" w:rsidRPr="00C67AD0">
        <w:rPr>
          <w:rFonts w:ascii="Book Antiqua" w:hAnsi="Book Antiqua" w:cs="Times New Roman"/>
          <w:sz w:val="24"/>
          <w:szCs w:val="24"/>
          <w:lang w:val="en-GB"/>
        </w:rPr>
        <w:sym w:font="Symbol" w:char="F0B4"/>
      </w:r>
      <w:r w:rsidR="00C774A0" w:rsidRPr="00C67AD0">
        <w:rPr>
          <w:rFonts w:ascii="Book Antiqua" w:hAnsi="Book Antiqua" w:cs="Times New Roman"/>
          <w:sz w:val="24"/>
          <w:szCs w:val="24"/>
          <w:lang w:val="en-GB"/>
        </w:rPr>
        <w:t> </w:t>
      </w:r>
      <w:r w:rsidR="00DD5C2E" w:rsidRPr="00C67AD0">
        <w:rPr>
          <w:rFonts w:ascii="Book Antiqua" w:hAnsi="Book Antiqua" w:cs="Times New Roman"/>
          <w:sz w:val="24"/>
          <w:szCs w:val="24"/>
          <w:lang w:val="en-GB"/>
        </w:rPr>
        <w:t>10</w:t>
      </w:r>
      <w:r w:rsidR="00DD5C2E" w:rsidRPr="00C67AD0">
        <w:rPr>
          <w:rFonts w:ascii="Book Antiqua" w:hAnsi="Book Antiqua" w:cs="Times New Roman"/>
          <w:sz w:val="24"/>
          <w:szCs w:val="24"/>
          <w:vertAlign w:val="superscript"/>
          <w:lang w:val="en-GB"/>
        </w:rPr>
        <w:t>4</w:t>
      </w:r>
      <w:r w:rsidR="00DD5C2E" w:rsidRPr="00C67AD0">
        <w:rPr>
          <w:rFonts w:ascii="Book Antiqua" w:hAnsi="Book Antiqua" w:cs="Times New Roman"/>
          <w:sz w:val="24"/>
          <w:szCs w:val="24"/>
          <w:lang w:val="en-GB"/>
        </w:rPr>
        <w:t xml:space="preserve"> cells/well in 100 </w:t>
      </w:r>
      <w:proofErr w:type="spellStart"/>
      <w:r w:rsidR="00DD5C2E" w:rsidRPr="00C67AD0">
        <w:rPr>
          <w:rFonts w:ascii="Book Antiqua" w:hAnsi="Book Antiqua" w:cs="Times New Roman"/>
          <w:sz w:val="24"/>
          <w:szCs w:val="24"/>
          <w:lang w:val="en-GB"/>
        </w:rPr>
        <w:t>μL</w:t>
      </w:r>
      <w:proofErr w:type="spellEnd"/>
      <w:r w:rsidR="00DD5C2E" w:rsidRPr="00C67AD0">
        <w:rPr>
          <w:rFonts w:ascii="Book Antiqua" w:hAnsi="Book Antiqua" w:cs="Times New Roman"/>
          <w:sz w:val="24"/>
          <w:szCs w:val="24"/>
          <w:lang w:val="en-GB"/>
        </w:rPr>
        <w:t xml:space="preserve"> of culture medium with or without </w:t>
      </w:r>
      <w:r w:rsidR="00C778A8" w:rsidRPr="00C67AD0">
        <w:rPr>
          <w:rFonts w:ascii="Book Antiqua" w:hAnsi="Book Antiqua" w:cs="Times New Roman"/>
          <w:sz w:val="24"/>
          <w:szCs w:val="24"/>
          <w:lang w:val="en-GB"/>
        </w:rPr>
        <w:t xml:space="preserve">the </w:t>
      </w:r>
      <w:r w:rsidR="00DD5C2E" w:rsidRPr="00C67AD0">
        <w:rPr>
          <w:rFonts w:ascii="Book Antiqua" w:hAnsi="Book Antiqua" w:cs="Times New Roman"/>
          <w:sz w:val="24"/>
          <w:szCs w:val="24"/>
          <w:lang w:val="en-GB"/>
        </w:rPr>
        <w:t>compounds to be tested</w:t>
      </w:r>
      <w:r w:rsidR="00156461" w:rsidRPr="00C67AD0">
        <w:rPr>
          <w:rFonts w:ascii="Book Antiqua" w:hAnsi="Book Antiqua" w:cs="Times New Roman"/>
          <w:sz w:val="24"/>
          <w:szCs w:val="24"/>
          <w:lang w:val="en-GB"/>
        </w:rPr>
        <w:t xml:space="preserve"> </w:t>
      </w:r>
      <w:r w:rsidR="00DD5C2E" w:rsidRPr="00C67AD0">
        <w:rPr>
          <w:rFonts w:ascii="Book Antiqua" w:hAnsi="Book Antiqua" w:cs="Times New Roman"/>
          <w:sz w:val="24"/>
          <w:szCs w:val="24"/>
          <w:lang w:val="en-GB"/>
        </w:rPr>
        <w:t xml:space="preserve">for 24 </w:t>
      </w:r>
      <w:r w:rsidR="00C778A8" w:rsidRPr="00C67AD0">
        <w:rPr>
          <w:rFonts w:ascii="Book Antiqua" w:hAnsi="Book Antiqua" w:cs="Times New Roman"/>
          <w:sz w:val="24"/>
          <w:szCs w:val="24"/>
          <w:lang w:val="en-GB"/>
        </w:rPr>
        <w:t>h</w:t>
      </w:r>
      <w:r w:rsidR="00DD5C2E" w:rsidRPr="00C67AD0">
        <w:rPr>
          <w:rFonts w:ascii="Book Antiqua" w:hAnsi="Book Antiqua" w:cs="Times New Roman"/>
          <w:sz w:val="24"/>
          <w:szCs w:val="24"/>
          <w:lang w:val="en-GB"/>
        </w:rPr>
        <w:t xml:space="preserve">. MTT reagent was added and incubated for </w:t>
      </w:r>
      <w:r w:rsidR="006579BB" w:rsidRPr="00C67AD0">
        <w:rPr>
          <w:rFonts w:ascii="Book Antiqua" w:hAnsi="Book Antiqua" w:cs="Times New Roman"/>
          <w:sz w:val="24"/>
          <w:szCs w:val="24"/>
          <w:lang w:val="en-GB"/>
        </w:rPr>
        <w:t xml:space="preserve">2 </w:t>
      </w:r>
      <w:r w:rsidR="00DD5C2E" w:rsidRPr="00C67AD0">
        <w:rPr>
          <w:rFonts w:ascii="Book Antiqua" w:hAnsi="Book Antiqua" w:cs="Times New Roman"/>
          <w:sz w:val="24"/>
          <w:szCs w:val="24"/>
          <w:lang w:val="en-GB"/>
        </w:rPr>
        <w:t>h at 37</w:t>
      </w:r>
      <w:r w:rsidR="00EC49AE" w:rsidRPr="00C67AD0">
        <w:rPr>
          <w:rFonts w:ascii="Book Antiqua" w:hAnsi="Book Antiqua" w:cs="Times New Roman" w:hint="eastAsia"/>
          <w:sz w:val="24"/>
          <w:szCs w:val="24"/>
          <w:lang w:val="en-GB" w:eastAsia="zh-CN"/>
        </w:rPr>
        <w:t xml:space="preserve"> </w:t>
      </w:r>
      <w:r w:rsidR="00DD5C2E" w:rsidRPr="00C67AD0">
        <w:rPr>
          <w:rFonts w:ascii="Book Antiqua" w:hAnsi="Book Antiqua" w:cs="Times New Roman"/>
          <w:sz w:val="24"/>
          <w:szCs w:val="24"/>
          <w:lang w:val="en-GB"/>
        </w:rPr>
        <w:t>°C</w:t>
      </w:r>
      <w:r w:rsidR="00D127AD" w:rsidRPr="00C67AD0">
        <w:rPr>
          <w:rFonts w:ascii="Book Antiqua" w:hAnsi="Book Antiqua" w:cs="Times New Roman"/>
          <w:sz w:val="24"/>
          <w:szCs w:val="24"/>
          <w:lang w:val="en-GB"/>
        </w:rPr>
        <w:t xml:space="preserve">, and the </w:t>
      </w:r>
      <w:r w:rsidR="00DD5C2E" w:rsidRPr="00C67AD0">
        <w:rPr>
          <w:rFonts w:ascii="Book Antiqua" w:hAnsi="Book Antiqua" w:cs="Times New Roman"/>
          <w:sz w:val="24"/>
          <w:szCs w:val="24"/>
          <w:lang w:val="en-GB"/>
        </w:rPr>
        <w:t xml:space="preserve">formazan produced in the cells </w:t>
      </w:r>
      <w:r w:rsidR="00D127AD" w:rsidRPr="00C67AD0">
        <w:rPr>
          <w:rFonts w:ascii="Book Antiqua" w:hAnsi="Book Antiqua" w:cs="Times New Roman"/>
          <w:sz w:val="24"/>
          <w:szCs w:val="24"/>
          <w:lang w:val="en-GB"/>
        </w:rPr>
        <w:t xml:space="preserve">formed </w:t>
      </w:r>
      <w:r w:rsidR="00DD5C2E" w:rsidRPr="00C67AD0">
        <w:rPr>
          <w:rFonts w:ascii="Book Antiqua" w:hAnsi="Book Antiqua" w:cs="Times New Roman"/>
          <w:sz w:val="24"/>
          <w:szCs w:val="24"/>
          <w:lang w:val="en-GB"/>
        </w:rPr>
        <w:t xml:space="preserve">dark crystals </w:t>
      </w:r>
      <w:r w:rsidR="00156461" w:rsidRPr="00C67AD0">
        <w:rPr>
          <w:rFonts w:ascii="Book Antiqua" w:hAnsi="Book Antiqua" w:cs="Times New Roman"/>
          <w:sz w:val="24"/>
          <w:szCs w:val="24"/>
          <w:lang w:val="en-GB"/>
        </w:rPr>
        <w:t xml:space="preserve">at </w:t>
      </w:r>
      <w:r w:rsidR="00DD5C2E" w:rsidRPr="00C67AD0">
        <w:rPr>
          <w:rFonts w:ascii="Book Antiqua" w:hAnsi="Book Antiqua" w:cs="Times New Roman"/>
          <w:sz w:val="24"/>
          <w:szCs w:val="24"/>
          <w:lang w:val="en-GB"/>
        </w:rPr>
        <w:t xml:space="preserve">the bottom of the wells. </w:t>
      </w:r>
      <w:r w:rsidR="00156461" w:rsidRPr="00C67AD0">
        <w:rPr>
          <w:rFonts w:ascii="Book Antiqua" w:hAnsi="Book Antiqua" w:cs="Times New Roman"/>
          <w:sz w:val="24"/>
          <w:szCs w:val="24"/>
          <w:lang w:val="en-GB"/>
        </w:rPr>
        <w:t>C</w:t>
      </w:r>
      <w:r w:rsidR="00DD5C2E" w:rsidRPr="00C67AD0">
        <w:rPr>
          <w:rFonts w:ascii="Book Antiqua" w:hAnsi="Book Antiqua" w:cs="Times New Roman"/>
          <w:sz w:val="24"/>
          <w:szCs w:val="24"/>
          <w:lang w:val="en-GB"/>
        </w:rPr>
        <w:t xml:space="preserve">rystal-dissolving solution was added </w:t>
      </w:r>
      <w:r w:rsidR="00156461" w:rsidRPr="00C67AD0">
        <w:rPr>
          <w:rFonts w:ascii="Book Antiqua" w:hAnsi="Book Antiqua" w:cs="Times New Roman"/>
          <w:sz w:val="24"/>
          <w:szCs w:val="24"/>
          <w:lang w:val="en-GB"/>
        </w:rPr>
        <w:t>and t</w:t>
      </w:r>
      <w:r w:rsidR="00DD5C2E" w:rsidRPr="00C67AD0">
        <w:rPr>
          <w:rFonts w:ascii="Book Antiqua" w:hAnsi="Book Antiqua" w:cs="Times New Roman"/>
          <w:sz w:val="24"/>
          <w:szCs w:val="24"/>
          <w:lang w:val="en-GB"/>
        </w:rPr>
        <w:t xml:space="preserve">he absorbance of each sample was quantified at </w:t>
      </w:r>
      <w:r w:rsidR="006579BB" w:rsidRPr="00C67AD0">
        <w:rPr>
          <w:rFonts w:ascii="Book Antiqua" w:hAnsi="Book Antiqua" w:cs="Times New Roman"/>
          <w:sz w:val="24"/>
          <w:szCs w:val="24"/>
          <w:lang w:val="en-GB"/>
        </w:rPr>
        <w:t xml:space="preserve">570 </w:t>
      </w:r>
      <w:r w:rsidR="00DD5C2E" w:rsidRPr="00C67AD0">
        <w:rPr>
          <w:rFonts w:ascii="Book Antiqua" w:hAnsi="Book Antiqua" w:cs="Times New Roman"/>
          <w:sz w:val="24"/>
          <w:szCs w:val="24"/>
          <w:lang w:val="en-GB"/>
        </w:rPr>
        <w:t xml:space="preserve">nm using </w:t>
      </w:r>
      <w:r w:rsidR="00062701" w:rsidRPr="00C67AD0">
        <w:rPr>
          <w:rFonts w:ascii="Book Antiqua" w:hAnsi="Book Antiqua" w:cs="Times New Roman"/>
          <w:sz w:val="24"/>
          <w:szCs w:val="24"/>
          <w:lang w:val="en-GB"/>
        </w:rPr>
        <w:t xml:space="preserve">an automated </w:t>
      </w:r>
      <w:r w:rsidR="00DD5C2E" w:rsidRPr="00C67AD0">
        <w:rPr>
          <w:rFonts w:ascii="Book Antiqua" w:hAnsi="Book Antiqua" w:cs="Times New Roman"/>
          <w:sz w:val="24"/>
          <w:szCs w:val="24"/>
          <w:lang w:val="en-GB"/>
        </w:rPr>
        <w:t>microplate reader</w:t>
      </w:r>
      <w:r w:rsidR="00EE1C06" w:rsidRPr="00C67AD0">
        <w:rPr>
          <w:rFonts w:ascii="Book Antiqua" w:hAnsi="Book Antiqua" w:cs="Times New Roman"/>
          <w:sz w:val="24"/>
          <w:szCs w:val="24"/>
          <w:lang w:val="en-GB"/>
        </w:rPr>
        <w:t xml:space="preserve"> (</w:t>
      </w:r>
      <w:proofErr w:type="spellStart"/>
      <w:r w:rsidR="00EE1C06" w:rsidRPr="00C67AD0">
        <w:rPr>
          <w:rFonts w:ascii="Book Antiqua" w:hAnsi="Book Antiqua" w:cs="Times New Roman"/>
          <w:sz w:val="24"/>
          <w:szCs w:val="24"/>
          <w:lang w:val="en-GB"/>
        </w:rPr>
        <w:t>iEMS</w:t>
      </w:r>
      <w:proofErr w:type="spellEnd"/>
      <w:r w:rsidR="00EE1C06" w:rsidRPr="00C67AD0">
        <w:rPr>
          <w:rFonts w:ascii="Book Antiqua" w:hAnsi="Book Antiqua" w:cs="Times New Roman"/>
          <w:sz w:val="24"/>
          <w:szCs w:val="24"/>
          <w:lang w:val="en-GB"/>
        </w:rPr>
        <w:t xml:space="preserve"> Reader MF; </w:t>
      </w:r>
      <w:proofErr w:type="spellStart"/>
      <w:r w:rsidR="00EE1C06" w:rsidRPr="00C67AD0">
        <w:rPr>
          <w:rFonts w:ascii="Book Antiqua" w:hAnsi="Book Antiqua" w:cs="Times New Roman"/>
          <w:sz w:val="24"/>
          <w:szCs w:val="24"/>
          <w:lang w:val="en-GB"/>
        </w:rPr>
        <w:t>Labsystems</w:t>
      </w:r>
      <w:proofErr w:type="spellEnd"/>
      <w:r w:rsidR="00EE1C06" w:rsidRPr="00C67AD0">
        <w:rPr>
          <w:rFonts w:ascii="Book Antiqua" w:hAnsi="Book Antiqua" w:cs="Times New Roman"/>
          <w:sz w:val="24"/>
          <w:szCs w:val="24"/>
          <w:lang w:val="en-GB"/>
        </w:rPr>
        <w:t>, Helsinki, Finland)</w:t>
      </w:r>
      <w:r w:rsidR="00DD5C2E" w:rsidRPr="00C67AD0">
        <w:rPr>
          <w:rFonts w:ascii="Book Antiqua" w:hAnsi="Book Antiqua" w:cs="Times New Roman"/>
          <w:sz w:val="24"/>
          <w:szCs w:val="24"/>
          <w:lang w:val="en-GB"/>
        </w:rPr>
        <w:t xml:space="preserve">. </w:t>
      </w:r>
      <w:r w:rsidR="00EE1C06" w:rsidRPr="00C67AD0">
        <w:rPr>
          <w:rFonts w:ascii="Book Antiqua" w:hAnsi="Book Antiqua" w:cs="Times New Roman"/>
          <w:sz w:val="24"/>
          <w:szCs w:val="24"/>
          <w:lang w:val="en-GB"/>
        </w:rPr>
        <w:t xml:space="preserve">All samples were run in duplicate. </w:t>
      </w:r>
      <w:r w:rsidR="00DD5C2E" w:rsidRPr="00C67AD0">
        <w:rPr>
          <w:rFonts w:ascii="Book Antiqua" w:hAnsi="Book Antiqua" w:cs="Times New Roman"/>
          <w:sz w:val="24"/>
          <w:szCs w:val="24"/>
          <w:lang w:val="en-GB"/>
        </w:rPr>
        <w:t xml:space="preserve">The absorbance intensity was proportional to the </w:t>
      </w:r>
      <w:r w:rsidR="007A61B7" w:rsidRPr="00C67AD0">
        <w:rPr>
          <w:rFonts w:ascii="Book Antiqua" w:hAnsi="Book Antiqua" w:cs="Times New Roman"/>
          <w:sz w:val="24"/>
          <w:szCs w:val="24"/>
          <w:lang w:val="en-GB"/>
        </w:rPr>
        <w:t>number</w:t>
      </w:r>
      <w:r w:rsidR="00DD5C2E" w:rsidRPr="00C67AD0">
        <w:rPr>
          <w:rFonts w:ascii="Book Antiqua" w:hAnsi="Book Antiqua" w:cs="Times New Roman"/>
          <w:sz w:val="24"/>
          <w:szCs w:val="24"/>
          <w:lang w:val="en-GB"/>
        </w:rPr>
        <w:t xml:space="preserve"> of viable cells.</w:t>
      </w:r>
    </w:p>
    <w:p w14:paraId="0CD6B75D" w14:textId="77777777" w:rsidR="004A589A" w:rsidRPr="00C67AD0" w:rsidRDefault="004A589A" w:rsidP="00B8567E">
      <w:pPr>
        <w:spacing w:line="360" w:lineRule="auto"/>
        <w:contextualSpacing/>
        <w:jc w:val="both"/>
        <w:rPr>
          <w:rFonts w:ascii="Book Antiqua" w:hAnsi="Book Antiqua" w:cs="Times New Roman"/>
          <w:b/>
          <w:i/>
          <w:iCs/>
          <w:sz w:val="24"/>
          <w:szCs w:val="24"/>
          <w:lang w:val="en-GB"/>
        </w:rPr>
      </w:pPr>
    </w:p>
    <w:p w14:paraId="1808B73F" w14:textId="6E63FC66" w:rsidR="00E9457A" w:rsidRPr="00C67AD0" w:rsidRDefault="00E9457A" w:rsidP="00B8567E">
      <w:pPr>
        <w:spacing w:line="360" w:lineRule="auto"/>
        <w:contextualSpacing/>
        <w:jc w:val="both"/>
        <w:rPr>
          <w:rFonts w:ascii="Book Antiqua" w:hAnsi="Book Antiqua" w:cs="Times New Roman"/>
          <w:b/>
          <w:i/>
          <w:iCs/>
          <w:sz w:val="24"/>
          <w:szCs w:val="24"/>
          <w:lang w:val="en-GB"/>
        </w:rPr>
      </w:pPr>
      <w:bookmarkStart w:id="16" w:name="_Hlk48059432"/>
      <w:r w:rsidRPr="00C67AD0">
        <w:rPr>
          <w:rFonts w:ascii="Book Antiqua" w:hAnsi="Book Antiqua" w:cs="Times New Roman"/>
          <w:b/>
          <w:i/>
          <w:iCs/>
          <w:sz w:val="24"/>
          <w:szCs w:val="24"/>
          <w:lang w:val="en-GB"/>
        </w:rPr>
        <w:t xml:space="preserve">Real-time </w:t>
      </w:r>
      <w:proofErr w:type="spellStart"/>
      <w:r w:rsidRPr="00C67AD0">
        <w:rPr>
          <w:rFonts w:ascii="Book Antiqua" w:hAnsi="Book Antiqua" w:cs="Times New Roman"/>
          <w:b/>
          <w:i/>
          <w:iCs/>
          <w:sz w:val="24"/>
          <w:szCs w:val="24"/>
          <w:lang w:val="en-GB"/>
        </w:rPr>
        <w:t>qRT</w:t>
      </w:r>
      <w:proofErr w:type="spellEnd"/>
      <w:r w:rsidRPr="00C67AD0">
        <w:rPr>
          <w:rFonts w:ascii="Book Antiqua" w:hAnsi="Book Antiqua" w:cs="Times New Roman"/>
          <w:b/>
          <w:i/>
          <w:iCs/>
          <w:sz w:val="24"/>
          <w:szCs w:val="24"/>
          <w:lang w:val="en-GB"/>
        </w:rPr>
        <w:t>-PCR</w:t>
      </w:r>
    </w:p>
    <w:bookmarkEnd w:id="16"/>
    <w:p w14:paraId="5FE88535" w14:textId="487AF5D4" w:rsidR="00D72C63" w:rsidRPr="00C67AD0" w:rsidRDefault="00E9457A"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Total RNA from the </w:t>
      </w:r>
      <w:r w:rsidR="009F4ECD" w:rsidRPr="00C67AD0">
        <w:rPr>
          <w:rFonts w:ascii="Book Antiqua" w:hAnsi="Book Antiqua" w:cs="Times New Roman"/>
          <w:sz w:val="24"/>
          <w:szCs w:val="24"/>
          <w:lang w:val="en-GB"/>
        </w:rPr>
        <w:t xml:space="preserve">pancreatic tissue </w:t>
      </w:r>
      <w:r w:rsidRPr="00C67AD0">
        <w:rPr>
          <w:rFonts w:ascii="Book Antiqua" w:hAnsi="Book Antiqua" w:cs="Times New Roman"/>
          <w:sz w:val="24"/>
          <w:szCs w:val="24"/>
          <w:lang w:val="en-GB"/>
        </w:rPr>
        <w:t xml:space="preserve">and cultured cells was extracted with </w:t>
      </w:r>
      <w:proofErr w:type="spellStart"/>
      <w:r w:rsidR="00D328F2" w:rsidRPr="00C67AD0">
        <w:rPr>
          <w:rFonts w:ascii="Book Antiqua" w:hAnsi="Book Antiqua" w:cs="Times New Roman"/>
          <w:sz w:val="24"/>
          <w:szCs w:val="24"/>
          <w:lang w:val="en-GB"/>
        </w:rPr>
        <w:t>Nucleozol</w:t>
      </w:r>
      <w:proofErr w:type="spellEnd"/>
      <w:r w:rsidR="00D328F2"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reagent (</w:t>
      </w:r>
      <w:proofErr w:type="spellStart"/>
      <w:r w:rsidR="00D328F2" w:rsidRPr="00C67AD0">
        <w:rPr>
          <w:rFonts w:ascii="Book Antiqua" w:hAnsi="Book Antiqua" w:cs="Times New Roman"/>
          <w:sz w:val="24"/>
          <w:szCs w:val="24"/>
          <w:lang w:val="en-GB"/>
        </w:rPr>
        <w:t>Macherey</w:t>
      </w:r>
      <w:proofErr w:type="spellEnd"/>
      <w:r w:rsidR="00D328F2" w:rsidRPr="00C67AD0">
        <w:rPr>
          <w:rFonts w:ascii="Book Antiqua" w:hAnsi="Book Antiqua" w:cs="Times New Roman"/>
          <w:sz w:val="24"/>
          <w:szCs w:val="24"/>
          <w:lang w:val="en-GB"/>
        </w:rPr>
        <w:t>-Nagel</w:t>
      </w:r>
      <w:r w:rsidRPr="00C67AD0">
        <w:rPr>
          <w:rFonts w:ascii="Book Antiqua" w:hAnsi="Book Antiqua" w:cs="Times New Roman"/>
          <w:sz w:val="24"/>
          <w:szCs w:val="24"/>
          <w:lang w:val="en-GB"/>
        </w:rPr>
        <w:t xml:space="preserve">, </w:t>
      </w:r>
      <w:proofErr w:type="spellStart"/>
      <w:r w:rsidR="00D328F2" w:rsidRPr="00C67AD0">
        <w:rPr>
          <w:rFonts w:ascii="Book Antiqua" w:hAnsi="Book Antiqua" w:cs="Times New Roman"/>
          <w:sz w:val="24"/>
          <w:szCs w:val="24"/>
          <w:lang w:val="en-GB"/>
        </w:rPr>
        <w:t>Dueren</w:t>
      </w:r>
      <w:proofErr w:type="spellEnd"/>
      <w:r w:rsidRPr="00C67AD0">
        <w:rPr>
          <w:rFonts w:ascii="Book Antiqua" w:hAnsi="Book Antiqua" w:cs="Times New Roman"/>
          <w:sz w:val="24"/>
          <w:szCs w:val="24"/>
          <w:lang w:val="en-GB"/>
        </w:rPr>
        <w:t xml:space="preserve">, </w:t>
      </w:r>
      <w:r w:rsidR="00D328F2" w:rsidRPr="00C67AD0">
        <w:rPr>
          <w:rFonts w:ascii="Book Antiqua" w:hAnsi="Book Antiqua" w:cs="Times New Roman"/>
          <w:sz w:val="24"/>
          <w:szCs w:val="24"/>
          <w:lang w:val="en-GB"/>
        </w:rPr>
        <w:t>Germany</w:t>
      </w:r>
      <w:r w:rsidRPr="00C67AD0">
        <w:rPr>
          <w:rFonts w:ascii="Book Antiqua" w:hAnsi="Book Antiqua" w:cs="Times New Roman"/>
          <w:sz w:val="24"/>
          <w:szCs w:val="24"/>
          <w:lang w:val="en-GB"/>
        </w:rPr>
        <w:t xml:space="preserve">) </w:t>
      </w:r>
      <w:r w:rsidR="009F4ECD" w:rsidRPr="00C67AD0">
        <w:rPr>
          <w:rFonts w:ascii="Book Antiqua" w:hAnsi="Book Antiqua" w:cs="Times New Roman"/>
          <w:sz w:val="24"/>
          <w:szCs w:val="24"/>
          <w:lang w:val="en-GB"/>
        </w:rPr>
        <w:t>in accordance with</w:t>
      </w:r>
      <w:r w:rsidRPr="00C67AD0">
        <w:rPr>
          <w:rFonts w:ascii="Book Antiqua" w:hAnsi="Book Antiqua" w:cs="Times New Roman"/>
          <w:sz w:val="24"/>
          <w:szCs w:val="24"/>
          <w:lang w:val="en-GB"/>
        </w:rPr>
        <w:t xml:space="preserve"> the manufacturer’s protocol. RNA concentration and quality were measured with the OD A260/A280 ratio and </w:t>
      </w:r>
      <w:r w:rsidR="009500E8" w:rsidRPr="00C67AD0">
        <w:rPr>
          <w:rFonts w:ascii="Book Antiqua" w:hAnsi="Book Antiqua" w:cs="Times New Roman"/>
          <w:sz w:val="24"/>
          <w:szCs w:val="24"/>
          <w:lang w:val="en-GB"/>
        </w:rPr>
        <w:t xml:space="preserve">the </w:t>
      </w:r>
      <w:r w:rsidRPr="00C67AD0">
        <w:rPr>
          <w:rFonts w:ascii="Book Antiqua" w:hAnsi="Book Antiqua" w:cs="Times New Roman"/>
          <w:sz w:val="24"/>
          <w:szCs w:val="24"/>
          <w:lang w:val="en-GB"/>
        </w:rPr>
        <w:t>OD A260/A230 ratio</w:t>
      </w:r>
      <w:r w:rsidR="009500E8" w:rsidRPr="00C67AD0">
        <w:rPr>
          <w:rFonts w:ascii="Book Antiqua" w:hAnsi="Book Antiqua" w:cs="Times New Roman"/>
          <w:sz w:val="24"/>
          <w:szCs w:val="24"/>
          <w:lang w:val="en-GB"/>
        </w:rPr>
        <w:t>,</w:t>
      </w:r>
      <w:r w:rsidRPr="00C67AD0">
        <w:rPr>
          <w:rFonts w:ascii="Book Antiqua" w:hAnsi="Book Antiqua" w:cs="Times New Roman"/>
          <w:sz w:val="24"/>
          <w:szCs w:val="24"/>
          <w:lang w:val="en-GB"/>
        </w:rPr>
        <w:t xml:space="preserve"> respectively</w:t>
      </w:r>
      <w:r w:rsidR="009F4ECD" w:rsidRPr="00C67AD0">
        <w:rPr>
          <w:rFonts w:ascii="Book Antiqua" w:hAnsi="Book Antiqua" w:cs="Times New Roman"/>
          <w:sz w:val="24"/>
          <w:szCs w:val="24"/>
          <w:lang w:val="en-GB"/>
        </w:rPr>
        <w:t>.</w:t>
      </w:r>
      <w:r w:rsidRPr="00C67AD0">
        <w:rPr>
          <w:rFonts w:ascii="Book Antiqua" w:hAnsi="Book Antiqua" w:cs="Times New Roman"/>
          <w:sz w:val="24"/>
          <w:szCs w:val="24"/>
          <w:lang w:val="en-GB"/>
        </w:rPr>
        <w:t xml:space="preserve"> Reverse transcription was </w:t>
      </w:r>
      <w:r w:rsidR="009F4ECD" w:rsidRPr="00C67AD0">
        <w:rPr>
          <w:rFonts w:ascii="Book Antiqua" w:hAnsi="Book Antiqua" w:cs="Times New Roman"/>
          <w:sz w:val="24"/>
          <w:szCs w:val="24"/>
          <w:lang w:val="en-GB"/>
        </w:rPr>
        <w:t xml:space="preserve">performed </w:t>
      </w:r>
      <w:r w:rsidRPr="00C67AD0">
        <w:rPr>
          <w:rFonts w:ascii="Book Antiqua" w:hAnsi="Book Antiqua" w:cs="Times New Roman"/>
          <w:sz w:val="24"/>
          <w:szCs w:val="24"/>
          <w:lang w:val="en-GB"/>
        </w:rPr>
        <w:t xml:space="preserve">on a 1 µg RNA sample </w:t>
      </w:r>
      <w:r w:rsidR="009F4ECD" w:rsidRPr="00C67AD0">
        <w:rPr>
          <w:rFonts w:ascii="Book Antiqua" w:hAnsi="Book Antiqua" w:cs="Times New Roman"/>
          <w:sz w:val="24"/>
          <w:szCs w:val="24"/>
          <w:lang w:val="en-GB"/>
        </w:rPr>
        <w:t xml:space="preserve">employing </w:t>
      </w:r>
      <w:r w:rsidRPr="00C67AD0">
        <w:rPr>
          <w:rFonts w:ascii="Book Antiqua" w:hAnsi="Book Antiqua" w:cs="Times New Roman"/>
          <w:sz w:val="24"/>
          <w:szCs w:val="24"/>
          <w:lang w:val="en-GB"/>
        </w:rPr>
        <w:t xml:space="preserve">the </w:t>
      </w:r>
      <w:proofErr w:type="spellStart"/>
      <w:r w:rsidRPr="00C67AD0">
        <w:rPr>
          <w:rFonts w:ascii="Book Antiqua" w:hAnsi="Book Antiqua" w:cs="Times New Roman"/>
          <w:sz w:val="24"/>
          <w:szCs w:val="24"/>
          <w:lang w:val="en-GB"/>
        </w:rPr>
        <w:t>iScript</w:t>
      </w:r>
      <w:proofErr w:type="spellEnd"/>
      <w:r w:rsidRPr="00C67AD0">
        <w:rPr>
          <w:rFonts w:ascii="Book Antiqua" w:hAnsi="Book Antiqua" w:cs="Times New Roman"/>
          <w:sz w:val="24"/>
          <w:szCs w:val="24"/>
          <w:lang w:val="en-GB"/>
        </w:rPr>
        <w:t xml:space="preserve"> cDNA Synthesis Kit (Bio-Rad Laboratories, Hercules, CA, U</w:t>
      </w:r>
      <w:r w:rsidR="00EC49AE" w:rsidRPr="00C67AD0">
        <w:rPr>
          <w:rFonts w:ascii="Book Antiqua" w:hAnsi="Book Antiqua" w:cs="Times New Roman" w:hint="eastAsia"/>
          <w:sz w:val="24"/>
          <w:szCs w:val="24"/>
          <w:lang w:val="en-GB" w:eastAsia="zh-CN"/>
        </w:rPr>
        <w:t>nited States</w:t>
      </w:r>
      <w:r w:rsidRPr="00C67AD0">
        <w:rPr>
          <w:rFonts w:ascii="Book Antiqua" w:hAnsi="Book Antiqua" w:cs="Times New Roman"/>
          <w:sz w:val="24"/>
          <w:szCs w:val="24"/>
          <w:lang w:val="en-GB"/>
        </w:rPr>
        <w:t xml:space="preserve">). PCR amplification was </w:t>
      </w:r>
      <w:r w:rsidR="009F4ECD" w:rsidRPr="00C67AD0">
        <w:rPr>
          <w:rFonts w:ascii="Book Antiqua" w:hAnsi="Book Antiqua" w:cs="Times New Roman"/>
          <w:sz w:val="24"/>
          <w:szCs w:val="24"/>
          <w:lang w:val="en-GB"/>
        </w:rPr>
        <w:t xml:space="preserve">performed </w:t>
      </w:r>
      <w:r w:rsidRPr="00C67AD0">
        <w:rPr>
          <w:rFonts w:ascii="Book Antiqua" w:hAnsi="Book Antiqua" w:cs="Times New Roman"/>
          <w:sz w:val="24"/>
          <w:szCs w:val="24"/>
          <w:lang w:val="en-GB"/>
        </w:rPr>
        <w:t xml:space="preserve">using </w:t>
      </w:r>
      <w:proofErr w:type="spellStart"/>
      <w:r w:rsidRPr="00C67AD0">
        <w:rPr>
          <w:rFonts w:ascii="Book Antiqua" w:hAnsi="Book Antiqua" w:cs="Times New Roman"/>
          <w:sz w:val="24"/>
          <w:szCs w:val="24"/>
          <w:lang w:val="en-GB"/>
        </w:rPr>
        <w:t>SsoAdvanced</w:t>
      </w:r>
      <w:proofErr w:type="spellEnd"/>
      <w:r w:rsidRPr="00C67AD0">
        <w:rPr>
          <w:rFonts w:ascii="Book Antiqua" w:hAnsi="Book Antiqua" w:cs="Times New Roman"/>
          <w:sz w:val="24"/>
          <w:szCs w:val="24"/>
          <w:lang w:val="en-GB"/>
        </w:rPr>
        <w:t xml:space="preserve">™ Universal SYBR® Green </w:t>
      </w:r>
      <w:proofErr w:type="spellStart"/>
      <w:r w:rsidRPr="00C67AD0">
        <w:rPr>
          <w:rFonts w:ascii="Book Antiqua" w:hAnsi="Book Antiqua" w:cs="Times New Roman"/>
          <w:sz w:val="24"/>
          <w:szCs w:val="24"/>
          <w:lang w:val="en-GB"/>
        </w:rPr>
        <w:t>Supermix</w:t>
      </w:r>
      <w:proofErr w:type="spellEnd"/>
      <w:r w:rsidRPr="00C67AD0">
        <w:rPr>
          <w:rFonts w:ascii="Book Antiqua" w:hAnsi="Book Antiqua" w:cs="Times New Roman"/>
          <w:sz w:val="24"/>
          <w:szCs w:val="24"/>
          <w:lang w:val="en-GB"/>
        </w:rPr>
        <w:t xml:space="preserve"> (Bio-Rad Laboratories, Hercules, CA, </w:t>
      </w:r>
      <w:r w:rsidR="00407265" w:rsidRPr="00C67AD0">
        <w:rPr>
          <w:rFonts w:ascii="Book Antiqua" w:hAnsi="Book Antiqua" w:cs="Times New Roman"/>
          <w:sz w:val="24"/>
          <w:szCs w:val="24"/>
          <w:lang w:val="en-GB"/>
        </w:rPr>
        <w:t>U</w:t>
      </w:r>
      <w:r w:rsidR="00407265" w:rsidRPr="00C67AD0">
        <w:rPr>
          <w:rFonts w:ascii="Book Antiqua" w:hAnsi="Book Antiqua" w:cs="Times New Roman" w:hint="eastAsia"/>
          <w:sz w:val="24"/>
          <w:szCs w:val="24"/>
          <w:lang w:val="en-GB" w:eastAsia="zh-CN"/>
        </w:rPr>
        <w:t>nited States</w:t>
      </w:r>
      <w:r w:rsidRPr="00C67AD0">
        <w:rPr>
          <w:rFonts w:ascii="Book Antiqua" w:hAnsi="Book Antiqua" w:cs="Times New Roman"/>
          <w:sz w:val="24"/>
          <w:szCs w:val="24"/>
          <w:lang w:val="en-GB"/>
        </w:rPr>
        <w:t xml:space="preserve">) on a CFX Real-Time PCR Detection System (Bio-Rad Laboratories, Hercules, CA, </w:t>
      </w:r>
      <w:bookmarkStart w:id="17" w:name="OLE_LINK2"/>
      <w:bookmarkStart w:id="18" w:name="OLE_LINK3"/>
      <w:r w:rsidR="00407265" w:rsidRPr="00C67AD0">
        <w:rPr>
          <w:rFonts w:ascii="Book Antiqua" w:hAnsi="Book Antiqua" w:cs="Times New Roman"/>
          <w:sz w:val="24"/>
          <w:szCs w:val="24"/>
          <w:lang w:val="en-GB"/>
        </w:rPr>
        <w:t>U</w:t>
      </w:r>
      <w:r w:rsidR="00407265" w:rsidRPr="00C67AD0">
        <w:rPr>
          <w:rFonts w:ascii="Book Antiqua" w:hAnsi="Book Antiqua" w:cs="Times New Roman" w:hint="eastAsia"/>
          <w:sz w:val="24"/>
          <w:szCs w:val="24"/>
          <w:lang w:val="en-GB" w:eastAsia="zh-CN"/>
        </w:rPr>
        <w:t>nited States</w:t>
      </w:r>
      <w:bookmarkEnd w:id="17"/>
      <w:bookmarkEnd w:id="18"/>
      <w:r w:rsidRPr="00C67AD0">
        <w:rPr>
          <w:rFonts w:ascii="Book Antiqua" w:hAnsi="Book Antiqua" w:cs="Times New Roman"/>
          <w:sz w:val="24"/>
          <w:szCs w:val="24"/>
          <w:lang w:val="en-GB"/>
        </w:rPr>
        <w:t>) using 10</w:t>
      </w:r>
      <w:r w:rsidR="00F632A6"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µL </w:t>
      </w:r>
      <w:r w:rsidR="00F632A6" w:rsidRPr="00C67AD0">
        <w:rPr>
          <w:rFonts w:ascii="Book Antiqua" w:hAnsi="Book Antiqua" w:cs="Times New Roman"/>
          <w:sz w:val="24"/>
          <w:szCs w:val="24"/>
          <w:lang w:val="en-GB"/>
        </w:rPr>
        <w:t xml:space="preserve">of </w:t>
      </w:r>
      <w:r w:rsidRPr="00C67AD0">
        <w:rPr>
          <w:rFonts w:ascii="Book Antiqua" w:hAnsi="Book Antiqua" w:cs="Times New Roman"/>
          <w:sz w:val="24"/>
          <w:szCs w:val="24"/>
          <w:lang w:val="en-GB"/>
        </w:rPr>
        <w:lastRenderedPageBreak/>
        <w:t>amplification mixture containing 50</w:t>
      </w:r>
      <w:r w:rsidRPr="00C67AD0">
        <w:rPr>
          <w:rFonts w:ascii="Times New Roman" w:hAnsi="Times New Roman" w:cs="Times New Roman"/>
          <w:sz w:val="24"/>
          <w:szCs w:val="24"/>
          <w:lang w:val="en-GB"/>
        </w:rPr>
        <w:t> </w:t>
      </w:r>
      <w:r w:rsidRPr="00C67AD0">
        <w:rPr>
          <w:rFonts w:ascii="Book Antiqua" w:hAnsi="Book Antiqua" w:cs="Times New Roman"/>
          <w:sz w:val="24"/>
          <w:szCs w:val="24"/>
          <w:lang w:val="en-GB"/>
        </w:rPr>
        <w:t>ng of reverse-transcribed RNA and 250</w:t>
      </w:r>
      <w:r w:rsidRPr="00C67AD0">
        <w:rPr>
          <w:rFonts w:ascii="Times New Roman" w:hAnsi="Times New Roman" w:cs="Times New Roman"/>
          <w:sz w:val="24"/>
          <w:szCs w:val="24"/>
          <w:lang w:val="en-GB"/>
        </w:rPr>
        <w:t> </w:t>
      </w:r>
      <w:r w:rsidRPr="00C67AD0">
        <w:rPr>
          <w:rFonts w:ascii="Book Antiqua" w:hAnsi="Book Antiqua" w:cs="Times New Roman"/>
          <w:sz w:val="24"/>
          <w:szCs w:val="24"/>
          <w:lang w:val="en-GB"/>
        </w:rPr>
        <w:t>n</w:t>
      </w:r>
      <w:r w:rsidR="008764AD">
        <w:rPr>
          <w:rFonts w:ascii="Book Antiqua" w:hAnsi="Book Antiqua" w:cs="Times New Roman" w:hint="eastAsia"/>
          <w:sz w:val="24"/>
          <w:szCs w:val="24"/>
          <w:lang w:val="en-GB" w:eastAsia="zh-CN"/>
        </w:rPr>
        <w:t>mol/L</w:t>
      </w:r>
      <w:r w:rsidRPr="00C67AD0">
        <w:rPr>
          <w:rFonts w:ascii="Book Antiqua" w:hAnsi="Book Antiqua" w:cs="Times New Roman"/>
          <w:sz w:val="24"/>
          <w:szCs w:val="24"/>
          <w:lang w:val="en-GB"/>
        </w:rPr>
        <w:t xml:space="preserve"> of the corresponding forward and reverse primers. </w:t>
      </w:r>
    </w:p>
    <w:p w14:paraId="43FFF2DD" w14:textId="7D02C414" w:rsidR="00E9457A" w:rsidRPr="00C67AD0" w:rsidRDefault="00E9457A" w:rsidP="00B450EC">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PCR primers for the detection of </w:t>
      </w:r>
      <w:r w:rsidR="00D92F8F" w:rsidRPr="00C67AD0">
        <w:rPr>
          <w:rFonts w:ascii="Book Antiqua" w:hAnsi="Book Antiqua" w:cs="Times New Roman"/>
          <w:sz w:val="24"/>
          <w:szCs w:val="24"/>
          <w:lang w:val="en-GB"/>
        </w:rPr>
        <w:t xml:space="preserve">interleukin </w:t>
      </w:r>
      <w:r w:rsidR="00B450EC" w:rsidRPr="00C67AD0">
        <w:rPr>
          <w:rFonts w:ascii="Book Antiqua" w:hAnsi="Book Antiqua" w:cs="Times New Roman"/>
          <w:sz w:val="24"/>
          <w:szCs w:val="24"/>
          <w:lang w:val="en-GB"/>
        </w:rPr>
        <w:t>(IL)</w:t>
      </w:r>
      <w:r w:rsidR="00B450EC" w:rsidRPr="00C67AD0">
        <w:rPr>
          <w:rFonts w:ascii="Book Antiqua" w:hAnsi="Book Antiqua" w:cs="Times New Roman" w:hint="eastAsia"/>
          <w:sz w:val="24"/>
          <w:szCs w:val="24"/>
          <w:lang w:val="en-GB" w:eastAsia="zh-CN"/>
        </w:rPr>
        <w:t xml:space="preserve"> </w:t>
      </w:r>
      <w:r w:rsidR="00B450EC" w:rsidRPr="00C67AD0">
        <w:rPr>
          <w:rFonts w:ascii="Book Antiqua" w:hAnsi="Book Antiqua" w:cs="Times New Roman"/>
          <w:sz w:val="24"/>
          <w:szCs w:val="24"/>
          <w:lang w:val="en-GB"/>
        </w:rPr>
        <w:t>6</w:t>
      </w:r>
      <w:r w:rsidRPr="00C67AD0">
        <w:rPr>
          <w:rFonts w:ascii="Book Antiqua" w:hAnsi="Book Antiqua" w:cs="Times New Roman"/>
          <w:sz w:val="24"/>
          <w:szCs w:val="24"/>
          <w:lang w:val="en-GB"/>
        </w:rPr>
        <w:t>, IL1</w:t>
      </w:r>
      <w:r w:rsidRPr="00C67AD0">
        <w:rPr>
          <w:rFonts w:ascii="Book Antiqua" w:hAnsi="Book Antiqua" w:cs="Book Antiqua"/>
          <w:sz w:val="24"/>
          <w:szCs w:val="24"/>
          <w:lang w:val="en-GB"/>
        </w:rPr>
        <w:t>β</w:t>
      </w:r>
      <w:r w:rsidR="00621FFA" w:rsidRPr="00C67AD0">
        <w:rPr>
          <w:rFonts w:ascii="Book Antiqua" w:hAnsi="Book Antiqua" w:cs="Times New Roman"/>
          <w:sz w:val="24"/>
          <w:szCs w:val="24"/>
          <w:lang w:val="en-GB"/>
        </w:rPr>
        <w:t xml:space="preserve">, </w:t>
      </w:r>
      <w:r w:rsidR="00B450EC" w:rsidRPr="00C67AD0">
        <w:rPr>
          <w:rFonts w:ascii="Book Antiqua" w:hAnsi="Book Antiqua" w:cs="Times New Roman"/>
          <w:sz w:val="24"/>
          <w:szCs w:val="24"/>
          <w:lang w:val="en-GB"/>
        </w:rPr>
        <w:t>IL10</w:t>
      </w:r>
      <w:r w:rsidR="00621FFA" w:rsidRPr="00C67AD0">
        <w:rPr>
          <w:rFonts w:ascii="Book Antiqua" w:hAnsi="Book Antiqua" w:cs="Times New Roman"/>
          <w:sz w:val="24"/>
          <w:szCs w:val="24"/>
          <w:lang w:val="en-GB"/>
        </w:rPr>
        <w:t xml:space="preserve">, inducible </w:t>
      </w:r>
      <w:r w:rsidR="00416EC8" w:rsidRPr="00C67AD0">
        <w:rPr>
          <w:rFonts w:ascii="Book Antiqua" w:hAnsi="Book Antiqua" w:cs="Times New Roman"/>
          <w:bCs/>
          <w:sz w:val="24"/>
          <w:szCs w:val="24"/>
          <w:lang w:val="en-GB"/>
        </w:rPr>
        <w:t>isoform of</w:t>
      </w:r>
      <w:r w:rsidR="00416EC8" w:rsidRPr="00C67AD0">
        <w:rPr>
          <w:rFonts w:ascii="Book Antiqua" w:hAnsi="Book Antiqua" w:cs="Times New Roman"/>
          <w:sz w:val="24"/>
          <w:szCs w:val="24"/>
          <w:lang w:val="en-GB"/>
        </w:rPr>
        <w:t xml:space="preserve"> </w:t>
      </w:r>
      <w:r w:rsidR="00621FFA" w:rsidRPr="00C67AD0">
        <w:rPr>
          <w:rFonts w:ascii="Book Antiqua" w:hAnsi="Book Antiqua" w:cs="Times New Roman"/>
          <w:sz w:val="24"/>
          <w:szCs w:val="24"/>
          <w:lang w:val="en-GB"/>
        </w:rPr>
        <w:t>nitric oxide synthase (</w:t>
      </w:r>
      <w:proofErr w:type="spellStart"/>
      <w:r w:rsidR="00621FFA" w:rsidRPr="00C67AD0">
        <w:rPr>
          <w:rFonts w:ascii="Book Antiqua" w:hAnsi="Book Antiqua" w:cs="Times New Roman"/>
          <w:sz w:val="24"/>
          <w:szCs w:val="24"/>
          <w:lang w:val="en-GB"/>
        </w:rPr>
        <w:t>iNOS</w:t>
      </w:r>
      <w:proofErr w:type="spellEnd"/>
      <w:r w:rsidR="00621FFA" w:rsidRPr="00C67AD0">
        <w:rPr>
          <w:rFonts w:ascii="Book Antiqua" w:hAnsi="Book Antiqua" w:cs="Times New Roman"/>
          <w:sz w:val="24"/>
          <w:szCs w:val="24"/>
          <w:lang w:val="en-GB"/>
        </w:rPr>
        <w:t xml:space="preserve">), </w:t>
      </w:r>
      <w:r w:rsidR="00D92F8F" w:rsidRPr="00C67AD0">
        <w:rPr>
          <w:rFonts w:ascii="Book Antiqua" w:hAnsi="Book Antiqua" w:cs="Times New Roman"/>
          <w:sz w:val="24"/>
          <w:szCs w:val="24"/>
          <w:lang w:val="en-GB"/>
        </w:rPr>
        <w:t xml:space="preserve">or </w:t>
      </w:r>
      <w:r w:rsidRPr="00C67AD0">
        <w:rPr>
          <w:rFonts w:ascii="Book Antiqua" w:hAnsi="Book Antiqua" w:cs="Times New Roman"/>
          <w:sz w:val="24"/>
          <w:szCs w:val="24"/>
          <w:lang w:val="en-GB"/>
        </w:rPr>
        <w:t xml:space="preserve">glyceraldehyde-3-phosphate dehydrogenase (GAPDH) were validated primers from </w:t>
      </w:r>
      <w:proofErr w:type="spellStart"/>
      <w:r w:rsidRPr="00C67AD0">
        <w:rPr>
          <w:rFonts w:ascii="Book Antiqua" w:hAnsi="Book Antiqua" w:cs="Times New Roman"/>
          <w:sz w:val="24"/>
          <w:szCs w:val="24"/>
          <w:lang w:val="en-GB"/>
        </w:rPr>
        <w:t>BioRad</w:t>
      </w:r>
      <w:proofErr w:type="spellEnd"/>
      <w:r w:rsidRPr="00C67AD0">
        <w:rPr>
          <w:rFonts w:ascii="Book Antiqua" w:hAnsi="Book Antiqua" w:cs="Times New Roman"/>
          <w:sz w:val="24"/>
          <w:szCs w:val="24"/>
          <w:lang w:val="en-GB"/>
        </w:rPr>
        <w:t xml:space="preserve"> (Hercules, CA, </w:t>
      </w:r>
      <w:r w:rsidR="000B08E6" w:rsidRPr="00C67AD0">
        <w:rPr>
          <w:rFonts w:ascii="Book Antiqua" w:hAnsi="Book Antiqua" w:cs="Times New Roman"/>
          <w:sz w:val="24"/>
          <w:szCs w:val="24"/>
          <w:lang w:val="en-GB"/>
        </w:rPr>
        <w:t>U</w:t>
      </w:r>
      <w:r w:rsidR="000B08E6" w:rsidRPr="00C67AD0">
        <w:rPr>
          <w:rFonts w:ascii="Book Antiqua" w:hAnsi="Book Antiqua" w:cs="Times New Roman" w:hint="eastAsia"/>
          <w:sz w:val="24"/>
          <w:szCs w:val="24"/>
          <w:lang w:val="en-GB" w:eastAsia="zh-CN"/>
        </w:rPr>
        <w:t>nited States</w:t>
      </w:r>
      <w:r w:rsidRPr="00C67AD0">
        <w:rPr>
          <w:rFonts w:ascii="Book Antiqua" w:hAnsi="Book Antiqua" w:cs="Times New Roman"/>
          <w:sz w:val="24"/>
          <w:szCs w:val="24"/>
          <w:lang w:val="en-GB"/>
        </w:rPr>
        <w:t xml:space="preserve">). PCR primers for </w:t>
      </w:r>
      <w:proofErr w:type="spellStart"/>
      <w:r w:rsidR="00D92F8F" w:rsidRPr="00C67AD0">
        <w:rPr>
          <w:rFonts w:ascii="Book Antiqua" w:hAnsi="Book Antiqua" w:cs="Times New Roman"/>
          <w:sz w:val="24"/>
          <w:szCs w:val="24"/>
          <w:lang w:val="en-GB"/>
        </w:rPr>
        <w:t>t</w:t>
      </w:r>
      <w:r w:rsidRPr="00C67AD0">
        <w:rPr>
          <w:rFonts w:ascii="Book Antiqua" w:hAnsi="Book Antiqua" w:cs="Times New Roman"/>
          <w:sz w:val="24"/>
          <w:szCs w:val="24"/>
          <w:lang w:val="en-GB"/>
        </w:rPr>
        <w:t>umor</w:t>
      </w:r>
      <w:proofErr w:type="spellEnd"/>
      <w:r w:rsidRPr="00C67AD0">
        <w:rPr>
          <w:rFonts w:ascii="Book Antiqua" w:hAnsi="Book Antiqua" w:cs="Times New Roman"/>
          <w:sz w:val="24"/>
          <w:szCs w:val="24"/>
          <w:lang w:val="en-GB"/>
        </w:rPr>
        <w:t xml:space="preserve"> necrosis factor α (TNFα)</w:t>
      </w:r>
      <w:r w:rsidR="00D92F8F" w:rsidRPr="00C67AD0">
        <w:rPr>
          <w:rFonts w:ascii="Book Antiqua" w:hAnsi="Book Antiqua" w:cs="Times New Roman"/>
          <w:sz w:val="24"/>
          <w:szCs w:val="24"/>
          <w:lang w:val="en-GB"/>
        </w:rPr>
        <w:t>,</w:t>
      </w:r>
      <w:r w:rsidRPr="00C67AD0">
        <w:rPr>
          <w:rFonts w:ascii="Book Antiqua" w:hAnsi="Book Antiqua" w:cs="Times New Roman"/>
          <w:sz w:val="24"/>
          <w:szCs w:val="24"/>
          <w:lang w:val="en-GB"/>
        </w:rPr>
        <w:t xml:space="preserve"> designed with Primer3.0 plus</w:t>
      </w:r>
      <w:r w:rsidR="00265CFD" w:rsidRPr="00C67AD0">
        <w:rPr>
          <w:rFonts w:ascii="Book Antiqua" w:hAnsi="Book Antiqua" w:cs="Times New Roman"/>
          <w:sz w:val="24"/>
          <w:szCs w:val="24"/>
          <w:lang w:val="en-GB"/>
        </w:rPr>
        <w:fldChar w:fldCharType="begin" w:fldLock="1"/>
      </w:r>
      <w:r w:rsidR="002722A6" w:rsidRPr="00C67AD0">
        <w:rPr>
          <w:rFonts w:ascii="Book Antiqua" w:hAnsi="Book Antiqua" w:cs="Times New Roman"/>
          <w:sz w:val="24"/>
          <w:szCs w:val="24"/>
          <w:lang w:val="en-GB"/>
        </w:rPr>
        <w:instrText>ADDIN CSL_CITATION {"citationItems":[{"id":"ITEM-1","itemData":{"DOI":"10.1093/nar/gks596","PMID":"22730293","author":[{"dropping-particle":"","family":"Untergasser A , Cutcutache I, Koressaar T, Ye J,Faircloth BC, Remm M","given":"Rozen SG","non-dropping-particle":"","parse-names":false,"suffix":""}],"container-title":"Nucleic Acids Research","id":"ITEM-1","issue":"15","issued":{"date-parts":[["2012"]]},"page":"e115","title":"Primer3--new capabilities and interfaces","type":"article-journal","volume":"40"},"uris":["http://www.mendeley.com/documents/?uuid=60a5a7b6-1ffb-4463-a8af-b26e769c5581"]}],"mendeley":{"formattedCitation":"&lt;sup&gt;[16]&lt;/sup&gt;","plainTextFormattedCitation":"[16]","previouslyFormattedCitation":"&lt;sup&gt;[16]&lt;/sup&gt;"},"properties":{"noteIndex":0},"schema":"https://github.com/citation-style-language/schema/raw/master/csl-citation.json"}</w:instrText>
      </w:r>
      <w:r w:rsidR="00265CFD" w:rsidRPr="00C67AD0">
        <w:rPr>
          <w:rFonts w:ascii="Book Antiqua" w:hAnsi="Book Antiqua" w:cs="Times New Roman"/>
          <w:sz w:val="24"/>
          <w:szCs w:val="24"/>
          <w:lang w:val="en-GB"/>
        </w:rPr>
        <w:fldChar w:fldCharType="separate"/>
      </w:r>
      <w:r w:rsidR="00FB4F41" w:rsidRPr="00C67AD0">
        <w:rPr>
          <w:rFonts w:ascii="Book Antiqua" w:hAnsi="Book Antiqua" w:cs="Times New Roman"/>
          <w:noProof/>
          <w:sz w:val="24"/>
          <w:szCs w:val="24"/>
          <w:vertAlign w:val="superscript"/>
          <w:lang w:val="en-GB"/>
        </w:rPr>
        <w:t>[16]</w:t>
      </w:r>
      <w:r w:rsidR="00265CFD" w:rsidRPr="00C67AD0">
        <w:rPr>
          <w:rFonts w:ascii="Book Antiqua" w:hAnsi="Book Antiqua" w:cs="Times New Roman"/>
          <w:sz w:val="24"/>
          <w:szCs w:val="24"/>
          <w:lang w:val="en-GB"/>
        </w:rPr>
        <w:fldChar w:fldCharType="end"/>
      </w:r>
      <w:r w:rsidR="00D92F8F" w:rsidRPr="00C67AD0">
        <w:rPr>
          <w:rFonts w:ascii="Book Antiqua" w:hAnsi="Book Antiqua" w:cs="Times New Roman"/>
          <w:sz w:val="24"/>
          <w:szCs w:val="24"/>
          <w:lang w:val="en-GB"/>
        </w:rPr>
        <w:t>, were</w:t>
      </w:r>
      <w:r w:rsidRPr="00C67AD0">
        <w:rPr>
          <w:rFonts w:ascii="Book Antiqua" w:hAnsi="Book Antiqua" w:cs="Times New Roman"/>
          <w:sz w:val="24"/>
          <w:szCs w:val="24"/>
          <w:lang w:val="en-GB"/>
        </w:rPr>
        <w:t>: TNFα forward, 5’- ATGGGCTCCCTCTCATCAGT-3’ and reverse</w:t>
      </w:r>
      <w:r w:rsidR="00D92F8F" w:rsidRPr="00C67AD0">
        <w:rPr>
          <w:rFonts w:ascii="Book Antiqua" w:hAnsi="Book Antiqua" w:cs="Times New Roman"/>
          <w:sz w:val="24"/>
          <w:szCs w:val="24"/>
          <w:lang w:val="en-GB"/>
        </w:rPr>
        <w:t>,</w:t>
      </w:r>
      <w:r w:rsidRPr="00C67AD0">
        <w:rPr>
          <w:rFonts w:ascii="Book Antiqua" w:hAnsi="Book Antiqua" w:cs="Times New Roman"/>
          <w:sz w:val="24"/>
          <w:szCs w:val="24"/>
          <w:lang w:val="en-GB"/>
        </w:rPr>
        <w:t xml:space="preserve"> 5’-GCTTGGTGGTTTGCTACGAC-3’. </w:t>
      </w:r>
      <w:r w:rsidR="00485EF9" w:rsidRPr="00C67AD0">
        <w:rPr>
          <w:rFonts w:ascii="Book Antiqua" w:hAnsi="Book Antiqua" w:cs="Times New Roman"/>
          <w:sz w:val="24"/>
          <w:szCs w:val="24"/>
          <w:lang w:val="en-GB"/>
        </w:rPr>
        <w:t>The specificity of a</w:t>
      </w:r>
      <w:r w:rsidR="00D92F8F" w:rsidRPr="00C67AD0">
        <w:rPr>
          <w:rFonts w:ascii="Book Antiqua" w:hAnsi="Book Antiqua" w:cs="Times New Roman"/>
          <w:sz w:val="24"/>
          <w:szCs w:val="24"/>
          <w:lang w:val="en-GB"/>
        </w:rPr>
        <w:t xml:space="preserve">mplicon </w:t>
      </w:r>
      <w:r w:rsidRPr="00C67AD0">
        <w:rPr>
          <w:rFonts w:ascii="Book Antiqua" w:hAnsi="Book Antiqua" w:cs="Times New Roman"/>
          <w:sz w:val="24"/>
          <w:szCs w:val="24"/>
          <w:lang w:val="en-GB"/>
        </w:rPr>
        <w:t xml:space="preserve">was determined by melting curve analysis. </w:t>
      </w:r>
      <w:r w:rsidR="00485EF9" w:rsidRPr="00C67AD0">
        <w:rPr>
          <w:rFonts w:ascii="Book Antiqua" w:hAnsi="Book Antiqua" w:cs="Times New Roman"/>
          <w:sz w:val="24"/>
          <w:szCs w:val="24"/>
          <w:lang w:val="en-GB"/>
        </w:rPr>
        <w:t>T</w:t>
      </w:r>
      <w:r w:rsidRPr="00C67AD0">
        <w:rPr>
          <w:rFonts w:ascii="Book Antiqua" w:hAnsi="Book Antiqua" w:cs="Times New Roman"/>
          <w:sz w:val="24"/>
          <w:szCs w:val="24"/>
          <w:lang w:val="en-GB"/>
        </w:rPr>
        <w:t>hreshold cycle values were normalized to GAPDH gene expression</w:t>
      </w:r>
      <w:r w:rsidR="00123D98" w:rsidRPr="00C67AD0">
        <w:rPr>
          <w:rFonts w:ascii="Book Antiqua" w:hAnsi="Book Antiqua" w:cs="Times New Roman"/>
          <w:sz w:val="24"/>
          <w:szCs w:val="24"/>
          <w:lang w:val="en-GB"/>
        </w:rPr>
        <w:t xml:space="preserve"> and t</w:t>
      </w:r>
      <w:r w:rsidRPr="00C67AD0">
        <w:rPr>
          <w:rFonts w:ascii="Book Antiqua" w:hAnsi="Book Antiqua" w:cs="Times New Roman"/>
          <w:sz w:val="24"/>
          <w:szCs w:val="24"/>
          <w:lang w:val="en-GB"/>
        </w:rPr>
        <w:t xml:space="preserve">he ratio of the relative expression of target genes to GAPDH was calculated by the </w:t>
      </w:r>
      <w:proofErr w:type="spellStart"/>
      <w:r w:rsidRPr="00C67AD0">
        <w:rPr>
          <w:rFonts w:ascii="Book Antiqua" w:hAnsi="Book Antiqua" w:cs="Times New Roman"/>
          <w:sz w:val="24"/>
          <w:szCs w:val="24"/>
          <w:lang w:val="en-GB"/>
        </w:rPr>
        <w:t>DCt</w:t>
      </w:r>
      <w:proofErr w:type="spellEnd"/>
      <w:r w:rsidRPr="00C67AD0">
        <w:rPr>
          <w:rFonts w:ascii="Book Antiqua" w:hAnsi="Book Antiqua" w:cs="Times New Roman"/>
          <w:sz w:val="24"/>
          <w:szCs w:val="24"/>
          <w:lang w:val="en-GB"/>
        </w:rPr>
        <w:t xml:space="preserve"> formula.</w:t>
      </w:r>
    </w:p>
    <w:p w14:paraId="47C6A7CA" w14:textId="77777777" w:rsidR="009C5B30" w:rsidRPr="00C67AD0" w:rsidRDefault="009C5B30" w:rsidP="00B8567E">
      <w:pPr>
        <w:spacing w:line="360" w:lineRule="auto"/>
        <w:contextualSpacing/>
        <w:jc w:val="both"/>
        <w:rPr>
          <w:rFonts w:ascii="Book Antiqua" w:hAnsi="Book Antiqua" w:cs="Times New Roman"/>
          <w:b/>
          <w:i/>
          <w:iCs/>
          <w:sz w:val="24"/>
          <w:szCs w:val="24"/>
          <w:lang w:val="en-GB"/>
        </w:rPr>
      </w:pPr>
    </w:p>
    <w:p w14:paraId="5CE0B593" w14:textId="3BB6BBF0" w:rsidR="00C27D54" w:rsidRPr="00C67AD0" w:rsidRDefault="00C27D54" w:rsidP="00B8567E">
      <w:pPr>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 xml:space="preserve">Western </w:t>
      </w:r>
      <w:r w:rsidR="00597272" w:rsidRPr="00C67AD0">
        <w:rPr>
          <w:rFonts w:ascii="Book Antiqua" w:hAnsi="Book Antiqua" w:cs="Times New Roman"/>
          <w:b/>
          <w:i/>
          <w:iCs/>
          <w:sz w:val="24"/>
          <w:szCs w:val="24"/>
          <w:lang w:val="en-GB"/>
        </w:rPr>
        <w:t>b</w:t>
      </w:r>
      <w:r w:rsidRPr="00C67AD0">
        <w:rPr>
          <w:rFonts w:ascii="Book Antiqua" w:hAnsi="Book Antiqua" w:cs="Times New Roman"/>
          <w:b/>
          <w:i/>
          <w:iCs/>
          <w:sz w:val="24"/>
          <w:szCs w:val="24"/>
          <w:lang w:val="en-GB"/>
        </w:rPr>
        <w:t>lot</w:t>
      </w:r>
    </w:p>
    <w:p w14:paraId="3BBAE84B" w14:textId="5034D82B" w:rsidR="00D72C63" w:rsidRPr="00C67AD0" w:rsidRDefault="00C27D54"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Pancreatic tissue was homogenized in ice-cold RIPA buffer. Lysa</w:t>
      </w:r>
      <w:r w:rsidR="00552A0E" w:rsidRPr="00C67AD0">
        <w:rPr>
          <w:rFonts w:ascii="Book Antiqua" w:hAnsi="Book Antiqua" w:cs="Times New Roman"/>
          <w:sz w:val="24"/>
          <w:szCs w:val="24"/>
          <w:lang w:val="en-GB"/>
        </w:rPr>
        <w:t>tes were then centrifuged at 15</w:t>
      </w:r>
      <w:r w:rsidRPr="00C67AD0">
        <w:rPr>
          <w:rFonts w:ascii="Book Antiqua" w:hAnsi="Book Antiqua" w:cs="Times New Roman"/>
          <w:sz w:val="24"/>
          <w:szCs w:val="24"/>
          <w:lang w:val="en-GB"/>
        </w:rPr>
        <w:t xml:space="preserve">000 </w:t>
      </w:r>
      <w:r w:rsidRPr="00C67AD0">
        <w:rPr>
          <w:rFonts w:ascii="Book Antiqua" w:hAnsi="Book Antiqua" w:cs="Times New Roman"/>
          <w:i/>
          <w:sz w:val="24"/>
          <w:szCs w:val="24"/>
          <w:lang w:val="en-GB"/>
        </w:rPr>
        <w:t>g</w:t>
      </w:r>
      <w:r w:rsidRPr="00C67AD0">
        <w:rPr>
          <w:rFonts w:ascii="Book Antiqua" w:hAnsi="Book Antiqua" w:cs="Times New Roman"/>
          <w:sz w:val="24"/>
          <w:szCs w:val="24"/>
          <w:lang w:val="en-GB"/>
        </w:rPr>
        <w:t xml:space="preserve"> for 20 min at 4 °C, and the supernatants were collected. </w:t>
      </w:r>
      <w:r w:rsidR="00391124" w:rsidRPr="00C67AD0">
        <w:rPr>
          <w:rFonts w:ascii="Book Antiqua" w:hAnsi="Book Antiqua" w:cs="Times New Roman"/>
          <w:sz w:val="24"/>
          <w:szCs w:val="24"/>
          <w:lang w:val="en-GB"/>
        </w:rPr>
        <w:t>Supernatant p</w:t>
      </w:r>
      <w:r w:rsidRPr="00C67AD0">
        <w:rPr>
          <w:rFonts w:ascii="Book Antiqua" w:hAnsi="Book Antiqua" w:cs="Times New Roman"/>
          <w:sz w:val="24"/>
          <w:szCs w:val="24"/>
          <w:lang w:val="en-GB"/>
        </w:rPr>
        <w:t>rotein concentration</w:t>
      </w:r>
      <w:r w:rsidR="00C72505" w:rsidRPr="00C67AD0">
        <w:rPr>
          <w:rFonts w:ascii="Book Antiqua" w:hAnsi="Book Antiqua" w:cs="Times New Roman"/>
          <w:sz w:val="24"/>
          <w:szCs w:val="24"/>
          <w:lang w:val="en-GB"/>
        </w:rPr>
        <w:t>s</w:t>
      </w:r>
      <w:r w:rsidRPr="00C67AD0">
        <w:rPr>
          <w:rFonts w:ascii="Book Antiqua" w:hAnsi="Book Antiqua" w:cs="Times New Roman"/>
          <w:sz w:val="24"/>
          <w:szCs w:val="24"/>
          <w:lang w:val="en-GB"/>
        </w:rPr>
        <w:t xml:space="preserve"> </w:t>
      </w:r>
      <w:r w:rsidR="00C72505" w:rsidRPr="00C67AD0">
        <w:rPr>
          <w:rFonts w:ascii="Book Antiqua" w:hAnsi="Book Antiqua" w:cs="Times New Roman"/>
          <w:sz w:val="24"/>
          <w:szCs w:val="24"/>
          <w:lang w:val="en-GB"/>
        </w:rPr>
        <w:t xml:space="preserve">were </w:t>
      </w:r>
      <w:r w:rsidR="00391124" w:rsidRPr="00C67AD0">
        <w:rPr>
          <w:rFonts w:ascii="Book Antiqua" w:hAnsi="Book Antiqua" w:cs="Times New Roman"/>
          <w:sz w:val="24"/>
          <w:szCs w:val="24"/>
          <w:lang w:val="en-GB"/>
        </w:rPr>
        <w:t xml:space="preserve">measured using </w:t>
      </w:r>
      <w:r w:rsidRPr="00C67AD0">
        <w:rPr>
          <w:rFonts w:ascii="Book Antiqua" w:hAnsi="Book Antiqua" w:cs="Times New Roman"/>
          <w:sz w:val="24"/>
          <w:szCs w:val="24"/>
          <w:lang w:val="en-GB"/>
        </w:rPr>
        <w:t xml:space="preserve">the Bradford protein assay (Bio-Rad Laboratories, Hercules, CA, </w:t>
      </w:r>
      <w:r w:rsidR="00552A0E" w:rsidRPr="00C67AD0">
        <w:rPr>
          <w:rFonts w:ascii="Book Antiqua" w:hAnsi="Book Antiqua" w:cs="Times New Roman"/>
          <w:sz w:val="24"/>
          <w:szCs w:val="24"/>
          <w:lang w:val="en-GB"/>
        </w:rPr>
        <w:t>U</w:t>
      </w:r>
      <w:r w:rsidR="00552A0E" w:rsidRPr="00C67AD0">
        <w:rPr>
          <w:rFonts w:ascii="Book Antiqua" w:hAnsi="Book Antiqua" w:cs="Times New Roman" w:hint="eastAsia"/>
          <w:sz w:val="24"/>
          <w:szCs w:val="24"/>
          <w:lang w:val="en-GB" w:eastAsia="zh-CN"/>
        </w:rPr>
        <w:t>nited States</w:t>
      </w:r>
      <w:r w:rsidRPr="00C67AD0">
        <w:rPr>
          <w:rFonts w:ascii="Book Antiqua" w:hAnsi="Book Antiqua" w:cs="Times New Roman"/>
          <w:sz w:val="24"/>
          <w:szCs w:val="24"/>
          <w:lang w:val="en-GB"/>
        </w:rPr>
        <w:t xml:space="preserve">). SDS-PAGE was performed on a 10% gel </w:t>
      </w:r>
      <w:r w:rsidR="00391124" w:rsidRPr="00C67AD0">
        <w:rPr>
          <w:rFonts w:ascii="Book Antiqua" w:hAnsi="Book Antiqua" w:cs="Times New Roman"/>
          <w:sz w:val="24"/>
          <w:szCs w:val="24"/>
          <w:lang w:val="en-GB"/>
        </w:rPr>
        <w:t xml:space="preserve">and </w:t>
      </w:r>
      <w:r w:rsidRPr="00C67AD0">
        <w:rPr>
          <w:rFonts w:ascii="Book Antiqua" w:hAnsi="Book Antiqua" w:cs="Times New Roman"/>
          <w:sz w:val="24"/>
          <w:szCs w:val="24"/>
          <w:lang w:val="en-GB"/>
        </w:rPr>
        <w:t>proteins were transferred to a polyvinylidene difluoride membrane</w:t>
      </w:r>
      <w:r w:rsidR="0044296C" w:rsidRPr="00C67AD0">
        <w:rPr>
          <w:rFonts w:ascii="Book Antiqua" w:hAnsi="Book Antiqua" w:cs="Times New Roman"/>
          <w:sz w:val="24"/>
          <w:szCs w:val="24"/>
          <w:lang w:val="en-GB"/>
        </w:rPr>
        <w:t xml:space="preserve"> for blotting</w:t>
      </w:r>
      <w:r w:rsidRPr="00C67AD0">
        <w:rPr>
          <w:rFonts w:ascii="Book Antiqua" w:hAnsi="Book Antiqua" w:cs="Times New Roman"/>
          <w:sz w:val="24"/>
          <w:szCs w:val="24"/>
          <w:lang w:val="en-GB"/>
        </w:rPr>
        <w:t xml:space="preserve">. </w:t>
      </w:r>
    </w:p>
    <w:p w14:paraId="3AFF242E" w14:textId="123A459F" w:rsidR="00C27D54" w:rsidRPr="00C67AD0" w:rsidRDefault="00391124" w:rsidP="00552A0E">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The following antibodies were used for </w:t>
      </w:r>
      <w:proofErr w:type="spellStart"/>
      <w:r w:rsidRPr="00C67AD0">
        <w:rPr>
          <w:rFonts w:ascii="Book Antiqua" w:hAnsi="Book Antiqua" w:cs="Times New Roman"/>
          <w:sz w:val="24"/>
          <w:szCs w:val="24"/>
          <w:lang w:val="en-GB"/>
        </w:rPr>
        <w:t>i</w:t>
      </w:r>
      <w:r w:rsidR="00C27D54" w:rsidRPr="00C67AD0">
        <w:rPr>
          <w:rFonts w:ascii="Book Antiqua" w:hAnsi="Book Antiqua" w:cs="Times New Roman"/>
          <w:sz w:val="24"/>
          <w:szCs w:val="24"/>
          <w:lang w:val="en-GB"/>
        </w:rPr>
        <w:t>mmunoblotting</w:t>
      </w:r>
      <w:r w:rsidR="00381C8D">
        <w:rPr>
          <w:rFonts w:ascii="Book Antiqua" w:hAnsi="Book Antiqua" w:cs="Times New Roman"/>
          <w:sz w:val="24"/>
          <w:szCs w:val="24"/>
          <w:lang w:val="en-GB"/>
        </w:rPr>
        <w:t>:</w:t>
      </w:r>
      <w:r w:rsidR="00C27D54" w:rsidRPr="00C67AD0">
        <w:rPr>
          <w:rFonts w:ascii="Book Antiqua" w:hAnsi="Book Antiqua" w:cs="Times New Roman"/>
          <w:sz w:val="24"/>
          <w:szCs w:val="24"/>
          <w:lang w:val="en-GB"/>
        </w:rPr>
        <w:t>rabbit</w:t>
      </w:r>
      <w:proofErr w:type="spellEnd"/>
      <w:r w:rsidR="00C27D54" w:rsidRPr="00C67AD0">
        <w:rPr>
          <w:rFonts w:ascii="Book Antiqua" w:hAnsi="Book Antiqua" w:cs="Times New Roman"/>
          <w:sz w:val="24"/>
          <w:szCs w:val="24"/>
          <w:lang w:val="en-GB"/>
        </w:rPr>
        <w:t xml:space="preserve"> polyclonal cleaved caspase-3 (Asp175) antibody (1:800 dilution, reference #9661) </w:t>
      </w:r>
      <w:r w:rsidR="00556769" w:rsidRPr="00C67AD0">
        <w:rPr>
          <w:rFonts w:ascii="Book Antiqua" w:hAnsi="Book Antiqua" w:cs="Times New Roman"/>
          <w:sz w:val="24"/>
          <w:szCs w:val="24"/>
          <w:lang w:val="en-GB"/>
        </w:rPr>
        <w:t xml:space="preserve">from Cell </w:t>
      </w:r>
      <w:proofErr w:type="spellStart"/>
      <w:r w:rsidR="00556769" w:rsidRPr="00C67AD0">
        <w:rPr>
          <w:rFonts w:ascii="Book Antiqua" w:hAnsi="Book Antiqua" w:cs="Times New Roman"/>
          <w:sz w:val="24"/>
          <w:szCs w:val="24"/>
          <w:lang w:val="en-GB"/>
        </w:rPr>
        <w:t>Signaling</w:t>
      </w:r>
      <w:proofErr w:type="spellEnd"/>
      <w:r w:rsidR="00556769" w:rsidRPr="00C67AD0">
        <w:rPr>
          <w:rFonts w:ascii="Book Antiqua" w:hAnsi="Book Antiqua" w:cs="Times New Roman"/>
          <w:sz w:val="24"/>
          <w:szCs w:val="24"/>
          <w:lang w:val="en-GB"/>
        </w:rPr>
        <w:t>, rabbit polyclonal BCL</w:t>
      </w:r>
      <w:r w:rsidR="00673578" w:rsidRPr="00C67AD0">
        <w:rPr>
          <w:rFonts w:ascii="Book Antiqua" w:hAnsi="Book Antiqua" w:cs="Times New Roman"/>
          <w:sz w:val="24"/>
          <w:szCs w:val="24"/>
          <w:lang w:val="en-GB"/>
        </w:rPr>
        <w:t>-</w:t>
      </w:r>
      <w:r w:rsidR="00556769" w:rsidRPr="00C67AD0">
        <w:rPr>
          <w:rFonts w:ascii="Book Antiqua" w:hAnsi="Book Antiqua" w:cs="Times New Roman"/>
          <w:sz w:val="24"/>
          <w:szCs w:val="24"/>
          <w:lang w:val="en-GB"/>
        </w:rPr>
        <w:t>2 (1:</w:t>
      </w:r>
      <w:r w:rsidR="00011112" w:rsidRPr="00C67AD0">
        <w:rPr>
          <w:rFonts w:ascii="Book Antiqua" w:hAnsi="Book Antiqua" w:cs="Times New Roman" w:hint="eastAsia"/>
          <w:sz w:val="24"/>
          <w:szCs w:val="24"/>
          <w:lang w:val="en-GB" w:eastAsia="zh-CN"/>
        </w:rPr>
        <w:t xml:space="preserve"> </w:t>
      </w:r>
      <w:r w:rsidR="007C2676" w:rsidRPr="00C67AD0">
        <w:rPr>
          <w:rFonts w:ascii="Book Antiqua" w:hAnsi="Book Antiqua" w:cs="Times New Roman"/>
          <w:sz w:val="24"/>
          <w:szCs w:val="24"/>
          <w:lang w:val="en-GB"/>
        </w:rPr>
        <w:t xml:space="preserve">500   </w:t>
      </w:r>
      <w:r w:rsidR="00556769" w:rsidRPr="00C67AD0">
        <w:rPr>
          <w:rFonts w:ascii="Book Antiqua" w:hAnsi="Book Antiqua" w:cs="Times New Roman"/>
          <w:sz w:val="24"/>
          <w:szCs w:val="24"/>
          <w:lang w:val="en-GB"/>
        </w:rPr>
        <w:t xml:space="preserve">dilution, reference #59348) </w:t>
      </w:r>
      <w:r w:rsidR="00C27D54" w:rsidRPr="00C67AD0">
        <w:rPr>
          <w:rFonts w:ascii="Book Antiqua" w:hAnsi="Book Antiqua" w:cs="Times New Roman"/>
          <w:sz w:val="24"/>
          <w:szCs w:val="24"/>
          <w:lang w:val="en-GB"/>
        </w:rPr>
        <w:t xml:space="preserve">from </w:t>
      </w:r>
      <w:r w:rsidR="00556769" w:rsidRPr="00C67AD0">
        <w:rPr>
          <w:rFonts w:ascii="Book Antiqua" w:hAnsi="Book Antiqua" w:cs="Times New Roman"/>
          <w:sz w:val="24"/>
          <w:szCs w:val="24"/>
          <w:lang w:val="en-GB"/>
        </w:rPr>
        <w:t>Abcam</w:t>
      </w:r>
      <w:r w:rsidR="00C27D54" w:rsidRPr="00C67AD0">
        <w:rPr>
          <w:rFonts w:ascii="Book Antiqua" w:hAnsi="Book Antiqua" w:cs="Times New Roman"/>
          <w:sz w:val="24"/>
          <w:szCs w:val="24"/>
          <w:lang w:val="en-GB"/>
        </w:rPr>
        <w:t xml:space="preserve"> </w:t>
      </w:r>
      <w:r w:rsidR="00474EDF" w:rsidRPr="00C67AD0">
        <w:rPr>
          <w:rFonts w:ascii="Book Antiqua" w:hAnsi="Book Antiqua" w:cs="Times New Roman"/>
          <w:sz w:val="24"/>
          <w:szCs w:val="24"/>
          <w:lang w:val="en-GB"/>
        </w:rPr>
        <w:t>(Cambridge, U</w:t>
      </w:r>
      <w:r w:rsidR="00474EDF" w:rsidRPr="00C67AD0">
        <w:rPr>
          <w:rFonts w:ascii="Book Antiqua" w:hAnsi="Book Antiqua" w:cs="Times New Roman" w:hint="eastAsia"/>
          <w:sz w:val="24"/>
          <w:szCs w:val="24"/>
          <w:lang w:val="en-GB" w:eastAsia="zh-CN"/>
        </w:rPr>
        <w:t>nited Kingdom</w:t>
      </w:r>
      <w:r w:rsidR="00165E67" w:rsidRPr="00C67AD0">
        <w:rPr>
          <w:rFonts w:ascii="Book Antiqua" w:hAnsi="Book Antiqua" w:cs="Times New Roman"/>
          <w:sz w:val="24"/>
          <w:szCs w:val="24"/>
          <w:lang w:val="en-GB"/>
        </w:rPr>
        <w:t xml:space="preserve">) </w:t>
      </w:r>
      <w:r w:rsidR="00C27D54" w:rsidRPr="00C67AD0">
        <w:rPr>
          <w:rFonts w:ascii="Book Antiqua" w:hAnsi="Book Antiqua" w:cs="Times New Roman"/>
          <w:sz w:val="24"/>
          <w:szCs w:val="24"/>
          <w:lang w:val="en-GB"/>
        </w:rPr>
        <w:t>and β-actin-HRP conjugated (1:</w:t>
      </w:r>
      <w:r w:rsidR="00011112" w:rsidRPr="00C67AD0">
        <w:rPr>
          <w:rFonts w:ascii="Book Antiqua" w:hAnsi="Book Antiqua" w:cs="Times New Roman" w:hint="eastAsia"/>
          <w:sz w:val="24"/>
          <w:szCs w:val="24"/>
          <w:lang w:val="en-GB" w:eastAsia="zh-CN"/>
        </w:rPr>
        <w:t xml:space="preserve"> </w:t>
      </w:r>
      <w:r w:rsidR="00C27D54" w:rsidRPr="00C67AD0">
        <w:rPr>
          <w:rFonts w:ascii="Book Antiqua" w:hAnsi="Book Antiqua" w:cs="Times New Roman"/>
          <w:sz w:val="24"/>
          <w:szCs w:val="24"/>
          <w:lang w:val="en-GB"/>
        </w:rPr>
        <w:t>20000 dilution, reference A3854) from Sigma (</w:t>
      </w:r>
      <w:r w:rsidR="0095246B" w:rsidRPr="00C67AD0">
        <w:rPr>
          <w:rFonts w:ascii="Book Antiqua" w:hAnsi="Book Antiqua" w:cs="Times New Roman"/>
          <w:sz w:val="24"/>
          <w:szCs w:val="24"/>
          <w:lang w:val="en-GB"/>
        </w:rPr>
        <w:t>Sigma-Aldrich, St. Louis, MO</w:t>
      </w:r>
      <w:r w:rsidR="00C27D54" w:rsidRPr="00C67AD0">
        <w:rPr>
          <w:rFonts w:ascii="Book Antiqua" w:hAnsi="Book Antiqua" w:cs="Times New Roman"/>
          <w:sz w:val="24"/>
          <w:szCs w:val="24"/>
          <w:lang w:val="en-GB"/>
        </w:rPr>
        <w:t xml:space="preserve">). </w:t>
      </w:r>
      <w:r w:rsidR="00710A00" w:rsidRPr="00C67AD0">
        <w:rPr>
          <w:rFonts w:ascii="Book Antiqua" w:hAnsi="Book Antiqua" w:cs="Times New Roman"/>
          <w:sz w:val="24"/>
          <w:szCs w:val="24"/>
          <w:lang w:val="en-GB"/>
        </w:rPr>
        <w:t>B</w:t>
      </w:r>
      <w:r w:rsidR="00C27D54" w:rsidRPr="00C67AD0">
        <w:rPr>
          <w:rFonts w:ascii="Book Antiqua" w:hAnsi="Book Antiqua" w:cs="Times New Roman"/>
          <w:sz w:val="24"/>
          <w:szCs w:val="24"/>
          <w:lang w:val="en-GB"/>
        </w:rPr>
        <w:t>ound antibod</w:t>
      </w:r>
      <w:r w:rsidR="00710A00" w:rsidRPr="00C67AD0">
        <w:rPr>
          <w:rFonts w:ascii="Book Antiqua" w:hAnsi="Book Antiqua" w:cs="Times New Roman"/>
          <w:sz w:val="24"/>
          <w:szCs w:val="24"/>
          <w:lang w:val="en-GB"/>
        </w:rPr>
        <w:t>ies were</w:t>
      </w:r>
      <w:r w:rsidR="00C27D54" w:rsidRPr="00C67AD0">
        <w:rPr>
          <w:rFonts w:ascii="Book Antiqua" w:hAnsi="Book Antiqua" w:cs="Times New Roman"/>
          <w:sz w:val="24"/>
          <w:szCs w:val="24"/>
          <w:lang w:val="en-GB"/>
        </w:rPr>
        <w:t xml:space="preserve"> detected using enhanced chemiluminescence (ECL) (Bio-Rad Laboratories, Hercules, CA, </w:t>
      </w:r>
      <w:r w:rsidR="00474EDF" w:rsidRPr="00C67AD0">
        <w:rPr>
          <w:rFonts w:ascii="Book Antiqua" w:hAnsi="Book Antiqua" w:cs="Times New Roman"/>
          <w:sz w:val="24"/>
          <w:szCs w:val="24"/>
          <w:lang w:val="en-GB"/>
        </w:rPr>
        <w:t>U</w:t>
      </w:r>
      <w:r w:rsidR="00474EDF" w:rsidRPr="00C67AD0">
        <w:rPr>
          <w:rFonts w:ascii="Book Antiqua" w:hAnsi="Book Antiqua" w:cs="Times New Roman" w:hint="eastAsia"/>
          <w:sz w:val="24"/>
          <w:szCs w:val="24"/>
          <w:lang w:val="en-GB" w:eastAsia="zh-CN"/>
        </w:rPr>
        <w:t>nited States</w:t>
      </w:r>
      <w:r w:rsidR="00C27D54" w:rsidRPr="00C67AD0">
        <w:rPr>
          <w:rFonts w:ascii="Book Antiqua" w:hAnsi="Book Antiqua" w:cs="Times New Roman"/>
          <w:sz w:val="24"/>
          <w:szCs w:val="24"/>
          <w:lang w:val="en-GB"/>
        </w:rPr>
        <w:t xml:space="preserve">), and were </w:t>
      </w:r>
      <w:proofErr w:type="spellStart"/>
      <w:r w:rsidR="00C27D54" w:rsidRPr="00C67AD0">
        <w:rPr>
          <w:rFonts w:ascii="Book Antiqua" w:hAnsi="Book Antiqua" w:cs="Times New Roman"/>
          <w:sz w:val="24"/>
          <w:szCs w:val="24"/>
          <w:lang w:val="en-GB"/>
        </w:rPr>
        <w:t>analyzed</w:t>
      </w:r>
      <w:proofErr w:type="spellEnd"/>
      <w:r w:rsidR="00C27D54" w:rsidRPr="00C67AD0">
        <w:rPr>
          <w:rFonts w:ascii="Book Antiqua" w:hAnsi="Book Antiqua" w:cs="Times New Roman"/>
          <w:sz w:val="24"/>
          <w:szCs w:val="24"/>
          <w:lang w:val="en-GB"/>
        </w:rPr>
        <w:t xml:space="preserve"> using </w:t>
      </w:r>
      <w:proofErr w:type="spellStart"/>
      <w:r w:rsidR="00C27D54" w:rsidRPr="00C67AD0">
        <w:rPr>
          <w:rFonts w:ascii="Book Antiqua" w:hAnsi="Book Antiqua" w:cs="Times New Roman"/>
          <w:sz w:val="24"/>
          <w:szCs w:val="24"/>
          <w:lang w:val="en-GB"/>
        </w:rPr>
        <w:t>ChemiDoc</w:t>
      </w:r>
      <w:proofErr w:type="spellEnd"/>
      <w:r w:rsidR="00C27D54" w:rsidRPr="00C67AD0">
        <w:rPr>
          <w:rFonts w:ascii="Book Antiqua" w:hAnsi="Book Antiqua" w:cs="Times New Roman"/>
          <w:sz w:val="24"/>
          <w:szCs w:val="24"/>
          <w:lang w:val="en-GB"/>
        </w:rPr>
        <w:t xml:space="preserve">™ Touch Imaging System (Bio-Rad Laboratories, Hercules, CA, </w:t>
      </w:r>
      <w:r w:rsidR="00474EDF" w:rsidRPr="00C67AD0">
        <w:rPr>
          <w:rFonts w:ascii="Book Antiqua" w:hAnsi="Book Antiqua" w:cs="Times New Roman"/>
          <w:sz w:val="24"/>
          <w:szCs w:val="24"/>
          <w:lang w:val="en-GB"/>
        </w:rPr>
        <w:t>U</w:t>
      </w:r>
      <w:r w:rsidR="00474EDF" w:rsidRPr="00C67AD0">
        <w:rPr>
          <w:rFonts w:ascii="Book Antiqua" w:hAnsi="Book Antiqua" w:cs="Times New Roman" w:hint="eastAsia"/>
          <w:sz w:val="24"/>
          <w:szCs w:val="24"/>
          <w:lang w:val="en-GB" w:eastAsia="zh-CN"/>
        </w:rPr>
        <w:t>nited States</w:t>
      </w:r>
      <w:r w:rsidR="00C27D54"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P</w:t>
      </w:r>
      <w:r w:rsidR="00C27D54" w:rsidRPr="00C67AD0">
        <w:rPr>
          <w:rFonts w:ascii="Book Antiqua" w:hAnsi="Book Antiqua" w:cs="Times New Roman"/>
          <w:sz w:val="24"/>
          <w:szCs w:val="24"/>
          <w:lang w:val="en-GB"/>
        </w:rPr>
        <w:t xml:space="preserve">rotein expression of cleaved caspase-3 </w:t>
      </w:r>
      <w:r w:rsidR="002421A8" w:rsidRPr="00C67AD0">
        <w:rPr>
          <w:rFonts w:ascii="Book Antiqua" w:hAnsi="Book Antiqua" w:cs="Times New Roman"/>
          <w:sz w:val="24"/>
          <w:szCs w:val="24"/>
          <w:lang w:val="en-GB"/>
        </w:rPr>
        <w:t xml:space="preserve">and BCL-2 were </w:t>
      </w:r>
      <w:r w:rsidR="00C27D54" w:rsidRPr="00C67AD0">
        <w:rPr>
          <w:rFonts w:ascii="Book Antiqua" w:hAnsi="Book Antiqua" w:cs="Times New Roman"/>
          <w:sz w:val="24"/>
          <w:szCs w:val="24"/>
          <w:lang w:val="en-GB"/>
        </w:rPr>
        <w:t>normalized to β-actin</w:t>
      </w:r>
      <w:r w:rsidRPr="00C67AD0">
        <w:t xml:space="preserve"> </w:t>
      </w:r>
      <w:r w:rsidRPr="00C67AD0">
        <w:rPr>
          <w:rFonts w:ascii="Book Antiqua" w:hAnsi="Book Antiqua" w:cs="Times New Roman"/>
          <w:sz w:val="24"/>
          <w:szCs w:val="24"/>
          <w:lang w:val="en-GB"/>
        </w:rPr>
        <w:t>for quantification</w:t>
      </w:r>
      <w:r w:rsidR="00C27D54" w:rsidRPr="00C67AD0">
        <w:rPr>
          <w:rFonts w:ascii="Book Antiqua" w:hAnsi="Book Antiqua" w:cs="Times New Roman"/>
          <w:sz w:val="24"/>
          <w:szCs w:val="24"/>
          <w:lang w:val="en-GB"/>
        </w:rPr>
        <w:t>.</w:t>
      </w:r>
    </w:p>
    <w:p w14:paraId="7BA994E1" w14:textId="77777777" w:rsidR="009C5B30" w:rsidRPr="00C67AD0" w:rsidRDefault="009C5B30" w:rsidP="00B8567E">
      <w:pPr>
        <w:spacing w:line="360" w:lineRule="auto"/>
        <w:contextualSpacing/>
        <w:jc w:val="both"/>
        <w:rPr>
          <w:rFonts w:ascii="Book Antiqua" w:hAnsi="Book Antiqua" w:cs="Times New Roman"/>
          <w:b/>
          <w:i/>
          <w:iCs/>
          <w:sz w:val="24"/>
          <w:szCs w:val="24"/>
          <w:lang w:val="en-GB"/>
        </w:rPr>
      </w:pPr>
    </w:p>
    <w:p w14:paraId="44EDE160" w14:textId="0744FAED" w:rsidR="00C33C7E" w:rsidRPr="00C67AD0" w:rsidRDefault="00C33C7E" w:rsidP="00B8567E">
      <w:pPr>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Statistical analysis</w:t>
      </w:r>
      <w:r w:rsidR="00372C6F" w:rsidRPr="00C67AD0">
        <w:rPr>
          <w:rFonts w:ascii="Book Antiqua" w:hAnsi="Book Antiqua" w:cs="Times New Roman"/>
          <w:b/>
          <w:i/>
          <w:iCs/>
          <w:sz w:val="24"/>
          <w:szCs w:val="24"/>
          <w:lang w:val="en-GB"/>
        </w:rPr>
        <w:t xml:space="preserve"> </w:t>
      </w:r>
    </w:p>
    <w:p w14:paraId="46CEF7F2" w14:textId="37646907" w:rsidR="009C5B30" w:rsidRPr="00C67AD0" w:rsidRDefault="00C33C7E" w:rsidP="00B8567E">
      <w:pPr>
        <w:spacing w:line="360" w:lineRule="auto"/>
        <w:contextualSpacing/>
        <w:jc w:val="both"/>
        <w:rPr>
          <w:rFonts w:ascii="Book Antiqua" w:hAnsi="Book Antiqua" w:cs="Times New Roman"/>
          <w:b/>
          <w:sz w:val="24"/>
          <w:szCs w:val="24"/>
          <w:lang w:val="en-GB"/>
        </w:rPr>
      </w:pPr>
      <w:r w:rsidRPr="00C67AD0">
        <w:rPr>
          <w:rFonts w:ascii="Book Antiqua" w:hAnsi="Book Antiqua" w:cs="Times New Roman"/>
          <w:sz w:val="24"/>
          <w:szCs w:val="24"/>
          <w:lang w:val="en-GB"/>
        </w:rPr>
        <w:lastRenderedPageBreak/>
        <w:t xml:space="preserve">All data were exported into </w:t>
      </w:r>
      <w:r w:rsidR="0072036D" w:rsidRPr="00C67AD0">
        <w:rPr>
          <w:rFonts w:ascii="Book Antiqua" w:hAnsi="Book Antiqua" w:cs="Times New Roman"/>
          <w:sz w:val="24"/>
          <w:szCs w:val="24"/>
          <w:lang w:val="en-GB"/>
        </w:rPr>
        <w:t>Graph Pad</w:t>
      </w:r>
      <w:r w:rsidRPr="00C67AD0">
        <w:rPr>
          <w:rFonts w:ascii="Book Antiqua" w:hAnsi="Book Antiqua" w:cs="Times New Roman"/>
          <w:sz w:val="24"/>
          <w:szCs w:val="24"/>
          <w:lang w:val="en-GB"/>
        </w:rPr>
        <w:t xml:space="preserve"> Prism 4 (GraphPad Software, Inc.) and presented as means ± SEM. Statistical analyses were </w:t>
      </w:r>
      <w:r w:rsidR="005B21E4" w:rsidRPr="00C67AD0">
        <w:rPr>
          <w:rFonts w:ascii="Book Antiqua" w:hAnsi="Book Antiqua" w:cs="Times New Roman"/>
          <w:sz w:val="24"/>
          <w:szCs w:val="24"/>
          <w:lang w:val="en-GB"/>
        </w:rPr>
        <w:t>carried out by one-way analysis of variance (ANOVA)</w:t>
      </w:r>
      <w:r w:rsidR="0072036D"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followed by Tukey’s </w:t>
      </w:r>
      <w:r w:rsidR="005B21E4" w:rsidRPr="00C67AD0">
        <w:rPr>
          <w:rFonts w:ascii="Book Antiqua" w:hAnsi="Book Antiqua" w:cs="Times New Roman"/>
          <w:sz w:val="24"/>
          <w:szCs w:val="24"/>
          <w:lang w:val="en-GB"/>
        </w:rPr>
        <w:t>m</w:t>
      </w:r>
      <w:r w:rsidRPr="00C67AD0">
        <w:rPr>
          <w:rFonts w:ascii="Book Antiqua" w:hAnsi="Book Antiqua" w:cs="Times New Roman"/>
          <w:sz w:val="24"/>
          <w:szCs w:val="24"/>
          <w:lang w:val="en-GB"/>
        </w:rPr>
        <w:t xml:space="preserve">ultiple </w:t>
      </w:r>
      <w:r w:rsidR="005B21E4" w:rsidRPr="00C67AD0">
        <w:rPr>
          <w:rFonts w:ascii="Book Antiqua" w:hAnsi="Book Antiqua" w:cs="Times New Roman"/>
          <w:sz w:val="24"/>
          <w:szCs w:val="24"/>
          <w:lang w:val="en-GB"/>
        </w:rPr>
        <w:t>c</w:t>
      </w:r>
      <w:r w:rsidRPr="00C67AD0">
        <w:rPr>
          <w:rFonts w:ascii="Book Antiqua" w:hAnsi="Book Antiqua" w:cs="Times New Roman"/>
          <w:sz w:val="24"/>
          <w:szCs w:val="24"/>
          <w:lang w:val="en-GB"/>
        </w:rPr>
        <w:t xml:space="preserve">omparison </w:t>
      </w:r>
      <w:r w:rsidR="005B21E4" w:rsidRPr="00C67AD0">
        <w:rPr>
          <w:rFonts w:ascii="Book Antiqua" w:hAnsi="Book Antiqua" w:cs="Times New Roman"/>
          <w:sz w:val="24"/>
          <w:szCs w:val="24"/>
          <w:lang w:val="en-GB"/>
        </w:rPr>
        <w:t>t</w:t>
      </w:r>
      <w:r w:rsidRPr="00C67AD0">
        <w:rPr>
          <w:rFonts w:ascii="Book Antiqua" w:hAnsi="Book Antiqua" w:cs="Times New Roman"/>
          <w:sz w:val="24"/>
          <w:szCs w:val="24"/>
          <w:lang w:val="en-GB"/>
        </w:rPr>
        <w:t xml:space="preserve">est to determine the significance between pairs. </w:t>
      </w:r>
      <w:r w:rsidR="005B21E4" w:rsidRPr="00C67AD0">
        <w:rPr>
          <w:rFonts w:ascii="Book Antiqua" w:hAnsi="Book Antiqua" w:cs="Times New Roman"/>
          <w:sz w:val="24"/>
          <w:szCs w:val="24"/>
          <w:lang w:val="en-GB"/>
        </w:rPr>
        <w:t xml:space="preserve">The minimal level of </w:t>
      </w:r>
      <w:r w:rsidR="00F34609" w:rsidRPr="00C67AD0">
        <w:rPr>
          <w:rFonts w:ascii="Book Antiqua" w:hAnsi="Book Antiqua" w:cs="Times New Roman"/>
          <w:sz w:val="24"/>
          <w:szCs w:val="24"/>
          <w:lang w:val="en-GB"/>
        </w:rPr>
        <w:t xml:space="preserve">statistical </w:t>
      </w:r>
      <w:r w:rsidR="005B21E4" w:rsidRPr="00C67AD0">
        <w:rPr>
          <w:rFonts w:ascii="Book Antiqua" w:hAnsi="Book Antiqua" w:cs="Times New Roman"/>
          <w:sz w:val="24"/>
          <w:szCs w:val="24"/>
          <w:lang w:val="en-GB"/>
        </w:rPr>
        <w:t xml:space="preserve">significance was considered </w:t>
      </w:r>
      <w:r w:rsidR="00710A00" w:rsidRPr="00C67AD0">
        <w:rPr>
          <w:rFonts w:ascii="Book Antiqua" w:hAnsi="Book Antiqua" w:cs="Times New Roman"/>
          <w:sz w:val="24"/>
          <w:szCs w:val="24"/>
          <w:lang w:val="en-GB"/>
        </w:rPr>
        <w:t xml:space="preserve">to </w:t>
      </w:r>
      <w:r w:rsidR="008E53A9" w:rsidRPr="00C67AD0">
        <w:rPr>
          <w:rFonts w:ascii="Book Antiqua" w:hAnsi="Book Antiqua" w:cs="Times New Roman"/>
          <w:sz w:val="24"/>
          <w:szCs w:val="24"/>
          <w:lang w:val="en-GB"/>
        </w:rPr>
        <w:t>be &lt;</w:t>
      </w:r>
      <w:r w:rsidR="005B21E4" w:rsidRPr="00C67AD0">
        <w:rPr>
          <w:rFonts w:ascii="Book Antiqua" w:hAnsi="Book Antiqua" w:cs="Times New Roman"/>
          <w:sz w:val="24"/>
          <w:szCs w:val="24"/>
          <w:lang w:val="en-GB"/>
        </w:rPr>
        <w:t xml:space="preserve"> 0.05.</w:t>
      </w:r>
    </w:p>
    <w:p w14:paraId="1B6C6091" w14:textId="77777777" w:rsidR="00CF6F3B" w:rsidRPr="00C67AD0" w:rsidRDefault="00CF6F3B" w:rsidP="00B8567E">
      <w:pPr>
        <w:spacing w:line="360" w:lineRule="auto"/>
        <w:contextualSpacing/>
        <w:jc w:val="both"/>
        <w:rPr>
          <w:rFonts w:ascii="Book Antiqua" w:hAnsi="Book Antiqua" w:cs="Times New Roman"/>
          <w:b/>
          <w:sz w:val="24"/>
          <w:szCs w:val="24"/>
          <w:u w:val="single"/>
          <w:lang w:val="en-GB"/>
        </w:rPr>
      </w:pPr>
    </w:p>
    <w:p w14:paraId="7918FA39" w14:textId="467541DC" w:rsidR="00D4794F" w:rsidRPr="00C67AD0" w:rsidRDefault="00942C82" w:rsidP="00B8567E">
      <w:pPr>
        <w:spacing w:line="360" w:lineRule="auto"/>
        <w:contextualSpacing/>
        <w:jc w:val="both"/>
        <w:rPr>
          <w:rFonts w:ascii="Book Antiqua" w:hAnsi="Book Antiqua" w:cs="Times New Roman"/>
          <w:b/>
          <w:sz w:val="24"/>
          <w:szCs w:val="24"/>
          <w:u w:val="single"/>
          <w:lang w:val="en-GB"/>
        </w:rPr>
      </w:pPr>
      <w:r w:rsidRPr="00C67AD0">
        <w:rPr>
          <w:rFonts w:ascii="Book Antiqua" w:hAnsi="Book Antiqua" w:cs="Times New Roman"/>
          <w:b/>
          <w:sz w:val="24"/>
          <w:szCs w:val="24"/>
          <w:u w:val="single"/>
          <w:lang w:val="en-GB"/>
        </w:rPr>
        <w:t>RESULTS</w:t>
      </w:r>
    </w:p>
    <w:p w14:paraId="0E169DA3" w14:textId="0B04C80E" w:rsidR="00A36A73" w:rsidRPr="00C67AD0" w:rsidRDefault="00947CEB" w:rsidP="00B8567E">
      <w:pPr>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 xml:space="preserve">PEG35 </w:t>
      </w:r>
      <w:r w:rsidR="00C55867" w:rsidRPr="00C67AD0">
        <w:rPr>
          <w:rFonts w:ascii="Book Antiqua" w:hAnsi="Book Antiqua" w:cs="Times New Roman"/>
          <w:b/>
          <w:i/>
          <w:iCs/>
          <w:sz w:val="24"/>
          <w:szCs w:val="24"/>
          <w:lang w:val="en-GB"/>
        </w:rPr>
        <w:t xml:space="preserve">reduced the release of lipase associated </w:t>
      </w:r>
      <w:r w:rsidR="00AB05E5" w:rsidRPr="00C67AD0">
        <w:rPr>
          <w:rFonts w:ascii="Book Antiqua" w:hAnsi="Book Antiqua" w:cs="Times New Roman"/>
          <w:b/>
          <w:i/>
          <w:iCs/>
          <w:sz w:val="24"/>
          <w:szCs w:val="24"/>
          <w:lang w:val="en-GB"/>
        </w:rPr>
        <w:t xml:space="preserve">with </w:t>
      </w:r>
      <w:proofErr w:type="spellStart"/>
      <w:r w:rsidR="00673578" w:rsidRPr="00C67AD0">
        <w:rPr>
          <w:rFonts w:ascii="Book Antiqua" w:hAnsi="Book Antiqua" w:cs="Times New Roman"/>
          <w:b/>
          <w:i/>
          <w:iCs/>
          <w:sz w:val="24"/>
          <w:szCs w:val="24"/>
          <w:lang w:val="en-GB"/>
        </w:rPr>
        <w:t>cerulein</w:t>
      </w:r>
      <w:proofErr w:type="spellEnd"/>
      <w:r w:rsidR="00673578" w:rsidRPr="00C67AD0">
        <w:rPr>
          <w:rFonts w:ascii="Book Antiqua" w:hAnsi="Book Antiqua" w:cs="Times New Roman"/>
          <w:b/>
          <w:i/>
          <w:iCs/>
          <w:sz w:val="24"/>
          <w:szCs w:val="24"/>
          <w:lang w:val="en-GB"/>
        </w:rPr>
        <w:t xml:space="preserve">-induced AP </w:t>
      </w:r>
    </w:p>
    <w:p w14:paraId="30036483" w14:textId="6353F656" w:rsidR="00E708F2" w:rsidRPr="00C67AD0" w:rsidRDefault="00C55867" w:rsidP="00B8567E">
      <w:pPr>
        <w:spacing w:line="360" w:lineRule="auto"/>
        <w:contextualSpacing/>
        <w:jc w:val="both"/>
        <w:rPr>
          <w:rFonts w:ascii="Book Antiqua" w:hAnsi="Book Antiqua" w:cs="Times New Roman"/>
          <w:sz w:val="24"/>
          <w:szCs w:val="24"/>
          <w:lang w:val="en-GB"/>
        </w:rPr>
      </w:pPr>
      <w:proofErr w:type="spellStart"/>
      <w:r w:rsidRPr="00C67AD0">
        <w:rPr>
          <w:rFonts w:ascii="Book Antiqua" w:hAnsi="Book Antiqua" w:cs="Times New Roman"/>
          <w:sz w:val="24"/>
          <w:szCs w:val="24"/>
          <w:lang w:val="en-GB"/>
        </w:rPr>
        <w:t>Cerulein</w:t>
      </w:r>
      <w:proofErr w:type="spellEnd"/>
      <w:r w:rsidR="00E708F2" w:rsidRPr="00C67AD0">
        <w:rPr>
          <w:rFonts w:ascii="Book Antiqua" w:hAnsi="Book Antiqua" w:cs="Times New Roman"/>
          <w:sz w:val="24"/>
          <w:szCs w:val="24"/>
          <w:lang w:val="en-GB"/>
        </w:rPr>
        <w:t xml:space="preserve">-induced </w:t>
      </w:r>
      <w:r w:rsidR="0009015F" w:rsidRPr="00C67AD0">
        <w:rPr>
          <w:rFonts w:ascii="Book Antiqua" w:hAnsi="Book Antiqua" w:cs="Times New Roman"/>
          <w:sz w:val="24"/>
          <w:szCs w:val="24"/>
          <w:lang w:val="en-GB"/>
        </w:rPr>
        <w:t xml:space="preserve">AP </w:t>
      </w:r>
      <w:r w:rsidR="00E708F2" w:rsidRPr="00C67AD0">
        <w:rPr>
          <w:rFonts w:ascii="Book Antiqua" w:hAnsi="Book Antiqua" w:cs="Times New Roman"/>
          <w:sz w:val="24"/>
          <w:szCs w:val="24"/>
          <w:lang w:val="en-GB"/>
        </w:rPr>
        <w:t xml:space="preserve">in rats was associated with significant </w:t>
      </w:r>
      <w:r w:rsidR="00391124" w:rsidRPr="00C67AD0">
        <w:rPr>
          <w:rFonts w:ascii="Book Antiqua" w:hAnsi="Book Antiqua" w:cs="Times New Roman"/>
          <w:sz w:val="24"/>
          <w:szCs w:val="24"/>
          <w:lang w:val="en-GB"/>
        </w:rPr>
        <w:t xml:space="preserve">raised </w:t>
      </w:r>
      <w:r w:rsidR="00E708F2" w:rsidRPr="00C67AD0">
        <w:rPr>
          <w:rFonts w:ascii="Book Antiqua" w:hAnsi="Book Antiqua" w:cs="Times New Roman"/>
          <w:sz w:val="24"/>
          <w:szCs w:val="24"/>
          <w:lang w:val="en-GB"/>
        </w:rPr>
        <w:t>plasma levels of lipase</w:t>
      </w:r>
      <w:r w:rsidRPr="00C67AD0">
        <w:rPr>
          <w:rFonts w:ascii="Book Antiqua" w:hAnsi="Book Antiqua" w:cs="Times New Roman"/>
          <w:sz w:val="24"/>
          <w:szCs w:val="24"/>
          <w:lang w:val="en-GB"/>
        </w:rPr>
        <w:t>,</w:t>
      </w:r>
      <w:r w:rsidR="00E708F2"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compar</w:t>
      </w:r>
      <w:r w:rsidR="00391124" w:rsidRPr="00C67AD0">
        <w:rPr>
          <w:rFonts w:ascii="Book Antiqua" w:hAnsi="Book Antiqua" w:cs="Times New Roman"/>
          <w:sz w:val="24"/>
          <w:szCs w:val="24"/>
          <w:lang w:val="en-GB"/>
        </w:rPr>
        <w:t>ing with</w:t>
      </w:r>
      <w:r w:rsidR="00A653D3"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the </w:t>
      </w:r>
      <w:r w:rsidR="00917F95" w:rsidRPr="00C67AD0">
        <w:rPr>
          <w:rFonts w:ascii="Book Antiqua" w:hAnsi="Book Antiqua" w:cs="Times New Roman"/>
          <w:sz w:val="24"/>
          <w:szCs w:val="24"/>
          <w:lang w:val="en-GB"/>
        </w:rPr>
        <w:t>control</w:t>
      </w:r>
      <w:r w:rsidRPr="00C67AD0">
        <w:rPr>
          <w:rFonts w:ascii="Book Antiqua" w:hAnsi="Book Antiqua" w:cs="Times New Roman"/>
          <w:sz w:val="24"/>
          <w:szCs w:val="24"/>
          <w:lang w:val="en-GB"/>
        </w:rPr>
        <w:t xml:space="preserve"> group, </w:t>
      </w:r>
      <w:r w:rsidR="00E708F2" w:rsidRPr="00C67AD0">
        <w:rPr>
          <w:rFonts w:ascii="Book Antiqua" w:hAnsi="Book Antiqua" w:cs="Times New Roman"/>
          <w:sz w:val="24"/>
          <w:szCs w:val="24"/>
          <w:lang w:val="en-GB"/>
        </w:rPr>
        <w:t>reflecting the degree of pancreatic injury (Figure 1</w:t>
      </w:r>
      <w:r w:rsidR="00912DFD" w:rsidRPr="00C67AD0">
        <w:rPr>
          <w:rFonts w:ascii="Book Antiqua" w:hAnsi="Book Antiqua" w:cs="Times New Roman"/>
          <w:sz w:val="24"/>
          <w:szCs w:val="24"/>
          <w:lang w:val="en-GB"/>
        </w:rPr>
        <w:t>A</w:t>
      </w:r>
      <w:r w:rsidR="00E708F2" w:rsidRPr="00C67AD0">
        <w:rPr>
          <w:rFonts w:ascii="Book Antiqua" w:hAnsi="Book Antiqua" w:cs="Times New Roman"/>
          <w:sz w:val="24"/>
          <w:szCs w:val="24"/>
          <w:lang w:val="en-GB"/>
        </w:rPr>
        <w:t xml:space="preserve">). </w:t>
      </w:r>
      <w:r w:rsidR="00391124" w:rsidRPr="00C67AD0">
        <w:rPr>
          <w:rFonts w:ascii="Book Antiqua" w:hAnsi="Book Antiqua" w:cs="Times New Roman"/>
          <w:sz w:val="24"/>
          <w:szCs w:val="24"/>
          <w:lang w:val="en-GB"/>
        </w:rPr>
        <w:t xml:space="preserve">Such </w:t>
      </w:r>
      <w:r w:rsidR="00E708F2" w:rsidRPr="00C67AD0">
        <w:rPr>
          <w:rFonts w:ascii="Book Antiqua" w:hAnsi="Book Antiqua" w:cs="Times New Roman"/>
          <w:sz w:val="24"/>
          <w:szCs w:val="24"/>
          <w:lang w:val="en-GB"/>
        </w:rPr>
        <w:t xml:space="preserve">increase was significantly reduced in rats </w:t>
      </w:r>
      <w:r w:rsidR="00A653D3" w:rsidRPr="00C67AD0">
        <w:rPr>
          <w:rFonts w:ascii="Book Antiqua" w:hAnsi="Book Antiqua" w:cs="Times New Roman"/>
          <w:sz w:val="24"/>
          <w:szCs w:val="24"/>
          <w:lang w:val="en-GB"/>
        </w:rPr>
        <w:t>pre-</w:t>
      </w:r>
      <w:r w:rsidR="00E708F2" w:rsidRPr="00C67AD0">
        <w:rPr>
          <w:rFonts w:ascii="Book Antiqua" w:hAnsi="Book Antiqua" w:cs="Times New Roman"/>
          <w:sz w:val="24"/>
          <w:szCs w:val="24"/>
          <w:lang w:val="en-GB"/>
        </w:rPr>
        <w:t xml:space="preserve">treated with </w:t>
      </w:r>
      <w:r w:rsidR="00EE1C06" w:rsidRPr="00C67AD0">
        <w:rPr>
          <w:rFonts w:ascii="Book Antiqua" w:hAnsi="Book Antiqua" w:cs="Times New Roman"/>
          <w:sz w:val="24"/>
          <w:szCs w:val="24"/>
          <w:lang w:val="en-GB"/>
        </w:rPr>
        <w:t xml:space="preserve">intravenous PEG35 at </w:t>
      </w:r>
      <w:r w:rsidR="00E708F2" w:rsidRPr="00C67AD0">
        <w:rPr>
          <w:rFonts w:ascii="Book Antiqua" w:hAnsi="Book Antiqua" w:cs="Times New Roman"/>
          <w:sz w:val="24"/>
          <w:szCs w:val="24"/>
          <w:lang w:val="en-GB"/>
        </w:rPr>
        <w:t>10</w:t>
      </w:r>
      <w:r w:rsidR="003A3748" w:rsidRPr="00C67AD0">
        <w:rPr>
          <w:rFonts w:ascii="Book Antiqua" w:hAnsi="Book Antiqua" w:cs="Times New Roman"/>
          <w:sz w:val="24"/>
          <w:szCs w:val="24"/>
          <w:lang w:val="en-GB"/>
        </w:rPr>
        <w:t xml:space="preserve"> </w:t>
      </w:r>
      <w:r w:rsidR="00E708F2" w:rsidRPr="00C67AD0">
        <w:rPr>
          <w:rFonts w:ascii="Book Antiqua" w:hAnsi="Book Antiqua" w:cs="Times New Roman"/>
          <w:sz w:val="24"/>
          <w:szCs w:val="24"/>
          <w:lang w:val="en-GB"/>
        </w:rPr>
        <w:t xml:space="preserve">mg/kg. </w:t>
      </w:r>
    </w:p>
    <w:p w14:paraId="4498B017" w14:textId="77777777" w:rsidR="009C5B30" w:rsidRPr="00C67AD0" w:rsidRDefault="009C5B30" w:rsidP="00B8567E">
      <w:pPr>
        <w:spacing w:line="360" w:lineRule="auto"/>
        <w:contextualSpacing/>
        <w:jc w:val="both"/>
        <w:rPr>
          <w:rFonts w:ascii="Book Antiqua" w:hAnsi="Book Antiqua" w:cs="Times New Roman"/>
          <w:b/>
          <w:sz w:val="24"/>
          <w:szCs w:val="24"/>
          <w:lang w:val="en-GB"/>
        </w:rPr>
      </w:pPr>
    </w:p>
    <w:p w14:paraId="0D33CD69" w14:textId="0A94EE92" w:rsidR="00424719" w:rsidRPr="00C67AD0" w:rsidRDefault="00424719" w:rsidP="00B8567E">
      <w:pPr>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 xml:space="preserve">PEG35 </w:t>
      </w:r>
      <w:r w:rsidR="00915D7D" w:rsidRPr="00C67AD0">
        <w:rPr>
          <w:rFonts w:ascii="Book Antiqua" w:hAnsi="Book Antiqua" w:cs="Times New Roman"/>
          <w:b/>
          <w:i/>
          <w:iCs/>
          <w:sz w:val="24"/>
          <w:szCs w:val="24"/>
          <w:lang w:val="en-GB"/>
        </w:rPr>
        <w:t>abrogated</w:t>
      </w:r>
      <w:r w:rsidRPr="00C67AD0">
        <w:rPr>
          <w:rFonts w:ascii="Book Antiqua" w:hAnsi="Book Antiqua" w:cs="Times New Roman"/>
          <w:b/>
          <w:i/>
          <w:iCs/>
          <w:sz w:val="24"/>
          <w:szCs w:val="24"/>
          <w:lang w:val="en-GB"/>
        </w:rPr>
        <w:t xml:space="preserve"> </w:t>
      </w:r>
      <w:r w:rsidR="00AB05E5" w:rsidRPr="00C67AD0">
        <w:rPr>
          <w:rFonts w:ascii="Book Antiqua" w:hAnsi="Book Antiqua" w:cs="Times New Roman"/>
          <w:b/>
          <w:i/>
          <w:iCs/>
          <w:sz w:val="24"/>
          <w:szCs w:val="24"/>
          <w:lang w:val="en-GB"/>
        </w:rPr>
        <w:t xml:space="preserve">pancreatic </w:t>
      </w:r>
      <w:proofErr w:type="spellStart"/>
      <w:r w:rsidR="00000F75" w:rsidRPr="00C67AD0">
        <w:rPr>
          <w:rFonts w:ascii="Book Antiqua" w:hAnsi="Book Antiqua" w:cs="Times New Roman"/>
          <w:b/>
          <w:i/>
          <w:iCs/>
          <w:sz w:val="24"/>
          <w:szCs w:val="24"/>
          <w:lang w:val="en-GB"/>
        </w:rPr>
        <w:t>edema</w:t>
      </w:r>
      <w:proofErr w:type="spellEnd"/>
      <w:r w:rsidR="00B867A6" w:rsidRPr="00C67AD0">
        <w:rPr>
          <w:rFonts w:ascii="Book Antiqua" w:hAnsi="Book Antiqua" w:cs="Times New Roman"/>
          <w:b/>
          <w:i/>
          <w:iCs/>
          <w:sz w:val="24"/>
          <w:szCs w:val="24"/>
          <w:lang w:val="en-GB"/>
        </w:rPr>
        <w:t xml:space="preserve"> </w:t>
      </w:r>
      <w:r w:rsidR="00673578" w:rsidRPr="00C67AD0">
        <w:rPr>
          <w:rFonts w:ascii="Book Antiqua" w:hAnsi="Book Antiqua" w:cs="Times New Roman"/>
          <w:b/>
          <w:i/>
          <w:iCs/>
          <w:sz w:val="24"/>
          <w:szCs w:val="24"/>
          <w:lang w:val="en-GB"/>
        </w:rPr>
        <w:t>following</w:t>
      </w:r>
      <w:r w:rsidRPr="00C67AD0">
        <w:rPr>
          <w:rFonts w:ascii="Book Antiqua" w:hAnsi="Book Antiqua" w:cs="Times New Roman"/>
          <w:b/>
          <w:i/>
          <w:iCs/>
          <w:sz w:val="24"/>
          <w:szCs w:val="24"/>
          <w:lang w:val="en-GB"/>
        </w:rPr>
        <w:t xml:space="preserve"> </w:t>
      </w:r>
      <w:proofErr w:type="spellStart"/>
      <w:r w:rsidR="00673578" w:rsidRPr="00C67AD0">
        <w:rPr>
          <w:rFonts w:ascii="Book Antiqua" w:hAnsi="Book Antiqua" w:cs="Times New Roman"/>
          <w:b/>
          <w:i/>
          <w:iCs/>
          <w:sz w:val="24"/>
          <w:szCs w:val="24"/>
          <w:lang w:val="en-GB"/>
        </w:rPr>
        <w:t>cerulein</w:t>
      </w:r>
      <w:proofErr w:type="spellEnd"/>
      <w:r w:rsidR="00673578" w:rsidRPr="00C67AD0">
        <w:rPr>
          <w:rFonts w:ascii="Book Antiqua" w:hAnsi="Book Antiqua" w:cs="Times New Roman"/>
          <w:b/>
          <w:i/>
          <w:iCs/>
          <w:sz w:val="24"/>
          <w:szCs w:val="24"/>
          <w:lang w:val="en-GB"/>
        </w:rPr>
        <w:t>-induced AP</w:t>
      </w:r>
    </w:p>
    <w:p w14:paraId="623D3B9A" w14:textId="42E49979" w:rsidR="00000F75" w:rsidRPr="00C67AD0" w:rsidRDefault="00915D7D"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As </w:t>
      </w:r>
      <w:proofErr w:type="spellStart"/>
      <w:r w:rsidRPr="00C67AD0">
        <w:rPr>
          <w:rFonts w:ascii="Book Antiqua" w:hAnsi="Book Antiqua" w:cs="Times New Roman"/>
          <w:sz w:val="24"/>
          <w:szCs w:val="24"/>
          <w:lang w:val="en-GB"/>
        </w:rPr>
        <w:t>cerulein</w:t>
      </w:r>
      <w:proofErr w:type="spellEnd"/>
      <w:r w:rsidRPr="00C67AD0">
        <w:rPr>
          <w:rFonts w:ascii="Book Antiqua" w:hAnsi="Book Antiqua" w:cs="Times New Roman"/>
          <w:sz w:val="24"/>
          <w:szCs w:val="24"/>
          <w:lang w:val="en-GB"/>
        </w:rPr>
        <w:t xml:space="preserve">-induced pancreatitis is characterized by </w:t>
      </w:r>
      <w:r w:rsidR="00014B56" w:rsidRPr="00C67AD0">
        <w:rPr>
          <w:rFonts w:ascii="Book Antiqua" w:hAnsi="Book Antiqua" w:cs="Times New Roman"/>
          <w:sz w:val="24"/>
          <w:szCs w:val="24"/>
          <w:lang w:val="en-GB"/>
        </w:rPr>
        <w:t xml:space="preserve">a progressive interstitial </w:t>
      </w:r>
      <w:proofErr w:type="spellStart"/>
      <w:r w:rsidR="00014B56" w:rsidRPr="00C67AD0">
        <w:rPr>
          <w:rFonts w:ascii="Book Antiqua" w:hAnsi="Book Antiqua" w:cs="Times New Roman"/>
          <w:sz w:val="24"/>
          <w:szCs w:val="24"/>
          <w:lang w:val="en-GB"/>
        </w:rPr>
        <w:t>edema</w:t>
      </w:r>
      <w:proofErr w:type="spellEnd"/>
      <w:r w:rsidR="00014B56" w:rsidRPr="00C67AD0">
        <w:rPr>
          <w:rFonts w:ascii="Book Antiqua" w:hAnsi="Book Antiqua" w:cs="Times New Roman"/>
          <w:sz w:val="24"/>
          <w:szCs w:val="24"/>
          <w:lang w:val="en-GB"/>
        </w:rPr>
        <w:t xml:space="preserve"> development</w:t>
      </w:r>
      <w:r w:rsidRPr="00C67AD0">
        <w:rPr>
          <w:rFonts w:ascii="Book Antiqua" w:hAnsi="Book Antiqua" w:cs="Times New Roman"/>
          <w:sz w:val="24"/>
          <w:szCs w:val="24"/>
          <w:lang w:val="en-GB"/>
        </w:rPr>
        <w:t xml:space="preserve">, </w:t>
      </w:r>
      <w:r w:rsidR="00000F75" w:rsidRPr="00C67AD0">
        <w:rPr>
          <w:rFonts w:ascii="Book Antiqua" w:hAnsi="Book Antiqua" w:cs="Times New Roman"/>
          <w:sz w:val="24"/>
          <w:szCs w:val="24"/>
          <w:lang w:val="en-GB"/>
        </w:rPr>
        <w:t xml:space="preserve">we </w:t>
      </w:r>
      <w:proofErr w:type="spellStart"/>
      <w:r w:rsidR="00014B56" w:rsidRPr="00C67AD0">
        <w:rPr>
          <w:rFonts w:ascii="Book Antiqua" w:hAnsi="Book Antiqua" w:cs="Times New Roman"/>
          <w:sz w:val="24"/>
          <w:szCs w:val="24"/>
          <w:lang w:val="en-GB"/>
        </w:rPr>
        <w:t>analyzed</w:t>
      </w:r>
      <w:proofErr w:type="spellEnd"/>
      <w:r w:rsidR="00000F75" w:rsidRPr="00C67AD0">
        <w:rPr>
          <w:rFonts w:ascii="Book Antiqua" w:hAnsi="Book Antiqua" w:cs="Times New Roman"/>
          <w:sz w:val="24"/>
          <w:szCs w:val="24"/>
          <w:lang w:val="en-GB"/>
        </w:rPr>
        <w:t xml:space="preserve"> the pancreas wet-to-dry weight ratio</w:t>
      </w:r>
      <w:r w:rsidR="00F12BA6" w:rsidRPr="00C67AD0">
        <w:rPr>
          <w:rFonts w:ascii="Book Antiqua" w:hAnsi="Book Antiqua" w:cs="Times New Roman"/>
          <w:sz w:val="24"/>
          <w:szCs w:val="24"/>
          <w:lang w:val="en-GB"/>
        </w:rPr>
        <w:t xml:space="preserve"> (Figure 1B)</w:t>
      </w:r>
      <w:r w:rsidR="00000F75" w:rsidRPr="00C67AD0">
        <w:rPr>
          <w:rFonts w:ascii="Book Antiqua" w:hAnsi="Book Antiqua" w:cs="Times New Roman"/>
          <w:sz w:val="24"/>
          <w:szCs w:val="24"/>
          <w:lang w:val="en-GB"/>
        </w:rPr>
        <w:t>.</w:t>
      </w:r>
      <w:r w:rsidR="00656BC1" w:rsidRPr="00C67AD0">
        <w:rPr>
          <w:rFonts w:ascii="Book Antiqua" w:hAnsi="Book Antiqua" w:cs="Times New Roman"/>
          <w:sz w:val="24"/>
          <w:szCs w:val="24"/>
          <w:lang w:val="en-GB"/>
        </w:rPr>
        <w:t xml:space="preserve"> </w:t>
      </w:r>
      <w:r w:rsidR="00A653D3" w:rsidRPr="00C67AD0">
        <w:rPr>
          <w:rFonts w:ascii="Book Antiqua" w:hAnsi="Book Antiqua" w:cs="Times New Roman"/>
          <w:sz w:val="24"/>
          <w:szCs w:val="24"/>
          <w:lang w:val="en-GB"/>
        </w:rPr>
        <w:t xml:space="preserve">A </w:t>
      </w:r>
      <w:r w:rsidR="00000F75" w:rsidRPr="00C67AD0">
        <w:rPr>
          <w:rFonts w:ascii="Book Antiqua" w:hAnsi="Book Antiqua" w:cs="Times New Roman"/>
          <w:sz w:val="24"/>
          <w:szCs w:val="24"/>
          <w:lang w:val="en-GB"/>
        </w:rPr>
        <w:t>significant increase in the pancreas wet-to-dry weight ratio</w:t>
      </w:r>
      <w:r w:rsidR="00A653D3" w:rsidRPr="00C67AD0">
        <w:rPr>
          <w:rFonts w:ascii="Book Antiqua" w:hAnsi="Book Antiqua" w:cs="Times New Roman"/>
          <w:sz w:val="24"/>
          <w:szCs w:val="24"/>
          <w:lang w:val="en-GB"/>
        </w:rPr>
        <w:t xml:space="preserve"> was observed in rat</w:t>
      </w:r>
      <w:r w:rsidR="00656BC1" w:rsidRPr="00C67AD0">
        <w:rPr>
          <w:rFonts w:ascii="Book Antiqua" w:hAnsi="Book Antiqua" w:cs="Times New Roman"/>
          <w:sz w:val="24"/>
          <w:szCs w:val="24"/>
          <w:lang w:val="en-GB"/>
        </w:rPr>
        <w:t>s</w:t>
      </w:r>
      <w:r w:rsidR="00A653D3" w:rsidRPr="00C67AD0">
        <w:rPr>
          <w:rFonts w:ascii="Book Antiqua" w:hAnsi="Book Antiqua" w:cs="Times New Roman"/>
          <w:sz w:val="24"/>
          <w:szCs w:val="24"/>
          <w:lang w:val="en-GB"/>
        </w:rPr>
        <w:t xml:space="preserve"> after</w:t>
      </w:r>
      <w:r w:rsidR="00000F75" w:rsidRPr="00C67AD0">
        <w:rPr>
          <w:rFonts w:ascii="Book Antiqua" w:hAnsi="Book Antiqua" w:cs="Times New Roman"/>
          <w:sz w:val="24"/>
          <w:szCs w:val="24"/>
          <w:lang w:val="en-GB"/>
        </w:rPr>
        <w:t xml:space="preserve"> </w:t>
      </w:r>
      <w:r w:rsidR="00A653D3" w:rsidRPr="00C67AD0">
        <w:rPr>
          <w:rFonts w:ascii="Book Antiqua" w:hAnsi="Book Antiqua" w:cs="Times New Roman"/>
          <w:sz w:val="24"/>
          <w:szCs w:val="24"/>
          <w:lang w:val="en-GB"/>
        </w:rPr>
        <w:t xml:space="preserve">AP induction with </w:t>
      </w:r>
      <w:proofErr w:type="spellStart"/>
      <w:r w:rsidR="00A653D3" w:rsidRPr="00C67AD0">
        <w:rPr>
          <w:rFonts w:ascii="Book Antiqua" w:hAnsi="Book Antiqua" w:cs="Times New Roman"/>
          <w:sz w:val="24"/>
          <w:szCs w:val="24"/>
          <w:lang w:val="en-GB"/>
        </w:rPr>
        <w:t>cerulein</w:t>
      </w:r>
      <w:proofErr w:type="spellEnd"/>
      <w:r w:rsidR="00A653D3" w:rsidRPr="00C67AD0">
        <w:rPr>
          <w:rFonts w:ascii="Book Antiqua" w:hAnsi="Book Antiqua" w:cs="Times New Roman"/>
          <w:sz w:val="24"/>
          <w:szCs w:val="24"/>
          <w:lang w:val="en-GB"/>
        </w:rPr>
        <w:t xml:space="preserve"> (</w:t>
      </w:r>
      <w:r w:rsidR="00F12BA6" w:rsidRPr="00C67AD0">
        <w:rPr>
          <w:rFonts w:ascii="Book Antiqua" w:hAnsi="Book Antiqua" w:cs="Times New Roman"/>
          <w:sz w:val="24"/>
          <w:szCs w:val="24"/>
          <w:lang w:val="en-GB"/>
        </w:rPr>
        <w:t>7.</w:t>
      </w:r>
      <w:r w:rsidR="007F6985" w:rsidRPr="00C67AD0">
        <w:rPr>
          <w:rFonts w:ascii="Book Antiqua" w:hAnsi="Book Antiqua" w:cs="Times New Roman"/>
          <w:sz w:val="24"/>
          <w:szCs w:val="24"/>
          <w:lang w:val="en-GB"/>
        </w:rPr>
        <w:t>865</w:t>
      </w:r>
      <w:r w:rsidR="00000F75" w:rsidRPr="00C67AD0">
        <w:rPr>
          <w:rFonts w:ascii="Times New Roman" w:hAnsi="Times New Roman" w:cs="Times New Roman"/>
          <w:sz w:val="24"/>
          <w:szCs w:val="24"/>
          <w:lang w:val="en-GB"/>
        </w:rPr>
        <w:t> </w:t>
      </w:r>
      <w:r w:rsidR="00000F75" w:rsidRPr="00C67AD0">
        <w:rPr>
          <w:rFonts w:ascii="Book Antiqua" w:hAnsi="Book Antiqua" w:cs="Times New Roman"/>
          <w:sz w:val="24"/>
          <w:szCs w:val="24"/>
          <w:lang w:val="en-GB"/>
        </w:rPr>
        <w:t>±</w:t>
      </w:r>
      <w:r w:rsidR="00000F75" w:rsidRPr="00C67AD0">
        <w:rPr>
          <w:rFonts w:ascii="Times New Roman" w:hAnsi="Times New Roman" w:cs="Times New Roman"/>
          <w:sz w:val="24"/>
          <w:szCs w:val="24"/>
          <w:lang w:val="en-GB"/>
        </w:rPr>
        <w:t> </w:t>
      </w:r>
      <w:r w:rsidR="00000F75" w:rsidRPr="00C67AD0">
        <w:rPr>
          <w:rFonts w:ascii="Book Antiqua" w:hAnsi="Book Antiqua" w:cs="Times New Roman"/>
          <w:sz w:val="24"/>
          <w:szCs w:val="24"/>
          <w:lang w:val="en-GB"/>
        </w:rPr>
        <w:t>0.</w:t>
      </w:r>
      <w:r w:rsidR="007F6985" w:rsidRPr="00C67AD0">
        <w:rPr>
          <w:rFonts w:ascii="Book Antiqua" w:hAnsi="Book Antiqua" w:cs="Times New Roman"/>
          <w:sz w:val="24"/>
          <w:szCs w:val="24"/>
          <w:lang w:val="en-GB"/>
        </w:rPr>
        <w:t>86</w:t>
      </w:r>
      <w:r w:rsidR="00A653D3" w:rsidRPr="00C67AD0">
        <w:rPr>
          <w:rFonts w:ascii="Book Antiqua" w:hAnsi="Book Antiqua" w:cs="Times New Roman"/>
          <w:sz w:val="24"/>
          <w:szCs w:val="24"/>
          <w:lang w:val="en-GB"/>
        </w:rPr>
        <w:t>)</w:t>
      </w:r>
      <w:r w:rsidR="007F6985" w:rsidRPr="00C67AD0">
        <w:rPr>
          <w:rFonts w:ascii="Book Antiqua" w:hAnsi="Book Antiqua" w:cs="Times New Roman"/>
          <w:sz w:val="24"/>
          <w:szCs w:val="24"/>
          <w:lang w:val="en-GB"/>
        </w:rPr>
        <w:t xml:space="preserve"> </w:t>
      </w:r>
      <w:r w:rsidR="00A653D3" w:rsidRPr="00C67AD0">
        <w:rPr>
          <w:rFonts w:ascii="Book Antiqua" w:hAnsi="Book Antiqua" w:cs="Times New Roman"/>
          <w:sz w:val="24"/>
          <w:szCs w:val="24"/>
          <w:lang w:val="en-GB"/>
        </w:rPr>
        <w:t>as compared to control</w:t>
      </w:r>
      <w:r w:rsidR="00656BC1" w:rsidRPr="00C67AD0">
        <w:rPr>
          <w:rFonts w:ascii="Book Antiqua" w:hAnsi="Book Antiqua" w:cs="Times New Roman"/>
          <w:sz w:val="24"/>
          <w:szCs w:val="24"/>
          <w:lang w:val="en-GB"/>
        </w:rPr>
        <w:t xml:space="preserve"> </w:t>
      </w:r>
      <w:r w:rsidR="00A653D3" w:rsidRPr="00C67AD0">
        <w:rPr>
          <w:rFonts w:ascii="Book Antiqua" w:hAnsi="Book Antiqua" w:cs="Times New Roman"/>
          <w:sz w:val="24"/>
          <w:szCs w:val="24"/>
          <w:lang w:val="en-GB"/>
        </w:rPr>
        <w:t>rats (2.76</w:t>
      </w:r>
      <w:r w:rsidR="00A653D3" w:rsidRPr="00C67AD0">
        <w:rPr>
          <w:rFonts w:ascii="Times New Roman" w:hAnsi="Times New Roman" w:cs="Times New Roman"/>
          <w:sz w:val="24"/>
          <w:szCs w:val="24"/>
          <w:lang w:val="en-GB"/>
        </w:rPr>
        <w:t> </w:t>
      </w:r>
      <w:r w:rsidR="00A653D3" w:rsidRPr="00C67AD0">
        <w:rPr>
          <w:rFonts w:ascii="Book Antiqua" w:hAnsi="Book Antiqua" w:cs="Times New Roman"/>
          <w:sz w:val="24"/>
          <w:szCs w:val="24"/>
          <w:lang w:val="en-GB"/>
        </w:rPr>
        <w:t>±</w:t>
      </w:r>
      <w:r w:rsidR="00A653D3" w:rsidRPr="00C67AD0">
        <w:rPr>
          <w:rFonts w:ascii="Times New Roman" w:hAnsi="Times New Roman" w:cs="Times New Roman"/>
          <w:sz w:val="24"/>
          <w:szCs w:val="24"/>
          <w:lang w:val="en-GB"/>
        </w:rPr>
        <w:t> </w:t>
      </w:r>
      <w:r w:rsidR="00A653D3" w:rsidRPr="00C67AD0">
        <w:rPr>
          <w:rFonts w:ascii="Book Antiqua" w:hAnsi="Book Antiqua" w:cs="Times New Roman"/>
          <w:sz w:val="24"/>
          <w:szCs w:val="24"/>
          <w:lang w:val="en-GB"/>
        </w:rPr>
        <w:t>0.28)</w:t>
      </w:r>
      <w:r w:rsidR="00000F75" w:rsidRPr="00C67AD0">
        <w:rPr>
          <w:rFonts w:ascii="Book Antiqua" w:hAnsi="Book Antiqua" w:cs="Times New Roman"/>
          <w:sz w:val="24"/>
          <w:szCs w:val="24"/>
          <w:lang w:val="en-GB"/>
        </w:rPr>
        <w:t xml:space="preserve">. </w:t>
      </w:r>
      <w:r w:rsidR="00656BC1" w:rsidRPr="00C67AD0">
        <w:rPr>
          <w:rFonts w:ascii="Book Antiqua" w:hAnsi="Book Antiqua" w:cs="Times New Roman"/>
          <w:sz w:val="24"/>
          <w:szCs w:val="24"/>
          <w:lang w:val="en-GB"/>
        </w:rPr>
        <w:t>However, this increase could be largely prevented by co-t</w:t>
      </w:r>
      <w:r w:rsidR="00000F75" w:rsidRPr="00C67AD0">
        <w:rPr>
          <w:rFonts w:ascii="Book Antiqua" w:hAnsi="Book Antiqua" w:cs="Times New Roman"/>
          <w:sz w:val="24"/>
          <w:szCs w:val="24"/>
          <w:lang w:val="en-GB"/>
        </w:rPr>
        <w:t>reatment with PEG35</w:t>
      </w:r>
      <w:r w:rsidR="00656BC1" w:rsidRPr="00C67AD0">
        <w:rPr>
          <w:rFonts w:ascii="Book Antiqua" w:hAnsi="Book Antiqua" w:cs="Times New Roman"/>
          <w:sz w:val="24"/>
          <w:szCs w:val="24"/>
          <w:lang w:val="en-GB"/>
        </w:rPr>
        <w:t xml:space="preserve"> in </w:t>
      </w:r>
      <w:proofErr w:type="spellStart"/>
      <w:r w:rsidR="00656BC1" w:rsidRPr="00C67AD0">
        <w:rPr>
          <w:rFonts w:ascii="Book Antiqua" w:hAnsi="Book Antiqua" w:cs="Times New Roman"/>
          <w:sz w:val="24"/>
          <w:szCs w:val="24"/>
          <w:lang w:val="en-GB"/>
        </w:rPr>
        <w:t>cerulein</w:t>
      </w:r>
      <w:proofErr w:type="spellEnd"/>
      <w:r w:rsidR="00656BC1" w:rsidRPr="00C67AD0">
        <w:rPr>
          <w:rFonts w:ascii="Book Antiqua" w:hAnsi="Book Antiqua" w:cs="Times New Roman"/>
          <w:sz w:val="24"/>
          <w:szCs w:val="24"/>
          <w:lang w:val="en-GB"/>
        </w:rPr>
        <w:t>-treated rats, with</w:t>
      </w:r>
      <w:r w:rsidR="00000F75" w:rsidRPr="00C67AD0">
        <w:rPr>
          <w:rFonts w:ascii="Book Antiqua" w:hAnsi="Book Antiqua" w:cs="Times New Roman"/>
          <w:sz w:val="24"/>
          <w:szCs w:val="24"/>
          <w:lang w:val="en-GB"/>
        </w:rPr>
        <w:t xml:space="preserve"> a wet-to-dry weight ratio </w:t>
      </w:r>
      <w:r w:rsidR="00656BC1" w:rsidRPr="00C67AD0">
        <w:rPr>
          <w:rFonts w:ascii="Book Antiqua" w:hAnsi="Book Antiqua" w:cs="Times New Roman"/>
          <w:sz w:val="24"/>
          <w:szCs w:val="24"/>
          <w:lang w:val="en-GB"/>
        </w:rPr>
        <w:t xml:space="preserve">of </w:t>
      </w:r>
      <w:r w:rsidR="00F12BA6" w:rsidRPr="00C67AD0">
        <w:rPr>
          <w:rFonts w:ascii="Book Antiqua" w:hAnsi="Book Antiqua" w:cs="Times New Roman"/>
          <w:sz w:val="24"/>
          <w:szCs w:val="24"/>
          <w:lang w:val="en-GB"/>
        </w:rPr>
        <w:t>3</w:t>
      </w:r>
      <w:r w:rsidR="00000F75" w:rsidRPr="00C67AD0">
        <w:rPr>
          <w:rFonts w:ascii="Book Antiqua" w:hAnsi="Book Antiqua" w:cs="Times New Roman"/>
          <w:sz w:val="24"/>
          <w:szCs w:val="24"/>
          <w:lang w:val="en-GB"/>
        </w:rPr>
        <w:t>.</w:t>
      </w:r>
      <w:r w:rsidR="00F12BA6" w:rsidRPr="00C67AD0">
        <w:rPr>
          <w:rFonts w:ascii="Book Antiqua" w:hAnsi="Book Antiqua" w:cs="Times New Roman"/>
          <w:sz w:val="24"/>
          <w:szCs w:val="24"/>
          <w:lang w:val="en-GB"/>
        </w:rPr>
        <w:t>8</w:t>
      </w:r>
      <w:r w:rsidR="00000F75" w:rsidRPr="00C67AD0">
        <w:rPr>
          <w:rFonts w:ascii="Times New Roman" w:hAnsi="Times New Roman" w:cs="Times New Roman"/>
          <w:sz w:val="24"/>
          <w:szCs w:val="24"/>
          <w:lang w:val="en-GB"/>
        </w:rPr>
        <w:t> </w:t>
      </w:r>
      <w:r w:rsidR="00000F75" w:rsidRPr="00C67AD0">
        <w:rPr>
          <w:rFonts w:ascii="Book Antiqua" w:hAnsi="Book Antiqua" w:cs="Times New Roman"/>
          <w:sz w:val="24"/>
          <w:szCs w:val="24"/>
          <w:lang w:val="en-GB"/>
        </w:rPr>
        <w:t>±</w:t>
      </w:r>
      <w:r w:rsidR="00000F75" w:rsidRPr="00C67AD0">
        <w:rPr>
          <w:rFonts w:ascii="Times New Roman" w:hAnsi="Times New Roman" w:cs="Times New Roman"/>
          <w:sz w:val="24"/>
          <w:szCs w:val="24"/>
          <w:lang w:val="en-GB"/>
        </w:rPr>
        <w:t> </w:t>
      </w:r>
      <w:r w:rsidR="00000F75" w:rsidRPr="00C67AD0">
        <w:rPr>
          <w:rFonts w:ascii="Book Antiqua" w:hAnsi="Book Antiqua" w:cs="Times New Roman"/>
          <w:sz w:val="24"/>
          <w:szCs w:val="24"/>
          <w:lang w:val="en-GB"/>
        </w:rPr>
        <w:t>0.</w:t>
      </w:r>
      <w:r w:rsidR="00F12BA6" w:rsidRPr="00C67AD0">
        <w:rPr>
          <w:rFonts w:ascii="Book Antiqua" w:hAnsi="Book Antiqua" w:cs="Times New Roman"/>
          <w:sz w:val="24"/>
          <w:szCs w:val="24"/>
          <w:lang w:val="en-GB"/>
        </w:rPr>
        <w:t>85</w:t>
      </w:r>
      <w:r w:rsidR="00000F75" w:rsidRPr="00C67AD0">
        <w:rPr>
          <w:rFonts w:ascii="Book Antiqua" w:hAnsi="Book Antiqua" w:cs="Times New Roman"/>
          <w:sz w:val="24"/>
          <w:szCs w:val="24"/>
          <w:lang w:val="en-GB"/>
        </w:rPr>
        <w:t>.</w:t>
      </w:r>
    </w:p>
    <w:p w14:paraId="1F99E1E6" w14:textId="77777777" w:rsidR="00CF6F3B" w:rsidRPr="00C67AD0" w:rsidRDefault="00CF6F3B" w:rsidP="00B8567E">
      <w:pPr>
        <w:spacing w:line="360" w:lineRule="auto"/>
        <w:contextualSpacing/>
        <w:jc w:val="both"/>
        <w:rPr>
          <w:rFonts w:ascii="Book Antiqua" w:hAnsi="Book Antiqua" w:cs="Times New Roman"/>
          <w:i/>
          <w:iCs/>
          <w:sz w:val="24"/>
          <w:szCs w:val="24"/>
          <w:lang w:val="en-GB"/>
        </w:rPr>
      </w:pPr>
    </w:p>
    <w:p w14:paraId="23F9056F" w14:textId="3D05B913" w:rsidR="001C11E5" w:rsidRPr="00C67AD0" w:rsidRDefault="00CF6F3B" w:rsidP="00B8567E">
      <w:pPr>
        <w:spacing w:line="360" w:lineRule="auto"/>
        <w:contextualSpacing/>
        <w:jc w:val="both"/>
        <w:rPr>
          <w:rFonts w:ascii="Book Antiqua" w:hAnsi="Book Antiqua" w:cs="Times New Roman"/>
          <w:b/>
          <w:bCs/>
          <w:i/>
          <w:iCs/>
          <w:sz w:val="24"/>
          <w:szCs w:val="24"/>
          <w:lang w:val="en-GB"/>
        </w:rPr>
      </w:pPr>
      <w:r w:rsidRPr="00C67AD0">
        <w:rPr>
          <w:rFonts w:ascii="Book Antiqua" w:hAnsi="Book Antiqua" w:cs="Times New Roman"/>
          <w:b/>
          <w:bCs/>
          <w:i/>
          <w:iCs/>
          <w:sz w:val="24"/>
          <w:szCs w:val="24"/>
          <w:lang w:val="en-GB"/>
        </w:rPr>
        <w:t xml:space="preserve">PEG35 reduced local pancreatic tissue damage associated with </w:t>
      </w:r>
      <w:proofErr w:type="spellStart"/>
      <w:r w:rsidRPr="00C67AD0">
        <w:rPr>
          <w:rFonts w:ascii="Book Antiqua" w:hAnsi="Book Antiqua" w:cs="Times New Roman"/>
          <w:b/>
          <w:bCs/>
          <w:i/>
          <w:iCs/>
          <w:sz w:val="24"/>
          <w:szCs w:val="24"/>
          <w:lang w:val="en-GB"/>
        </w:rPr>
        <w:t>cerulein</w:t>
      </w:r>
      <w:proofErr w:type="spellEnd"/>
      <w:r w:rsidRPr="00C67AD0">
        <w:rPr>
          <w:rFonts w:ascii="Book Antiqua" w:hAnsi="Book Antiqua" w:cs="Times New Roman"/>
          <w:b/>
          <w:bCs/>
          <w:i/>
          <w:iCs/>
          <w:sz w:val="24"/>
          <w:szCs w:val="24"/>
          <w:lang w:val="en-GB"/>
        </w:rPr>
        <w:t>-induced AP</w:t>
      </w:r>
    </w:p>
    <w:p w14:paraId="4538904F" w14:textId="2A902848" w:rsidR="00CF6F3B" w:rsidRPr="00C67AD0" w:rsidRDefault="00B245D2"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Histopathological results showed that </w:t>
      </w:r>
      <w:proofErr w:type="spellStart"/>
      <w:r w:rsidRPr="00C67AD0">
        <w:rPr>
          <w:rFonts w:ascii="Book Antiqua" w:hAnsi="Book Antiqua" w:cs="Times New Roman"/>
          <w:sz w:val="24"/>
          <w:szCs w:val="24"/>
          <w:lang w:val="en-GB"/>
        </w:rPr>
        <w:t>cerulein</w:t>
      </w:r>
      <w:proofErr w:type="spellEnd"/>
      <w:r w:rsidRPr="00C67AD0">
        <w:rPr>
          <w:rFonts w:ascii="Book Antiqua" w:hAnsi="Book Antiqua" w:cs="Times New Roman"/>
          <w:sz w:val="24"/>
          <w:szCs w:val="24"/>
          <w:lang w:val="en-GB"/>
        </w:rPr>
        <w:t xml:space="preserve"> </w:t>
      </w:r>
      <w:proofErr w:type="spellStart"/>
      <w:r w:rsidRPr="00C67AD0">
        <w:rPr>
          <w:rFonts w:ascii="Book Antiqua" w:hAnsi="Book Antiqua" w:cs="Times New Roman"/>
          <w:sz w:val="24"/>
          <w:szCs w:val="24"/>
          <w:lang w:val="en-GB"/>
        </w:rPr>
        <w:t>hyperstimulated</w:t>
      </w:r>
      <w:proofErr w:type="spellEnd"/>
      <w:r w:rsidRPr="00C67AD0">
        <w:rPr>
          <w:rFonts w:ascii="Book Antiqua" w:hAnsi="Book Antiqua" w:cs="Times New Roman"/>
          <w:sz w:val="24"/>
          <w:szCs w:val="24"/>
          <w:lang w:val="en-GB"/>
        </w:rPr>
        <w:t xml:space="preserve"> rats caused</w:t>
      </w:r>
      <w:r w:rsidR="00CF6F3B" w:rsidRPr="00C67AD0">
        <w:rPr>
          <w:rFonts w:ascii="Book Antiqua" w:hAnsi="Book Antiqua" w:cs="Times New Roman"/>
          <w:sz w:val="24"/>
          <w:szCs w:val="24"/>
          <w:lang w:val="en-GB"/>
        </w:rPr>
        <w:t xml:space="preserve"> an interstitial </w:t>
      </w:r>
      <w:proofErr w:type="spellStart"/>
      <w:r w:rsidR="00CF6F3B" w:rsidRPr="00C67AD0">
        <w:rPr>
          <w:rFonts w:ascii="Book Antiqua" w:hAnsi="Book Antiqua" w:cs="Times New Roman"/>
          <w:sz w:val="24"/>
          <w:szCs w:val="24"/>
          <w:lang w:val="en-GB"/>
        </w:rPr>
        <w:t>edematous</w:t>
      </w:r>
      <w:proofErr w:type="spellEnd"/>
      <w:r w:rsidR="00CF6F3B" w:rsidRPr="00C67AD0">
        <w:rPr>
          <w:rFonts w:ascii="Book Antiqua" w:hAnsi="Book Antiqua" w:cs="Times New Roman"/>
          <w:sz w:val="24"/>
          <w:szCs w:val="24"/>
          <w:lang w:val="en-GB"/>
        </w:rPr>
        <w:t xml:space="preserve"> acute pancreatitis with </w:t>
      </w:r>
      <w:r w:rsidR="00391124" w:rsidRPr="00C67AD0">
        <w:rPr>
          <w:rFonts w:ascii="Book Antiqua" w:hAnsi="Book Antiqua" w:cs="Times New Roman"/>
          <w:sz w:val="24"/>
          <w:szCs w:val="24"/>
          <w:lang w:val="en-GB"/>
        </w:rPr>
        <w:t xml:space="preserve">considerable </w:t>
      </w:r>
      <w:r w:rsidR="00CF6F3B" w:rsidRPr="00C67AD0">
        <w:rPr>
          <w:rFonts w:ascii="Book Antiqua" w:hAnsi="Book Antiqua" w:cs="Times New Roman"/>
          <w:sz w:val="24"/>
          <w:szCs w:val="24"/>
          <w:lang w:val="en-GB"/>
        </w:rPr>
        <w:t xml:space="preserve">areas of interstitial </w:t>
      </w:r>
      <w:proofErr w:type="spellStart"/>
      <w:r w:rsidR="00CF6F3B" w:rsidRPr="00C67AD0">
        <w:rPr>
          <w:rFonts w:ascii="Book Antiqua" w:hAnsi="Book Antiqua" w:cs="Times New Roman"/>
          <w:sz w:val="24"/>
          <w:szCs w:val="24"/>
          <w:lang w:val="en-GB"/>
        </w:rPr>
        <w:t>edema</w:t>
      </w:r>
      <w:proofErr w:type="spellEnd"/>
      <w:r w:rsidR="00CF6F3B" w:rsidRPr="00C67AD0">
        <w:rPr>
          <w:rFonts w:ascii="Book Antiqua" w:hAnsi="Book Antiqua" w:cs="Times New Roman"/>
          <w:sz w:val="24"/>
          <w:szCs w:val="24"/>
          <w:lang w:val="en-GB"/>
        </w:rPr>
        <w:t>, local necrosis, infiltrated polymorphonuclear neutrophils and vacuolation of the acinar cells. (Figure 1C). In the PEG35-treated group, there were consistent reductions in these characteristics.</w:t>
      </w:r>
    </w:p>
    <w:p w14:paraId="6469162A" w14:textId="77777777" w:rsidR="00CF6F3B" w:rsidRPr="00C67AD0" w:rsidRDefault="00CF6F3B" w:rsidP="00B8567E">
      <w:pPr>
        <w:spacing w:line="360" w:lineRule="auto"/>
        <w:contextualSpacing/>
        <w:jc w:val="both"/>
        <w:rPr>
          <w:rFonts w:ascii="Book Antiqua" w:hAnsi="Book Antiqua" w:cs="Times New Roman"/>
          <w:sz w:val="24"/>
          <w:szCs w:val="24"/>
          <w:lang w:val="en-GB"/>
        </w:rPr>
      </w:pPr>
    </w:p>
    <w:p w14:paraId="6675F2E0" w14:textId="1174946B" w:rsidR="001C11E5" w:rsidRPr="00C67AD0" w:rsidRDefault="001C11E5" w:rsidP="001C11E5">
      <w:pPr>
        <w:spacing w:line="360" w:lineRule="auto"/>
        <w:contextualSpacing/>
        <w:jc w:val="both"/>
        <w:rPr>
          <w:rFonts w:ascii="Book Antiqua" w:hAnsi="Book Antiqua" w:cs="Times New Roman"/>
          <w:b/>
          <w:bCs/>
          <w:i/>
          <w:iCs/>
          <w:sz w:val="24"/>
          <w:szCs w:val="24"/>
          <w:lang w:val="en-GB"/>
        </w:rPr>
      </w:pPr>
      <w:r w:rsidRPr="00C67AD0">
        <w:rPr>
          <w:rFonts w:ascii="Book Antiqua" w:hAnsi="Book Antiqua" w:cs="Times New Roman"/>
          <w:b/>
          <w:bCs/>
          <w:i/>
          <w:iCs/>
          <w:sz w:val="24"/>
          <w:szCs w:val="24"/>
          <w:lang w:val="en-GB"/>
        </w:rPr>
        <w:t xml:space="preserve">PEG35 ameliorated the expression of inflammatory markers in </w:t>
      </w:r>
      <w:proofErr w:type="spellStart"/>
      <w:r w:rsidRPr="00C67AD0">
        <w:rPr>
          <w:rFonts w:ascii="Book Antiqua" w:hAnsi="Book Antiqua" w:cs="Times New Roman"/>
          <w:b/>
          <w:bCs/>
          <w:i/>
          <w:iCs/>
          <w:sz w:val="24"/>
          <w:szCs w:val="24"/>
          <w:lang w:val="en-GB"/>
        </w:rPr>
        <w:t>cerulein</w:t>
      </w:r>
      <w:proofErr w:type="spellEnd"/>
      <w:r w:rsidRPr="00C67AD0">
        <w:rPr>
          <w:rFonts w:ascii="Book Antiqua" w:hAnsi="Book Antiqua" w:cs="Times New Roman"/>
          <w:b/>
          <w:bCs/>
          <w:i/>
          <w:iCs/>
          <w:sz w:val="24"/>
          <w:szCs w:val="24"/>
          <w:lang w:val="en-GB"/>
        </w:rPr>
        <w:t>-induced AP and AR42J-treated cells</w:t>
      </w:r>
    </w:p>
    <w:p w14:paraId="55F35F54" w14:textId="3A554F77" w:rsidR="001C11E5" w:rsidRPr="00C67AD0" w:rsidRDefault="00391124" w:rsidP="001C11E5">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lastRenderedPageBreak/>
        <w:t>Further</w:t>
      </w:r>
      <w:r w:rsidR="001C11E5" w:rsidRPr="00C67AD0">
        <w:rPr>
          <w:rFonts w:ascii="Book Antiqua" w:hAnsi="Book Antiqua" w:cs="Times New Roman"/>
          <w:sz w:val="24"/>
          <w:szCs w:val="24"/>
          <w:lang w:val="en-GB"/>
        </w:rPr>
        <w:t xml:space="preserve">, we explored whether PEG35 </w:t>
      </w:r>
      <w:r w:rsidRPr="00C67AD0">
        <w:rPr>
          <w:rFonts w:ascii="Book Antiqua" w:hAnsi="Book Antiqua" w:cs="Times New Roman"/>
          <w:sz w:val="24"/>
          <w:szCs w:val="24"/>
          <w:lang w:val="en-GB"/>
        </w:rPr>
        <w:t xml:space="preserve">treatment </w:t>
      </w:r>
      <w:r w:rsidR="001C11E5" w:rsidRPr="00C67AD0">
        <w:rPr>
          <w:rFonts w:ascii="Book Antiqua" w:hAnsi="Book Antiqua" w:cs="Times New Roman"/>
          <w:sz w:val="24"/>
          <w:szCs w:val="24"/>
          <w:lang w:val="en-GB"/>
        </w:rPr>
        <w:t>improve</w:t>
      </w:r>
      <w:r w:rsidR="00514CCA" w:rsidRPr="00C67AD0">
        <w:rPr>
          <w:rFonts w:ascii="Book Antiqua" w:hAnsi="Book Antiqua" w:cs="Times New Roman"/>
          <w:sz w:val="24"/>
          <w:szCs w:val="24"/>
          <w:lang w:val="en-GB"/>
        </w:rPr>
        <w:t>s the</w:t>
      </w:r>
      <w:r w:rsidR="001C11E5" w:rsidRPr="00C67AD0">
        <w:rPr>
          <w:rFonts w:ascii="Book Antiqua" w:hAnsi="Book Antiqua" w:cs="Times New Roman"/>
          <w:sz w:val="24"/>
          <w:szCs w:val="24"/>
          <w:lang w:val="en-GB"/>
        </w:rPr>
        <w:t xml:space="preserve"> inflammatory response after </w:t>
      </w:r>
      <w:proofErr w:type="spellStart"/>
      <w:r w:rsidR="001C11E5" w:rsidRPr="00C67AD0">
        <w:rPr>
          <w:rFonts w:ascii="Book Antiqua" w:hAnsi="Book Antiqua" w:cs="Times New Roman"/>
          <w:sz w:val="24"/>
          <w:szCs w:val="24"/>
          <w:lang w:val="en-GB"/>
        </w:rPr>
        <w:t>cerulein</w:t>
      </w:r>
      <w:proofErr w:type="spellEnd"/>
      <w:r w:rsidR="00861C82" w:rsidRPr="00C67AD0">
        <w:rPr>
          <w:rFonts w:ascii="Book Antiqua" w:hAnsi="Book Antiqua" w:cs="Times New Roman"/>
          <w:sz w:val="24"/>
          <w:szCs w:val="24"/>
          <w:lang w:val="en-GB"/>
        </w:rPr>
        <w:t xml:space="preserve"> </w:t>
      </w:r>
      <w:proofErr w:type="spellStart"/>
      <w:r w:rsidR="00861C82" w:rsidRPr="00C67AD0">
        <w:rPr>
          <w:rFonts w:ascii="Book Antiqua" w:hAnsi="Book Antiqua" w:cs="Times New Roman"/>
          <w:sz w:val="24"/>
          <w:szCs w:val="24"/>
          <w:lang w:val="en-GB"/>
        </w:rPr>
        <w:t>hyperstimulation</w:t>
      </w:r>
      <w:proofErr w:type="spellEnd"/>
      <w:r w:rsidR="00861C82" w:rsidRPr="00C67AD0">
        <w:rPr>
          <w:rFonts w:ascii="Book Antiqua" w:hAnsi="Book Antiqua" w:cs="Times New Roman"/>
          <w:sz w:val="24"/>
          <w:szCs w:val="24"/>
          <w:lang w:val="en-GB"/>
        </w:rPr>
        <w:t xml:space="preserve"> in rats</w:t>
      </w:r>
      <w:r w:rsidR="00514CCA" w:rsidRPr="00C67AD0">
        <w:rPr>
          <w:rFonts w:ascii="Book Antiqua" w:hAnsi="Book Antiqua" w:cs="Times New Roman"/>
          <w:sz w:val="24"/>
          <w:szCs w:val="24"/>
          <w:lang w:val="en-GB"/>
        </w:rPr>
        <w:t>,</w:t>
      </w:r>
      <w:r w:rsidR="001C11E5" w:rsidRPr="00C67AD0">
        <w:rPr>
          <w:rFonts w:ascii="Book Antiqua" w:hAnsi="Book Antiqua" w:cs="Times New Roman"/>
          <w:sz w:val="24"/>
          <w:szCs w:val="24"/>
          <w:lang w:val="en-GB"/>
        </w:rPr>
        <w:t xml:space="preserve"> by measuring the gene expression of inflammatory mediators in the pancreas. Pancreatic tissue levels of IL6, IL1β, TNFα, IL10 and </w:t>
      </w:r>
      <w:proofErr w:type="spellStart"/>
      <w:r w:rsidR="001C11E5" w:rsidRPr="00C67AD0">
        <w:rPr>
          <w:rFonts w:ascii="Book Antiqua" w:hAnsi="Book Antiqua" w:cs="Times New Roman"/>
          <w:sz w:val="24"/>
          <w:szCs w:val="24"/>
          <w:lang w:val="en-GB"/>
        </w:rPr>
        <w:t>iNOS</w:t>
      </w:r>
      <w:proofErr w:type="spellEnd"/>
      <w:r w:rsidR="001C11E5" w:rsidRPr="00C67AD0">
        <w:rPr>
          <w:rFonts w:ascii="Book Antiqua" w:hAnsi="Book Antiqua" w:cs="Times New Roman"/>
          <w:sz w:val="24"/>
          <w:szCs w:val="24"/>
          <w:lang w:val="en-GB"/>
        </w:rPr>
        <w:t xml:space="preserve"> </w:t>
      </w:r>
      <w:r w:rsidR="00514CCA" w:rsidRPr="00C67AD0">
        <w:rPr>
          <w:rFonts w:ascii="Book Antiqua" w:hAnsi="Book Antiqua" w:cs="Times New Roman"/>
          <w:sz w:val="24"/>
          <w:szCs w:val="24"/>
          <w:lang w:val="en-GB"/>
        </w:rPr>
        <w:t>increased</w:t>
      </w:r>
      <w:r w:rsidR="001C11E5" w:rsidRPr="00C67AD0">
        <w:rPr>
          <w:rFonts w:ascii="Book Antiqua" w:hAnsi="Book Antiqua" w:cs="Times New Roman"/>
          <w:sz w:val="24"/>
          <w:szCs w:val="24"/>
          <w:lang w:val="en-GB"/>
        </w:rPr>
        <w:t xml:space="preserve"> markedly </w:t>
      </w:r>
      <w:r w:rsidR="00E41CB2" w:rsidRPr="00C67AD0">
        <w:rPr>
          <w:rFonts w:ascii="Book Antiqua" w:hAnsi="Book Antiqua" w:cs="Times New Roman"/>
          <w:sz w:val="24"/>
          <w:szCs w:val="24"/>
          <w:lang w:val="en-GB"/>
        </w:rPr>
        <w:t xml:space="preserve">in rats </w:t>
      </w:r>
      <w:r w:rsidR="001C11E5" w:rsidRPr="00C67AD0">
        <w:rPr>
          <w:rFonts w:ascii="Book Antiqua" w:hAnsi="Book Antiqua" w:cs="Times New Roman"/>
          <w:sz w:val="24"/>
          <w:szCs w:val="24"/>
          <w:lang w:val="en-GB"/>
        </w:rPr>
        <w:t xml:space="preserve">after AP induction </w:t>
      </w:r>
      <w:r w:rsidR="00514CCA" w:rsidRPr="00C67AD0">
        <w:rPr>
          <w:rFonts w:ascii="Book Antiqua" w:hAnsi="Book Antiqua" w:cs="Times New Roman"/>
          <w:sz w:val="24"/>
          <w:szCs w:val="24"/>
          <w:lang w:val="en-GB"/>
        </w:rPr>
        <w:t xml:space="preserve">as </w:t>
      </w:r>
      <w:r w:rsidR="001C11E5" w:rsidRPr="00C67AD0">
        <w:rPr>
          <w:rFonts w:ascii="Book Antiqua" w:hAnsi="Book Antiqua" w:cs="Times New Roman"/>
          <w:sz w:val="24"/>
          <w:szCs w:val="24"/>
          <w:lang w:val="en-GB"/>
        </w:rPr>
        <w:t xml:space="preserve">compared </w:t>
      </w:r>
      <w:r w:rsidR="00514CCA" w:rsidRPr="00C67AD0">
        <w:rPr>
          <w:rFonts w:ascii="Book Antiqua" w:hAnsi="Book Antiqua" w:cs="Times New Roman"/>
          <w:sz w:val="24"/>
          <w:szCs w:val="24"/>
          <w:lang w:val="en-GB"/>
        </w:rPr>
        <w:t xml:space="preserve">to </w:t>
      </w:r>
      <w:r w:rsidR="00A30B2F" w:rsidRPr="00C67AD0">
        <w:rPr>
          <w:rFonts w:ascii="Book Antiqua" w:hAnsi="Book Antiqua" w:cs="Times New Roman"/>
          <w:sz w:val="24"/>
          <w:szCs w:val="24"/>
          <w:lang w:val="en-GB"/>
        </w:rPr>
        <w:t xml:space="preserve">that of </w:t>
      </w:r>
      <w:r w:rsidR="001C11E5" w:rsidRPr="00C67AD0">
        <w:rPr>
          <w:rFonts w:ascii="Book Antiqua" w:hAnsi="Book Antiqua" w:cs="Times New Roman"/>
          <w:sz w:val="24"/>
          <w:szCs w:val="24"/>
          <w:lang w:val="en-GB"/>
        </w:rPr>
        <w:t xml:space="preserve">control </w:t>
      </w:r>
      <w:r w:rsidR="00E41CB2" w:rsidRPr="00C67AD0">
        <w:rPr>
          <w:rFonts w:ascii="Book Antiqua" w:hAnsi="Book Antiqua" w:cs="Times New Roman"/>
          <w:sz w:val="24"/>
          <w:szCs w:val="24"/>
          <w:lang w:val="en-GB"/>
        </w:rPr>
        <w:t xml:space="preserve">rats </w:t>
      </w:r>
      <w:r w:rsidR="001C11E5" w:rsidRPr="00C67AD0">
        <w:rPr>
          <w:rFonts w:ascii="Book Antiqua" w:hAnsi="Book Antiqua" w:cs="Times New Roman"/>
          <w:sz w:val="24"/>
          <w:szCs w:val="24"/>
          <w:lang w:val="en-GB"/>
        </w:rPr>
        <w:t xml:space="preserve">(Figure </w:t>
      </w:r>
      <w:r w:rsidR="00000943" w:rsidRPr="00C67AD0">
        <w:rPr>
          <w:rFonts w:ascii="Book Antiqua" w:hAnsi="Book Antiqua" w:cs="Times New Roman"/>
          <w:sz w:val="24"/>
          <w:szCs w:val="24"/>
          <w:lang w:val="en-GB"/>
        </w:rPr>
        <w:t>2</w:t>
      </w:r>
      <w:r w:rsidR="001C11E5" w:rsidRPr="00C67AD0">
        <w:rPr>
          <w:rFonts w:ascii="Book Antiqua" w:hAnsi="Book Antiqua" w:cs="Times New Roman"/>
          <w:sz w:val="24"/>
          <w:szCs w:val="24"/>
          <w:lang w:val="en-GB"/>
        </w:rPr>
        <w:t xml:space="preserve">). </w:t>
      </w:r>
      <w:r w:rsidR="009A2F7E" w:rsidRPr="00C67AD0">
        <w:rPr>
          <w:rFonts w:ascii="Book Antiqua" w:hAnsi="Book Antiqua" w:cs="Times New Roman"/>
          <w:sz w:val="24"/>
          <w:szCs w:val="24"/>
          <w:lang w:val="en-GB"/>
        </w:rPr>
        <w:t>Notably, PEG35 t</w:t>
      </w:r>
      <w:r w:rsidR="001C11E5" w:rsidRPr="00C67AD0">
        <w:rPr>
          <w:rFonts w:ascii="Book Antiqua" w:hAnsi="Book Antiqua" w:cs="Times New Roman"/>
          <w:sz w:val="24"/>
          <w:szCs w:val="24"/>
          <w:lang w:val="en-GB"/>
        </w:rPr>
        <w:t>reatment significantly reduce</w:t>
      </w:r>
      <w:r w:rsidR="009A2F7E" w:rsidRPr="00C67AD0">
        <w:rPr>
          <w:rFonts w:ascii="Book Antiqua" w:hAnsi="Book Antiqua" w:cs="Times New Roman"/>
          <w:sz w:val="24"/>
          <w:szCs w:val="24"/>
          <w:lang w:val="en-GB"/>
        </w:rPr>
        <w:t>d</w:t>
      </w:r>
      <w:r w:rsidR="001C11E5" w:rsidRPr="00C67AD0">
        <w:rPr>
          <w:rFonts w:ascii="Book Antiqua" w:hAnsi="Book Antiqua" w:cs="Times New Roman"/>
          <w:sz w:val="24"/>
          <w:szCs w:val="24"/>
          <w:lang w:val="en-GB"/>
        </w:rPr>
        <w:t xml:space="preserve"> the AP-induced increases in IL1β, IL6 and </w:t>
      </w:r>
      <w:proofErr w:type="spellStart"/>
      <w:r w:rsidR="001C11E5" w:rsidRPr="00C67AD0">
        <w:rPr>
          <w:rFonts w:ascii="Book Antiqua" w:hAnsi="Book Antiqua" w:cs="Times New Roman"/>
          <w:sz w:val="24"/>
          <w:szCs w:val="24"/>
          <w:lang w:val="en-GB"/>
        </w:rPr>
        <w:t>iNOS</w:t>
      </w:r>
      <w:proofErr w:type="spellEnd"/>
      <w:r w:rsidR="001C11E5" w:rsidRPr="00C67AD0">
        <w:rPr>
          <w:rFonts w:ascii="Book Antiqua" w:hAnsi="Book Antiqua" w:cs="Times New Roman"/>
          <w:sz w:val="24"/>
          <w:szCs w:val="24"/>
          <w:lang w:val="en-GB"/>
        </w:rPr>
        <w:t xml:space="preserve">. </w:t>
      </w:r>
      <w:r w:rsidR="009A2F7E" w:rsidRPr="00C67AD0">
        <w:rPr>
          <w:rFonts w:ascii="Book Antiqua" w:hAnsi="Book Antiqua" w:cs="Times New Roman"/>
          <w:sz w:val="24"/>
          <w:szCs w:val="24"/>
          <w:lang w:val="en-GB"/>
        </w:rPr>
        <w:t xml:space="preserve">While </w:t>
      </w:r>
      <w:r w:rsidR="001C11E5" w:rsidRPr="00C67AD0">
        <w:rPr>
          <w:rFonts w:ascii="Book Antiqua" w:hAnsi="Book Antiqua" w:cs="Times New Roman"/>
          <w:sz w:val="24"/>
          <w:szCs w:val="24"/>
          <w:lang w:val="en-GB"/>
        </w:rPr>
        <w:t xml:space="preserve">TNFα </w:t>
      </w:r>
      <w:r w:rsidR="009A2F7E" w:rsidRPr="00C67AD0">
        <w:rPr>
          <w:rFonts w:ascii="Book Antiqua" w:hAnsi="Book Antiqua" w:cs="Times New Roman"/>
          <w:sz w:val="24"/>
          <w:szCs w:val="24"/>
          <w:lang w:val="en-GB"/>
        </w:rPr>
        <w:t xml:space="preserve">expression levels showed a tendency to decrease, this was not statistically significant. </w:t>
      </w:r>
      <w:r w:rsidR="00A12C17" w:rsidRPr="00C67AD0">
        <w:rPr>
          <w:rFonts w:ascii="Book Antiqua" w:hAnsi="Book Antiqua" w:cs="Times New Roman"/>
          <w:sz w:val="24"/>
          <w:szCs w:val="24"/>
          <w:lang w:val="en-GB"/>
        </w:rPr>
        <w:t xml:space="preserve">Finally, as expected based on its </w:t>
      </w:r>
      <w:r w:rsidR="00D72C63" w:rsidRPr="00C67AD0">
        <w:rPr>
          <w:rFonts w:ascii="Book Antiqua" w:hAnsi="Book Antiqua" w:cs="Times New Roman"/>
          <w:sz w:val="24"/>
          <w:szCs w:val="24"/>
          <w:lang w:val="en-GB"/>
        </w:rPr>
        <w:t>anti-inflammatory role</w:t>
      </w:r>
      <w:r w:rsidR="00A12C17" w:rsidRPr="00C67AD0">
        <w:rPr>
          <w:rFonts w:ascii="Book Antiqua" w:hAnsi="Book Antiqua" w:cs="Times New Roman"/>
          <w:sz w:val="24"/>
          <w:szCs w:val="24"/>
          <w:lang w:val="en-GB"/>
        </w:rPr>
        <w:t>,</w:t>
      </w:r>
      <w:r w:rsidR="00D72C63" w:rsidRPr="00C67AD0">
        <w:rPr>
          <w:rFonts w:ascii="Book Antiqua" w:hAnsi="Book Antiqua" w:cs="Times New Roman"/>
          <w:sz w:val="24"/>
          <w:szCs w:val="24"/>
          <w:lang w:val="en-GB"/>
        </w:rPr>
        <w:t xml:space="preserve"> </w:t>
      </w:r>
      <w:r w:rsidR="009A2F7E" w:rsidRPr="00C67AD0">
        <w:rPr>
          <w:rFonts w:ascii="Book Antiqua" w:hAnsi="Book Antiqua" w:cs="Times New Roman"/>
          <w:sz w:val="24"/>
          <w:szCs w:val="24"/>
          <w:lang w:val="en-GB"/>
        </w:rPr>
        <w:t xml:space="preserve">the gene expression </w:t>
      </w:r>
      <w:r w:rsidR="00CF7359" w:rsidRPr="00C67AD0">
        <w:rPr>
          <w:rFonts w:ascii="Book Antiqua" w:hAnsi="Book Antiqua" w:cs="Times New Roman"/>
          <w:sz w:val="24"/>
          <w:szCs w:val="24"/>
          <w:lang w:val="en-GB"/>
        </w:rPr>
        <w:t xml:space="preserve">of </w:t>
      </w:r>
      <w:r w:rsidR="00D72C63" w:rsidRPr="00C67AD0">
        <w:rPr>
          <w:rFonts w:ascii="Book Antiqua" w:hAnsi="Book Antiqua" w:cs="Times New Roman"/>
          <w:sz w:val="24"/>
          <w:szCs w:val="24"/>
          <w:lang w:val="en-GB"/>
        </w:rPr>
        <w:t>th</w:t>
      </w:r>
      <w:r w:rsidR="00A12C17" w:rsidRPr="00C67AD0">
        <w:rPr>
          <w:rFonts w:ascii="Book Antiqua" w:hAnsi="Book Antiqua" w:cs="Times New Roman"/>
          <w:sz w:val="24"/>
          <w:szCs w:val="24"/>
          <w:lang w:val="en-GB"/>
        </w:rPr>
        <w:t>e</w:t>
      </w:r>
      <w:r w:rsidR="00D72C63" w:rsidRPr="00C67AD0">
        <w:rPr>
          <w:rFonts w:ascii="Book Antiqua" w:hAnsi="Book Antiqua" w:cs="Times New Roman"/>
          <w:sz w:val="24"/>
          <w:szCs w:val="24"/>
          <w:lang w:val="en-GB"/>
        </w:rPr>
        <w:t xml:space="preserve"> </w:t>
      </w:r>
      <w:r w:rsidR="00A12C17" w:rsidRPr="00C67AD0">
        <w:rPr>
          <w:rFonts w:ascii="Book Antiqua" w:hAnsi="Book Antiqua" w:cs="Times New Roman"/>
          <w:sz w:val="24"/>
          <w:szCs w:val="24"/>
          <w:lang w:val="en-GB"/>
        </w:rPr>
        <w:t xml:space="preserve">IL10 </w:t>
      </w:r>
      <w:r w:rsidR="00D72C63" w:rsidRPr="00C67AD0">
        <w:rPr>
          <w:rFonts w:ascii="Book Antiqua" w:hAnsi="Book Antiqua" w:cs="Times New Roman"/>
          <w:sz w:val="24"/>
          <w:szCs w:val="24"/>
          <w:lang w:val="en-GB"/>
        </w:rPr>
        <w:t xml:space="preserve">cytokine </w:t>
      </w:r>
      <w:r w:rsidR="00CF7359" w:rsidRPr="00C67AD0">
        <w:rPr>
          <w:rFonts w:ascii="Book Antiqua" w:hAnsi="Book Antiqua" w:cs="Times New Roman"/>
          <w:sz w:val="24"/>
          <w:szCs w:val="24"/>
          <w:lang w:val="en-GB"/>
        </w:rPr>
        <w:t xml:space="preserve">was </w:t>
      </w:r>
      <w:r w:rsidR="00D72C63" w:rsidRPr="00C67AD0">
        <w:rPr>
          <w:rFonts w:ascii="Book Antiqua" w:hAnsi="Book Antiqua" w:cs="Times New Roman"/>
          <w:sz w:val="24"/>
          <w:szCs w:val="24"/>
          <w:lang w:val="en-GB"/>
        </w:rPr>
        <w:t>not reduce</w:t>
      </w:r>
      <w:r w:rsidR="00CF7359" w:rsidRPr="00C67AD0">
        <w:rPr>
          <w:rFonts w:ascii="Book Antiqua" w:hAnsi="Book Antiqua" w:cs="Times New Roman"/>
          <w:sz w:val="24"/>
          <w:szCs w:val="24"/>
          <w:lang w:val="en-GB"/>
        </w:rPr>
        <w:t>d</w:t>
      </w:r>
      <w:r w:rsidR="00D72C63" w:rsidRPr="00C67AD0">
        <w:rPr>
          <w:rFonts w:ascii="Book Antiqua" w:hAnsi="Book Antiqua" w:cs="Times New Roman"/>
          <w:sz w:val="24"/>
          <w:szCs w:val="24"/>
          <w:lang w:val="en-GB"/>
        </w:rPr>
        <w:t xml:space="preserve"> in PEG35-treated animals. </w:t>
      </w:r>
    </w:p>
    <w:p w14:paraId="22622FBE" w14:textId="421DC27E" w:rsidR="001C11E5" w:rsidRPr="00C67AD0" w:rsidRDefault="00496CDC" w:rsidP="001830C7">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In addition to its </w:t>
      </w:r>
      <w:r w:rsidRPr="00C67AD0">
        <w:rPr>
          <w:rFonts w:ascii="Book Antiqua" w:hAnsi="Book Antiqua" w:cs="Times New Roman"/>
          <w:i/>
          <w:sz w:val="24"/>
          <w:szCs w:val="24"/>
          <w:lang w:val="en-GB"/>
        </w:rPr>
        <w:t>in vivo</w:t>
      </w:r>
      <w:r w:rsidRPr="00C67AD0">
        <w:rPr>
          <w:rFonts w:ascii="Book Antiqua" w:hAnsi="Book Antiqua" w:cs="Times New Roman"/>
          <w:sz w:val="24"/>
          <w:szCs w:val="24"/>
          <w:lang w:val="en-GB"/>
        </w:rPr>
        <w:t xml:space="preserve"> effects</w:t>
      </w:r>
      <w:r w:rsidR="001C11E5" w:rsidRPr="00C67AD0">
        <w:rPr>
          <w:rFonts w:ascii="Book Antiqua" w:hAnsi="Book Antiqua" w:cs="Times New Roman"/>
          <w:sz w:val="24"/>
          <w:szCs w:val="24"/>
          <w:lang w:val="en-GB"/>
        </w:rPr>
        <w:t xml:space="preserve">, a direct anti-inflammatory effect of PEG35 was </w:t>
      </w:r>
      <w:r w:rsidRPr="00C67AD0">
        <w:rPr>
          <w:rFonts w:ascii="Book Antiqua" w:hAnsi="Book Antiqua" w:cs="Times New Roman"/>
          <w:sz w:val="24"/>
          <w:szCs w:val="24"/>
          <w:lang w:val="en-GB"/>
        </w:rPr>
        <w:t xml:space="preserve">also </w:t>
      </w:r>
      <w:r w:rsidR="001C11E5" w:rsidRPr="00C67AD0">
        <w:rPr>
          <w:rFonts w:ascii="Book Antiqua" w:hAnsi="Book Antiqua" w:cs="Times New Roman"/>
          <w:sz w:val="24"/>
          <w:szCs w:val="24"/>
          <w:lang w:val="en-GB"/>
        </w:rPr>
        <w:t xml:space="preserve">observed in </w:t>
      </w:r>
      <w:r w:rsidR="00493D0D" w:rsidRPr="00C67AD0">
        <w:rPr>
          <w:rFonts w:ascii="Book Antiqua" w:hAnsi="Book Antiqua" w:cs="Times New Roman"/>
          <w:i/>
          <w:iCs/>
          <w:sz w:val="24"/>
          <w:szCs w:val="24"/>
          <w:lang w:val="en-GB"/>
        </w:rPr>
        <w:t>in vitro</w:t>
      </w:r>
      <w:r w:rsidR="00493D0D" w:rsidRPr="00C67AD0">
        <w:rPr>
          <w:rFonts w:ascii="Book Antiqua" w:hAnsi="Book Antiqua" w:cs="Times New Roman"/>
          <w:sz w:val="24"/>
          <w:szCs w:val="24"/>
          <w:lang w:val="en-GB"/>
        </w:rPr>
        <w:t xml:space="preserve"> model. </w:t>
      </w:r>
      <w:bookmarkStart w:id="19" w:name="_Hlk50634761"/>
      <w:r w:rsidR="00493D0D" w:rsidRPr="00C67AD0">
        <w:rPr>
          <w:rFonts w:ascii="Book Antiqua" w:hAnsi="Book Antiqua" w:cs="Times New Roman"/>
          <w:sz w:val="24"/>
          <w:szCs w:val="24"/>
          <w:lang w:val="en-GB"/>
        </w:rPr>
        <w:t>Specifically,</w:t>
      </w:r>
      <w:r w:rsidR="001C11E5" w:rsidRPr="00C67AD0">
        <w:rPr>
          <w:rFonts w:ascii="Book Antiqua" w:hAnsi="Book Antiqua" w:cs="Times New Roman"/>
          <w:sz w:val="24"/>
          <w:szCs w:val="24"/>
          <w:lang w:val="en-GB"/>
        </w:rPr>
        <w:t xml:space="preserve"> </w:t>
      </w:r>
      <w:r w:rsidR="00493D0D" w:rsidRPr="00C67AD0">
        <w:rPr>
          <w:rFonts w:ascii="Book Antiqua" w:hAnsi="Book Antiqua" w:cs="Times New Roman"/>
          <w:sz w:val="24"/>
          <w:szCs w:val="24"/>
          <w:lang w:val="en-GB"/>
        </w:rPr>
        <w:t>i</w:t>
      </w:r>
      <w:r w:rsidR="0074600D" w:rsidRPr="00C67AD0">
        <w:rPr>
          <w:rFonts w:ascii="Book Antiqua" w:hAnsi="Book Antiqua" w:cs="Times New Roman"/>
          <w:sz w:val="24"/>
          <w:szCs w:val="24"/>
          <w:lang w:val="en-GB"/>
        </w:rPr>
        <w:t xml:space="preserve">n </w:t>
      </w:r>
      <w:r w:rsidR="004E04CB" w:rsidRPr="00C67AD0">
        <w:rPr>
          <w:rFonts w:ascii="Book Antiqua" w:hAnsi="Book Antiqua" w:cs="Times New Roman"/>
          <w:sz w:val="24"/>
          <w:szCs w:val="24"/>
          <w:lang w:val="en-GB"/>
        </w:rPr>
        <w:t>a</w:t>
      </w:r>
      <w:r w:rsidR="001C11E5" w:rsidRPr="00C67AD0">
        <w:rPr>
          <w:rFonts w:ascii="Book Antiqua" w:hAnsi="Book Antiqua" w:cs="Times New Roman"/>
          <w:sz w:val="24"/>
          <w:szCs w:val="24"/>
          <w:lang w:val="en-GB"/>
        </w:rPr>
        <w:t xml:space="preserve"> model of </w:t>
      </w:r>
      <w:proofErr w:type="spellStart"/>
      <w:r w:rsidR="001C11E5" w:rsidRPr="00C67AD0">
        <w:rPr>
          <w:rFonts w:ascii="Book Antiqua" w:hAnsi="Book Antiqua" w:cs="Times New Roman"/>
          <w:sz w:val="24"/>
          <w:szCs w:val="24"/>
          <w:lang w:val="en-GB"/>
        </w:rPr>
        <w:t>cerulein</w:t>
      </w:r>
      <w:proofErr w:type="spellEnd"/>
      <w:r w:rsidR="001C11E5" w:rsidRPr="00C67AD0">
        <w:rPr>
          <w:rFonts w:ascii="Book Antiqua" w:hAnsi="Book Antiqua" w:cs="Times New Roman"/>
          <w:sz w:val="24"/>
          <w:szCs w:val="24"/>
          <w:lang w:val="en-GB"/>
        </w:rPr>
        <w:t>-induced inflammation</w:t>
      </w:r>
      <w:r w:rsidR="00861C82" w:rsidRPr="00C67AD0">
        <w:rPr>
          <w:rFonts w:ascii="Book Antiqua" w:hAnsi="Book Antiqua" w:cs="Times New Roman"/>
          <w:sz w:val="24"/>
          <w:szCs w:val="24"/>
          <w:lang w:val="en-GB"/>
        </w:rPr>
        <w:t xml:space="preserve"> in the acinar cells</w:t>
      </w:r>
      <w:r w:rsidR="00493D0D" w:rsidRPr="00C67AD0">
        <w:rPr>
          <w:rFonts w:ascii="Book Antiqua" w:hAnsi="Book Antiqua" w:cs="Times New Roman"/>
          <w:sz w:val="24"/>
          <w:szCs w:val="24"/>
          <w:lang w:val="en-GB"/>
        </w:rPr>
        <w:t xml:space="preserve"> using cultured AR42J cells</w:t>
      </w:r>
      <w:r w:rsidR="001C11E5" w:rsidRPr="00C67AD0">
        <w:rPr>
          <w:rFonts w:ascii="Book Antiqua" w:hAnsi="Book Antiqua" w:cs="Times New Roman"/>
          <w:sz w:val="24"/>
          <w:szCs w:val="24"/>
          <w:lang w:val="en-GB"/>
        </w:rPr>
        <w:t>, PEG35 attenuate</w:t>
      </w:r>
      <w:r w:rsidR="0074600D" w:rsidRPr="00C67AD0">
        <w:rPr>
          <w:rFonts w:ascii="Book Antiqua" w:hAnsi="Book Antiqua" w:cs="Times New Roman"/>
          <w:sz w:val="24"/>
          <w:szCs w:val="24"/>
          <w:lang w:val="en-GB"/>
        </w:rPr>
        <w:t>d</w:t>
      </w:r>
      <w:r w:rsidR="001C11E5" w:rsidRPr="00C67AD0">
        <w:rPr>
          <w:rFonts w:ascii="Book Antiqua" w:hAnsi="Book Antiqua" w:cs="Times New Roman"/>
          <w:sz w:val="24"/>
          <w:szCs w:val="24"/>
          <w:lang w:val="en-GB"/>
        </w:rPr>
        <w:t xml:space="preserve"> the gene expression of </w:t>
      </w:r>
      <w:r w:rsidR="0074600D" w:rsidRPr="00C67AD0">
        <w:rPr>
          <w:rFonts w:ascii="Book Antiqua" w:hAnsi="Book Antiqua" w:cs="Times New Roman"/>
          <w:sz w:val="24"/>
          <w:szCs w:val="24"/>
          <w:lang w:val="en-GB"/>
        </w:rPr>
        <w:t xml:space="preserve">the </w:t>
      </w:r>
      <w:r w:rsidR="001C11E5" w:rsidRPr="00C67AD0">
        <w:rPr>
          <w:rFonts w:ascii="Book Antiqua" w:hAnsi="Book Antiqua" w:cs="Times New Roman"/>
          <w:sz w:val="24"/>
          <w:szCs w:val="24"/>
          <w:lang w:val="en-GB"/>
        </w:rPr>
        <w:t>pro-inflammatory IL1β and TNFα in a dose-dependent manner</w:t>
      </w:r>
      <w:r w:rsidR="00861C82" w:rsidRPr="00C67AD0">
        <w:rPr>
          <w:rFonts w:ascii="Book Antiqua" w:hAnsi="Book Antiqua" w:cs="Times New Roman"/>
          <w:sz w:val="24"/>
          <w:szCs w:val="24"/>
          <w:lang w:val="en-GB"/>
        </w:rPr>
        <w:t xml:space="preserve"> (Figure 3A)</w:t>
      </w:r>
      <w:r w:rsidR="001C11E5" w:rsidRPr="00C67AD0">
        <w:rPr>
          <w:rFonts w:ascii="Book Antiqua" w:hAnsi="Book Antiqua" w:cs="Times New Roman"/>
          <w:sz w:val="24"/>
          <w:szCs w:val="24"/>
          <w:lang w:val="en-GB"/>
        </w:rPr>
        <w:t>.</w:t>
      </w:r>
      <w:r w:rsidR="007C3CE1" w:rsidRPr="00C67AD0">
        <w:rPr>
          <w:rFonts w:ascii="Book Antiqua" w:hAnsi="Book Antiqua" w:cs="Times New Roman"/>
          <w:sz w:val="24"/>
          <w:szCs w:val="24"/>
          <w:lang w:val="en-GB"/>
        </w:rPr>
        <w:t xml:space="preserve"> </w:t>
      </w:r>
      <w:bookmarkEnd w:id="19"/>
      <w:r w:rsidR="007C3CE1" w:rsidRPr="00C67AD0">
        <w:rPr>
          <w:rFonts w:ascii="Book Antiqua" w:hAnsi="Book Antiqua" w:cs="Times New Roman"/>
          <w:sz w:val="24"/>
          <w:szCs w:val="24"/>
          <w:lang w:val="en-GB"/>
        </w:rPr>
        <w:t xml:space="preserve">Additionally, </w:t>
      </w:r>
      <w:r w:rsidR="00861C82" w:rsidRPr="00C67AD0">
        <w:rPr>
          <w:rFonts w:ascii="Book Antiqua" w:hAnsi="Book Antiqua" w:cs="Times New Roman"/>
          <w:sz w:val="24"/>
          <w:szCs w:val="24"/>
          <w:lang w:val="en-GB"/>
        </w:rPr>
        <w:t xml:space="preserve">TNFα-treated cells induced the production of </w:t>
      </w:r>
      <w:proofErr w:type="spellStart"/>
      <w:r w:rsidR="00BE6894" w:rsidRPr="00C67AD0">
        <w:rPr>
          <w:rFonts w:ascii="Book Antiqua" w:hAnsi="Book Antiqua" w:cs="Times New Roman"/>
          <w:sz w:val="24"/>
          <w:szCs w:val="24"/>
          <w:lang w:val="en-GB"/>
        </w:rPr>
        <w:t>iNOS</w:t>
      </w:r>
      <w:proofErr w:type="spellEnd"/>
      <w:r w:rsidR="00BE6894" w:rsidRPr="00C67AD0">
        <w:rPr>
          <w:rFonts w:ascii="Book Antiqua" w:hAnsi="Book Antiqua" w:cs="Times New Roman"/>
          <w:sz w:val="24"/>
          <w:szCs w:val="24"/>
          <w:lang w:val="en-GB"/>
        </w:rPr>
        <w:t xml:space="preserve"> as well as of </w:t>
      </w:r>
      <w:r w:rsidR="00861C82" w:rsidRPr="00C67AD0">
        <w:rPr>
          <w:rFonts w:ascii="Book Antiqua" w:hAnsi="Book Antiqua" w:cs="Times New Roman"/>
          <w:sz w:val="24"/>
          <w:szCs w:val="24"/>
          <w:lang w:val="en-GB"/>
        </w:rPr>
        <w:t>TNFα itself</w:t>
      </w:r>
      <w:r w:rsidR="00BE6894" w:rsidRPr="00C67AD0">
        <w:rPr>
          <w:rFonts w:ascii="Book Antiqua" w:hAnsi="Book Antiqua" w:cs="Times New Roman"/>
          <w:sz w:val="24"/>
          <w:szCs w:val="24"/>
          <w:lang w:val="en-GB"/>
        </w:rPr>
        <w:t>,</w:t>
      </w:r>
      <w:r w:rsidR="00861C82" w:rsidRPr="00C67AD0">
        <w:rPr>
          <w:rFonts w:ascii="Book Antiqua" w:hAnsi="Book Antiqua" w:cs="Times New Roman"/>
          <w:sz w:val="24"/>
          <w:szCs w:val="24"/>
          <w:lang w:val="en-GB"/>
        </w:rPr>
        <w:t xml:space="preserve"> both </w:t>
      </w:r>
      <w:r w:rsidR="000A5C70" w:rsidRPr="00C67AD0">
        <w:rPr>
          <w:rFonts w:ascii="Book Antiqua" w:hAnsi="Book Antiqua" w:cs="Times New Roman"/>
          <w:sz w:val="24"/>
          <w:szCs w:val="24"/>
          <w:lang w:val="en-GB"/>
        </w:rPr>
        <w:t xml:space="preserve">of which </w:t>
      </w:r>
      <w:r w:rsidR="00861C82" w:rsidRPr="00C67AD0">
        <w:rPr>
          <w:rFonts w:ascii="Book Antiqua" w:hAnsi="Book Antiqua" w:cs="Times New Roman"/>
          <w:sz w:val="24"/>
          <w:szCs w:val="24"/>
          <w:lang w:val="en-GB"/>
        </w:rPr>
        <w:t>were markedly reduced after the treatment with increasing concentrations of PEG35</w:t>
      </w:r>
      <w:r w:rsidR="00000943" w:rsidRPr="00C67AD0">
        <w:rPr>
          <w:rFonts w:ascii="Book Antiqua" w:hAnsi="Book Antiqua" w:cs="Times New Roman"/>
          <w:sz w:val="24"/>
          <w:szCs w:val="24"/>
          <w:lang w:val="en-GB"/>
        </w:rPr>
        <w:t xml:space="preserve"> (Figure 3B)</w:t>
      </w:r>
      <w:r w:rsidR="00861C82" w:rsidRPr="00C67AD0">
        <w:rPr>
          <w:rFonts w:ascii="Book Antiqua" w:hAnsi="Book Antiqua" w:cs="Times New Roman"/>
          <w:sz w:val="24"/>
          <w:szCs w:val="24"/>
          <w:lang w:val="en-GB"/>
        </w:rPr>
        <w:t>.</w:t>
      </w:r>
    </w:p>
    <w:p w14:paraId="4264ACF7" w14:textId="77777777" w:rsidR="009C5B30" w:rsidRPr="00C67AD0" w:rsidRDefault="009C5B30" w:rsidP="00B8567E">
      <w:pPr>
        <w:spacing w:line="360" w:lineRule="auto"/>
        <w:contextualSpacing/>
        <w:jc w:val="both"/>
        <w:rPr>
          <w:rFonts w:ascii="Book Antiqua" w:hAnsi="Book Antiqua" w:cs="Times New Roman"/>
          <w:b/>
          <w:i/>
          <w:iCs/>
          <w:sz w:val="24"/>
          <w:szCs w:val="24"/>
          <w:lang w:val="en-GB"/>
        </w:rPr>
      </w:pPr>
    </w:p>
    <w:p w14:paraId="3B4B7532" w14:textId="61E19BA7" w:rsidR="00673E1A" w:rsidRPr="00C67AD0" w:rsidRDefault="00B3402B" w:rsidP="00B8567E">
      <w:pPr>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 xml:space="preserve">PEG35 </w:t>
      </w:r>
      <w:r w:rsidR="002820F5" w:rsidRPr="00C67AD0">
        <w:rPr>
          <w:rFonts w:ascii="Book Antiqua" w:hAnsi="Book Antiqua" w:cs="Times New Roman"/>
          <w:b/>
          <w:i/>
          <w:iCs/>
          <w:sz w:val="24"/>
          <w:szCs w:val="24"/>
          <w:lang w:val="en-GB"/>
        </w:rPr>
        <w:t xml:space="preserve">lessened </w:t>
      </w:r>
      <w:r w:rsidR="001A27A8" w:rsidRPr="00C67AD0">
        <w:rPr>
          <w:rFonts w:ascii="Book Antiqua" w:hAnsi="Book Antiqua" w:cs="Times New Roman"/>
          <w:b/>
          <w:i/>
          <w:iCs/>
          <w:sz w:val="24"/>
          <w:szCs w:val="24"/>
          <w:lang w:val="en-GB"/>
        </w:rPr>
        <w:t>inflammation</w:t>
      </w:r>
      <w:r w:rsidR="00025725" w:rsidRPr="00C67AD0">
        <w:rPr>
          <w:rFonts w:ascii="Book Antiqua" w:hAnsi="Book Antiqua" w:cs="Times New Roman"/>
          <w:b/>
          <w:i/>
          <w:iCs/>
          <w:sz w:val="24"/>
          <w:szCs w:val="24"/>
          <w:lang w:val="en-GB"/>
        </w:rPr>
        <w:t>-</w:t>
      </w:r>
      <w:r w:rsidR="001A27A8" w:rsidRPr="00C67AD0">
        <w:rPr>
          <w:rFonts w:ascii="Book Antiqua" w:hAnsi="Book Antiqua" w:cs="Times New Roman"/>
          <w:b/>
          <w:i/>
          <w:iCs/>
          <w:sz w:val="24"/>
          <w:szCs w:val="24"/>
          <w:lang w:val="en-GB"/>
        </w:rPr>
        <w:t>associated cell death</w:t>
      </w:r>
      <w:r w:rsidR="00915D7D" w:rsidRPr="00C67AD0">
        <w:rPr>
          <w:rFonts w:ascii="Book Antiqua" w:hAnsi="Book Antiqua" w:cs="Times New Roman"/>
          <w:b/>
          <w:i/>
          <w:iCs/>
          <w:sz w:val="24"/>
          <w:szCs w:val="24"/>
          <w:lang w:val="en-GB"/>
        </w:rPr>
        <w:t xml:space="preserve"> </w:t>
      </w:r>
      <w:r w:rsidR="00673578" w:rsidRPr="00C67AD0">
        <w:rPr>
          <w:rFonts w:ascii="Book Antiqua" w:hAnsi="Book Antiqua" w:cs="Times New Roman"/>
          <w:b/>
          <w:i/>
          <w:iCs/>
          <w:sz w:val="24"/>
          <w:szCs w:val="24"/>
          <w:lang w:val="en-GB"/>
        </w:rPr>
        <w:t xml:space="preserve">in </w:t>
      </w:r>
      <w:proofErr w:type="spellStart"/>
      <w:r w:rsidR="00DF6145" w:rsidRPr="00C67AD0">
        <w:rPr>
          <w:rFonts w:ascii="Book Antiqua" w:hAnsi="Book Antiqua" w:cs="Times New Roman"/>
          <w:b/>
          <w:i/>
          <w:iCs/>
          <w:sz w:val="24"/>
          <w:szCs w:val="24"/>
          <w:lang w:val="en-GB"/>
        </w:rPr>
        <w:t>cerulein</w:t>
      </w:r>
      <w:proofErr w:type="spellEnd"/>
      <w:r w:rsidR="00DF6145" w:rsidRPr="00C67AD0">
        <w:rPr>
          <w:rFonts w:ascii="Book Antiqua" w:hAnsi="Book Antiqua" w:cs="Times New Roman"/>
          <w:b/>
          <w:i/>
          <w:iCs/>
          <w:sz w:val="24"/>
          <w:szCs w:val="24"/>
          <w:lang w:val="en-GB"/>
        </w:rPr>
        <w:t xml:space="preserve">-induced AP </w:t>
      </w:r>
    </w:p>
    <w:p w14:paraId="2FF78797" w14:textId="6AB09676" w:rsidR="00D72C63" w:rsidRPr="00C67AD0" w:rsidRDefault="00000F75" w:rsidP="00B8567E">
      <w:pPr>
        <w:spacing w:line="360" w:lineRule="auto"/>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To </w:t>
      </w:r>
      <w:r w:rsidR="007C3CE1" w:rsidRPr="00C67AD0">
        <w:rPr>
          <w:rFonts w:ascii="Book Antiqua" w:hAnsi="Book Antiqua" w:cs="Times New Roman"/>
          <w:sz w:val="24"/>
          <w:szCs w:val="24"/>
          <w:lang w:val="en-GB"/>
        </w:rPr>
        <w:t>investigate</w:t>
      </w:r>
      <w:r w:rsidRPr="00C67AD0">
        <w:rPr>
          <w:rFonts w:ascii="Book Antiqua" w:hAnsi="Book Antiqua" w:cs="Times New Roman"/>
          <w:sz w:val="24"/>
          <w:szCs w:val="24"/>
          <w:lang w:val="en-GB"/>
        </w:rPr>
        <w:t xml:space="preserve"> the potential protective effects of PEG35 on the pancreas, cell death was determined through LDH release </w:t>
      </w:r>
      <w:r w:rsidR="00564B20" w:rsidRPr="00C67AD0">
        <w:rPr>
          <w:rFonts w:ascii="Book Antiqua" w:hAnsi="Book Antiqua" w:cs="Times New Roman"/>
          <w:sz w:val="24"/>
          <w:szCs w:val="24"/>
          <w:lang w:val="en-GB"/>
        </w:rPr>
        <w:t xml:space="preserve">and expression of </w:t>
      </w:r>
      <w:r w:rsidR="00A12C17" w:rsidRPr="00C67AD0">
        <w:rPr>
          <w:rFonts w:ascii="Book Antiqua" w:hAnsi="Book Antiqua" w:cs="Times New Roman"/>
          <w:sz w:val="24"/>
          <w:szCs w:val="24"/>
          <w:lang w:val="en-GB"/>
        </w:rPr>
        <w:t xml:space="preserve">the </w:t>
      </w:r>
      <w:r w:rsidR="00673578" w:rsidRPr="00C67AD0">
        <w:rPr>
          <w:rFonts w:ascii="Book Antiqua" w:hAnsi="Book Antiqua" w:cs="Times New Roman"/>
          <w:sz w:val="24"/>
          <w:szCs w:val="24"/>
          <w:lang w:val="en-GB"/>
        </w:rPr>
        <w:t xml:space="preserve">apoptosis-related </w:t>
      </w:r>
      <w:bookmarkStart w:id="20" w:name="_Hlk45015683"/>
      <w:r w:rsidR="008269D5" w:rsidRPr="00C67AD0">
        <w:rPr>
          <w:rFonts w:ascii="Book Antiqua" w:hAnsi="Book Antiqua" w:cs="Times New Roman"/>
          <w:sz w:val="24"/>
          <w:szCs w:val="24"/>
          <w:lang w:val="en-GB"/>
        </w:rPr>
        <w:t xml:space="preserve">proteins </w:t>
      </w:r>
      <w:r w:rsidR="00564B20" w:rsidRPr="00C67AD0">
        <w:rPr>
          <w:rFonts w:ascii="Book Antiqua" w:hAnsi="Book Antiqua" w:cs="Times New Roman"/>
          <w:sz w:val="24"/>
          <w:szCs w:val="24"/>
          <w:lang w:val="en-GB"/>
        </w:rPr>
        <w:t>BCL-2 and cleaved-caspase-3</w:t>
      </w:r>
      <w:r w:rsidR="008269D5" w:rsidRPr="00C67AD0">
        <w:rPr>
          <w:rFonts w:ascii="Book Antiqua" w:hAnsi="Book Antiqua" w:cs="Times New Roman"/>
          <w:sz w:val="24"/>
          <w:szCs w:val="24"/>
          <w:lang w:val="en-GB"/>
        </w:rPr>
        <w:t xml:space="preserve"> by Western blot</w:t>
      </w:r>
      <w:r w:rsidRPr="00C67AD0">
        <w:rPr>
          <w:rFonts w:ascii="Book Antiqua" w:hAnsi="Book Antiqua" w:cs="Times New Roman"/>
          <w:sz w:val="24"/>
          <w:szCs w:val="24"/>
          <w:lang w:val="en-GB"/>
        </w:rPr>
        <w:t xml:space="preserve">. </w:t>
      </w:r>
      <w:bookmarkEnd w:id="20"/>
      <w:r w:rsidR="00A12C17" w:rsidRPr="00C67AD0">
        <w:rPr>
          <w:rFonts w:ascii="Book Antiqua" w:hAnsi="Book Antiqua" w:cs="Times New Roman"/>
          <w:sz w:val="24"/>
          <w:szCs w:val="24"/>
          <w:lang w:val="en-GB"/>
        </w:rPr>
        <w:t>Indeed, a</w:t>
      </w:r>
      <w:r w:rsidRPr="00C67AD0">
        <w:rPr>
          <w:rFonts w:ascii="Book Antiqua" w:hAnsi="Book Antiqua" w:cs="Times New Roman"/>
          <w:sz w:val="24"/>
          <w:szCs w:val="24"/>
          <w:lang w:val="en-GB"/>
        </w:rPr>
        <w:t xml:space="preserve"> significant </w:t>
      </w:r>
      <w:r w:rsidR="00391124" w:rsidRPr="00C67AD0">
        <w:rPr>
          <w:rFonts w:ascii="Book Antiqua" w:hAnsi="Book Antiqua" w:cs="Times New Roman"/>
          <w:sz w:val="24"/>
          <w:szCs w:val="24"/>
          <w:lang w:val="en-GB"/>
        </w:rPr>
        <w:t xml:space="preserve">increment </w:t>
      </w:r>
      <w:r w:rsidRPr="00C67AD0">
        <w:rPr>
          <w:rFonts w:ascii="Book Antiqua" w:hAnsi="Book Antiqua" w:cs="Times New Roman"/>
          <w:sz w:val="24"/>
          <w:szCs w:val="24"/>
          <w:lang w:val="en-GB"/>
        </w:rPr>
        <w:t>in LDH activity in plasma occurred in</w:t>
      </w:r>
      <w:r w:rsidR="00014B56" w:rsidRPr="00C67AD0">
        <w:rPr>
          <w:rFonts w:ascii="Book Antiqua" w:hAnsi="Book Antiqua" w:cs="Times New Roman"/>
          <w:sz w:val="24"/>
          <w:szCs w:val="24"/>
          <w:lang w:val="en-GB"/>
        </w:rPr>
        <w:t xml:space="preserve"> </w:t>
      </w:r>
      <w:proofErr w:type="spellStart"/>
      <w:r w:rsidR="00917F95" w:rsidRPr="00C67AD0">
        <w:rPr>
          <w:rFonts w:ascii="Book Antiqua" w:hAnsi="Book Antiqua" w:cs="Times New Roman"/>
          <w:sz w:val="24"/>
          <w:szCs w:val="24"/>
          <w:lang w:val="en-GB"/>
        </w:rPr>
        <w:t>cerulein</w:t>
      </w:r>
      <w:proofErr w:type="spellEnd"/>
      <w:r w:rsidR="00917F95" w:rsidRPr="00C67AD0">
        <w:rPr>
          <w:rFonts w:ascii="Book Antiqua" w:hAnsi="Book Antiqua" w:cs="Times New Roman"/>
          <w:sz w:val="24"/>
          <w:szCs w:val="24"/>
          <w:lang w:val="en-GB"/>
        </w:rPr>
        <w:t xml:space="preserve"> </w:t>
      </w:r>
      <w:r w:rsidR="0009015F" w:rsidRPr="00C67AD0">
        <w:rPr>
          <w:rFonts w:ascii="Book Antiqua" w:hAnsi="Book Antiqua" w:cs="Times New Roman"/>
          <w:sz w:val="24"/>
          <w:szCs w:val="24"/>
          <w:lang w:val="en-GB"/>
        </w:rPr>
        <w:t>AP</w:t>
      </w:r>
      <w:r w:rsidRPr="00C67AD0">
        <w:rPr>
          <w:rFonts w:ascii="Book Antiqua" w:hAnsi="Book Antiqua" w:cs="Times New Roman"/>
          <w:sz w:val="24"/>
          <w:szCs w:val="24"/>
          <w:lang w:val="en-GB"/>
        </w:rPr>
        <w:t>-induced animals</w:t>
      </w:r>
      <w:r w:rsidR="00A12C17" w:rsidRPr="00C67AD0">
        <w:rPr>
          <w:rFonts w:ascii="Book Antiqua" w:hAnsi="Book Antiqua" w:cs="Times New Roman"/>
          <w:sz w:val="24"/>
          <w:szCs w:val="24"/>
          <w:lang w:val="en-GB"/>
        </w:rPr>
        <w:t xml:space="preserve"> (Figure 4A). Notably, rats that had PEG35 co-treatment had significantly reduced l</w:t>
      </w:r>
      <w:r w:rsidRPr="00C67AD0">
        <w:rPr>
          <w:rFonts w:ascii="Book Antiqua" w:hAnsi="Book Antiqua" w:cs="Times New Roman"/>
          <w:sz w:val="24"/>
          <w:szCs w:val="24"/>
          <w:lang w:val="en-GB"/>
        </w:rPr>
        <w:t xml:space="preserve">evels of </w:t>
      </w:r>
      <w:r w:rsidR="00A12C17" w:rsidRPr="00C67AD0">
        <w:rPr>
          <w:rFonts w:ascii="Book Antiqua" w:hAnsi="Book Antiqua" w:cs="Times New Roman"/>
          <w:sz w:val="24"/>
          <w:szCs w:val="24"/>
          <w:lang w:val="en-GB"/>
        </w:rPr>
        <w:t xml:space="preserve">the </w:t>
      </w:r>
      <w:r w:rsidR="001A49FE" w:rsidRPr="00C67AD0">
        <w:rPr>
          <w:rFonts w:ascii="Book Antiqua" w:hAnsi="Book Antiqua" w:cs="Times New Roman"/>
          <w:sz w:val="24"/>
          <w:szCs w:val="24"/>
          <w:lang w:val="en-GB"/>
        </w:rPr>
        <w:t xml:space="preserve">LDH </w:t>
      </w:r>
      <w:r w:rsidRPr="00C67AD0">
        <w:rPr>
          <w:rFonts w:ascii="Book Antiqua" w:hAnsi="Book Antiqua" w:cs="Times New Roman"/>
          <w:sz w:val="24"/>
          <w:szCs w:val="24"/>
          <w:lang w:val="en-GB"/>
        </w:rPr>
        <w:t>necrotic marker.</w:t>
      </w:r>
    </w:p>
    <w:p w14:paraId="196DB979" w14:textId="75E1D982" w:rsidR="007F6985" w:rsidRPr="00C67AD0" w:rsidRDefault="004C6170" w:rsidP="001830C7">
      <w:pPr>
        <w:spacing w:line="360" w:lineRule="auto"/>
        <w:ind w:firstLineChars="100" w:firstLine="240"/>
        <w:contextualSpacing/>
        <w:jc w:val="both"/>
        <w:rPr>
          <w:rFonts w:ascii="Book Antiqua" w:hAnsi="Book Antiqua" w:cs="Times New Roman"/>
          <w:sz w:val="24"/>
          <w:szCs w:val="24"/>
          <w:lang w:val="en-GB"/>
        </w:rPr>
      </w:pPr>
      <w:r w:rsidRPr="00C67AD0">
        <w:rPr>
          <w:rFonts w:ascii="Book Antiqua" w:hAnsi="Book Antiqua" w:cs="Times New Roman"/>
          <w:sz w:val="24"/>
          <w:szCs w:val="24"/>
          <w:lang w:val="en-GB"/>
        </w:rPr>
        <w:t xml:space="preserve">The </w:t>
      </w:r>
      <w:r w:rsidR="007F6985" w:rsidRPr="00C67AD0">
        <w:rPr>
          <w:rFonts w:ascii="Book Antiqua" w:hAnsi="Book Antiqua" w:cs="Times New Roman"/>
          <w:sz w:val="24"/>
          <w:szCs w:val="24"/>
          <w:lang w:val="en-GB"/>
        </w:rPr>
        <w:t xml:space="preserve">pancreatic levels of </w:t>
      </w:r>
      <w:r w:rsidR="00616E87" w:rsidRPr="00C67AD0">
        <w:rPr>
          <w:rFonts w:ascii="Book Antiqua" w:hAnsi="Book Antiqua" w:cs="Times New Roman"/>
          <w:sz w:val="24"/>
          <w:szCs w:val="24"/>
          <w:lang w:val="en-GB"/>
        </w:rPr>
        <w:t xml:space="preserve">cleaved </w:t>
      </w:r>
      <w:r w:rsidR="00DB0B94" w:rsidRPr="00C67AD0">
        <w:rPr>
          <w:rFonts w:ascii="Book Antiqua" w:hAnsi="Book Antiqua" w:cs="Times New Roman"/>
          <w:sz w:val="24"/>
          <w:szCs w:val="24"/>
          <w:lang w:val="en-GB"/>
        </w:rPr>
        <w:t xml:space="preserve">caspase-3 and </w:t>
      </w:r>
      <w:r w:rsidR="00564B20" w:rsidRPr="00C67AD0">
        <w:rPr>
          <w:rFonts w:ascii="Book Antiqua" w:hAnsi="Book Antiqua" w:cs="Times New Roman"/>
          <w:sz w:val="24"/>
          <w:szCs w:val="24"/>
          <w:lang w:val="en-GB"/>
        </w:rPr>
        <w:t xml:space="preserve">BCL-2 </w:t>
      </w:r>
      <w:r w:rsidR="00705CC5" w:rsidRPr="00C67AD0">
        <w:rPr>
          <w:rFonts w:ascii="Book Antiqua" w:hAnsi="Book Antiqua" w:cs="Times New Roman"/>
          <w:sz w:val="24"/>
          <w:szCs w:val="24"/>
          <w:lang w:val="en-GB"/>
        </w:rPr>
        <w:t xml:space="preserve">were </w:t>
      </w:r>
      <w:r w:rsidRPr="00C67AD0">
        <w:rPr>
          <w:rFonts w:ascii="Book Antiqua" w:hAnsi="Book Antiqua" w:cs="Times New Roman"/>
          <w:sz w:val="24"/>
          <w:szCs w:val="24"/>
          <w:lang w:val="en-GB"/>
        </w:rPr>
        <w:t xml:space="preserve">also </w:t>
      </w:r>
      <w:r w:rsidR="00705CC5" w:rsidRPr="00C67AD0">
        <w:rPr>
          <w:rFonts w:ascii="Book Antiqua" w:hAnsi="Book Antiqua" w:cs="Times New Roman"/>
          <w:sz w:val="24"/>
          <w:szCs w:val="24"/>
          <w:lang w:val="en-GB"/>
        </w:rPr>
        <w:t xml:space="preserve">markedly higher following </w:t>
      </w:r>
      <w:proofErr w:type="spellStart"/>
      <w:r w:rsidR="00705CC5" w:rsidRPr="00C67AD0">
        <w:rPr>
          <w:rFonts w:ascii="Book Antiqua" w:hAnsi="Book Antiqua" w:cs="Times New Roman"/>
          <w:sz w:val="24"/>
          <w:szCs w:val="24"/>
          <w:lang w:val="en-GB"/>
        </w:rPr>
        <w:t>cerulein</w:t>
      </w:r>
      <w:proofErr w:type="spellEnd"/>
      <w:r w:rsidR="00705CC5" w:rsidRPr="00C67AD0">
        <w:rPr>
          <w:rFonts w:ascii="Book Antiqua" w:hAnsi="Book Antiqua" w:cs="Times New Roman"/>
          <w:sz w:val="24"/>
          <w:szCs w:val="24"/>
          <w:lang w:val="en-GB"/>
        </w:rPr>
        <w:t xml:space="preserve">-induced AP </w:t>
      </w:r>
      <w:r w:rsidR="00945B74" w:rsidRPr="00C67AD0">
        <w:rPr>
          <w:rFonts w:ascii="Book Antiqua" w:hAnsi="Book Antiqua" w:cs="Times New Roman"/>
          <w:sz w:val="24"/>
          <w:szCs w:val="24"/>
          <w:lang w:val="en-GB"/>
        </w:rPr>
        <w:t xml:space="preserve">as </w:t>
      </w:r>
      <w:r w:rsidR="00705CC5" w:rsidRPr="00C67AD0">
        <w:rPr>
          <w:rFonts w:ascii="Book Antiqua" w:hAnsi="Book Antiqua" w:cs="Times New Roman"/>
          <w:sz w:val="24"/>
          <w:szCs w:val="24"/>
          <w:lang w:val="en-GB"/>
        </w:rPr>
        <w:t xml:space="preserve">compared </w:t>
      </w:r>
      <w:r w:rsidR="00945B74" w:rsidRPr="00C67AD0">
        <w:rPr>
          <w:rFonts w:ascii="Book Antiqua" w:hAnsi="Book Antiqua" w:cs="Times New Roman"/>
          <w:sz w:val="24"/>
          <w:szCs w:val="24"/>
          <w:lang w:val="en-GB"/>
        </w:rPr>
        <w:t xml:space="preserve">to </w:t>
      </w:r>
      <w:r w:rsidR="00705CC5" w:rsidRPr="00C67AD0">
        <w:rPr>
          <w:rFonts w:ascii="Book Antiqua" w:hAnsi="Book Antiqua" w:cs="Times New Roman"/>
          <w:sz w:val="24"/>
          <w:szCs w:val="24"/>
          <w:lang w:val="en-GB"/>
        </w:rPr>
        <w:t>the control group</w:t>
      </w:r>
      <w:r w:rsidR="002C01C7" w:rsidRPr="00C67AD0">
        <w:rPr>
          <w:rFonts w:ascii="Book Antiqua" w:hAnsi="Book Antiqua" w:cs="Times New Roman"/>
          <w:sz w:val="24"/>
          <w:szCs w:val="24"/>
          <w:lang w:val="en-GB"/>
        </w:rPr>
        <w:t>,</w:t>
      </w:r>
      <w:r w:rsidR="00705CC5" w:rsidRPr="00C67AD0">
        <w:rPr>
          <w:rFonts w:ascii="Book Antiqua" w:hAnsi="Book Antiqua" w:cs="Times New Roman"/>
          <w:sz w:val="24"/>
          <w:szCs w:val="24"/>
          <w:lang w:val="en-GB"/>
        </w:rPr>
        <w:t xml:space="preserve"> </w:t>
      </w:r>
      <w:r w:rsidR="00000943" w:rsidRPr="00C67AD0">
        <w:rPr>
          <w:rFonts w:ascii="Book Antiqua" w:hAnsi="Book Antiqua" w:cs="Times New Roman"/>
          <w:sz w:val="24"/>
          <w:szCs w:val="24"/>
          <w:lang w:val="en-GB"/>
        </w:rPr>
        <w:t>(Figure 4B and C)</w:t>
      </w:r>
      <w:r w:rsidR="006644B8" w:rsidRPr="00C67AD0">
        <w:rPr>
          <w:rFonts w:ascii="Book Antiqua" w:hAnsi="Book Antiqua" w:cs="Times New Roman"/>
          <w:sz w:val="24"/>
          <w:szCs w:val="24"/>
          <w:lang w:val="en-GB"/>
        </w:rPr>
        <w:t xml:space="preserve">. </w:t>
      </w:r>
      <w:r w:rsidR="007F6985" w:rsidRPr="00C67AD0">
        <w:rPr>
          <w:rFonts w:ascii="Book Antiqua" w:hAnsi="Book Antiqua" w:cs="Times New Roman"/>
          <w:sz w:val="24"/>
          <w:szCs w:val="24"/>
          <w:lang w:val="en-GB"/>
        </w:rPr>
        <w:t xml:space="preserve"> </w:t>
      </w:r>
      <w:r w:rsidR="00705CC5" w:rsidRPr="00C67AD0">
        <w:rPr>
          <w:rFonts w:ascii="Book Antiqua" w:hAnsi="Book Antiqua" w:cs="Times New Roman"/>
          <w:sz w:val="24"/>
          <w:szCs w:val="24"/>
          <w:lang w:val="en-GB"/>
        </w:rPr>
        <w:t xml:space="preserve">The administration of PEG35 promoted a further increase in the levels of anti-apoptotic BCL-2 as compared with </w:t>
      </w:r>
      <w:proofErr w:type="spellStart"/>
      <w:r w:rsidR="00705CC5" w:rsidRPr="00C67AD0">
        <w:rPr>
          <w:rFonts w:ascii="Book Antiqua" w:hAnsi="Book Antiqua" w:cs="Times New Roman"/>
          <w:sz w:val="24"/>
          <w:szCs w:val="24"/>
          <w:lang w:val="en-GB"/>
        </w:rPr>
        <w:t>cerulein</w:t>
      </w:r>
      <w:proofErr w:type="spellEnd"/>
      <w:r w:rsidR="00705CC5" w:rsidRPr="00C67AD0">
        <w:rPr>
          <w:rFonts w:ascii="Book Antiqua" w:hAnsi="Book Antiqua" w:cs="Times New Roman"/>
          <w:sz w:val="24"/>
          <w:szCs w:val="24"/>
          <w:lang w:val="en-GB"/>
        </w:rPr>
        <w:t xml:space="preserve"> </w:t>
      </w:r>
      <w:proofErr w:type="spellStart"/>
      <w:r w:rsidR="00705CC5" w:rsidRPr="00C67AD0">
        <w:rPr>
          <w:rFonts w:ascii="Book Antiqua" w:hAnsi="Book Antiqua" w:cs="Times New Roman"/>
          <w:sz w:val="24"/>
          <w:szCs w:val="24"/>
          <w:lang w:val="en-GB"/>
        </w:rPr>
        <w:t>hyperstimulated</w:t>
      </w:r>
      <w:proofErr w:type="spellEnd"/>
      <w:r w:rsidR="00705CC5" w:rsidRPr="00C67AD0">
        <w:rPr>
          <w:rFonts w:ascii="Book Antiqua" w:hAnsi="Book Antiqua" w:cs="Times New Roman"/>
          <w:sz w:val="24"/>
          <w:szCs w:val="24"/>
          <w:lang w:val="en-GB"/>
        </w:rPr>
        <w:t xml:space="preserve"> rats</w:t>
      </w:r>
      <w:r w:rsidR="00951B32" w:rsidRPr="00C67AD0">
        <w:rPr>
          <w:rFonts w:ascii="Book Antiqua" w:hAnsi="Book Antiqua" w:cs="Times New Roman"/>
          <w:sz w:val="24"/>
          <w:szCs w:val="24"/>
          <w:lang w:val="en-GB"/>
        </w:rPr>
        <w:t xml:space="preserve"> while the reduction in the pro-apoptotic cleaved caspase-3 was not statistically significant</w:t>
      </w:r>
      <w:r w:rsidR="00705CC5" w:rsidRPr="00C67AD0">
        <w:rPr>
          <w:rFonts w:ascii="Book Antiqua" w:hAnsi="Book Antiqua" w:cs="Times New Roman"/>
          <w:sz w:val="24"/>
          <w:szCs w:val="24"/>
          <w:lang w:val="en-GB"/>
        </w:rPr>
        <w:t>.</w:t>
      </w:r>
    </w:p>
    <w:p w14:paraId="611AE72F" w14:textId="77777777" w:rsidR="00DF6145" w:rsidRPr="00C67AD0" w:rsidRDefault="00DF6145" w:rsidP="00B8567E">
      <w:pPr>
        <w:spacing w:line="360" w:lineRule="auto"/>
        <w:contextualSpacing/>
        <w:jc w:val="both"/>
        <w:rPr>
          <w:rFonts w:ascii="Book Antiqua" w:hAnsi="Book Antiqua" w:cs="Times New Roman"/>
          <w:i/>
          <w:iCs/>
          <w:sz w:val="24"/>
          <w:szCs w:val="24"/>
          <w:lang w:val="en-GB"/>
        </w:rPr>
      </w:pPr>
    </w:p>
    <w:p w14:paraId="0A7E2E93" w14:textId="285A57DD" w:rsidR="00DF6145" w:rsidRPr="00C67AD0" w:rsidRDefault="00DF6145" w:rsidP="00B8567E">
      <w:pPr>
        <w:spacing w:line="360" w:lineRule="auto"/>
        <w:contextualSpacing/>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lastRenderedPageBreak/>
        <w:t>PEG35 reduced inflammation-associated cell death in models of pancreatic damage in vitro</w:t>
      </w:r>
    </w:p>
    <w:p w14:paraId="0D5F5AC0" w14:textId="1C263074" w:rsidR="000A5281" w:rsidRPr="00C67AD0" w:rsidRDefault="00CF6F3B" w:rsidP="00CF6F3B">
      <w:pPr>
        <w:spacing w:line="360" w:lineRule="auto"/>
        <w:contextualSpacing/>
        <w:jc w:val="both"/>
        <w:rPr>
          <w:rFonts w:ascii="Book Antiqua" w:hAnsi="Book Antiqua" w:cs="Times New Roman"/>
          <w:b/>
          <w:bCs/>
          <w:i/>
          <w:iCs/>
          <w:sz w:val="24"/>
          <w:szCs w:val="24"/>
          <w:lang w:val="en-GB"/>
        </w:rPr>
      </w:pPr>
      <w:r w:rsidRPr="00C67AD0">
        <w:rPr>
          <w:rFonts w:ascii="Book Antiqua" w:hAnsi="Book Antiqua" w:cs="Times New Roman"/>
          <w:sz w:val="24"/>
          <w:szCs w:val="24"/>
          <w:lang w:val="en-GB"/>
        </w:rPr>
        <w:t xml:space="preserve">The decreased LDH activity observed </w:t>
      </w:r>
      <w:r w:rsidRPr="00C67AD0">
        <w:rPr>
          <w:rFonts w:ascii="Book Antiqua" w:hAnsi="Book Antiqua" w:cs="Times New Roman"/>
          <w:i/>
          <w:iCs/>
          <w:sz w:val="24"/>
          <w:szCs w:val="24"/>
          <w:lang w:val="en-GB"/>
        </w:rPr>
        <w:t>in vivo</w:t>
      </w:r>
      <w:r w:rsidRPr="00C67AD0">
        <w:rPr>
          <w:rFonts w:ascii="Book Antiqua" w:hAnsi="Book Antiqua" w:cs="Times New Roman"/>
          <w:sz w:val="24"/>
          <w:szCs w:val="24"/>
          <w:lang w:val="en-GB"/>
        </w:rPr>
        <w:t xml:space="preserve"> in PEG35-treated animals led us to examine cell death in </w:t>
      </w:r>
      <w:r w:rsidRPr="00C67AD0">
        <w:rPr>
          <w:rFonts w:ascii="Book Antiqua" w:hAnsi="Book Antiqua" w:cs="Times New Roman"/>
          <w:i/>
          <w:iCs/>
          <w:sz w:val="24"/>
          <w:szCs w:val="24"/>
          <w:lang w:val="en-GB"/>
        </w:rPr>
        <w:t>in vitro</w:t>
      </w:r>
      <w:r w:rsidRPr="00C67AD0">
        <w:rPr>
          <w:rFonts w:ascii="Book Antiqua" w:hAnsi="Book Antiqua" w:cs="Times New Roman"/>
          <w:sz w:val="24"/>
          <w:szCs w:val="24"/>
          <w:lang w:val="en-GB"/>
        </w:rPr>
        <w:t xml:space="preserve"> models of inflammation. </w:t>
      </w:r>
      <w:r w:rsidR="00CF5743" w:rsidRPr="00C67AD0">
        <w:rPr>
          <w:rFonts w:ascii="Book Antiqua" w:hAnsi="Book Antiqua" w:cs="Times New Roman"/>
          <w:sz w:val="24"/>
          <w:szCs w:val="24"/>
          <w:lang w:val="en-GB"/>
        </w:rPr>
        <w:t xml:space="preserve">AR42J cells are </w:t>
      </w:r>
      <w:r w:rsidR="00B11393" w:rsidRPr="00C67AD0">
        <w:rPr>
          <w:rFonts w:ascii="Book Antiqua" w:hAnsi="Book Antiqua" w:cs="Times New Roman"/>
          <w:sz w:val="24"/>
          <w:szCs w:val="24"/>
          <w:lang w:val="en-GB"/>
        </w:rPr>
        <w:t xml:space="preserve">a </w:t>
      </w:r>
      <w:r w:rsidR="00CF5743" w:rsidRPr="00C67AD0">
        <w:rPr>
          <w:rFonts w:ascii="Book Antiqua" w:hAnsi="Book Antiqua" w:cs="Times New Roman"/>
          <w:sz w:val="24"/>
          <w:szCs w:val="24"/>
          <w:lang w:val="en-GB"/>
        </w:rPr>
        <w:t xml:space="preserve">well-established cell model for studying intracellular mechanisms involved in the cell death and inflammatory responses of </w:t>
      </w:r>
      <w:r w:rsidR="00AB05E5" w:rsidRPr="00C67AD0">
        <w:rPr>
          <w:rFonts w:ascii="Book Antiqua" w:hAnsi="Book Antiqua" w:cs="Times New Roman"/>
          <w:sz w:val="24"/>
          <w:szCs w:val="24"/>
          <w:lang w:val="en-GB"/>
        </w:rPr>
        <w:t>acute pancreatitis</w:t>
      </w:r>
      <w:r w:rsidR="00CF5743" w:rsidRPr="00C67AD0">
        <w:rPr>
          <w:rFonts w:ascii="Book Antiqua" w:hAnsi="Book Antiqua" w:cs="Times New Roman"/>
          <w:sz w:val="24"/>
          <w:szCs w:val="24"/>
          <w:lang w:val="en-GB"/>
        </w:rPr>
        <w:t xml:space="preserve">. </w:t>
      </w:r>
      <w:r w:rsidR="00C71F9F" w:rsidRPr="00C67AD0">
        <w:rPr>
          <w:rFonts w:ascii="Book Antiqua" w:hAnsi="Book Antiqua" w:cs="Times New Roman"/>
          <w:sz w:val="24"/>
          <w:szCs w:val="24"/>
          <w:lang w:val="en-GB"/>
        </w:rPr>
        <w:t xml:space="preserve">We therefore analysed whether </w:t>
      </w:r>
      <w:r w:rsidR="006A5209" w:rsidRPr="00C67AD0">
        <w:rPr>
          <w:rFonts w:ascii="Book Antiqua" w:hAnsi="Book Antiqua" w:cs="Times New Roman"/>
          <w:sz w:val="24"/>
          <w:szCs w:val="24"/>
          <w:lang w:val="en-GB"/>
        </w:rPr>
        <w:t xml:space="preserve">PEG35 </w:t>
      </w:r>
      <w:r w:rsidR="00C71F9F" w:rsidRPr="00C67AD0">
        <w:rPr>
          <w:rFonts w:ascii="Book Antiqua" w:hAnsi="Book Antiqua" w:cs="Times New Roman"/>
          <w:sz w:val="24"/>
          <w:szCs w:val="24"/>
          <w:lang w:val="en-GB"/>
        </w:rPr>
        <w:t xml:space="preserve">affected </w:t>
      </w:r>
      <w:r w:rsidR="00A00D3F" w:rsidRPr="00C67AD0">
        <w:rPr>
          <w:rFonts w:ascii="Book Antiqua" w:hAnsi="Book Antiqua" w:cs="Times New Roman"/>
          <w:sz w:val="24"/>
          <w:szCs w:val="24"/>
          <w:lang w:val="en-GB"/>
        </w:rPr>
        <w:t>the release of LDH</w:t>
      </w:r>
      <w:r w:rsidR="006A5209" w:rsidRPr="00C67AD0">
        <w:rPr>
          <w:rFonts w:ascii="Book Antiqua" w:hAnsi="Book Antiqua" w:cs="Times New Roman"/>
          <w:sz w:val="24"/>
          <w:szCs w:val="24"/>
          <w:lang w:val="en-GB"/>
        </w:rPr>
        <w:t xml:space="preserve"> </w:t>
      </w:r>
      <w:r w:rsidR="00A00D3F" w:rsidRPr="00C67AD0">
        <w:rPr>
          <w:rFonts w:ascii="Book Antiqua" w:hAnsi="Book Antiqua" w:cs="Times New Roman"/>
          <w:sz w:val="24"/>
          <w:szCs w:val="24"/>
          <w:lang w:val="en-GB"/>
        </w:rPr>
        <w:t xml:space="preserve">in </w:t>
      </w:r>
      <w:r w:rsidR="006A5209" w:rsidRPr="00C67AD0">
        <w:rPr>
          <w:rFonts w:ascii="Book Antiqua" w:hAnsi="Book Antiqua" w:cs="Times New Roman"/>
          <w:sz w:val="24"/>
          <w:szCs w:val="24"/>
          <w:lang w:val="en-GB"/>
        </w:rPr>
        <w:t xml:space="preserve">AR42J cells in the presence of </w:t>
      </w:r>
      <w:r w:rsidR="007F6985" w:rsidRPr="00C67AD0">
        <w:rPr>
          <w:rFonts w:ascii="Book Antiqua" w:hAnsi="Book Antiqua" w:cs="Times New Roman"/>
          <w:sz w:val="24"/>
          <w:szCs w:val="24"/>
          <w:lang w:val="en-GB"/>
        </w:rPr>
        <w:t xml:space="preserve">the </w:t>
      </w:r>
      <w:r w:rsidR="006A5209" w:rsidRPr="00C67AD0">
        <w:rPr>
          <w:rFonts w:ascii="Book Antiqua" w:hAnsi="Book Antiqua" w:cs="Times New Roman"/>
          <w:sz w:val="24"/>
          <w:szCs w:val="24"/>
          <w:lang w:val="en-GB"/>
        </w:rPr>
        <w:t xml:space="preserve">pro-inflammatory </w:t>
      </w:r>
      <w:r w:rsidR="007F6985" w:rsidRPr="00C67AD0">
        <w:rPr>
          <w:rFonts w:ascii="Book Antiqua" w:hAnsi="Book Antiqua" w:cs="Times New Roman"/>
          <w:sz w:val="24"/>
          <w:szCs w:val="24"/>
          <w:lang w:val="en-GB"/>
        </w:rPr>
        <w:t xml:space="preserve">stimulus </w:t>
      </w:r>
      <w:proofErr w:type="spellStart"/>
      <w:r w:rsidR="00FD0151" w:rsidRPr="00C67AD0">
        <w:rPr>
          <w:rFonts w:ascii="Book Antiqua" w:hAnsi="Book Antiqua" w:cs="Times New Roman"/>
          <w:sz w:val="24"/>
          <w:szCs w:val="24"/>
          <w:lang w:val="en-GB"/>
        </w:rPr>
        <w:t>cerulein</w:t>
      </w:r>
      <w:proofErr w:type="spellEnd"/>
      <w:r w:rsidR="00FD0151" w:rsidRPr="00C67AD0">
        <w:rPr>
          <w:rFonts w:ascii="Book Antiqua" w:hAnsi="Book Antiqua" w:cs="Times New Roman"/>
          <w:sz w:val="24"/>
          <w:szCs w:val="24"/>
          <w:lang w:val="en-GB"/>
        </w:rPr>
        <w:t xml:space="preserve"> </w:t>
      </w:r>
      <w:r w:rsidR="002E4094" w:rsidRPr="00C67AD0">
        <w:rPr>
          <w:rFonts w:ascii="Book Antiqua" w:hAnsi="Book Antiqua" w:cs="Times New Roman"/>
          <w:sz w:val="24"/>
          <w:szCs w:val="24"/>
          <w:lang w:val="en-GB"/>
        </w:rPr>
        <w:t xml:space="preserve">or </w:t>
      </w:r>
      <w:r w:rsidR="006A5209" w:rsidRPr="00C67AD0">
        <w:rPr>
          <w:rFonts w:ascii="Book Antiqua" w:hAnsi="Book Antiqua" w:cs="Times New Roman"/>
          <w:sz w:val="24"/>
          <w:szCs w:val="24"/>
          <w:lang w:val="en-GB"/>
        </w:rPr>
        <w:t>TNFα</w:t>
      </w:r>
      <w:r w:rsidR="001A27A8" w:rsidRPr="00C67AD0">
        <w:rPr>
          <w:rFonts w:ascii="Book Antiqua" w:hAnsi="Book Antiqua" w:cs="Times New Roman"/>
          <w:sz w:val="24"/>
          <w:szCs w:val="24"/>
          <w:lang w:val="en-GB"/>
        </w:rPr>
        <w:t xml:space="preserve"> (Figure </w:t>
      </w:r>
      <w:r w:rsidR="00000943" w:rsidRPr="00C67AD0">
        <w:rPr>
          <w:rFonts w:ascii="Book Antiqua" w:hAnsi="Book Antiqua" w:cs="Times New Roman"/>
          <w:sz w:val="24"/>
          <w:szCs w:val="24"/>
          <w:lang w:val="en-GB"/>
        </w:rPr>
        <w:t>4D</w:t>
      </w:r>
      <w:r w:rsidR="001A27A8" w:rsidRPr="00C67AD0">
        <w:rPr>
          <w:rFonts w:ascii="Book Antiqua" w:hAnsi="Book Antiqua" w:cs="Times New Roman"/>
          <w:sz w:val="24"/>
          <w:szCs w:val="24"/>
          <w:lang w:val="en-GB"/>
        </w:rPr>
        <w:t>)</w:t>
      </w:r>
      <w:r w:rsidR="006A5209" w:rsidRPr="00C67AD0">
        <w:rPr>
          <w:rFonts w:ascii="Book Antiqua" w:hAnsi="Book Antiqua" w:cs="Times New Roman"/>
          <w:sz w:val="24"/>
          <w:szCs w:val="24"/>
          <w:lang w:val="en-GB"/>
        </w:rPr>
        <w:t xml:space="preserve">. </w:t>
      </w:r>
      <w:r w:rsidR="009A4234" w:rsidRPr="00C67AD0">
        <w:rPr>
          <w:rFonts w:ascii="Book Antiqua" w:hAnsi="Book Antiqua" w:cs="Times New Roman"/>
          <w:sz w:val="24"/>
          <w:szCs w:val="24"/>
          <w:lang w:val="en-GB"/>
        </w:rPr>
        <w:t>Indeed</w:t>
      </w:r>
      <w:r w:rsidR="007A5152"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both </w:t>
      </w:r>
      <w:proofErr w:type="spellStart"/>
      <w:r w:rsidRPr="00C67AD0">
        <w:rPr>
          <w:rFonts w:ascii="Book Antiqua" w:hAnsi="Book Antiqua" w:cs="Times New Roman"/>
          <w:sz w:val="24"/>
          <w:szCs w:val="24"/>
          <w:lang w:val="en-GB"/>
        </w:rPr>
        <w:t>cerulein</w:t>
      </w:r>
      <w:proofErr w:type="spellEnd"/>
      <w:r w:rsidRPr="00C67AD0">
        <w:rPr>
          <w:rFonts w:ascii="Book Antiqua" w:hAnsi="Book Antiqua" w:cs="Times New Roman"/>
          <w:sz w:val="24"/>
          <w:szCs w:val="24"/>
          <w:lang w:val="en-GB"/>
        </w:rPr>
        <w:t xml:space="preserve"> and </w:t>
      </w:r>
      <w:r w:rsidR="00DE1F52" w:rsidRPr="00C67AD0">
        <w:rPr>
          <w:rFonts w:ascii="Book Antiqua" w:hAnsi="Book Antiqua" w:cs="Times New Roman"/>
          <w:sz w:val="24"/>
          <w:szCs w:val="24"/>
          <w:lang w:val="en-GB"/>
        </w:rPr>
        <w:t>TNF</w:t>
      </w:r>
      <w:r w:rsidR="001A27A8" w:rsidRPr="00C67AD0">
        <w:rPr>
          <w:rFonts w:ascii="Book Antiqua" w:hAnsi="Book Antiqua" w:cs="Times New Roman"/>
          <w:sz w:val="24"/>
          <w:szCs w:val="24"/>
          <w:lang w:val="en-GB"/>
        </w:rPr>
        <w:t>α</w:t>
      </w:r>
      <w:r w:rsidR="00DE1F52" w:rsidRPr="00C67AD0">
        <w:rPr>
          <w:rFonts w:ascii="Book Antiqua" w:hAnsi="Book Antiqua" w:cs="Times New Roman"/>
          <w:sz w:val="24"/>
          <w:szCs w:val="24"/>
          <w:lang w:val="en-GB"/>
        </w:rPr>
        <w:t xml:space="preserve">-induced </w:t>
      </w:r>
      <w:r w:rsidR="001A27A8" w:rsidRPr="00C67AD0">
        <w:rPr>
          <w:rFonts w:ascii="Book Antiqua" w:hAnsi="Book Antiqua" w:cs="Times New Roman"/>
          <w:sz w:val="24"/>
          <w:szCs w:val="24"/>
          <w:lang w:val="en-GB"/>
        </w:rPr>
        <w:t>cell death</w:t>
      </w:r>
      <w:r w:rsidR="00DE1F52"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t xml:space="preserve">were significantly </w:t>
      </w:r>
      <w:r w:rsidR="001A27A8" w:rsidRPr="00C67AD0">
        <w:rPr>
          <w:rFonts w:ascii="Book Antiqua" w:hAnsi="Book Antiqua" w:cs="Times New Roman"/>
          <w:sz w:val="24"/>
          <w:szCs w:val="24"/>
          <w:lang w:val="en-GB"/>
        </w:rPr>
        <w:t xml:space="preserve">reduced by PEG35 in </w:t>
      </w:r>
      <w:r w:rsidR="00B73AEF" w:rsidRPr="00C67AD0">
        <w:rPr>
          <w:rFonts w:ascii="Book Antiqua" w:hAnsi="Book Antiqua" w:cs="Times New Roman"/>
          <w:sz w:val="24"/>
          <w:szCs w:val="24"/>
          <w:lang w:val="en-GB"/>
        </w:rPr>
        <w:t xml:space="preserve">a </w:t>
      </w:r>
      <w:r w:rsidR="001A27A8" w:rsidRPr="00C67AD0">
        <w:rPr>
          <w:rFonts w:ascii="Book Antiqua" w:hAnsi="Book Antiqua" w:cs="Times New Roman"/>
          <w:sz w:val="24"/>
          <w:szCs w:val="24"/>
          <w:lang w:val="en-GB"/>
        </w:rPr>
        <w:t xml:space="preserve">dose-dependent manner. </w:t>
      </w:r>
      <w:r w:rsidR="0003040D" w:rsidRPr="00C67AD0">
        <w:rPr>
          <w:rFonts w:ascii="Book Antiqua" w:hAnsi="Book Antiqua" w:cs="Times New Roman"/>
          <w:sz w:val="24"/>
          <w:szCs w:val="24"/>
          <w:lang w:val="en-GB"/>
        </w:rPr>
        <w:t>Likewise</w:t>
      </w:r>
      <w:r w:rsidR="00B73AEF" w:rsidRPr="00C67AD0">
        <w:rPr>
          <w:rFonts w:ascii="Book Antiqua" w:hAnsi="Book Antiqua" w:cs="Times New Roman"/>
          <w:sz w:val="24"/>
          <w:szCs w:val="24"/>
          <w:lang w:val="en-GB"/>
        </w:rPr>
        <w:t xml:space="preserve">, </w:t>
      </w:r>
      <w:r w:rsidR="00095AD6" w:rsidRPr="00C67AD0">
        <w:rPr>
          <w:rFonts w:ascii="Book Antiqua" w:hAnsi="Book Antiqua" w:cs="Times New Roman"/>
          <w:sz w:val="24"/>
          <w:szCs w:val="24"/>
          <w:lang w:val="en-GB"/>
        </w:rPr>
        <w:t>PEG35</w:t>
      </w:r>
      <w:r w:rsidR="00B73AEF" w:rsidRPr="00C67AD0">
        <w:rPr>
          <w:rFonts w:ascii="Book Antiqua" w:hAnsi="Book Antiqua" w:cs="Times New Roman"/>
          <w:sz w:val="24"/>
          <w:szCs w:val="24"/>
          <w:lang w:val="en-GB"/>
        </w:rPr>
        <w:t xml:space="preserve"> markedly </w:t>
      </w:r>
      <w:r w:rsidR="00D25086" w:rsidRPr="00C67AD0">
        <w:rPr>
          <w:rFonts w:ascii="Book Antiqua" w:hAnsi="Book Antiqua" w:cs="Times New Roman"/>
          <w:sz w:val="24"/>
          <w:szCs w:val="24"/>
          <w:lang w:val="en-GB"/>
        </w:rPr>
        <w:t xml:space="preserve">prevented </w:t>
      </w:r>
      <w:proofErr w:type="spellStart"/>
      <w:r w:rsidR="009A4234" w:rsidRPr="00C67AD0">
        <w:rPr>
          <w:rFonts w:ascii="Book Antiqua" w:hAnsi="Book Antiqua" w:cs="Times New Roman"/>
          <w:sz w:val="24"/>
          <w:szCs w:val="24"/>
          <w:lang w:val="en-GB"/>
        </w:rPr>
        <w:t>staurosporine</w:t>
      </w:r>
      <w:proofErr w:type="spellEnd"/>
      <w:r w:rsidR="009A4234" w:rsidRPr="00C67AD0">
        <w:rPr>
          <w:rFonts w:ascii="Book Antiqua" w:hAnsi="Book Antiqua" w:cs="Times New Roman"/>
          <w:sz w:val="24"/>
          <w:szCs w:val="24"/>
          <w:lang w:val="en-GB"/>
        </w:rPr>
        <w:t xml:space="preserve">-induced </w:t>
      </w:r>
      <w:r w:rsidR="00D25086" w:rsidRPr="00C67AD0">
        <w:rPr>
          <w:rFonts w:ascii="Book Antiqua" w:hAnsi="Book Antiqua" w:cs="Times New Roman"/>
          <w:sz w:val="24"/>
          <w:szCs w:val="24"/>
          <w:lang w:val="en-GB"/>
        </w:rPr>
        <w:t xml:space="preserve">AR42J </w:t>
      </w:r>
      <w:r w:rsidR="00FB2DD2" w:rsidRPr="00C67AD0">
        <w:rPr>
          <w:rFonts w:ascii="Book Antiqua" w:hAnsi="Book Antiqua" w:cs="Times New Roman"/>
          <w:sz w:val="24"/>
          <w:szCs w:val="24"/>
          <w:lang w:val="en-GB"/>
        </w:rPr>
        <w:t xml:space="preserve">apoptotic </w:t>
      </w:r>
      <w:r w:rsidR="00D25086" w:rsidRPr="00C67AD0">
        <w:rPr>
          <w:rFonts w:ascii="Book Antiqua" w:hAnsi="Book Antiqua" w:cs="Times New Roman"/>
          <w:sz w:val="24"/>
          <w:szCs w:val="24"/>
          <w:lang w:val="en-GB"/>
        </w:rPr>
        <w:t>cell</w:t>
      </w:r>
      <w:r w:rsidR="00095AD6" w:rsidRPr="00C67AD0">
        <w:rPr>
          <w:rFonts w:ascii="Book Antiqua" w:hAnsi="Book Antiqua" w:cs="Times New Roman"/>
          <w:sz w:val="24"/>
          <w:szCs w:val="24"/>
          <w:lang w:val="en-GB"/>
        </w:rPr>
        <w:t xml:space="preserve"> death </w:t>
      </w:r>
      <w:r w:rsidR="009A4234" w:rsidRPr="00C67AD0">
        <w:rPr>
          <w:rFonts w:ascii="Book Antiqua" w:hAnsi="Book Antiqua" w:cs="Times New Roman"/>
          <w:sz w:val="24"/>
          <w:szCs w:val="24"/>
          <w:lang w:val="en-GB"/>
        </w:rPr>
        <w:t>in a</w:t>
      </w:r>
      <w:r w:rsidR="00095AD6" w:rsidRPr="00C67AD0">
        <w:rPr>
          <w:rFonts w:ascii="Book Antiqua" w:hAnsi="Book Antiqua" w:cs="Times New Roman"/>
          <w:sz w:val="24"/>
          <w:szCs w:val="24"/>
          <w:lang w:val="en-GB"/>
        </w:rPr>
        <w:t xml:space="preserve"> </w:t>
      </w:r>
      <w:r w:rsidR="006644B8" w:rsidRPr="00C67AD0">
        <w:rPr>
          <w:rFonts w:ascii="Book Antiqua" w:hAnsi="Book Antiqua" w:cs="Times New Roman"/>
          <w:sz w:val="24"/>
          <w:szCs w:val="24"/>
          <w:lang w:val="en-GB"/>
        </w:rPr>
        <w:t>dose-dependent</w:t>
      </w:r>
      <w:r w:rsidR="009A4234" w:rsidRPr="00C67AD0">
        <w:rPr>
          <w:rFonts w:ascii="Book Antiqua" w:hAnsi="Book Antiqua" w:cs="Times New Roman"/>
          <w:sz w:val="24"/>
          <w:szCs w:val="24"/>
          <w:lang w:val="en-GB"/>
        </w:rPr>
        <w:t xml:space="preserve"> manner</w:t>
      </w:r>
      <w:r w:rsidR="00000943" w:rsidRPr="00C67AD0">
        <w:rPr>
          <w:rFonts w:ascii="Book Antiqua" w:hAnsi="Book Antiqua" w:cs="Times New Roman"/>
          <w:sz w:val="24"/>
          <w:szCs w:val="24"/>
          <w:lang w:val="en-GB"/>
        </w:rPr>
        <w:t xml:space="preserve"> (Figure 4E)</w:t>
      </w:r>
      <w:r w:rsidR="003132E8" w:rsidRPr="00C67AD0">
        <w:rPr>
          <w:rFonts w:ascii="Book Antiqua" w:hAnsi="Book Antiqua" w:cs="Times New Roman"/>
          <w:sz w:val="24"/>
          <w:szCs w:val="24"/>
          <w:lang w:val="en-GB"/>
        </w:rPr>
        <w:t>.</w:t>
      </w:r>
      <w:r w:rsidR="00095AD6" w:rsidRPr="00C67AD0">
        <w:rPr>
          <w:rFonts w:ascii="Book Antiqua" w:hAnsi="Book Antiqua" w:cs="Times New Roman"/>
          <w:sz w:val="24"/>
          <w:szCs w:val="24"/>
          <w:lang w:val="en-GB"/>
        </w:rPr>
        <w:t xml:space="preserve"> </w:t>
      </w:r>
      <w:r w:rsidR="001A27A8" w:rsidRPr="00C67AD0">
        <w:rPr>
          <w:rFonts w:ascii="Book Antiqua" w:hAnsi="Book Antiqua" w:cs="Times New Roman"/>
          <w:sz w:val="24"/>
          <w:szCs w:val="24"/>
          <w:lang w:val="en-GB"/>
        </w:rPr>
        <w:t xml:space="preserve">These results suggest that PEG35 exerts a protective role against </w:t>
      </w:r>
      <w:r w:rsidR="00AA177D" w:rsidRPr="00C67AD0">
        <w:rPr>
          <w:rFonts w:ascii="Book Antiqua" w:hAnsi="Book Antiqua" w:cs="Times New Roman"/>
          <w:sz w:val="24"/>
          <w:szCs w:val="24"/>
          <w:lang w:val="en-GB"/>
        </w:rPr>
        <w:t>inflammation-induced cell death</w:t>
      </w:r>
      <w:r w:rsidR="007F6985" w:rsidRPr="00C67AD0">
        <w:rPr>
          <w:rFonts w:ascii="Book Antiqua" w:hAnsi="Book Antiqua" w:cs="Times New Roman"/>
          <w:sz w:val="24"/>
          <w:szCs w:val="24"/>
          <w:lang w:val="en-GB"/>
        </w:rPr>
        <w:t xml:space="preserve"> </w:t>
      </w:r>
      <w:r w:rsidR="007F6985" w:rsidRPr="00C67AD0">
        <w:rPr>
          <w:rFonts w:ascii="Book Antiqua" w:hAnsi="Book Antiqua" w:cs="Times New Roman"/>
          <w:i/>
          <w:iCs/>
          <w:sz w:val="24"/>
          <w:szCs w:val="24"/>
          <w:lang w:val="en-GB"/>
        </w:rPr>
        <w:t>in vitro</w:t>
      </w:r>
      <w:r w:rsidR="007F6985" w:rsidRPr="00C67AD0">
        <w:rPr>
          <w:rFonts w:ascii="Book Antiqua" w:hAnsi="Book Antiqua" w:cs="Times New Roman"/>
          <w:sz w:val="24"/>
          <w:szCs w:val="24"/>
          <w:lang w:val="en-GB"/>
        </w:rPr>
        <w:t xml:space="preserve"> and </w:t>
      </w:r>
      <w:r w:rsidR="007F6985" w:rsidRPr="00C67AD0">
        <w:rPr>
          <w:rFonts w:ascii="Book Antiqua" w:hAnsi="Book Antiqua" w:cs="Times New Roman"/>
          <w:i/>
          <w:iCs/>
          <w:sz w:val="24"/>
          <w:szCs w:val="24"/>
          <w:lang w:val="en-GB"/>
        </w:rPr>
        <w:t>in vivo</w:t>
      </w:r>
      <w:r w:rsidR="00AA177D" w:rsidRPr="00C67AD0">
        <w:rPr>
          <w:rFonts w:ascii="Book Antiqua" w:hAnsi="Book Antiqua" w:cs="Times New Roman"/>
          <w:i/>
          <w:iCs/>
          <w:sz w:val="24"/>
          <w:szCs w:val="24"/>
          <w:lang w:val="en-GB"/>
        </w:rPr>
        <w:t xml:space="preserve">. </w:t>
      </w:r>
    </w:p>
    <w:p w14:paraId="443B5546" w14:textId="77777777" w:rsidR="009C5B30" w:rsidRPr="00C67AD0" w:rsidRDefault="009C5B30" w:rsidP="00B8567E">
      <w:pPr>
        <w:spacing w:line="360" w:lineRule="auto"/>
        <w:contextualSpacing/>
        <w:jc w:val="both"/>
        <w:rPr>
          <w:rFonts w:ascii="Book Antiqua" w:hAnsi="Book Antiqua" w:cs="Times New Roman"/>
          <w:b/>
          <w:sz w:val="24"/>
          <w:szCs w:val="24"/>
          <w:lang w:val="en-GB"/>
        </w:rPr>
      </w:pPr>
    </w:p>
    <w:p w14:paraId="3F1ADAE2" w14:textId="02279993" w:rsidR="00D4794F" w:rsidRPr="00C67AD0" w:rsidRDefault="00D4794F" w:rsidP="00B8567E">
      <w:pPr>
        <w:spacing w:line="360" w:lineRule="auto"/>
        <w:contextualSpacing/>
        <w:jc w:val="both"/>
        <w:rPr>
          <w:rFonts w:ascii="Book Antiqua" w:hAnsi="Book Antiqua" w:cs="Times New Roman"/>
          <w:b/>
          <w:sz w:val="24"/>
          <w:szCs w:val="24"/>
          <w:u w:val="single"/>
          <w:lang w:val="en-GB"/>
        </w:rPr>
      </w:pPr>
      <w:r w:rsidRPr="00C67AD0">
        <w:rPr>
          <w:rFonts w:ascii="Book Antiqua" w:hAnsi="Book Antiqua" w:cs="Times New Roman"/>
          <w:b/>
          <w:sz w:val="24"/>
          <w:szCs w:val="24"/>
          <w:u w:val="single"/>
          <w:lang w:val="en-GB"/>
        </w:rPr>
        <w:t>DISCUSSION</w:t>
      </w:r>
    </w:p>
    <w:p w14:paraId="23B52789" w14:textId="22F4E137" w:rsidR="007377D7" w:rsidRPr="00C67AD0" w:rsidRDefault="00F042FD" w:rsidP="001D0CAF">
      <w:pPr>
        <w:spacing w:line="360" w:lineRule="auto"/>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Acute pancreatitis (AP) is an inflammatory disease that can have a mild to severe course. </w:t>
      </w:r>
      <w:r w:rsidR="00CA10E0" w:rsidRPr="00C67AD0">
        <w:rPr>
          <w:rFonts w:ascii="Book Antiqua" w:hAnsi="Book Antiqua" w:cs="Times New Roman"/>
          <w:bCs/>
          <w:sz w:val="24"/>
          <w:szCs w:val="24"/>
          <w:lang w:val="en-GB"/>
        </w:rPr>
        <w:t xml:space="preserve">We have recently </w:t>
      </w:r>
      <w:r w:rsidR="00057B07" w:rsidRPr="00C67AD0">
        <w:rPr>
          <w:rFonts w:ascii="Book Antiqua" w:hAnsi="Book Antiqua" w:cs="Times New Roman"/>
          <w:bCs/>
          <w:sz w:val="24"/>
          <w:szCs w:val="24"/>
          <w:lang w:val="en-GB"/>
        </w:rPr>
        <w:t>reported</w:t>
      </w:r>
      <w:r w:rsidR="00CA10E0" w:rsidRPr="00C67AD0">
        <w:rPr>
          <w:rFonts w:ascii="Book Antiqua" w:hAnsi="Book Antiqua" w:cs="Times New Roman"/>
          <w:bCs/>
          <w:sz w:val="24"/>
          <w:szCs w:val="24"/>
          <w:lang w:val="en-GB"/>
        </w:rPr>
        <w:t xml:space="preserve"> an anti-inflammatory </w:t>
      </w:r>
      <w:r w:rsidR="005B58D6" w:rsidRPr="00C67AD0">
        <w:rPr>
          <w:rFonts w:ascii="Book Antiqua" w:hAnsi="Book Antiqua" w:cs="Times New Roman"/>
          <w:bCs/>
          <w:sz w:val="24"/>
          <w:szCs w:val="24"/>
          <w:lang w:val="en-GB"/>
        </w:rPr>
        <w:t xml:space="preserve">role </w:t>
      </w:r>
      <w:r w:rsidR="002E1775" w:rsidRPr="00C67AD0">
        <w:rPr>
          <w:rFonts w:ascii="Book Antiqua" w:hAnsi="Book Antiqua" w:cs="Times New Roman"/>
          <w:bCs/>
          <w:sz w:val="24"/>
          <w:szCs w:val="24"/>
          <w:lang w:val="en-GB"/>
        </w:rPr>
        <w:t>for</w:t>
      </w:r>
      <w:r w:rsidR="005B58D6" w:rsidRPr="00C67AD0">
        <w:rPr>
          <w:rFonts w:ascii="Book Antiqua" w:hAnsi="Book Antiqua" w:cs="Times New Roman"/>
          <w:bCs/>
          <w:sz w:val="24"/>
          <w:szCs w:val="24"/>
          <w:lang w:val="en-GB"/>
        </w:rPr>
        <w:t xml:space="preserve"> PEG35 </w:t>
      </w:r>
      <w:r w:rsidR="00D56742" w:rsidRPr="00C67AD0">
        <w:rPr>
          <w:rFonts w:ascii="Book Antiqua" w:hAnsi="Book Antiqua" w:cs="Times New Roman"/>
          <w:bCs/>
          <w:sz w:val="24"/>
          <w:szCs w:val="24"/>
          <w:lang w:val="en-GB"/>
        </w:rPr>
        <w:t xml:space="preserve">in a severe necrotizing AP experimental model. </w:t>
      </w:r>
      <w:r w:rsidR="00CA10E0" w:rsidRPr="00C67AD0">
        <w:rPr>
          <w:rFonts w:ascii="Book Antiqua" w:hAnsi="Book Antiqua" w:cs="Times New Roman"/>
          <w:bCs/>
          <w:sz w:val="24"/>
          <w:szCs w:val="24"/>
          <w:lang w:val="en-GB"/>
        </w:rPr>
        <w:t xml:space="preserve">To further </w:t>
      </w:r>
      <w:r w:rsidR="00D56742" w:rsidRPr="00C67AD0">
        <w:rPr>
          <w:rFonts w:ascii="Book Antiqua" w:hAnsi="Book Antiqua" w:cs="Times New Roman"/>
          <w:bCs/>
          <w:sz w:val="24"/>
          <w:szCs w:val="24"/>
          <w:lang w:val="en-GB"/>
        </w:rPr>
        <w:t>investigate</w:t>
      </w:r>
      <w:r w:rsidR="00E87113" w:rsidRPr="00C67AD0">
        <w:rPr>
          <w:rFonts w:ascii="Book Antiqua" w:hAnsi="Book Antiqua" w:cs="Times New Roman"/>
          <w:bCs/>
          <w:sz w:val="24"/>
          <w:szCs w:val="24"/>
          <w:lang w:val="en-GB"/>
        </w:rPr>
        <w:t xml:space="preserve"> the effect of this polymer in a milder form of the disease, we used a model of </w:t>
      </w:r>
      <w:proofErr w:type="spellStart"/>
      <w:r w:rsidR="001D0CAF" w:rsidRPr="00C67AD0">
        <w:rPr>
          <w:rFonts w:ascii="Book Antiqua" w:hAnsi="Book Antiqua" w:cs="Times New Roman"/>
          <w:bCs/>
          <w:sz w:val="24"/>
          <w:szCs w:val="24"/>
          <w:lang w:val="en-GB"/>
        </w:rPr>
        <w:t>cerulein</w:t>
      </w:r>
      <w:proofErr w:type="spellEnd"/>
      <w:r w:rsidR="001D0CAF" w:rsidRPr="00C67AD0">
        <w:rPr>
          <w:rFonts w:ascii="Book Antiqua" w:hAnsi="Book Antiqua" w:cs="Times New Roman"/>
          <w:bCs/>
          <w:sz w:val="24"/>
          <w:szCs w:val="24"/>
          <w:lang w:val="en-GB"/>
        </w:rPr>
        <w:t xml:space="preserve">-induced </w:t>
      </w:r>
      <w:r w:rsidR="000242B4" w:rsidRPr="00C67AD0">
        <w:rPr>
          <w:rFonts w:ascii="Book Antiqua" w:hAnsi="Book Antiqua" w:cs="Times New Roman"/>
          <w:bCs/>
          <w:sz w:val="24"/>
          <w:szCs w:val="24"/>
          <w:lang w:val="en-GB"/>
        </w:rPr>
        <w:t xml:space="preserve">mild </w:t>
      </w:r>
      <w:proofErr w:type="spellStart"/>
      <w:r w:rsidR="000242B4" w:rsidRPr="00C67AD0">
        <w:rPr>
          <w:rFonts w:ascii="Book Antiqua" w:hAnsi="Book Antiqua" w:cs="Times New Roman"/>
          <w:bCs/>
          <w:sz w:val="24"/>
          <w:szCs w:val="24"/>
          <w:lang w:val="en-GB"/>
        </w:rPr>
        <w:t>edematous</w:t>
      </w:r>
      <w:proofErr w:type="spellEnd"/>
      <w:r w:rsidR="000242B4" w:rsidRPr="00C67AD0">
        <w:rPr>
          <w:rFonts w:ascii="Book Antiqua" w:hAnsi="Book Antiqua" w:cs="Times New Roman"/>
          <w:bCs/>
          <w:sz w:val="24"/>
          <w:szCs w:val="24"/>
          <w:lang w:val="en-GB"/>
        </w:rPr>
        <w:t xml:space="preserve"> pancreatitis </w:t>
      </w:r>
      <w:r w:rsidR="002F62EF" w:rsidRPr="00C67AD0">
        <w:rPr>
          <w:rFonts w:ascii="Book Antiqua" w:hAnsi="Book Antiqua" w:cs="Times New Roman"/>
          <w:bCs/>
          <w:sz w:val="24"/>
          <w:szCs w:val="24"/>
          <w:lang w:val="en-GB"/>
        </w:rPr>
        <w:t xml:space="preserve">that is </w:t>
      </w:r>
      <w:r w:rsidR="007377D7" w:rsidRPr="00C67AD0">
        <w:rPr>
          <w:rFonts w:ascii="Book Antiqua" w:hAnsi="Book Antiqua" w:cs="Times New Roman"/>
          <w:bCs/>
          <w:sz w:val="24"/>
          <w:szCs w:val="24"/>
          <w:lang w:val="en-GB"/>
        </w:rPr>
        <w:t xml:space="preserve">mainly </w:t>
      </w:r>
      <w:r w:rsidR="000242B4" w:rsidRPr="00C67AD0">
        <w:rPr>
          <w:rFonts w:ascii="Book Antiqua" w:hAnsi="Book Antiqua" w:cs="Times New Roman"/>
          <w:bCs/>
          <w:sz w:val="24"/>
          <w:szCs w:val="24"/>
          <w:lang w:val="en-GB"/>
        </w:rPr>
        <w:t>characterized by</w:t>
      </w:r>
      <w:r w:rsidR="001D0CAF" w:rsidRPr="00C67AD0">
        <w:rPr>
          <w:rFonts w:ascii="Book Antiqua" w:hAnsi="Book Antiqua" w:cs="Times New Roman"/>
          <w:bCs/>
          <w:sz w:val="24"/>
          <w:szCs w:val="24"/>
          <w:lang w:val="en-GB"/>
        </w:rPr>
        <w:t xml:space="preserve"> a dysregulation of the production and secretion of digestive enzymes, </w:t>
      </w:r>
      <w:r w:rsidR="000242B4" w:rsidRPr="00C67AD0">
        <w:rPr>
          <w:rFonts w:ascii="Book Antiqua" w:hAnsi="Book Antiqua" w:cs="Times New Roman"/>
          <w:bCs/>
          <w:sz w:val="24"/>
          <w:szCs w:val="24"/>
          <w:lang w:val="en-GB"/>
        </w:rPr>
        <w:t xml:space="preserve">interstitial </w:t>
      </w:r>
      <w:proofErr w:type="spellStart"/>
      <w:r w:rsidR="000242B4" w:rsidRPr="00C67AD0">
        <w:rPr>
          <w:rFonts w:ascii="Book Antiqua" w:hAnsi="Book Antiqua" w:cs="Times New Roman"/>
          <w:bCs/>
          <w:sz w:val="24"/>
          <w:szCs w:val="24"/>
          <w:lang w:val="en-GB"/>
        </w:rPr>
        <w:t>edema</w:t>
      </w:r>
      <w:proofErr w:type="spellEnd"/>
      <w:r w:rsidR="001D0CAF" w:rsidRPr="00C67AD0">
        <w:rPr>
          <w:rFonts w:ascii="Book Antiqua" w:hAnsi="Book Antiqua" w:cs="Times New Roman"/>
          <w:bCs/>
          <w:sz w:val="24"/>
          <w:szCs w:val="24"/>
          <w:lang w:val="en-GB"/>
        </w:rPr>
        <w:t xml:space="preserve"> formation</w:t>
      </w:r>
      <w:r w:rsidR="007377D7" w:rsidRPr="00C67AD0">
        <w:rPr>
          <w:rFonts w:ascii="Book Antiqua" w:hAnsi="Book Antiqua" w:cs="Times New Roman"/>
          <w:bCs/>
          <w:sz w:val="24"/>
          <w:szCs w:val="24"/>
          <w:lang w:val="en-GB"/>
        </w:rPr>
        <w:t xml:space="preserve">, </w:t>
      </w:r>
      <w:r w:rsidR="000242B4" w:rsidRPr="00C67AD0">
        <w:rPr>
          <w:rFonts w:ascii="Book Antiqua" w:hAnsi="Book Antiqua" w:cs="Times New Roman"/>
          <w:bCs/>
          <w:sz w:val="24"/>
          <w:szCs w:val="24"/>
          <w:lang w:val="en-GB"/>
        </w:rPr>
        <w:t>infiltration of neutrophil and mononuclear cells</w:t>
      </w:r>
      <w:r w:rsidR="007377D7" w:rsidRPr="00C67AD0">
        <w:rPr>
          <w:rFonts w:ascii="Book Antiqua" w:hAnsi="Book Antiqua" w:cs="Times New Roman"/>
          <w:bCs/>
          <w:sz w:val="24"/>
          <w:szCs w:val="24"/>
          <w:lang w:val="en-GB"/>
        </w:rPr>
        <w:t xml:space="preserve"> within the pancreas</w:t>
      </w:r>
      <w:r w:rsidR="008D28E6" w:rsidRPr="00C67AD0">
        <w:rPr>
          <w:rFonts w:ascii="Book Antiqua" w:hAnsi="Book Antiqua" w:cs="Times New Roman"/>
          <w:bCs/>
          <w:sz w:val="24"/>
          <w:szCs w:val="24"/>
          <w:lang w:val="en-GB"/>
        </w:rPr>
        <w:t xml:space="preserve">, </w:t>
      </w:r>
      <w:r w:rsidR="00C62D68" w:rsidRPr="00C67AD0">
        <w:rPr>
          <w:rFonts w:ascii="Book Antiqua" w:hAnsi="Book Antiqua" w:cs="Times New Roman"/>
          <w:bCs/>
          <w:sz w:val="24"/>
          <w:szCs w:val="24"/>
          <w:lang w:val="en-GB"/>
        </w:rPr>
        <w:t>cytoplasmic</w:t>
      </w:r>
      <w:r w:rsidR="001E3BAF" w:rsidRPr="00C67AD0">
        <w:rPr>
          <w:rFonts w:ascii="Book Antiqua" w:hAnsi="Book Antiqua" w:cs="Times New Roman"/>
          <w:bCs/>
          <w:sz w:val="24"/>
          <w:szCs w:val="24"/>
          <w:lang w:val="en-GB"/>
        </w:rPr>
        <w:t xml:space="preserve"> </w:t>
      </w:r>
      <w:r w:rsidR="007377D7" w:rsidRPr="00C67AD0">
        <w:rPr>
          <w:rFonts w:ascii="Book Antiqua" w:hAnsi="Book Antiqua" w:cs="Times New Roman"/>
          <w:bCs/>
          <w:sz w:val="24"/>
          <w:szCs w:val="24"/>
          <w:lang w:val="en-GB"/>
        </w:rPr>
        <w:t>vacuolization</w:t>
      </w:r>
      <w:r w:rsidR="001D0CAF" w:rsidRPr="00C67AD0">
        <w:rPr>
          <w:rFonts w:ascii="Book Antiqua" w:hAnsi="Book Antiqua" w:cs="Times New Roman"/>
          <w:bCs/>
          <w:sz w:val="24"/>
          <w:szCs w:val="24"/>
          <w:lang w:val="en-GB"/>
        </w:rPr>
        <w:t xml:space="preserve"> and </w:t>
      </w:r>
      <w:r w:rsidR="001E3BAF" w:rsidRPr="00C67AD0">
        <w:rPr>
          <w:rFonts w:ascii="Book Antiqua" w:hAnsi="Book Antiqua" w:cs="Times New Roman"/>
          <w:bCs/>
          <w:sz w:val="24"/>
          <w:szCs w:val="24"/>
          <w:lang w:val="en-GB"/>
        </w:rPr>
        <w:t>the death of acinar cells</w:t>
      </w:r>
      <w:r w:rsidR="006652A0" w:rsidRPr="00C67AD0">
        <w:rPr>
          <w:rFonts w:ascii="Book Antiqua" w:hAnsi="Book Antiqua" w:cs="Times New Roman"/>
          <w:bCs/>
          <w:sz w:val="24"/>
          <w:szCs w:val="24"/>
          <w:lang w:val="en-GB"/>
        </w:rPr>
        <w:fldChar w:fldCharType="begin" w:fldLock="1"/>
      </w:r>
      <w:r w:rsidR="009A5DD0" w:rsidRPr="00C67AD0">
        <w:rPr>
          <w:rFonts w:ascii="Book Antiqua" w:hAnsi="Book Antiqua" w:cs="Times New Roman"/>
          <w:bCs/>
          <w:sz w:val="24"/>
          <w:szCs w:val="24"/>
          <w:lang w:val="en-GB"/>
        </w:rPr>
        <w:instrText>ADDIN CSL_CITATION {"citationItems":[{"id":"ITEM-1","itemData":{"DOI":"10.3748/wjg.v9.i3.584","ISBN":"1007-9327 (Print)\r1007-9327","PMID":"12632523","abstract":"AIM: To establish a non-traumatic, easy to induce and reproducible mouse model of severe acute pancreatitis (SAP) induced with caerulein and lipopolyasccharide (LPS). METHODS: Thirty-two healthy mature NIH female mice were selected and divided at random into four groups (each of 8 mice), i.e., the control group (NS group), the caerulein group (Cn group), the lipopolysaccharide group (LPS group), and the caerulein+LPS group (Cn+LPS group). Mice were injected intraperitoneally with caerulein only, or LPS only, and caerulein and LPS in combination. All the animals were then killed by neck dislocation three hours after the last intraperitoneal injection. The pancreas and exo-pancreatic organs were then carefully removed for microscopic examination. And the pancreatic acinus was further observed under transmission electron microscope (TEM). Pancreatic weight, serum amylase, serum nitric oxide (NO) concentration, superoxide dismutase (SOD) and malondialdehyde (MDA) concentration of the pancreas were assayed respectively. RESULTS: (1) NS animals displayed normal pancreatic structure both in the exocrine and endocrine. In the LPS group, the pancreas was slightly edematous, with the infiltration of a few inflammatory cells and the necrosis of the adjacent fat tissues. All the animals of the Cn group showed distinct signs of a mild edematous pancreatitis characterized by interstitial edema, infiltration of neutrophil and mononuclear cells, but without obvious parenchyma necrosis and hemorrhage. In contrast, the Cn+LPS group showed more diffuse focal areas of nonviable pancreatic and hemorrhage as well as systemic organ dysfunction. According to Schmidt's criteria, the pancreatic histologic score showed that there existed significant difference in the Cn+LPS group in the interstitial edema, inflammatory infiltration, parenchyma necrosis and parenchyma homorrhage in comparison with those of the Cn group, LPS group and NS group (P&lt;0.01 or P&lt;0.05). (2) The ultrasturcture of acinar cells was seriously damaged in the Cn+LPS group. Chromatin margination of nuclei was present, the number and volume of vacuoles greatly increased. Zymogen granules (ZGs) were greatly decreased in number and endoplasmic reticulum exhibited whorls. The swollen mitochondria appeared, the crista of which was decreased in number or disappeared. (3) Pancreatic weight and serum amylase levels in the Cn +LPS was significantly higher than those of the NS group and the LPS group respectively (P&lt;0.01 …","author":[{"dropping-particle":"","family":"Ding","given":"S P","non-dropping-particle":"","parse-names":false,"suffix":""},{"dropping-particle":"","family":"Li","given":"J C","non-dropping-particle":"","parse-names":false,"suffix":""},{"dropping-particle":"","family":"Jin","given":"C","non-dropping-particle":"","parse-names":false,"suffix":""}],"container-title":"World J Gastroenterol","edition":"2003/03/13","id":"ITEM-1","issue":"3","issued":{"date-parts":[["2003"]]},"language":"eng","note":"2219-2840\nDing, Shi-Ping\nLi, Ji-Cheng\nJin, Chang\nJournal Article\nWorld J Gastroenterol. 2003 Mar;9(3):584-9. doi: 10.3748/wjg.v9.i3.584.","page":"584-589","title":"A mouse model of severe acute pancreatitis induced with caerulein and lipopolysaccharide","type":"article-journal","volume":"9"},"uris":["http://www.mendeley.com/documents/?uuid=2128fa5d-3222-44f9-a885-3dd92e3c187a"]}],"mendeley":{"formattedCitation":"&lt;sup&gt;[17]&lt;/sup&gt;","plainTextFormattedCitation":"[17]","previouslyFormattedCitation":"&lt;sup&gt;[17]&lt;/sup&gt;"},"properties":{"noteIndex":0},"schema":"https://github.com/citation-style-language/schema/raw/master/csl-citation.json"}</w:instrText>
      </w:r>
      <w:r w:rsidR="006652A0" w:rsidRPr="00C67AD0">
        <w:rPr>
          <w:rFonts w:ascii="Book Antiqua" w:hAnsi="Book Antiqua" w:cs="Times New Roman"/>
          <w:bCs/>
          <w:sz w:val="24"/>
          <w:szCs w:val="24"/>
          <w:lang w:val="en-GB"/>
        </w:rPr>
        <w:fldChar w:fldCharType="separate"/>
      </w:r>
      <w:r w:rsidR="00FB4F41" w:rsidRPr="00C67AD0">
        <w:rPr>
          <w:rFonts w:ascii="Book Antiqua" w:hAnsi="Book Antiqua" w:cs="Times New Roman"/>
          <w:bCs/>
          <w:noProof/>
          <w:sz w:val="24"/>
          <w:szCs w:val="24"/>
          <w:vertAlign w:val="superscript"/>
          <w:lang w:val="en-GB"/>
        </w:rPr>
        <w:t>[17]</w:t>
      </w:r>
      <w:r w:rsidR="006652A0" w:rsidRPr="00C67AD0">
        <w:rPr>
          <w:rFonts w:ascii="Book Antiqua" w:hAnsi="Book Antiqua" w:cs="Times New Roman"/>
          <w:bCs/>
          <w:sz w:val="24"/>
          <w:szCs w:val="24"/>
          <w:lang w:val="en-GB"/>
        </w:rPr>
        <w:fldChar w:fldCharType="end"/>
      </w:r>
      <w:r w:rsidR="000242B4" w:rsidRPr="00C67AD0">
        <w:rPr>
          <w:rFonts w:ascii="Book Antiqua" w:hAnsi="Book Antiqua" w:cs="Times New Roman"/>
          <w:bCs/>
          <w:sz w:val="24"/>
          <w:szCs w:val="24"/>
          <w:lang w:val="en-GB"/>
        </w:rPr>
        <w:t>.</w:t>
      </w:r>
      <w:r w:rsidR="007377D7" w:rsidRPr="00C67AD0">
        <w:rPr>
          <w:rFonts w:ascii="Book Antiqua" w:hAnsi="Book Antiqua" w:cs="Times New Roman"/>
          <w:bCs/>
          <w:sz w:val="24"/>
          <w:szCs w:val="24"/>
          <w:lang w:val="en-GB"/>
        </w:rPr>
        <w:t xml:space="preserve"> </w:t>
      </w:r>
      <w:r w:rsidR="008D28E6" w:rsidRPr="00C67AD0">
        <w:rPr>
          <w:rFonts w:ascii="Book Antiqua" w:hAnsi="Book Antiqua" w:cs="Times New Roman"/>
          <w:bCs/>
          <w:sz w:val="24"/>
          <w:szCs w:val="24"/>
          <w:lang w:val="en-GB"/>
        </w:rPr>
        <w:t>We determined</w:t>
      </w:r>
      <w:r w:rsidR="007377D7" w:rsidRPr="00C67AD0">
        <w:rPr>
          <w:rFonts w:ascii="Book Antiqua" w:hAnsi="Book Antiqua" w:cs="Times New Roman"/>
          <w:bCs/>
          <w:sz w:val="24"/>
          <w:szCs w:val="24"/>
          <w:lang w:val="en-GB"/>
        </w:rPr>
        <w:t xml:space="preserve"> that PEG35 reduced the course of </w:t>
      </w:r>
      <w:proofErr w:type="spellStart"/>
      <w:r w:rsidR="00666C2E" w:rsidRPr="00C67AD0">
        <w:rPr>
          <w:rFonts w:ascii="Book Antiqua" w:hAnsi="Book Antiqua" w:cs="Times New Roman"/>
          <w:bCs/>
          <w:sz w:val="24"/>
          <w:szCs w:val="24"/>
          <w:lang w:val="en-GB"/>
        </w:rPr>
        <w:t>cerulein</w:t>
      </w:r>
      <w:proofErr w:type="spellEnd"/>
      <w:r w:rsidR="00666C2E" w:rsidRPr="00C67AD0">
        <w:rPr>
          <w:rFonts w:ascii="Book Antiqua" w:hAnsi="Book Antiqua" w:cs="Times New Roman"/>
          <w:bCs/>
          <w:sz w:val="24"/>
          <w:szCs w:val="24"/>
          <w:lang w:val="en-GB"/>
        </w:rPr>
        <w:t xml:space="preserve">-induced </w:t>
      </w:r>
      <w:r w:rsidR="007377D7" w:rsidRPr="00C67AD0">
        <w:rPr>
          <w:rFonts w:ascii="Book Antiqua" w:hAnsi="Book Antiqua" w:cs="Times New Roman"/>
          <w:bCs/>
          <w:sz w:val="24"/>
          <w:szCs w:val="24"/>
          <w:lang w:val="en-GB"/>
        </w:rPr>
        <w:t xml:space="preserve">AP by inhibiting the inflammatory response as well as inflammation-induced cell death. </w:t>
      </w:r>
      <w:r w:rsidR="004D286B" w:rsidRPr="00C67AD0">
        <w:rPr>
          <w:rFonts w:ascii="Book Antiqua" w:hAnsi="Book Antiqua" w:cs="Times New Roman"/>
          <w:bCs/>
          <w:sz w:val="24"/>
          <w:szCs w:val="24"/>
          <w:lang w:val="en-GB"/>
        </w:rPr>
        <w:t xml:space="preserve">In </w:t>
      </w:r>
      <w:r w:rsidR="008D28E6" w:rsidRPr="00C67AD0">
        <w:rPr>
          <w:rFonts w:ascii="Book Antiqua" w:hAnsi="Book Antiqua" w:cs="Times New Roman"/>
          <w:bCs/>
          <w:sz w:val="24"/>
          <w:szCs w:val="24"/>
          <w:lang w:val="en-GB"/>
        </w:rPr>
        <w:t xml:space="preserve">our </w:t>
      </w:r>
      <w:r w:rsidR="004D286B" w:rsidRPr="00C67AD0">
        <w:rPr>
          <w:rFonts w:ascii="Book Antiqua" w:hAnsi="Book Antiqua" w:cs="Times New Roman"/>
          <w:bCs/>
          <w:sz w:val="24"/>
          <w:szCs w:val="24"/>
          <w:lang w:val="en-GB"/>
        </w:rPr>
        <w:t xml:space="preserve">study, </w:t>
      </w:r>
      <w:r w:rsidR="008D28E6" w:rsidRPr="00C67AD0">
        <w:rPr>
          <w:rFonts w:ascii="Book Antiqua" w:hAnsi="Book Antiqua" w:cs="Times New Roman"/>
          <w:bCs/>
          <w:sz w:val="24"/>
          <w:szCs w:val="24"/>
          <w:lang w:val="en-GB"/>
        </w:rPr>
        <w:t>treating the animals with</w:t>
      </w:r>
      <w:r w:rsidR="004D286B" w:rsidRPr="00C67AD0">
        <w:rPr>
          <w:rFonts w:ascii="Book Antiqua" w:hAnsi="Book Antiqua" w:cs="Times New Roman"/>
          <w:bCs/>
          <w:sz w:val="24"/>
          <w:szCs w:val="24"/>
          <w:lang w:val="en-GB"/>
        </w:rPr>
        <w:t xml:space="preserve"> PEG35 significantly abrogated the severity of </w:t>
      </w:r>
      <w:proofErr w:type="spellStart"/>
      <w:r w:rsidR="004D286B" w:rsidRPr="00C67AD0">
        <w:rPr>
          <w:rFonts w:ascii="Book Antiqua" w:hAnsi="Book Antiqua" w:cs="Times New Roman"/>
          <w:bCs/>
          <w:sz w:val="24"/>
          <w:szCs w:val="24"/>
          <w:lang w:val="en-GB"/>
        </w:rPr>
        <w:t>cerulein</w:t>
      </w:r>
      <w:proofErr w:type="spellEnd"/>
      <w:r w:rsidR="008D28E6" w:rsidRPr="00C67AD0">
        <w:rPr>
          <w:rFonts w:ascii="Book Antiqua" w:hAnsi="Book Antiqua" w:cs="Times New Roman"/>
          <w:bCs/>
          <w:sz w:val="24"/>
          <w:szCs w:val="24"/>
          <w:lang w:val="en-GB"/>
        </w:rPr>
        <w:t>-induced</w:t>
      </w:r>
      <w:r w:rsidR="004D286B" w:rsidRPr="00C67AD0">
        <w:rPr>
          <w:rFonts w:ascii="Book Antiqua" w:hAnsi="Book Antiqua" w:cs="Times New Roman"/>
          <w:bCs/>
          <w:sz w:val="24"/>
          <w:szCs w:val="24"/>
          <w:lang w:val="en-GB"/>
        </w:rPr>
        <w:t xml:space="preserve"> AP, as indicated by the </w:t>
      </w:r>
      <w:r w:rsidR="00391124" w:rsidRPr="00C67AD0">
        <w:rPr>
          <w:rFonts w:ascii="Book Antiqua" w:hAnsi="Book Antiqua" w:cs="Times New Roman"/>
          <w:bCs/>
          <w:sz w:val="24"/>
          <w:szCs w:val="24"/>
          <w:lang w:val="en-GB"/>
        </w:rPr>
        <w:t xml:space="preserve">lessened </w:t>
      </w:r>
      <w:r w:rsidR="004D286B" w:rsidRPr="00C67AD0">
        <w:rPr>
          <w:rFonts w:ascii="Book Antiqua" w:hAnsi="Book Antiqua" w:cs="Times New Roman"/>
          <w:bCs/>
          <w:sz w:val="24"/>
          <w:szCs w:val="24"/>
          <w:lang w:val="en-GB"/>
        </w:rPr>
        <w:t xml:space="preserve">activity of lipase in plasma and </w:t>
      </w:r>
      <w:proofErr w:type="spellStart"/>
      <w:r w:rsidR="004D286B" w:rsidRPr="00C67AD0">
        <w:rPr>
          <w:rFonts w:ascii="Book Antiqua" w:hAnsi="Book Antiqua" w:cs="Times New Roman"/>
          <w:bCs/>
          <w:sz w:val="24"/>
          <w:szCs w:val="24"/>
          <w:lang w:val="en-GB"/>
        </w:rPr>
        <w:t>edema</w:t>
      </w:r>
      <w:proofErr w:type="spellEnd"/>
      <w:r w:rsidR="004D286B" w:rsidRPr="00C67AD0">
        <w:rPr>
          <w:rFonts w:ascii="Book Antiqua" w:hAnsi="Book Antiqua" w:cs="Times New Roman"/>
          <w:bCs/>
          <w:sz w:val="24"/>
          <w:szCs w:val="24"/>
          <w:lang w:val="en-GB"/>
        </w:rPr>
        <w:t xml:space="preserve"> formation</w:t>
      </w:r>
      <w:r w:rsidR="00190172" w:rsidRPr="00C67AD0">
        <w:rPr>
          <w:rFonts w:ascii="Book Antiqua" w:hAnsi="Book Antiqua" w:cs="Times New Roman"/>
          <w:bCs/>
          <w:sz w:val="24"/>
          <w:szCs w:val="24"/>
          <w:lang w:val="en-GB"/>
        </w:rPr>
        <w:t xml:space="preserve"> as well as</w:t>
      </w:r>
      <w:r w:rsidR="004D286B" w:rsidRPr="00C67AD0">
        <w:rPr>
          <w:rFonts w:ascii="Book Antiqua" w:hAnsi="Book Antiqua" w:cs="Times New Roman"/>
          <w:bCs/>
          <w:sz w:val="24"/>
          <w:szCs w:val="24"/>
          <w:lang w:val="en-GB"/>
        </w:rPr>
        <w:t xml:space="preserve"> </w:t>
      </w:r>
      <w:r w:rsidR="002E4094" w:rsidRPr="00C67AD0">
        <w:rPr>
          <w:rFonts w:ascii="Book Antiqua" w:hAnsi="Book Antiqua" w:cs="Times New Roman"/>
          <w:bCs/>
          <w:sz w:val="24"/>
          <w:szCs w:val="24"/>
          <w:lang w:val="en-GB"/>
        </w:rPr>
        <w:t>histopathological feature</w:t>
      </w:r>
      <w:r w:rsidR="00190172" w:rsidRPr="00C67AD0">
        <w:rPr>
          <w:rFonts w:ascii="Book Antiqua" w:hAnsi="Book Antiqua" w:cs="Times New Roman"/>
          <w:bCs/>
          <w:sz w:val="24"/>
          <w:szCs w:val="24"/>
          <w:lang w:val="en-GB"/>
        </w:rPr>
        <w:t>s</w:t>
      </w:r>
      <w:r w:rsidR="002E4094" w:rsidRPr="00C67AD0">
        <w:rPr>
          <w:rFonts w:ascii="Book Antiqua" w:hAnsi="Book Antiqua" w:cs="Times New Roman"/>
          <w:bCs/>
          <w:sz w:val="24"/>
          <w:szCs w:val="24"/>
          <w:lang w:val="en-GB"/>
        </w:rPr>
        <w:t xml:space="preserve"> </w:t>
      </w:r>
      <w:r w:rsidR="00190172" w:rsidRPr="00C67AD0">
        <w:rPr>
          <w:rFonts w:ascii="Book Antiqua" w:hAnsi="Book Antiqua" w:cs="Times New Roman"/>
          <w:bCs/>
          <w:sz w:val="24"/>
          <w:szCs w:val="24"/>
          <w:lang w:val="en-GB"/>
        </w:rPr>
        <w:t xml:space="preserve">of AP </w:t>
      </w:r>
      <w:r w:rsidR="004D286B" w:rsidRPr="00C67AD0">
        <w:rPr>
          <w:rFonts w:ascii="Book Antiqua" w:hAnsi="Book Antiqua" w:cs="Times New Roman"/>
          <w:bCs/>
          <w:sz w:val="24"/>
          <w:szCs w:val="24"/>
          <w:lang w:val="en-GB"/>
        </w:rPr>
        <w:t>in the PEG35-treated animals.</w:t>
      </w:r>
      <w:r w:rsidR="002E4094" w:rsidRPr="00C67AD0">
        <w:rPr>
          <w:rFonts w:ascii="Book Antiqua" w:hAnsi="Book Antiqua" w:cs="Times New Roman"/>
          <w:bCs/>
          <w:sz w:val="24"/>
          <w:szCs w:val="24"/>
          <w:lang w:val="en-GB"/>
        </w:rPr>
        <w:t xml:space="preserve"> </w:t>
      </w:r>
    </w:p>
    <w:p w14:paraId="7E051F4B" w14:textId="00EEE36B" w:rsidR="0061798C" w:rsidRPr="00C67AD0" w:rsidRDefault="00774760" w:rsidP="002421A8">
      <w:pPr>
        <w:spacing w:line="360" w:lineRule="auto"/>
        <w:ind w:firstLine="567"/>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A sudden inflammatory response in the pancreas contributes to the development of AP, primarily through </w:t>
      </w:r>
      <w:r w:rsidR="002820F5" w:rsidRPr="00C67AD0">
        <w:rPr>
          <w:rFonts w:ascii="Book Antiqua" w:hAnsi="Book Antiqua" w:cs="Times New Roman"/>
          <w:bCs/>
          <w:sz w:val="24"/>
          <w:szCs w:val="24"/>
          <w:lang w:val="en-GB"/>
        </w:rPr>
        <w:t xml:space="preserve">the </w:t>
      </w:r>
      <w:r w:rsidRPr="00C67AD0">
        <w:rPr>
          <w:rFonts w:ascii="Book Antiqua" w:hAnsi="Book Antiqua" w:cs="Times New Roman"/>
          <w:bCs/>
          <w:sz w:val="24"/>
          <w:szCs w:val="24"/>
          <w:lang w:val="en-GB"/>
        </w:rPr>
        <w:t>release of inflammatory cytokines</w:t>
      </w:r>
      <w:r w:rsidR="001D0CAF" w:rsidRPr="00C67AD0">
        <w:rPr>
          <w:rFonts w:ascii="Book Antiqua" w:hAnsi="Book Antiqua" w:cs="Times New Roman"/>
          <w:bCs/>
          <w:sz w:val="24"/>
          <w:szCs w:val="24"/>
          <w:lang w:val="en-GB"/>
        </w:rPr>
        <w:t xml:space="preserve">. </w:t>
      </w:r>
      <w:r w:rsidR="0061798C" w:rsidRPr="00C67AD0">
        <w:rPr>
          <w:rFonts w:ascii="Book Antiqua" w:hAnsi="Book Antiqua" w:cs="Times New Roman"/>
          <w:bCs/>
          <w:sz w:val="24"/>
          <w:szCs w:val="24"/>
          <w:lang w:val="en-GB"/>
        </w:rPr>
        <w:t xml:space="preserve">TNFα has long been considered as one of the initial triggers of the inflammatory cascade in </w:t>
      </w:r>
      <w:r w:rsidR="0061798C" w:rsidRPr="00C67AD0">
        <w:rPr>
          <w:rFonts w:ascii="Book Antiqua" w:hAnsi="Book Antiqua" w:cs="Times New Roman"/>
          <w:bCs/>
          <w:sz w:val="24"/>
          <w:szCs w:val="24"/>
          <w:lang w:val="en-GB"/>
        </w:rPr>
        <w:lastRenderedPageBreak/>
        <w:t>experimental pancreatitis</w:t>
      </w:r>
      <w:r w:rsidR="006652A0" w:rsidRPr="00C67AD0">
        <w:rPr>
          <w:rFonts w:ascii="Book Antiqua" w:hAnsi="Book Antiqua" w:cs="Times New Roman"/>
          <w:bCs/>
          <w:sz w:val="24"/>
          <w:szCs w:val="24"/>
          <w:lang w:val="en-GB"/>
        </w:rPr>
        <w:fldChar w:fldCharType="begin" w:fldLock="1"/>
      </w:r>
      <w:r w:rsidR="009A5DD0" w:rsidRPr="00C67AD0">
        <w:rPr>
          <w:rFonts w:ascii="Book Antiqua" w:hAnsi="Book Antiqua" w:cs="Times New Roman"/>
          <w:bCs/>
          <w:sz w:val="24"/>
          <w:szCs w:val="24"/>
          <w:lang w:val="en-GB"/>
        </w:rPr>
        <w:instrText>ADDIN CSL_CITATION {"citationItems":[{"id":"ITEM-1","itemData":{"DOI":"10.1097/MCG.0b013e31828a6cfc","PMID":"23470643","abstract":"GOAL AND BACKGROUND:: One of the most important cytokines in pathogenesis of acute pancreatitis is tumor necrosis factor (TNF)-α. The aim of our study was to determine whether the plasma levels of TNF-α in patients with severe acute pancreatitis (SAP) on admission correlate with severity and outcome of SAP. STUDY:: Blood samples were obtained from 100 patients with SAP. Patients were divided into 2 groups according to severity: SAP group (n=69) and SAP-induced multiple organ dysfunction syndrome (MODS) group (n=31). Survivors were patients who were alive 90 days after taking the blood sample for cytokine measurement (53/100). Blood sample for cytokine measurement was drawn immediately after admission. TNF-α was measured by commercial ELISA test in plasma. RESULTS:: When comparing SAP group with SAP-induced MODS group, we found that mean values of TNF-α on admission were 191.5-fold lower in group with SAP-induced MODS (P&lt;0.01). When comparing nonsurvivors with survivors, we found that mean values of TNF-α on admission were 63-fold higher in survivors (P&lt;0.01). At cut-off level of 7.95 pg/mL sensitivity was 83.9% and specificity was 72.5%. Patients with TNF-α level lower than 7.95 pg/mL had 3.2-fold higher probability to develop SAP with MODS. At cut-off level of 10.5 pg/mL sensitivity was 83% and specificity was 77.4%. Patients with TNF-α level higher than 10.5 pg/mL had 4.8-fold higher probability to survive. CONCLUSIONS:: TNF-α is good predictor of severity and outcome. Low TNF-α concentration in patients with SAP predicts development of MODS and fatal outcome. Copyright © 2013 by Lippincott Williams &amp; Wilkins.","author":[{"dropping-particle":"","family":"Surbatovic","given":"Maja","non-dropping-particle":"","parse-names":false,"suffix":""},{"dropping-particle":"","family":"Radakovic","given":"Sonja","non-dropping-particle":"","parse-names":false,"suffix":""}],"container-title":"Journal of Clinical Gastroenterology","id":"ITEM-1","issue":"7","issued":{"date-parts":[["2013","8"]]},"page":"637-643","publisher":"J Clin Gastroenterol","title":"Tumor necrosis factor-α levels early in severe acute pancreatitis: Is there predictive value regarding severity and outcome?","type":"article-journal","volume":"47"},"uris":["http://www.mendeley.com/documents/?uuid=27f0dcc1-9739-3c05-a8bc-c1afca5f9ad6"]}],"mendeley":{"formattedCitation":"&lt;sup&gt;[18]&lt;/sup&gt;","plainTextFormattedCitation":"[18]","previouslyFormattedCitation":"&lt;sup&gt;[18]&lt;/sup&gt;"},"properties":{"noteIndex":0},"schema":"https://github.com/citation-style-language/schema/raw/master/csl-citation.json"}</w:instrText>
      </w:r>
      <w:r w:rsidR="006652A0" w:rsidRPr="00C67AD0">
        <w:rPr>
          <w:rFonts w:ascii="Book Antiqua" w:hAnsi="Book Antiqua" w:cs="Times New Roman"/>
          <w:bCs/>
          <w:sz w:val="24"/>
          <w:szCs w:val="24"/>
          <w:lang w:val="en-GB"/>
        </w:rPr>
        <w:fldChar w:fldCharType="separate"/>
      </w:r>
      <w:r w:rsidR="00FB4F41" w:rsidRPr="00C67AD0">
        <w:rPr>
          <w:rFonts w:ascii="Book Antiqua" w:hAnsi="Book Antiqua" w:cs="Times New Roman"/>
          <w:bCs/>
          <w:noProof/>
          <w:sz w:val="24"/>
          <w:szCs w:val="24"/>
          <w:vertAlign w:val="superscript"/>
          <w:lang w:val="en-GB"/>
        </w:rPr>
        <w:t>[18]</w:t>
      </w:r>
      <w:r w:rsidR="006652A0" w:rsidRPr="00C67AD0">
        <w:rPr>
          <w:rFonts w:ascii="Book Antiqua" w:hAnsi="Book Antiqua" w:cs="Times New Roman"/>
          <w:bCs/>
          <w:sz w:val="24"/>
          <w:szCs w:val="24"/>
          <w:lang w:val="en-GB"/>
        </w:rPr>
        <w:fldChar w:fldCharType="end"/>
      </w:r>
      <w:r w:rsidR="0061798C" w:rsidRPr="00C67AD0">
        <w:rPr>
          <w:rFonts w:ascii="Book Antiqua" w:hAnsi="Book Antiqua" w:cs="Times New Roman"/>
          <w:bCs/>
          <w:sz w:val="24"/>
          <w:szCs w:val="24"/>
          <w:lang w:val="en-GB"/>
        </w:rPr>
        <w:t>.</w:t>
      </w:r>
      <w:r w:rsidR="002820F5" w:rsidRPr="00C67AD0">
        <w:rPr>
          <w:rFonts w:ascii="Book Antiqua" w:hAnsi="Book Antiqua" w:cs="Times New Roman"/>
          <w:bCs/>
          <w:sz w:val="24"/>
          <w:szCs w:val="24"/>
          <w:lang w:val="en-GB"/>
        </w:rPr>
        <w:t xml:space="preserve"> </w:t>
      </w:r>
      <w:r w:rsidR="0061798C" w:rsidRPr="00C67AD0">
        <w:rPr>
          <w:rFonts w:ascii="Book Antiqua" w:hAnsi="Book Antiqua" w:cs="Times New Roman"/>
          <w:bCs/>
          <w:sz w:val="24"/>
          <w:szCs w:val="24"/>
          <w:lang w:val="en-GB"/>
        </w:rPr>
        <w:t xml:space="preserve">In this setting, stimulation of </w:t>
      </w:r>
      <w:r w:rsidR="00391124" w:rsidRPr="00C67AD0">
        <w:rPr>
          <w:rFonts w:ascii="Book Antiqua" w:hAnsi="Book Antiqua" w:cs="Times New Roman"/>
          <w:bCs/>
          <w:sz w:val="24"/>
          <w:szCs w:val="24"/>
          <w:lang w:val="en-GB"/>
        </w:rPr>
        <w:t xml:space="preserve">acinar cells of the </w:t>
      </w:r>
      <w:r w:rsidR="00595872" w:rsidRPr="00C67AD0">
        <w:rPr>
          <w:rFonts w:ascii="Book Antiqua" w:hAnsi="Book Antiqua" w:cs="Times New Roman"/>
          <w:bCs/>
          <w:sz w:val="24"/>
          <w:szCs w:val="24"/>
          <w:lang w:val="en-GB"/>
        </w:rPr>
        <w:t xml:space="preserve">pancreas </w:t>
      </w:r>
      <w:r w:rsidR="0061798C" w:rsidRPr="00C67AD0">
        <w:rPr>
          <w:rFonts w:ascii="Book Antiqua" w:hAnsi="Book Antiqua" w:cs="Times New Roman"/>
          <w:bCs/>
          <w:sz w:val="24"/>
          <w:szCs w:val="24"/>
          <w:lang w:val="en-GB"/>
        </w:rPr>
        <w:t xml:space="preserve">by TNFα </w:t>
      </w:r>
      <w:r w:rsidR="00F44223" w:rsidRPr="00C67AD0">
        <w:rPr>
          <w:rFonts w:ascii="Book Antiqua" w:hAnsi="Book Antiqua" w:cs="Times New Roman"/>
          <w:bCs/>
          <w:sz w:val="24"/>
          <w:szCs w:val="24"/>
          <w:lang w:val="en-GB"/>
        </w:rPr>
        <w:t xml:space="preserve">have been reported to </w:t>
      </w:r>
      <w:r w:rsidR="0061798C" w:rsidRPr="00C67AD0">
        <w:rPr>
          <w:rFonts w:ascii="Book Antiqua" w:hAnsi="Book Antiqua" w:cs="Times New Roman"/>
          <w:bCs/>
          <w:sz w:val="24"/>
          <w:szCs w:val="24"/>
          <w:lang w:val="en-GB"/>
        </w:rPr>
        <w:t>cause</w:t>
      </w:r>
      <w:r w:rsidR="00F44223" w:rsidRPr="00C67AD0">
        <w:rPr>
          <w:rFonts w:ascii="Book Antiqua" w:hAnsi="Book Antiqua" w:cs="Times New Roman"/>
          <w:bCs/>
          <w:sz w:val="24"/>
          <w:szCs w:val="24"/>
          <w:lang w:val="en-GB"/>
        </w:rPr>
        <w:t xml:space="preserve"> a</w:t>
      </w:r>
      <w:r w:rsidR="0061798C" w:rsidRPr="00C67AD0">
        <w:rPr>
          <w:rFonts w:ascii="Book Antiqua" w:hAnsi="Book Antiqua" w:cs="Times New Roman"/>
          <w:bCs/>
          <w:sz w:val="24"/>
          <w:szCs w:val="24"/>
          <w:lang w:val="en-GB"/>
        </w:rPr>
        <w:t xml:space="preserve"> direct activation of pancreatic enzymes</w:t>
      </w:r>
      <w:r w:rsidR="00FE3E1E" w:rsidRPr="00C67AD0">
        <w:rPr>
          <w:rFonts w:ascii="Book Antiqua" w:hAnsi="Book Antiqua" w:cs="Times New Roman"/>
          <w:bCs/>
          <w:sz w:val="24"/>
          <w:szCs w:val="24"/>
          <w:lang w:val="en-GB"/>
        </w:rPr>
        <w:t>,</w:t>
      </w:r>
      <w:r w:rsidR="0061798C" w:rsidRPr="00C67AD0">
        <w:rPr>
          <w:rFonts w:ascii="Book Antiqua" w:hAnsi="Book Antiqua" w:cs="Times New Roman"/>
          <w:bCs/>
          <w:sz w:val="24"/>
          <w:szCs w:val="24"/>
          <w:lang w:val="en-GB"/>
        </w:rPr>
        <w:t xml:space="preserve"> </w:t>
      </w:r>
      <w:r w:rsidR="00DF6145" w:rsidRPr="00C67AD0">
        <w:rPr>
          <w:rFonts w:ascii="Book Antiqua" w:hAnsi="Book Antiqua" w:cs="Times New Roman"/>
          <w:bCs/>
          <w:sz w:val="24"/>
          <w:szCs w:val="24"/>
          <w:lang w:val="en-GB"/>
        </w:rPr>
        <w:t xml:space="preserve">contributing </w:t>
      </w:r>
      <w:r w:rsidR="0061798C" w:rsidRPr="00C67AD0">
        <w:rPr>
          <w:rFonts w:ascii="Book Antiqua" w:hAnsi="Book Antiqua" w:cs="Times New Roman"/>
          <w:bCs/>
          <w:sz w:val="24"/>
          <w:szCs w:val="24"/>
          <w:lang w:val="en-GB"/>
        </w:rPr>
        <w:t>to premature protease activation and cell necrosis</w:t>
      </w:r>
      <w:r w:rsidR="006652A0" w:rsidRPr="00C67AD0">
        <w:rPr>
          <w:rFonts w:ascii="Book Antiqua" w:hAnsi="Book Antiqua" w:cs="Times New Roman"/>
          <w:bCs/>
          <w:sz w:val="24"/>
          <w:szCs w:val="24"/>
          <w:lang w:val="en-GB"/>
        </w:rPr>
        <w:fldChar w:fldCharType="begin" w:fldLock="1"/>
      </w:r>
      <w:r w:rsidR="002722A6" w:rsidRPr="00C67AD0">
        <w:rPr>
          <w:rFonts w:ascii="Book Antiqua" w:hAnsi="Book Antiqua" w:cs="Times New Roman"/>
          <w:bCs/>
          <w:sz w:val="24"/>
          <w:szCs w:val="24"/>
          <w:lang w:val="en-GB"/>
        </w:rPr>
        <w:instrText>ADDIN CSL_CITATION {"citationItems":[{"id":"ITEM-1","itemData":{"DOI":"10.1136/gutjnl-2011-300771","PMID":"22490516","abstract":"Background: Acute pancreatitis has long been considered a disorder of pancreatic self-digestion, in which intracellular activation of digestive proteases induces tissue injury. Chemokines, released from damaged pancreatic cells then attract inflammatory cells, whose systemic action ultimately determines the disease severity. In the present work the opposite mechanism is investigated; that is, whether and how inflammatory cells can activate intracellular proteases. Design: Using mice either deficient for the CD18-α subunit of the membrane attack complex-1 (MAC-1) complex or tumour necrosis factor (TNF)α, as well as after depletion of leucocyte subpopulations, pancreatitis was induced by 7-hourly caerulein injections (50 μg/kg, intraperitoneally). Pancreatic acini were coincubated in vitro from wild-type and cathepsin-B-deficient animals with phorbol-12-myristate-13-acetate (PMA)-activated neutrophils and macrophages, caerulein or TNFα, and activities of trypsin, cathepsin-B and caspase-3 were measured, as well as necrosis using fluorogenic substrates. TNFa was inhibited with monospecific antibodies. Results Deletion of CD18 prevented transmigration of leucocytes into the pancreas during pancreatitis, greatly reduced disease severity and abolished digestive protease activation. Depletion of neutrophils and macrophages equally reduced premature trypsinogen activation and disease severity. In vitro activated neutrophils and macrophages directly induced premature protease activation and cell death in pancreatic acini and stimulation of acini with TNFa induced caspase-3 activation and necrosis via a cathepsin-B and calciumdependent mechanism. Neutralising antibodies against TNFa and genetic deletion of TNFα prevented leucocyteinduced trypsin activity and necrosis in isolated acini. Conclusions The soluble inflammatory cell mediator TNFa directly induces premature protease activation and necrosis in pancreatic acinar cells. This activation depends on calcium and cathepsin-B activity. The findings from the present work further suggest that targeting TNFa, for which pharmaceutical agents are readily available, could be an effective treatment strategy that directly addresses the cellular causes of pancreatitis.","author":[{"dropping-particle":"","family":"Sendler","given":"Matthias","non-dropping-particle":"","parse-names":false,"suffix":""},{"dropping-particle":"","family":"Dummer","given":"Annegret","non-dropping-particle":"","parse-names":false,"suffix":""},{"dropping-particle":"","family":"Weiss","given":"Frank U.","non-dropping-particle":"","parse-names":false,"suffix":""},{"dropping-particle":"","family":"Kr</w:instrText>
      </w:r>
      <w:r w:rsidR="002722A6" w:rsidRPr="00C67AD0">
        <w:rPr>
          <w:rFonts w:ascii="Times New Roman" w:hAnsi="Times New Roman" w:cs="Times New Roman"/>
          <w:bCs/>
          <w:sz w:val="24"/>
          <w:szCs w:val="24"/>
          <w:lang w:val="en-GB"/>
        </w:rPr>
        <w:instrText>̈</w:instrText>
      </w:r>
      <w:r w:rsidR="002722A6" w:rsidRPr="00C67AD0">
        <w:rPr>
          <w:rFonts w:ascii="Book Antiqua" w:hAnsi="Book Antiqua" w:cs="Times New Roman"/>
          <w:bCs/>
          <w:sz w:val="24"/>
          <w:szCs w:val="24"/>
          <w:lang w:val="en-GB"/>
        </w:rPr>
        <w:instrText>uger","given":"Burkhard","non-dropping-particle":"","parse-names":false,"suffix":""},{"dropping-particle":"","family":"Wartmann","given":"Thomas","non-dropping-particle":"","parse-names":false,"suffix":""},{"dropping-particle":"","family":"Scharffetter-Kochanek","given":"Karin","non-dropping-particle":"","parse-names":false,"suffix":""},{"dropping-particle":"Van","family":"Rooijen","given":"Nico","non-dropping-particle":"","parse-names":false,"suffix":""},{"dropping-particle":"","family":"Malla","given":"Sudarshan Ravi","non-dropping-particle":"","parse-names":false,"suffix":""},{"dropping-particle":"","family":"Aghdassi","given":"Ali","non-dropping-particle":"","parse-names":false,"suffix":""},{"dropping-particle":"","family":"Halangk","given":"Walter","non-dropping-particle":"","parse-names":false,"suffix":""},{"dropping-particle":"","family":"Lerch","given":"Markus M.","non-dropping-particle":"","parse-names":false,"suffix":""},{"dropping-particle":"","family":"Mayerle","given":"Julia","non-dropping-particle":"","parse-names":false,"suffix":""}],"container-title":"Gut","id":"ITEM-1","issue":"3","issued":{"date-parts":[["2013","3"]]},"page":"430-439","publisher":"Gut","title":"Tumour necrosis factor α secretion induces protease activation and acinar cell necrosis in acute experimental pancreatitis in mice","type":"article-journal","volume":"62"},"uris":["http://www.mendeley.com/documents/?uuid=c3a5d410-abeb-394e-9618-54ceba61e258"]}],"mendeley":{"formattedCitation":"&lt;sup&gt;[19]&lt;/sup&gt;","plainTextFormattedCitation":"[19]","previouslyFormattedCitation":"&lt;sup&gt;[19]&lt;/sup&gt;"},"properties":{"noteIndex":0},"schema":"https://github.com/citation-style-language/schema/raw/master/csl-citation.json"}</w:instrText>
      </w:r>
      <w:r w:rsidR="006652A0" w:rsidRPr="00C67AD0">
        <w:rPr>
          <w:rFonts w:ascii="Book Antiqua" w:hAnsi="Book Antiqua" w:cs="Times New Roman"/>
          <w:bCs/>
          <w:sz w:val="24"/>
          <w:szCs w:val="24"/>
          <w:lang w:val="en-GB"/>
        </w:rPr>
        <w:fldChar w:fldCharType="separate"/>
      </w:r>
      <w:r w:rsidR="00FB4F41" w:rsidRPr="00C67AD0">
        <w:rPr>
          <w:rFonts w:ascii="Book Antiqua" w:hAnsi="Book Antiqua" w:cs="Times New Roman"/>
          <w:bCs/>
          <w:noProof/>
          <w:sz w:val="24"/>
          <w:szCs w:val="24"/>
          <w:vertAlign w:val="superscript"/>
          <w:lang w:val="en-GB"/>
        </w:rPr>
        <w:t>[19]</w:t>
      </w:r>
      <w:r w:rsidR="006652A0" w:rsidRPr="00C67AD0">
        <w:rPr>
          <w:rFonts w:ascii="Book Antiqua" w:hAnsi="Book Antiqua" w:cs="Times New Roman"/>
          <w:bCs/>
          <w:sz w:val="24"/>
          <w:szCs w:val="24"/>
          <w:lang w:val="en-GB"/>
        </w:rPr>
        <w:fldChar w:fldCharType="end"/>
      </w:r>
      <w:r w:rsidR="0061798C" w:rsidRPr="00C67AD0">
        <w:rPr>
          <w:rFonts w:ascii="Book Antiqua" w:hAnsi="Book Antiqua" w:cs="Times New Roman"/>
          <w:bCs/>
          <w:sz w:val="24"/>
          <w:szCs w:val="24"/>
          <w:lang w:val="en-GB"/>
        </w:rPr>
        <w:t xml:space="preserve">. </w:t>
      </w:r>
      <w:r w:rsidRPr="00C67AD0">
        <w:rPr>
          <w:rFonts w:ascii="Book Antiqua" w:hAnsi="Book Antiqua" w:cs="Times New Roman"/>
          <w:bCs/>
          <w:sz w:val="24"/>
          <w:szCs w:val="24"/>
          <w:lang w:val="en-GB"/>
        </w:rPr>
        <w:t>Increased accumulation of TNF</w:t>
      </w:r>
      <w:r w:rsidR="001D0CAF" w:rsidRPr="00C67AD0">
        <w:rPr>
          <w:rFonts w:ascii="Book Antiqua" w:hAnsi="Book Antiqua" w:cs="Times New Roman"/>
          <w:bCs/>
          <w:sz w:val="24"/>
          <w:szCs w:val="24"/>
          <w:lang w:val="en-GB"/>
        </w:rPr>
        <w:t>α</w:t>
      </w:r>
      <w:r w:rsidRPr="00C67AD0">
        <w:rPr>
          <w:rFonts w:ascii="Book Antiqua" w:hAnsi="Book Antiqua" w:cs="Times New Roman"/>
          <w:bCs/>
          <w:sz w:val="24"/>
          <w:szCs w:val="24"/>
          <w:lang w:val="en-GB"/>
        </w:rPr>
        <w:t xml:space="preserve"> promotes the production of other inflammatory cytokines, including IL1</w:t>
      </w:r>
      <w:r w:rsidR="00DF6145" w:rsidRPr="00C67AD0">
        <w:rPr>
          <w:rFonts w:ascii="Book Antiqua" w:hAnsi="Book Antiqua" w:cs="Times New Roman"/>
          <w:bCs/>
          <w:sz w:val="24"/>
          <w:szCs w:val="24"/>
          <w:lang w:val="en-GB"/>
        </w:rPr>
        <w:t>β</w:t>
      </w:r>
      <w:r w:rsidRPr="00C67AD0">
        <w:rPr>
          <w:rFonts w:ascii="Book Antiqua" w:hAnsi="Book Antiqua" w:cs="Times New Roman"/>
          <w:bCs/>
          <w:sz w:val="24"/>
          <w:szCs w:val="24"/>
          <w:lang w:val="en-GB"/>
        </w:rPr>
        <w:t xml:space="preserve"> and IL6, which result in the activation of an inflammatory cascade </w:t>
      </w:r>
      <w:r w:rsidR="00FE3E1E" w:rsidRPr="00C67AD0">
        <w:rPr>
          <w:rFonts w:ascii="Book Antiqua" w:hAnsi="Book Antiqua" w:cs="Times New Roman"/>
          <w:bCs/>
          <w:sz w:val="24"/>
          <w:szCs w:val="24"/>
          <w:lang w:val="en-GB"/>
        </w:rPr>
        <w:t xml:space="preserve">that leads </w:t>
      </w:r>
      <w:r w:rsidRPr="00C67AD0">
        <w:rPr>
          <w:rFonts w:ascii="Book Antiqua" w:hAnsi="Book Antiqua" w:cs="Times New Roman"/>
          <w:bCs/>
          <w:sz w:val="24"/>
          <w:szCs w:val="24"/>
          <w:lang w:val="en-GB"/>
        </w:rPr>
        <w:t>to</w:t>
      </w:r>
      <w:r w:rsidR="00D8414A" w:rsidRPr="00C67AD0">
        <w:rPr>
          <w:rFonts w:ascii="Book Antiqua" w:hAnsi="Book Antiqua" w:cs="Times New Roman"/>
          <w:bCs/>
          <w:sz w:val="24"/>
          <w:szCs w:val="24"/>
          <w:lang w:val="en-GB"/>
        </w:rPr>
        <w:t xml:space="preserve"> widespread tissue damage </w:t>
      </w:r>
      <w:r w:rsidRPr="00C67AD0">
        <w:rPr>
          <w:rFonts w:ascii="Book Antiqua" w:hAnsi="Book Antiqua" w:cs="Times New Roman"/>
          <w:bCs/>
          <w:sz w:val="24"/>
          <w:szCs w:val="24"/>
          <w:lang w:val="en-GB"/>
        </w:rPr>
        <w:t xml:space="preserve">in multiple tissues and organs. </w:t>
      </w:r>
      <w:r w:rsidR="005600DA" w:rsidRPr="00C67AD0">
        <w:rPr>
          <w:rFonts w:ascii="Book Antiqua" w:hAnsi="Book Antiqua" w:cs="Times New Roman"/>
          <w:bCs/>
          <w:sz w:val="24"/>
          <w:szCs w:val="24"/>
          <w:lang w:val="en-GB"/>
        </w:rPr>
        <w:t>Indeed, the levels of TNFα, IL1β and IL6 have been correlated with the severity of AP</w:t>
      </w:r>
      <w:r w:rsidR="00630D66" w:rsidRPr="00C67AD0">
        <w:rPr>
          <w:rFonts w:ascii="Book Antiqua" w:hAnsi="Book Antiqua" w:cs="Times New Roman"/>
          <w:bCs/>
          <w:sz w:val="24"/>
          <w:szCs w:val="24"/>
          <w:lang w:val="en-GB"/>
        </w:rPr>
        <w:fldChar w:fldCharType="begin" w:fldLock="1"/>
      </w:r>
      <w:r w:rsidR="002722A6" w:rsidRPr="00C67AD0">
        <w:rPr>
          <w:rFonts w:ascii="Book Antiqua" w:hAnsi="Book Antiqua" w:cs="Times New Roman"/>
          <w:bCs/>
          <w:sz w:val="24"/>
          <w:szCs w:val="24"/>
          <w:lang w:val="en-GB"/>
        </w:rPr>
        <w:instrText>ADDIN CSL_CITATION {"citationItems":[{"id":"ITEM-1","itemData":{"DOI":"10.1111/j.1440-1746.2006.04752.x","PMID":"17376050","abstract":"Background and Aim: Cytokines play an important role in the pathogenesis of acute pancreatitis (AP). The aim of the present paper was to study the profile of anti- and proinflammatory cytokines in AP and to determine their predictive value for severity of AP, organ failure and mortality. Methods: Consecutive patients with AP were included in the study. Cytokines were measured in those patients who presented within the first 72 h of the onset of AP. Plasma levels of proinflammatory cytokines tumor necrosis factor (TNF)-α, interleukin (IL)-Iα, IL-6 and anti-inflammatory cytokine IL-10 were measured on days 1, 3, 7 and 14 of AP. Results: Of 108 patients, 30 presented within 72 h of the onset (mean age 40.27 ± 13.89 years; 22 males). Of the 30 patients, 13 (43.3%) had severe and 17 (56.7%) had mild pancreatitis. Eleven (36.7%) patients developed organ failure and three died. The level of IL-6 on day 3 was significantly higher in severe pancreatitis than in mild pancreatitis (146.29 ± 57.53 pg/mL vs 91.42 ± 71.65 pg/mL; P = 0.04) and was significantly higher in patients who developed organ failure compared with those who did not (161.59 ± 53.46 pg/mL vs 88.16 ± 65.50 pg/mL; P = 0.004). At a cut-off value of 122 pg/mL on day 3, IL-6 predicted organ failure and severe pancreatitis with a sensitivity and specificity of 81.8% and 77.7%, respectively. TNF-α and IL-10 were detectable only in one-third of patients and were not related to the severity of pancreatitis, while Il-1α was not detectable. Conclusion: Elevated levels of IL-6 predicted organ failure and severe pancreatitis and suggested its pathophysiological significance in AP. © 2006 The Authors.","author":[{"dropping-particle":"","family":"Sathyanarayan","given":"Garipati","non-dropping-particle":"","parse-names":false,"suffix":""},{"dropping-particle":"","family":"Garg","given":"Pramod Kumar","non-dropping-particle":"","parse-names":false,"suffix":""},{"dropping-particle":"","family":"Prasad","given":"H. K.","non-dropping-particle":"","parse-names":false,"suffix":""},{"dropping-particle":"","family":"Tandon","given":"Rakesh Kumar","non-dropping-particle":"","parse-names":false,"suffix":""}],"container-title":"Journal of Gastroenterology and Hepatology (Australia)","id":"ITEM-1","issue":"4","issued":{"date-parts":[["2007"]]},"page":"550-554","publisher":"Blackwell Publishing","title":"Elevated level of interleukin-6 predicts organ failure and severe disease in patients with acute pancreatitis","type":"article-journal","volume":"22"},"uris":["http://www.mendeley.com/documents/?uuid=20311dd4-7b45-38bb-bb32-3b641e328e7b"]},{"id":"ITEM-2","itemData":{"DOI":"10.1097/00004836-200309000-00013","PMID":"12960727","abstract":"Background: Severe acute pancreatitis is associated with a high mortality, especially when compared with mild acute pancreatitis. Early intervention in patients with severe acute pancreatitis has been shown to improve mortality. The value of cytokines (interleukin [IL]-6, IL-8 and tumor necrosis factor [TNF]-alpha) in diagnosing severe acute pancreatitis at an early stage was studied. Study: Thirty-six patients with acute pancreatitis were prospectively evaluated. Age-matched controls were obtained from healthy volunteers. Levels of IL-6, IL-8, and TNF-alpha were obtained within 24 hours of admission. Ranson's prognostic signs and Bank's clinical criteria were used to differentiate patients into mild and severe pancreatitis. Results: There was significant difference in IL-6 levels between controls and mild pancreatitis, controls and severe pancreatitis, and mild and severe pancreatitis. IL-8 levels were significantly different between controls and severe pancreatitis and mild and severe pancreatitis. There was no significant difference between controls and mild pancreatitis. The results for TNF-alpha were similar to the findings for IL-8. Conclusion: IL-6, IL-8, and TNF can be used independently in differentiating mild acute pancreatitis from early severe acute pancreatitis.","author":[{"dropping-particle":"","family":"Pooran","given":"Nakechand","non-dropping-particle":"","parse-names":false,"suffix":""},{"dropping-particle":"","family":"Indaram","given":"Anant","non-dropping-particle":"","parse-names":false,"suffix":""},{"dropping-particle":"","family":"Singh","given":"Pankaj","non-dropping-particle":"","parse-names":false,"suffix":""},{"dropping-particle":"","family":"Bank","given":"Simmy","non-dropping-particle":"","parse-names":false,"suffix":""}],"container-title":"Journal of Clinical Gastroenterology","id":"ITEM-2","issue":"3","issued":{"date-parts":[["2003","9"]]},"page":"263-266","publisher":"J Clin Gastroenterol","title":"Cytokines (IL-6, IL-8, TNF): Early and reliable predictors of severe acute pancreatitis","type":"article-journal","volume":"37"},"uris":["http://www.mendeley.com/documents/?uuid=df936374-4c69-3507-ad7d-a1f9fc5ffbd6"]},{"id":"ITEM-3","itemData":{"DOI":"10.3390/ijms21010338","PMID":"31947993","abstract":"Acute pancreatitis (AP) is a severe inflammation of the pancreas presented with sudden onset and severe abdominal pain with a high morbidity and mortality rate, if accompanied by severe local and systemic complications. Numerous studies have been published about the pathogenesis of AP; however, the precise mechanism behind this pathology remains unclear. Extensive research conducted over the last decades has demonstrated that the first 24 h after symptom onset are critical for the identification of patients who are at risk of developing complications or death. The identification of these subgroups of patients is crucial in order to start an aggressive approach to prevent mortality. In this sense and to avoid unnecessary overtreatment, thereby reducing the financial implications, the proper identification of mild disease is also important and necessary. A large number of multifactorial scoring systems and biochemical markers are described to predict the severity. Despite recent progress in understanding the pathophysiology of AP, more research is needed to enable a faster and more accurate prediction of severe AP. This review provides an overview of the available multifactorial scoring systems and biochemical markers for predicting severe AP with a special focus on their advantages and limitations.","author":[{"dropping-particle":"","family":"Silva-Vaz","given":"Pedro","non-dropping-particle":"","parse-names":false,"suffix":""},{"dropping-particle":"","family":"Abrantes","given":"Ana Margarida","non-dropping-particle":"","parse-names":false,"suffix":""},{"dropping-particle":"","family":"Castelo-Branco","given":"Miguel","non-dropping-particle":"","parse-names":false,"suffix":""},{"dropping-particle":"","family":"Gouveia","given":"António","non-dropping-particle":"","parse-names":false,"suffix":""},{"dropping-particle":"","family":"Botelho","given":"Maria Filomena","non-dropping-particle":"","parse-names":false,"suffix":""},{"dropping-particle":"","family":"Tralhão","given":"José Guilherme","non-dropping-particle":"","parse-names":false,"suffix":""}],"container-title":"International Journal of Molecular Sciences","id":"ITEM-3","issue":"1","issued":{"date-parts":[["2020","1","1"]]},"publisher":"MDPI AG","title":"Multifactorial scores and biomarkers of prognosis of acute pancreatitis: Applications to research and practice","type":"article","volume":"21"},"uris":["http://www.mendeley.com/documents/?uuid=d7578b54-ad42-3582-8507-1cb752477cd0"]},{"id":"ITEM-4","itemData":{"DOI":"10.1136/gut.47.4.546","ISBN":"0017-5749 (Print)\r0017-5749","PMID":"10986216","abstract":"BACKGROUND: The time course and relationship between circulating and local cytokine concentrations, pancreatic inflammation, and organ dysfunction in acute pancreatitis are largely unknown. PATIENTS AND METHODS: In a prospective clinical study, we measured the proinflammatory cytokines interleukin (IL)-1 beta, IL-6 and IL-8, the anti-inflammatory cytokine IL-10, interleukin 1 beta receptor antagonist (IL-1RA), and the soluble IL-2 receptor (sIL-2R), and correlated our findings with organ and systemic complications in acute pancreatitis. In 51 patients with acute pancreatitis admitted within 72 hours after the onset of symptoms, these parameters were measured daily for seven days. In addition, 33 aspirates from ascites and the lesser sac were measured. RESULTS: Sixteen patients had mild acute pancreatitis (AP) and 35 severe AP (Atlanta classification); 18 patients developed systemic complications requiring treatment. All mediators were increased in AP. sIL-2R, IL-10, and IL-6 were significantly elevated in patients with distant organ failure. An imbalance in IL-1 beta/IL-1RA was found in severe AP and pulmonary failure. Peak serum sIL-2R predicted lethal outcome and IL-1RA was an early marker of severity. IL-6 was the best prognostic parameter for pulmonary failure. CONCLUSION: Our results suggest that local mediator release, with a probable IL-1 beta-IL-1RA imbalance in severe cases, is followed by the systemic appearance of pro- and anti-inflammatory mediators. The pattern of local and systemic mediators in complicated AP suggests a role for systemic lymphocyte activation (triggered by local release of mediators) in distant organ complications in severe AP.","author":[{"dropping-particle":"","family":"Mayer","given":"J","non-dropping-particle":"","parse-names":false,"suffix":""},{"dropping-particle":"","family":"Rau","given":"B","non-dropping-particle":"","parse-names":false,"suffix":""},{"dropping-particle":"","family":"Gansauge","given":"F","non-dropping-particle":"","parse-names":false,"suffix":""},{"dropping-particle":"","family":"Beger","given":"H G","non-dropping-particle":"","parse-names":false,"suffix":""}],"container-title":"Gut","edition":"2000/09/15","id":"ITEM-4","issue":"4","issued":{"date-parts":[["2000"]]},"language":"eng","note":"1458-3288\nMayer, J\nRau, B\nGansauge, F\nBeger, H G\nJournal Article\nResearch Support, Non-U.S. Gov't\nGut. 2000 Oct;47(4):546-52. doi: 10.1136/gut.47.4.546.","page":"546-552","title":"Inflammatory mediators in human acute pancreatitis: clinical and pathophysiological implications","type":"article-journal","volume":"47"},"uris":["http://www.mendeley.com/documents/?uuid=337601f4-fb20-486d-9944-ee1659b02638"]}],"mendeley":{"formattedCitation":"&lt;sup&gt;[20–23]&lt;/sup&gt;","plainTextFormattedCitation":"[20–23]","previouslyFormattedCitation":"&lt;sup&gt;[20–23]&lt;/sup&gt;"},"properties":{"noteIndex":0},"schema":"https://github.com/citation-style-language/schema/raw/master/csl-citation.json"}</w:instrText>
      </w:r>
      <w:r w:rsidR="00630D66" w:rsidRPr="00C67AD0">
        <w:rPr>
          <w:rFonts w:ascii="Book Antiqua" w:hAnsi="Book Antiqua" w:cs="Times New Roman"/>
          <w:bCs/>
          <w:sz w:val="24"/>
          <w:szCs w:val="24"/>
          <w:lang w:val="en-GB"/>
        </w:rPr>
        <w:fldChar w:fldCharType="separate"/>
      </w:r>
      <w:r w:rsidR="00FB4F41" w:rsidRPr="00C67AD0">
        <w:rPr>
          <w:rFonts w:ascii="Book Antiqua" w:hAnsi="Book Antiqua" w:cs="Times New Roman"/>
          <w:bCs/>
          <w:noProof/>
          <w:sz w:val="24"/>
          <w:szCs w:val="24"/>
          <w:vertAlign w:val="superscript"/>
          <w:lang w:val="en-GB"/>
        </w:rPr>
        <w:t>[20–23]</w:t>
      </w:r>
      <w:r w:rsidR="00630D66" w:rsidRPr="00C67AD0">
        <w:rPr>
          <w:rFonts w:ascii="Book Antiqua" w:hAnsi="Book Antiqua" w:cs="Times New Roman"/>
          <w:bCs/>
          <w:sz w:val="24"/>
          <w:szCs w:val="24"/>
          <w:lang w:val="en-GB"/>
        </w:rPr>
        <w:fldChar w:fldCharType="end"/>
      </w:r>
      <w:r w:rsidR="005600DA" w:rsidRPr="00C67AD0">
        <w:rPr>
          <w:rFonts w:ascii="Book Antiqua" w:hAnsi="Book Antiqua" w:cs="Times New Roman"/>
          <w:bCs/>
          <w:sz w:val="24"/>
          <w:szCs w:val="24"/>
          <w:lang w:val="en-GB"/>
        </w:rPr>
        <w:t xml:space="preserve">. </w:t>
      </w:r>
      <w:r w:rsidR="009832F6" w:rsidRPr="00C67AD0">
        <w:rPr>
          <w:rFonts w:ascii="Book Antiqua" w:hAnsi="Book Antiqua" w:cs="Times New Roman"/>
          <w:bCs/>
          <w:sz w:val="24"/>
          <w:szCs w:val="24"/>
          <w:lang w:val="en-GB"/>
        </w:rPr>
        <w:t xml:space="preserve">In the current study, treatment with PEG35 was </w:t>
      </w:r>
      <w:r w:rsidR="00595872" w:rsidRPr="00C67AD0">
        <w:rPr>
          <w:rFonts w:ascii="Book Antiqua" w:hAnsi="Book Antiqua" w:cs="Times New Roman"/>
          <w:bCs/>
          <w:sz w:val="24"/>
          <w:szCs w:val="24"/>
          <w:lang w:val="en-GB"/>
        </w:rPr>
        <w:t>cap</w:t>
      </w:r>
      <w:r w:rsidR="009832F6" w:rsidRPr="00C67AD0">
        <w:rPr>
          <w:rFonts w:ascii="Book Antiqua" w:hAnsi="Book Antiqua" w:cs="Times New Roman"/>
          <w:bCs/>
          <w:sz w:val="24"/>
          <w:szCs w:val="24"/>
          <w:lang w:val="en-GB"/>
        </w:rPr>
        <w:t xml:space="preserve">able to significantly reduce the AP-induced </w:t>
      </w:r>
      <w:r w:rsidR="00595872" w:rsidRPr="00C67AD0">
        <w:rPr>
          <w:rFonts w:ascii="Book Antiqua" w:hAnsi="Book Antiqua" w:cs="Times New Roman"/>
          <w:bCs/>
          <w:sz w:val="24"/>
          <w:szCs w:val="24"/>
          <w:lang w:val="en-GB"/>
        </w:rPr>
        <w:t xml:space="preserve">raises </w:t>
      </w:r>
      <w:r w:rsidR="009832F6" w:rsidRPr="00C67AD0">
        <w:rPr>
          <w:rFonts w:ascii="Book Antiqua" w:hAnsi="Book Antiqua" w:cs="Times New Roman"/>
          <w:bCs/>
          <w:sz w:val="24"/>
          <w:szCs w:val="24"/>
          <w:lang w:val="en-GB"/>
        </w:rPr>
        <w:t>in pro-inflammatory IL1β</w:t>
      </w:r>
      <w:r w:rsidR="00F17450" w:rsidRPr="00C67AD0">
        <w:rPr>
          <w:rFonts w:ascii="Book Antiqua" w:hAnsi="Book Antiqua" w:cs="Times New Roman"/>
          <w:bCs/>
          <w:sz w:val="24"/>
          <w:szCs w:val="24"/>
          <w:lang w:val="en-GB"/>
        </w:rPr>
        <w:t xml:space="preserve"> and</w:t>
      </w:r>
      <w:r w:rsidR="009832F6" w:rsidRPr="00C67AD0">
        <w:rPr>
          <w:rFonts w:ascii="Book Antiqua" w:hAnsi="Book Antiqua" w:cs="Times New Roman"/>
          <w:bCs/>
          <w:sz w:val="24"/>
          <w:szCs w:val="24"/>
          <w:lang w:val="en-GB"/>
        </w:rPr>
        <w:t xml:space="preserve"> IL6. </w:t>
      </w:r>
      <w:r w:rsidR="0061348F" w:rsidRPr="00C67AD0">
        <w:rPr>
          <w:rFonts w:ascii="Book Antiqua" w:hAnsi="Book Antiqua" w:cs="Times New Roman"/>
          <w:bCs/>
          <w:sz w:val="24"/>
          <w:szCs w:val="24"/>
          <w:lang w:val="en-GB"/>
        </w:rPr>
        <w:t xml:space="preserve">However, no </w:t>
      </w:r>
      <w:r w:rsidR="009832F6" w:rsidRPr="00C67AD0">
        <w:rPr>
          <w:rFonts w:ascii="Book Antiqua" w:hAnsi="Book Antiqua" w:cs="Times New Roman"/>
          <w:bCs/>
          <w:sz w:val="24"/>
          <w:szCs w:val="24"/>
          <w:lang w:val="en-GB"/>
        </w:rPr>
        <w:t>significant effect on TNFα was observed</w:t>
      </w:r>
      <w:r w:rsidR="0061348F" w:rsidRPr="00C67AD0">
        <w:rPr>
          <w:rFonts w:ascii="Book Antiqua" w:hAnsi="Book Antiqua" w:cs="Times New Roman"/>
          <w:bCs/>
          <w:sz w:val="24"/>
          <w:szCs w:val="24"/>
          <w:lang w:val="en-GB"/>
        </w:rPr>
        <w:t xml:space="preserve">. </w:t>
      </w:r>
      <w:r w:rsidR="00F17450" w:rsidRPr="00C67AD0">
        <w:rPr>
          <w:rFonts w:ascii="Book Antiqua" w:hAnsi="Book Antiqua" w:cs="Times New Roman"/>
          <w:bCs/>
          <w:sz w:val="24"/>
          <w:szCs w:val="24"/>
          <w:lang w:val="en-GB"/>
        </w:rPr>
        <w:t xml:space="preserve">This fact could be explained by the levels of IL10 found in </w:t>
      </w:r>
      <w:r w:rsidR="00210E87" w:rsidRPr="00C67AD0">
        <w:rPr>
          <w:rFonts w:ascii="Book Antiqua" w:hAnsi="Book Antiqua" w:cs="Times New Roman"/>
          <w:bCs/>
          <w:sz w:val="24"/>
          <w:szCs w:val="24"/>
          <w:lang w:val="en-GB"/>
        </w:rPr>
        <w:t xml:space="preserve">rats co-treated with </w:t>
      </w:r>
      <w:proofErr w:type="spellStart"/>
      <w:r w:rsidR="00210E87" w:rsidRPr="00C67AD0">
        <w:rPr>
          <w:rFonts w:ascii="Book Antiqua" w:hAnsi="Book Antiqua" w:cs="Times New Roman"/>
          <w:bCs/>
          <w:sz w:val="24"/>
          <w:szCs w:val="24"/>
          <w:lang w:val="en-GB"/>
        </w:rPr>
        <w:t>cerulein</w:t>
      </w:r>
      <w:proofErr w:type="spellEnd"/>
      <w:r w:rsidR="00210E87" w:rsidRPr="00C67AD0">
        <w:rPr>
          <w:rFonts w:ascii="Book Antiqua" w:hAnsi="Book Antiqua" w:cs="Times New Roman"/>
          <w:bCs/>
          <w:sz w:val="24"/>
          <w:szCs w:val="24"/>
          <w:lang w:val="en-GB"/>
        </w:rPr>
        <w:t xml:space="preserve"> and </w:t>
      </w:r>
      <w:r w:rsidR="00F17450" w:rsidRPr="00C67AD0">
        <w:rPr>
          <w:rFonts w:ascii="Book Antiqua" w:hAnsi="Book Antiqua" w:cs="Times New Roman"/>
          <w:bCs/>
          <w:sz w:val="24"/>
          <w:szCs w:val="24"/>
          <w:lang w:val="en-GB"/>
        </w:rPr>
        <w:t xml:space="preserve">PEG35, which were </w:t>
      </w:r>
      <w:r w:rsidR="00ED66CB" w:rsidRPr="00C67AD0">
        <w:rPr>
          <w:rFonts w:ascii="Book Antiqua" w:hAnsi="Book Antiqua" w:cs="Times New Roman"/>
          <w:bCs/>
          <w:sz w:val="24"/>
          <w:szCs w:val="24"/>
          <w:lang w:val="en-GB"/>
        </w:rPr>
        <w:t>similar to th</w:t>
      </w:r>
      <w:r w:rsidR="00FE3E1E" w:rsidRPr="00C67AD0">
        <w:rPr>
          <w:rFonts w:ascii="Book Antiqua" w:hAnsi="Book Antiqua" w:cs="Times New Roman"/>
          <w:bCs/>
          <w:sz w:val="24"/>
          <w:szCs w:val="24"/>
          <w:lang w:val="en-GB"/>
        </w:rPr>
        <w:t>ose</w:t>
      </w:r>
      <w:r w:rsidR="00ED66CB" w:rsidRPr="00C67AD0">
        <w:rPr>
          <w:rFonts w:ascii="Book Antiqua" w:hAnsi="Book Antiqua" w:cs="Times New Roman"/>
          <w:bCs/>
          <w:sz w:val="24"/>
          <w:szCs w:val="24"/>
          <w:lang w:val="en-GB"/>
        </w:rPr>
        <w:t xml:space="preserve"> found in </w:t>
      </w:r>
      <w:r w:rsidR="00210E87" w:rsidRPr="00C67AD0">
        <w:rPr>
          <w:rFonts w:ascii="Book Antiqua" w:hAnsi="Book Antiqua" w:cs="Times New Roman"/>
          <w:bCs/>
          <w:sz w:val="24"/>
          <w:szCs w:val="24"/>
          <w:lang w:val="en-GB"/>
        </w:rPr>
        <w:t xml:space="preserve">those only treated with </w:t>
      </w:r>
      <w:proofErr w:type="spellStart"/>
      <w:r w:rsidR="00ED66CB" w:rsidRPr="00C67AD0">
        <w:rPr>
          <w:rFonts w:ascii="Book Antiqua" w:hAnsi="Book Antiqua" w:cs="Times New Roman"/>
          <w:bCs/>
          <w:sz w:val="24"/>
          <w:szCs w:val="24"/>
          <w:lang w:val="en-GB"/>
        </w:rPr>
        <w:t>cerulein</w:t>
      </w:r>
      <w:proofErr w:type="spellEnd"/>
      <w:r w:rsidR="00ED66CB" w:rsidRPr="00C67AD0">
        <w:rPr>
          <w:rFonts w:ascii="Book Antiqua" w:hAnsi="Book Antiqua" w:cs="Times New Roman"/>
          <w:bCs/>
          <w:sz w:val="24"/>
          <w:szCs w:val="24"/>
          <w:lang w:val="en-GB"/>
        </w:rPr>
        <w:t xml:space="preserve">. </w:t>
      </w:r>
      <w:r w:rsidR="00210E87" w:rsidRPr="00C67AD0">
        <w:rPr>
          <w:rFonts w:ascii="Book Antiqua" w:hAnsi="Book Antiqua" w:cs="Times New Roman"/>
          <w:bCs/>
          <w:sz w:val="24"/>
          <w:szCs w:val="24"/>
          <w:lang w:val="en-GB"/>
        </w:rPr>
        <w:t xml:space="preserve">As </w:t>
      </w:r>
      <w:r w:rsidR="00F17450" w:rsidRPr="00C67AD0">
        <w:rPr>
          <w:rFonts w:ascii="Book Antiqua" w:hAnsi="Book Antiqua" w:cs="Times New Roman"/>
          <w:bCs/>
          <w:sz w:val="24"/>
          <w:szCs w:val="24"/>
          <w:lang w:val="en-GB"/>
        </w:rPr>
        <w:t xml:space="preserve">IL10 </w:t>
      </w:r>
      <w:r w:rsidR="001F4A48" w:rsidRPr="00C67AD0">
        <w:rPr>
          <w:rFonts w:ascii="Book Antiqua" w:hAnsi="Book Antiqua" w:cs="Times New Roman"/>
          <w:bCs/>
          <w:sz w:val="24"/>
          <w:szCs w:val="24"/>
          <w:lang w:val="en-GB"/>
        </w:rPr>
        <w:t xml:space="preserve">plays a </w:t>
      </w:r>
      <w:r w:rsidR="00595872" w:rsidRPr="00C67AD0">
        <w:rPr>
          <w:rFonts w:ascii="Book Antiqua" w:hAnsi="Book Antiqua" w:cs="Times New Roman"/>
          <w:bCs/>
          <w:sz w:val="24"/>
          <w:szCs w:val="24"/>
          <w:lang w:val="en-GB"/>
        </w:rPr>
        <w:t xml:space="preserve">fundamental </w:t>
      </w:r>
      <w:r w:rsidR="001F4A48" w:rsidRPr="00C67AD0">
        <w:rPr>
          <w:rFonts w:ascii="Book Antiqua" w:hAnsi="Book Antiqua" w:cs="Times New Roman"/>
          <w:bCs/>
          <w:sz w:val="24"/>
          <w:szCs w:val="24"/>
          <w:lang w:val="en-GB"/>
        </w:rPr>
        <w:t xml:space="preserve">role in the attenuation </w:t>
      </w:r>
      <w:r w:rsidR="00F17450" w:rsidRPr="00C67AD0">
        <w:rPr>
          <w:rFonts w:ascii="Book Antiqua" w:hAnsi="Book Antiqua" w:cs="Times New Roman"/>
          <w:bCs/>
          <w:sz w:val="24"/>
          <w:szCs w:val="24"/>
          <w:lang w:val="en-GB"/>
        </w:rPr>
        <w:t>of the cytokine response</w:t>
      </w:r>
      <w:r w:rsidR="0061348F" w:rsidRPr="00C67AD0">
        <w:rPr>
          <w:rFonts w:ascii="Book Antiqua" w:hAnsi="Book Antiqua" w:cs="Times New Roman"/>
          <w:bCs/>
          <w:sz w:val="24"/>
          <w:szCs w:val="24"/>
          <w:lang w:val="en-GB"/>
        </w:rPr>
        <w:t xml:space="preserve"> during acute inflammation</w:t>
      </w:r>
      <w:r w:rsidR="001F4A48" w:rsidRPr="00C67AD0">
        <w:rPr>
          <w:rFonts w:ascii="Book Antiqua" w:hAnsi="Book Antiqua" w:cs="Times New Roman"/>
          <w:bCs/>
          <w:sz w:val="24"/>
          <w:szCs w:val="24"/>
          <w:lang w:val="en-GB"/>
        </w:rPr>
        <w:t xml:space="preserve">, the </w:t>
      </w:r>
      <w:r w:rsidR="00D12BCA" w:rsidRPr="00C67AD0">
        <w:rPr>
          <w:rFonts w:ascii="Book Antiqua" w:hAnsi="Book Antiqua" w:cs="Times New Roman"/>
          <w:bCs/>
          <w:sz w:val="24"/>
          <w:szCs w:val="24"/>
          <w:lang w:val="en-GB"/>
        </w:rPr>
        <w:t xml:space="preserve">significant </w:t>
      </w:r>
      <w:r w:rsidR="001F4A48" w:rsidRPr="00C67AD0">
        <w:rPr>
          <w:rFonts w:ascii="Book Antiqua" w:hAnsi="Book Antiqua" w:cs="Times New Roman"/>
          <w:bCs/>
          <w:sz w:val="24"/>
          <w:szCs w:val="24"/>
          <w:lang w:val="en-GB"/>
        </w:rPr>
        <w:t xml:space="preserve">increase of IL10 found in </w:t>
      </w:r>
      <w:proofErr w:type="spellStart"/>
      <w:r w:rsidR="001F4A48" w:rsidRPr="00C67AD0">
        <w:rPr>
          <w:rFonts w:ascii="Book Antiqua" w:hAnsi="Book Antiqua" w:cs="Times New Roman"/>
          <w:bCs/>
          <w:sz w:val="24"/>
          <w:szCs w:val="24"/>
          <w:lang w:val="en-GB"/>
        </w:rPr>
        <w:t>hyperstimulated</w:t>
      </w:r>
      <w:proofErr w:type="spellEnd"/>
      <w:r w:rsidR="001F4A48" w:rsidRPr="00C67AD0">
        <w:rPr>
          <w:rFonts w:ascii="Book Antiqua" w:hAnsi="Book Antiqua" w:cs="Times New Roman"/>
          <w:bCs/>
          <w:sz w:val="24"/>
          <w:szCs w:val="24"/>
          <w:lang w:val="en-GB"/>
        </w:rPr>
        <w:t xml:space="preserve"> rats may contribute to slow TNFα production, </w:t>
      </w:r>
      <w:r w:rsidR="00F224DA" w:rsidRPr="00C67AD0">
        <w:rPr>
          <w:rFonts w:ascii="Book Antiqua" w:hAnsi="Book Antiqua" w:cs="Times New Roman"/>
          <w:bCs/>
          <w:sz w:val="24"/>
          <w:szCs w:val="24"/>
          <w:lang w:val="en-GB"/>
        </w:rPr>
        <w:t xml:space="preserve">with </w:t>
      </w:r>
      <w:r w:rsidR="0061348F" w:rsidRPr="00C67AD0">
        <w:rPr>
          <w:rFonts w:ascii="Book Antiqua" w:hAnsi="Book Antiqua" w:cs="Times New Roman"/>
          <w:bCs/>
          <w:sz w:val="24"/>
          <w:szCs w:val="24"/>
          <w:lang w:val="en-GB"/>
        </w:rPr>
        <w:t>a</w:t>
      </w:r>
      <w:r w:rsidR="00E70C4C">
        <w:rPr>
          <w:rFonts w:ascii="Book Antiqua" w:hAnsi="Book Antiqua" w:cs="Times New Roman"/>
          <w:bCs/>
          <w:sz w:val="24"/>
          <w:szCs w:val="24"/>
          <w:lang w:val="en-GB"/>
        </w:rPr>
        <w:t>n</w:t>
      </w:r>
      <w:r w:rsidR="0061348F" w:rsidRPr="00C67AD0">
        <w:rPr>
          <w:rFonts w:ascii="Book Antiqua" w:hAnsi="Book Antiqua" w:cs="Times New Roman"/>
          <w:bCs/>
          <w:sz w:val="24"/>
          <w:szCs w:val="24"/>
          <w:lang w:val="en-GB"/>
        </w:rPr>
        <w:t xml:space="preserve"> </w:t>
      </w:r>
      <w:r w:rsidR="00F224DA" w:rsidRPr="00C67AD0">
        <w:rPr>
          <w:rFonts w:ascii="Book Antiqua" w:hAnsi="Book Antiqua" w:cs="Times New Roman"/>
          <w:bCs/>
          <w:sz w:val="24"/>
          <w:szCs w:val="24"/>
          <w:lang w:val="en-GB"/>
        </w:rPr>
        <w:t xml:space="preserve">observed </w:t>
      </w:r>
      <w:r w:rsidR="0061348F" w:rsidRPr="00C67AD0">
        <w:rPr>
          <w:rFonts w:ascii="Book Antiqua" w:hAnsi="Book Antiqua" w:cs="Times New Roman"/>
          <w:bCs/>
          <w:sz w:val="24"/>
          <w:szCs w:val="24"/>
          <w:lang w:val="en-GB"/>
        </w:rPr>
        <w:t>tendency toward</w:t>
      </w:r>
      <w:r w:rsidR="00F224DA" w:rsidRPr="00C67AD0">
        <w:rPr>
          <w:rFonts w:ascii="Book Antiqua" w:hAnsi="Book Antiqua" w:cs="Times New Roman"/>
          <w:bCs/>
          <w:sz w:val="24"/>
          <w:szCs w:val="24"/>
          <w:lang w:val="en-GB"/>
        </w:rPr>
        <w:t>s</w:t>
      </w:r>
      <w:r w:rsidR="0061348F" w:rsidRPr="00C67AD0">
        <w:rPr>
          <w:rFonts w:ascii="Book Antiqua" w:hAnsi="Book Antiqua" w:cs="Times New Roman"/>
          <w:bCs/>
          <w:sz w:val="24"/>
          <w:szCs w:val="24"/>
          <w:lang w:val="en-GB"/>
        </w:rPr>
        <w:t xml:space="preserve"> a decrease in its expression. </w:t>
      </w:r>
      <w:r w:rsidR="00384813" w:rsidRPr="00C67AD0">
        <w:rPr>
          <w:rFonts w:ascii="Book Antiqua" w:hAnsi="Book Antiqua" w:cs="Times New Roman"/>
          <w:bCs/>
          <w:sz w:val="24"/>
          <w:szCs w:val="24"/>
          <w:lang w:val="en-GB"/>
        </w:rPr>
        <w:t>Indeed</w:t>
      </w:r>
      <w:r w:rsidR="0061348F" w:rsidRPr="00C67AD0">
        <w:rPr>
          <w:rFonts w:ascii="Book Antiqua" w:hAnsi="Book Antiqua" w:cs="Times New Roman"/>
          <w:bCs/>
          <w:sz w:val="24"/>
          <w:szCs w:val="24"/>
          <w:lang w:val="en-GB"/>
        </w:rPr>
        <w:t xml:space="preserve">, in </w:t>
      </w:r>
      <w:r w:rsidR="00DF387B" w:rsidRPr="00C67AD0">
        <w:rPr>
          <w:rFonts w:ascii="Book Antiqua" w:hAnsi="Book Antiqua" w:cs="Times New Roman"/>
          <w:bCs/>
          <w:sz w:val="24"/>
          <w:szCs w:val="24"/>
          <w:lang w:val="en-GB"/>
        </w:rPr>
        <w:t xml:space="preserve">an </w:t>
      </w:r>
      <w:r w:rsidR="0061348F" w:rsidRPr="00C67AD0">
        <w:rPr>
          <w:rFonts w:ascii="Book Antiqua" w:hAnsi="Book Antiqua" w:cs="Times New Roman"/>
          <w:bCs/>
          <w:sz w:val="24"/>
          <w:szCs w:val="24"/>
          <w:lang w:val="en-GB"/>
        </w:rPr>
        <w:t xml:space="preserve">experimental model of </w:t>
      </w:r>
      <w:proofErr w:type="spellStart"/>
      <w:r w:rsidR="0061348F" w:rsidRPr="00C67AD0">
        <w:rPr>
          <w:rFonts w:ascii="Book Antiqua" w:hAnsi="Book Antiqua" w:cs="Times New Roman"/>
          <w:bCs/>
          <w:sz w:val="24"/>
          <w:szCs w:val="24"/>
          <w:lang w:val="en-GB"/>
        </w:rPr>
        <w:t>cerulein</w:t>
      </w:r>
      <w:proofErr w:type="spellEnd"/>
      <w:r w:rsidR="0061348F" w:rsidRPr="00C67AD0">
        <w:rPr>
          <w:rFonts w:ascii="Book Antiqua" w:hAnsi="Book Antiqua" w:cs="Times New Roman"/>
          <w:bCs/>
          <w:sz w:val="24"/>
          <w:szCs w:val="24"/>
          <w:lang w:val="en-GB"/>
        </w:rPr>
        <w:t>-</w:t>
      </w:r>
      <w:r w:rsidR="000265B7" w:rsidRPr="00C67AD0">
        <w:rPr>
          <w:rFonts w:ascii="Book Antiqua" w:hAnsi="Book Antiqua" w:cs="Times New Roman"/>
          <w:bCs/>
          <w:sz w:val="24"/>
          <w:szCs w:val="24"/>
          <w:lang w:val="en-GB"/>
        </w:rPr>
        <w:t xml:space="preserve">induced </w:t>
      </w:r>
      <w:r w:rsidR="0061348F" w:rsidRPr="00C67AD0">
        <w:rPr>
          <w:rFonts w:ascii="Book Antiqua" w:hAnsi="Book Antiqua" w:cs="Times New Roman"/>
          <w:bCs/>
          <w:sz w:val="24"/>
          <w:szCs w:val="24"/>
          <w:lang w:val="en-GB"/>
        </w:rPr>
        <w:t>AP</w:t>
      </w:r>
      <w:r w:rsidR="001A2C6C" w:rsidRPr="00C67AD0">
        <w:rPr>
          <w:rFonts w:ascii="Book Antiqua" w:hAnsi="Book Antiqua" w:cs="Times New Roman"/>
          <w:bCs/>
          <w:sz w:val="24"/>
          <w:szCs w:val="24"/>
          <w:lang w:val="en-GB"/>
        </w:rPr>
        <w:t>,</w:t>
      </w:r>
      <w:r w:rsidR="0061348F" w:rsidRPr="00C67AD0">
        <w:rPr>
          <w:rFonts w:ascii="Book Antiqua" w:hAnsi="Book Antiqua" w:cs="Times New Roman"/>
          <w:bCs/>
          <w:sz w:val="24"/>
          <w:szCs w:val="24"/>
          <w:lang w:val="en-GB"/>
        </w:rPr>
        <w:t xml:space="preserve"> intraperitoneal </w:t>
      </w:r>
      <w:r w:rsidR="00384813" w:rsidRPr="00C67AD0">
        <w:rPr>
          <w:rFonts w:ascii="Book Antiqua" w:hAnsi="Book Antiqua" w:cs="Times New Roman"/>
          <w:bCs/>
          <w:sz w:val="24"/>
          <w:szCs w:val="24"/>
          <w:lang w:val="en-GB"/>
        </w:rPr>
        <w:t xml:space="preserve">IL10 </w:t>
      </w:r>
      <w:r w:rsidR="00485BDC" w:rsidRPr="00C67AD0">
        <w:rPr>
          <w:rFonts w:ascii="Book Antiqua" w:hAnsi="Book Antiqua" w:cs="Times New Roman"/>
          <w:bCs/>
          <w:sz w:val="24"/>
          <w:szCs w:val="24"/>
          <w:lang w:val="en-GB"/>
        </w:rPr>
        <w:t>administration attenuate</w:t>
      </w:r>
      <w:r w:rsidR="00384813" w:rsidRPr="00C67AD0">
        <w:rPr>
          <w:rFonts w:ascii="Book Antiqua" w:hAnsi="Book Antiqua" w:cs="Times New Roman"/>
          <w:bCs/>
          <w:sz w:val="24"/>
          <w:szCs w:val="24"/>
          <w:lang w:val="en-GB"/>
        </w:rPr>
        <w:t>d</w:t>
      </w:r>
      <w:r w:rsidR="00485BDC" w:rsidRPr="00C67AD0">
        <w:rPr>
          <w:rFonts w:ascii="Book Antiqua" w:hAnsi="Book Antiqua" w:cs="Times New Roman"/>
          <w:bCs/>
          <w:sz w:val="24"/>
          <w:szCs w:val="24"/>
          <w:lang w:val="en-GB"/>
        </w:rPr>
        <w:t xml:space="preserve"> TNF</w:t>
      </w:r>
      <w:r w:rsidR="00384813" w:rsidRPr="00C67AD0">
        <w:rPr>
          <w:rFonts w:ascii="Book Antiqua" w:hAnsi="Book Antiqua" w:cs="Times New Roman"/>
          <w:bCs/>
          <w:sz w:val="24"/>
          <w:szCs w:val="24"/>
          <w:lang w:val="en-GB"/>
        </w:rPr>
        <w:t>α</w:t>
      </w:r>
      <w:r w:rsidR="00F17450" w:rsidRPr="00C67AD0">
        <w:rPr>
          <w:rFonts w:ascii="Book Antiqua" w:hAnsi="Book Antiqua" w:cs="Times New Roman"/>
          <w:bCs/>
          <w:sz w:val="24"/>
          <w:szCs w:val="24"/>
          <w:lang w:val="en-GB"/>
        </w:rPr>
        <w:t xml:space="preserve"> </w:t>
      </w:r>
      <w:r w:rsidR="00485BDC" w:rsidRPr="00C67AD0">
        <w:rPr>
          <w:rFonts w:ascii="Book Antiqua" w:hAnsi="Book Antiqua" w:cs="Times New Roman"/>
          <w:bCs/>
          <w:sz w:val="24"/>
          <w:szCs w:val="24"/>
          <w:lang w:val="en-GB"/>
        </w:rPr>
        <w:t xml:space="preserve">production, which </w:t>
      </w:r>
      <w:r w:rsidR="0061348F" w:rsidRPr="00C67AD0">
        <w:rPr>
          <w:rFonts w:ascii="Book Antiqua" w:hAnsi="Book Antiqua" w:cs="Times New Roman"/>
          <w:bCs/>
          <w:sz w:val="24"/>
          <w:szCs w:val="24"/>
          <w:lang w:val="en-GB"/>
        </w:rPr>
        <w:t xml:space="preserve">was </w:t>
      </w:r>
      <w:r w:rsidR="00485BDC" w:rsidRPr="00C67AD0">
        <w:rPr>
          <w:rFonts w:ascii="Book Antiqua" w:hAnsi="Book Antiqua" w:cs="Times New Roman"/>
          <w:bCs/>
          <w:sz w:val="24"/>
          <w:szCs w:val="24"/>
          <w:lang w:val="en-GB"/>
        </w:rPr>
        <w:t>associated with</w:t>
      </w:r>
      <w:r w:rsidR="00F17450" w:rsidRPr="00C67AD0">
        <w:rPr>
          <w:rFonts w:ascii="Book Antiqua" w:hAnsi="Book Antiqua" w:cs="Times New Roman"/>
          <w:bCs/>
          <w:sz w:val="24"/>
          <w:szCs w:val="24"/>
          <w:lang w:val="en-GB"/>
        </w:rPr>
        <w:t xml:space="preserve"> dramatically lessened pancreatitis severity and mortality</w:t>
      </w:r>
      <w:r w:rsidR="004C6B0F" w:rsidRPr="00C67AD0">
        <w:rPr>
          <w:rFonts w:ascii="Book Antiqua" w:hAnsi="Book Antiqua" w:cs="Times New Roman"/>
          <w:bCs/>
          <w:sz w:val="24"/>
          <w:szCs w:val="24"/>
          <w:lang w:val="en-GB"/>
        </w:rPr>
        <w:fldChar w:fldCharType="begin" w:fldLock="1"/>
      </w:r>
      <w:r w:rsidR="002722A6" w:rsidRPr="00C67AD0">
        <w:rPr>
          <w:rFonts w:ascii="Book Antiqua" w:hAnsi="Book Antiqua" w:cs="Times New Roman"/>
          <w:bCs/>
          <w:sz w:val="24"/>
          <w:szCs w:val="24"/>
          <w:lang w:val="en-GB"/>
        </w:rPr>
        <w:instrText>ADDIN CSL_CITATION {"citationItems":[{"id":"ITEM-1","itemData":{"DOI":"10.1053/gast.1997.v112.pm9041259","PMID":"9041259","abstract":"Background and Aims: Previous studies have documented the effectiveness of interleukin (IL)-10 if given before the onset of experimental acute pancreatitis. This study examined whether IL-10, a cytokine that inhibits macrophage release of inflammatory mediators, would alter the severity of acute pancreatitis if given before or after the induction of disease. Methods: Eighty-four Sprague-Dawley rats were divided into four groups. Group 1 received intravenous saline, and groups 2, 3, and 4 received intravenous cerulein (8.5 μg · kg-1 · h-1). Group 3 was also given 150,000 U of intraperitoneal IL-10 1 hour before cerulein infusion and every 3 hours thereafter. Group 4 received 150,000 U intraperitoneal IL-10 2 hours after cerulein infusion and every 3 hours thereafter. Serum amylase and tumor necrosis factor (TNF)-α levels were measured before and 3, 9, or 15 hours after induction of pancreatitis. Animals were killed at these time points. Pancreata were analyzed for edema and TNF-α mRNA and TNF-α protein concentrations and were graded histologically. Results: Serum amylase, TNF- α mRNA, and TNF-α protein levels, pancreatic edema, and histological score were significantly reduced when IL-10 was administered either before or after induction of pancreatitis. Serum TNF-α levels were undetectable. Conclusions: IL-10 attenuated the severity of experimental acute pancreatitis if given either before or after the induction of the disease. These results are consistent with the hypothesis that the macrophage is important in determining the severity of acute pancreatitis in this model.","author":[{"dropping-particle":"","family":"Rongione","given":"A. J.","non-dropping-particle":"","parse-names":false,"suffix":""},{"dropping-particle":"","family":"Kusske","given":"A. M.","non-dropping-particle":"","parse-names":false,"suffix":""},{"dropping-particle":"","family":"Kwan","given":"K.","non-dropping-particle":"","parse-names":false,"suffix":""},{"dropping-particle":"","family":"Ashley","given":"S. W.","non-dropping-particle":"","parse-names":false,"suffix":""},{"dropping-particle":"","family":"Reber","given":"H. A.","non-dropping-particle":"","parse-names":false,"suffix":""},{"dropping-particle":"","family":"McFadden","given":"D. W.","non-dropping-particle":"","parse-names":false,"suffix":""}],"container-title":"Gastroenterology","id":"ITEM-1","issue":"3","issued":{"date-parts":[["1997"]]},"page":"960-967","publisher":"W.B. Saunders","title":"Interleukin 10 reduces the severity of acute pancreatitis in rats","type":"article-journal","volume":"112"},"uris":["http://www.mendeley.com/documents/?uuid=51ded078-e095-3dcc-9d2f-e4af05d153e5"]}],"mendeley":{"formattedCitation":"&lt;sup&gt;[24]&lt;/sup&gt;","plainTextFormattedCitation":"[24]","previouslyFormattedCitation":"&lt;sup&gt;[24]&lt;/sup&gt;"},"properties":{"noteIndex":0},"schema":"https://github.com/citation-style-language/schema/raw/master/csl-citation.json"}</w:instrText>
      </w:r>
      <w:r w:rsidR="004C6B0F" w:rsidRPr="00C67AD0">
        <w:rPr>
          <w:rFonts w:ascii="Book Antiqua" w:hAnsi="Book Antiqua" w:cs="Times New Roman"/>
          <w:bCs/>
          <w:sz w:val="24"/>
          <w:szCs w:val="24"/>
          <w:lang w:val="en-GB"/>
        </w:rPr>
        <w:fldChar w:fldCharType="separate"/>
      </w:r>
      <w:r w:rsidR="00FB4F41" w:rsidRPr="00C67AD0">
        <w:rPr>
          <w:rFonts w:ascii="Book Antiqua" w:hAnsi="Book Antiqua" w:cs="Times New Roman"/>
          <w:bCs/>
          <w:noProof/>
          <w:sz w:val="24"/>
          <w:szCs w:val="24"/>
          <w:vertAlign w:val="superscript"/>
          <w:lang w:val="en-GB"/>
        </w:rPr>
        <w:t>[24]</w:t>
      </w:r>
      <w:r w:rsidR="004C6B0F" w:rsidRPr="00C67AD0">
        <w:rPr>
          <w:rFonts w:ascii="Book Antiqua" w:hAnsi="Book Antiqua" w:cs="Times New Roman"/>
          <w:bCs/>
          <w:sz w:val="24"/>
          <w:szCs w:val="24"/>
          <w:lang w:val="en-GB"/>
        </w:rPr>
        <w:fldChar w:fldCharType="end"/>
      </w:r>
      <w:r w:rsidR="00485BDC" w:rsidRPr="00C67AD0">
        <w:rPr>
          <w:rFonts w:ascii="Book Antiqua" w:hAnsi="Book Antiqua" w:cs="Times New Roman"/>
          <w:bCs/>
          <w:sz w:val="24"/>
          <w:szCs w:val="24"/>
          <w:lang w:val="en-GB"/>
        </w:rPr>
        <w:t>.</w:t>
      </w:r>
      <w:r w:rsidR="009832F6" w:rsidRPr="00C67AD0">
        <w:rPr>
          <w:rFonts w:ascii="Book Antiqua" w:hAnsi="Book Antiqua" w:cs="Times New Roman"/>
          <w:bCs/>
          <w:sz w:val="24"/>
          <w:szCs w:val="24"/>
          <w:lang w:val="en-GB"/>
        </w:rPr>
        <w:t xml:space="preserve"> </w:t>
      </w:r>
    </w:p>
    <w:p w14:paraId="58EBF7C4" w14:textId="50135A3F" w:rsidR="0061798C" w:rsidRPr="00C67AD0" w:rsidRDefault="0061798C" w:rsidP="00416EC8">
      <w:pPr>
        <w:spacing w:line="360" w:lineRule="auto"/>
        <w:ind w:firstLineChars="100" w:firstLine="240"/>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Furthermore, a direct anti-inflammatory effect of PEG35 was observed in cultured AR42J cells. In an </w:t>
      </w:r>
      <w:r w:rsidRPr="00C67AD0">
        <w:rPr>
          <w:rFonts w:ascii="Book Antiqua" w:hAnsi="Book Antiqua" w:cs="Times New Roman"/>
          <w:bCs/>
          <w:i/>
          <w:iCs/>
          <w:sz w:val="24"/>
          <w:szCs w:val="24"/>
          <w:lang w:val="en-GB"/>
        </w:rPr>
        <w:t>in vitro</w:t>
      </w:r>
      <w:r w:rsidRPr="00C67AD0">
        <w:rPr>
          <w:rFonts w:ascii="Book Antiqua" w:hAnsi="Book Antiqua" w:cs="Times New Roman"/>
          <w:bCs/>
          <w:sz w:val="24"/>
          <w:szCs w:val="24"/>
          <w:lang w:val="en-GB"/>
        </w:rPr>
        <w:t xml:space="preserve"> model of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-induced inflammation, PEG35 was able to attenuate the gene expression of pro-inflammatory IL1β and TNFα in a dose-dependent manner. Moreover, PEG35 reduced the levels of TNFα in </w:t>
      </w:r>
      <w:r w:rsidR="00F44223" w:rsidRPr="00C67AD0">
        <w:rPr>
          <w:rFonts w:ascii="Book Antiqua" w:hAnsi="Book Antiqua" w:cs="Times New Roman"/>
          <w:bCs/>
          <w:sz w:val="24"/>
          <w:szCs w:val="24"/>
          <w:lang w:val="en-GB"/>
        </w:rPr>
        <w:t xml:space="preserve">AR42J </w:t>
      </w:r>
      <w:r w:rsidRPr="00C67AD0">
        <w:rPr>
          <w:rFonts w:ascii="Book Antiqua" w:hAnsi="Book Antiqua" w:cs="Times New Roman"/>
          <w:bCs/>
          <w:sz w:val="24"/>
          <w:szCs w:val="24"/>
          <w:lang w:val="en-GB"/>
        </w:rPr>
        <w:t>cells stimulated with TNFα.</w:t>
      </w:r>
    </w:p>
    <w:p w14:paraId="13D53484" w14:textId="5970F953" w:rsidR="0061798C" w:rsidRPr="00C67AD0" w:rsidRDefault="0061798C" w:rsidP="00416EC8">
      <w:pPr>
        <w:spacing w:line="360" w:lineRule="auto"/>
        <w:ind w:firstLineChars="100" w:firstLine="240"/>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Pro-inflammatory cytokines are known to activate </w:t>
      </w:r>
      <w:r w:rsidR="00702C20" w:rsidRPr="00C67AD0">
        <w:rPr>
          <w:rFonts w:ascii="Book Antiqua" w:hAnsi="Book Antiqua" w:cs="Times New Roman"/>
          <w:bCs/>
          <w:sz w:val="24"/>
          <w:szCs w:val="24"/>
          <w:lang w:val="en-GB"/>
        </w:rPr>
        <w:t>the</w:t>
      </w:r>
      <w:r w:rsidRPr="00C67AD0">
        <w:rPr>
          <w:rFonts w:ascii="Book Antiqua" w:hAnsi="Book Antiqua" w:cs="Times New Roman"/>
          <w:bCs/>
          <w:sz w:val="24"/>
          <w:szCs w:val="24"/>
          <w:lang w:val="en-GB"/>
        </w:rPr>
        <w:t xml:space="preserve"> inducible </w:t>
      </w:r>
      <w:proofErr w:type="spellStart"/>
      <w:r w:rsidR="00416EC8" w:rsidRPr="00C67AD0">
        <w:rPr>
          <w:rFonts w:ascii="Book Antiqua" w:hAnsi="Book Antiqua" w:cs="Times New Roman"/>
          <w:bCs/>
          <w:sz w:val="24"/>
          <w:szCs w:val="24"/>
          <w:lang w:val="en-GB"/>
        </w:rPr>
        <w:t>iNOS</w:t>
      </w:r>
      <w:proofErr w:type="spellEnd"/>
      <w:r w:rsidRPr="00C67AD0">
        <w:rPr>
          <w:rFonts w:ascii="Book Antiqua" w:hAnsi="Book Antiqua" w:cs="Times New Roman"/>
          <w:bCs/>
          <w:sz w:val="24"/>
          <w:szCs w:val="24"/>
          <w:lang w:val="en-GB"/>
        </w:rPr>
        <w:t xml:space="preserve"> and the subsequent production of nitric oxide</w:t>
      </w:r>
      <w:r w:rsidR="001A2C6C" w:rsidRPr="00C67AD0">
        <w:rPr>
          <w:rFonts w:ascii="Book Antiqua" w:hAnsi="Book Antiqua" w:cs="Times New Roman"/>
          <w:bCs/>
          <w:sz w:val="24"/>
          <w:szCs w:val="24"/>
          <w:lang w:val="en-GB"/>
        </w:rPr>
        <w:t>,</w:t>
      </w:r>
      <w:r w:rsidRPr="00C67AD0">
        <w:rPr>
          <w:rFonts w:ascii="Book Antiqua" w:hAnsi="Book Antiqua" w:cs="Times New Roman"/>
          <w:bCs/>
          <w:sz w:val="24"/>
          <w:szCs w:val="24"/>
          <w:lang w:val="en-GB"/>
        </w:rPr>
        <w:t xml:space="preserve"> thus contributing to the pathophysiology of AP. In fact, the degree of pancreatic inflammation and tissue injury of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-induced AP has been found to be markedly reduced in </w:t>
      </w:r>
      <w:proofErr w:type="spellStart"/>
      <w:r w:rsidRPr="00C67AD0">
        <w:rPr>
          <w:rFonts w:ascii="Book Antiqua" w:hAnsi="Book Antiqua" w:cs="Times New Roman"/>
          <w:bCs/>
          <w:sz w:val="24"/>
          <w:szCs w:val="24"/>
          <w:lang w:val="en-GB"/>
        </w:rPr>
        <w:t>iNOS</w:t>
      </w:r>
      <w:proofErr w:type="spellEnd"/>
      <w:r w:rsidRPr="00C67AD0">
        <w:rPr>
          <w:rFonts w:ascii="Book Antiqua" w:hAnsi="Book Antiqua" w:cs="Times New Roman"/>
          <w:bCs/>
          <w:sz w:val="24"/>
          <w:szCs w:val="24"/>
          <w:lang w:val="en-GB"/>
        </w:rPr>
        <w:t>-deficient mice</w:t>
      </w:r>
      <w:r w:rsidR="004C6B0F" w:rsidRPr="00C67AD0">
        <w:rPr>
          <w:rFonts w:ascii="Book Antiqua" w:hAnsi="Book Antiqua" w:cs="Times New Roman"/>
          <w:bCs/>
          <w:sz w:val="24"/>
          <w:szCs w:val="24"/>
          <w:lang w:val="en-GB"/>
        </w:rPr>
        <w:fldChar w:fldCharType="begin" w:fldLock="1"/>
      </w:r>
      <w:r w:rsidR="002722A6" w:rsidRPr="00C67AD0">
        <w:rPr>
          <w:rFonts w:ascii="Book Antiqua" w:hAnsi="Book Antiqua" w:cs="Times New Roman"/>
          <w:bCs/>
          <w:sz w:val="24"/>
          <w:szCs w:val="24"/>
          <w:lang w:val="en-GB"/>
        </w:rPr>
        <w:instrText>ADDIN CSL_CITATION {"citationItems":[{"id":"ITEM-1","itemData":{"DOI":"10.1097/00024382-200205000-00013","PMID":"12022764","abstract":"Oxidative stress plays an important role in the early stage of acute pancreatitis as well as the associated multiple organ injury. Here we compare the degree of pancreatitis caused by cerulein in mice lacking the inducible (or type 2) nitric oxide synthase (iNOS) and in the corresponding wild-type mice. Intraperitoneal injection of cerulein resulted in wild-type mice in a severe, acute pancreatitis, which was characterized by edema, neutrophil infiltration, tissue hemorrhage and cell necrosis as well as increases in the serum levels of amylase and/or lipase. The infiltration of the pancreatic tissue of these animals with neutrophils (measured as increase in myeloperoxidase activity) was associated with up-regulation/expression of the adhesion molecules ICAM-1 and P-selectin as well as signs of enhanced lipid peroxidation (e.g., increased tissue levels of malondialdehyde). Immunohistochemical examination demonstrated a marked increase in the staining (immunoreactivity) for nitrotyrosine and poly (ADP-ribose) synthetase (PARS) in the pancreas of cerulein-treated iNOS wild-type mice. In contrast, the degree of pancreatic inflammation and tissue injury (histological score), upregulation/ expression of P-selectin and ICAM-1, the staining for nitrotyrosine and PARS, and lipid peroxidation was markedly reduced in pancreatic tissue sections obtained from cerulein-treated iNOS-deficient mice. These findings support the view that iNOS plays an important, pro-inflammatory role in the acute pancreatitis caused by cerulein in mice.","author":[{"dropping-particle":"","family":"Cuzzocrea","given":"Salvatore","non-dropping-particle":"","parse-names":false,"suffix":""},{"dropping-particle":"","family":"Mazzon","given":"Emanuela","non-dropping-particle":"","parse-names":false,"suffix":""},{"dropping-particle":"","family":"Dugo","given":"Laura","non-dropping-particle":"","parse-names":false,"suffix":""},{"dropping-particle":"","family":"Serraino","given":"Ivana","non-dropping-particle":"","parse-names":false,"suffix":""},{"dropping-particle":"","family":"Centorrino","given":"Tommaso","non-dropping-particle":"","parse-names":false,"suffix":""},{"dropping-particle":"","family":"Ciccolo","given":"Antonio","non-dropping-particle":"","parse-names":false,"suffix":""},{"dropping-particle":"","family":"Loo","given":"Fons A.J.","non-dropping-particle":"Van De","parse-names":false,"suffix":""},{"dropping-particle":"","family":"Britti","given":"Domenico","non-dropping-particle":"","parse-names":false,"suffix":""},{"dropping-particle":"","family":"Caputi","given":"Achille P.","non-dropping-particle":"","parse-names":false,"suffix":""},{"dropping-particle":"","family":"Thiemermann","given":"Christoph","non-dropping-particle":"","parse-names":false,"suffix":""}],"container-title":"Shock","id":"ITEM-1","issue":"5","issued":{"date-parts":[["2002"]]},"page":"416-422","publisher":"BioMedical Press","title":"Inducible nitric oxide synthase-deficient mice exhibit resistance to the acute pancreatitis induced by cerulein","type":"article-journal","volume":"17"},"uris":["http://www.mendeley.com/documents/?uuid=aad5dd45-8c8f-3688-bafc-201066e2a69b"]}],"mendeley":{"formattedCitation":"&lt;sup&gt;[25]&lt;/sup&gt;","plainTextFormattedCitation":"[25]","previouslyFormattedCitation":"&lt;sup&gt;[25]&lt;/sup&gt;"},"properties":{"noteIndex":0},"schema":"https://github.com/citation-style-language/schema/raw/master/csl-citation.json"}</w:instrText>
      </w:r>
      <w:r w:rsidR="004C6B0F" w:rsidRPr="00C67AD0">
        <w:rPr>
          <w:rFonts w:ascii="Book Antiqua" w:hAnsi="Book Antiqua" w:cs="Times New Roman"/>
          <w:bCs/>
          <w:sz w:val="24"/>
          <w:szCs w:val="24"/>
          <w:lang w:val="en-GB"/>
        </w:rPr>
        <w:fldChar w:fldCharType="separate"/>
      </w:r>
      <w:r w:rsidR="00FB4F41" w:rsidRPr="00C67AD0">
        <w:rPr>
          <w:rFonts w:ascii="Book Antiqua" w:hAnsi="Book Antiqua" w:cs="Times New Roman"/>
          <w:bCs/>
          <w:noProof/>
          <w:sz w:val="24"/>
          <w:szCs w:val="24"/>
          <w:vertAlign w:val="superscript"/>
          <w:lang w:val="en-GB"/>
        </w:rPr>
        <w:t>[25]</w:t>
      </w:r>
      <w:r w:rsidR="004C6B0F" w:rsidRPr="00C67AD0">
        <w:rPr>
          <w:rFonts w:ascii="Book Antiqua" w:hAnsi="Book Antiqua" w:cs="Times New Roman"/>
          <w:bCs/>
          <w:sz w:val="24"/>
          <w:szCs w:val="24"/>
          <w:lang w:val="en-GB"/>
        </w:rPr>
        <w:fldChar w:fldCharType="end"/>
      </w:r>
      <w:r w:rsidRPr="00C67AD0">
        <w:rPr>
          <w:rFonts w:ascii="Book Antiqua" w:hAnsi="Book Antiqua" w:cs="Times New Roman"/>
          <w:bCs/>
          <w:sz w:val="24"/>
          <w:szCs w:val="24"/>
          <w:lang w:val="en-GB"/>
        </w:rPr>
        <w:t xml:space="preserve">. In our study, we observed an increased mRNA expression of </w:t>
      </w:r>
      <w:proofErr w:type="spellStart"/>
      <w:r w:rsidRPr="00C67AD0">
        <w:rPr>
          <w:rFonts w:ascii="Book Antiqua" w:hAnsi="Book Antiqua" w:cs="Times New Roman"/>
          <w:bCs/>
          <w:sz w:val="24"/>
          <w:szCs w:val="24"/>
          <w:lang w:val="en-GB"/>
        </w:rPr>
        <w:t>iNOS</w:t>
      </w:r>
      <w:proofErr w:type="spellEnd"/>
      <w:r w:rsidRPr="00C67AD0">
        <w:rPr>
          <w:rFonts w:ascii="Book Antiqua" w:hAnsi="Book Antiqua" w:cs="Times New Roman"/>
          <w:bCs/>
          <w:sz w:val="24"/>
          <w:szCs w:val="24"/>
          <w:lang w:val="en-GB"/>
        </w:rPr>
        <w:t xml:space="preserve"> following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 </w:t>
      </w:r>
      <w:proofErr w:type="spellStart"/>
      <w:r w:rsidRPr="00C67AD0">
        <w:rPr>
          <w:rFonts w:ascii="Book Antiqua" w:hAnsi="Book Antiqua" w:cs="Times New Roman"/>
          <w:bCs/>
          <w:sz w:val="24"/>
          <w:szCs w:val="24"/>
          <w:lang w:val="en-GB"/>
        </w:rPr>
        <w:t>hyperstimulation</w:t>
      </w:r>
      <w:proofErr w:type="spellEnd"/>
      <w:r w:rsidRPr="00C67AD0">
        <w:rPr>
          <w:rFonts w:ascii="Book Antiqua" w:hAnsi="Book Antiqua" w:cs="Times New Roman"/>
          <w:bCs/>
          <w:sz w:val="24"/>
          <w:szCs w:val="24"/>
          <w:lang w:val="en-GB"/>
        </w:rPr>
        <w:t xml:space="preserve"> </w:t>
      </w:r>
      <w:r w:rsidR="002B7A70" w:rsidRPr="00C67AD0">
        <w:rPr>
          <w:rFonts w:ascii="Book Antiqua" w:hAnsi="Book Antiqua" w:cs="Times New Roman"/>
          <w:bCs/>
          <w:sz w:val="24"/>
          <w:szCs w:val="24"/>
          <w:lang w:val="en-GB"/>
        </w:rPr>
        <w:t>in rats</w:t>
      </w:r>
      <w:r w:rsidR="001A2C6C" w:rsidRPr="00C67AD0">
        <w:rPr>
          <w:rFonts w:ascii="Book Antiqua" w:hAnsi="Book Antiqua" w:cs="Times New Roman"/>
          <w:bCs/>
          <w:sz w:val="24"/>
          <w:szCs w:val="24"/>
          <w:lang w:val="en-GB"/>
        </w:rPr>
        <w:t>,</w:t>
      </w:r>
      <w:r w:rsidR="002B7A70" w:rsidRPr="00C67AD0">
        <w:rPr>
          <w:rFonts w:ascii="Book Antiqua" w:hAnsi="Book Antiqua" w:cs="Times New Roman"/>
          <w:bCs/>
          <w:sz w:val="24"/>
          <w:szCs w:val="24"/>
          <w:lang w:val="en-GB"/>
        </w:rPr>
        <w:t xml:space="preserve"> </w:t>
      </w:r>
      <w:r w:rsidR="001A2C6C" w:rsidRPr="00C67AD0">
        <w:rPr>
          <w:rFonts w:ascii="Book Antiqua" w:hAnsi="Book Antiqua" w:cs="Times New Roman"/>
          <w:bCs/>
          <w:sz w:val="24"/>
          <w:szCs w:val="24"/>
          <w:lang w:val="en-GB"/>
        </w:rPr>
        <w:t xml:space="preserve">which underwent </w:t>
      </w:r>
      <w:r w:rsidRPr="00C67AD0">
        <w:rPr>
          <w:rFonts w:ascii="Book Antiqua" w:hAnsi="Book Antiqua" w:cs="Times New Roman"/>
          <w:bCs/>
          <w:sz w:val="24"/>
          <w:szCs w:val="24"/>
          <w:lang w:val="en-GB"/>
        </w:rPr>
        <w:t xml:space="preserve">a significant reduction after PEG35 treatment. Likewise, PEG35 </w:t>
      </w:r>
      <w:r w:rsidR="002B7A70" w:rsidRPr="00C67AD0">
        <w:rPr>
          <w:rFonts w:ascii="Book Antiqua" w:hAnsi="Book Antiqua" w:cs="Times New Roman"/>
          <w:bCs/>
          <w:sz w:val="24"/>
          <w:szCs w:val="24"/>
          <w:lang w:val="en-GB"/>
        </w:rPr>
        <w:t>abrogate</w:t>
      </w:r>
      <w:r w:rsidR="001A2C6C" w:rsidRPr="00C67AD0">
        <w:rPr>
          <w:rFonts w:ascii="Book Antiqua" w:hAnsi="Book Antiqua" w:cs="Times New Roman"/>
          <w:bCs/>
          <w:sz w:val="24"/>
          <w:szCs w:val="24"/>
          <w:lang w:val="en-GB"/>
        </w:rPr>
        <w:t>d</w:t>
      </w:r>
      <w:r w:rsidR="002B7A70" w:rsidRPr="00C67AD0">
        <w:rPr>
          <w:rFonts w:ascii="Book Antiqua" w:hAnsi="Book Antiqua" w:cs="Times New Roman"/>
          <w:bCs/>
          <w:sz w:val="24"/>
          <w:szCs w:val="24"/>
          <w:lang w:val="en-GB"/>
        </w:rPr>
        <w:t xml:space="preserve"> </w:t>
      </w:r>
      <w:r w:rsidRPr="00C67AD0">
        <w:rPr>
          <w:rFonts w:ascii="Book Antiqua" w:hAnsi="Book Antiqua" w:cs="Times New Roman"/>
          <w:bCs/>
          <w:sz w:val="24"/>
          <w:szCs w:val="24"/>
          <w:lang w:val="en-GB"/>
        </w:rPr>
        <w:t xml:space="preserve">TNFα-induced </w:t>
      </w:r>
      <w:proofErr w:type="spellStart"/>
      <w:r w:rsidRPr="00C67AD0">
        <w:rPr>
          <w:rFonts w:ascii="Book Antiqua" w:hAnsi="Book Antiqua" w:cs="Times New Roman"/>
          <w:bCs/>
          <w:sz w:val="24"/>
          <w:szCs w:val="24"/>
          <w:lang w:val="en-GB"/>
        </w:rPr>
        <w:t>iNOS</w:t>
      </w:r>
      <w:proofErr w:type="spellEnd"/>
      <w:r w:rsidRPr="00C67AD0">
        <w:rPr>
          <w:rFonts w:ascii="Book Antiqua" w:hAnsi="Book Antiqua" w:cs="Times New Roman"/>
          <w:bCs/>
          <w:sz w:val="24"/>
          <w:szCs w:val="24"/>
          <w:lang w:val="en-GB"/>
        </w:rPr>
        <w:t xml:space="preserve"> expression in acinar cells in a </w:t>
      </w:r>
      <w:r w:rsidR="00595872" w:rsidRPr="00C67AD0">
        <w:rPr>
          <w:rFonts w:ascii="Book Antiqua" w:hAnsi="Book Antiqua" w:cs="Times New Roman"/>
          <w:bCs/>
          <w:sz w:val="24"/>
          <w:szCs w:val="24"/>
          <w:lang w:val="en-GB"/>
        </w:rPr>
        <w:t>concentration</w:t>
      </w:r>
      <w:r w:rsidRPr="00C67AD0">
        <w:rPr>
          <w:rFonts w:ascii="Book Antiqua" w:hAnsi="Book Antiqua" w:cs="Times New Roman"/>
          <w:bCs/>
          <w:sz w:val="24"/>
          <w:szCs w:val="24"/>
          <w:lang w:val="en-GB"/>
        </w:rPr>
        <w:t xml:space="preserve">-dependent manner. Altogether, these results </w:t>
      </w:r>
      <w:r w:rsidR="001A2C6C" w:rsidRPr="00C67AD0">
        <w:rPr>
          <w:rFonts w:ascii="Book Antiqua" w:hAnsi="Book Antiqua" w:cs="Times New Roman"/>
          <w:bCs/>
          <w:sz w:val="24"/>
          <w:szCs w:val="24"/>
          <w:lang w:val="en-GB"/>
        </w:rPr>
        <w:t xml:space="preserve">suggest </w:t>
      </w:r>
      <w:r w:rsidRPr="00C67AD0">
        <w:rPr>
          <w:rFonts w:ascii="Book Antiqua" w:hAnsi="Book Antiqua" w:cs="Times New Roman"/>
          <w:bCs/>
          <w:sz w:val="24"/>
          <w:szCs w:val="24"/>
          <w:lang w:val="en-GB"/>
        </w:rPr>
        <w:t xml:space="preserve">that PEG35 </w:t>
      </w:r>
      <w:r w:rsidRPr="00C67AD0">
        <w:rPr>
          <w:rFonts w:ascii="Book Antiqua" w:hAnsi="Book Antiqua" w:cs="Times New Roman"/>
          <w:bCs/>
          <w:sz w:val="24"/>
          <w:szCs w:val="24"/>
          <w:lang w:val="en-GB"/>
        </w:rPr>
        <w:lastRenderedPageBreak/>
        <w:t>treatment reduced pancreatic inflammation in pancreatitis by suppressing the expression of pro-inflammatory mediators.</w:t>
      </w:r>
    </w:p>
    <w:p w14:paraId="1B11281C" w14:textId="4E96E590" w:rsidR="001F44D0" w:rsidRPr="00C67AD0" w:rsidRDefault="00661E04" w:rsidP="00453A36">
      <w:pPr>
        <w:spacing w:line="360" w:lineRule="auto"/>
        <w:ind w:firstLineChars="100" w:firstLine="240"/>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These changes in </w:t>
      </w:r>
      <w:r w:rsidR="00361D6F" w:rsidRPr="00C67AD0">
        <w:rPr>
          <w:rFonts w:ascii="Book Antiqua" w:hAnsi="Book Antiqua" w:cs="Times New Roman"/>
          <w:bCs/>
          <w:sz w:val="24"/>
          <w:szCs w:val="24"/>
          <w:lang w:val="en-GB"/>
        </w:rPr>
        <w:t xml:space="preserve">the </w:t>
      </w:r>
      <w:r w:rsidRPr="00C67AD0">
        <w:rPr>
          <w:rFonts w:ascii="Book Antiqua" w:hAnsi="Book Antiqua" w:cs="Times New Roman"/>
          <w:bCs/>
          <w:sz w:val="24"/>
          <w:szCs w:val="24"/>
          <w:lang w:val="en-GB"/>
        </w:rPr>
        <w:t xml:space="preserve">inflammatory </w:t>
      </w:r>
      <w:r w:rsidR="00595872" w:rsidRPr="00C67AD0">
        <w:rPr>
          <w:rFonts w:ascii="Book Antiqua" w:hAnsi="Book Antiqua" w:cs="Times New Roman"/>
          <w:bCs/>
          <w:sz w:val="24"/>
          <w:szCs w:val="24"/>
          <w:lang w:val="en-GB"/>
        </w:rPr>
        <w:t xml:space="preserve">response </w:t>
      </w:r>
      <w:r w:rsidRPr="00C67AD0">
        <w:rPr>
          <w:rFonts w:ascii="Book Antiqua" w:hAnsi="Book Antiqua" w:cs="Times New Roman"/>
          <w:bCs/>
          <w:sz w:val="24"/>
          <w:szCs w:val="24"/>
          <w:lang w:val="en-GB"/>
        </w:rPr>
        <w:t xml:space="preserve">brought about by PEG35 </w:t>
      </w:r>
      <w:r w:rsidR="00595872" w:rsidRPr="00C67AD0">
        <w:rPr>
          <w:rFonts w:ascii="Book Antiqua" w:hAnsi="Book Antiqua" w:cs="Times New Roman"/>
          <w:bCs/>
          <w:sz w:val="24"/>
          <w:szCs w:val="24"/>
          <w:lang w:val="en-GB"/>
        </w:rPr>
        <w:t xml:space="preserve">treatment </w:t>
      </w:r>
      <w:r w:rsidRPr="00C67AD0">
        <w:rPr>
          <w:rFonts w:ascii="Book Antiqua" w:hAnsi="Book Antiqua" w:cs="Times New Roman"/>
          <w:bCs/>
          <w:sz w:val="24"/>
          <w:szCs w:val="24"/>
          <w:lang w:val="en-GB"/>
        </w:rPr>
        <w:t xml:space="preserve">were further emphasized by a reduction in pancreatic cell death. </w:t>
      </w:r>
      <w:r w:rsidR="005B7BBD" w:rsidRPr="00C67AD0">
        <w:rPr>
          <w:rFonts w:ascii="Book Antiqua" w:hAnsi="Book Antiqua" w:cs="Times New Roman"/>
          <w:bCs/>
          <w:sz w:val="24"/>
          <w:szCs w:val="24"/>
          <w:lang w:val="en-GB"/>
        </w:rPr>
        <w:t xml:space="preserve">PEG35 </w:t>
      </w:r>
      <w:r w:rsidR="0061798C" w:rsidRPr="00C67AD0">
        <w:rPr>
          <w:rFonts w:ascii="Book Antiqua" w:hAnsi="Book Antiqua" w:cs="Times New Roman"/>
          <w:bCs/>
          <w:sz w:val="24"/>
          <w:szCs w:val="24"/>
          <w:lang w:val="en-GB"/>
        </w:rPr>
        <w:t xml:space="preserve">treatment reduced cell death </w:t>
      </w:r>
      <w:r w:rsidR="002C7AF8" w:rsidRPr="00C67AD0">
        <w:rPr>
          <w:rFonts w:ascii="Book Antiqua" w:hAnsi="Book Antiqua" w:cs="Times New Roman"/>
          <w:bCs/>
          <w:sz w:val="24"/>
          <w:szCs w:val="24"/>
          <w:lang w:val="en-GB"/>
        </w:rPr>
        <w:t xml:space="preserve">in </w:t>
      </w:r>
      <w:proofErr w:type="spellStart"/>
      <w:r w:rsidR="002C7AF8" w:rsidRPr="00C67AD0">
        <w:rPr>
          <w:rFonts w:ascii="Book Antiqua" w:hAnsi="Book Antiqua" w:cs="Times New Roman"/>
          <w:bCs/>
          <w:sz w:val="24"/>
          <w:szCs w:val="24"/>
          <w:lang w:val="en-GB"/>
        </w:rPr>
        <w:t>cerulein</w:t>
      </w:r>
      <w:proofErr w:type="spellEnd"/>
      <w:r w:rsidR="002C7AF8" w:rsidRPr="00C67AD0">
        <w:rPr>
          <w:rFonts w:ascii="Book Antiqua" w:hAnsi="Book Antiqua" w:cs="Times New Roman"/>
          <w:bCs/>
          <w:sz w:val="24"/>
          <w:szCs w:val="24"/>
          <w:lang w:val="en-GB"/>
        </w:rPr>
        <w:t xml:space="preserve">-induced AP rats </w:t>
      </w:r>
      <w:r w:rsidR="0061798C" w:rsidRPr="00C67AD0">
        <w:rPr>
          <w:rFonts w:ascii="Book Antiqua" w:hAnsi="Book Antiqua" w:cs="Times New Roman"/>
          <w:bCs/>
          <w:sz w:val="24"/>
          <w:szCs w:val="24"/>
          <w:lang w:val="en-GB"/>
        </w:rPr>
        <w:t>by lowering plasmatic LDH activity</w:t>
      </w:r>
      <w:r w:rsidR="00990A08" w:rsidRPr="00C67AD0">
        <w:rPr>
          <w:rFonts w:ascii="Book Antiqua" w:hAnsi="Book Antiqua" w:cs="Times New Roman"/>
          <w:bCs/>
          <w:sz w:val="24"/>
          <w:szCs w:val="24"/>
          <w:lang w:val="en-GB"/>
        </w:rPr>
        <w:t xml:space="preserve">. </w:t>
      </w:r>
      <w:r w:rsidR="002B7A70" w:rsidRPr="00C67AD0">
        <w:rPr>
          <w:rFonts w:ascii="Book Antiqua" w:hAnsi="Book Antiqua" w:cs="Times New Roman"/>
          <w:bCs/>
          <w:sz w:val="24"/>
          <w:szCs w:val="24"/>
          <w:lang w:val="en-GB"/>
        </w:rPr>
        <w:t>In addition, the</w:t>
      </w:r>
      <w:r w:rsidR="00506EB3" w:rsidRPr="00C67AD0">
        <w:rPr>
          <w:rFonts w:ascii="Book Antiqua" w:hAnsi="Book Antiqua" w:cs="Times New Roman"/>
          <w:bCs/>
          <w:sz w:val="24"/>
          <w:szCs w:val="24"/>
          <w:lang w:val="en-GB"/>
        </w:rPr>
        <w:t xml:space="preserve"> increased release of LDH observed in </w:t>
      </w:r>
      <w:proofErr w:type="spellStart"/>
      <w:r w:rsidR="00B245D2" w:rsidRPr="00C67AD0">
        <w:rPr>
          <w:rFonts w:ascii="Book Antiqua" w:hAnsi="Book Antiqua" w:cs="Times New Roman"/>
          <w:bCs/>
          <w:sz w:val="24"/>
          <w:szCs w:val="24"/>
          <w:lang w:val="en-GB"/>
        </w:rPr>
        <w:t>cerulein</w:t>
      </w:r>
      <w:proofErr w:type="spellEnd"/>
      <w:r w:rsidR="00B245D2" w:rsidRPr="00C67AD0">
        <w:rPr>
          <w:rFonts w:ascii="Book Antiqua" w:hAnsi="Book Antiqua" w:cs="Times New Roman"/>
          <w:bCs/>
          <w:sz w:val="24"/>
          <w:szCs w:val="24"/>
          <w:lang w:val="en-GB"/>
        </w:rPr>
        <w:t xml:space="preserve"> and </w:t>
      </w:r>
      <w:r w:rsidR="00506EB3" w:rsidRPr="00C67AD0">
        <w:rPr>
          <w:rFonts w:ascii="Book Antiqua" w:hAnsi="Book Antiqua" w:cs="Times New Roman"/>
          <w:bCs/>
          <w:sz w:val="24"/>
          <w:szCs w:val="24"/>
          <w:lang w:val="en-GB"/>
        </w:rPr>
        <w:t xml:space="preserve">TNFα-treated acinar cells </w:t>
      </w:r>
      <w:r w:rsidR="002B7A70" w:rsidRPr="00C67AD0">
        <w:rPr>
          <w:rFonts w:ascii="Book Antiqua" w:hAnsi="Book Antiqua" w:cs="Times New Roman"/>
          <w:bCs/>
          <w:i/>
          <w:iCs/>
          <w:sz w:val="24"/>
          <w:szCs w:val="24"/>
          <w:lang w:val="en-GB"/>
        </w:rPr>
        <w:t>in vitro</w:t>
      </w:r>
      <w:r w:rsidR="002B7A70" w:rsidRPr="00C67AD0">
        <w:rPr>
          <w:rFonts w:ascii="Book Antiqua" w:hAnsi="Book Antiqua" w:cs="Times New Roman"/>
          <w:bCs/>
          <w:sz w:val="24"/>
          <w:szCs w:val="24"/>
          <w:lang w:val="en-GB"/>
        </w:rPr>
        <w:t xml:space="preserve"> </w:t>
      </w:r>
      <w:r w:rsidR="00506EB3" w:rsidRPr="00C67AD0">
        <w:rPr>
          <w:rFonts w:ascii="Book Antiqua" w:hAnsi="Book Antiqua" w:cs="Times New Roman"/>
          <w:bCs/>
          <w:sz w:val="24"/>
          <w:szCs w:val="24"/>
          <w:lang w:val="en-GB"/>
        </w:rPr>
        <w:t xml:space="preserve">was reverted upon </w:t>
      </w:r>
      <w:r w:rsidR="002B7A70" w:rsidRPr="00C67AD0">
        <w:rPr>
          <w:rFonts w:ascii="Book Antiqua" w:hAnsi="Book Antiqua" w:cs="Times New Roman"/>
          <w:bCs/>
          <w:sz w:val="24"/>
          <w:szCs w:val="24"/>
          <w:lang w:val="en-GB"/>
        </w:rPr>
        <w:t xml:space="preserve">incubation with increasing concentrations of </w:t>
      </w:r>
      <w:r w:rsidR="00506EB3" w:rsidRPr="00C67AD0">
        <w:rPr>
          <w:rFonts w:ascii="Book Antiqua" w:hAnsi="Book Antiqua" w:cs="Times New Roman"/>
          <w:bCs/>
          <w:sz w:val="24"/>
          <w:szCs w:val="24"/>
          <w:lang w:val="en-GB"/>
        </w:rPr>
        <w:t xml:space="preserve">PEG35. </w:t>
      </w:r>
    </w:p>
    <w:p w14:paraId="35080DD3" w14:textId="4F0B2DA8" w:rsidR="001F44D0" w:rsidRPr="00C67AD0" w:rsidRDefault="001F44D0" w:rsidP="00453A36">
      <w:pPr>
        <w:spacing w:line="360" w:lineRule="auto"/>
        <w:ind w:firstLineChars="100" w:firstLine="240"/>
        <w:contextualSpacing/>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In the pancreas, inflammation is associated with injured acinar </w:t>
      </w:r>
      <w:r w:rsidR="00C62D68" w:rsidRPr="00C67AD0">
        <w:rPr>
          <w:rFonts w:ascii="Book Antiqua" w:hAnsi="Book Antiqua" w:cs="Times New Roman"/>
          <w:bCs/>
          <w:sz w:val="24"/>
          <w:szCs w:val="24"/>
          <w:lang w:val="en-GB"/>
        </w:rPr>
        <w:t>cells that</w:t>
      </w:r>
      <w:r w:rsidRPr="00C67AD0">
        <w:rPr>
          <w:rFonts w:ascii="Book Antiqua" w:hAnsi="Book Antiqua" w:cs="Times New Roman"/>
          <w:bCs/>
          <w:sz w:val="24"/>
          <w:szCs w:val="24"/>
          <w:lang w:val="en-GB"/>
        </w:rPr>
        <w:t xml:space="preserve"> can go through necrosis or apoptosis. Thus, we measure</w:t>
      </w:r>
      <w:r w:rsidR="002820F5" w:rsidRPr="00C67AD0">
        <w:rPr>
          <w:rFonts w:ascii="Book Antiqua" w:hAnsi="Book Antiqua" w:cs="Times New Roman"/>
          <w:bCs/>
          <w:sz w:val="24"/>
          <w:szCs w:val="24"/>
          <w:lang w:val="en-GB"/>
        </w:rPr>
        <w:t>d</w:t>
      </w:r>
      <w:r w:rsidRPr="00C67AD0">
        <w:rPr>
          <w:rFonts w:ascii="Book Antiqua" w:hAnsi="Book Antiqua" w:cs="Times New Roman"/>
          <w:bCs/>
          <w:sz w:val="24"/>
          <w:szCs w:val="24"/>
          <w:lang w:val="en-GB"/>
        </w:rPr>
        <w:t xml:space="preserve"> the apoptosis index in pancreatic tissue</w:t>
      </w:r>
      <w:r w:rsidR="00E31CD3" w:rsidRPr="00C67AD0">
        <w:rPr>
          <w:rFonts w:ascii="Book Antiqua" w:hAnsi="Book Antiqua" w:cs="Times New Roman"/>
          <w:bCs/>
          <w:sz w:val="24"/>
          <w:szCs w:val="24"/>
          <w:lang w:val="en-GB"/>
        </w:rPr>
        <w:t xml:space="preserve"> following </w:t>
      </w:r>
      <w:proofErr w:type="spellStart"/>
      <w:r w:rsidR="00E31CD3" w:rsidRPr="00C67AD0">
        <w:rPr>
          <w:rFonts w:ascii="Book Antiqua" w:hAnsi="Book Antiqua" w:cs="Times New Roman"/>
          <w:bCs/>
          <w:sz w:val="24"/>
          <w:szCs w:val="24"/>
          <w:lang w:val="en-GB"/>
        </w:rPr>
        <w:t>cerulein</w:t>
      </w:r>
      <w:proofErr w:type="spellEnd"/>
      <w:r w:rsidR="00E31CD3" w:rsidRPr="00C67AD0">
        <w:rPr>
          <w:rFonts w:ascii="Book Antiqua" w:hAnsi="Book Antiqua" w:cs="Times New Roman"/>
          <w:bCs/>
          <w:sz w:val="24"/>
          <w:szCs w:val="24"/>
          <w:lang w:val="en-GB"/>
        </w:rPr>
        <w:t>-induced AP</w:t>
      </w:r>
      <w:r w:rsidRPr="00C67AD0">
        <w:rPr>
          <w:rFonts w:ascii="Book Antiqua" w:hAnsi="Book Antiqua" w:cs="Times New Roman"/>
          <w:bCs/>
          <w:sz w:val="24"/>
          <w:szCs w:val="24"/>
          <w:lang w:val="en-GB"/>
        </w:rPr>
        <w:t xml:space="preserve">. Injured pancreatic tissue induced </w:t>
      </w:r>
      <w:r w:rsidR="002C7AF8" w:rsidRPr="00C67AD0">
        <w:rPr>
          <w:rFonts w:ascii="Book Antiqua" w:hAnsi="Book Antiqua" w:cs="Times New Roman"/>
          <w:bCs/>
          <w:sz w:val="24"/>
          <w:szCs w:val="24"/>
          <w:lang w:val="en-GB"/>
        </w:rPr>
        <w:t xml:space="preserve">a significant </w:t>
      </w:r>
      <w:r w:rsidRPr="00C67AD0">
        <w:rPr>
          <w:rFonts w:ascii="Book Antiqua" w:hAnsi="Book Antiqua" w:cs="Times New Roman"/>
          <w:bCs/>
          <w:sz w:val="24"/>
          <w:szCs w:val="24"/>
          <w:lang w:val="en-GB"/>
        </w:rPr>
        <w:t xml:space="preserve">increase in </w:t>
      </w:r>
      <w:r w:rsidR="00616E87" w:rsidRPr="00C67AD0">
        <w:rPr>
          <w:rFonts w:ascii="Book Antiqua" w:hAnsi="Book Antiqua" w:cs="Times New Roman"/>
          <w:bCs/>
          <w:sz w:val="24"/>
          <w:szCs w:val="24"/>
          <w:lang w:val="en-GB"/>
        </w:rPr>
        <w:t xml:space="preserve">cleaved </w:t>
      </w:r>
      <w:r w:rsidRPr="00C67AD0">
        <w:rPr>
          <w:rFonts w:ascii="Book Antiqua" w:hAnsi="Book Antiqua" w:cs="Times New Roman"/>
          <w:bCs/>
          <w:sz w:val="24"/>
          <w:szCs w:val="24"/>
          <w:lang w:val="en-GB"/>
        </w:rPr>
        <w:t>caspase-3 and BCL</w:t>
      </w:r>
      <w:r w:rsidR="00EC6DEF" w:rsidRPr="00C67AD0">
        <w:rPr>
          <w:rFonts w:ascii="Book Antiqua" w:hAnsi="Book Antiqua" w:cs="Times New Roman"/>
          <w:bCs/>
          <w:sz w:val="24"/>
          <w:szCs w:val="24"/>
          <w:lang w:val="en-GB"/>
        </w:rPr>
        <w:t>-</w:t>
      </w:r>
      <w:r w:rsidRPr="00C67AD0">
        <w:rPr>
          <w:rFonts w:ascii="Book Antiqua" w:hAnsi="Book Antiqua" w:cs="Times New Roman"/>
          <w:bCs/>
          <w:sz w:val="24"/>
          <w:szCs w:val="24"/>
          <w:lang w:val="en-GB"/>
        </w:rPr>
        <w:t>2 apoptotic proteins</w:t>
      </w:r>
      <w:r w:rsidR="000C3503" w:rsidRPr="00C67AD0">
        <w:rPr>
          <w:rFonts w:ascii="Book Antiqua" w:hAnsi="Book Antiqua" w:cs="Times New Roman"/>
          <w:bCs/>
          <w:sz w:val="24"/>
          <w:szCs w:val="24"/>
          <w:lang w:val="en-GB"/>
        </w:rPr>
        <w:t xml:space="preserve"> </w:t>
      </w:r>
      <w:r w:rsidR="005B7BBD" w:rsidRPr="00C67AD0">
        <w:rPr>
          <w:rFonts w:ascii="Book Antiqua" w:hAnsi="Book Antiqua" w:cs="Times New Roman"/>
          <w:bCs/>
          <w:sz w:val="24"/>
          <w:szCs w:val="24"/>
          <w:lang w:val="en-GB"/>
        </w:rPr>
        <w:t xml:space="preserve">as </w:t>
      </w:r>
      <w:r w:rsidR="000C3503" w:rsidRPr="00C67AD0">
        <w:rPr>
          <w:rFonts w:ascii="Book Antiqua" w:hAnsi="Book Antiqua" w:cs="Times New Roman"/>
          <w:bCs/>
          <w:sz w:val="24"/>
          <w:szCs w:val="24"/>
          <w:lang w:val="en-GB"/>
        </w:rPr>
        <w:t xml:space="preserve">compared to </w:t>
      </w:r>
      <w:r w:rsidR="00513DBE" w:rsidRPr="00C67AD0">
        <w:rPr>
          <w:rFonts w:ascii="Book Antiqua" w:hAnsi="Book Antiqua" w:cs="Times New Roman"/>
          <w:bCs/>
          <w:sz w:val="24"/>
          <w:szCs w:val="24"/>
          <w:lang w:val="en-GB"/>
        </w:rPr>
        <w:t xml:space="preserve">the </w:t>
      </w:r>
      <w:r w:rsidR="000C3503" w:rsidRPr="00C67AD0">
        <w:rPr>
          <w:rFonts w:ascii="Book Antiqua" w:hAnsi="Book Antiqua" w:cs="Times New Roman"/>
          <w:bCs/>
          <w:sz w:val="24"/>
          <w:szCs w:val="24"/>
          <w:lang w:val="en-GB"/>
        </w:rPr>
        <w:t>respective controls</w:t>
      </w:r>
      <w:r w:rsidRPr="00C67AD0">
        <w:rPr>
          <w:rFonts w:ascii="Book Antiqua" w:hAnsi="Book Antiqua" w:cs="Times New Roman"/>
          <w:bCs/>
          <w:sz w:val="24"/>
          <w:szCs w:val="24"/>
          <w:lang w:val="en-GB"/>
        </w:rPr>
        <w:t>. Following treatment with PEG35,</w:t>
      </w:r>
      <w:r w:rsidR="00E31CD3" w:rsidRPr="00C67AD0">
        <w:rPr>
          <w:rFonts w:ascii="Book Antiqua" w:hAnsi="Book Antiqua" w:cs="Times New Roman"/>
          <w:bCs/>
          <w:sz w:val="24"/>
          <w:szCs w:val="24"/>
          <w:lang w:val="en-GB"/>
        </w:rPr>
        <w:t xml:space="preserve"> anti-apoptotic BCL-2 </w:t>
      </w:r>
      <w:r w:rsidR="002820F5" w:rsidRPr="00C67AD0">
        <w:rPr>
          <w:rFonts w:ascii="Book Antiqua" w:hAnsi="Book Antiqua" w:cs="Times New Roman"/>
          <w:bCs/>
          <w:sz w:val="24"/>
          <w:szCs w:val="24"/>
          <w:lang w:val="en-GB"/>
        </w:rPr>
        <w:t xml:space="preserve">further </w:t>
      </w:r>
      <w:r w:rsidR="00E31CD3" w:rsidRPr="00C67AD0">
        <w:rPr>
          <w:rFonts w:ascii="Book Antiqua" w:hAnsi="Book Antiqua" w:cs="Times New Roman"/>
          <w:bCs/>
          <w:sz w:val="24"/>
          <w:szCs w:val="24"/>
          <w:lang w:val="en-GB"/>
        </w:rPr>
        <w:t>increased</w:t>
      </w:r>
      <w:r w:rsidR="00F65C74" w:rsidRPr="00C67AD0">
        <w:rPr>
          <w:rFonts w:ascii="Book Antiqua" w:hAnsi="Book Antiqua" w:cs="Times New Roman"/>
          <w:bCs/>
          <w:sz w:val="24"/>
          <w:szCs w:val="24"/>
          <w:lang w:val="en-GB"/>
        </w:rPr>
        <w:t xml:space="preserve"> as compared with </w:t>
      </w:r>
      <w:proofErr w:type="spellStart"/>
      <w:r w:rsidR="00F65C74" w:rsidRPr="00C67AD0">
        <w:rPr>
          <w:rFonts w:ascii="Book Antiqua" w:hAnsi="Book Antiqua" w:cs="Times New Roman"/>
          <w:bCs/>
          <w:sz w:val="24"/>
          <w:szCs w:val="24"/>
          <w:lang w:val="en-GB"/>
        </w:rPr>
        <w:t>cerulein</w:t>
      </w:r>
      <w:proofErr w:type="spellEnd"/>
      <w:r w:rsidR="00F65C74" w:rsidRPr="00C67AD0">
        <w:rPr>
          <w:rFonts w:ascii="Book Antiqua" w:hAnsi="Book Antiqua" w:cs="Times New Roman"/>
          <w:bCs/>
          <w:sz w:val="24"/>
          <w:szCs w:val="24"/>
          <w:lang w:val="en-GB"/>
        </w:rPr>
        <w:t>-treated animals</w:t>
      </w:r>
      <w:r w:rsidR="00EC6DEF" w:rsidRPr="00C67AD0">
        <w:rPr>
          <w:rFonts w:ascii="Book Antiqua" w:hAnsi="Book Antiqua" w:cs="Times New Roman"/>
          <w:bCs/>
          <w:sz w:val="24"/>
          <w:szCs w:val="24"/>
          <w:lang w:val="en-GB"/>
        </w:rPr>
        <w:t xml:space="preserve"> while </w:t>
      </w:r>
      <w:r w:rsidR="00616E87" w:rsidRPr="00C67AD0">
        <w:rPr>
          <w:rFonts w:ascii="Book Antiqua" w:hAnsi="Book Antiqua" w:cs="Times New Roman"/>
          <w:bCs/>
          <w:sz w:val="24"/>
          <w:szCs w:val="24"/>
          <w:lang w:val="en-GB"/>
        </w:rPr>
        <w:t xml:space="preserve">cleaved </w:t>
      </w:r>
      <w:r w:rsidR="00EC6DEF" w:rsidRPr="00C67AD0">
        <w:rPr>
          <w:rFonts w:ascii="Book Antiqua" w:hAnsi="Book Antiqua" w:cs="Times New Roman"/>
          <w:bCs/>
          <w:sz w:val="24"/>
          <w:szCs w:val="24"/>
          <w:lang w:val="en-GB"/>
        </w:rPr>
        <w:t xml:space="preserve">caspase-3 levels were similar to that found in </w:t>
      </w:r>
      <w:proofErr w:type="spellStart"/>
      <w:r w:rsidR="00EC6DEF" w:rsidRPr="00C67AD0">
        <w:rPr>
          <w:rFonts w:ascii="Book Antiqua" w:hAnsi="Book Antiqua" w:cs="Times New Roman"/>
          <w:bCs/>
          <w:sz w:val="24"/>
          <w:szCs w:val="24"/>
          <w:lang w:val="en-GB"/>
        </w:rPr>
        <w:t>cerulein</w:t>
      </w:r>
      <w:proofErr w:type="spellEnd"/>
      <w:r w:rsidR="00EC6DEF" w:rsidRPr="00C67AD0">
        <w:rPr>
          <w:rFonts w:ascii="Book Antiqua" w:hAnsi="Book Antiqua" w:cs="Times New Roman"/>
          <w:bCs/>
          <w:sz w:val="24"/>
          <w:szCs w:val="24"/>
          <w:lang w:val="en-GB"/>
        </w:rPr>
        <w:t xml:space="preserve"> </w:t>
      </w:r>
      <w:proofErr w:type="spellStart"/>
      <w:r w:rsidR="00EC6DEF" w:rsidRPr="00C67AD0">
        <w:rPr>
          <w:rFonts w:ascii="Book Antiqua" w:hAnsi="Book Antiqua" w:cs="Times New Roman"/>
          <w:bCs/>
          <w:sz w:val="24"/>
          <w:szCs w:val="24"/>
          <w:lang w:val="en-GB"/>
        </w:rPr>
        <w:t>hyperstimulated</w:t>
      </w:r>
      <w:proofErr w:type="spellEnd"/>
      <w:r w:rsidR="00EC6DEF" w:rsidRPr="00C67AD0">
        <w:rPr>
          <w:rFonts w:ascii="Book Antiqua" w:hAnsi="Book Antiqua" w:cs="Times New Roman"/>
          <w:bCs/>
          <w:sz w:val="24"/>
          <w:szCs w:val="24"/>
          <w:lang w:val="en-GB"/>
        </w:rPr>
        <w:t xml:space="preserve"> animals</w:t>
      </w:r>
      <w:r w:rsidR="00E31CD3" w:rsidRPr="00C67AD0">
        <w:rPr>
          <w:rFonts w:ascii="Book Antiqua" w:hAnsi="Book Antiqua" w:cs="Times New Roman"/>
          <w:bCs/>
          <w:sz w:val="24"/>
          <w:szCs w:val="24"/>
          <w:lang w:val="en-GB"/>
        </w:rPr>
        <w:t xml:space="preserve">. </w:t>
      </w:r>
      <w:r w:rsidR="002820F5" w:rsidRPr="00C67AD0">
        <w:rPr>
          <w:rFonts w:ascii="Book Antiqua" w:hAnsi="Book Antiqua" w:cs="Times New Roman"/>
          <w:bCs/>
          <w:sz w:val="24"/>
          <w:szCs w:val="24"/>
          <w:lang w:val="en-GB"/>
        </w:rPr>
        <w:t>Collectively</w:t>
      </w:r>
      <w:r w:rsidR="00E31CD3" w:rsidRPr="00C67AD0">
        <w:rPr>
          <w:rFonts w:ascii="Book Antiqua" w:hAnsi="Book Antiqua" w:cs="Times New Roman"/>
          <w:bCs/>
          <w:sz w:val="24"/>
          <w:szCs w:val="24"/>
          <w:lang w:val="en-GB"/>
        </w:rPr>
        <w:t xml:space="preserve">, these </w:t>
      </w:r>
      <w:r w:rsidR="00D72C63" w:rsidRPr="00C67AD0">
        <w:rPr>
          <w:rFonts w:ascii="Book Antiqua" w:hAnsi="Book Antiqua" w:cs="Times New Roman"/>
          <w:bCs/>
          <w:sz w:val="24"/>
          <w:szCs w:val="24"/>
          <w:lang w:val="en-GB"/>
        </w:rPr>
        <w:t xml:space="preserve">findings </w:t>
      </w:r>
      <w:r w:rsidR="00A5602A" w:rsidRPr="00C67AD0">
        <w:rPr>
          <w:rFonts w:ascii="Book Antiqua" w:hAnsi="Book Antiqua" w:cs="Times New Roman"/>
          <w:bCs/>
          <w:sz w:val="24"/>
          <w:szCs w:val="24"/>
          <w:lang w:val="en-GB"/>
        </w:rPr>
        <w:t xml:space="preserve">suggest </w:t>
      </w:r>
      <w:r w:rsidR="00E31CD3" w:rsidRPr="00C67AD0">
        <w:rPr>
          <w:rFonts w:ascii="Book Antiqua" w:hAnsi="Book Antiqua" w:cs="Times New Roman"/>
          <w:bCs/>
          <w:sz w:val="24"/>
          <w:szCs w:val="24"/>
          <w:lang w:val="en-GB"/>
        </w:rPr>
        <w:t xml:space="preserve">that PEG35 </w:t>
      </w:r>
      <w:r w:rsidR="00D72C63" w:rsidRPr="00C67AD0">
        <w:rPr>
          <w:rFonts w:ascii="Book Antiqua" w:hAnsi="Book Antiqua" w:cs="Times New Roman"/>
          <w:bCs/>
          <w:sz w:val="24"/>
          <w:szCs w:val="24"/>
          <w:lang w:val="en-GB"/>
        </w:rPr>
        <w:t xml:space="preserve">has </w:t>
      </w:r>
      <w:r w:rsidR="00E31CD3" w:rsidRPr="00C67AD0">
        <w:rPr>
          <w:rFonts w:ascii="Book Antiqua" w:hAnsi="Book Antiqua" w:cs="Times New Roman"/>
          <w:bCs/>
          <w:sz w:val="24"/>
          <w:szCs w:val="24"/>
          <w:lang w:val="en-GB"/>
        </w:rPr>
        <w:t xml:space="preserve">anti-apoptotic </w:t>
      </w:r>
      <w:r w:rsidR="00F65C74" w:rsidRPr="00C67AD0">
        <w:rPr>
          <w:rFonts w:ascii="Book Antiqua" w:hAnsi="Book Antiqua" w:cs="Times New Roman"/>
          <w:bCs/>
          <w:sz w:val="24"/>
          <w:szCs w:val="24"/>
          <w:lang w:val="en-GB"/>
        </w:rPr>
        <w:t xml:space="preserve">and anti-necrotic </w:t>
      </w:r>
      <w:r w:rsidR="00E31CD3" w:rsidRPr="00C67AD0">
        <w:rPr>
          <w:rFonts w:ascii="Book Antiqua" w:hAnsi="Book Antiqua" w:cs="Times New Roman"/>
          <w:bCs/>
          <w:sz w:val="24"/>
          <w:szCs w:val="24"/>
          <w:lang w:val="en-GB"/>
        </w:rPr>
        <w:t>properties</w:t>
      </w:r>
      <w:r w:rsidR="00F65C74" w:rsidRPr="00C67AD0">
        <w:rPr>
          <w:rFonts w:ascii="Book Antiqua" w:hAnsi="Book Antiqua" w:cs="Times New Roman"/>
          <w:bCs/>
          <w:sz w:val="24"/>
          <w:szCs w:val="24"/>
          <w:lang w:val="en-GB"/>
        </w:rPr>
        <w:t xml:space="preserve"> </w:t>
      </w:r>
      <w:r w:rsidR="00E31CD3" w:rsidRPr="00C67AD0">
        <w:rPr>
          <w:rFonts w:ascii="Book Antiqua" w:hAnsi="Book Antiqua" w:cs="Times New Roman"/>
          <w:bCs/>
          <w:sz w:val="24"/>
          <w:szCs w:val="24"/>
          <w:lang w:val="en-GB"/>
        </w:rPr>
        <w:t xml:space="preserve">for </w:t>
      </w:r>
      <w:proofErr w:type="spellStart"/>
      <w:r w:rsidR="00F65C74" w:rsidRPr="00C67AD0">
        <w:rPr>
          <w:rFonts w:ascii="Book Antiqua" w:hAnsi="Book Antiqua" w:cs="Times New Roman"/>
          <w:bCs/>
          <w:sz w:val="24"/>
          <w:szCs w:val="24"/>
          <w:lang w:val="en-GB"/>
        </w:rPr>
        <w:t>cerulein</w:t>
      </w:r>
      <w:proofErr w:type="spellEnd"/>
      <w:r w:rsidR="00E31CD3" w:rsidRPr="00C67AD0">
        <w:rPr>
          <w:rFonts w:ascii="Book Antiqua" w:hAnsi="Book Antiqua" w:cs="Times New Roman"/>
          <w:bCs/>
          <w:sz w:val="24"/>
          <w:szCs w:val="24"/>
          <w:lang w:val="en-GB"/>
        </w:rPr>
        <w:t>-induced pancreatitis.</w:t>
      </w:r>
    </w:p>
    <w:p w14:paraId="1005B552" w14:textId="77777777" w:rsidR="00453A36" w:rsidRPr="00C67AD0" w:rsidRDefault="00453A36" w:rsidP="00453A36">
      <w:pPr>
        <w:spacing w:line="360" w:lineRule="auto"/>
        <w:contextualSpacing/>
        <w:jc w:val="both"/>
        <w:rPr>
          <w:rFonts w:ascii="Book Antiqua" w:hAnsi="Book Antiqua" w:cs="Times New Roman"/>
          <w:bCs/>
          <w:sz w:val="24"/>
          <w:szCs w:val="24"/>
          <w:lang w:val="en-GB" w:eastAsia="zh-CN"/>
        </w:rPr>
      </w:pPr>
    </w:p>
    <w:p w14:paraId="4609BFFD" w14:textId="58B19327" w:rsidR="00453A36" w:rsidRPr="00C67AD0" w:rsidRDefault="00453A36" w:rsidP="00453A36">
      <w:pPr>
        <w:spacing w:line="360" w:lineRule="auto"/>
        <w:contextualSpacing/>
        <w:jc w:val="both"/>
        <w:rPr>
          <w:rFonts w:ascii="Book Antiqua" w:hAnsi="Book Antiqua" w:cs="Times New Roman"/>
          <w:b/>
          <w:bCs/>
          <w:sz w:val="24"/>
          <w:szCs w:val="24"/>
          <w:u w:val="single"/>
          <w:lang w:val="en-GB" w:eastAsia="zh-CN"/>
        </w:rPr>
      </w:pPr>
      <w:r w:rsidRPr="00C67AD0">
        <w:rPr>
          <w:rFonts w:ascii="Book Antiqua" w:hAnsi="Book Antiqua" w:cs="Times New Roman"/>
          <w:b/>
          <w:bCs/>
          <w:sz w:val="24"/>
          <w:szCs w:val="24"/>
          <w:u w:val="single"/>
          <w:lang w:val="en-GB"/>
        </w:rPr>
        <w:t>CONCLUSION</w:t>
      </w:r>
    </w:p>
    <w:p w14:paraId="5EC1EAAF" w14:textId="76FBEE5D" w:rsidR="00E027DF" w:rsidRPr="00C67AD0" w:rsidRDefault="000E47FB" w:rsidP="00453A36">
      <w:pPr>
        <w:spacing w:line="360" w:lineRule="auto"/>
        <w:contextualSpacing/>
        <w:jc w:val="both"/>
        <w:rPr>
          <w:rFonts w:ascii="Book Antiqua" w:hAnsi="Book Antiqua" w:cs="Times New Roman"/>
          <w:bCs/>
          <w:sz w:val="24"/>
          <w:szCs w:val="24"/>
          <w:lang w:val="en-GB" w:eastAsia="zh-CN"/>
        </w:rPr>
      </w:pPr>
      <w:r w:rsidRPr="00C67AD0">
        <w:rPr>
          <w:rFonts w:ascii="Book Antiqua" w:hAnsi="Book Antiqua" w:cs="Times New Roman"/>
          <w:bCs/>
          <w:sz w:val="24"/>
          <w:szCs w:val="24"/>
          <w:lang w:val="en-GB"/>
        </w:rPr>
        <w:t xml:space="preserve">In </w:t>
      </w:r>
      <w:bookmarkStart w:id="21" w:name="OLE_LINK6"/>
      <w:bookmarkStart w:id="22" w:name="OLE_LINK7"/>
      <w:r w:rsidRPr="00C67AD0">
        <w:rPr>
          <w:rFonts w:ascii="Book Antiqua" w:hAnsi="Book Antiqua" w:cs="Times New Roman"/>
          <w:bCs/>
          <w:sz w:val="24"/>
          <w:szCs w:val="24"/>
          <w:lang w:val="en-GB"/>
        </w:rPr>
        <w:t>conclusion</w:t>
      </w:r>
      <w:bookmarkEnd w:id="21"/>
      <w:bookmarkEnd w:id="22"/>
      <w:r w:rsidRPr="00C67AD0">
        <w:rPr>
          <w:rFonts w:ascii="Book Antiqua" w:hAnsi="Book Antiqua" w:cs="Times New Roman"/>
          <w:bCs/>
          <w:sz w:val="24"/>
          <w:szCs w:val="24"/>
          <w:lang w:val="en-GB"/>
        </w:rPr>
        <w:t xml:space="preserve">, </w:t>
      </w:r>
      <w:r w:rsidR="002820F5" w:rsidRPr="00C67AD0">
        <w:rPr>
          <w:rFonts w:ascii="Book Antiqua" w:hAnsi="Book Antiqua" w:cs="Times New Roman"/>
          <w:bCs/>
          <w:sz w:val="24"/>
          <w:szCs w:val="24"/>
          <w:lang w:val="en-GB"/>
        </w:rPr>
        <w:t xml:space="preserve">results from </w:t>
      </w:r>
      <w:r w:rsidR="00D72C63" w:rsidRPr="00C67AD0">
        <w:rPr>
          <w:rFonts w:ascii="Book Antiqua" w:hAnsi="Book Antiqua" w:cs="Times New Roman"/>
          <w:bCs/>
          <w:sz w:val="24"/>
          <w:szCs w:val="24"/>
          <w:lang w:val="en-GB"/>
        </w:rPr>
        <w:t>this</w:t>
      </w:r>
      <w:r w:rsidRPr="00C67AD0">
        <w:rPr>
          <w:rFonts w:ascii="Book Antiqua" w:hAnsi="Book Antiqua" w:cs="Times New Roman"/>
          <w:bCs/>
          <w:sz w:val="24"/>
          <w:szCs w:val="24"/>
          <w:lang w:val="en-GB"/>
        </w:rPr>
        <w:t xml:space="preserve"> study </w:t>
      </w:r>
      <w:r w:rsidR="00A5602A" w:rsidRPr="00C67AD0">
        <w:rPr>
          <w:rFonts w:ascii="Book Antiqua" w:hAnsi="Book Antiqua" w:cs="Times New Roman"/>
          <w:bCs/>
          <w:sz w:val="24"/>
          <w:szCs w:val="24"/>
          <w:lang w:val="en-GB"/>
        </w:rPr>
        <w:t xml:space="preserve">reveal a mechanism by which </w:t>
      </w:r>
      <w:r w:rsidRPr="00C67AD0">
        <w:rPr>
          <w:rFonts w:ascii="Book Antiqua" w:hAnsi="Book Antiqua" w:cs="Times New Roman"/>
          <w:bCs/>
          <w:sz w:val="24"/>
          <w:szCs w:val="24"/>
          <w:lang w:val="en-GB"/>
        </w:rPr>
        <w:t xml:space="preserve">PEG35 exerts anti-inflammatory effects </w:t>
      </w:r>
      <w:r w:rsidR="00A5602A" w:rsidRPr="00C67AD0">
        <w:rPr>
          <w:rFonts w:ascii="Book Antiqua" w:hAnsi="Book Antiqua" w:cs="Times New Roman"/>
          <w:bCs/>
          <w:sz w:val="24"/>
          <w:szCs w:val="24"/>
          <w:lang w:val="en-GB"/>
        </w:rPr>
        <w:t xml:space="preserve">that </w:t>
      </w:r>
      <w:r w:rsidRPr="00C67AD0">
        <w:rPr>
          <w:rFonts w:ascii="Book Antiqua" w:hAnsi="Book Antiqua" w:cs="Times New Roman"/>
          <w:bCs/>
          <w:sz w:val="24"/>
          <w:szCs w:val="24"/>
          <w:lang w:val="en-GB"/>
        </w:rPr>
        <w:t xml:space="preserve">alleviate experimental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-induced AP</w:t>
      </w:r>
      <w:r w:rsidR="00A5602A" w:rsidRPr="00C67AD0">
        <w:rPr>
          <w:rFonts w:ascii="Book Antiqua" w:hAnsi="Book Antiqua" w:cs="Times New Roman"/>
          <w:bCs/>
          <w:sz w:val="24"/>
          <w:szCs w:val="24"/>
          <w:lang w:val="en-GB"/>
        </w:rPr>
        <w:t>,</w:t>
      </w:r>
      <w:r w:rsidRPr="00C67AD0">
        <w:rPr>
          <w:lang w:val="en-GB"/>
        </w:rPr>
        <w:t xml:space="preserve"> </w:t>
      </w:r>
      <w:r w:rsidRPr="00C67AD0">
        <w:rPr>
          <w:rFonts w:ascii="Book Antiqua" w:hAnsi="Book Antiqua" w:cs="Times New Roman"/>
          <w:bCs/>
          <w:sz w:val="24"/>
          <w:szCs w:val="24"/>
          <w:lang w:val="en-GB"/>
        </w:rPr>
        <w:t>by inhibiting the inflammatory response as well as inflammation-induced cell death.</w:t>
      </w:r>
      <w:r w:rsidR="00E027DF" w:rsidRPr="00C67AD0">
        <w:rPr>
          <w:rFonts w:ascii="Book Antiqua" w:hAnsi="Book Antiqua" w:cs="Times New Roman"/>
          <w:bCs/>
          <w:sz w:val="24"/>
          <w:szCs w:val="24"/>
          <w:lang w:val="en-GB"/>
        </w:rPr>
        <w:t xml:space="preserve"> Because of </w:t>
      </w:r>
      <w:r w:rsidR="00A5602A" w:rsidRPr="00C67AD0">
        <w:rPr>
          <w:rFonts w:ascii="Book Antiqua" w:hAnsi="Book Antiqua" w:cs="Times New Roman"/>
          <w:bCs/>
          <w:sz w:val="24"/>
          <w:szCs w:val="24"/>
          <w:lang w:val="en-GB"/>
        </w:rPr>
        <w:t xml:space="preserve">its </w:t>
      </w:r>
      <w:r w:rsidR="00E027DF" w:rsidRPr="00C67AD0">
        <w:rPr>
          <w:rFonts w:ascii="Book Antiqua" w:hAnsi="Book Antiqua" w:cs="Times New Roman"/>
          <w:bCs/>
          <w:sz w:val="24"/>
          <w:szCs w:val="24"/>
          <w:lang w:val="en-GB"/>
        </w:rPr>
        <w:t xml:space="preserve">low toxicity </w:t>
      </w:r>
      <w:r w:rsidR="00A5602A" w:rsidRPr="00C67AD0">
        <w:rPr>
          <w:rFonts w:ascii="Book Antiqua" w:hAnsi="Book Antiqua" w:cs="Times New Roman"/>
          <w:bCs/>
          <w:sz w:val="24"/>
          <w:szCs w:val="24"/>
          <w:lang w:val="en-GB"/>
        </w:rPr>
        <w:t xml:space="preserve">as well as </w:t>
      </w:r>
      <w:r w:rsidR="00E027DF" w:rsidRPr="00C67AD0">
        <w:rPr>
          <w:rFonts w:ascii="Book Antiqua" w:hAnsi="Book Antiqua" w:cs="Times New Roman"/>
          <w:bCs/>
          <w:sz w:val="24"/>
          <w:szCs w:val="24"/>
          <w:lang w:val="en-GB"/>
        </w:rPr>
        <w:t>its prove</w:t>
      </w:r>
      <w:r w:rsidR="00A5602A" w:rsidRPr="00C67AD0">
        <w:rPr>
          <w:rFonts w:ascii="Book Antiqua" w:hAnsi="Book Antiqua" w:cs="Times New Roman"/>
          <w:bCs/>
          <w:sz w:val="24"/>
          <w:szCs w:val="24"/>
          <w:lang w:val="en-GB"/>
        </w:rPr>
        <w:t>n</w:t>
      </w:r>
      <w:r w:rsidR="00E027DF" w:rsidRPr="00C67AD0">
        <w:rPr>
          <w:rFonts w:ascii="Book Antiqua" w:hAnsi="Book Antiqua" w:cs="Times New Roman"/>
          <w:bCs/>
          <w:sz w:val="24"/>
          <w:szCs w:val="24"/>
          <w:lang w:val="en-GB"/>
        </w:rPr>
        <w:t xml:space="preserve"> biocompatibility, PEG35 could be used as a new therapeutic </w:t>
      </w:r>
      <w:r w:rsidR="00595872" w:rsidRPr="00C67AD0">
        <w:rPr>
          <w:rFonts w:ascii="Book Antiqua" w:hAnsi="Book Antiqua" w:cs="Times New Roman"/>
          <w:bCs/>
          <w:sz w:val="24"/>
          <w:szCs w:val="24"/>
          <w:lang w:val="en-GB"/>
        </w:rPr>
        <w:t xml:space="preserve">tool </w:t>
      </w:r>
      <w:r w:rsidR="00E027DF" w:rsidRPr="00C67AD0">
        <w:rPr>
          <w:rFonts w:ascii="Book Antiqua" w:hAnsi="Book Antiqua" w:cs="Times New Roman"/>
          <w:bCs/>
          <w:sz w:val="24"/>
          <w:szCs w:val="24"/>
          <w:lang w:val="en-GB"/>
        </w:rPr>
        <w:t xml:space="preserve">to resolve the cellular damage associated to </w:t>
      </w:r>
      <w:r w:rsidR="00086364" w:rsidRPr="00C67AD0">
        <w:rPr>
          <w:rFonts w:ascii="Book Antiqua" w:hAnsi="Book Antiqua" w:cs="Times New Roman"/>
          <w:bCs/>
          <w:sz w:val="24"/>
          <w:szCs w:val="24"/>
          <w:lang w:val="en-GB"/>
        </w:rPr>
        <w:t>mild AP</w:t>
      </w:r>
      <w:r w:rsidR="00E027DF" w:rsidRPr="00C67AD0">
        <w:rPr>
          <w:rFonts w:ascii="Book Antiqua" w:hAnsi="Book Antiqua" w:cs="Times New Roman"/>
          <w:bCs/>
          <w:sz w:val="24"/>
          <w:szCs w:val="24"/>
          <w:lang w:val="en-GB"/>
        </w:rPr>
        <w:t xml:space="preserve">. </w:t>
      </w:r>
    </w:p>
    <w:p w14:paraId="7D75A8B3" w14:textId="77777777" w:rsidR="00CF5C7B" w:rsidRPr="00C67AD0" w:rsidRDefault="00CF5C7B" w:rsidP="00CF5C7B">
      <w:pPr>
        <w:spacing w:line="360" w:lineRule="auto"/>
        <w:contextualSpacing/>
        <w:jc w:val="both"/>
        <w:rPr>
          <w:rFonts w:ascii="Book Antiqua" w:hAnsi="Book Antiqua" w:cs="Times New Roman"/>
          <w:bCs/>
          <w:sz w:val="24"/>
          <w:szCs w:val="24"/>
          <w:lang w:val="en-GB" w:eastAsia="zh-CN"/>
        </w:rPr>
      </w:pPr>
    </w:p>
    <w:p w14:paraId="19F484D7"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u w:val="single"/>
          <w:lang w:val="en-GB"/>
        </w:rPr>
      </w:pPr>
      <w:r w:rsidRPr="00C67AD0">
        <w:rPr>
          <w:rFonts w:ascii="Book Antiqua" w:hAnsi="Book Antiqua" w:cs="Times New Roman"/>
          <w:b/>
          <w:sz w:val="24"/>
          <w:szCs w:val="24"/>
          <w:u w:val="single"/>
          <w:lang w:val="en-GB"/>
        </w:rPr>
        <w:t>ARTICLE HIGHLIGHTS</w:t>
      </w:r>
    </w:p>
    <w:p w14:paraId="5498DEE8"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Research background</w:t>
      </w:r>
    </w:p>
    <w:p w14:paraId="07AC49F8" w14:textId="6C0B78D8"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Acute pancreatitis (AP) is a common gastrointestinal condition with an increasing incidence worldwide. The course of the disease ranges from a mild, self-limiting condition to a more severe acute illness with a high morbidity and mortality. Our group has previously demonstrated an anti-inflammatory role for a 35-kDa </w:t>
      </w:r>
      <w:r w:rsidR="00837E18" w:rsidRPr="00C67AD0">
        <w:rPr>
          <w:rFonts w:ascii="Book Antiqua" w:hAnsi="Book Antiqua" w:cs="Times New Roman"/>
          <w:bCs/>
          <w:sz w:val="24"/>
          <w:szCs w:val="24"/>
          <w:lang w:val="en-GB"/>
        </w:rPr>
        <w:lastRenderedPageBreak/>
        <w:t xml:space="preserve">molecular weight </w:t>
      </w:r>
      <w:r w:rsidRPr="00C67AD0">
        <w:rPr>
          <w:rFonts w:ascii="Book Antiqua" w:hAnsi="Book Antiqua" w:cs="Times New Roman"/>
          <w:bCs/>
          <w:sz w:val="24"/>
          <w:szCs w:val="24"/>
          <w:lang w:val="en-GB"/>
        </w:rPr>
        <w:t>polyethylene glycol (PEG35) in an experimental model of severe necrotizing AP.</w:t>
      </w:r>
      <w:r w:rsidRPr="00C67AD0">
        <w:rPr>
          <w:rFonts w:ascii="Book Antiqua" w:hAnsi="Book Antiqua"/>
          <w:bCs/>
          <w:sz w:val="24"/>
          <w:szCs w:val="24"/>
        </w:rPr>
        <w:t xml:space="preserve"> T</w:t>
      </w:r>
      <w:r w:rsidRPr="00C67AD0">
        <w:rPr>
          <w:rFonts w:ascii="Book Antiqua" w:hAnsi="Book Antiqua" w:cs="Times New Roman"/>
          <w:bCs/>
          <w:sz w:val="24"/>
          <w:szCs w:val="24"/>
          <w:lang w:val="en-GB"/>
        </w:rPr>
        <w:t>he therapeutic administration of PEG35 notably alleviated the severity of AP and protected against the associated lung inflammatory response, which is the main contributing factor to early death in patients with this condition.</w:t>
      </w:r>
    </w:p>
    <w:p w14:paraId="779E60D8"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eastAsia="zh-CN"/>
        </w:rPr>
      </w:pPr>
    </w:p>
    <w:p w14:paraId="11F62FB0"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Research motivation</w:t>
      </w:r>
    </w:p>
    <w:p w14:paraId="2C903819"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Cs/>
          <w:sz w:val="24"/>
          <w:szCs w:val="24"/>
          <w:lang w:val="en-GB"/>
        </w:rPr>
        <w:t>To date, the treatment of AP continues to be supportive as there are no effective pharmacologic therapies available. Polyethylene glycols (PEGs) are neutral polymers widely used in biomedical applications due to its hydrophilic properties combined with a low intrinsic toxicity. In this study, we demonstrated the protective role of PEG35 in a mild form of AP.</w:t>
      </w:r>
    </w:p>
    <w:p w14:paraId="33C4E3A9"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eastAsia="zh-CN"/>
        </w:rPr>
      </w:pPr>
    </w:p>
    <w:p w14:paraId="235E964D"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Research objectives</w:t>
      </w:r>
    </w:p>
    <w:p w14:paraId="7EB8BB85"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To evaluate the effect of PEG35 in experimental models of mild acute pancreatitis </w:t>
      </w:r>
      <w:r w:rsidRPr="00C67AD0">
        <w:rPr>
          <w:rFonts w:ascii="Book Antiqua" w:hAnsi="Book Antiqua" w:cs="Times New Roman"/>
          <w:bCs/>
          <w:i/>
          <w:iCs/>
          <w:sz w:val="24"/>
          <w:szCs w:val="24"/>
          <w:lang w:val="en-GB"/>
        </w:rPr>
        <w:t>in vivo</w:t>
      </w:r>
      <w:r w:rsidRPr="00C67AD0">
        <w:rPr>
          <w:rFonts w:ascii="Book Antiqua" w:hAnsi="Book Antiqua" w:cs="Times New Roman"/>
          <w:bCs/>
          <w:sz w:val="24"/>
          <w:szCs w:val="24"/>
          <w:lang w:val="en-GB"/>
        </w:rPr>
        <w:t xml:space="preserve"> and </w:t>
      </w:r>
      <w:r w:rsidRPr="00C67AD0">
        <w:rPr>
          <w:rFonts w:ascii="Book Antiqua" w:hAnsi="Book Antiqua" w:cs="Times New Roman"/>
          <w:bCs/>
          <w:i/>
          <w:iCs/>
          <w:sz w:val="24"/>
          <w:szCs w:val="24"/>
          <w:lang w:val="en-GB"/>
        </w:rPr>
        <w:t>in vitro</w:t>
      </w:r>
      <w:r w:rsidRPr="00C67AD0">
        <w:rPr>
          <w:rFonts w:ascii="Book Antiqua" w:hAnsi="Book Antiqua" w:cs="Times New Roman"/>
          <w:bCs/>
          <w:sz w:val="24"/>
          <w:szCs w:val="24"/>
          <w:lang w:val="en-GB"/>
        </w:rPr>
        <w:t>.</w:t>
      </w:r>
    </w:p>
    <w:p w14:paraId="0FFEDC53"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eastAsia="zh-CN"/>
        </w:rPr>
      </w:pPr>
    </w:p>
    <w:p w14:paraId="3F570B22"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Research methods</w:t>
      </w:r>
    </w:p>
    <w:p w14:paraId="0952ECEC"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AP was induced by five hourly intraperitoneal injections of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 (50 </w:t>
      </w:r>
      <w:proofErr w:type="spellStart"/>
      <w:r w:rsidRPr="00C67AD0">
        <w:rPr>
          <w:rFonts w:ascii="Book Antiqua" w:hAnsi="Book Antiqua" w:cs="Times New Roman"/>
          <w:bCs/>
          <w:sz w:val="24"/>
          <w:szCs w:val="24"/>
          <w:lang w:val="en-GB"/>
        </w:rPr>
        <w:t>μg</w:t>
      </w:r>
      <w:proofErr w:type="spellEnd"/>
      <w:r w:rsidRPr="00C67AD0">
        <w:rPr>
          <w:rFonts w:ascii="Book Antiqua" w:hAnsi="Book Antiqua" w:cs="Times New Roman"/>
          <w:bCs/>
          <w:sz w:val="24"/>
          <w:szCs w:val="24"/>
          <w:lang w:val="en-GB"/>
        </w:rPr>
        <w:t>/kg/</w:t>
      </w:r>
      <w:proofErr w:type="spellStart"/>
      <w:r w:rsidRPr="00C67AD0">
        <w:rPr>
          <w:rFonts w:ascii="Book Antiqua" w:hAnsi="Book Antiqua" w:cs="Times New Roman"/>
          <w:bCs/>
          <w:sz w:val="24"/>
          <w:szCs w:val="24"/>
          <w:lang w:val="en-GB"/>
        </w:rPr>
        <w:t>bw</w:t>
      </w:r>
      <w:proofErr w:type="spellEnd"/>
      <w:r w:rsidRPr="00C67AD0">
        <w:rPr>
          <w:rFonts w:ascii="Book Antiqua" w:hAnsi="Book Antiqua" w:cs="Times New Roman"/>
          <w:bCs/>
          <w:sz w:val="24"/>
          <w:szCs w:val="24"/>
          <w:lang w:val="en-GB"/>
        </w:rPr>
        <w:t xml:space="preserve">). PEG35 was administered intraperitoneally 10 minutes before each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 injection in a dose of 10 mg/kg. After AP induction, samples of pancreatic tissue and blood were collected for analysis. AR42J pancreatic acinar cells were treated with increasing concentrations of PEG35 prior to exposure with </w:t>
      </w:r>
      <w:proofErr w:type="spellStart"/>
      <w:r w:rsidRPr="00C67AD0">
        <w:rPr>
          <w:rFonts w:ascii="Book Antiqua" w:hAnsi="Book Antiqua" w:cs="Times New Roman" w:hint="eastAsia"/>
          <w:bCs/>
          <w:sz w:val="24"/>
          <w:szCs w:val="24"/>
          <w:lang w:val="en-GB" w:eastAsia="zh-CN"/>
        </w:rPr>
        <w:t>t</w:t>
      </w:r>
      <w:r w:rsidRPr="00C67AD0">
        <w:rPr>
          <w:rFonts w:ascii="Book Antiqua" w:hAnsi="Book Antiqua" w:cs="Times New Roman"/>
          <w:bCs/>
          <w:sz w:val="24"/>
          <w:szCs w:val="24"/>
          <w:lang w:val="en-GB"/>
        </w:rPr>
        <w:t>umor</w:t>
      </w:r>
      <w:proofErr w:type="spellEnd"/>
      <w:r w:rsidRPr="00C67AD0">
        <w:rPr>
          <w:rFonts w:ascii="Book Antiqua" w:hAnsi="Book Antiqua" w:cs="Times New Roman"/>
          <w:bCs/>
          <w:sz w:val="24"/>
          <w:szCs w:val="24"/>
          <w:lang w:val="en-GB"/>
        </w:rPr>
        <w:t xml:space="preserve"> necrosis factor α, </w:t>
      </w:r>
      <w:proofErr w:type="spellStart"/>
      <w:r w:rsidRPr="00C67AD0">
        <w:rPr>
          <w:rFonts w:ascii="Book Antiqua" w:hAnsi="Book Antiqua" w:cs="Times New Roman"/>
          <w:bCs/>
          <w:sz w:val="24"/>
          <w:szCs w:val="24"/>
          <w:lang w:val="en-GB"/>
        </w:rPr>
        <w:t>staurosporine</w:t>
      </w:r>
      <w:proofErr w:type="spellEnd"/>
      <w:r w:rsidRPr="00C67AD0">
        <w:rPr>
          <w:rFonts w:ascii="Book Antiqua" w:hAnsi="Book Antiqua" w:cs="Times New Roman"/>
          <w:bCs/>
          <w:sz w:val="24"/>
          <w:szCs w:val="24"/>
          <w:lang w:val="en-GB"/>
        </w:rPr>
        <w:t xml:space="preserve"> or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 The severity of AP was determined on the basis of plasma levels of lipase, lactate dehydrogenase activity, pancreatic </w:t>
      </w:r>
      <w:proofErr w:type="spellStart"/>
      <w:r w:rsidRPr="00C67AD0">
        <w:rPr>
          <w:rFonts w:ascii="Book Antiqua" w:hAnsi="Book Antiqua" w:cs="Times New Roman"/>
          <w:bCs/>
          <w:sz w:val="24"/>
          <w:szCs w:val="24"/>
          <w:lang w:val="en-GB"/>
        </w:rPr>
        <w:t>edema</w:t>
      </w:r>
      <w:proofErr w:type="spellEnd"/>
      <w:r w:rsidRPr="00C67AD0">
        <w:rPr>
          <w:rFonts w:ascii="Book Antiqua" w:hAnsi="Book Antiqua" w:cs="Times New Roman"/>
          <w:bCs/>
          <w:sz w:val="24"/>
          <w:szCs w:val="24"/>
          <w:lang w:val="en-GB"/>
        </w:rPr>
        <w:t xml:space="preserve"> and histological changes. To evaluate the extent of the inflammatory response, the gene expression of inflammation-associated markers was determined in the pancreas and in AR42J-treated cells. Inflammation-induced cell death was also measured in both </w:t>
      </w:r>
      <w:r w:rsidRPr="00C67AD0">
        <w:rPr>
          <w:rFonts w:ascii="Book Antiqua" w:hAnsi="Book Antiqua" w:cs="Times New Roman"/>
          <w:bCs/>
          <w:i/>
          <w:iCs/>
          <w:sz w:val="24"/>
          <w:szCs w:val="24"/>
          <w:lang w:val="en-GB"/>
        </w:rPr>
        <w:t>in vivo</w:t>
      </w:r>
      <w:r w:rsidRPr="00C67AD0">
        <w:rPr>
          <w:rFonts w:ascii="Book Antiqua" w:hAnsi="Book Antiqua" w:cs="Times New Roman"/>
          <w:bCs/>
          <w:sz w:val="24"/>
          <w:szCs w:val="24"/>
          <w:lang w:val="en-GB"/>
        </w:rPr>
        <w:t xml:space="preserve"> and </w:t>
      </w:r>
      <w:r w:rsidRPr="00C67AD0">
        <w:rPr>
          <w:rFonts w:ascii="Book Antiqua" w:hAnsi="Book Antiqua" w:cs="Times New Roman"/>
          <w:bCs/>
          <w:i/>
          <w:iCs/>
          <w:sz w:val="24"/>
          <w:szCs w:val="24"/>
          <w:lang w:val="en-GB"/>
        </w:rPr>
        <w:t>in vitro</w:t>
      </w:r>
      <w:r w:rsidRPr="00C67AD0">
        <w:rPr>
          <w:rFonts w:ascii="Book Antiqua" w:hAnsi="Book Antiqua" w:cs="Times New Roman"/>
          <w:bCs/>
          <w:sz w:val="24"/>
          <w:szCs w:val="24"/>
          <w:lang w:val="en-GB"/>
        </w:rPr>
        <w:t xml:space="preserve"> models of pancreatic damage through apoptosis and necrosis-related assays.</w:t>
      </w:r>
    </w:p>
    <w:p w14:paraId="4D57DDD8"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eastAsia="zh-CN"/>
        </w:rPr>
      </w:pPr>
    </w:p>
    <w:p w14:paraId="3EE68594"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Research results</w:t>
      </w:r>
    </w:p>
    <w:p w14:paraId="2C9F5E00"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Cs/>
          <w:sz w:val="24"/>
          <w:szCs w:val="24"/>
          <w:lang w:val="en-GB"/>
        </w:rPr>
        <w:lastRenderedPageBreak/>
        <w:t xml:space="preserve">PEG35 treatment significantly improved pancreatic damage in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-induced AP in rats through reduction on lipase levels and tissue </w:t>
      </w:r>
      <w:proofErr w:type="spellStart"/>
      <w:r w:rsidRPr="00C67AD0">
        <w:rPr>
          <w:rFonts w:ascii="Book Antiqua" w:hAnsi="Book Antiqua" w:cs="Times New Roman"/>
          <w:bCs/>
          <w:sz w:val="24"/>
          <w:szCs w:val="24"/>
          <w:lang w:val="en-GB"/>
        </w:rPr>
        <w:t>edema</w:t>
      </w:r>
      <w:proofErr w:type="spellEnd"/>
      <w:r w:rsidRPr="00C67AD0">
        <w:rPr>
          <w:rFonts w:ascii="Book Antiqua" w:hAnsi="Book Antiqua" w:cs="Times New Roman"/>
          <w:bCs/>
          <w:sz w:val="24"/>
          <w:szCs w:val="24"/>
          <w:lang w:val="en-GB"/>
        </w:rPr>
        <w:t xml:space="preserve">. Furthermore, PEG35 ameliorated the inflammatory response and associated cell death </w:t>
      </w:r>
      <w:r w:rsidRPr="00C67AD0">
        <w:rPr>
          <w:rFonts w:ascii="Book Antiqua" w:hAnsi="Book Antiqua" w:cs="Times New Roman"/>
          <w:bCs/>
          <w:i/>
          <w:iCs/>
          <w:sz w:val="24"/>
          <w:szCs w:val="24"/>
          <w:lang w:val="en-GB"/>
        </w:rPr>
        <w:t>in vivo</w:t>
      </w:r>
      <w:r w:rsidRPr="00C67AD0">
        <w:rPr>
          <w:rFonts w:ascii="Book Antiqua" w:hAnsi="Book Antiqua" w:cs="Times New Roman"/>
          <w:bCs/>
          <w:sz w:val="24"/>
          <w:szCs w:val="24"/>
          <w:lang w:val="en-GB"/>
        </w:rPr>
        <w:t xml:space="preserve"> and </w:t>
      </w:r>
      <w:r w:rsidRPr="00C67AD0">
        <w:rPr>
          <w:rFonts w:ascii="Book Antiqua" w:hAnsi="Book Antiqua" w:cs="Times New Roman"/>
          <w:bCs/>
          <w:i/>
          <w:iCs/>
          <w:sz w:val="24"/>
          <w:szCs w:val="24"/>
          <w:lang w:val="en-GB"/>
        </w:rPr>
        <w:t>in vitro</w:t>
      </w:r>
      <w:r w:rsidRPr="00C67AD0">
        <w:rPr>
          <w:rFonts w:ascii="Book Antiqua" w:hAnsi="Book Antiqua" w:cs="Times New Roman"/>
          <w:bCs/>
          <w:sz w:val="24"/>
          <w:szCs w:val="24"/>
          <w:lang w:val="en-GB"/>
        </w:rPr>
        <w:t xml:space="preserve">, in treated-acinar cells, by lowering inflammatory-related cytokines and </w:t>
      </w:r>
      <w:proofErr w:type="spellStart"/>
      <w:r w:rsidRPr="00C67AD0">
        <w:rPr>
          <w:rFonts w:ascii="Book Antiqua" w:hAnsi="Book Antiqua" w:cs="Times New Roman"/>
          <w:bCs/>
          <w:sz w:val="24"/>
          <w:szCs w:val="24"/>
          <w:lang w:val="en-GB"/>
        </w:rPr>
        <w:t>iNOS</w:t>
      </w:r>
      <w:proofErr w:type="spellEnd"/>
      <w:r w:rsidRPr="00C67AD0">
        <w:rPr>
          <w:rFonts w:ascii="Book Antiqua" w:hAnsi="Book Antiqua" w:cs="Times New Roman"/>
          <w:bCs/>
          <w:sz w:val="24"/>
          <w:szCs w:val="24"/>
          <w:lang w:val="en-GB"/>
        </w:rPr>
        <w:t xml:space="preserve"> gene expression, levels of apoptotic markers and the activity of lactate dehydrogenase.</w:t>
      </w:r>
    </w:p>
    <w:p w14:paraId="78E5FAAA"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eastAsia="zh-CN"/>
        </w:rPr>
      </w:pPr>
    </w:p>
    <w:p w14:paraId="29CE55B4"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Research conclusions</w:t>
      </w:r>
    </w:p>
    <w:p w14:paraId="6BBA9D4D"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Cs/>
          <w:sz w:val="24"/>
          <w:szCs w:val="24"/>
          <w:lang w:val="en-GB"/>
        </w:rPr>
        <w:t xml:space="preserve">PEG35 ameliorated pancreatic damage in </w:t>
      </w:r>
      <w:proofErr w:type="spellStart"/>
      <w:r w:rsidRPr="00C67AD0">
        <w:rPr>
          <w:rFonts w:ascii="Book Antiqua" w:hAnsi="Book Antiqua" w:cs="Times New Roman"/>
          <w:bCs/>
          <w:sz w:val="24"/>
          <w:szCs w:val="24"/>
          <w:lang w:val="en-GB"/>
        </w:rPr>
        <w:t>cerulein</w:t>
      </w:r>
      <w:proofErr w:type="spellEnd"/>
      <w:r w:rsidRPr="00C67AD0">
        <w:rPr>
          <w:rFonts w:ascii="Book Antiqua" w:hAnsi="Book Antiqua" w:cs="Times New Roman"/>
          <w:bCs/>
          <w:sz w:val="24"/>
          <w:szCs w:val="24"/>
          <w:lang w:val="en-GB"/>
        </w:rPr>
        <w:t xml:space="preserve">-induced AP and cultured acinar AR42J-treated cells through the attenuation of the inflammatory response and associated cell death. </w:t>
      </w:r>
    </w:p>
    <w:p w14:paraId="713174AD"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eastAsia="zh-CN"/>
        </w:rPr>
      </w:pPr>
    </w:p>
    <w:p w14:paraId="11560BA9" w14:textId="77777777" w:rsidR="00CF5C7B" w:rsidRPr="00C67AD0" w:rsidRDefault="00CF5C7B" w:rsidP="00CF5C7B">
      <w:pPr>
        <w:adjustRightInd w:val="0"/>
        <w:snapToGrid w:val="0"/>
        <w:spacing w:after="0" w:line="360" w:lineRule="auto"/>
        <w:jc w:val="both"/>
        <w:rPr>
          <w:rFonts w:ascii="Book Antiqua" w:hAnsi="Book Antiqua" w:cs="Times New Roman"/>
          <w:b/>
          <w:i/>
          <w:iCs/>
          <w:sz w:val="24"/>
          <w:szCs w:val="24"/>
          <w:lang w:val="en-GB"/>
        </w:rPr>
      </w:pPr>
      <w:r w:rsidRPr="00C67AD0">
        <w:rPr>
          <w:rFonts w:ascii="Book Antiqua" w:hAnsi="Book Antiqua" w:cs="Times New Roman"/>
          <w:b/>
          <w:i/>
          <w:iCs/>
          <w:sz w:val="24"/>
          <w:szCs w:val="24"/>
          <w:lang w:val="en-GB"/>
        </w:rPr>
        <w:t>Research perspectives</w:t>
      </w:r>
    </w:p>
    <w:p w14:paraId="2D09FAC8"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lang w:val="en-GB"/>
        </w:rPr>
      </w:pPr>
      <w:r w:rsidRPr="00C67AD0">
        <w:rPr>
          <w:rFonts w:ascii="Book Antiqua" w:hAnsi="Book Antiqua" w:cs="Times New Roman"/>
          <w:bCs/>
          <w:sz w:val="24"/>
          <w:szCs w:val="24"/>
          <w:lang w:val="en-GB"/>
        </w:rPr>
        <w:t>Our study provided evidence of a protective role of PEG35 in a mild form of AP suggesting that PEG35 may be a valuable option in the management of clinical AP</w:t>
      </w:r>
      <w:r w:rsidRPr="00C67AD0">
        <w:rPr>
          <w:rFonts w:ascii="Book Antiqua" w:hAnsi="Book Antiqua" w:cs="Times New Roman"/>
          <w:b/>
          <w:sz w:val="24"/>
          <w:szCs w:val="24"/>
          <w:lang w:val="en-GB"/>
        </w:rPr>
        <w:t>.</w:t>
      </w:r>
    </w:p>
    <w:p w14:paraId="72E6A0D2"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u w:val="single"/>
          <w:lang w:val="en-GB"/>
        </w:rPr>
      </w:pPr>
    </w:p>
    <w:p w14:paraId="14B49426" w14:textId="1DA691F8" w:rsidR="00CF5C7B" w:rsidRPr="00C67AD0" w:rsidRDefault="00CF5C7B" w:rsidP="00CF5C7B">
      <w:pPr>
        <w:adjustRightInd w:val="0"/>
        <w:snapToGrid w:val="0"/>
        <w:spacing w:after="0" w:line="360" w:lineRule="auto"/>
        <w:jc w:val="both"/>
        <w:rPr>
          <w:rFonts w:ascii="Book Antiqua" w:hAnsi="Book Antiqua" w:cs="Times New Roman"/>
          <w:b/>
          <w:sz w:val="24"/>
          <w:szCs w:val="24"/>
          <w:u w:val="single"/>
          <w:lang w:val="en-GB" w:eastAsia="zh-CN"/>
        </w:rPr>
      </w:pPr>
      <w:bookmarkStart w:id="23" w:name="_Hlk50635051"/>
      <w:r w:rsidRPr="00C67AD0">
        <w:rPr>
          <w:rFonts w:ascii="Book Antiqua" w:hAnsi="Book Antiqua" w:cs="Times New Roman"/>
          <w:b/>
          <w:sz w:val="24"/>
          <w:szCs w:val="24"/>
          <w:u w:val="single"/>
          <w:lang w:val="en-GB"/>
        </w:rPr>
        <w:t>ACKNOWLEDG</w:t>
      </w:r>
      <w:r w:rsidR="00356424" w:rsidRPr="00C67AD0">
        <w:rPr>
          <w:rFonts w:ascii="Book Antiqua" w:hAnsi="Book Antiqua" w:cs="Times New Roman"/>
          <w:b/>
          <w:sz w:val="24"/>
          <w:szCs w:val="24"/>
          <w:u w:val="single"/>
          <w:lang w:val="en-GB"/>
        </w:rPr>
        <w:t>E</w:t>
      </w:r>
      <w:r w:rsidRPr="00C67AD0">
        <w:rPr>
          <w:rFonts w:ascii="Book Antiqua" w:hAnsi="Book Antiqua" w:cs="Times New Roman"/>
          <w:b/>
          <w:sz w:val="24"/>
          <w:szCs w:val="24"/>
          <w:u w:val="single"/>
          <w:lang w:val="en-GB"/>
        </w:rPr>
        <w:t>MENTS</w:t>
      </w:r>
    </w:p>
    <w:p w14:paraId="6EA43305"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eastAsia="zh-CN"/>
        </w:rPr>
      </w:pPr>
      <w:bookmarkStart w:id="24" w:name="_Hlk48062973"/>
      <w:bookmarkEnd w:id="23"/>
      <w:r w:rsidRPr="00C67AD0">
        <w:rPr>
          <w:rFonts w:ascii="Book Antiqua" w:hAnsi="Book Antiqua" w:cs="Times New Roman"/>
          <w:bCs/>
          <w:sz w:val="24"/>
          <w:szCs w:val="24"/>
          <w:lang w:val="en-GB"/>
        </w:rPr>
        <w:t xml:space="preserve">This study was supported by grant from </w:t>
      </w:r>
      <w:proofErr w:type="spellStart"/>
      <w:r w:rsidRPr="00C67AD0">
        <w:rPr>
          <w:rFonts w:ascii="Book Antiqua" w:hAnsi="Book Antiqua" w:cs="Times New Roman"/>
          <w:bCs/>
          <w:sz w:val="24"/>
          <w:szCs w:val="24"/>
          <w:lang w:val="en-GB"/>
        </w:rPr>
        <w:t>Ministerio</w:t>
      </w:r>
      <w:proofErr w:type="spellEnd"/>
      <w:r w:rsidRPr="00C67AD0">
        <w:rPr>
          <w:rFonts w:ascii="Book Antiqua" w:hAnsi="Book Antiqua" w:cs="Times New Roman"/>
          <w:bCs/>
          <w:sz w:val="24"/>
          <w:szCs w:val="24"/>
          <w:lang w:val="en-GB"/>
        </w:rPr>
        <w:t xml:space="preserve"> de </w:t>
      </w:r>
      <w:proofErr w:type="spellStart"/>
      <w:r w:rsidRPr="00C67AD0">
        <w:rPr>
          <w:rFonts w:ascii="Book Antiqua" w:hAnsi="Book Antiqua" w:cs="Times New Roman"/>
          <w:bCs/>
          <w:sz w:val="24"/>
          <w:szCs w:val="24"/>
          <w:lang w:val="en-GB"/>
        </w:rPr>
        <w:t>Ciencia</w:t>
      </w:r>
      <w:proofErr w:type="spellEnd"/>
      <w:r w:rsidRPr="00C67AD0">
        <w:rPr>
          <w:rFonts w:ascii="Book Antiqua" w:hAnsi="Book Antiqua" w:cs="Times New Roman"/>
          <w:bCs/>
          <w:sz w:val="24"/>
          <w:szCs w:val="24"/>
          <w:lang w:val="en-GB"/>
        </w:rPr>
        <w:t xml:space="preserve"> e </w:t>
      </w:r>
      <w:proofErr w:type="spellStart"/>
      <w:r w:rsidRPr="00C67AD0">
        <w:rPr>
          <w:rFonts w:ascii="Book Antiqua" w:hAnsi="Book Antiqua" w:cs="Times New Roman"/>
          <w:bCs/>
          <w:sz w:val="24"/>
          <w:szCs w:val="24"/>
          <w:lang w:val="en-GB"/>
        </w:rPr>
        <w:t>Innovación</w:t>
      </w:r>
      <w:proofErr w:type="spellEnd"/>
      <w:r w:rsidRPr="00C67AD0">
        <w:rPr>
          <w:rFonts w:ascii="Book Antiqua" w:hAnsi="Book Antiqua" w:cs="Times New Roman"/>
          <w:bCs/>
          <w:sz w:val="24"/>
          <w:szCs w:val="24"/>
          <w:lang w:val="en-GB"/>
        </w:rPr>
        <w:t xml:space="preserve"> (PID2019-104130RB-I00) to Emma </w:t>
      </w:r>
      <w:proofErr w:type="spellStart"/>
      <w:r w:rsidRPr="00C67AD0">
        <w:rPr>
          <w:rFonts w:ascii="Book Antiqua" w:hAnsi="Book Antiqua" w:cs="Times New Roman"/>
          <w:bCs/>
          <w:sz w:val="24"/>
          <w:szCs w:val="24"/>
          <w:lang w:val="en-GB"/>
        </w:rPr>
        <w:t>Folch-Puy</w:t>
      </w:r>
      <w:proofErr w:type="spellEnd"/>
      <w:r w:rsidRPr="00C67AD0">
        <w:rPr>
          <w:rFonts w:ascii="Book Antiqua" w:hAnsi="Book Antiqua" w:cs="Times New Roman"/>
          <w:bCs/>
          <w:sz w:val="24"/>
          <w:szCs w:val="24"/>
          <w:lang w:val="en-GB"/>
        </w:rPr>
        <w:t xml:space="preserve">. The authors thank Veronica Raker for revising the English text. </w:t>
      </w:r>
      <w:bookmarkEnd w:id="24"/>
    </w:p>
    <w:p w14:paraId="2C463004"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eastAsia="zh-CN"/>
        </w:rPr>
      </w:pPr>
    </w:p>
    <w:p w14:paraId="1BACE432"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eastAsia="zh-CN"/>
        </w:rPr>
      </w:pPr>
      <w:r w:rsidRPr="00C67AD0">
        <w:rPr>
          <w:rFonts w:ascii="Book Antiqua" w:hAnsi="Book Antiqua" w:cs="Times New Roman"/>
          <w:b/>
          <w:sz w:val="24"/>
          <w:szCs w:val="24"/>
          <w:u w:val="single"/>
          <w:lang w:val="en-GB"/>
        </w:rPr>
        <w:t>REFERENCES</w:t>
      </w:r>
    </w:p>
    <w:p w14:paraId="52BB045D"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hAnsi="Book Antiqua" w:cs="Times New Roman"/>
          <w:b/>
          <w:sz w:val="24"/>
          <w:szCs w:val="24"/>
          <w:u w:val="single"/>
          <w:lang w:val="en-GB"/>
        </w:rPr>
        <w:fldChar w:fldCharType="begin" w:fldLock="1"/>
      </w:r>
      <w:r w:rsidRPr="00C67AD0">
        <w:rPr>
          <w:rFonts w:ascii="Book Antiqua" w:hAnsi="Book Antiqua" w:cs="Times New Roman"/>
          <w:b/>
          <w:sz w:val="24"/>
          <w:szCs w:val="24"/>
          <w:u w:val="single"/>
          <w:lang w:val="en-GB"/>
        </w:rPr>
        <w:instrText xml:space="preserve">ADDIN Mendeley Bibliography CSL_BIBLIOGRAPHY </w:instrText>
      </w:r>
      <w:r w:rsidRPr="00C67AD0">
        <w:rPr>
          <w:rFonts w:ascii="Book Antiqua" w:hAnsi="Book Antiqua" w:cs="Times New Roman"/>
          <w:b/>
          <w:sz w:val="24"/>
          <w:szCs w:val="24"/>
          <w:u w:val="single"/>
          <w:lang w:val="en-GB"/>
        </w:rPr>
        <w:fldChar w:fldCharType="separate"/>
      </w:r>
      <w:r w:rsidRPr="00C67AD0">
        <w:rPr>
          <w:rFonts w:ascii="Book Antiqua" w:eastAsia="宋体" w:hAnsi="Book Antiqua" w:cs="Times New Roman"/>
          <w:kern w:val="2"/>
          <w:sz w:val="24"/>
          <w:szCs w:val="24"/>
          <w:lang w:eastAsia="zh-CN"/>
        </w:rPr>
        <w:t xml:space="preserve">1 </w:t>
      </w:r>
      <w:r w:rsidRPr="00C67AD0">
        <w:rPr>
          <w:rFonts w:ascii="Book Antiqua" w:eastAsia="宋体" w:hAnsi="Book Antiqua" w:cs="Times New Roman"/>
          <w:b/>
          <w:kern w:val="2"/>
          <w:sz w:val="24"/>
          <w:szCs w:val="24"/>
          <w:lang w:eastAsia="zh-CN"/>
        </w:rPr>
        <w:t>Gukovskaya AS</w:t>
      </w:r>
      <w:r w:rsidRPr="00C67AD0">
        <w:rPr>
          <w:rFonts w:ascii="Book Antiqua" w:eastAsia="宋体" w:hAnsi="Book Antiqua" w:cs="Times New Roman"/>
          <w:kern w:val="2"/>
          <w:sz w:val="24"/>
          <w:szCs w:val="24"/>
          <w:lang w:eastAsia="zh-CN"/>
        </w:rPr>
        <w:t xml:space="preserve">, Gukovsky I, Algül H, Habtezion A. Autophagy, Inflammation, and Immune Dysfunction in the Pathogenesis of Pancreatitis. </w:t>
      </w:r>
      <w:r w:rsidRPr="00C67AD0">
        <w:rPr>
          <w:rFonts w:ascii="Book Antiqua" w:eastAsia="宋体" w:hAnsi="Book Antiqua" w:cs="Times New Roman"/>
          <w:i/>
          <w:kern w:val="2"/>
          <w:sz w:val="24"/>
          <w:szCs w:val="24"/>
          <w:lang w:eastAsia="zh-CN"/>
        </w:rPr>
        <w:t>Gastroenterology</w:t>
      </w:r>
      <w:r w:rsidRPr="00C67AD0">
        <w:rPr>
          <w:rFonts w:ascii="Book Antiqua" w:eastAsia="宋体" w:hAnsi="Book Antiqua" w:cs="Times New Roman"/>
          <w:kern w:val="2"/>
          <w:sz w:val="24"/>
          <w:szCs w:val="24"/>
          <w:lang w:eastAsia="zh-CN"/>
        </w:rPr>
        <w:t xml:space="preserve"> 2017; </w:t>
      </w:r>
      <w:r w:rsidRPr="00C67AD0">
        <w:rPr>
          <w:rFonts w:ascii="Book Antiqua" w:eastAsia="宋体" w:hAnsi="Book Antiqua" w:cs="Times New Roman"/>
          <w:b/>
          <w:kern w:val="2"/>
          <w:sz w:val="24"/>
          <w:szCs w:val="24"/>
          <w:lang w:eastAsia="zh-CN"/>
        </w:rPr>
        <w:t>153</w:t>
      </w:r>
      <w:r w:rsidRPr="00C67AD0">
        <w:rPr>
          <w:rFonts w:ascii="Book Antiqua" w:eastAsia="宋体" w:hAnsi="Book Antiqua" w:cs="Times New Roman"/>
          <w:kern w:val="2"/>
          <w:sz w:val="24"/>
          <w:szCs w:val="24"/>
          <w:lang w:eastAsia="zh-CN"/>
        </w:rPr>
        <w:t>: 1212-1226 [PMID: 28918190 DOI: 10.1053/j.gastro.2017.08.071]</w:t>
      </w:r>
    </w:p>
    <w:p w14:paraId="6BA35872"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2 </w:t>
      </w:r>
      <w:r w:rsidRPr="00C67AD0">
        <w:rPr>
          <w:rFonts w:ascii="Book Antiqua" w:eastAsia="宋体" w:hAnsi="Book Antiqua" w:cs="Times New Roman"/>
          <w:b/>
          <w:kern w:val="2"/>
          <w:sz w:val="24"/>
          <w:szCs w:val="24"/>
          <w:lang w:eastAsia="zh-CN"/>
        </w:rPr>
        <w:t>Banks PA</w:t>
      </w:r>
      <w:r w:rsidRPr="00C67AD0">
        <w:rPr>
          <w:rFonts w:ascii="Book Antiqua" w:eastAsia="宋体" w:hAnsi="Book Antiqua" w:cs="Times New Roman"/>
          <w:kern w:val="2"/>
          <w:sz w:val="24"/>
          <w:szCs w:val="24"/>
          <w:lang w:eastAsia="zh-CN"/>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C67AD0">
        <w:rPr>
          <w:rFonts w:ascii="Book Antiqua" w:eastAsia="宋体" w:hAnsi="Book Antiqua" w:cs="Times New Roman"/>
          <w:i/>
          <w:kern w:val="2"/>
          <w:sz w:val="24"/>
          <w:szCs w:val="24"/>
          <w:lang w:eastAsia="zh-CN"/>
        </w:rPr>
        <w:t>Gut</w:t>
      </w:r>
      <w:r w:rsidRPr="00C67AD0">
        <w:rPr>
          <w:rFonts w:ascii="Book Antiqua" w:eastAsia="宋体" w:hAnsi="Book Antiqua" w:cs="Times New Roman"/>
          <w:kern w:val="2"/>
          <w:sz w:val="24"/>
          <w:szCs w:val="24"/>
          <w:lang w:eastAsia="zh-CN"/>
        </w:rPr>
        <w:t xml:space="preserve"> 2013; </w:t>
      </w:r>
      <w:r w:rsidRPr="00C67AD0">
        <w:rPr>
          <w:rFonts w:ascii="Book Antiqua" w:eastAsia="宋体" w:hAnsi="Book Antiqua" w:cs="Times New Roman"/>
          <w:b/>
          <w:kern w:val="2"/>
          <w:sz w:val="24"/>
          <w:szCs w:val="24"/>
          <w:lang w:eastAsia="zh-CN"/>
        </w:rPr>
        <w:t>62</w:t>
      </w:r>
      <w:r w:rsidRPr="00C67AD0">
        <w:rPr>
          <w:rFonts w:ascii="Book Antiqua" w:eastAsia="宋体" w:hAnsi="Book Antiqua" w:cs="Times New Roman"/>
          <w:kern w:val="2"/>
          <w:sz w:val="24"/>
          <w:szCs w:val="24"/>
          <w:lang w:eastAsia="zh-CN"/>
        </w:rPr>
        <w:t>: 102-111 [PMID: 23100216 DOI: 10.1136/gutjnl-2012-302779]</w:t>
      </w:r>
    </w:p>
    <w:p w14:paraId="7485067F"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3 </w:t>
      </w:r>
      <w:r w:rsidRPr="00C67AD0">
        <w:rPr>
          <w:rFonts w:ascii="Book Antiqua" w:eastAsia="宋体" w:hAnsi="Book Antiqua" w:cs="Times New Roman"/>
          <w:b/>
          <w:kern w:val="2"/>
          <w:sz w:val="24"/>
          <w:szCs w:val="24"/>
          <w:lang w:eastAsia="zh-CN"/>
        </w:rPr>
        <w:t>van Santvoort HC</w:t>
      </w:r>
      <w:r w:rsidRPr="00C67AD0">
        <w:rPr>
          <w:rFonts w:ascii="Book Antiqua" w:eastAsia="宋体" w:hAnsi="Book Antiqua" w:cs="Times New Roman"/>
          <w:kern w:val="2"/>
          <w:sz w:val="24"/>
          <w:szCs w:val="24"/>
          <w:lang w:eastAsia="zh-CN"/>
        </w:rPr>
        <w:t xml:space="preserve">, Bakker OJ, Bollen TL, Besselink MG, Ahmed Ali U, Schrijver AM, Boermeester MA, van Goor H, Dejong CH, van Eijck CH, van Ramshorst B, </w:t>
      </w:r>
      <w:r w:rsidRPr="00C67AD0">
        <w:rPr>
          <w:rFonts w:ascii="Book Antiqua" w:eastAsia="宋体" w:hAnsi="Book Antiqua" w:cs="Times New Roman"/>
          <w:kern w:val="2"/>
          <w:sz w:val="24"/>
          <w:szCs w:val="24"/>
          <w:lang w:eastAsia="zh-CN"/>
        </w:rPr>
        <w:lastRenderedPageBreak/>
        <w:t xml:space="preserve">Schaapherder AF, van der Harst E, Hofker S, Nieuwenhuijs VB, Brink MA, Kruyt PM, Manusama ER, van der Schelling GP, Karsten T, Hesselink EJ, van Laarhoven CJ, Rosman C, Bosscha K, de Wit RJ, Houdijk AP, Cuesta MA, Wahab PJ, Gooszen HG; Dutch Pancreatitis Study Group. A conservative and minimally invasive approach to necrotizing pancreatitis improves outcome. </w:t>
      </w:r>
      <w:r w:rsidRPr="00C67AD0">
        <w:rPr>
          <w:rFonts w:ascii="Book Antiqua" w:eastAsia="宋体" w:hAnsi="Book Antiqua" w:cs="Times New Roman"/>
          <w:i/>
          <w:kern w:val="2"/>
          <w:sz w:val="24"/>
          <w:szCs w:val="24"/>
          <w:lang w:eastAsia="zh-CN"/>
        </w:rPr>
        <w:t>Gastroenterology</w:t>
      </w:r>
      <w:r w:rsidRPr="00C67AD0">
        <w:rPr>
          <w:rFonts w:ascii="Book Antiqua" w:eastAsia="宋体" w:hAnsi="Book Antiqua" w:cs="Times New Roman"/>
          <w:kern w:val="2"/>
          <w:sz w:val="24"/>
          <w:szCs w:val="24"/>
          <w:lang w:eastAsia="zh-CN"/>
        </w:rPr>
        <w:t xml:space="preserve"> 2011; </w:t>
      </w:r>
      <w:r w:rsidRPr="00C67AD0">
        <w:rPr>
          <w:rFonts w:ascii="Book Antiqua" w:eastAsia="宋体" w:hAnsi="Book Antiqua" w:cs="Times New Roman"/>
          <w:b/>
          <w:kern w:val="2"/>
          <w:sz w:val="24"/>
          <w:szCs w:val="24"/>
          <w:lang w:eastAsia="zh-CN"/>
        </w:rPr>
        <w:t>141</w:t>
      </w:r>
      <w:r w:rsidRPr="00C67AD0">
        <w:rPr>
          <w:rFonts w:ascii="Book Antiqua" w:eastAsia="宋体" w:hAnsi="Book Antiqua" w:cs="Times New Roman"/>
          <w:kern w:val="2"/>
          <w:sz w:val="24"/>
          <w:szCs w:val="24"/>
          <w:lang w:eastAsia="zh-CN"/>
        </w:rPr>
        <w:t>: 1254-1263 [PMID: 21741922 DOI: 10.1053/j.gastro.2011.06.073]</w:t>
      </w:r>
    </w:p>
    <w:p w14:paraId="2E57245C"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4 </w:t>
      </w:r>
      <w:r w:rsidRPr="00C67AD0">
        <w:rPr>
          <w:rFonts w:ascii="Book Antiqua" w:eastAsia="宋体" w:hAnsi="Book Antiqua" w:cs="Times New Roman"/>
          <w:b/>
          <w:kern w:val="2"/>
          <w:sz w:val="24"/>
          <w:szCs w:val="24"/>
          <w:lang w:eastAsia="zh-CN"/>
        </w:rPr>
        <w:t>Garber A</w:t>
      </w:r>
      <w:r w:rsidRPr="00C67AD0">
        <w:rPr>
          <w:rFonts w:ascii="Book Antiqua" w:eastAsia="宋体" w:hAnsi="Book Antiqua" w:cs="Times New Roman"/>
          <w:kern w:val="2"/>
          <w:sz w:val="24"/>
          <w:szCs w:val="24"/>
          <w:lang w:eastAsia="zh-CN"/>
        </w:rPr>
        <w:t xml:space="preserve">, Frakes C, Arora Z, Chahal P. Mechanisms and Management of Acute Pancreatitis. </w:t>
      </w:r>
      <w:r w:rsidRPr="00C67AD0">
        <w:rPr>
          <w:rFonts w:ascii="Book Antiqua" w:eastAsia="宋体" w:hAnsi="Book Antiqua" w:cs="Times New Roman"/>
          <w:i/>
          <w:kern w:val="2"/>
          <w:sz w:val="24"/>
          <w:szCs w:val="24"/>
          <w:lang w:eastAsia="zh-CN"/>
        </w:rPr>
        <w:t>Gastroenterol Res Pract</w:t>
      </w:r>
      <w:r w:rsidRPr="00C67AD0">
        <w:rPr>
          <w:rFonts w:ascii="Book Antiqua" w:eastAsia="宋体" w:hAnsi="Book Antiqua" w:cs="Times New Roman"/>
          <w:kern w:val="2"/>
          <w:sz w:val="24"/>
          <w:szCs w:val="24"/>
          <w:lang w:eastAsia="zh-CN"/>
        </w:rPr>
        <w:t xml:space="preserve"> 2018; </w:t>
      </w:r>
      <w:r w:rsidRPr="00C67AD0">
        <w:rPr>
          <w:rFonts w:ascii="Book Antiqua" w:eastAsia="宋体" w:hAnsi="Book Antiqua" w:cs="Times New Roman"/>
          <w:b/>
          <w:kern w:val="2"/>
          <w:sz w:val="24"/>
          <w:szCs w:val="24"/>
          <w:lang w:eastAsia="zh-CN"/>
        </w:rPr>
        <w:t>2018</w:t>
      </w:r>
      <w:r w:rsidRPr="00C67AD0">
        <w:rPr>
          <w:rFonts w:ascii="Book Antiqua" w:eastAsia="宋体" w:hAnsi="Book Antiqua" w:cs="Times New Roman"/>
          <w:kern w:val="2"/>
          <w:sz w:val="24"/>
          <w:szCs w:val="24"/>
          <w:lang w:eastAsia="zh-CN"/>
        </w:rPr>
        <w:t>: 6218798 [PMID: 29736167 DOI: 10.1155/2018/6218798]</w:t>
      </w:r>
    </w:p>
    <w:p w14:paraId="601A9864"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5 </w:t>
      </w:r>
      <w:r w:rsidRPr="00C67AD0">
        <w:rPr>
          <w:rFonts w:ascii="Book Antiqua" w:eastAsia="宋体" w:hAnsi="Book Antiqua" w:cs="Times New Roman"/>
          <w:b/>
          <w:kern w:val="2"/>
          <w:sz w:val="24"/>
          <w:szCs w:val="24"/>
          <w:lang w:eastAsia="zh-CN"/>
        </w:rPr>
        <w:t>Sendler M</w:t>
      </w:r>
      <w:r w:rsidRPr="00C67AD0">
        <w:rPr>
          <w:rFonts w:ascii="Book Antiqua" w:eastAsia="宋体" w:hAnsi="Book Antiqua" w:cs="Times New Roman"/>
          <w:kern w:val="2"/>
          <w:sz w:val="24"/>
          <w:szCs w:val="24"/>
          <w:lang w:eastAsia="zh-CN"/>
        </w:rPr>
        <w:t xml:space="preserve">, van den Brandt C, Glaubitz J, Wilden A, Golchert J, Weiss FU, Homuth G, De Freitas Chama LL, Mishra N, Mahajan UM, Bossaller L, Völker U, Bröker BM, Mayerle J, Lerch MM. NLRP3 Inflammasome Regulates Development of Systemic Inflammatory Response and Compensatory Anti-Inflammatory Response Syndromes in Mice With Acute Pancreatitis. </w:t>
      </w:r>
      <w:r w:rsidRPr="00C67AD0">
        <w:rPr>
          <w:rFonts w:ascii="Book Antiqua" w:eastAsia="宋体" w:hAnsi="Book Antiqua" w:cs="Times New Roman"/>
          <w:i/>
          <w:kern w:val="2"/>
          <w:sz w:val="24"/>
          <w:szCs w:val="24"/>
          <w:lang w:eastAsia="zh-CN"/>
        </w:rPr>
        <w:t>Gastroenterology</w:t>
      </w:r>
      <w:r w:rsidRPr="00C67AD0">
        <w:rPr>
          <w:rFonts w:ascii="Book Antiqua" w:eastAsia="宋体" w:hAnsi="Book Antiqua" w:cs="Times New Roman"/>
          <w:kern w:val="2"/>
          <w:sz w:val="24"/>
          <w:szCs w:val="24"/>
          <w:lang w:eastAsia="zh-CN"/>
        </w:rPr>
        <w:t xml:space="preserve"> 2020; </w:t>
      </w:r>
      <w:r w:rsidRPr="00C67AD0">
        <w:rPr>
          <w:rFonts w:ascii="Book Antiqua" w:eastAsia="宋体" w:hAnsi="Book Antiqua" w:cs="Times New Roman"/>
          <w:b/>
          <w:kern w:val="2"/>
          <w:sz w:val="24"/>
          <w:szCs w:val="24"/>
          <w:lang w:eastAsia="zh-CN"/>
        </w:rPr>
        <w:t>158</w:t>
      </w:r>
      <w:r w:rsidRPr="00C67AD0">
        <w:rPr>
          <w:rFonts w:ascii="Book Antiqua" w:eastAsia="宋体" w:hAnsi="Book Antiqua" w:cs="Times New Roman"/>
          <w:kern w:val="2"/>
          <w:sz w:val="24"/>
          <w:szCs w:val="24"/>
          <w:lang w:eastAsia="zh-CN"/>
        </w:rPr>
        <w:t>: 253-269.e14 [PMID: 31593700 DOI: 10.1053/j.gastro.2019.09.040]</w:t>
      </w:r>
    </w:p>
    <w:p w14:paraId="77550C4A"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6 </w:t>
      </w:r>
      <w:r w:rsidRPr="00C67AD0">
        <w:rPr>
          <w:rFonts w:ascii="Book Antiqua" w:eastAsia="宋体" w:hAnsi="Book Antiqua" w:cs="Times New Roman"/>
          <w:b/>
          <w:kern w:val="2"/>
          <w:sz w:val="24"/>
          <w:szCs w:val="24"/>
          <w:lang w:eastAsia="zh-CN"/>
        </w:rPr>
        <w:t>Kylänpää ML</w:t>
      </w:r>
      <w:r w:rsidRPr="00C67AD0">
        <w:rPr>
          <w:rFonts w:ascii="Book Antiqua" w:eastAsia="宋体" w:hAnsi="Book Antiqua" w:cs="Times New Roman"/>
          <w:kern w:val="2"/>
          <w:sz w:val="24"/>
          <w:szCs w:val="24"/>
          <w:lang w:eastAsia="zh-CN"/>
        </w:rPr>
        <w:t xml:space="preserve">, Repo H, Puolakkainen PA. Inflammation and immunosuppression in severe acute pancreatitis. </w:t>
      </w:r>
      <w:r w:rsidRPr="00C67AD0">
        <w:rPr>
          <w:rFonts w:ascii="Book Antiqua" w:eastAsia="宋体" w:hAnsi="Book Antiqua" w:cs="Times New Roman"/>
          <w:i/>
          <w:kern w:val="2"/>
          <w:sz w:val="24"/>
          <w:szCs w:val="24"/>
          <w:lang w:eastAsia="zh-CN"/>
        </w:rPr>
        <w:t>World J Gastroenterol</w:t>
      </w:r>
      <w:r w:rsidRPr="00C67AD0">
        <w:rPr>
          <w:rFonts w:ascii="Book Antiqua" w:eastAsia="宋体" w:hAnsi="Book Antiqua" w:cs="Times New Roman"/>
          <w:kern w:val="2"/>
          <w:sz w:val="24"/>
          <w:szCs w:val="24"/>
          <w:lang w:eastAsia="zh-CN"/>
        </w:rPr>
        <w:t xml:space="preserve"> 2010; </w:t>
      </w:r>
      <w:r w:rsidRPr="00C67AD0">
        <w:rPr>
          <w:rFonts w:ascii="Book Antiqua" w:eastAsia="宋体" w:hAnsi="Book Antiqua" w:cs="Times New Roman"/>
          <w:b/>
          <w:kern w:val="2"/>
          <w:sz w:val="24"/>
          <w:szCs w:val="24"/>
          <w:lang w:eastAsia="zh-CN"/>
        </w:rPr>
        <w:t>16</w:t>
      </w:r>
      <w:r w:rsidRPr="00C67AD0">
        <w:rPr>
          <w:rFonts w:ascii="Book Antiqua" w:eastAsia="宋体" w:hAnsi="Book Antiqua" w:cs="Times New Roman"/>
          <w:kern w:val="2"/>
          <w:sz w:val="24"/>
          <w:szCs w:val="24"/>
          <w:lang w:eastAsia="zh-CN"/>
        </w:rPr>
        <w:t>: 2867-2872 [PMID: 20556831 DOI: 10.3748/wjg.v16.i23.2867]</w:t>
      </w:r>
    </w:p>
    <w:p w14:paraId="14C57C87"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7 </w:t>
      </w:r>
      <w:r w:rsidRPr="00C67AD0">
        <w:rPr>
          <w:rFonts w:ascii="Book Antiqua" w:eastAsia="宋体" w:hAnsi="Book Antiqua" w:cs="Times New Roman"/>
          <w:b/>
          <w:kern w:val="2"/>
          <w:sz w:val="24"/>
          <w:szCs w:val="24"/>
          <w:lang w:eastAsia="zh-CN"/>
        </w:rPr>
        <w:t>Pasut G</w:t>
      </w:r>
      <w:r w:rsidRPr="00C67AD0">
        <w:rPr>
          <w:rFonts w:ascii="Book Antiqua" w:eastAsia="宋体" w:hAnsi="Book Antiqua" w:cs="Times New Roman"/>
          <w:kern w:val="2"/>
          <w:sz w:val="24"/>
          <w:szCs w:val="24"/>
          <w:lang w:eastAsia="zh-CN"/>
        </w:rPr>
        <w:t xml:space="preserve">, Panisello A, Folch-Puy E, Lopez A, Castro-Benítez C, Calvo M, Carbonell T, García-Gil A, Adam R, Roselló-Catafau J. Polyethylene glycols: An effective strategy for limiting liver ischemia reperfusion injury. </w:t>
      </w:r>
      <w:r w:rsidRPr="00C67AD0">
        <w:rPr>
          <w:rFonts w:ascii="Book Antiqua" w:eastAsia="宋体" w:hAnsi="Book Antiqua" w:cs="Times New Roman"/>
          <w:i/>
          <w:kern w:val="2"/>
          <w:sz w:val="24"/>
          <w:szCs w:val="24"/>
          <w:lang w:eastAsia="zh-CN"/>
        </w:rPr>
        <w:t>World J Gastroenterol</w:t>
      </w:r>
      <w:r w:rsidRPr="00C67AD0">
        <w:rPr>
          <w:rFonts w:ascii="Book Antiqua" w:eastAsia="宋体" w:hAnsi="Book Antiqua" w:cs="Times New Roman"/>
          <w:kern w:val="2"/>
          <w:sz w:val="24"/>
          <w:szCs w:val="24"/>
          <w:lang w:eastAsia="zh-CN"/>
        </w:rPr>
        <w:t xml:space="preserve"> 2016; </w:t>
      </w:r>
      <w:r w:rsidRPr="00C67AD0">
        <w:rPr>
          <w:rFonts w:ascii="Book Antiqua" w:eastAsia="宋体" w:hAnsi="Book Antiqua" w:cs="Times New Roman"/>
          <w:b/>
          <w:kern w:val="2"/>
          <w:sz w:val="24"/>
          <w:szCs w:val="24"/>
          <w:lang w:eastAsia="zh-CN"/>
        </w:rPr>
        <w:t>22</w:t>
      </w:r>
      <w:r w:rsidRPr="00C67AD0">
        <w:rPr>
          <w:rFonts w:ascii="Book Antiqua" w:eastAsia="宋体" w:hAnsi="Book Antiqua" w:cs="Times New Roman"/>
          <w:kern w:val="2"/>
          <w:sz w:val="24"/>
          <w:szCs w:val="24"/>
          <w:lang w:eastAsia="zh-CN"/>
        </w:rPr>
        <w:t>: 6501-6508 [PMID: 27605884 DOI: 10.3748/wjg.v22.i28.6501]</w:t>
      </w:r>
    </w:p>
    <w:p w14:paraId="77471471"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8 </w:t>
      </w:r>
      <w:r w:rsidRPr="00C67AD0">
        <w:rPr>
          <w:rFonts w:ascii="Book Antiqua" w:eastAsia="宋体" w:hAnsi="Book Antiqua" w:cs="Times New Roman"/>
          <w:b/>
          <w:kern w:val="2"/>
          <w:sz w:val="24"/>
          <w:szCs w:val="24"/>
          <w:lang w:eastAsia="zh-CN"/>
        </w:rPr>
        <w:t>Chen H</w:t>
      </w:r>
      <w:r w:rsidRPr="00C67AD0">
        <w:rPr>
          <w:rFonts w:ascii="Book Antiqua" w:eastAsia="宋体" w:hAnsi="Book Antiqua" w:cs="Times New Roman"/>
          <w:kern w:val="2"/>
          <w:sz w:val="24"/>
          <w:szCs w:val="24"/>
          <w:lang w:eastAsia="zh-CN"/>
        </w:rPr>
        <w:t xml:space="preserve">, Quick E, Leung G, Hamann K, Fu Y, Cheng JX, Shi R. Polyethylene glycol protects injured neuronal mitochondria. </w:t>
      </w:r>
      <w:r w:rsidRPr="00C67AD0">
        <w:rPr>
          <w:rFonts w:ascii="Book Antiqua" w:eastAsia="宋体" w:hAnsi="Book Antiqua" w:cs="Times New Roman"/>
          <w:i/>
          <w:kern w:val="2"/>
          <w:sz w:val="24"/>
          <w:szCs w:val="24"/>
          <w:lang w:eastAsia="zh-CN"/>
        </w:rPr>
        <w:t>Pathobiology</w:t>
      </w:r>
      <w:r w:rsidRPr="00C67AD0">
        <w:rPr>
          <w:rFonts w:ascii="Book Antiqua" w:eastAsia="宋体" w:hAnsi="Book Antiqua" w:cs="Times New Roman"/>
          <w:kern w:val="2"/>
          <w:sz w:val="24"/>
          <w:szCs w:val="24"/>
          <w:lang w:eastAsia="zh-CN"/>
        </w:rPr>
        <w:t xml:space="preserve"> 2009; </w:t>
      </w:r>
      <w:r w:rsidRPr="00C67AD0">
        <w:rPr>
          <w:rFonts w:ascii="Book Antiqua" w:eastAsia="宋体" w:hAnsi="Book Antiqua" w:cs="Times New Roman"/>
          <w:b/>
          <w:kern w:val="2"/>
          <w:sz w:val="24"/>
          <w:szCs w:val="24"/>
          <w:lang w:eastAsia="zh-CN"/>
        </w:rPr>
        <w:t>76</w:t>
      </w:r>
      <w:r w:rsidRPr="00C67AD0">
        <w:rPr>
          <w:rFonts w:ascii="Book Antiqua" w:eastAsia="宋体" w:hAnsi="Book Antiqua" w:cs="Times New Roman"/>
          <w:kern w:val="2"/>
          <w:sz w:val="24"/>
          <w:szCs w:val="24"/>
          <w:lang w:eastAsia="zh-CN"/>
        </w:rPr>
        <w:t>: 117-128 [PMID: 19468251 DOI: 10.1159/000209389]</w:t>
      </w:r>
    </w:p>
    <w:p w14:paraId="7CE8253D"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9 </w:t>
      </w:r>
      <w:r w:rsidRPr="00C67AD0">
        <w:rPr>
          <w:rFonts w:ascii="Book Antiqua" w:eastAsia="宋体" w:hAnsi="Book Antiqua" w:cs="Times New Roman"/>
          <w:b/>
          <w:kern w:val="2"/>
          <w:sz w:val="24"/>
          <w:szCs w:val="24"/>
          <w:lang w:eastAsia="zh-CN"/>
        </w:rPr>
        <w:t>Malhotra R</w:t>
      </w:r>
      <w:r w:rsidRPr="00C67AD0">
        <w:rPr>
          <w:rFonts w:ascii="Book Antiqua" w:eastAsia="宋体" w:hAnsi="Book Antiqua" w:cs="Times New Roman"/>
          <w:kern w:val="2"/>
          <w:sz w:val="24"/>
          <w:szCs w:val="24"/>
          <w:lang w:eastAsia="zh-CN"/>
        </w:rPr>
        <w:t xml:space="preserve">, Valuckaite V, Staron ML, Theccanat T, D'Souza KM, Alverdy JC, Akhter SA. High-molecular-weight polyethylene glycol protects cardiac myocytes from hypoxia- and reoxygenation-induced cell death and preserves ventricular function. </w:t>
      </w:r>
      <w:r w:rsidRPr="00C67AD0">
        <w:rPr>
          <w:rFonts w:ascii="Book Antiqua" w:eastAsia="宋体" w:hAnsi="Book Antiqua" w:cs="Times New Roman"/>
          <w:i/>
          <w:kern w:val="2"/>
          <w:sz w:val="24"/>
          <w:szCs w:val="24"/>
          <w:lang w:eastAsia="zh-CN"/>
        </w:rPr>
        <w:t>Am J Physiol Heart Circ Physiol</w:t>
      </w:r>
      <w:r w:rsidRPr="00C67AD0">
        <w:rPr>
          <w:rFonts w:ascii="Book Antiqua" w:eastAsia="宋体" w:hAnsi="Book Antiqua" w:cs="Times New Roman"/>
          <w:kern w:val="2"/>
          <w:sz w:val="24"/>
          <w:szCs w:val="24"/>
          <w:lang w:eastAsia="zh-CN"/>
        </w:rPr>
        <w:t xml:space="preserve"> 2011; </w:t>
      </w:r>
      <w:r w:rsidRPr="00C67AD0">
        <w:rPr>
          <w:rFonts w:ascii="Book Antiqua" w:eastAsia="宋体" w:hAnsi="Book Antiqua" w:cs="Times New Roman"/>
          <w:b/>
          <w:kern w:val="2"/>
          <w:sz w:val="24"/>
          <w:szCs w:val="24"/>
          <w:lang w:eastAsia="zh-CN"/>
        </w:rPr>
        <w:t>300</w:t>
      </w:r>
      <w:r w:rsidRPr="00C67AD0">
        <w:rPr>
          <w:rFonts w:ascii="Book Antiqua" w:eastAsia="宋体" w:hAnsi="Book Antiqua" w:cs="Times New Roman"/>
          <w:kern w:val="2"/>
          <w:sz w:val="24"/>
          <w:szCs w:val="24"/>
          <w:lang w:eastAsia="zh-CN"/>
        </w:rPr>
        <w:t>: H1733-H1742 [PMID: 21335476 DOI: 10.1152/ajpheart.01054.2010]</w:t>
      </w:r>
    </w:p>
    <w:p w14:paraId="70E98E77"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10 </w:t>
      </w:r>
      <w:r w:rsidRPr="00C67AD0">
        <w:rPr>
          <w:rFonts w:ascii="Book Antiqua" w:eastAsia="宋体" w:hAnsi="Book Antiqua" w:cs="Times New Roman"/>
          <w:b/>
          <w:kern w:val="2"/>
          <w:sz w:val="24"/>
          <w:szCs w:val="24"/>
          <w:lang w:eastAsia="zh-CN"/>
        </w:rPr>
        <w:t>Chiang ET</w:t>
      </w:r>
      <w:r w:rsidRPr="00C67AD0">
        <w:rPr>
          <w:rFonts w:ascii="Book Antiqua" w:eastAsia="宋体" w:hAnsi="Book Antiqua" w:cs="Times New Roman"/>
          <w:kern w:val="2"/>
          <w:sz w:val="24"/>
          <w:szCs w:val="24"/>
          <w:lang w:eastAsia="zh-CN"/>
        </w:rPr>
        <w:t xml:space="preserve">, Camp SM, Dudek SM, Brown ME, Usatyuk PV, Zaborina O, Alverdy </w:t>
      </w:r>
      <w:r w:rsidRPr="00C67AD0">
        <w:rPr>
          <w:rFonts w:ascii="Book Antiqua" w:eastAsia="宋体" w:hAnsi="Book Antiqua" w:cs="Times New Roman"/>
          <w:kern w:val="2"/>
          <w:sz w:val="24"/>
          <w:szCs w:val="24"/>
          <w:lang w:eastAsia="zh-CN"/>
        </w:rPr>
        <w:lastRenderedPageBreak/>
        <w:t xml:space="preserve">JC, Garcia JG. Protective effects of high-molecular weight polyethylene glycol (PEG) in human lung endothelial cell barrier regulation: role of actin cytoskeletal rearrangement. </w:t>
      </w:r>
      <w:r w:rsidRPr="00C67AD0">
        <w:rPr>
          <w:rFonts w:ascii="Book Antiqua" w:eastAsia="宋体" w:hAnsi="Book Antiqua" w:cs="Times New Roman"/>
          <w:i/>
          <w:kern w:val="2"/>
          <w:sz w:val="24"/>
          <w:szCs w:val="24"/>
          <w:lang w:eastAsia="zh-CN"/>
        </w:rPr>
        <w:t>Microvasc Res</w:t>
      </w:r>
      <w:r w:rsidRPr="00C67AD0">
        <w:rPr>
          <w:rFonts w:ascii="Book Antiqua" w:eastAsia="宋体" w:hAnsi="Book Antiqua" w:cs="Times New Roman"/>
          <w:kern w:val="2"/>
          <w:sz w:val="24"/>
          <w:szCs w:val="24"/>
          <w:lang w:eastAsia="zh-CN"/>
        </w:rPr>
        <w:t xml:space="preserve"> 2009; </w:t>
      </w:r>
      <w:r w:rsidRPr="00C67AD0">
        <w:rPr>
          <w:rFonts w:ascii="Book Antiqua" w:eastAsia="宋体" w:hAnsi="Book Antiqua" w:cs="Times New Roman"/>
          <w:b/>
          <w:kern w:val="2"/>
          <w:sz w:val="24"/>
          <w:szCs w:val="24"/>
          <w:lang w:eastAsia="zh-CN"/>
        </w:rPr>
        <w:t>77</w:t>
      </w:r>
      <w:r w:rsidRPr="00C67AD0">
        <w:rPr>
          <w:rFonts w:ascii="Book Antiqua" w:eastAsia="宋体" w:hAnsi="Book Antiqua" w:cs="Times New Roman"/>
          <w:kern w:val="2"/>
          <w:sz w:val="24"/>
          <w:szCs w:val="24"/>
          <w:lang w:eastAsia="zh-CN"/>
        </w:rPr>
        <w:t>: 174-186 [PMID: 19121327 DOI: 10.1016/j.mvr.2008.11.007]</w:t>
      </w:r>
    </w:p>
    <w:p w14:paraId="4B0B6E6E"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val="es-ES" w:eastAsia="zh-CN"/>
        </w:rPr>
      </w:pPr>
      <w:r w:rsidRPr="00C67AD0">
        <w:rPr>
          <w:rFonts w:ascii="Book Antiqua" w:eastAsia="宋体" w:hAnsi="Book Antiqua" w:cs="Times New Roman"/>
          <w:kern w:val="2"/>
          <w:sz w:val="24"/>
          <w:szCs w:val="24"/>
          <w:lang w:eastAsia="zh-CN"/>
        </w:rPr>
        <w:t xml:space="preserve">11 </w:t>
      </w:r>
      <w:r w:rsidRPr="00C67AD0">
        <w:rPr>
          <w:rFonts w:ascii="Book Antiqua" w:eastAsia="宋体" w:hAnsi="Book Antiqua" w:cs="Times New Roman"/>
          <w:b/>
          <w:kern w:val="2"/>
          <w:sz w:val="24"/>
          <w:szCs w:val="24"/>
          <w:lang w:eastAsia="zh-CN"/>
        </w:rPr>
        <w:t>Nagelschmidt M</w:t>
      </w:r>
      <w:r w:rsidRPr="00C67AD0">
        <w:rPr>
          <w:rFonts w:ascii="Book Antiqua" w:eastAsia="宋体" w:hAnsi="Book Antiqua" w:cs="Times New Roman"/>
          <w:kern w:val="2"/>
          <w:sz w:val="24"/>
          <w:szCs w:val="24"/>
          <w:lang w:eastAsia="zh-CN"/>
        </w:rPr>
        <w:t xml:space="preserve">, Minor T, Saad S. Polyethylene glycol 4000 attenuates adhesion formation in rats by suppression of peritoneal inflammation and collagen incorporation. </w:t>
      </w:r>
      <w:r w:rsidRPr="00C67AD0">
        <w:rPr>
          <w:rFonts w:ascii="Book Antiqua" w:eastAsia="宋体" w:hAnsi="Book Antiqua" w:cs="Times New Roman"/>
          <w:i/>
          <w:kern w:val="2"/>
          <w:sz w:val="24"/>
          <w:szCs w:val="24"/>
          <w:lang w:val="es-ES" w:eastAsia="zh-CN"/>
        </w:rPr>
        <w:t>Am J Surg</w:t>
      </w:r>
      <w:r w:rsidRPr="00C67AD0">
        <w:rPr>
          <w:rFonts w:ascii="Book Antiqua" w:eastAsia="宋体" w:hAnsi="Book Antiqua" w:cs="Times New Roman"/>
          <w:kern w:val="2"/>
          <w:sz w:val="24"/>
          <w:szCs w:val="24"/>
          <w:lang w:val="es-ES" w:eastAsia="zh-CN"/>
        </w:rPr>
        <w:t xml:space="preserve"> 1998; </w:t>
      </w:r>
      <w:r w:rsidRPr="00C67AD0">
        <w:rPr>
          <w:rFonts w:ascii="Book Antiqua" w:eastAsia="宋体" w:hAnsi="Book Antiqua" w:cs="Times New Roman"/>
          <w:b/>
          <w:kern w:val="2"/>
          <w:sz w:val="24"/>
          <w:szCs w:val="24"/>
          <w:lang w:val="es-ES" w:eastAsia="zh-CN"/>
        </w:rPr>
        <w:t>176</w:t>
      </w:r>
      <w:r w:rsidRPr="00C67AD0">
        <w:rPr>
          <w:rFonts w:ascii="Book Antiqua" w:eastAsia="宋体" w:hAnsi="Book Antiqua" w:cs="Times New Roman"/>
          <w:kern w:val="2"/>
          <w:sz w:val="24"/>
          <w:szCs w:val="24"/>
          <w:lang w:val="es-ES" w:eastAsia="zh-CN"/>
        </w:rPr>
        <w:t>: 76-80 [PMID: 9683139 DOI: 10.1016/S0002-9610(98)00102-0]</w:t>
      </w:r>
    </w:p>
    <w:p w14:paraId="10984DE7"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val="es-ES" w:eastAsia="zh-CN"/>
        </w:rPr>
        <w:t xml:space="preserve">12 </w:t>
      </w:r>
      <w:r w:rsidRPr="00C67AD0">
        <w:rPr>
          <w:rFonts w:ascii="Book Antiqua" w:eastAsia="宋体" w:hAnsi="Book Antiqua" w:cs="Times New Roman"/>
          <w:b/>
          <w:kern w:val="2"/>
          <w:sz w:val="24"/>
          <w:szCs w:val="24"/>
          <w:lang w:val="es-ES" w:eastAsia="zh-CN"/>
        </w:rPr>
        <w:t>Videla S</w:t>
      </w:r>
      <w:r w:rsidRPr="00C67AD0">
        <w:rPr>
          <w:rFonts w:ascii="Book Antiqua" w:eastAsia="宋体" w:hAnsi="Book Antiqua" w:cs="Times New Roman"/>
          <w:kern w:val="2"/>
          <w:sz w:val="24"/>
          <w:szCs w:val="24"/>
          <w:lang w:val="es-ES" w:eastAsia="zh-CN"/>
        </w:rPr>
        <w:t xml:space="preserve">, Lugea A, Vilaseca J, Guarner F, Treserra F, Salas A, Crespo E, Medina C, Malagelada JR. </w:t>
      </w:r>
      <w:r w:rsidRPr="00C67AD0">
        <w:rPr>
          <w:rFonts w:ascii="Book Antiqua" w:eastAsia="宋体" w:hAnsi="Book Antiqua" w:cs="Times New Roman"/>
          <w:kern w:val="2"/>
          <w:sz w:val="24"/>
          <w:szCs w:val="24"/>
          <w:lang w:eastAsia="zh-CN"/>
        </w:rPr>
        <w:t xml:space="preserve">Polyethylene glycol enhances colonic barrier function and ameliorates experimental colitis in rats. </w:t>
      </w:r>
      <w:r w:rsidRPr="00C67AD0">
        <w:rPr>
          <w:rFonts w:ascii="Book Antiqua" w:eastAsia="宋体" w:hAnsi="Book Antiqua" w:cs="Times New Roman"/>
          <w:i/>
          <w:kern w:val="2"/>
          <w:sz w:val="24"/>
          <w:szCs w:val="24"/>
          <w:lang w:eastAsia="zh-CN"/>
        </w:rPr>
        <w:t>Int J Colorectal Dis</w:t>
      </w:r>
      <w:r w:rsidRPr="00C67AD0">
        <w:rPr>
          <w:rFonts w:ascii="Book Antiqua" w:eastAsia="宋体" w:hAnsi="Book Antiqua" w:cs="Times New Roman"/>
          <w:kern w:val="2"/>
          <w:sz w:val="24"/>
          <w:szCs w:val="24"/>
          <w:lang w:eastAsia="zh-CN"/>
        </w:rPr>
        <w:t xml:space="preserve"> 2007; </w:t>
      </w:r>
      <w:r w:rsidRPr="00C67AD0">
        <w:rPr>
          <w:rFonts w:ascii="Book Antiqua" w:eastAsia="宋体" w:hAnsi="Book Antiqua" w:cs="Times New Roman"/>
          <w:b/>
          <w:kern w:val="2"/>
          <w:sz w:val="24"/>
          <w:szCs w:val="24"/>
          <w:lang w:eastAsia="zh-CN"/>
        </w:rPr>
        <w:t>22</w:t>
      </w:r>
      <w:r w:rsidRPr="00C67AD0">
        <w:rPr>
          <w:rFonts w:ascii="Book Antiqua" w:eastAsia="宋体" w:hAnsi="Book Antiqua" w:cs="Times New Roman"/>
          <w:kern w:val="2"/>
          <w:sz w:val="24"/>
          <w:szCs w:val="24"/>
          <w:lang w:eastAsia="zh-CN"/>
        </w:rPr>
        <w:t>: 571-580 [PMID: 17061105 DOI: 10.1007/s00384-006-0232-4]</w:t>
      </w:r>
    </w:p>
    <w:p w14:paraId="3DF14586"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13 </w:t>
      </w:r>
      <w:r w:rsidRPr="00C67AD0">
        <w:rPr>
          <w:rFonts w:ascii="Book Antiqua" w:eastAsia="宋体" w:hAnsi="Book Antiqua" w:cs="Times New Roman"/>
          <w:b/>
          <w:kern w:val="2"/>
          <w:sz w:val="24"/>
          <w:szCs w:val="24"/>
          <w:lang w:eastAsia="zh-CN"/>
        </w:rPr>
        <w:t>Ackland GL</w:t>
      </w:r>
      <w:r w:rsidRPr="00C67AD0">
        <w:rPr>
          <w:rFonts w:ascii="Book Antiqua" w:eastAsia="宋体" w:hAnsi="Book Antiqua" w:cs="Times New Roman"/>
          <w:kern w:val="2"/>
          <w:sz w:val="24"/>
          <w:szCs w:val="24"/>
          <w:lang w:eastAsia="zh-CN"/>
        </w:rPr>
        <w:t xml:space="preserve">, Gutierrez Del Arroyo A, Yao ST, Stephens RC, Dyson A, Klein NJ, Singer M, Gourine AV. Low-molecular-weight polyethylene glycol improves survival in experimental sepsis. </w:t>
      </w:r>
      <w:r w:rsidRPr="00C67AD0">
        <w:rPr>
          <w:rFonts w:ascii="Book Antiqua" w:eastAsia="宋体" w:hAnsi="Book Antiqua" w:cs="Times New Roman"/>
          <w:i/>
          <w:kern w:val="2"/>
          <w:sz w:val="24"/>
          <w:szCs w:val="24"/>
          <w:lang w:eastAsia="zh-CN"/>
        </w:rPr>
        <w:t>Crit Care Med</w:t>
      </w:r>
      <w:r w:rsidRPr="00C67AD0">
        <w:rPr>
          <w:rFonts w:ascii="Book Antiqua" w:eastAsia="宋体" w:hAnsi="Book Antiqua" w:cs="Times New Roman"/>
          <w:kern w:val="2"/>
          <w:sz w:val="24"/>
          <w:szCs w:val="24"/>
          <w:lang w:eastAsia="zh-CN"/>
        </w:rPr>
        <w:t xml:space="preserve"> 2010; </w:t>
      </w:r>
      <w:r w:rsidRPr="00C67AD0">
        <w:rPr>
          <w:rFonts w:ascii="Book Antiqua" w:eastAsia="宋体" w:hAnsi="Book Antiqua" w:cs="Times New Roman"/>
          <w:b/>
          <w:kern w:val="2"/>
          <w:sz w:val="24"/>
          <w:szCs w:val="24"/>
          <w:lang w:eastAsia="zh-CN"/>
        </w:rPr>
        <w:t>38</w:t>
      </w:r>
      <w:r w:rsidRPr="00C67AD0">
        <w:rPr>
          <w:rFonts w:ascii="Book Antiqua" w:eastAsia="宋体" w:hAnsi="Book Antiqua" w:cs="Times New Roman"/>
          <w:kern w:val="2"/>
          <w:sz w:val="24"/>
          <w:szCs w:val="24"/>
          <w:lang w:eastAsia="zh-CN"/>
        </w:rPr>
        <w:t>: 629-636 [PMID: 20009757 DOI: 10.1097/CCM.0b013e3181c8fcd0]</w:t>
      </w:r>
    </w:p>
    <w:p w14:paraId="6C04FEC4"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14 </w:t>
      </w:r>
      <w:r w:rsidRPr="00C67AD0">
        <w:rPr>
          <w:rFonts w:ascii="Book Antiqua" w:eastAsia="宋体" w:hAnsi="Book Antiqua" w:cs="Times New Roman"/>
          <w:b/>
          <w:kern w:val="2"/>
          <w:sz w:val="24"/>
          <w:szCs w:val="24"/>
          <w:lang w:eastAsia="zh-CN"/>
        </w:rPr>
        <w:t>Ferrero-Andrés A</w:t>
      </w:r>
      <w:r w:rsidRPr="00C67AD0">
        <w:rPr>
          <w:rFonts w:ascii="Book Antiqua" w:eastAsia="宋体" w:hAnsi="Book Antiqua" w:cs="Times New Roman"/>
          <w:kern w:val="2"/>
          <w:sz w:val="24"/>
          <w:szCs w:val="24"/>
          <w:lang w:eastAsia="zh-CN"/>
        </w:rPr>
        <w:t xml:space="preserve">, Panisello-Roselló A, Serafín A, Roselló-Catafau J, Folch-Puy E. Polyethylene Glycol 35 (PEG35) Protects against Inflammation in Experimental Acute Necrotizing Pancreatitis and Associated Lung Injury. </w:t>
      </w:r>
      <w:r w:rsidRPr="00C67AD0">
        <w:rPr>
          <w:rFonts w:ascii="Book Antiqua" w:eastAsia="宋体" w:hAnsi="Book Antiqua" w:cs="Times New Roman"/>
          <w:i/>
          <w:kern w:val="2"/>
          <w:sz w:val="24"/>
          <w:szCs w:val="24"/>
          <w:lang w:eastAsia="zh-CN"/>
        </w:rPr>
        <w:t>Int J Mol Sci</w:t>
      </w:r>
      <w:r w:rsidRPr="00C67AD0">
        <w:rPr>
          <w:rFonts w:ascii="Book Antiqua" w:eastAsia="宋体" w:hAnsi="Book Antiqua" w:cs="Times New Roman"/>
          <w:kern w:val="2"/>
          <w:sz w:val="24"/>
          <w:szCs w:val="24"/>
          <w:lang w:eastAsia="zh-CN"/>
        </w:rPr>
        <w:t xml:space="preserve"> 2020; </w:t>
      </w:r>
      <w:r w:rsidRPr="00C67AD0">
        <w:rPr>
          <w:rFonts w:ascii="Book Antiqua" w:eastAsia="宋体" w:hAnsi="Book Antiqua" w:cs="Times New Roman"/>
          <w:b/>
          <w:kern w:val="2"/>
          <w:sz w:val="24"/>
          <w:szCs w:val="24"/>
          <w:lang w:eastAsia="zh-CN"/>
        </w:rPr>
        <w:t>21</w:t>
      </w:r>
      <w:r w:rsidRPr="00C67AD0">
        <w:rPr>
          <w:rFonts w:ascii="Book Antiqua" w:eastAsia="宋体" w:hAnsi="Book Antiqua" w:cs="Times New Roman"/>
          <w:kern w:val="2"/>
          <w:sz w:val="24"/>
          <w:szCs w:val="24"/>
          <w:lang w:eastAsia="zh-CN"/>
        </w:rPr>
        <w:t xml:space="preserve">: </w:t>
      </w:r>
      <w:r w:rsidRPr="00C67AD0">
        <w:rPr>
          <w:rFonts w:ascii="Book Antiqua" w:eastAsia="宋体" w:hAnsi="Book Antiqua" w:cs="Times New Roman" w:hint="eastAsia"/>
          <w:kern w:val="2"/>
          <w:sz w:val="24"/>
          <w:szCs w:val="24"/>
          <w:lang w:eastAsia="zh-CN"/>
        </w:rPr>
        <w:t>917</w:t>
      </w:r>
      <w:r w:rsidRPr="00C67AD0">
        <w:rPr>
          <w:rFonts w:ascii="Book Antiqua" w:eastAsia="宋体" w:hAnsi="Book Antiqua" w:cs="Times New Roman"/>
          <w:kern w:val="2"/>
          <w:sz w:val="24"/>
          <w:szCs w:val="24"/>
          <w:lang w:eastAsia="zh-CN"/>
        </w:rPr>
        <w:t xml:space="preserve"> [PMID: 32019239 DOI: 10.3390/ijms21030917]</w:t>
      </w:r>
    </w:p>
    <w:p w14:paraId="16AEA449"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15 </w:t>
      </w:r>
      <w:r w:rsidRPr="00C67AD0">
        <w:rPr>
          <w:rFonts w:ascii="Book Antiqua" w:eastAsia="宋体" w:hAnsi="Book Antiqua" w:cs="Times New Roman"/>
          <w:b/>
          <w:kern w:val="2"/>
          <w:sz w:val="24"/>
          <w:szCs w:val="24"/>
          <w:lang w:eastAsia="zh-CN"/>
        </w:rPr>
        <w:t>Hyun JJ</w:t>
      </w:r>
      <w:r w:rsidRPr="00C67AD0">
        <w:rPr>
          <w:rFonts w:ascii="Book Antiqua" w:eastAsia="宋体" w:hAnsi="Book Antiqua" w:cs="Times New Roman"/>
          <w:kern w:val="2"/>
          <w:sz w:val="24"/>
          <w:szCs w:val="24"/>
          <w:lang w:eastAsia="zh-CN"/>
        </w:rPr>
        <w:t xml:space="preserve">, Lee HS. Experimental models of pancreatitis. </w:t>
      </w:r>
      <w:r w:rsidRPr="00C67AD0">
        <w:rPr>
          <w:rFonts w:ascii="Book Antiqua" w:eastAsia="宋体" w:hAnsi="Book Antiqua" w:cs="Times New Roman"/>
          <w:i/>
          <w:kern w:val="2"/>
          <w:sz w:val="24"/>
          <w:szCs w:val="24"/>
          <w:lang w:eastAsia="zh-CN"/>
        </w:rPr>
        <w:t>Clin Endosc</w:t>
      </w:r>
      <w:r w:rsidRPr="00C67AD0">
        <w:rPr>
          <w:rFonts w:ascii="Book Antiqua" w:eastAsia="宋体" w:hAnsi="Book Antiqua" w:cs="Times New Roman"/>
          <w:kern w:val="2"/>
          <w:sz w:val="24"/>
          <w:szCs w:val="24"/>
          <w:lang w:eastAsia="zh-CN"/>
        </w:rPr>
        <w:t xml:space="preserve"> 2014; </w:t>
      </w:r>
      <w:r w:rsidRPr="00C67AD0">
        <w:rPr>
          <w:rFonts w:ascii="Book Antiqua" w:eastAsia="宋体" w:hAnsi="Book Antiqua" w:cs="Times New Roman"/>
          <w:b/>
          <w:kern w:val="2"/>
          <w:sz w:val="24"/>
          <w:szCs w:val="24"/>
          <w:lang w:eastAsia="zh-CN"/>
        </w:rPr>
        <w:t>47</w:t>
      </w:r>
      <w:r w:rsidRPr="00C67AD0">
        <w:rPr>
          <w:rFonts w:ascii="Book Antiqua" w:eastAsia="宋体" w:hAnsi="Book Antiqua" w:cs="Times New Roman"/>
          <w:kern w:val="2"/>
          <w:sz w:val="24"/>
          <w:szCs w:val="24"/>
          <w:lang w:eastAsia="zh-CN"/>
        </w:rPr>
        <w:t>: 212-216 [PMID: 24944983 DOI: 10.5946/ce.2014.47.3.212]</w:t>
      </w:r>
    </w:p>
    <w:p w14:paraId="44E13A65"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16 </w:t>
      </w:r>
      <w:r w:rsidRPr="00C67AD0">
        <w:rPr>
          <w:rFonts w:ascii="Book Antiqua" w:eastAsia="宋体" w:hAnsi="Book Antiqua" w:cs="Times New Roman"/>
          <w:b/>
          <w:kern w:val="2"/>
          <w:sz w:val="24"/>
          <w:szCs w:val="24"/>
          <w:lang w:eastAsia="zh-CN"/>
        </w:rPr>
        <w:t>Untergasser A</w:t>
      </w:r>
      <w:r w:rsidRPr="00C67AD0">
        <w:rPr>
          <w:rFonts w:ascii="Book Antiqua" w:eastAsia="宋体" w:hAnsi="Book Antiqua" w:cs="Times New Roman"/>
          <w:kern w:val="2"/>
          <w:sz w:val="24"/>
          <w:szCs w:val="24"/>
          <w:lang w:eastAsia="zh-CN"/>
        </w:rPr>
        <w:t xml:space="preserve">, Cutcutache I, Koressaar T, Ye J, Faircloth BC, Remm M, Rozen SG. Primer3--new capabilities and interfaces. </w:t>
      </w:r>
      <w:r w:rsidRPr="00C67AD0">
        <w:rPr>
          <w:rFonts w:ascii="Book Antiqua" w:eastAsia="宋体" w:hAnsi="Book Antiqua" w:cs="Times New Roman"/>
          <w:i/>
          <w:kern w:val="2"/>
          <w:sz w:val="24"/>
          <w:szCs w:val="24"/>
          <w:lang w:eastAsia="zh-CN"/>
        </w:rPr>
        <w:t>Nucleic Acids Res</w:t>
      </w:r>
      <w:r w:rsidRPr="00C67AD0">
        <w:rPr>
          <w:rFonts w:ascii="Book Antiqua" w:eastAsia="宋体" w:hAnsi="Book Antiqua" w:cs="Times New Roman"/>
          <w:kern w:val="2"/>
          <w:sz w:val="24"/>
          <w:szCs w:val="24"/>
          <w:lang w:eastAsia="zh-CN"/>
        </w:rPr>
        <w:t xml:space="preserve"> 2012; </w:t>
      </w:r>
      <w:r w:rsidRPr="00C67AD0">
        <w:rPr>
          <w:rFonts w:ascii="Book Antiqua" w:eastAsia="宋体" w:hAnsi="Book Antiqua" w:cs="Times New Roman"/>
          <w:b/>
          <w:kern w:val="2"/>
          <w:sz w:val="24"/>
          <w:szCs w:val="24"/>
          <w:lang w:eastAsia="zh-CN"/>
        </w:rPr>
        <w:t>40</w:t>
      </w:r>
      <w:r w:rsidRPr="00C67AD0">
        <w:rPr>
          <w:rFonts w:ascii="Book Antiqua" w:eastAsia="宋体" w:hAnsi="Book Antiqua" w:cs="Times New Roman"/>
          <w:kern w:val="2"/>
          <w:sz w:val="24"/>
          <w:szCs w:val="24"/>
          <w:lang w:eastAsia="zh-CN"/>
        </w:rPr>
        <w:t>: e115 [PMID: 22730293 DOI: 10.1093/nar/gks596]</w:t>
      </w:r>
    </w:p>
    <w:p w14:paraId="0F89FF2C"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17 </w:t>
      </w:r>
      <w:r w:rsidRPr="00C67AD0">
        <w:rPr>
          <w:rFonts w:ascii="Book Antiqua" w:eastAsia="宋体" w:hAnsi="Book Antiqua" w:cs="Times New Roman"/>
          <w:b/>
          <w:kern w:val="2"/>
          <w:sz w:val="24"/>
          <w:szCs w:val="24"/>
          <w:lang w:eastAsia="zh-CN"/>
        </w:rPr>
        <w:t>Ding SP</w:t>
      </w:r>
      <w:r w:rsidRPr="00C67AD0">
        <w:rPr>
          <w:rFonts w:ascii="Book Antiqua" w:eastAsia="宋体" w:hAnsi="Book Antiqua" w:cs="Times New Roman"/>
          <w:kern w:val="2"/>
          <w:sz w:val="24"/>
          <w:szCs w:val="24"/>
          <w:lang w:eastAsia="zh-CN"/>
        </w:rPr>
        <w:t xml:space="preserve">, Li JC, Jin C. A mouse model of severe acute pancreatitis induced with caerulein and lipopolysaccharide. </w:t>
      </w:r>
      <w:r w:rsidRPr="00C67AD0">
        <w:rPr>
          <w:rFonts w:ascii="Book Antiqua" w:eastAsia="宋体" w:hAnsi="Book Antiqua" w:cs="Times New Roman"/>
          <w:i/>
          <w:kern w:val="2"/>
          <w:sz w:val="24"/>
          <w:szCs w:val="24"/>
          <w:lang w:eastAsia="zh-CN"/>
        </w:rPr>
        <w:t>World J Gastroenterol</w:t>
      </w:r>
      <w:r w:rsidRPr="00C67AD0">
        <w:rPr>
          <w:rFonts w:ascii="Book Antiqua" w:eastAsia="宋体" w:hAnsi="Book Antiqua" w:cs="Times New Roman"/>
          <w:kern w:val="2"/>
          <w:sz w:val="24"/>
          <w:szCs w:val="24"/>
          <w:lang w:eastAsia="zh-CN"/>
        </w:rPr>
        <w:t xml:space="preserve"> 2003; </w:t>
      </w:r>
      <w:r w:rsidRPr="00C67AD0">
        <w:rPr>
          <w:rFonts w:ascii="Book Antiqua" w:eastAsia="宋体" w:hAnsi="Book Antiqua" w:cs="Times New Roman"/>
          <w:b/>
          <w:kern w:val="2"/>
          <w:sz w:val="24"/>
          <w:szCs w:val="24"/>
          <w:lang w:eastAsia="zh-CN"/>
        </w:rPr>
        <w:t>9</w:t>
      </w:r>
      <w:r w:rsidRPr="00C67AD0">
        <w:rPr>
          <w:rFonts w:ascii="Book Antiqua" w:eastAsia="宋体" w:hAnsi="Book Antiqua" w:cs="Times New Roman"/>
          <w:kern w:val="2"/>
          <w:sz w:val="24"/>
          <w:szCs w:val="24"/>
          <w:lang w:eastAsia="zh-CN"/>
        </w:rPr>
        <w:t>: 584-589 [PMID: 12632523 DOI: 10.3748/wjg.v9.i3.584]</w:t>
      </w:r>
    </w:p>
    <w:p w14:paraId="3C0F0397"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18 </w:t>
      </w:r>
      <w:r w:rsidRPr="00C67AD0">
        <w:rPr>
          <w:rFonts w:ascii="Book Antiqua" w:eastAsia="宋体" w:hAnsi="Book Antiqua" w:cs="Times New Roman"/>
          <w:b/>
          <w:kern w:val="2"/>
          <w:sz w:val="24"/>
          <w:szCs w:val="24"/>
          <w:lang w:eastAsia="zh-CN"/>
        </w:rPr>
        <w:t>Surbatovic M</w:t>
      </w:r>
      <w:r w:rsidRPr="00C67AD0">
        <w:rPr>
          <w:rFonts w:ascii="Book Antiqua" w:eastAsia="宋体" w:hAnsi="Book Antiqua" w:cs="Times New Roman"/>
          <w:kern w:val="2"/>
          <w:sz w:val="24"/>
          <w:szCs w:val="24"/>
          <w:lang w:eastAsia="zh-CN"/>
        </w:rPr>
        <w:t xml:space="preserve">, Radakovic S. Tumor necrosis factor-α levels early in severe acute pancreatitis: is there predictive value regarding severity and outcome? </w:t>
      </w:r>
      <w:r w:rsidRPr="00C67AD0">
        <w:rPr>
          <w:rFonts w:ascii="Book Antiqua" w:eastAsia="宋体" w:hAnsi="Book Antiqua" w:cs="Times New Roman"/>
          <w:i/>
          <w:kern w:val="2"/>
          <w:sz w:val="24"/>
          <w:szCs w:val="24"/>
          <w:lang w:eastAsia="zh-CN"/>
        </w:rPr>
        <w:t>J Clin Gastroenterol</w:t>
      </w:r>
      <w:r w:rsidRPr="00C67AD0">
        <w:rPr>
          <w:rFonts w:ascii="Book Antiqua" w:eastAsia="宋体" w:hAnsi="Book Antiqua" w:cs="Times New Roman"/>
          <w:kern w:val="2"/>
          <w:sz w:val="24"/>
          <w:szCs w:val="24"/>
          <w:lang w:eastAsia="zh-CN"/>
        </w:rPr>
        <w:t xml:space="preserve"> 2013; </w:t>
      </w:r>
      <w:r w:rsidRPr="00C67AD0">
        <w:rPr>
          <w:rFonts w:ascii="Book Antiqua" w:eastAsia="宋体" w:hAnsi="Book Antiqua" w:cs="Times New Roman"/>
          <w:b/>
          <w:kern w:val="2"/>
          <w:sz w:val="24"/>
          <w:szCs w:val="24"/>
          <w:lang w:eastAsia="zh-CN"/>
        </w:rPr>
        <w:t>47</w:t>
      </w:r>
      <w:r w:rsidRPr="00C67AD0">
        <w:rPr>
          <w:rFonts w:ascii="Book Antiqua" w:eastAsia="宋体" w:hAnsi="Book Antiqua" w:cs="Times New Roman"/>
          <w:kern w:val="2"/>
          <w:sz w:val="24"/>
          <w:szCs w:val="24"/>
          <w:lang w:eastAsia="zh-CN"/>
        </w:rPr>
        <w:t>: 637-643 [PMID: 23470643 DOI: 10.1097/MCG.0b013e31828a6cfc]</w:t>
      </w:r>
    </w:p>
    <w:p w14:paraId="27099212"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lastRenderedPageBreak/>
        <w:t xml:space="preserve">19 </w:t>
      </w:r>
      <w:r w:rsidRPr="00C67AD0">
        <w:rPr>
          <w:rFonts w:ascii="Book Antiqua" w:eastAsia="宋体" w:hAnsi="Book Antiqua" w:cs="Times New Roman"/>
          <w:b/>
          <w:kern w:val="2"/>
          <w:sz w:val="24"/>
          <w:szCs w:val="24"/>
          <w:lang w:eastAsia="zh-CN"/>
        </w:rPr>
        <w:t>Sendler M</w:t>
      </w:r>
      <w:r w:rsidRPr="00C67AD0">
        <w:rPr>
          <w:rFonts w:ascii="Book Antiqua" w:eastAsia="宋体" w:hAnsi="Book Antiqua" w:cs="Times New Roman"/>
          <w:kern w:val="2"/>
          <w:sz w:val="24"/>
          <w:szCs w:val="24"/>
          <w:lang w:eastAsia="zh-CN"/>
        </w:rPr>
        <w:t xml:space="preserve">, Dummer A, Weiss FU, Krüger B, Wartmann T, Scharffetter-Kochanek K, van Rooijen N, Malla SR, Aghdassi A, Halangk W, Lerch MM, Mayerle J. Tumour necrosis factor α secretion induces protease activation and acinar cell necrosis in acute experimental pancreatitis in mice. </w:t>
      </w:r>
      <w:r w:rsidRPr="00C67AD0">
        <w:rPr>
          <w:rFonts w:ascii="Book Antiqua" w:eastAsia="宋体" w:hAnsi="Book Antiqua" w:cs="Times New Roman"/>
          <w:i/>
          <w:kern w:val="2"/>
          <w:sz w:val="24"/>
          <w:szCs w:val="24"/>
          <w:lang w:eastAsia="zh-CN"/>
        </w:rPr>
        <w:t>Gut</w:t>
      </w:r>
      <w:r w:rsidRPr="00C67AD0">
        <w:rPr>
          <w:rFonts w:ascii="Book Antiqua" w:eastAsia="宋体" w:hAnsi="Book Antiqua" w:cs="Times New Roman"/>
          <w:kern w:val="2"/>
          <w:sz w:val="24"/>
          <w:szCs w:val="24"/>
          <w:lang w:eastAsia="zh-CN"/>
        </w:rPr>
        <w:t xml:space="preserve"> 2013; </w:t>
      </w:r>
      <w:r w:rsidRPr="00C67AD0">
        <w:rPr>
          <w:rFonts w:ascii="Book Antiqua" w:eastAsia="宋体" w:hAnsi="Book Antiqua" w:cs="Times New Roman"/>
          <w:b/>
          <w:kern w:val="2"/>
          <w:sz w:val="24"/>
          <w:szCs w:val="24"/>
          <w:lang w:eastAsia="zh-CN"/>
        </w:rPr>
        <w:t>62</w:t>
      </w:r>
      <w:r w:rsidRPr="00C67AD0">
        <w:rPr>
          <w:rFonts w:ascii="Book Antiqua" w:eastAsia="宋体" w:hAnsi="Book Antiqua" w:cs="Times New Roman"/>
          <w:kern w:val="2"/>
          <w:sz w:val="24"/>
          <w:szCs w:val="24"/>
          <w:lang w:eastAsia="zh-CN"/>
        </w:rPr>
        <w:t>: 430-439 [PMID: 22490516 DOI: 10.1136/gutjnl-2011-300771]</w:t>
      </w:r>
    </w:p>
    <w:p w14:paraId="35358AB1"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20 </w:t>
      </w:r>
      <w:r w:rsidRPr="00C67AD0">
        <w:rPr>
          <w:rFonts w:ascii="Book Antiqua" w:eastAsia="宋体" w:hAnsi="Book Antiqua" w:cs="Times New Roman"/>
          <w:b/>
          <w:kern w:val="2"/>
          <w:sz w:val="24"/>
          <w:szCs w:val="24"/>
          <w:lang w:eastAsia="zh-CN"/>
        </w:rPr>
        <w:t>Sathyanarayan G</w:t>
      </w:r>
      <w:r w:rsidRPr="00C67AD0">
        <w:rPr>
          <w:rFonts w:ascii="Book Antiqua" w:eastAsia="宋体" w:hAnsi="Book Antiqua" w:cs="Times New Roman"/>
          <w:kern w:val="2"/>
          <w:sz w:val="24"/>
          <w:szCs w:val="24"/>
          <w:lang w:eastAsia="zh-CN"/>
        </w:rPr>
        <w:t xml:space="preserve">, Garg PK, Prasad H, Tandon RK. Elevated level of interleukin-6 predicts organ failure and severe disease in patients with acute pancreatitis. </w:t>
      </w:r>
      <w:r w:rsidRPr="00C67AD0">
        <w:rPr>
          <w:rFonts w:ascii="Book Antiqua" w:eastAsia="宋体" w:hAnsi="Book Antiqua" w:cs="Times New Roman"/>
          <w:i/>
          <w:kern w:val="2"/>
          <w:sz w:val="24"/>
          <w:szCs w:val="24"/>
          <w:lang w:eastAsia="zh-CN"/>
        </w:rPr>
        <w:t>J Gastroenterol Hepatol</w:t>
      </w:r>
      <w:r w:rsidRPr="00C67AD0">
        <w:rPr>
          <w:rFonts w:ascii="Book Antiqua" w:eastAsia="宋体" w:hAnsi="Book Antiqua" w:cs="Times New Roman"/>
          <w:kern w:val="2"/>
          <w:sz w:val="24"/>
          <w:szCs w:val="24"/>
          <w:lang w:eastAsia="zh-CN"/>
        </w:rPr>
        <w:t xml:space="preserve"> 2007; </w:t>
      </w:r>
      <w:r w:rsidRPr="00C67AD0">
        <w:rPr>
          <w:rFonts w:ascii="Book Antiqua" w:eastAsia="宋体" w:hAnsi="Book Antiqua" w:cs="Times New Roman"/>
          <w:b/>
          <w:kern w:val="2"/>
          <w:sz w:val="24"/>
          <w:szCs w:val="24"/>
          <w:lang w:eastAsia="zh-CN"/>
        </w:rPr>
        <w:t>22</w:t>
      </w:r>
      <w:r w:rsidRPr="00C67AD0">
        <w:rPr>
          <w:rFonts w:ascii="Book Antiqua" w:eastAsia="宋体" w:hAnsi="Book Antiqua" w:cs="Times New Roman"/>
          <w:kern w:val="2"/>
          <w:sz w:val="24"/>
          <w:szCs w:val="24"/>
          <w:lang w:eastAsia="zh-CN"/>
        </w:rPr>
        <w:t>: 550-554 [PMID: 17376050 DOI: 10.1111/j.1440-1746.2006.04752.x]</w:t>
      </w:r>
    </w:p>
    <w:p w14:paraId="62166D15"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21 </w:t>
      </w:r>
      <w:r w:rsidRPr="00C67AD0">
        <w:rPr>
          <w:rFonts w:ascii="Book Antiqua" w:eastAsia="宋体" w:hAnsi="Book Antiqua" w:cs="Times New Roman"/>
          <w:b/>
          <w:kern w:val="2"/>
          <w:sz w:val="24"/>
          <w:szCs w:val="24"/>
          <w:lang w:eastAsia="zh-CN"/>
        </w:rPr>
        <w:t>Pooran N</w:t>
      </w:r>
      <w:r w:rsidRPr="00C67AD0">
        <w:rPr>
          <w:rFonts w:ascii="Book Antiqua" w:eastAsia="宋体" w:hAnsi="Book Antiqua" w:cs="Times New Roman"/>
          <w:kern w:val="2"/>
          <w:sz w:val="24"/>
          <w:szCs w:val="24"/>
          <w:lang w:eastAsia="zh-CN"/>
        </w:rPr>
        <w:t xml:space="preserve">, Indaram A, Singh P, Bank S. Cytokines (IL-6, IL-8, TNF): early and reliable predictors of severe acute pancreatitis. </w:t>
      </w:r>
      <w:r w:rsidRPr="00C67AD0">
        <w:rPr>
          <w:rFonts w:ascii="Book Antiqua" w:eastAsia="宋体" w:hAnsi="Book Antiqua" w:cs="Times New Roman"/>
          <w:i/>
          <w:kern w:val="2"/>
          <w:sz w:val="24"/>
          <w:szCs w:val="24"/>
          <w:lang w:eastAsia="zh-CN"/>
        </w:rPr>
        <w:t>J Clin Gastroenterol</w:t>
      </w:r>
      <w:r w:rsidRPr="00C67AD0">
        <w:rPr>
          <w:rFonts w:ascii="Book Antiqua" w:eastAsia="宋体" w:hAnsi="Book Antiqua" w:cs="Times New Roman"/>
          <w:kern w:val="2"/>
          <w:sz w:val="24"/>
          <w:szCs w:val="24"/>
          <w:lang w:eastAsia="zh-CN"/>
        </w:rPr>
        <w:t xml:space="preserve"> 2003; </w:t>
      </w:r>
      <w:r w:rsidRPr="00C67AD0">
        <w:rPr>
          <w:rFonts w:ascii="Book Antiqua" w:eastAsia="宋体" w:hAnsi="Book Antiqua" w:cs="Times New Roman"/>
          <w:b/>
          <w:kern w:val="2"/>
          <w:sz w:val="24"/>
          <w:szCs w:val="24"/>
          <w:lang w:eastAsia="zh-CN"/>
        </w:rPr>
        <w:t>37</w:t>
      </w:r>
      <w:r w:rsidRPr="00C67AD0">
        <w:rPr>
          <w:rFonts w:ascii="Book Antiqua" w:eastAsia="宋体" w:hAnsi="Book Antiqua" w:cs="Times New Roman"/>
          <w:kern w:val="2"/>
          <w:sz w:val="24"/>
          <w:szCs w:val="24"/>
          <w:lang w:eastAsia="zh-CN"/>
        </w:rPr>
        <w:t>: 263-266 [PMID: 12960727 DOI: 10.1097/00004836-200309000-00013]</w:t>
      </w:r>
    </w:p>
    <w:p w14:paraId="1163B518"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22 </w:t>
      </w:r>
      <w:r w:rsidRPr="00C67AD0">
        <w:rPr>
          <w:rFonts w:ascii="Book Antiqua" w:eastAsia="宋体" w:hAnsi="Book Antiqua" w:cs="Times New Roman"/>
          <w:b/>
          <w:kern w:val="2"/>
          <w:sz w:val="24"/>
          <w:szCs w:val="24"/>
          <w:lang w:eastAsia="zh-CN"/>
        </w:rPr>
        <w:t>Silva-Vaz P</w:t>
      </w:r>
      <w:r w:rsidRPr="00C67AD0">
        <w:rPr>
          <w:rFonts w:ascii="Book Antiqua" w:eastAsia="宋体" w:hAnsi="Book Antiqua" w:cs="Times New Roman"/>
          <w:kern w:val="2"/>
          <w:sz w:val="24"/>
          <w:szCs w:val="24"/>
          <w:lang w:eastAsia="zh-CN"/>
        </w:rPr>
        <w:t xml:space="preserve">, Abrantes AM, Castelo-Branco M, Gouveia A, Botelho MF, Tralhão JG. Multifactorial Scores and Biomarkers of Prognosis of Acute Pancreatitis: Applications to Research and Practice. </w:t>
      </w:r>
      <w:r w:rsidRPr="00C67AD0">
        <w:rPr>
          <w:rFonts w:ascii="Book Antiqua" w:eastAsia="宋体" w:hAnsi="Book Antiqua" w:cs="Times New Roman"/>
          <w:i/>
          <w:kern w:val="2"/>
          <w:sz w:val="24"/>
          <w:szCs w:val="24"/>
          <w:lang w:eastAsia="zh-CN"/>
        </w:rPr>
        <w:t>Int J Mol Sci</w:t>
      </w:r>
      <w:r w:rsidRPr="00C67AD0">
        <w:rPr>
          <w:rFonts w:ascii="Book Antiqua" w:eastAsia="宋体" w:hAnsi="Book Antiqua" w:cs="Times New Roman"/>
          <w:kern w:val="2"/>
          <w:sz w:val="24"/>
          <w:szCs w:val="24"/>
          <w:lang w:eastAsia="zh-CN"/>
        </w:rPr>
        <w:t xml:space="preserve"> 2020; </w:t>
      </w:r>
      <w:r w:rsidRPr="00C67AD0">
        <w:rPr>
          <w:rFonts w:ascii="Book Antiqua" w:eastAsia="宋体" w:hAnsi="Book Antiqua" w:cs="Times New Roman"/>
          <w:b/>
          <w:kern w:val="2"/>
          <w:sz w:val="24"/>
          <w:szCs w:val="24"/>
          <w:lang w:eastAsia="zh-CN"/>
        </w:rPr>
        <w:t>21</w:t>
      </w:r>
      <w:r w:rsidRPr="00C67AD0">
        <w:rPr>
          <w:rFonts w:ascii="Book Antiqua" w:eastAsia="宋体" w:hAnsi="Book Antiqua" w:cs="Times New Roman"/>
          <w:kern w:val="2"/>
          <w:sz w:val="24"/>
          <w:szCs w:val="24"/>
          <w:lang w:eastAsia="zh-CN"/>
        </w:rPr>
        <w:t xml:space="preserve">: </w:t>
      </w:r>
      <w:r w:rsidRPr="00C67AD0">
        <w:rPr>
          <w:rFonts w:ascii="Book Antiqua" w:eastAsia="宋体" w:hAnsi="Book Antiqua" w:cs="Times New Roman" w:hint="eastAsia"/>
          <w:kern w:val="2"/>
          <w:sz w:val="24"/>
          <w:szCs w:val="24"/>
          <w:lang w:eastAsia="zh-CN"/>
        </w:rPr>
        <w:t>338</w:t>
      </w:r>
      <w:r w:rsidRPr="00C67AD0">
        <w:rPr>
          <w:rFonts w:ascii="Book Antiqua" w:eastAsia="宋体" w:hAnsi="Book Antiqua" w:cs="Times New Roman"/>
          <w:kern w:val="2"/>
          <w:sz w:val="24"/>
          <w:szCs w:val="24"/>
          <w:lang w:eastAsia="zh-CN"/>
        </w:rPr>
        <w:t xml:space="preserve"> [PMID: 31947993 DOI: 10.3390/ijms21010338]</w:t>
      </w:r>
    </w:p>
    <w:p w14:paraId="392713DD"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23 </w:t>
      </w:r>
      <w:r w:rsidRPr="00C67AD0">
        <w:rPr>
          <w:rFonts w:ascii="Book Antiqua" w:eastAsia="宋体" w:hAnsi="Book Antiqua" w:cs="Times New Roman"/>
          <w:b/>
          <w:kern w:val="2"/>
          <w:sz w:val="24"/>
          <w:szCs w:val="24"/>
          <w:lang w:eastAsia="zh-CN"/>
        </w:rPr>
        <w:t>Mayer J</w:t>
      </w:r>
      <w:r w:rsidRPr="00C67AD0">
        <w:rPr>
          <w:rFonts w:ascii="Book Antiqua" w:eastAsia="宋体" w:hAnsi="Book Antiqua" w:cs="Times New Roman"/>
          <w:kern w:val="2"/>
          <w:sz w:val="24"/>
          <w:szCs w:val="24"/>
          <w:lang w:eastAsia="zh-CN"/>
        </w:rPr>
        <w:t xml:space="preserve">, Rau B, Gansauge F, Beger HG. Inflammatory mediators in human acute pancreatitis: clinical and pathophysiological implications. </w:t>
      </w:r>
      <w:r w:rsidRPr="00C67AD0">
        <w:rPr>
          <w:rFonts w:ascii="Book Antiqua" w:eastAsia="宋体" w:hAnsi="Book Antiqua" w:cs="Times New Roman"/>
          <w:i/>
          <w:kern w:val="2"/>
          <w:sz w:val="24"/>
          <w:szCs w:val="24"/>
          <w:lang w:eastAsia="zh-CN"/>
        </w:rPr>
        <w:t>Gut</w:t>
      </w:r>
      <w:r w:rsidRPr="00C67AD0">
        <w:rPr>
          <w:rFonts w:ascii="Book Antiqua" w:eastAsia="宋体" w:hAnsi="Book Antiqua" w:cs="Times New Roman"/>
          <w:kern w:val="2"/>
          <w:sz w:val="24"/>
          <w:szCs w:val="24"/>
          <w:lang w:eastAsia="zh-CN"/>
        </w:rPr>
        <w:t xml:space="preserve"> 2000; </w:t>
      </w:r>
      <w:r w:rsidRPr="00C67AD0">
        <w:rPr>
          <w:rFonts w:ascii="Book Antiqua" w:eastAsia="宋体" w:hAnsi="Book Antiqua" w:cs="Times New Roman"/>
          <w:b/>
          <w:kern w:val="2"/>
          <w:sz w:val="24"/>
          <w:szCs w:val="24"/>
          <w:lang w:eastAsia="zh-CN"/>
        </w:rPr>
        <w:t>47</w:t>
      </w:r>
      <w:r w:rsidRPr="00C67AD0">
        <w:rPr>
          <w:rFonts w:ascii="Book Antiqua" w:eastAsia="宋体" w:hAnsi="Book Antiqua" w:cs="Times New Roman"/>
          <w:kern w:val="2"/>
          <w:sz w:val="24"/>
          <w:szCs w:val="24"/>
          <w:lang w:eastAsia="zh-CN"/>
        </w:rPr>
        <w:t>: 546-552 [PMID: 10986216 DOI: 10.1136/gut.47.4.546]</w:t>
      </w:r>
    </w:p>
    <w:p w14:paraId="2B31DD54"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24 </w:t>
      </w:r>
      <w:r w:rsidRPr="00C67AD0">
        <w:rPr>
          <w:rFonts w:ascii="Book Antiqua" w:eastAsia="宋体" w:hAnsi="Book Antiqua" w:cs="Times New Roman"/>
          <w:b/>
          <w:kern w:val="2"/>
          <w:sz w:val="24"/>
          <w:szCs w:val="24"/>
          <w:lang w:eastAsia="zh-CN"/>
        </w:rPr>
        <w:t>Rongione AJ</w:t>
      </w:r>
      <w:r w:rsidRPr="00C67AD0">
        <w:rPr>
          <w:rFonts w:ascii="Book Antiqua" w:eastAsia="宋体" w:hAnsi="Book Antiqua" w:cs="Times New Roman"/>
          <w:kern w:val="2"/>
          <w:sz w:val="24"/>
          <w:szCs w:val="24"/>
          <w:lang w:eastAsia="zh-CN"/>
        </w:rPr>
        <w:t xml:space="preserve">, Kusske AM, Kwan K, Ashley SW, Reber HA, McFadden DW. Interleukin 10 reduces the severity of acute pancreatitis in rats. </w:t>
      </w:r>
      <w:r w:rsidRPr="00C67AD0">
        <w:rPr>
          <w:rFonts w:ascii="Book Antiqua" w:eastAsia="宋体" w:hAnsi="Book Antiqua" w:cs="Times New Roman"/>
          <w:i/>
          <w:kern w:val="2"/>
          <w:sz w:val="24"/>
          <w:szCs w:val="24"/>
          <w:lang w:eastAsia="zh-CN"/>
        </w:rPr>
        <w:t>Gastroenterology</w:t>
      </w:r>
      <w:r w:rsidRPr="00C67AD0">
        <w:rPr>
          <w:rFonts w:ascii="Book Antiqua" w:eastAsia="宋体" w:hAnsi="Book Antiqua" w:cs="Times New Roman"/>
          <w:kern w:val="2"/>
          <w:sz w:val="24"/>
          <w:szCs w:val="24"/>
          <w:lang w:eastAsia="zh-CN"/>
        </w:rPr>
        <w:t xml:space="preserve"> 1997; </w:t>
      </w:r>
      <w:r w:rsidRPr="00C67AD0">
        <w:rPr>
          <w:rFonts w:ascii="Book Antiqua" w:eastAsia="宋体" w:hAnsi="Book Antiqua" w:cs="Times New Roman"/>
          <w:b/>
          <w:kern w:val="2"/>
          <w:sz w:val="24"/>
          <w:szCs w:val="24"/>
          <w:lang w:eastAsia="zh-CN"/>
        </w:rPr>
        <w:t>112</w:t>
      </w:r>
      <w:r w:rsidRPr="00C67AD0">
        <w:rPr>
          <w:rFonts w:ascii="Book Antiqua" w:eastAsia="宋体" w:hAnsi="Book Antiqua" w:cs="Times New Roman"/>
          <w:kern w:val="2"/>
          <w:sz w:val="24"/>
          <w:szCs w:val="24"/>
          <w:lang w:eastAsia="zh-CN"/>
        </w:rPr>
        <w:t>: 960-967 [PMID: 9041259 DOI: 10.1053/gast.1997.v112.pm9041259]</w:t>
      </w:r>
    </w:p>
    <w:p w14:paraId="3304A367" w14:textId="77777777" w:rsidR="00CF5C7B" w:rsidRPr="00C67AD0" w:rsidRDefault="00CF5C7B" w:rsidP="00CF5C7B">
      <w:pPr>
        <w:widowControl w:val="0"/>
        <w:adjustRightInd w:val="0"/>
        <w:snapToGrid w:val="0"/>
        <w:spacing w:after="0" w:line="360" w:lineRule="auto"/>
        <w:jc w:val="both"/>
        <w:rPr>
          <w:rFonts w:ascii="Book Antiqua" w:eastAsia="宋体" w:hAnsi="Book Antiqua" w:cs="Times New Roman"/>
          <w:kern w:val="2"/>
          <w:sz w:val="24"/>
          <w:szCs w:val="24"/>
          <w:lang w:eastAsia="zh-CN"/>
        </w:rPr>
      </w:pPr>
      <w:r w:rsidRPr="00C67AD0">
        <w:rPr>
          <w:rFonts w:ascii="Book Antiqua" w:eastAsia="宋体" w:hAnsi="Book Antiqua" w:cs="Times New Roman"/>
          <w:kern w:val="2"/>
          <w:sz w:val="24"/>
          <w:szCs w:val="24"/>
          <w:lang w:eastAsia="zh-CN"/>
        </w:rPr>
        <w:t xml:space="preserve">25 </w:t>
      </w:r>
      <w:r w:rsidRPr="00C67AD0">
        <w:rPr>
          <w:rFonts w:ascii="Book Antiqua" w:eastAsia="宋体" w:hAnsi="Book Antiqua" w:cs="Times New Roman"/>
          <w:b/>
          <w:kern w:val="2"/>
          <w:sz w:val="24"/>
          <w:szCs w:val="24"/>
          <w:lang w:eastAsia="zh-CN"/>
        </w:rPr>
        <w:t>Cuzzocrea S</w:t>
      </w:r>
      <w:r w:rsidRPr="00C67AD0">
        <w:rPr>
          <w:rFonts w:ascii="Book Antiqua" w:eastAsia="宋体" w:hAnsi="Book Antiqua" w:cs="Times New Roman"/>
          <w:kern w:val="2"/>
          <w:sz w:val="24"/>
          <w:szCs w:val="24"/>
          <w:lang w:eastAsia="zh-CN"/>
        </w:rPr>
        <w:t xml:space="preserve">, Mazzon E, Dugo L, Serraino I, Centorrino T, Ciccolo A, Van de Loo FA, Britti D, Caputi AP, Thiemermann C. Inducible nitric oxide synthase-deficient mice exhibit resistance to the acute pancreatitis induced by cerulein. </w:t>
      </w:r>
      <w:r w:rsidRPr="00C67AD0">
        <w:rPr>
          <w:rFonts w:ascii="Book Antiqua" w:eastAsia="宋体" w:hAnsi="Book Antiqua" w:cs="Times New Roman"/>
          <w:i/>
          <w:kern w:val="2"/>
          <w:sz w:val="24"/>
          <w:szCs w:val="24"/>
          <w:lang w:eastAsia="zh-CN"/>
        </w:rPr>
        <w:t>Shock</w:t>
      </w:r>
      <w:r w:rsidRPr="00C67AD0">
        <w:rPr>
          <w:rFonts w:ascii="Book Antiqua" w:eastAsia="宋体" w:hAnsi="Book Antiqua" w:cs="Times New Roman"/>
          <w:kern w:val="2"/>
          <w:sz w:val="24"/>
          <w:szCs w:val="24"/>
          <w:lang w:eastAsia="zh-CN"/>
        </w:rPr>
        <w:t xml:space="preserve"> 2002; </w:t>
      </w:r>
      <w:r w:rsidRPr="00C67AD0">
        <w:rPr>
          <w:rFonts w:ascii="Book Antiqua" w:eastAsia="宋体" w:hAnsi="Book Antiqua" w:cs="Times New Roman"/>
          <w:b/>
          <w:kern w:val="2"/>
          <w:sz w:val="24"/>
          <w:szCs w:val="24"/>
          <w:lang w:eastAsia="zh-CN"/>
        </w:rPr>
        <w:t>17</w:t>
      </w:r>
      <w:r w:rsidRPr="00C67AD0">
        <w:rPr>
          <w:rFonts w:ascii="Book Antiqua" w:eastAsia="宋体" w:hAnsi="Book Antiqua" w:cs="Times New Roman"/>
          <w:kern w:val="2"/>
          <w:sz w:val="24"/>
          <w:szCs w:val="24"/>
          <w:lang w:eastAsia="zh-CN"/>
        </w:rPr>
        <w:t>: 416-422 [PMID: 12022764 DOI: 10.1097/00024382-200205000-00013]</w:t>
      </w:r>
    </w:p>
    <w:p w14:paraId="53FD6F9F" w14:textId="77777777" w:rsidR="00CF5C7B" w:rsidRPr="00C67AD0" w:rsidRDefault="00CF5C7B" w:rsidP="00CF5C7B">
      <w:pPr>
        <w:widowControl w:val="0"/>
        <w:autoSpaceDE w:val="0"/>
        <w:autoSpaceDN w:val="0"/>
        <w:adjustRightInd w:val="0"/>
        <w:snapToGrid w:val="0"/>
        <w:spacing w:after="0" w:line="360" w:lineRule="auto"/>
        <w:jc w:val="both"/>
        <w:rPr>
          <w:rFonts w:ascii="Book Antiqua" w:hAnsi="Book Antiqua" w:cs="Times New Roman"/>
          <w:b/>
          <w:sz w:val="24"/>
          <w:szCs w:val="24"/>
          <w:u w:val="single"/>
          <w:lang w:val="en-GB" w:eastAsia="zh-CN"/>
        </w:rPr>
      </w:pPr>
      <w:r w:rsidRPr="00C67AD0">
        <w:rPr>
          <w:rFonts w:ascii="Book Antiqua" w:hAnsi="Book Antiqua" w:cs="Times New Roman"/>
          <w:b/>
          <w:sz w:val="24"/>
          <w:szCs w:val="24"/>
          <w:u w:val="single"/>
          <w:lang w:val="en-GB"/>
        </w:rPr>
        <w:fldChar w:fldCharType="end"/>
      </w:r>
    </w:p>
    <w:p w14:paraId="3CB0125C" w14:textId="77777777" w:rsidR="00CF5C7B" w:rsidRPr="00C67AD0" w:rsidRDefault="00CF5C7B" w:rsidP="00CF5C7B">
      <w:pPr>
        <w:spacing w:after="0" w:line="240" w:lineRule="auto"/>
        <w:rPr>
          <w:rFonts w:ascii="Book Antiqua" w:hAnsi="Book Antiqua" w:cs="Times New Roman"/>
          <w:b/>
          <w:sz w:val="24"/>
          <w:szCs w:val="24"/>
          <w:lang w:val="en-GB"/>
        </w:rPr>
      </w:pPr>
      <w:r w:rsidRPr="00C67AD0">
        <w:rPr>
          <w:rFonts w:ascii="Book Antiqua" w:hAnsi="Book Antiqua" w:cs="Times New Roman"/>
          <w:b/>
          <w:sz w:val="24"/>
          <w:szCs w:val="24"/>
          <w:lang w:val="en-GB"/>
        </w:rPr>
        <w:br w:type="page"/>
      </w:r>
    </w:p>
    <w:p w14:paraId="49BD26F7" w14:textId="77777777" w:rsidR="00CF5C7B" w:rsidRPr="00C67AD0" w:rsidRDefault="00CF5C7B" w:rsidP="00CF5C7B">
      <w:pPr>
        <w:widowControl w:val="0"/>
        <w:autoSpaceDE w:val="0"/>
        <w:autoSpaceDN w:val="0"/>
        <w:adjustRightInd w:val="0"/>
        <w:snapToGrid w:val="0"/>
        <w:spacing w:after="0" w:line="360" w:lineRule="auto"/>
        <w:jc w:val="both"/>
        <w:rPr>
          <w:rFonts w:ascii="Book Antiqua" w:hAnsi="Book Antiqua" w:cs="Times New Roman"/>
          <w:b/>
          <w:sz w:val="24"/>
          <w:szCs w:val="24"/>
          <w:u w:val="single"/>
          <w:lang w:val="en-GB"/>
        </w:rPr>
      </w:pPr>
      <w:r w:rsidRPr="00C67AD0">
        <w:rPr>
          <w:rFonts w:ascii="Book Antiqua" w:hAnsi="Book Antiqua" w:cs="Times New Roman"/>
          <w:b/>
          <w:sz w:val="24"/>
          <w:szCs w:val="24"/>
          <w:lang w:val="en-GB"/>
        </w:rPr>
        <w:lastRenderedPageBreak/>
        <w:t>Footnotes</w:t>
      </w:r>
    </w:p>
    <w:p w14:paraId="788CBFDF"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
          <w:sz w:val="24"/>
          <w:szCs w:val="24"/>
          <w:lang w:val="en-GB"/>
        </w:rPr>
        <w:t xml:space="preserve">Institutional animal care and use committee statement: </w:t>
      </w:r>
      <w:r w:rsidRPr="00C67AD0">
        <w:rPr>
          <w:rFonts w:ascii="Book Antiqua" w:hAnsi="Book Antiqua" w:cs="Times New Roman"/>
          <w:bCs/>
          <w:sz w:val="24"/>
          <w:szCs w:val="24"/>
          <w:lang w:val="en-GB"/>
        </w:rPr>
        <w:t xml:space="preserve">All experimental animals’ procedures were conducted in accordance with European Union regulatory standards for animal experimentation (Directive 2010/63/EU on the protection of animals used for scientific purposes). The Ethical Committee for Animal Experimentation (CEEA, ethic approval number: 211/18, University of Barcelona, 11/04/2018) approved the animal experiments. </w:t>
      </w:r>
    </w:p>
    <w:p w14:paraId="4AA9CEAA"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lang w:val="en-GB"/>
        </w:rPr>
      </w:pPr>
    </w:p>
    <w:p w14:paraId="6F6A24F3" w14:textId="7777777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rPr>
      </w:pPr>
      <w:r w:rsidRPr="00C67AD0">
        <w:rPr>
          <w:rFonts w:ascii="Book Antiqua" w:hAnsi="Book Antiqua" w:cs="Times New Roman"/>
          <w:b/>
          <w:sz w:val="24"/>
          <w:szCs w:val="24"/>
          <w:lang w:val="en-GB"/>
        </w:rPr>
        <w:t xml:space="preserve">Conflict-of-interest statement: </w:t>
      </w:r>
      <w:r w:rsidRPr="00C67AD0">
        <w:rPr>
          <w:rFonts w:ascii="Book Antiqua" w:hAnsi="Book Antiqua" w:cs="Times New Roman"/>
          <w:bCs/>
          <w:sz w:val="24"/>
          <w:szCs w:val="24"/>
          <w:lang w:val="en-GB"/>
        </w:rPr>
        <w:t>The authors have disclosed that they do not have any conflict of interest.</w:t>
      </w:r>
    </w:p>
    <w:p w14:paraId="56186C45" w14:textId="77777777" w:rsidR="00CF5C7B" w:rsidRPr="00C67AD0" w:rsidRDefault="00CF5C7B" w:rsidP="00CF5C7B">
      <w:pPr>
        <w:adjustRightInd w:val="0"/>
        <w:snapToGrid w:val="0"/>
        <w:spacing w:after="0" w:line="360" w:lineRule="auto"/>
        <w:jc w:val="both"/>
        <w:rPr>
          <w:rFonts w:ascii="Book Antiqua" w:hAnsi="Book Antiqua" w:cs="Times New Roman"/>
          <w:b/>
          <w:bCs/>
          <w:sz w:val="24"/>
          <w:szCs w:val="24"/>
          <w:lang w:val="en-GB" w:eastAsia="zh-CN"/>
        </w:rPr>
      </w:pPr>
    </w:p>
    <w:p w14:paraId="01FE85C9" w14:textId="77777777" w:rsidR="00CF5C7B" w:rsidRPr="00C67AD0" w:rsidRDefault="00CF5C7B" w:rsidP="00CF5C7B">
      <w:pPr>
        <w:adjustRightInd w:val="0"/>
        <w:snapToGrid w:val="0"/>
        <w:spacing w:after="0" w:line="360" w:lineRule="auto"/>
        <w:jc w:val="both"/>
        <w:rPr>
          <w:rFonts w:ascii="Book Antiqua" w:hAnsi="Book Antiqua" w:cs="Times New Roman"/>
          <w:sz w:val="24"/>
          <w:szCs w:val="24"/>
          <w:lang w:val="en-GB"/>
        </w:rPr>
      </w:pPr>
      <w:r w:rsidRPr="00C67AD0">
        <w:rPr>
          <w:rFonts w:ascii="Book Antiqua" w:hAnsi="Book Antiqua" w:cs="Times New Roman"/>
          <w:b/>
          <w:bCs/>
          <w:sz w:val="24"/>
          <w:szCs w:val="24"/>
          <w:lang w:val="en-GB"/>
        </w:rPr>
        <w:t xml:space="preserve">ARRIVE guidelines statement: </w:t>
      </w:r>
      <w:r w:rsidRPr="00C67AD0">
        <w:rPr>
          <w:rFonts w:ascii="Book Antiqua" w:hAnsi="Book Antiqua" w:cs="Times New Roman"/>
          <w:sz w:val="24"/>
          <w:szCs w:val="24"/>
          <w:lang w:val="en-GB"/>
        </w:rPr>
        <w:t>The authors have read the ARRIVE guidelines, and the manuscript was prepared and revised according to the ARRIVE guidelines.</w:t>
      </w:r>
    </w:p>
    <w:p w14:paraId="1C5F2705"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lang w:val="en-GB"/>
        </w:rPr>
      </w:pPr>
    </w:p>
    <w:p w14:paraId="0968AABC"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lang w:val="en-GB"/>
        </w:rPr>
      </w:pPr>
      <w:r w:rsidRPr="00C67AD0">
        <w:rPr>
          <w:rFonts w:ascii="Book Antiqua" w:hAnsi="Book Antiqua" w:cs="Times New Roman"/>
          <w:b/>
          <w:sz w:val="24"/>
          <w:szCs w:val="24"/>
          <w:lang w:val="en-GB"/>
        </w:rPr>
        <w:t xml:space="preserve">Data sharing statement: </w:t>
      </w:r>
      <w:r w:rsidRPr="00C67AD0">
        <w:rPr>
          <w:rFonts w:ascii="Book Antiqua" w:hAnsi="Book Antiqua" w:cs="Times New Roman"/>
          <w:bCs/>
          <w:sz w:val="24"/>
          <w:szCs w:val="24"/>
          <w:lang w:val="en-GB"/>
        </w:rPr>
        <w:t>No additional data are available.</w:t>
      </w:r>
    </w:p>
    <w:p w14:paraId="0F6AB675"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lang w:val="en-GB"/>
        </w:rPr>
      </w:pPr>
    </w:p>
    <w:p w14:paraId="0BE656E9" w14:textId="59175C37" w:rsidR="00CF5C7B" w:rsidRPr="00C67AD0" w:rsidRDefault="00CF5C7B" w:rsidP="00CF5C7B">
      <w:pPr>
        <w:adjustRightInd w:val="0"/>
        <w:snapToGrid w:val="0"/>
        <w:spacing w:after="0" w:line="360" w:lineRule="auto"/>
        <w:jc w:val="both"/>
        <w:rPr>
          <w:rFonts w:ascii="Book Antiqua" w:hAnsi="Book Antiqua" w:cs="Times New Roman"/>
          <w:bCs/>
          <w:sz w:val="24"/>
          <w:szCs w:val="24"/>
          <w:lang w:val="en-GB" w:eastAsia="zh-CN"/>
        </w:rPr>
      </w:pPr>
      <w:r w:rsidRPr="00C67AD0">
        <w:rPr>
          <w:rFonts w:ascii="Book Antiqua" w:hAnsi="Book Antiqua" w:cs="Times New Roman"/>
          <w:b/>
          <w:sz w:val="24"/>
          <w:szCs w:val="24"/>
          <w:lang w:val="en-GB"/>
        </w:rPr>
        <w:t xml:space="preserve">Open-Access: </w:t>
      </w:r>
      <w:r w:rsidRPr="00C67AD0">
        <w:rPr>
          <w:rFonts w:ascii="Book Antiqua" w:hAnsi="Book Antiqua" w:cs="Times New Roman"/>
          <w:bCs/>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000D2D3A" w:rsidRPr="00C67AD0">
          <w:rPr>
            <w:rStyle w:val="a7"/>
            <w:rFonts w:ascii="Book Antiqua" w:hAnsi="Book Antiqua" w:cs="Times New Roman"/>
            <w:bCs/>
            <w:color w:val="auto"/>
            <w:sz w:val="24"/>
            <w:szCs w:val="24"/>
            <w:lang w:val="en-GB"/>
          </w:rPr>
          <w:t>http://creativecommons.org/licenses/by-nc/4.0/</w:t>
        </w:r>
      </w:hyperlink>
    </w:p>
    <w:p w14:paraId="17A57604" w14:textId="77777777" w:rsidR="000D2D3A" w:rsidRPr="00C67AD0" w:rsidRDefault="000D2D3A" w:rsidP="00CF5C7B">
      <w:pPr>
        <w:adjustRightInd w:val="0"/>
        <w:snapToGrid w:val="0"/>
        <w:spacing w:after="0" w:line="360" w:lineRule="auto"/>
        <w:jc w:val="both"/>
        <w:rPr>
          <w:rFonts w:ascii="Book Antiqua" w:hAnsi="Book Antiqua" w:cs="Times New Roman"/>
          <w:bCs/>
          <w:sz w:val="24"/>
          <w:szCs w:val="24"/>
          <w:lang w:val="en-GB" w:eastAsia="zh-CN"/>
        </w:rPr>
      </w:pPr>
    </w:p>
    <w:p w14:paraId="3EFC836C" w14:textId="77777777" w:rsidR="000D2D3A" w:rsidRPr="00C67AD0" w:rsidRDefault="000D2D3A" w:rsidP="000D2D3A">
      <w:pPr>
        <w:adjustRightInd w:val="0"/>
        <w:snapToGrid w:val="0"/>
        <w:spacing w:after="0" w:line="360" w:lineRule="auto"/>
        <w:jc w:val="both"/>
        <w:rPr>
          <w:rFonts w:ascii="Book Antiqua" w:eastAsia="宋体" w:hAnsi="Book Antiqua" w:cs="Times New Roman"/>
          <w:b/>
          <w:bCs/>
          <w:sz w:val="24"/>
          <w:szCs w:val="24"/>
          <w:lang w:eastAsia="zh-CN"/>
        </w:rPr>
      </w:pPr>
      <w:r w:rsidRPr="00C67AD0">
        <w:rPr>
          <w:rFonts w:ascii="Book Antiqua" w:eastAsia="宋体" w:hAnsi="Book Antiqua" w:cs="Times New Roman"/>
          <w:b/>
          <w:bCs/>
          <w:sz w:val="24"/>
          <w:szCs w:val="24"/>
          <w:lang w:eastAsia="pl-PL"/>
        </w:rPr>
        <w:t>Manuscript source:</w:t>
      </w:r>
      <w:r w:rsidRPr="00C67AD0">
        <w:rPr>
          <w:rFonts w:ascii="Book Antiqua" w:eastAsia="宋体" w:hAnsi="Book Antiqua" w:cs="Times New Roman"/>
          <w:b/>
          <w:bCs/>
          <w:sz w:val="24"/>
          <w:szCs w:val="24"/>
          <w:lang w:eastAsia="zh-CN"/>
        </w:rPr>
        <w:t xml:space="preserve"> </w:t>
      </w:r>
      <w:r w:rsidRPr="00C67AD0">
        <w:rPr>
          <w:rFonts w:ascii="Book Antiqua" w:eastAsia="宋体" w:hAnsi="Book Antiqua" w:cs="Times New Roman"/>
          <w:bCs/>
          <w:sz w:val="24"/>
          <w:szCs w:val="24"/>
          <w:lang w:eastAsia="pl-PL"/>
        </w:rPr>
        <w:t>Unsolicited manuscript</w:t>
      </w:r>
    </w:p>
    <w:p w14:paraId="45D116A1" w14:textId="77777777" w:rsidR="000D2D3A" w:rsidRPr="00C67AD0" w:rsidRDefault="000D2D3A" w:rsidP="000D2D3A">
      <w:pPr>
        <w:widowControl w:val="0"/>
        <w:adjustRightInd w:val="0"/>
        <w:snapToGrid w:val="0"/>
        <w:spacing w:after="0" w:line="360" w:lineRule="auto"/>
        <w:jc w:val="both"/>
        <w:rPr>
          <w:rFonts w:ascii="Book Antiqua" w:eastAsia="等线" w:hAnsi="Book Antiqua" w:cs="Times New Roman"/>
          <w:b/>
          <w:bCs/>
          <w:lang w:eastAsia="zh-CN"/>
        </w:rPr>
      </w:pPr>
    </w:p>
    <w:p w14:paraId="015DE7C6" w14:textId="2DFBFB61" w:rsidR="000D2D3A" w:rsidRPr="00C67AD0" w:rsidRDefault="000D2D3A" w:rsidP="000D2D3A">
      <w:pPr>
        <w:widowControl w:val="0"/>
        <w:adjustRightInd w:val="0"/>
        <w:snapToGrid w:val="0"/>
        <w:spacing w:after="0" w:line="360" w:lineRule="auto"/>
        <w:jc w:val="both"/>
        <w:rPr>
          <w:rFonts w:ascii="Book Antiqua" w:eastAsia="宋体" w:hAnsi="Book Antiqua" w:cs="Times New Roman"/>
          <w:b/>
          <w:kern w:val="2"/>
          <w:sz w:val="24"/>
          <w:szCs w:val="24"/>
          <w:lang w:eastAsia="zh-CN"/>
        </w:rPr>
      </w:pPr>
      <w:r w:rsidRPr="00C67AD0">
        <w:rPr>
          <w:rFonts w:ascii="Book Antiqua" w:eastAsia="宋体" w:hAnsi="Book Antiqua" w:cs="Times New Roman"/>
          <w:b/>
          <w:kern w:val="2"/>
          <w:sz w:val="24"/>
          <w:szCs w:val="24"/>
          <w:lang w:eastAsia="zh-CN"/>
        </w:rPr>
        <w:t xml:space="preserve">Peer-review started: </w:t>
      </w:r>
      <w:r w:rsidRPr="00C67AD0">
        <w:rPr>
          <w:rFonts w:ascii="Book Antiqua" w:eastAsia="宋体" w:hAnsi="Book Antiqua" w:cs="Times New Roman" w:hint="eastAsia"/>
          <w:kern w:val="2"/>
          <w:sz w:val="24"/>
          <w:szCs w:val="24"/>
          <w:lang w:eastAsia="zh-CN"/>
        </w:rPr>
        <w:t>July 21</w:t>
      </w:r>
      <w:r w:rsidRPr="00C67AD0">
        <w:rPr>
          <w:rFonts w:ascii="Book Antiqua" w:eastAsia="宋体" w:hAnsi="Book Antiqua" w:cs="Times New Roman"/>
          <w:kern w:val="2"/>
          <w:sz w:val="24"/>
          <w:szCs w:val="24"/>
          <w:lang w:eastAsia="zh-CN"/>
        </w:rPr>
        <w:t>, 2020</w:t>
      </w:r>
    </w:p>
    <w:p w14:paraId="0A913CC6" w14:textId="0D1D738F" w:rsidR="000D2D3A" w:rsidRPr="00C67AD0" w:rsidRDefault="000D2D3A" w:rsidP="000D2D3A">
      <w:pPr>
        <w:widowControl w:val="0"/>
        <w:adjustRightInd w:val="0"/>
        <w:snapToGrid w:val="0"/>
        <w:spacing w:after="0" w:line="360" w:lineRule="auto"/>
        <w:jc w:val="both"/>
        <w:rPr>
          <w:rFonts w:ascii="Book Antiqua" w:eastAsia="宋体" w:hAnsi="Book Antiqua" w:cs="Times New Roman"/>
          <w:b/>
          <w:kern w:val="2"/>
          <w:sz w:val="24"/>
          <w:szCs w:val="24"/>
          <w:lang w:eastAsia="zh-CN"/>
        </w:rPr>
      </w:pPr>
      <w:r w:rsidRPr="00C67AD0">
        <w:rPr>
          <w:rFonts w:ascii="Book Antiqua" w:eastAsia="宋体" w:hAnsi="Book Antiqua" w:cs="Times New Roman"/>
          <w:b/>
          <w:kern w:val="2"/>
          <w:sz w:val="24"/>
          <w:szCs w:val="24"/>
          <w:lang w:eastAsia="zh-CN"/>
        </w:rPr>
        <w:t xml:space="preserve">First decision: </w:t>
      </w:r>
      <w:r w:rsidRPr="00C67AD0">
        <w:rPr>
          <w:rFonts w:ascii="Book Antiqua" w:eastAsia="宋体" w:hAnsi="Book Antiqua" w:cs="Times New Roman" w:hint="eastAsia"/>
          <w:kern w:val="2"/>
          <w:sz w:val="24"/>
          <w:szCs w:val="24"/>
          <w:lang w:eastAsia="zh-CN"/>
        </w:rPr>
        <w:t>August</w:t>
      </w:r>
      <w:r w:rsidRPr="00C67AD0">
        <w:rPr>
          <w:rFonts w:ascii="Book Antiqua" w:eastAsia="宋体" w:hAnsi="Book Antiqua" w:cs="Times New Roman"/>
          <w:kern w:val="2"/>
          <w:sz w:val="24"/>
          <w:szCs w:val="24"/>
          <w:lang w:eastAsia="zh-CN"/>
        </w:rPr>
        <w:t xml:space="preserve"> 8, 2020</w:t>
      </w:r>
    </w:p>
    <w:p w14:paraId="00D520FF" w14:textId="56885881" w:rsidR="000D2D3A" w:rsidRPr="00C67AD0" w:rsidRDefault="000D2D3A" w:rsidP="000D2D3A">
      <w:pPr>
        <w:widowControl w:val="0"/>
        <w:adjustRightInd w:val="0"/>
        <w:snapToGrid w:val="0"/>
        <w:spacing w:after="0" w:line="360" w:lineRule="auto"/>
        <w:jc w:val="both"/>
        <w:rPr>
          <w:rFonts w:ascii="Book Antiqua" w:eastAsia="宋体" w:hAnsi="Book Antiqua" w:cs="Times New Roman"/>
          <w:b/>
          <w:kern w:val="2"/>
          <w:sz w:val="24"/>
          <w:szCs w:val="24"/>
          <w:lang w:eastAsia="zh-CN"/>
        </w:rPr>
      </w:pPr>
      <w:r w:rsidRPr="00C67AD0">
        <w:rPr>
          <w:rFonts w:ascii="Book Antiqua" w:eastAsia="宋体" w:hAnsi="Book Antiqua" w:cs="Times New Roman"/>
          <w:b/>
          <w:kern w:val="2"/>
          <w:sz w:val="24"/>
          <w:szCs w:val="24"/>
          <w:lang w:eastAsia="zh-CN"/>
        </w:rPr>
        <w:t>Article in press:</w:t>
      </w:r>
      <w:r w:rsidR="00D61EF6" w:rsidRPr="00D61EF6">
        <w:rPr>
          <w:rFonts w:ascii="Book Antiqua" w:eastAsia="宋体" w:hAnsi="Book Antiqua" w:cs="Times New Roman"/>
          <w:sz w:val="24"/>
          <w:szCs w:val="24"/>
        </w:rPr>
        <w:t xml:space="preserve"> </w:t>
      </w:r>
      <w:r w:rsidR="00D61EF6" w:rsidRPr="001404E7">
        <w:rPr>
          <w:rFonts w:ascii="Book Antiqua" w:eastAsia="宋体" w:hAnsi="Book Antiqua" w:cs="Times New Roman"/>
          <w:sz w:val="24"/>
          <w:szCs w:val="24"/>
        </w:rPr>
        <w:t>September 12, 2020</w:t>
      </w:r>
    </w:p>
    <w:p w14:paraId="0B5F83EF" w14:textId="77777777" w:rsidR="000D2D3A" w:rsidRPr="00C67AD0" w:rsidRDefault="000D2D3A" w:rsidP="000D2D3A">
      <w:pPr>
        <w:adjustRightInd w:val="0"/>
        <w:snapToGrid w:val="0"/>
        <w:spacing w:after="0" w:line="360" w:lineRule="auto"/>
        <w:jc w:val="both"/>
        <w:rPr>
          <w:rFonts w:ascii="Book Antiqua" w:eastAsia="宋体" w:hAnsi="Book Antiqua" w:cs="Calibri"/>
          <w:b/>
          <w:sz w:val="24"/>
          <w:szCs w:val="24"/>
          <w:lang w:val="hu-HU"/>
        </w:rPr>
      </w:pPr>
    </w:p>
    <w:p w14:paraId="6A5526E0" w14:textId="77777777" w:rsidR="000D2D3A" w:rsidRPr="00C67AD0" w:rsidRDefault="000D2D3A" w:rsidP="000D2D3A">
      <w:pPr>
        <w:widowControl w:val="0"/>
        <w:adjustRightInd w:val="0"/>
        <w:snapToGrid w:val="0"/>
        <w:spacing w:after="0" w:line="360" w:lineRule="auto"/>
        <w:jc w:val="both"/>
        <w:rPr>
          <w:rFonts w:ascii="Book Antiqua" w:eastAsia="微软雅黑" w:hAnsi="Book Antiqua" w:cs="宋体"/>
          <w:sz w:val="24"/>
          <w:szCs w:val="24"/>
          <w:lang w:eastAsia="zh-CN"/>
        </w:rPr>
      </w:pPr>
      <w:r w:rsidRPr="00C67AD0">
        <w:rPr>
          <w:rFonts w:ascii="Book Antiqua" w:eastAsia="宋体" w:hAnsi="Book Antiqua" w:cs="宋体"/>
          <w:b/>
          <w:sz w:val="24"/>
          <w:szCs w:val="24"/>
          <w:lang w:eastAsia="zh-CN"/>
        </w:rPr>
        <w:t xml:space="preserve">Specialty type: </w:t>
      </w:r>
      <w:r w:rsidRPr="00C67AD0">
        <w:rPr>
          <w:rFonts w:ascii="Book Antiqua" w:eastAsia="微软雅黑" w:hAnsi="Book Antiqua" w:cs="宋体"/>
          <w:sz w:val="24"/>
          <w:szCs w:val="24"/>
          <w:lang w:eastAsia="zh-CN"/>
        </w:rPr>
        <w:t>Gastroenterology and hepatology</w:t>
      </w:r>
    </w:p>
    <w:p w14:paraId="5FC1522A" w14:textId="6D4C0BA1" w:rsidR="000D2D3A" w:rsidRPr="00C67AD0" w:rsidRDefault="000D2D3A" w:rsidP="000D2D3A">
      <w:pPr>
        <w:widowControl w:val="0"/>
        <w:adjustRightInd w:val="0"/>
        <w:snapToGrid w:val="0"/>
        <w:spacing w:after="0" w:line="360" w:lineRule="auto"/>
        <w:jc w:val="both"/>
        <w:rPr>
          <w:rFonts w:ascii="Book Antiqua" w:eastAsia="宋体" w:hAnsi="Book Antiqua" w:cs="宋体"/>
          <w:sz w:val="24"/>
          <w:szCs w:val="24"/>
          <w:lang w:eastAsia="zh-CN"/>
        </w:rPr>
      </w:pPr>
      <w:r w:rsidRPr="00C67AD0">
        <w:rPr>
          <w:rFonts w:ascii="Book Antiqua" w:eastAsia="宋体" w:hAnsi="Book Antiqua" w:cs="宋体"/>
          <w:b/>
          <w:sz w:val="24"/>
          <w:szCs w:val="24"/>
          <w:lang w:eastAsia="zh-CN"/>
        </w:rPr>
        <w:lastRenderedPageBreak/>
        <w:t xml:space="preserve">Country/Territory of origin: </w:t>
      </w:r>
      <w:r w:rsidRPr="00C67AD0">
        <w:rPr>
          <w:rFonts w:ascii="Book Antiqua" w:eastAsia="宋体" w:hAnsi="Book Antiqua" w:cs="宋体"/>
          <w:sz w:val="24"/>
          <w:szCs w:val="24"/>
          <w:lang w:eastAsia="zh-CN"/>
        </w:rPr>
        <w:t>Spain</w:t>
      </w:r>
    </w:p>
    <w:p w14:paraId="1679F997" w14:textId="77777777" w:rsidR="000D2D3A" w:rsidRPr="00C67AD0" w:rsidRDefault="000D2D3A" w:rsidP="000D2D3A">
      <w:pPr>
        <w:widowControl w:val="0"/>
        <w:adjustRightInd w:val="0"/>
        <w:snapToGrid w:val="0"/>
        <w:spacing w:after="0" w:line="360" w:lineRule="auto"/>
        <w:jc w:val="both"/>
        <w:rPr>
          <w:rFonts w:ascii="Book Antiqua" w:eastAsia="宋体" w:hAnsi="Book Antiqua" w:cs="宋体"/>
          <w:b/>
          <w:sz w:val="24"/>
          <w:szCs w:val="24"/>
          <w:lang w:eastAsia="zh-CN"/>
        </w:rPr>
      </w:pPr>
      <w:r w:rsidRPr="00C67AD0">
        <w:rPr>
          <w:rFonts w:ascii="Book Antiqua" w:eastAsia="宋体" w:hAnsi="Book Antiqua" w:cs="宋体"/>
          <w:b/>
          <w:sz w:val="24"/>
          <w:szCs w:val="24"/>
          <w:lang w:eastAsia="zh-CN"/>
        </w:rPr>
        <w:t>Peer-review report’s scientific quality classification</w:t>
      </w:r>
    </w:p>
    <w:p w14:paraId="6068D1A6" w14:textId="275261B9" w:rsidR="000D2D3A" w:rsidRPr="00C67AD0" w:rsidRDefault="000D2D3A" w:rsidP="000D2D3A">
      <w:pPr>
        <w:widowControl w:val="0"/>
        <w:adjustRightInd w:val="0"/>
        <w:snapToGrid w:val="0"/>
        <w:spacing w:after="0" w:line="360" w:lineRule="auto"/>
        <w:jc w:val="both"/>
        <w:rPr>
          <w:rFonts w:ascii="Book Antiqua" w:eastAsia="宋体" w:hAnsi="Book Antiqua" w:cs="宋体"/>
          <w:sz w:val="24"/>
          <w:szCs w:val="24"/>
          <w:lang w:eastAsia="zh-CN"/>
        </w:rPr>
      </w:pPr>
      <w:r w:rsidRPr="00C67AD0">
        <w:rPr>
          <w:rFonts w:ascii="Book Antiqua" w:eastAsia="宋体" w:hAnsi="Book Antiqua" w:cs="宋体"/>
          <w:sz w:val="24"/>
          <w:szCs w:val="24"/>
          <w:lang w:eastAsia="zh-CN"/>
        </w:rPr>
        <w:t>Grade A (Excellent): 0</w:t>
      </w:r>
    </w:p>
    <w:p w14:paraId="303FA532" w14:textId="7B1CE6DB" w:rsidR="000D2D3A" w:rsidRPr="00C67AD0" w:rsidRDefault="000D2D3A" w:rsidP="000D2D3A">
      <w:pPr>
        <w:widowControl w:val="0"/>
        <w:adjustRightInd w:val="0"/>
        <w:snapToGrid w:val="0"/>
        <w:spacing w:after="0" w:line="360" w:lineRule="auto"/>
        <w:jc w:val="both"/>
        <w:rPr>
          <w:rFonts w:ascii="Book Antiqua" w:eastAsia="宋体" w:hAnsi="Book Antiqua" w:cs="宋体"/>
          <w:sz w:val="24"/>
          <w:szCs w:val="24"/>
          <w:lang w:eastAsia="zh-CN"/>
        </w:rPr>
      </w:pPr>
      <w:r w:rsidRPr="00C67AD0">
        <w:rPr>
          <w:rFonts w:ascii="Book Antiqua" w:eastAsia="宋体" w:hAnsi="Book Antiqua" w:cs="宋体"/>
          <w:sz w:val="24"/>
          <w:szCs w:val="24"/>
          <w:lang w:eastAsia="zh-CN"/>
        </w:rPr>
        <w:t xml:space="preserve">Grade B (Very good): </w:t>
      </w:r>
      <w:r w:rsidRPr="00C67AD0">
        <w:rPr>
          <w:rFonts w:ascii="Book Antiqua" w:eastAsia="宋体" w:hAnsi="Book Antiqua" w:cs="宋体" w:hint="eastAsia"/>
          <w:sz w:val="24"/>
          <w:szCs w:val="24"/>
          <w:lang w:eastAsia="zh-CN"/>
        </w:rPr>
        <w:t>B</w:t>
      </w:r>
    </w:p>
    <w:p w14:paraId="14B14B7B" w14:textId="5E52FC90" w:rsidR="000D2D3A" w:rsidRPr="00C67AD0" w:rsidRDefault="000D2D3A" w:rsidP="000D2D3A">
      <w:pPr>
        <w:widowControl w:val="0"/>
        <w:adjustRightInd w:val="0"/>
        <w:snapToGrid w:val="0"/>
        <w:spacing w:after="0" w:line="360" w:lineRule="auto"/>
        <w:jc w:val="both"/>
        <w:rPr>
          <w:rFonts w:ascii="Book Antiqua" w:eastAsia="宋体" w:hAnsi="Book Antiqua" w:cs="宋体"/>
          <w:sz w:val="24"/>
          <w:szCs w:val="24"/>
          <w:lang w:eastAsia="zh-CN"/>
        </w:rPr>
      </w:pPr>
      <w:r w:rsidRPr="00C67AD0">
        <w:rPr>
          <w:rFonts w:ascii="Book Antiqua" w:eastAsia="宋体" w:hAnsi="Book Antiqua" w:cs="宋体"/>
          <w:sz w:val="24"/>
          <w:szCs w:val="24"/>
          <w:lang w:eastAsia="zh-CN"/>
        </w:rPr>
        <w:t>Grade C (Good): 0</w:t>
      </w:r>
    </w:p>
    <w:p w14:paraId="70A958C4" w14:textId="77777777" w:rsidR="000D2D3A" w:rsidRPr="00C67AD0" w:rsidRDefault="000D2D3A" w:rsidP="000D2D3A">
      <w:pPr>
        <w:widowControl w:val="0"/>
        <w:adjustRightInd w:val="0"/>
        <w:snapToGrid w:val="0"/>
        <w:spacing w:after="0" w:line="360" w:lineRule="auto"/>
        <w:jc w:val="both"/>
        <w:rPr>
          <w:rFonts w:ascii="Book Antiqua" w:eastAsia="宋体" w:hAnsi="Book Antiqua" w:cs="宋体"/>
          <w:sz w:val="24"/>
          <w:szCs w:val="24"/>
          <w:lang w:eastAsia="zh-CN"/>
        </w:rPr>
      </w:pPr>
      <w:r w:rsidRPr="00C67AD0">
        <w:rPr>
          <w:rFonts w:ascii="Book Antiqua" w:eastAsia="宋体" w:hAnsi="Book Antiqua" w:cs="宋体"/>
          <w:sz w:val="24"/>
          <w:szCs w:val="24"/>
          <w:lang w:eastAsia="zh-CN"/>
        </w:rPr>
        <w:t>Grade D (Fair): 0</w:t>
      </w:r>
    </w:p>
    <w:p w14:paraId="2BBF420D" w14:textId="77777777" w:rsidR="000D2D3A" w:rsidRPr="00C67AD0" w:rsidRDefault="000D2D3A" w:rsidP="000D2D3A">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C67AD0">
        <w:rPr>
          <w:rFonts w:ascii="Book Antiqua" w:eastAsia="宋体" w:hAnsi="Book Antiqua" w:cs="宋体"/>
          <w:sz w:val="24"/>
          <w:szCs w:val="24"/>
          <w:lang w:eastAsia="zh-CN"/>
        </w:rPr>
        <w:t>Grade E (Poor): 0</w:t>
      </w:r>
    </w:p>
    <w:p w14:paraId="6355C74F" w14:textId="77777777" w:rsidR="000D2D3A" w:rsidRPr="00C67AD0" w:rsidRDefault="000D2D3A" w:rsidP="000D2D3A">
      <w:pPr>
        <w:widowControl w:val="0"/>
        <w:adjustRightInd w:val="0"/>
        <w:snapToGrid w:val="0"/>
        <w:spacing w:after="0" w:line="360" w:lineRule="auto"/>
        <w:jc w:val="both"/>
        <w:rPr>
          <w:rFonts w:ascii="Book Antiqua" w:eastAsia="等线" w:hAnsi="Book Antiqua" w:cs="Times New Roman"/>
          <w:kern w:val="2"/>
          <w:sz w:val="24"/>
          <w:szCs w:val="24"/>
          <w:lang w:eastAsia="zh-CN"/>
        </w:rPr>
      </w:pPr>
    </w:p>
    <w:p w14:paraId="6CCC12B0" w14:textId="3D060DF3" w:rsidR="000D2D3A" w:rsidRPr="00C67AD0" w:rsidRDefault="000D2D3A" w:rsidP="000D2D3A">
      <w:pPr>
        <w:widowControl w:val="0"/>
        <w:adjustRightInd w:val="0"/>
        <w:snapToGrid w:val="0"/>
        <w:spacing w:after="0" w:line="360" w:lineRule="auto"/>
        <w:ind w:right="240"/>
        <w:jc w:val="both"/>
        <w:rPr>
          <w:rFonts w:ascii="Book Antiqua" w:eastAsia="宋体" w:hAnsi="Book Antiqua" w:cs="Times New Roman"/>
          <w:b/>
          <w:bCs/>
          <w:kern w:val="2"/>
          <w:sz w:val="24"/>
          <w:szCs w:val="24"/>
          <w:lang w:eastAsia="zh-CN"/>
        </w:rPr>
      </w:pPr>
      <w:bookmarkStart w:id="25" w:name="OLE_LINK139"/>
      <w:bookmarkStart w:id="26" w:name="OLE_LINK140"/>
      <w:r w:rsidRPr="00C67AD0">
        <w:rPr>
          <w:rFonts w:ascii="Book Antiqua" w:eastAsia="宋体" w:hAnsi="Book Antiqua" w:cs="Times New Roman"/>
          <w:b/>
          <w:bCs/>
          <w:kern w:val="2"/>
          <w:sz w:val="24"/>
          <w:szCs w:val="24"/>
          <w:lang w:eastAsia="zh-CN"/>
        </w:rPr>
        <w:t>P-Reviewer:</w:t>
      </w:r>
      <w:r w:rsidRPr="00C67AD0">
        <w:rPr>
          <w:rFonts w:ascii="Book Antiqua" w:eastAsia="宋体" w:hAnsi="Book Antiqua" w:cs="Times New Roman"/>
          <w:bCs/>
          <w:kern w:val="2"/>
          <w:sz w:val="24"/>
          <w:szCs w:val="24"/>
          <w:lang w:eastAsia="zh-CN"/>
        </w:rPr>
        <w:t xml:space="preserve"> </w:t>
      </w:r>
      <w:r w:rsidR="00AF3E69" w:rsidRPr="00C67AD0">
        <w:rPr>
          <w:rFonts w:ascii="Book Antiqua" w:eastAsia="宋体" w:hAnsi="Book Antiqua" w:cs="Times New Roman"/>
          <w:bCs/>
          <w:kern w:val="2"/>
          <w:sz w:val="24"/>
          <w:szCs w:val="24"/>
          <w:lang w:eastAsia="zh-CN"/>
        </w:rPr>
        <w:t>Tian</w:t>
      </w:r>
      <w:r w:rsidR="00AF3E69" w:rsidRPr="00C67AD0">
        <w:rPr>
          <w:rFonts w:ascii="Book Antiqua" w:eastAsia="宋体" w:hAnsi="Book Antiqua" w:cs="Times New Roman" w:hint="eastAsia"/>
          <w:bCs/>
          <w:kern w:val="2"/>
          <w:sz w:val="24"/>
          <w:szCs w:val="24"/>
          <w:lang w:eastAsia="zh-CN"/>
        </w:rPr>
        <w:t xml:space="preserve"> H</w:t>
      </w:r>
      <w:r w:rsidRPr="00C67AD0">
        <w:rPr>
          <w:rFonts w:ascii="Book Antiqua" w:eastAsia="宋体" w:hAnsi="Book Antiqua" w:cs="Times New Roman"/>
          <w:bCs/>
          <w:kern w:val="2"/>
          <w:sz w:val="24"/>
          <w:szCs w:val="24"/>
          <w:lang w:eastAsia="zh-CN"/>
        </w:rPr>
        <w:t xml:space="preserve"> </w:t>
      </w:r>
      <w:r w:rsidRPr="00C67AD0">
        <w:rPr>
          <w:rFonts w:ascii="Book Antiqua" w:eastAsia="宋体" w:hAnsi="Book Antiqua" w:cs="Times New Roman"/>
          <w:b/>
          <w:bCs/>
          <w:kern w:val="2"/>
          <w:sz w:val="24"/>
          <w:szCs w:val="24"/>
          <w:lang w:eastAsia="zh-CN"/>
        </w:rPr>
        <w:t>S-Editor:</w:t>
      </w:r>
      <w:r w:rsidRPr="00C67AD0">
        <w:rPr>
          <w:rFonts w:ascii="Book Antiqua" w:eastAsia="宋体" w:hAnsi="Book Antiqua" w:cs="Times New Roman"/>
          <w:kern w:val="2"/>
          <w:sz w:val="24"/>
          <w:szCs w:val="24"/>
          <w:lang w:eastAsia="zh-CN"/>
        </w:rPr>
        <w:t xml:space="preserve"> </w:t>
      </w:r>
      <w:r w:rsidR="00AF3E69" w:rsidRPr="00C67AD0">
        <w:rPr>
          <w:rFonts w:ascii="Book Antiqua" w:eastAsia="宋体" w:hAnsi="Book Antiqua" w:cs="Times New Roman" w:hint="eastAsia"/>
          <w:kern w:val="2"/>
          <w:sz w:val="24"/>
          <w:szCs w:val="24"/>
          <w:lang w:eastAsia="zh-CN"/>
        </w:rPr>
        <w:t>Zhang H</w:t>
      </w:r>
      <w:r w:rsidRPr="00C67AD0">
        <w:rPr>
          <w:rFonts w:ascii="Book Antiqua" w:eastAsia="宋体" w:hAnsi="Book Antiqua" w:cs="Times New Roman"/>
          <w:kern w:val="2"/>
          <w:sz w:val="24"/>
          <w:szCs w:val="24"/>
          <w:lang w:eastAsia="zh-CN"/>
        </w:rPr>
        <w:t xml:space="preserve"> </w:t>
      </w:r>
      <w:r w:rsidRPr="00C67AD0">
        <w:rPr>
          <w:rFonts w:ascii="Book Antiqua" w:eastAsia="宋体" w:hAnsi="Book Antiqua" w:cs="Times New Roman"/>
          <w:b/>
          <w:bCs/>
          <w:kern w:val="2"/>
          <w:sz w:val="24"/>
          <w:szCs w:val="24"/>
          <w:lang w:eastAsia="zh-CN"/>
        </w:rPr>
        <w:t>L-Editor:</w:t>
      </w:r>
      <w:r w:rsidR="00EE7FFD">
        <w:rPr>
          <w:rFonts w:ascii="Book Antiqua" w:eastAsia="宋体" w:hAnsi="Book Antiqua" w:cs="Times New Roman"/>
          <w:kern w:val="2"/>
          <w:sz w:val="24"/>
          <w:szCs w:val="24"/>
          <w:lang w:eastAsia="zh-CN"/>
        </w:rPr>
        <w:t xml:space="preserve"> </w:t>
      </w:r>
      <w:r w:rsidR="00D61EF6">
        <w:rPr>
          <w:rFonts w:ascii="Book Antiqua" w:eastAsia="宋体" w:hAnsi="Book Antiqua" w:cs="Times New Roman" w:hint="eastAsia"/>
          <w:kern w:val="2"/>
          <w:sz w:val="24"/>
          <w:szCs w:val="24"/>
          <w:lang w:eastAsia="zh-CN"/>
        </w:rPr>
        <w:t xml:space="preserve">A </w:t>
      </w:r>
      <w:r w:rsidR="00FA5817">
        <w:rPr>
          <w:rFonts w:ascii="Book Antiqua" w:eastAsia="宋体" w:hAnsi="Book Antiqua" w:cs="Times New Roman"/>
          <w:b/>
          <w:bCs/>
          <w:kern w:val="2"/>
          <w:sz w:val="24"/>
          <w:szCs w:val="24"/>
          <w:lang w:eastAsia="zh-CN"/>
        </w:rPr>
        <w:t>P</w:t>
      </w:r>
      <w:r w:rsidRPr="00C67AD0">
        <w:rPr>
          <w:rFonts w:ascii="Book Antiqua" w:eastAsia="宋体" w:hAnsi="Book Antiqua" w:cs="Times New Roman"/>
          <w:b/>
          <w:bCs/>
          <w:kern w:val="2"/>
          <w:sz w:val="24"/>
          <w:szCs w:val="24"/>
          <w:lang w:eastAsia="zh-CN"/>
        </w:rPr>
        <w:t>-Editor</w:t>
      </w:r>
      <w:r w:rsidRPr="00D61EF6">
        <w:rPr>
          <w:rFonts w:ascii="Book Antiqua" w:eastAsia="宋体" w:hAnsi="Book Antiqua" w:cs="Times New Roman"/>
          <w:bCs/>
          <w:kern w:val="2"/>
          <w:sz w:val="24"/>
          <w:szCs w:val="24"/>
          <w:lang w:eastAsia="zh-CN"/>
        </w:rPr>
        <w:t>:</w:t>
      </w:r>
      <w:r w:rsidR="00D61EF6" w:rsidRPr="00D61EF6">
        <w:rPr>
          <w:rFonts w:ascii="Book Antiqua" w:eastAsia="宋体" w:hAnsi="Book Antiqua" w:cs="Times New Roman" w:hint="eastAsia"/>
          <w:bCs/>
          <w:kern w:val="2"/>
          <w:sz w:val="24"/>
          <w:szCs w:val="24"/>
          <w:lang w:eastAsia="zh-CN"/>
        </w:rPr>
        <w:t xml:space="preserve"> M</w:t>
      </w:r>
      <w:bookmarkStart w:id="27" w:name="_GoBack"/>
      <w:bookmarkEnd w:id="27"/>
      <w:r w:rsidR="00D61EF6" w:rsidRPr="00D61EF6">
        <w:rPr>
          <w:rFonts w:ascii="Book Antiqua" w:eastAsia="宋体" w:hAnsi="Book Antiqua" w:cs="Times New Roman" w:hint="eastAsia"/>
          <w:bCs/>
          <w:kern w:val="2"/>
          <w:sz w:val="24"/>
          <w:szCs w:val="24"/>
          <w:lang w:eastAsia="zh-CN"/>
        </w:rPr>
        <w:t>a YJ</w:t>
      </w:r>
    </w:p>
    <w:bookmarkEnd w:id="25"/>
    <w:bookmarkEnd w:id="26"/>
    <w:p w14:paraId="70397FB2" w14:textId="77777777" w:rsidR="000D2D3A" w:rsidRPr="00C67AD0" w:rsidRDefault="000D2D3A" w:rsidP="00CF5C7B">
      <w:pPr>
        <w:adjustRightInd w:val="0"/>
        <w:snapToGrid w:val="0"/>
        <w:spacing w:after="0" w:line="360" w:lineRule="auto"/>
        <w:jc w:val="both"/>
        <w:rPr>
          <w:rFonts w:ascii="Book Antiqua" w:hAnsi="Book Antiqua" w:cs="Times New Roman"/>
          <w:bCs/>
          <w:sz w:val="24"/>
          <w:szCs w:val="24"/>
          <w:lang w:val="en-GB" w:eastAsia="zh-CN"/>
        </w:rPr>
      </w:pPr>
    </w:p>
    <w:p w14:paraId="1EA0E929"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lang w:val="en-GB"/>
        </w:rPr>
      </w:pPr>
      <w:r w:rsidRPr="00C67AD0">
        <w:rPr>
          <w:rFonts w:ascii="Book Antiqua" w:hAnsi="Book Antiqua" w:cs="Times New Roman"/>
          <w:b/>
          <w:sz w:val="24"/>
          <w:szCs w:val="24"/>
          <w:lang w:val="en-GB"/>
        </w:rPr>
        <w:br w:type="page"/>
      </w:r>
    </w:p>
    <w:p w14:paraId="1E1D8C6F" w14:textId="77777777" w:rsidR="00CF5C7B" w:rsidRPr="00C67AD0" w:rsidRDefault="00CF5C7B" w:rsidP="00CF5C7B">
      <w:pPr>
        <w:adjustRightInd w:val="0"/>
        <w:snapToGrid w:val="0"/>
        <w:spacing w:after="0" w:line="360" w:lineRule="auto"/>
        <w:jc w:val="both"/>
        <w:rPr>
          <w:rFonts w:ascii="Book Antiqua" w:hAnsi="Book Antiqua" w:cs="Times New Roman"/>
          <w:b/>
          <w:sz w:val="24"/>
          <w:szCs w:val="24"/>
          <w:lang w:val="en-GB" w:eastAsia="zh-CN"/>
        </w:rPr>
      </w:pPr>
      <w:r w:rsidRPr="00C67AD0">
        <w:rPr>
          <w:rFonts w:ascii="Book Antiqua" w:hAnsi="Book Antiqua" w:cs="Times New Roman"/>
          <w:b/>
          <w:sz w:val="24"/>
          <w:szCs w:val="24"/>
          <w:lang w:val="en-GB"/>
        </w:rPr>
        <w:lastRenderedPageBreak/>
        <w:t>Figure</w:t>
      </w:r>
      <w:r w:rsidRPr="00C67AD0">
        <w:rPr>
          <w:rFonts w:ascii="Book Antiqua" w:hAnsi="Book Antiqua" w:cs="Times New Roman" w:hint="eastAsia"/>
          <w:b/>
          <w:sz w:val="24"/>
          <w:szCs w:val="24"/>
          <w:lang w:val="en-GB" w:eastAsia="zh-CN"/>
        </w:rPr>
        <w:t xml:space="preserve"> legends</w:t>
      </w:r>
    </w:p>
    <w:p w14:paraId="6EA13D30" w14:textId="2E555EDA" w:rsidR="00CF5C7B" w:rsidRPr="00C67AD0" w:rsidRDefault="00FC06C7" w:rsidP="00CF5C7B">
      <w:pPr>
        <w:adjustRightInd w:val="0"/>
        <w:snapToGrid w:val="0"/>
        <w:spacing w:after="0" w:line="360" w:lineRule="auto"/>
        <w:jc w:val="both"/>
        <w:rPr>
          <w:rFonts w:ascii="Book Antiqua" w:hAnsi="Book Antiqua" w:cs="Times New Roman"/>
          <w:b/>
          <w:sz w:val="24"/>
          <w:szCs w:val="24"/>
          <w:lang w:val="en-GB"/>
        </w:rPr>
      </w:pPr>
      <w:r>
        <w:rPr>
          <w:noProof/>
          <w:lang w:eastAsia="zh-CN"/>
        </w:rPr>
        <w:drawing>
          <wp:inline distT="0" distB="0" distL="0" distR="0" wp14:anchorId="1C24A56B" wp14:editId="27957773">
            <wp:extent cx="5760720" cy="71177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7117715"/>
                    </a:xfrm>
                    <a:prstGeom prst="rect">
                      <a:avLst/>
                    </a:prstGeom>
                  </pic:spPr>
                </pic:pic>
              </a:graphicData>
            </a:graphic>
          </wp:inline>
        </w:drawing>
      </w:r>
    </w:p>
    <w:p w14:paraId="3AB5437D" w14:textId="5FA89293" w:rsidR="00CF5C7B" w:rsidRPr="00C67AD0" w:rsidRDefault="00CF5C7B" w:rsidP="00CF5C7B">
      <w:pPr>
        <w:adjustRightInd w:val="0"/>
        <w:snapToGrid w:val="0"/>
        <w:spacing w:after="0" w:line="360" w:lineRule="auto"/>
        <w:jc w:val="both"/>
        <w:rPr>
          <w:rFonts w:ascii="Book Antiqua" w:hAnsi="Book Antiqua" w:cs="Times New Roman"/>
          <w:sz w:val="24"/>
          <w:szCs w:val="24"/>
          <w:lang w:val="en-GB"/>
        </w:rPr>
      </w:pPr>
      <w:r w:rsidRPr="00C67AD0">
        <w:rPr>
          <w:rFonts w:ascii="Book Antiqua" w:hAnsi="Book Antiqua" w:cs="Times New Roman"/>
          <w:b/>
          <w:sz w:val="24"/>
          <w:szCs w:val="24"/>
          <w:lang w:val="en-GB"/>
        </w:rPr>
        <w:t xml:space="preserve">Figure 1 Effect of PEG35 treatment on plasma lipase activity, pancreatic </w:t>
      </w:r>
      <w:proofErr w:type="spellStart"/>
      <w:r w:rsidRPr="00C67AD0">
        <w:rPr>
          <w:rFonts w:ascii="Book Antiqua" w:hAnsi="Book Antiqua" w:cs="Times New Roman"/>
          <w:b/>
          <w:sz w:val="24"/>
          <w:szCs w:val="24"/>
          <w:lang w:val="en-GB"/>
        </w:rPr>
        <w:t>edema</w:t>
      </w:r>
      <w:proofErr w:type="spellEnd"/>
      <w:r w:rsidRPr="00C67AD0">
        <w:rPr>
          <w:rFonts w:ascii="Book Antiqua" w:hAnsi="Book Antiqua" w:cs="Times New Roman"/>
          <w:b/>
          <w:sz w:val="24"/>
          <w:szCs w:val="24"/>
          <w:lang w:val="en-GB"/>
        </w:rPr>
        <w:t xml:space="preserve"> and histological changes in experimental </w:t>
      </w:r>
      <w:proofErr w:type="spellStart"/>
      <w:r w:rsidRPr="00C67AD0">
        <w:rPr>
          <w:rFonts w:ascii="Book Antiqua" w:hAnsi="Book Antiqua" w:cs="Times New Roman"/>
          <w:b/>
          <w:sz w:val="24"/>
          <w:szCs w:val="24"/>
          <w:lang w:val="en-GB"/>
        </w:rPr>
        <w:t>cerulein</w:t>
      </w:r>
      <w:proofErr w:type="spellEnd"/>
      <w:r w:rsidRPr="00C67AD0">
        <w:rPr>
          <w:rFonts w:ascii="Book Antiqua" w:hAnsi="Book Antiqua" w:cs="Times New Roman"/>
          <w:b/>
          <w:sz w:val="24"/>
          <w:szCs w:val="24"/>
          <w:lang w:val="en-GB"/>
        </w:rPr>
        <w:t xml:space="preserve">-induced </w:t>
      </w:r>
      <w:r w:rsidRPr="00C67AD0">
        <w:rPr>
          <w:rFonts w:ascii="Book Antiqua" w:hAnsi="Book Antiqua" w:cs="Times New Roman" w:hint="eastAsia"/>
          <w:b/>
          <w:sz w:val="24"/>
          <w:szCs w:val="24"/>
          <w:lang w:val="en-GB" w:eastAsia="zh-CN"/>
        </w:rPr>
        <w:t>a</w:t>
      </w:r>
      <w:r w:rsidRPr="00C67AD0">
        <w:rPr>
          <w:rFonts w:ascii="Book Antiqua" w:hAnsi="Book Antiqua" w:cs="Times New Roman"/>
          <w:b/>
          <w:sz w:val="24"/>
          <w:szCs w:val="24"/>
          <w:lang w:val="en-GB"/>
        </w:rPr>
        <w:t>cute pancreatitis.</w:t>
      </w:r>
      <w:r w:rsidRPr="00C67AD0">
        <w:rPr>
          <w:rFonts w:ascii="Book Antiqua" w:hAnsi="Book Antiqua" w:cs="Times New Roman"/>
          <w:sz w:val="24"/>
          <w:szCs w:val="24"/>
          <w:lang w:val="en-GB"/>
        </w:rPr>
        <w:t xml:space="preserve"> A: Plasma lipase levels in U/L; B: Pancreatic wet-to-dry weight ratio. Bars represent mean values of each group ± SEM. </w:t>
      </w:r>
      <w:r w:rsidRPr="00C67AD0">
        <w:rPr>
          <w:rFonts w:ascii="Book Antiqua" w:hAnsi="Book Antiqua" w:cs="Times New Roman"/>
          <w:sz w:val="24"/>
          <w:szCs w:val="24"/>
          <w:vertAlign w:val="superscript"/>
          <w:lang w:val="en-GB"/>
        </w:rPr>
        <w:t>a</w:t>
      </w:r>
      <w:r w:rsidRPr="00C67AD0">
        <w:rPr>
          <w:rFonts w:ascii="Cambria Math" w:hAnsi="Cambria Math" w:cs="Cambria Math"/>
          <w:sz w:val="24"/>
          <w:szCs w:val="24"/>
          <w:lang w:val="en-GB"/>
        </w:rPr>
        <w:t>𝑃</w:t>
      </w:r>
      <w:r w:rsidRPr="00C67AD0">
        <w:rPr>
          <w:rFonts w:ascii="Book Antiqua" w:hAnsi="Book Antiqua" w:cs="Times New Roman"/>
          <w:sz w:val="24"/>
          <w:szCs w:val="24"/>
          <w:lang w:val="en-GB"/>
        </w:rPr>
        <w:t xml:space="preserve"> &lt; 0.05 </w:t>
      </w:r>
      <w:r w:rsidRPr="00C67AD0">
        <w:rPr>
          <w:rFonts w:ascii="Book Antiqua" w:hAnsi="Book Antiqua" w:cs="Times New Roman"/>
          <w:i/>
          <w:sz w:val="24"/>
          <w:szCs w:val="24"/>
          <w:lang w:val="en-GB"/>
        </w:rPr>
        <w:t>vs</w:t>
      </w:r>
      <w:r w:rsidRPr="00C67AD0">
        <w:rPr>
          <w:rFonts w:ascii="Book Antiqua" w:hAnsi="Book Antiqua" w:cs="Times New Roman"/>
          <w:sz w:val="24"/>
          <w:szCs w:val="24"/>
          <w:lang w:val="en-GB"/>
        </w:rPr>
        <w:t xml:space="preserve"> control, </w:t>
      </w:r>
      <w:r w:rsidR="00FC06C7">
        <w:rPr>
          <w:rFonts w:ascii="Book Antiqua" w:hAnsi="Book Antiqua" w:cs="Times New Roman"/>
          <w:sz w:val="24"/>
          <w:szCs w:val="24"/>
          <w:vertAlign w:val="superscript"/>
          <w:lang w:val="en-GB"/>
        </w:rPr>
        <w:t>c</w:t>
      </w:r>
      <w:r w:rsidRPr="00C67AD0">
        <w:rPr>
          <w:rFonts w:ascii="Cambria Math" w:hAnsi="Cambria Math" w:cs="Cambria Math"/>
          <w:sz w:val="24"/>
          <w:szCs w:val="24"/>
          <w:lang w:val="en-GB"/>
        </w:rPr>
        <w:t>𝑃</w:t>
      </w:r>
      <w:r w:rsidRPr="00C67AD0">
        <w:rPr>
          <w:rFonts w:ascii="Book Antiqua" w:hAnsi="Book Antiqua" w:cs="Times New Roman"/>
          <w:sz w:val="24"/>
          <w:szCs w:val="24"/>
          <w:lang w:val="en-GB"/>
        </w:rPr>
        <w:t xml:space="preserve"> &lt; 0.05 </w:t>
      </w:r>
      <w:r w:rsidRPr="00C67AD0">
        <w:rPr>
          <w:rFonts w:ascii="Book Antiqua" w:hAnsi="Book Antiqua" w:cs="Times New Roman"/>
          <w:i/>
          <w:sz w:val="24"/>
          <w:szCs w:val="24"/>
          <w:lang w:val="en-GB"/>
        </w:rPr>
        <w:t>vs</w:t>
      </w:r>
      <w:r w:rsidRPr="00C67AD0">
        <w:rPr>
          <w:rFonts w:ascii="Book Antiqua" w:hAnsi="Book Antiqua" w:cs="Times New Roman"/>
          <w:sz w:val="24"/>
          <w:szCs w:val="24"/>
          <w:lang w:val="en-GB"/>
        </w:rPr>
        <w:t xml:space="preserve"> </w:t>
      </w:r>
      <w:proofErr w:type="spellStart"/>
      <w:r w:rsidRPr="00C67AD0">
        <w:rPr>
          <w:rFonts w:ascii="Book Antiqua" w:hAnsi="Book Antiqua" w:cs="Times New Roman"/>
          <w:sz w:val="24"/>
          <w:szCs w:val="24"/>
          <w:lang w:val="en-GB"/>
        </w:rPr>
        <w:t>Cerulein</w:t>
      </w:r>
      <w:proofErr w:type="spellEnd"/>
      <w:r w:rsidRPr="00C67AD0">
        <w:rPr>
          <w:rFonts w:ascii="Book Antiqua" w:hAnsi="Book Antiqua" w:cs="Times New Roman"/>
          <w:sz w:val="24"/>
          <w:szCs w:val="24"/>
          <w:lang w:val="en-GB"/>
        </w:rPr>
        <w:t xml:space="preserve">-induced acute pancreatitis </w:t>
      </w:r>
      <w:r w:rsidRPr="00C67AD0">
        <w:rPr>
          <w:rFonts w:ascii="Book Antiqua" w:hAnsi="Book Antiqua" w:cs="Times New Roman" w:hint="eastAsia"/>
          <w:sz w:val="24"/>
          <w:szCs w:val="24"/>
          <w:lang w:val="en-GB" w:eastAsia="zh-CN"/>
        </w:rPr>
        <w:t>(</w:t>
      </w:r>
      <w:proofErr w:type="spellStart"/>
      <w:r w:rsidRPr="00C67AD0">
        <w:rPr>
          <w:rFonts w:ascii="Book Antiqua" w:hAnsi="Book Antiqua" w:cs="Times New Roman"/>
          <w:sz w:val="24"/>
          <w:szCs w:val="24"/>
          <w:lang w:val="en-GB"/>
        </w:rPr>
        <w:t>CerAP</w:t>
      </w:r>
      <w:proofErr w:type="spellEnd"/>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Each determination was carried out in triplicate</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C</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w:t>
      </w:r>
      <w:r w:rsidRPr="00C67AD0">
        <w:rPr>
          <w:rFonts w:ascii="Book Antiqua" w:hAnsi="Book Antiqua" w:cs="Times New Roman"/>
          <w:sz w:val="24"/>
          <w:szCs w:val="24"/>
          <w:lang w:val="en-GB"/>
        </w:rPr>
        <w:lastRenderedPageBreak/>
        <w:t xml:space="preserve">Representative images of </w:t>
      </w:r>
      <w:proofErr w:type="spellStart"/>
      <w:r w:rsidRPr="00C67AD0">
        <w:rPr>
          <w:rFonts w:ascii="Book Antiqua" w:hAnsi="Book Antiqua" w:cs="Times New Roman"/>
          <w:sz w:val="24"/>
          <w:szCs w:val="24"/>
          <w:lang w:val="en-GB"/>
        </w:rPr>
        <w:t>hematoxylin</w:t>
      </w:r>
      <w:proofErr w:type="spellEnd"/>
      <w:r w:rsidRPr="00C67AD0">
        <w:rPr>
          <w:rFonts w:ascii="Book Antiqua" w:hAnsi="Book Antiqua" w:cs="Times New Roman"/>
          <w:sz w:val="24"/>
          <w:szCs w:val="24"/>
          <w:lang w:val="en-GB"/>
        </w:rPr>
        <w:t xml:space="preserve"> and eosin-stained pancreatic sections for each experimental group. Control group showed normal pancreas structure. </w:t>
      </w:r>
      <w:proofErr w:type="spellStart"/>
      <w:r w:rsidRPr="00C67AD0">
        <w:rPr>
          <w:rFonts w:ascii="Book Antiqua" w:hAnsi="Book Antiqua" w:cs="Times New Roman"/>
          <w:sz w:val="24"/>
          <w:szCs w:val="24"/>
          <w:lang w:val="en-GB"/>
        </w:rPr>
        <w:t>CerAP</w:t>
      </w:r>
      <w:proofErr w:type="spellEnd"/>
      <w:r w:rsidRPr="00C67AD0">
        <w:rPr>
          <w:rFonts w:ascii="Book Antiqua" w:hAnsi="Book Antiqua" w:cs="Times New Roman"/>
          <w:sz w:val="24"/>
          <w:szCs w:val="24"/>
          <w:lang w:val="en-GB"/>
        </w:rPr>
        <w:t xml:space="preserve"> group presented areas of necrosis, infiltrated </w:t>
      </w:r>
      <w:proofErr w:type="spellStart"/>
      <w:r w:rsidRPr="00C67AD0">
        <w:rPr>
          <w:rFonts w:ascii="Book Antiqua" w:hAnsi="Book Antiqua" w:cs="Times New Roman"/>
          <w:sz w:val="24"/>
          <w:szCs w:val="24"/>
          <w:lang w:val="en-GB"/>
        </w:rPr>
        <w:t>polymorphonuclear</w:t>
      </w:r>
      <w:proofErr w:type="spellEnd"/>
      <w:r w:rsidRPr="00C67AD0">
        <w:rPr>
          <w:rFonts w:ascii="Book Antiqua" w:hAnsi="Book Antiqua" w:cs="Times New Roman"/>
          <w:sz w:val="24"/>
          <w:szCs w:val="24"/>
          <w:lang w:val="en-GB"/>
        </w:rPr>
        <w:t xml:space="preserve"> neutrophils, interstitial </w:t>
      </w:r>
      <w:proofErr w:type="spellStart"/>
      <w:r w:rsidRPr="00C67AD0">
        <w:rPr>
          <w:rFonts w:ascii="Book Antiqua" w:hAnsi="Book Antiqua" w:cs="Times New Roman"/>
          <w:sz w:val="24"/>
          <w:szCs w:val="24"/>
          <w:lang w:val="en-GB"/>
        </w:rPr>
        <w:t>edema</w:t>
      </w:r>
      <w:proofErr w:type="spellEnd"/>
      <w:r w:rsidRPr="00C67AD0">
        <w:rPr>
          <w:rFonts w:ascii="Book Antiqua" w:hAnsi="Book Antiqua" w:cs="Times New Roman"/>
          <w:sz w:val="24"/>
          <w:szCs w:val="24"/>
          <w:lang w:val="en-GB"/>
        </w:rPr>
        <w:t xml:space="preserve"> and </w:t>
      </w:r>
      <w:proofErr w:type="spellStart"/>
      <w:r w:rsidRPr="00C67AD0">
        <w:rPr>
          <w:rFonts w:ascii="Book Antiqua" w:hAnsi="Book Antiqua" w:cs="Times New Roman"/>
          <w:sz w:val="24"/>
          <w:szCs w:val="24"/>
          <w:lang w:val="en-GB"/>
        </w:rPr>
        <w:t>vacuolation</w:t>
      </w:r>
      <w:proofErr w:type="spellEnd"/>
      <w:r w:rsidRPr="00C67AD0">
        <w:rPr>
          <w:rFonts w:ascii="Book Antiqua" w:hAnsi="Book Antiqua" w:cs="Times New Roman"/>
          <w:sz w:val="24"/>
          <w:szCs w:val="24"/>
          <w:lang w:val="en-GB"/>
        </w:rPr>
        <w:t xml:space="preserve"> of the acinar cells. Administration of 35-kDa polyethylene glycol notably reduced these features. Scale bar</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100 and 50 </w:t>
      </w:r>
      <w:proofErr w:type="spellStart"/>
      <w:r w:rsidRPr="00C67AD0">
        <w:rPr>
          <w:rFonts w:ascii="Book Antiqua" w:hAnsi="Book Antiqua" w:cs="Times New Roman"/>
          <w:sz w:val="24"/>
          <w:szCs w:val="24"/>
          <w:lang w:val="en-GB"/>
        </w:rPr>
        <w:t>μ</w:t>
      </w:r>
      <w:r w:rsidR="00FC06C7" w:rsidRPr="00C67AD0">
        <w:rPr>
          <w:rFonts w:ascii="Book Antiqua" w:hAnsi="Book Antiqua" w:cs="Times New Roman"/>
          <w:sz w:val="24"/>
          <w:szCs w:val="24"/>
          <w:lang w:val="en-GB"/>
        </w:rPr>
        <w:t>m</w:t>
      </w:r>
      <w:proofErr w:type="spellEnd"/>
      <w:r w:rsidRPr="00C67AD0">
        <w:rPr>
          <w:rFonts w:ascii="Book Antiqua" w:hAnsi="Book Antiqua" w:cs="Times New Roman"/>
          <w:sz w:val="24"/>
          <w:szCs w:val="24"/>
          <w:lang w:val="en-GB"/>
        </w:rPr>
        <w:t xml:space="preserve">. </w:t>
      </w:r>
      <w:proofErr w:type="spellStart"/>
      <w:r w:rsidRPr="00C67AD0">
        <w:rPr>
          <w:rFonts w:ascii="Book Antiqua" w:hAnsi="Book Antiqua" w:cs="Times New Roman"/>
          <w:sz w:val="24"/>
          <w:szCs w:val="24"/>
          <w:lang w:val="en-GB"/>
        </w:rPr>
        <w:t>CerAP</w:t>
      </w:r>
      <w:proofErr w:type="spellEnd"/>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rPr>
        <w:t>erulein</w:t>
      </w:r>
      <w:proofErr w:type="spellEnd"/>
      <w:r w:rsidRPr="00C67AD0">
        <w:rPr>
          <w:rFonts w:ascii="Book Antiqua" w:hAnsi="Book Antiqua" w:cs="Times New Roman"/>
          <w:sz w:val="24"/>
          <w:szCs w:val="24"/>
          <w:lang w:val="en-GB"/>
        </w:rPr>
        <w:t>-induced acute pancreatitis; PEG35</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rPr>
        <w:t xml:space="preserve"> 35-kDa polyethylene glycol. </w:t>
      </w:r>
    </w:p>
    <w:p w14:paraId="56EADF36" w14:textId="77777777" w:rsidR="00CF5C7B" w:rsidRPr="00C67AD0" w:rsidRDefault="00CF5C7B" w:rsidP="00CF5C7B">
      <w:pPr>
        <w:spacing w:after="0" w:line="240" w:lineRule="auto"/>
        <w:rPr>
          <w:rFonts w:ascii="Book Antiqua" w:hAnsi="Book Antiqua" w:cs="Times New Roman"/>
          <w:sz w:val="24"/>
          <w:szCs w:val="24"/>
          <w:lang w:val="en-GB"/>
        </w:rPr>
      </w:pPr>
      <w:r w:rsidRPr="00C67AD0">
        <w:rPr>
          <w:rFonts w:ascii="Book Antiqua" w:hAnsi="Book Antiqua" w:cs="Times New Roman"/>
          <w:sz w:val="24"/>
          <w:szCs w:val="24"/>
          <w:lang w:val="en-GB"/>
        </w:rPr>
        <w:br w:type="page"/>
      </w:r>
    </w:p>
    <w:p w14:paraId="0B81FB6E" w14:textId="1336590C" w:rsidR="00CF5C7B" w:rsidRPr="00C67AD0" w:rsidRDefault="00933F10" w:rsidP="00CF5C7B">
      <w:pPr>
        <w:adjustRightInd w:val="0"/>
        <w:snapToGrid w:val="0"/>
        <w:spacing w:after="0" w:line="360" w:lineRule="auto"/>
        <w:jc w:val="both"/>
        <w:rPr>
          <w:rFonts w:ascii="Book Antiqua" w:hAnsi="Book Antiqua" w:cs="Times New Roman"/>
          <w:sz w:val="24"/>
          <w:szCs w:val="24"/>
          <w:lang w:val="en-GB" w:eastAsia="zh-CN"/>
        </w:rPr>
      </w:pPr>
      <w:r>
        <w:rPr>
          <w:rFonts w:ascii="Book Antiqua" w:hAnsi="Book Antiqua" w:cs="Times New Roman"/>
          <w:noProof/>
          <w:sz w:val="24"/>
          <w:szCs w:val="24"/>
          <w:lang w:eastAsia="zh-CN"/>
        </w:rPr>
        <w:lastRenderedPageBreak/>
        <w:drawing>
          <wp:inline distT="0" distB="0" distL="0" distR="0" wp14:anchorId="21C0EFBA" wp14:editId="37918157">
            <wp:extent cx="5683502" cy="4786685"/>
            <wp:effectExtent l="0" t="0" r="0"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7443" cy="4790004"/>
                    </a:xfrm>
                    <a:prstGeom prst="rect">
                      <a:avLst/>
                    </a:prstGeom>
                    <a:noFill/>
                  </pic:spPr>
                </pic:pic>
              </a:graphicData>
            </a:graphic>
          </wp:inline>
        </w:drawing>
      </w:r>
    </w:p>
    <w:p w14:paraId="14975227" w14:textId="38FA5D50" w:rsidR="00CF5C7B" w:rsidRPr="00C67AD0" w:rsidRDefault="00CF5C7B" w:rsidP="00CF5C7B">
      <w:pPr>
        <w:adjustRightInd w:val="0"/>
        <w:snapToGrid w:val="0"/>
        <w:spacing w:after="0" w:line="360" w:lineRule="auto"/>
        <w:jc w:val="both"/>
        <w:rPr>
          <w:rFonts w:ascii="Book Antiqua" w:hAnsi="Book Antiqua" w:cs="Times New Roman"/>
          <w:sz w:val="24"/>
          <w:szCs w:val="24"/>
          <w:lang w:val="en-GB" w:eastAsia="zh-CN"/>
        </w:rPr>
      </w:pPr>
      <w:r w:rsidRPr="00C67AD0">
        <w:rPr>
          <w:rFonts w:ascii="Book Antiqua" w:hAnsi="Book Antiqua" w:cs="Times New Roman"/>
          <w:b/>
          <w:sz w:val="24"/>
          <w:szCs w:val="24"/>
          <w:lang w:val="en-GB" w:eastAsia="zh-CN"/>
        </w:rPr>
        <w:t xml:space="preserve">Figure 2 Role of PEG35 on the modulation of inflammation-associated cytokines and inducible nitric oxide synthase enzyme expression in </w:t>
      </w:r>
      <w:proofErr w:type="spellStart"/>
      <w:r w:rsidRPr="00C67AD0">
        <w:rPr>
          <w:rFonts w:ascii="Book Antiqua" w:hAnsi="Book Antiqua" w:cs="Times New Roman"/>
          <w:b/>
          <w:sz w:val="24"/>
          <w:szCs w:val="24"/>
          <w:lang w:val="en-GB" w:eastAsia="zh-CN"/>
        </w:rPr>
        <w:t>cerulein</w:t>
      </w:r>
      <w:proofErr w:type="spellEnd"/>
      <w:r w:rsidRPr="00C67AD0">
        <w:rPr>
          <w:rFonts w:ascii="Book Antiqua" w:hAnsi="Book Antiqua" w:cs="Times New Roman"/>
          <w:b/>
          <w:sz w:val="24"/>
          <w:szCs w:val="24"/>
          <w:lang w:val="en-GB" w:eastAsia="zh-CN"/>
        </w:rPr>
        <w:t xml:space="preserve">-induced </w:t>
      </w:r>
      <w:r w:rsidRPr="00C67AD0">
        <w:rPr>
          <w:rFonts w:ascii="Book Antiqua" w:hAnsi="Book Antiqua" w:cs="Times New Roman" w:hint="eastAsia"/>
          <w:b/>
          <w:sz w:val="24"/>
          <w:szCs w:val="24"/>
          <w:lang w:val="en-GB" w:eastAsia="zh-CN"/>
        </w:rPr>
        <w:t>a</w:t>
      </w:r>
      <w:r w:rsidRPr="00C67AD0">
        <w:rPr>
          <w:rFonts w:ascii="Book Antiqua" w:hAnsi="Book Antiqua" w:cs="Times New Roman"/>
          <w:b/>
          <w:sz w:val="24"/>
          <w:szCs w:val="24"/>
          <w:lang w:val="en-GB"/>
        </w:rPr>
        <w:t>cute pancreatitis</w:t>
      </w:r>
      <w:r w:rsidRPr="00C67AD0">
        <w:rPr>
          <w:rFonts w:ascii="Book Antiqua" w:hAnsi="Book Antiqua" w:cs="Times New Roman"/>
          <w:b/>
          <w:sz w:val="24"/>
          <w:szCs w:val="24"/>
          <w:lang w:val="en-GB" w:eastAsia="zh-CN"/>
        </w:rPr>
        <w:t>.</w:t>
      </w:r>
      <w:r w:rsidRPr="00C67AD0">
        <w:rPr>
          <w:rFonts w:ascii="Book Antiqua" w:hAnsi="Book Antiqua" w:cs="Times New Roman"/>
          <w:sz w:val="24"/>
          <w:szCs w:val="24"/>
          <w:lang w:val="en-GB" w:eastAsia="zh-CN"/>
        </w:rPr>
        <w:t xml:space="preserve"> Pancreatic tissue gene expression of </w:t>
      </w:r>
      <w:proofErr w:type="spellStart"/>
      <w:r w:rsidRPr="00C67AD0">
        <w:rPr>
          <w:rFonts w:ascii="Book Antiqua" w:hAnsi="Book Antiqua" w:cs="Times New Roman" w:hint="eastAsia"/>
          <w:sz w:val="24"/>
          <w:szCs w:val="24"/>
          <w:lang w:val="en-GB" w:eastAsia="zh-CN"/>
        </w:rPr>
        <w:t>t</w:t>
      </w:r>
      <w:r w:rsidRPr="00C67AD0">
        <w:rPr>
          <w:rFonts w:ascii="Book Antiqua" w:hAnsi="Book Antiqua" w:cs="Times New Roman"/>
          <w:sz w:val="24"/>
          <w:szCs w:val="24"/>
          <w:lang w:val="en-GB" w:eastAsia="zh-CN"/>
        </w:rPr>
        <w:t>umor</w:t>
      </w:r>
      <w:proofErr w:type="spellEnd"/>
      <w:r w:rsidRPr="00C67AD0">
        <w:rPr>
          <w:rFonts w:ascii="Book Antiqua" w:hAnsi="Book Antiqua" w:cs="Times New Roman"/>
          <w:sz w:val="24"/>
          <w:szCs w:val="24"/>
          <w:lang w:val="en-GB" w:eastAsia="zh-CN"/>
        </w:rPr>
        <w:t xml:space="preserve"> necrosis factor α, interleukin (IL)</w:t>
      </w:r>
      <w:r w:rsidRPr="00C67AD0">
        <w:rPr>
          <w:rFonts w:ascii="Book Antiqua" w:hAnsi="Book Antiqua" w:cs="Times New Roman" w:hint="eastAsia"/>
          <w:sz w:val="24"/>
          <w:szCs w:val="24"/>
          <w:lang w:val="en-GB" w:eastAsia="zh-CN"/>
        </w:rPr>
        <w:t xml:space="preserve"> </w:t>
      </w:r>
      <w:r w:rsidRPr="00C67AD0">
        <w:rPr>
          <w:rFonts w:ascii="Book Antiqua" w:hAnsi="Book Antiqua" w:cs="Times New Roman"/>
          <w:sz w:val="24"/>
          <w:szCs w:val="24"/>
          <w:lang w:val="en-GB" w:eastAsia="zh-CN"/>
        </w:rPr>
        <w:t xml:space="preserve">1β, IL6, inducible nitric oxide synthase and IL10 by real-time </w:t>
      </w:r>
      <w:proofErr w:type="spellStart"/>
      <w:r w:rsidRPr="00C67AD0">
        <w:rPr>
          <w:rFonts w:ascii="Book Antiqua" w:hAnsi="Book Antiqua" w:cs="Times New Roman"/>
          <w:sz w:val="24"/>
          <w:szCs w:val="24"/>
          <w:lang w:val="en-GB" w:eastAsia="zh-CN"/>
        </w:rPr>
        <w:t>qRT</w:t>
      </w:r>
      <w:proofErr w:type="spellEnd"/>
      <w:r w:rsidRPr="00C67AD0">
        <w:rPr>
          <w:rFonts w:ascii="Book Antiqua" w:hAnsi="Book Antiqua" w:cs="Times New Roman"/>
          <w:sz w:val="24"/>
          <w:szCs w:val="24"/>
          <w:lang w:val="en-GB" w:eastAsia="zh-CN"/>
        </w:rPr>
        <w:t xml:space="preserve">-PCR. Bars represent mean values of each group ± SEM. </w:t>
      </w:r>
      <w:r w:rsidRPr="00C67AD0">
        <w:rPr>
          <w:rFonts w:ascii="Book Antiqua" w:hAnsi="Book Antiqua" w:cs="Times New Roman"/>
          <w:sz w:val="24"/>
          <w:szCs w:val="24"/>
          <w:vertAlign w:val="superscript"/>
          <w:lang w:val="en-GB" w:eastAsia="zh-CN"/>
        </w:rPr>
        <w:t>a</w:t>
      </w:r>
      <w:r w:rsidRPr="00C67AD0">
        <w:rPr>
          <w:rFonts w:ascii="Cambria Math" w:hAnsi="Cambria Math" w:cs="Cambria Math"/>
          <w:sz w:val="24"/>
          <w:szCs w:val="24"/>
          <w:lang w:val="en-GB" w:eastAsia="zh-CN"/>
        </w:rPr>
        <w:t>𝑃</w:t>
      </w:r>
      <w:r w:rsidRPr="00C67AD0">
        <w:rPr>
          <w:rFonts w:ascii="Book Antiqua" w:hAnsi="Book Antiqua" w:cs="Times New Roman"/>
          <w:sz w:val="24"/>
          <w:szCs w:val="24"/>
          <w:lang w:val="en-GB" w:eastAsia="zh-CN"/>
        </w:rPr>
        <w:t xml:space="preserve"> &lt; 0.05 </w:t>
      </w:r>
      <w:r w:rsidRPr="00C67AD0">
        <w:rPr>
          <w:rFonts w:ascii="Book Antiqua" w:hAnsi="Book Antiqua" w:cs="Times New Roman"/>
          <w:i/>
          <w:sz w:val="24"/>
          <w:szCs w:val="24"/>
          <w:lang w:val="en-GB" w:eastAsia="zh-CN"/>
        </w:rPr>
        <w:t>vs</w:t>
      </w:r>
      <w:r w:rsidRPr="00C67AD0">
        <w:rPr>
          <w:rFonts w:ascii="Book Antiqua" w:hAnsi="Book Antiqua" w:cs="Times New Roman"/>
          <w:sz w:val="24"/>
          <w:szCs w:val="24"/>
          <w:lang w:val="en-GB" w:eastAsia="zh-CN"/>
        </w:rPr>
        <w:t xml:space="preserve"> control, </w:t>
      </w:r>
      <w:r w:rsidR="00933F10">
        <w:rPr>
          <w:rFonts w:ascii="Book Antiqua" w:hAnsi="Book Antiqua" w:cs="Times New Roman"/>
          <w:sz w:val="24"/>
          <w:szCs w:val="24"/>
          <w:vertAlign w:val="superscript"/>
          <w:lang w:val="en-GB" w:eastAsia="zh-CN"/>
        </w:rPr>
        <w:t>c</w:t>
      </w:r>
      <w:r w:rsidRPr="00C67AD0">
        <w:rPr>
          <w:rFonts w:ascii="Cambria Math" w:hAnsi="Cambria Math" w:cs="Cambria Math"/>
          <w:sz w:val="24"/>
          <w:szCs w:val="24"/>
          <w:lang w:val="en-GB" w:eastAsia="zh-CN"/>
        </w:rPr>
        <w:t>𝑃</w:t>
      </w:r>
      <w:r w:rsidRPr="00C67AD0">
        <w:rPr>
          <w:rFonts w:ascii="Book Antiqua" w:hAnsi="Book Antiqua" w:cs="Times New Roman"/>
          <w:sz w:val="24"/>
          <w:szCs w:val="24"/>
          <w:lang w:val="en-GB" w:eastAsia="zh-CN"/>
        </w:rPr>
        <w:t xml:space="preserve"> &lt; 0.05 </w:t>
      </w:r>
      <w:r w:rsidRPr="00C67AD0">
        <w:rPr>
          <w:rFonts w:ascii="Book Antiqua" w:hAnsi="Book Antiqua" w:cs="Times New Roman"/>
          <w:i/>
          <w:sz w:val="24"/>
          <w:szCs w:val="24"/>
          <w:lang w:val="en-GB" w:eastAsia="zh-CN"/>
        </w:rPr>
        <w:t>vs</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eastAsia="zh-CN"/>
        </w:rPr>
        <w:t>erulein</w:t>
      </w:r>
      <w:proofErr w:type="spellEnd"/>
      <w:r w:rsidRPr="00C67AD0">
        <w:rPr>
          <w:rFonts w:ascii="Book Antiqua" w:hAnsi="Book Antiqua" w:cs="Times New Roman"/>
          <w:sz w:val="24"/>
          <w:szCs w:val="24"/>
          <w:lang w:val="en-GB" w:eastAsia="zh-CN"/>
        </w:rPr>
        <w:t xml:space="preserve">-induced acute pancreatitis. Each determination was carried out in triplicate. </w:t>
      </w:r>
      <w:proofErr w:type="spellStart"/>
      <w:r w:rsidRPr="00C67AD0">
        <w:rPr>
          <w:rFonts w:ascii="Book Antiqua" w:hAnsi="Book Antiqua" w:cs="Times New Roman"/>
          <w:sz w:val="24"/>
          <w:szCs w:val="24"/>
          <w:lang w:val="en-GB" w:eastAsia="zh-CN"/>
        </w:rPr>
        <w:t>CerAP</w:t>
      </w:r>
      <w:proofErr w:type="spellEnd"/>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eastAsia="zh-CN"/>
        </w:rPr>
        <w:t>erulein</w:t>
      </w:r>
      <w:proofErr w:type="spellEnd"/>
      <w:r w:rsidRPr="00C67AD0">
        <w:rPr>
          <w:rFonts w:ascii="Book Antiqua" w:hAnsi="Book Antiqua" w:cs="Times New Roman"/>
          <w:sz w:val="24"/>
          <w:szCs w:val="24"/>
          <w:lang w:val="en-GB" w:eastAsia="zh-CN"/>
        </w:rPr>
        <w:t>-induced acute pancreatitis; PEG35</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35-kDa polyethylene glycol.</w:t>
      </w:r>
    </w:p>
    <w:p w14:paraId="0C375593" w14:textId="77777777" w:rsidR="00CF5C7B" w:rsidRPr="00C67AD0" w:rsidRDefault="00CF5C7B" w:rsidP="00CF5C7B">
      <w:pPr>
        <w:spacing w:after="0" w:line="240" w:lineRule="auto"/>
        <w:rPr>
          <w:rFonts w:ascii="Book Antiqua" w:hAnsi="Book Antiqua" w:cs="Times New Roman"/>
          <w:sz w:val="24"/>
          <w:szCs w:val="24"/>
          <w:lang w:val="en-GB" w:eastAsia="zh-CN"/>
        </w:rPr>
      </w:pPr>
      <w:r w:rsidRPr="00C67AD0">
        <w:rPr>
          <w:rFonts w:ascii="Book Antiqua" w:hAnsi="Book Antiqua" w:cs="Times New Roman"/>
          <w:sz w:val="24"/>
          <w:szCs w:val="24"/>
          <w:lang w:val="en-GB" w:eastAsia="zh-CN"/>
        </w:rPr>
        <w:br w:type="page"/>
      </w:r>
    </w:p>
    <w:p w14:paraId="41DA8CBE" w14:textId="6BA2BDC7" w:rsidR="00CF5C7B" w:rsidRPr="00C67AD0" w:rsidRDefault="00A3072F" w:rsidP="00CF5C7B">
      <w:pPr>
        <w:adjustRightInd w:val="0"/>
        <w:snapToGrid w:val="0"/>
        <w:spacing w:after="0" w:line="360" w:lineRule="auto"/>
        <w:jc w:val="both"/>
        <w:rPr>
          <w:rFonts w:ascii="Book Antiqua" w:hAnsi="Book Antiqua" w:cs="Times New Roman"/>
          <w:sz w:val="24"/>
          <w:szCs w:val="24"/>
          <w:lang w:val="en-GB" w:eastAsia="zh-CN"/>
        </w:rPr>
      </w:pPr>
      <w:r>
        <w:rPr>
          <w:noProof/>
          <w:lang w:eastAsia="zh-CN"/>
        </w:rPr>
        <w:lastRenderedPageBreak/>
        <w:drawing>
          <wp:inline distT="0" distB="0" distL="0" distR="0" wp14:anchorId="5D577AF9" wp14:editId="683AE2E3">
            <wp:extent cx="5760720" cy="53441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5344160"/>
                    </a:xfrm>
                    <a:prstGeom prst="rect">
                      <a:avLst/>
                    </a:prstGeom>
                  </pic:spPr>
                </pic:pic>
              </a:graphicData>
            </a:graphic>
          </wp:inline>
        </w:drawing>
      </w:r>
    </w:p>
    <w:p w14:paraId="78563288" w14:textId="30E37C30" w:rsidR="00CF5C7B" w:rsidRPr="00C67AD0" w:rsidRDefault="00CF5C7B" w:rsidP="00CF5C7B">
      <w:pPr>
        <w:adjustRightInd w:val="0"/>
        <w:snapToGrid w:val="0"/>
        <w:spacing w:after="0" w:line="360" w:lineRule="auto"/>
        <w:jc w:val="both"/>
        <w:rPr>
          <w:rFonts w:ascii="Book Antiqua" w:hAnsi="Book Antiqua" w:cs="Times New Roman"/>
          <w:sz w:val="24"/>
          <w:szCs w:val="24"/>
          <w:lang w:val="en-GB" w:eastAsia="zh-CN"/>
        </w:rPr>
      </w:pPr>
      <w:r w:rsidRPr="00C67AD0">
        <w:rPr>
          <w:rFonts w:ascii="Book Antiqua" w:hAnsi="Book Antiqua" w:cs="Times New Roman"/>
          <w:b/>
          <w:sz w:val="24"/>
          <w:szCs w:val="24"/>
          <w:lang w:val="en-GB" w:eastAsia="zh-CN"/>
        </w:rPr>
        <w:t>Figure 3 Gene expressions of inflammatory markers in AR42J-treated cells.</w:t>
      </w:r>
      <w:r w:rsidRPr="00C67AD0">
        <w:rPr>
          <w:rFonts w:ascii="Book Antiqua" w:hAnsi="Book Antiqua" w:cs="Times New Roman"/>
          <w:sz w:val="24"/>
          <w:szCs w:val="24"/>
          <w:lang w:val="en-GB" w:eastAsia="zh-CN"/>
        </w:rPr>
        <w:t xml:space="preserve"> A: Gene expression by real-time </w:t>
      </w:r>
      <w:proofErr w:type="spellStart"/>
      <w:r w:rsidRPr="00C67AD0">
        <w:rPr>
          <w:rFonts w:ascii="Book Antiqua" w:hAnsi="Book Antiqua" w:cs="Times New Roman"/>
          <w:sz w:val="24"/>
          <w:szCs w:val="24"/>
          <w:lang w:val="en-GB" w:eastAsia="zh-CN"/>
        </w:rPr>
        <w:t>qRT</w:t>
      </w:r>
      <w:proofErr w:type="spellEnd"/>
      <w:r w:rsidRPr="00C67AD0">
        <w:rPr>
          <w:rFonts w:ascii="Book Antiqua" w:hAnsi="Book Antiqua" w:cs="Times New Roman"/>
          <w:sz w:val="24"/>
          <w:szCs w:val="24"/>
          <w:lang w:val="en-GB" w:eastAsia="zh-CN"/>
        </w:rPr>
        <w:t xml:space="preserve">-PCR of </w:t>
      </w:r>
      <w:proofErr w:type="spellStart"/>
      <w:r w:rsidRPr="00C67AD0">
        <w:rPr>
          <w:rFonts w:ascii="Book Antiqua" w:hAnsi="Book Antiqua" w:cs="Times New Roman" w:hint="eastAsia"/>
          <w:sz w:val="24"/>
          <w:szCs w:val="24"/>
          <w:lang w:val="en-GB" w:eastAsia="zh-CN"/>
        </w:rPr>
        <w:t>t</w:t>
      </w:r>
      <w:r w:rsidRPr="00C67AD0">
        <w:rPr>
          <w:rFonts w:ascii="Book Antiqua" w:hAnsi="Book Antiqua" w:cs="Times New Roman"/>
          <w:sz w:val="24"/>
          <w:szCs w:val="24"/>
          <w:lang w:val="en-GB" w:eastAsia="zh-CN"/>
        </w:rPr>
        <w:t>umor</w:t>
      </w:r>
      <w:proofErr w:type="spellEnd"/>
      <w:r w:rsidRPr="00C67AD0">
        <w:rPr>
          <w:rFonts w:ascii="Book Antiqua" w:hAnsi="Book Antiqua" w:cs="Times New Roman"/>
          <w:sz w:val="24"/>
          <w:szCs w:val="24"/>
          <w:lang w:val="en-GB" w:eastAsia="zh-CN"/>
        </w:rPr>
        <w:t xml:space="preserve"> necrosis factor α</w:t>
      </w:r>
      <w:r w:rsidRPr="00C67AD0">
        <w:rPr>
          <w:rFonts w:ascii="Book Antiqua" w:hAnsi="Book Antiqua" w:cs="Times New Roman" w:hint="eastAsia"/>
          <w:sz w:val="24"/>
          <w:szCs w:val="24"/>
          <w:lang w:val="en-GB" w:eastAsia="zh-CN"/>
        </w:rPr>
        <w:t xml:space="preserve"> (</w:t>
      </w:r>
      <w:r w:rsidRPr="00C67AD0">
        <w:rPr>
          <w:rFonts w:ascii="Book Antiqua" w:hAnsi="Book Antiqua" w:cs="Times New Roman"/>
          <w:sz w:val="24"/>
          <w:szCs w:val="24"/>
          <w:lang w:val="en-GB" w:eastAsia="zh-CN"/>
        </w:rPr>
        <w:t>TNFα</w:t>
      </w:r>
      <w:r w:rsidRPr="00C67AD0">
        <w:rPr>
          <w:rFonts w:ascii="Book Antiqua" w:hAnsi="Book Antiqua" w:cs="Times New Roman" w:hint="eastAsia"/>
          <w:sz w:val="24"/>
          <w:szCs w:val="24"/>
          <w:lang w:val="en-GB" w:eastAsia="zh-CN"/>
        </w:rPr>
        <w:t xml:space="preserve">) </w:t>
      </w:r>
      <w:r w:rsidRPr="00C67AD0">
        <w:rPr>
          <w:rFonts w:ascii="Book Antiqua" w:hAnsi="Book Antiqua" w:cs="Times New Roman"/>
          <w:sz w:val="24"/>
          <w:szCs w:val="24"/>
          <w:lang w:val="en-GB" w:eastAsia="zh-CN"/>
        </w:rPr>
        <w:t xml:space="preserve">and IL1β in </w:t>
      </w:r>
      <w:proofErr w:type="spellStart"/>
      <w:r w:rsidRPr="00C67AD0">
        <w:rPr>
          <w:rFonts w:ascii="Book Antiqua" w:hAnsi="Book Antiqua" w:cs="Times New Roman"/>
          <w:sz w:val="24"/>
          <w:szCs w:val="24"/>
          <w:lang w:val="en-GB" w:eastAsia="zh-CN"/>
        </w:rPr>
        <w:t>cerulein</w:t>
      </w:r>
      <w:proofErr w:type="spellEnd"/>
      <w:r w:rsidRPr="00C67AD0">
        <w:rPr>
          <w:rFonts w:ascii="Book Antiqua" w:hAnsi="Book Antiqua" w:cs="Times New Roman"/>
          <w:sz w:val="24"/>
          <w:szCs w:val="24"/>
          <w:lang w:val="en-GB" w:eastAsia="zh-CN"/>
        </w:rPr>
        <w:t xml:space="preserve">-treated AR42J cells subjected to increasing concentrations of 35-kDa polyethylene glycol </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PEG35</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B: Gene expression by real-time </w:t>
      </w:r>
      <w:proofErr w:type="spellStart"/>
      <w:r w:rsidRPr="00C67AD0">
        <w:rPr>
          <w:rFonts w:ascii="Book Antiqua" w:hAnsi="Book Antiqua" w:cs="Times New Roman"/>
          <w:sz w:val="24"/>
          <w:szCs w:val="24"/>
          <w:lang w:val="en-GB" w:eastAsia="zh-CN"/>
        </w:rPr>
        <w:t>qRT</w:t>
      </w:r>
      <w:proofErr w:type="spellEnd"/>
      <w:r w:rsidRPr="00C67AD0">
        <w:rPr>
          <w:rFonts w:ascii="Book Antiqua" w:hAnsi="Book Antiqua" w:cs="Times New Roman"/>
          <w:sz w:val="24"/>
          <w:szCs w:val="24"/>
          <w:lang w:val="en-GB" w:eastAsia="zh-CN"/>
        </w:rPr>
        <w:t>-PCR of TNFα and inducible nitric oxide synthase in TNFα-treated AR42J cells subjected to increasing concentrations of PEG35. In both cases, mRNA induction levels were normalized to GAPDH mRNA expression. Bars represent mean values of each group ± SEM.</w:t>
      </w:r>
      <w:r w:rsidRPr="00C67AD0">
        <w:rPr>
          <w:rFonts w:ascii="Book Antiqua" w:hAnsi="Book Antiqua" w:cs="Times New Roman"/>
          <w:sz w:val="24"/>
          <w:szCs w:val="24"/>
          <w:vertAlign w:val="superscript"/>
          <w:lang w:val="en-GB" w:eastAsia="zh-CN"/>
        </w:rPr>
        <w:t xml:space="preserve"> a</w:t>
      </w:r>
      <w:r w:rsidRPr="00C67AD0">
        <w:rPr>
          <w:rFonts w:ascii="Cambria Math" w:hAnsi="Cambria Math" w:cs="Cambria Math"/>
          <w:sz w:val="24"/>
          <w:szCs w:val="24"/>
          <w:lang w:val="en-GB" w:eastAsia="zh-CN"/>
        </w:rPr>
        <w:t>𝑃</w:t>
      </w:r>
      <w:r w:rsidRPr="00C67AD0">
        <w:rPr>
          <w:rFonts w:ascii="Book Antiqua" w:hAnsi="Book Antiqua" w:cs="Times New Roman"/>
          <w:sz w:val="24"/>
          <w:szCs w:val="24"/>
          <w:lang w:val="en-GB" w:eastAsia="zh-CN"/>
        </w:rPr>
        <w:t xml:space="preserve"> &lt; 0.05 </w:t>
      </w:r>
      <w:r w:rsidRPr="00C67AD0">
        <w:rPr>
          <w:rFonts w:ascii="Book Antiqua" w:hAnsi="Book Antiqua" w:cs="Times New Roman"/>
          <w:i/>
          <w:sz w:val="24"/>
          <w:szCs w:val="24"/>
          <w:lang w:val="en-GB" w:eastAsia="zh-CN"/>
        </w:rPr>
        <w:t>vs</w:t>
      </w:r>
      <w:r w:rsidRPr="00C67AD0">
        <w:rPr>
          <w:rFonts w:ascii="Book Antiqua" w:hAnsi="Book Antiqua" w:cs="Times New Roman"/>
          <w:sz w:val="24"/>
          <w:szCs w:val="24"/>
          <w:lang w:val="en-GB" w:eastAsia="zh-CN"/>
        </w:rPr>
        <w:t xml:space="preserve"> control, </w:t>
      </w:r>
      <w:r w:rsidR="00633977">
        <w:rPr>
          <w:rFonts w:ascii="Book Antiqua" w:hAnsi="Book Antiqua" w:cs="Times New Roman"/>
          <w:sz w:val="24"/>
          <w:szCs w:val="24"/>
          <w:vertAlign w:val="superscript"/>
          <w:lang w:val="en-GB" w:eastAsia="zh-CN"/>
        </w:rPr>
        <w:t>c</w:t>
      </w:r>
      <w:r w:rsidRPr="00C67AD0">
        <w:rPr>
          <w:rFonts w:ascii="Cambria Math" w:hAnsi="Cambria Math" w:cs="Cambria Math"/>
          <w:sz w:val="24"/>
          <w:szCs w:val="24"/>
          <w:lang w:val="en-GB" w:eastAsia="zh-CN"/>
        </w:rPr>
        <w:t>𝑃</w:t>
      </w:r>
      <w:r w:rsidRPr="00C67AD0">
        <w:rPr>
          <w:rFonts w:ascii="Book Antiqua" w:hAnsi="Book Antiqua" w:cs="Times New Roman"/>
          <w:sz w:val="24"/>
          <w:szCs w:val="24"/>
          <w:lang w:val="en-GB" w:eastAsia="zh-CN"/>
        </w:rPr>
        <w:t xml:space="preserve"> &lt; 0.05 </w:t>
      </w:r>
      <w:r w:rsidRPr="00C67AD0">
        <w:rPr>
          <w:rFonts w:ascii="Book Antiqua" w:hAnsi="Book Antiqua" w:cs="Times New Roman"/>
          <w:i/>
          <w:sz w:val="24"/>
          <w:szCs w:val="24"/>
          <w:lang w:val="en-GB" w:eastAsia="zh-CN"/>
        </w:rPr>
        <w:t>vs</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eastAsia="zh-CN"/>
        </w:rPr>
        <w:t>erulein</w:t>
      </w:r>
      <w:proofErr w:type="spellEnd"/>
      <w:r w:rsidRPr="00C67AD0">
        <w:rPr>
          <w:rFonts w:ascii="Book Antiqua" w:hAnsi="Book Antiqua" w:cs="Times New Roman"/>
          <w:sz w:val="24"/>
          <w:szCs w:val="24"/>
          <w:lang w:val="en-GB" w:eastAsia="zh-CN"/>
        </w:rPr>
        <w:t xml:space="preserve"> or TNFα. Each determination was carried out in triplicate. </w:t>
      </w:r>
      <w:proofErr w:type="spellStart"/>
      <w:r w:rsidRPr="00C67AD0">
        <w:rPr>
          <w:rFonts w:ascii="Book Antiqua" w:hAnsi="Book Antiqua" w:cs="Times New Roman"/>
          <w:sz w:val="24"/>
          <w:szCs w:val="24"/>
          <w:lang w:val="en-GB" w:eastAsia="zh-CN"/>
        </w:rPr>
        <w:t>Cer</w:t>
      </w:r>
      <w:proofErr w:type="spellEnd"/>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eastAsia="zh-CN"/>
        </w:rPr>
        <w:t>erulein</w:t>
      </w:r>
      <w:proofErr w:type="spellEnd"/>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PEG35</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35-kDa polyethylene glycol</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TNFα</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T</w:t>
      </w:r>
      <w:r w:rsidRPr="00C67AD0">
        <w:rPr>
          <w:rFonts w:ascii="Book Antiqua" w:hAnsi="Book Antiqua" w:cs="Times New Roman"/>
          <w:sz w:val="24"/>
          <w:szCs w:val="24"/>
          <w:lang w:val="en-GB" w:eastAsia="zh-CN"/>
        </w:rPr>
        <w:t>umor</w:t>
      </w:r>
      <w:proofErr w:type="spellEnd"/>
      <w:r w:rsidRPr="00C67AD0">
        <w:rPr>
          <w:rFonts w:ascii="Book Antiqua" w:hAnsi="Book Antiqua" w:cs="Times New Roman"/>
          <w:sz w:val="24"/>
          <w:szCs w:val="24"/>
          <w:lang w:val="en-GB" w:eastAsia="zh-CN"/>
        </w:rPr>
        <w:t xml:space="preserve"> necrosis factor α.</w:t>
      </w:r>
    </w:p>
    <w:p w14:paraId="1DDD7F9F" w14:textId="77777777" w:rsidR="00CF5C7B" w:rsidRPr="00C67AD0" w:rsidRDefault="00CF5C7B" w:rsidP="00CF5C7B">
      <w:pPr>
        <w:rPr>
          <w:rFonts w:ascii="Book Antiqua" w:hAnsi="Book Antiqua" w:cs="Times New Roman"/>
          <w:sz w:val="24"/>
          <w:szCs w:val="24"/>
          <w:lang w:val="en-GB" w:eastAsia="zh-CN"/>
        </w:rPr>
      </w:pPr>
    </w:p>
    <w:p w14:paraId="5575C61C" w14:textId="4C7169F4" w:rsidR="00CF5C7B" w:rsidRPr="00C67AD0" w:rsidRDefault="007930D4" w:rsidP="00CF5C7B">
      <w:pPr>
        <w:adjustRightInd w:val="0"/>
        <w:snapToGrid w:val="0"/>
        <w:spacing w:after="0" w:line="360" w:lineRule="auto"/>
        <w:jc w:val="both"/>
        <w:rPr>
          <w:rFonts w:ascii="Book Antiqua" w:hAnsi="Book Antiqua" w:cs="Times New Roman"/>
          <w:sz w:val="24"/>
          <w:szCs w:val="24"/>
          <w:lang w:val="en-GB" w:eastAsia="zh-CN"/>
        </w:rPr>
      </w:pPr>
      <w:r>
        <w:rPr>
          <w:rFonts w:ascii="Book Antiqua" w:hAnsi="Book Antiqua" w:cs="Times New Roman"/>
          <w:noProof/>
          <w:sz w:val="24"/>
          <w:szCs w:val="24"/>
          <w:lang w:eastAsia="zh-CN"/>
        </w:rPr>
        <w:lastRenderedPageBreak/>
        <w:drawing>
          <wp:inline distT="0" distB="0" distL="0" distR="0" wp14:anchorId="281DDC6F" wp14:editId="076BBC5D">
            <wp:extent cx="5693566" cy="6957391"/>
            <wp:effectExtent l="0" t="0" r="0" b="0"/>
            <wp:docPr id="419" name="图片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9363" cy="6964475"/>
                    </a:xfrm>
                    <a:prstGeom prst="rect">
                      <a:avLst/>
                    </a:prstGeom>
                    <a:noFill/>
                  </pic:spPr>
                </pic:pic>
              </a:graphicData>
            </a:graphic>
          </wp:inline>
        </w:drawing>
      </w:r>
    </w:p>
    <w:p w14:paraId="223E07BA" w14:textId="4BB36409" w:rsidR="00CF5C7B" w:rsidRPr="00C67AD0" w:rsidRDefault="00CF5C7B" w:rsidP="00CF5C7B">
      <w:pPr>
        <w:adjustRightInd w:val="0"/>
        <w:snapToGrid w:val="0"/>
        <w:spacing w:after="0" w:line="360" w:lineRule="auto"/>
        <w:jc w:val="both"/>
        <w:rPr>
          <w:rFonts w:ascii="Book Antiqua" w:hAnsi="Book Antiqua" w:cs="Times New Roman"/>
          <w:sz w:val="24"/>
          <w:szCs w:val="24"/>
          <w:lang w:val="en-GB" w:eastAsia="zh-CN"/>
        </w:rPr>
      </w:pPr>
      <w:r w:rsidRPr="00C67AD0">
        <w:rPr>
          <w:rFonts w:ascii="Book Antiqua" w:hAnsi="Book Antiqua" w:cs="Times New Roman"/>
          <w:b/>
          <w:sz w:val="24"/>
          <w:szCs w:val="24"/>
          <w:lang w:val="en-GB" w:eastAsia="zh-CN"/>
        </w:rPr>
        <w:t xml:space="preserve">Figure 4 Effect of 35-kDa polyethylene glycol on inflammation-induced cell death in </w:t>
      </w:r>
      <w:proofErr w:type="spellStart"/>
      <w:r w:rsidRPr="00C67AD0">
        <w:rPr>
          <w:rFonts w:ascii="Book Antiqua" w:hAnsi="Book Antiqua" w:cs="Times New Roman"/>
          <w:b/>
          <w:sz w:val="24"/>
          <w:szCs w:val="24"/>
          <w:lang w:val="en-GB" w:eastAsia="zh-CN"/>
        </w:rPr>
        <w:t>cerulein</w:t>
      </w:r>
      <w:proofErr w:type="spellEnd"/>
      <w:r w:rsidRPr="00C67AD0">
        <w:rPr>
          <w:rFonts w:ascii="Book Antiqua" w:hAnsi="Book Antiqua" w:cs="Times New Roman"/>
          <w:b/>
          <w:sz w:val="24"/>
          <w:szCs w:val="24"/>
          <w:lang w:val="en-GB" w:eastAsia="zh-CN"/>
        </w:rPr>
        <w:t xml:space="preserve">-induced </w:t>
      </w:r>
      <w:r w:rsidRPr="00C67AD0">
        <w:rPr>
          <w:rFonts w:ascii="Book Antiqua" w:hAnsi="Book Antiqua" w:cs="Times New Roman" w:hint="eastAsia"/>
          <w:b/>
          <w:sz w:val="24"/>
          <w:szCs w:val="24"/>
          <w:lang w:val="en-GB" w:eastAsia="zh-CN"/>
        </w:rPr>
        <w:t>a</w:t>
      </w:r>
      <w:r w:rsidRPr="00C67AD0">
        <w:rPr>
          <w:rFonts w:ascii="Book Antiqua" w:hAnsi="Book Antiqua" w:cs="Times New Roman"/>
          <w:b/>
          <w:sz w:val="24"/>
          <w:szCs w:val="24"/>
          <w:lang w:val="en-GB"/>
        </w:rPr>
        <w:t>cute pancreatitis</w:t>
      </w:r>
      <w:r w:rsidRPr="00C67AD0">
        <w:rPr>
          <w:rFonts w:ascii="Book Antiqua" w:hAnsi="Book Antiqua" w:cs="Times New Roman"/>
          <w:b/>
          <w:sz w:val="24"/>
          <w:szCs w:val="24"/>
          <w:lang w:val="en-GB" w:eastAsia="zh-CN"/>
        </w:rPr>
        <w:t xml:space="preserve"> and cultured pancreatic acinar AR42J cells.</w:t>
      </w:r>
      <w:r w:rsidRPr="00C67AD0">
        <w:rPr>
          <w:rFonts w:ascii="Book Antiqua" w:hAnsi="Book Antiqua" w:cs="Times New Roman"/>
          <w:sz w:val="24"/>
          <w:szCs w:val="24"/>
          <w:lang w:val="en-GB" w:eastAsia="zh-CN"/>
        </w:rPr>
        <w:t xml:space="preserve"> A: Plasma </w:t>
      </w:r>
      <w:r w:rsidRPr="00C67AD0">
        <w:rPr>
          <w:rFonts w:ascii="Book Antiqua" w:hAnsi="Book Antiqua" w:cs="Times New Roman" w:hint="eastAsia"/>
          <w:sz w:val="24"/>
          <w:szCs w:val="24"/>
          <w:lang w:val="en-GB" w:eastAsia="zh-CN"/>
        </w:rPr>
        <w:t>l</w:t>
      </w:r>
      <w:r w:rsidRPr="00C67AD0">
        <w:rPr>
          <w:rFonts w:ascii="Book Antiqua" w:hAnsi="Book Antiqua" w:cs="Times New Roman"/>
          <w:sz w:val="24"/>
          <w:szCs w:val="24"/>
          <w:lang w:val="en-GB" w:eastAsia="zh-CN"/>
        </w:rPr>
        <w:t xml:space="preserve">actate dehydrogenase </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LDH</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activity after </w:t>
      </w:r>
      <w:proofErr w:type="spellStart"/>
      <w:r w:rsidRPr="00C67AD0">
        <w:rPr>
          <w:rFonts w:ascii="Book Antiqua" w:hAnsi="Book Antiqua" w:cs="Times New Roman"/>
          <w:sz w:val="24"/>
          <w:szCs w:val="24"/>
          <w:lang w:val="en-GB" w:eastAsia="zh-CN"/>
        </w:rPr>
        <w:t>cerulein</w:t>
      </w:r>
      <w:proofErr w:type="spellEnd"/>
      <w:r w:rsidRPr="00C67AD0">
        <w:rPr>
          <w:rFonts w:ascii="Book Antiqua" w:hAnsi="Book Antiqua" w:cs="Times New Roman"/>
          <w:sz w:val="24"/>
          <w:szCs w:val="24"/>
          <w:lang w:val="en-GB" w:eastAsia="zh-CN"/>
        </w:rPr>
        <w:t xml:space="preserve">-induced acute pancreatitis expressed as </w:t>
      </w:r>
      <w:proofErr w:type="spellStart"/>
      <w:r w:rsidRPr="00C67AD0">
        <w:rPr>
          <w:rFonts w:ascii="Book Antiqua" w:hAnsi="Book Antiqua" w:cs="Times New Roman"/>
          <w:sz w:val="24"/>
          <w:szCs w:val="24"/>
          <w:lang w:val="en-GB" w:eastAsia="zh-CN"/>
        </w:rPr>
        <w:t>mU</w:t>
      </w:r>
      <w:proofErr w:type="spellEnd"/>
      <w:r w:rsidRPr="00C67AD0">
        <w:rPr>
          <w:rFonts w:ascii="Book Antiqua" w:hAnsi="Book Antiqua" w:cs="Times New Roman"/>
          <w:sz w:val="24"/>
          <w:szCs w:val="24"/>
          <w:lang w:val="en-GB" w:eastAsia="zh-CN"/>
        </w:rPr>
        <w:t xml:space="preserve">/mL; B: Pancreatic protein expression of cleaved caspase-3 and BCL-2 assessed by western blot analysis. β-actin expression was used as loading control. Data shown are representative blots for each group; C: </w:t>
      </w:r>
      <w:r w:rsidRPr="00C67AD0">
        <w:rPr>
          <w:rFonts w:ascii="Book Antiqua" w:hAnsi="Book Antiqua" w:cs="Times New Roman"/>
          <w:sz w:val="24"/>
          <w:szCs w:val="24"/>
          <w:lang w:val="en-GB" w:eastAsia="zh-CN"/>
        </w:rPr>
        <w:lastRenderedPageBreak/>
        <w:t>Densitometry quantification of western blot for cleaved caspase-3 and BCL-2 in pancreatic tissue; D: Cell death rate measured through LDH activity. AR42J cells pre-treated with increasing concentrations of PEG35 (0.5</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1</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2</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4</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or 6%) for 30 min and then co-incubated with 10nM </w:t>
      </w:r>
      <w:proofErr w:type="spellStart"/>
      <w:r w:rsidRPr="00C67AD0">
        <w:rPr>
          <w:rFonts w:ascii="Book Antiqua" w:hAnsi="Book Antiqua" w:cs="Times New Roman"/>
          <w:sz w:val="24"/>
          <w:szCs w:val="24"/>
          <w:lang w:val="en-GB" w:eastAsia="zh-CN"/>
        </w:rPr>
        <w:t>cerulein</w:t>
      </w:r>
      <w:proofErr w:type="spellEnd"/>
      <w:r w:rsidRPr="00C67AD0">
        <w:rPr>
          <w:rFonts w:ascii="Book Antiqua" w:hAnsi="Book Antiqua" w:cs="Times New Roman"/>
          <w:sz w:val="24"/>
          <w:szCs w:val="24"/>
          <w:lang w:val="en-GB" w:eastAsia="zh-CN"/>
        </w:rPr>
        <w:t xml:space="preserve"> for another 24 h or 100 ng/mL of </w:t>
      </w:r>
      <w:proofErr w:type="spellStart"/>
      <w:r w:rsidRPr="00C67AD0">
        <w:rPr>
          <w:rFonts w:ascii="Book Antiqua" w:hAnsi="Book Antiqua" w:cs="Times New Roman" w:hint="eastAsia"/>
          <w:sz w:val="24"/>
          <w:szCs w:val="24"/>
          <w:lang w:val="en-GB" w:eastAsia="zh-CN"/>
        </w:rPr>
        <w:t>t</w:t>
      </w:r>
      <w:r w:rsidRPr="00C67AD0">
        <w:rPr>
          <w:rFonts w:ascii="Book Antiqua" w:hAnsi="Book Antiqua" w:cs="Times New Roman"/>
          <w:sz w:val="24"/>
          <w:szCs w:val="24"/>
          <w:lang w:val="en-GB" w:eastAsia="zh-CN"/>
        </w:rPr>
        <w:t>umor</w:t>
      </w:r>
      <w:proofErr w:type="spellEnd"/>
      <w:r w:rsidRPr="00C67AD0">
        <w:rPr>
          <w:rFonts w:ascii="Book Antiqua" w:hAnsi="Book Antiqua" w:cs="Times New Roman"/>
          <w:sz w:val="24"/>
          <w:szCs w:val="24"/>
          <w:lang w:val="en-GB" w:eastAsia="zh-CN"/>
        </w:rPr>
        <w:t xml:space="preserve"> necrosis factor α</w:t>
      </w:r>
      <w:r w:rsidRPr="00C67AD0">
        <w:rPr>
          <w:rFonts w:ascii="Book Antiqua" w:hAnsi="Book Antiqua" w:cs="Times New Roman" w:hint="eastAsia"/>
          <w:sz w:val="24"/>
          <w:szCs w:val="24"/>
          <w:lang w:val="en-GB" w:eastAsia="zh-CN"/>
        </w:rPr>
        <w:t xml:space="preserve"> (</w:t>
      </w:r>
      <w:r w:rsidRPr="00C67AD0">
        <w:rPr>
          <w:rFonts w:ascii="Book Antiqua" w:hAnsi="Book Antiqua" w:cs="Times New Roman"/>
          <w:sz w:val="24"/>
          <w:szCs w:val="24"/>
          <w:lang w:val="en-GB" w:eastAsia="zh-CN"/>
        </w:rPr>
        <w:t>TNFα</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for another 2.5 h; E: Cell viability rate determined by MTT assay. AR42J cells were pre-treated with increasing concentrations of PEG35, as indicated, for 30 min and then incubated with or without 2 µM or 4 µM </w:t>
      </w:r>
      <w:proofErr w:type="spellStart"/>
      <w:r w:rsidRPr="00C67AD0">
        <w:rPr>
          <w:rFonts w:ascii="Book Antiqua" w:hAnsi="Book Antiqua" w:cs="Times New Roman"/>
          <w:sz w:val="24"/>
          <w:szCs w:val="24"/>
          <w:lang w:val="en-GB" w:eastAsia="zh-CN"/>
        </w:rPr>
        <w:t>staurosporine</w:t>
      </w:r>
      <w:proofErr w:type="spellEnd"/>
      <w:r w:rsidRPr="00C67AD0">
        <w:rPr>
          <w:rFonts w:ascii="Book Antiqua" w:hAnsi="Book Antiqua" w:cs="Times New Roman"/>
          <w:sz w:val="24"/>
          <w:szCs w:val="24"/>
          <w:lang w:val="en-GB" w:eastAsia="zh-CN"/>
        </w:rPr>
        <w:t xml:space="preserve"> for another 24 h. The values shown represent the mean ± SEM. </w:t>
      </w:r>
      <w:r w:rsidRPr="00C67AD0">
        <w:rPr>
          <w:rFonts w:ascii="Book Antiqua" w:hAnsi="Book Antiqua" w:cs="Times New Roman"/>
          <w:sz w:val="24"/>
          <w:szCs w:val="24"/>
          <w:vertAlign w:val="superscript"/>
          <w:lang w:val="en-GB" w:eastAsia="zh-CN"/>
        </w:rPr>
        <w:t>a</w:t>
      </w:r>
      <w:r w:rsidRPr="00C67AD0">
        <w:rPr>
          <w:rFonts w:ascii="Cambria Math" w:hAnsi="Cambria Math" w:cs="Cambria Math"/>
          <w:sz w:val="24"/>
          <w:szCs w:val="24"/>
          <w:lang w:val="en-GB" w:eastAsia="zh-CN"/>
        </w:rPr>
        <w:t>𝑃</w:t>
      </w:r>
      <w:r w:rsidRPr="00C67AD0">
        <w:rPr>
          <w:rFonts w:ascii="Book Antiqua" w:hAnsi="Book Antiqua" w:cs="Times New Roman"/>
          <w:sz w:val="24"/>
          <w:szCs w:val="24"/>
          <w:lang w:val="en-GB" w:eastAsia="zh-CN"/>
        </w:rPr>
        <w:t xml:space="preserve"> &lt; 0.05 </w:t>
      </w:r>
      <w:r w:rsidRPr="00C67AD0">
        <w:rPr>
          <w:rFonts w:ascii="Book Antiqua" w:hAnsi="Book Antiqua" w:cs="Times New Roman"/>
          <w:i/>
          <w:sz w:val="24"/>
          <w:szCs w:val="24"/>
          <w:lang w:val="en-GB" w:eastAsia="zh-CN"/>
        </w:rPr>
        <w:t>vs</w:t>
      </w:r>
      <w:r w:rsidRPr="00C67AD0">
        <w:rPr>
          <w:rFonts w:ascii="Book Antiqua" w:hAnsi="Book Antiqua" w:cs="Times New Roman"/>
          <w:sz w:val="24"/>
          <w:szCs w:val="24"/>
          <w:lang w:val="en-GB" w:eastAsia="zh-CN"/>
        </w:rPr>
        <w:t xml:space="preserve"> control, </w:t>
      </w:r>
      <w:r w:rsidR="005A4C56">
        <w:rPr>
          <w:rFonts w:ascii="Book Antiqua" w:hAnsi="Book Antiqua" w:cs="Times New Roman"/>
          <w:sz w:val="24"/>
          <w:szCs w:val="24"/>
          <w:vertAlign w:val="superscript"/>
          <w:lang w:val="en-GB" w:eastAsia="zh-CN"/>
        </w:rPr>
        <w:t>c</w:t>
      </w:r>
      <w:r w:rsidRPr="00C67AD0">
        <w:rPr>
          <w:rFonts w:ascii="Cambria Math" w:hAnsi="Cambria Math" w:cs="Cambria Math"/>
          <w:sz w:val="24"/>
          <w:szCs w:val="24"/>
          <w:lang w:val="en-GB" w:eastAsia="zh-CN"/>
        </w:rPr>
        <w:t>𝑃</w:t>
      </w:r>
      <w:r w:rsidRPr="00C67AD0">
        <w:rPr>
          <w:rFonts w:ascii="Book Antiqua" w:hAnsi="Book Antiqua" w:cs="Times New Roman"/>
          <w:sz w:val="24"/>
          <w:szCs w:val="24"/>
          <w:lang w:val="en-GB" w:eastAsia="zh-CN"/>
        </w:rPr>
        <w:t xml:space="preserve"> &lt; 0.05 </w:t>
      </w:r>
      <w:r w:rsidRPr="00C67AD0">
        <w:rPr>
          <w:rFonts w:ascii="Book Antiqua" w:hAnsi="Book Antiqua" w:cs="Times New Roman"/>
          <w:i/>
          <w:sz w:val="24"/>
          <w:szCs w:val="24"/>
          <w:lang w:val="en-GB" w:eastAsia="zh-CN"/>
        </w:rPr>
        <w:t>vs</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eastAsia="zh-CN"/>
        </w:rPr>
        <w:t>erulein</w:t>
      </w:r>
      <w:proofErr w:type="spellEnd"/>
      <w:r w:rsidRPr="00C67AD0">
        <w:rPr>
          <w:rFonts w:ascii="Book Antiqua" w:hAnsi="Book Antiqua" w:cs="Times New Roman"/>
          <w:sz w:val="24"/>
          <w:szCs w:val="24"/>
          <w:lang w:val="en-GB" w:eastAsia="zh-CN"/>
        </w:rPr>
        <w:t xml:space="preserve">-induced acute pancreatitis,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eastAsia="zh-CN"/>
        </w:rPr>
        <w:t>erulein</w:t>
      </w:r>
      <w:proofErr w:type="spellEnd"/>
      <w:r w:rsidRPr="00C67AD0">
        <w:rPr>
          <w:rFonts w:ascii="Book Antiqua" w:hAnsi="Book Antiqua" w:cs="Times New Roman"/>
          <w:sz w:val="24"/>
          <w:szCs w:val="24"/>
          <w:lang w:val="en-GB" w:eastAsia="zh-CN"/>
        </w:rPr>
        <w:t xml:space="preserve">, TNFα or </w:t>
      </w:r>
      <w:proofErr w:type="spellStart"/>
      <w:r w:rsidRPr="00C67AD0">
        <w:rPr>
          <w:rFonts w:ascii="Book Antiqua" w:hAnsi="Book Antiqua" w:cs="Times New Roman" w:hint="eastAsia"/>
          <w:sz w:val="24"/>
          <w:szCs w:val="24"/>
          <w:lang w:val="en-GB" w:eastAsia="zh-CN"/>
        </w:rPr>
        <w:t>s</w:t>
      </w:r>
      <w:r w:rsidRPr="00C67AD0">
        <w:rPr>
          <w:rFonts w:ascii="Book Antiqua" w:hAnsi="Book Antiqua" w:cs="Times New Roman"/>
          <w:sz w:val="24"/>
          <w:szCs w:val="24"/>
          <w:lang w:val="en-GB" w:eastAsia="zh-CN"/>
        </w:rPr>
        <w:t>taurosporine</w:t>
      </w:r>
      <w:proofErr w:type="spellEnd"/>
      <w:r w:rsidRPr="00C67AD0">
        <w:rPr>
          <w:rFonts w:ascii="Book Antiqua" w:hAnsi="Book Antiqua" w:cs="Times New Roman"/>
          <w:sz w:val="24"/>
          <w:szCs w:val="24"/>
          <w:lang w:val="en-GB" w:eastAsia="zh-CN"/>
        </w:rPr>
        <w:t xml:space="preserve">. Each determination was carried out in triplicate. </w:t>
      </w:r>
      <w:proofErr w:type="spellStart"/>
      <w:r w:rsidRPr="00C67AD0">
        <w:rPr>
          <w:rFonts w:ascii="Book Antiqua" w:hAnsi="Book Antiqua" w:cs="Times New Roman"/>
          <w:sz w:val="24"/>
          <w:szCs w:val="24"/>
          <w:lang w:val="en-GB" w:eastAsia="zh-CN"/>
        </w:rPr>
        <w:t>CerAP</w:t>
      </w:r>
      <w:proofErr w:type="spellEnd"/>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C</w:t>
      </w:r>
      <w:r w:rsidRPr="00C67AD0">
        <w:rPr>
          <w:rFonts w:ascii="Book Antiqua" w:hAnsi="Book Antiqua" w:cs="Times New Roman"/>
          <w:sz w:val="24"/>
          <w:szCs w:val="24"/>
          <w:lang w:val="en-GB" w:eastAsia="zh-CN"/>
        </w:rPr>
        <w:t>erulein</w:t>
      </w:r>
      <w:proofErr w:type="spellEnd"/>
      <w:r w:rsidRPr="00C67AD0">
        <w:rPr>
          <w:rFonts w:ascii="Book Antiqua" w:hAnsi="Book Antiqua" w:cs="Times New Roman"/>
          <w:sz w:val="24"/>
          <w:szCs w:val="24"/>
          <w:lang w:val="en-GB" w:eastAsia="zh-CN"/>
        </w:rPr>
        <w:t xml:space="preserve">-induced acute pancreatitis; </w:t>
      </w:r>
      <w:proofErr w:type="spellStart"/>
      <w:r w:rsidRPr="00C67AD0">
        <w:rPr>
          <w:rFonts w:ascii="Book Antiqua" w:hAnsi="Book Antiqua" w:cs="Times New Roman"/>
          <w:sz w:val="24"/>
          <w:szCs w:val="24"/>
          <w:lang w:val="en-GB" w:eastAsia="zh-CN"/>
        </w:rPr>
        <w:t>Cer</w:t>
      </w:r>
      <w:proofErr w:type="spellEnd"/>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sz w:val="24"/>
          <w:szCs w:val="24"/>
          <w:lang w:val="en-GB" w:eastAsia="zh-CN"/>
        </w:rPr>
        <w:t>Cerulein</w:t>
      </w:r>
      <w:proofErr w:type="spellEnd"/>
      <w:r w:rsidRPr="00C67AD0">
        <w:rPr>
          <w:rFonts w:ascii="Book Antiqua" w:hAnsi="Book Antiqua" w:cs="Times New Roman"/>
          <w:sz w:val="24"/>
          <w:szCs w:val="24"/>
          <w:lang w:val="en-GB" w:eastAsia="zh-CN"/>
        </w:rPr>
        <w:t>; PEG35</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35-kDa polyethylene glycol; TNFα</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T</w:t>
      </w:r>
      <w:r w:rsidRPr="00C67AD0">
        <w:rPr>
          <w:rFonts w:ascii="Book Antiqua" w:hAnsi="Book Antiqua" w:cs="Times New Roman"/>
          <w:sz w:val="24"/>
          <w:szCs w:val="24"/>
          <w:lang w:val="en-GB" w:eastAsia="zh-CN"/>
        </w:rPr>
        <w:t>umor</w:t>
      </w:r>
      <w:proofErr w:type="spellEnd"/>
      <w:r w:rsidRPr="00C67AD0">
        <w:rPr>
          <w:rFonts w:ascii="Book Antiqua" w:hAnsi="Book Antiqua" w:cs="Times New Roman"/>
          <w:sz w:val="24"/>
          <w:szCs w:val="24"/>
          <w:lang w:val="en-GB" w:eastAsia="zh-CN"/>
        </w:rPr>
        <w:t xml:space="preserve"> necrosis factor α; ST</w:t>
      </w:r>
      <w:r w:rsidRPr="00C67AD0">
        <w:rPr>
          <w:rFonts w:ascii="Book Antiqua" w:hAnsi="Book Antiqua" w:cs="Times New Roman" w:hint="eastAsia"/>
          <w:sz w:val="24"/>
          <w:szCs w:val="24"/>
          <w:lang w:val="en-GB" w:eastAsia="zh-CN"/>
        </w:rPr>
        <w:t>:</w:t>
      </w:r>
      <w:r w:rsidRPr="00C67AD0">
        <w:rPr>
          <w:rFonts w:ascii="Book Antiqua" w:hAnsi="Book Antiqua" w:cs="Times New Roman"/>
          <w:sz w:val="24"/>
          <w:szCs w:val="24"/>
          <w:lang w:val="en-GB" w:eastAsia="zh-CN"/>
        </w:rPr>
        <w:t xml:space="preserve"> </w:t>
      </w:r>
      <w:proofErr w:type="spellStart"/>
      <w:r w:rsidRPr="00C67AD0">
        <w:rPr>
          <w:rFonts w:ascii="Book Antiqua" w:hAnsi="Book Antiqua" w:cs="Times New Roman" w:hint="eastAsia"/>
          <w:sz w:val="24"/>
          <w:szCs w:val="24"/>
          <w:lang w:val="en-GB" w:eastAsia="zh-CN"/>
        </w:rPr>
        <w:t>S</w:t>
      </w:r>
      <w:r w:rsidRPr="00C67AD0">
        <w:rPr>
          <w:rFonts w:ascii="Book Antiqua" w:hAnsi="Book Antiqua" w:cs="Times New Roman"/>
          <w:sz w:val="24"/>
          <w:szCs w:val="24"/>
          <w:lang w:val="en-GB" w:eastAsia="zh-CN"/>
        </w:rPr>
        <w:t>taurosporine</w:t>
      </w:r>
      <w:proofErr w:type="spellEnd"/>
      <w:r w:rsidRPr="00C67AD0">
        <w:rPr>
          <w:rFonts w:ascii="Book Antiqua" w:hAnsi="Book Antiqua" w:cs="Times New Roman"/>
          <w:sz w:val="24"/>
          <w:szCs w:val="24"/>
          <w:lang w:val="en-GB" w:eastAsia="zh-CN"/>
        </w:rPr>
        <w:t>.</w:t>
      </w:r>
    </w:p>
    <w:p w14:paraId="5140CAF8" w14:textId="632EAF3F" w:rsidR="005C0ABE" w:rsidRPr="00C67AD0" w:rsidRDefault="005C0ABE" w:rsidP="00B55F63">
      <w:pPr>
        <w:spacing w:after="0" w:line="240" w:lineRule="auto"/>
        <w:rPr>
          <w:rFonts w:ascii="Book Antiqua" w:hAnsi="Book Antiqua" w:cs="Times New Roman"/>
          <w:sz w:val="24"/>
          <w:szCs w:val="24"/>
          <w:lang w:val="en-GB" w:eastAsia="zh-CN"/>
        </w:rPr>
      </w:pPr>
    </w:p>
    <w:sectPr w:rsidR="005C0ABE" w:rsidRPr="00C67AD0" w:rsidSect="00E82A2F">
      <w:footerReference w:type="default" r:id="rId15"/>
      <w:pgSz w:w="11906" w:h="16838"/>
      <w:pgMar w:top="1134"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EA04E" w14:textId="77777777" w:rsidR="002F1DEB" w:rsidRDefault="002F1DEB" w:rsidP="005C6985">
      <w:pPr>
        <w:spacing w:after="0" w:line="240" w:lineRule="auto"/>
      </w:pPr>
      <w:r>
        <w:separator/>
      </w:r>
    </w:p>
  </w:endnote>
  <w:endnote w:type="continuationSeparator" w:id="0">
    <w:p w14:paraId="6200B24B" w14:textId="77777777" w:rsidR="002F1DEB" w:rsidRDefault="002F1DEB" w:rsidP="005C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98921"/>
      <w:docPartObj>
        <w:docPartGallery w:val="Page Numbers (Bottom of Page)"/>
        <w:docPartUnique/>
      </w:docPartObj>
    </w:sdtPr>
    <w:sdtEndPr/>
    <w:sdtContent>
      <w:sdt>
        <w:sdtPr>
          <w:id w:val="860082579"/>
          <w:docPartObj>
            <w:docPartGallery w:val="Page Numbers (Top of Page)"/>
            <w:docPartUnique/>
          </w:docPartObj>
        </w:sdtPr>
        <w:sdtEndPr/>
        <w:sdtContent>
          <w:p w14:paraId="1B8F9AB4" w14:textId="6C3DC90C" w:rsidR="001A5796" w:rsidRDefault="001A5796">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61EF6">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61EF6">
              <w:rPr>
                <w:b/>
                <w:bCs/>
                <w:noProof/>
              </w:rPr>
              <w:t>29</w:t>
            </w:r>
            <w:r>
              <w:rPr>
                <w:b/>
                <w:bCs/>
                <w:sz w:val="24"/>
                <w:szCs w:val="24"/>
              </w:rPr>
              <w:fldChar w:fldCharType="end"/>
            </w:r>
          </w:p>
        </w:sdtContent>
      </w:sdt>
    </w:sdtContent>
  </w:sdt>
  <w:p w14:paraId="3468CC08" w14:textId="77777777" w:rsidR="00391124" w:rsidRDefault="003911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EA432" w14:textId="77777777" w:rsidR="002F1DEB" w:rsidRDefault="002F1DEB" w:rsidP="005C6985">
      <w:pPr>
        <w:spacing w:after="0" w:line="240" w:lineRule="auto"/>
      </w:pPr>
      <w:r>
        <w:separator/>
      </w:r>
    </w:p>
  </w:footnote>
  <w:footnote w:type="continuationSeparator" w:id="0">
    <w:p w14:paraId="16099B0A" w14:textId="77777777" w:rsidR="002F1DEB" w:rsidRDefault="002F1DEB" w:rsidP="005C6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010"/>
    <w:multiLevelType w:val="hybridMultilevel"/>
    <w:tmpl w:val="E8E6821E"/>
    <w:lvl w:ilvl="0" w:tplc="0C0A0017">
      <w:start w:val="1"/>
      <w:numFmt w:val="lowerLetter"/>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104304"/>
    <w:multiLevelType w:val="hybridMultilevel"/>
    <w:tmpl w:val="47A88D28"/>
    <w:lvl w:ilvl="0" w:tplc="6CF6A9C4">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2">
    <w:nsid w:val="0B38048A"/>
    <w:multiLevelType w:val="hybridMultilevel"/>
    <w:tmpl w:val="97786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A90585"/>
    <w:multiLevelType w:val="hybridMultilevel"/>
    <w:tmpl w:val="D2464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8E015C"/>
    <w:multiLevelType w:val="hybridMultilevel"/>
    <w:tmpl w:val="5174414E"/>
    <w:lvl w:ilvl="0" w:tplc="4A14631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541A47"/>
    <w:multiLevelType w:val="hybridMultilevel"/>
    <w:tmpl w:val="BA5AA1F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nsid w:val="1EAC6A05"/>
    <w:multiLevelType w:val="hybridMultilevel"/>
    <w:tmpl w:val="0260710E"/>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B41D35"/>
    <w:multiLevelType w:val="hybridMultilevel"/>
    <w:tmpl w:val="2A405F68"/>
    <w:lvl w:ilvl="0" w:tplc="24D42BF8">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2C8A56B2"/>
    <w:multiLevelType w:val="hybridMultilevel"/>
    <w:tmpl w:val="795C1B1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EC0291"/>
    <w:multiLevelType w:val="hybridMultilevel"/>
    <w:tmpl w:val="390E4E6E"/>
    <w:lvl w:ilvl="0" w:tplc="0809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3334110E"/>
    <w:multiLevelType w:val="hybridMultilevel"/>
    <w:tmpl w:val="F1D068C4"/>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37416BE"/>
    <w:multiLevelType w:val="hybridMultilevel"/>
    <w:tmpl w:val="52C607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274429"/>
    <w:multiLevelType w:val="hybridMultilevel"/>
    <w:tmpl w:val="593224D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284415"/>
    <w:multiLevelType w:val="hybridMultilevel"/>
    <w:tmpl w:val="24CA9CBE"/>
    <w:lvl w:ilvl="0" w:tplc="0C0A001B">
      <w:start w:val="1"/>
      <w:numFmt w:val="lowerRoman"/>
      <w:lvlText w:val="%1."/>
      <w:lvlJc w:val="right"/>
      <w:pPr>
        <w:ind w:left="2264" w:hanging="360"/>
      </w:pPr>
    </w:lvl>
    <w:lvl w:ilvl="1" w:tplc="0C0A0019" w:tentative="1">
      <w:start w:val="1"/>
      <w:numFmt w:val="lowerLetter"/>
      <w:lvlText w:val="%2."/>
      <w:lvlJc w:val="left"/>
      <w:pPr>
        <w:ind w:left="2984" w:hanging="360"/>
      </w:pPr>
    </w:lvl>
    <w:lvl w:ilvl="2" w:tplc="0C0A001B" w:tentative="1">
      <w:start w:val="1"/>
      <w:numFmt w:val="lowerRoman"/>
      <w:lvlText w:val="%3."/>
      <w:lvlJc w:val="right"/>
      <w:pPr>
        <w:ind w:left="3704" w:hanging="180"/>
      </w:pPr>
    </w:lvl>
    <w:lvl w:ilvl="3" w:tplc="0C0A000F" w:tentative="1">
      <w:start w:val="1"/>
      <w:numFmt w:val="decimal"/>
      <w:lvlText w:val="%4."/>
      <w:lvlJc w:val="left"/>
      <w:pPr>
        <w:ind w:left="4424" w:hanging="360"/>
      </w:pPr>
    </w:lvl>
    <w:lvl w:ilvl="4" w:tplc="0C0A0019" w:tentative="1">
      <w:start w:val="1"/>
      <w:numFmt w:val="lowerLetter"/>
      <w:lvlText w:val="%5."/>
      <w:lvlJc w:val="left"/>
      <w:pPr>
        <w:ind w:left="5144" w:hanging="360"/>
      </w:pPr>
    </w:lvl>
    <w:lvl w:ilvl="5" w:tplc="0C0A001B" w:tentative="1">
      <w:start w:val="1"/>
      <w:numFmt w:val="lowerRoman"/>
      <w:lvlText w:val="%6."/>
      <w:lvlJc w:val="right"/>
      <w:pPr>
        <w:ind w:left="5864" w:hanging="180"/>
      </w:pPr>
    </w:lvl>
    <w:lvl w:ilvl="6" w:tplc="0C0A000F" w:tentative="1">
      <w:start w:val="1"/>
      <w:numFmt w:val="decimal"/>
      <w:lvlText w:val="%7."/>
      <w:lvlJc w:val="left"/>
      <w:pPr>
        <w:ind w:left="6584" w:hanging="360"/>
      </w:pPr>
    </w:lvl>
    <w:lvl w:ilvl="7" w:tplc="0C0A0019" w:tentative="1">
      <w:start w:val="1"/>
      <w:numFmt w:val="lowerLetter"/>
      <w:lvlText w:val="%8."/>
      <w:lvlJc w:val="left"/>
      <w:pPr>
        <w:ind w:left="7304" w:hanging="360"/>
      </w:pPr>
    </w:lvl>
    <w:lvl w:ilvl="8" w:tplc="0C0A001B" w:tentative="1">
      <w:start w:val="1"/>
      <w:numFmt w:val="lowerRoman"/>
      <w:lvlText w:val="%9."/>
      <w:lvlJc w:val="right"/>
      <w:pPr>
        <w:ind w:left="8024" w:hanging="180"/>
      </w:pPr>
    </w:lvl>
  </w:abstractNum>
  <w:abstractNum w:abstractNumId="14">
    <w:nsid w:val="3C007948"/>
    <w:multiLevelType w:val="multilevel"/>
    <w:tmpl w:val="02CEEC06"/>
    <w:lvl w:ilvl="0">
      <w:start w:val="2"/>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nsid w:val="40361A29"/>
    <w:multiLevelType w:val="hybridMultilevel"/>
    <w:tmpl w:val="41B8A8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7E02663"/>
    <w:multiLevelType w:val="hybridMultilevel"/>
    <w:tmpl w:val="B590FA7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1DD418F"/>
    <w:multiLevelType w:val="hybridMultilevel"/>
    <w:tmpl w:val="B8681DB0"/>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C32F93"/>
    <w:multiLevelType w:val="hybridMultilevel"/>
    <w:tmpl w:val="B0CE73E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577F5D9A"/>
    <w:multiLevelType w:val="hybridMultilevel"/>
    <w:tmpl w:val="70303FCA"/>
    <w:lvl w:ilvl="0" w:tplc="1CB233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9CF1A5C"/>
    <w:multiLevelType w:val="hybridMultilevel"/>
    <w:tmpl w:val="31586D5E"/>
    <w:lvl w:ilvl="0" w:tplc="6BFE72D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06C5BCF"/>
    <w:multiLevelType w:val="hybridMultilevel"/>
    <w:tmpl w:val="B142A6F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6E813F7"/>
    <w:multiLevelType w:val="hybridMultilevel"/>
    <w:tmpl w:val="5E2E893A"/>
    <w:lvl w:ilvl="0" w:tplc="C65077F4">
      <w:numFmt w:val="bullet"/>
      <w:lvlText w:val="-"/>
      <w:lvlJc w:val="left"/>
      <w:pPr>
        <w:ind w:left="720" w:hanging="360"/>
      </w:pPr>
      <w:rPr>
        <w:rFonts w:ascii="Calibri" w:eastAsia="Calibr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B3631F"/>
    <w:multiLevelType w:val="hybridMultilevel"/>
    <w:tmpl w:val="CD96A3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8CF2D90"/>
    <w:multiLevelType w:val="hybridMultilevel"/>
    <w:tmpl w:val="6632F2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C3442E4"/>
    <w:multiLevelType w:val="hybridMultilevel"/>
    <w:tmpl w:val="535425BE"/>
    <w:lvl w:ilvl="0" w:tplc="E8046496">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C4F5FF5"/>
    <w:multiLevelType w:val="hybridMultilevel"/>
    <w:tmpl w:val="14AC6FF2"/>
    <w:lvl w:ilvl="0" w:tplc="FC1E9BE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F4201A1"/>
    <w:multiLevelType w:val="hybridMultilevel"/>
    <w:tmpl w:val="70C224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28A70F7"/>
    <w:multiLevelType w:val="hybridMultilevel"/>
    <w:tmpl w:val="F90E2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5F15D20"/>
    <w:multiLevelType w:val="hybridMultilevel"/>
    <w:tmpl w:val="04860258"/>
    <w:lvl w:ilvl="0" w:tplc="B128F546">
      <w:numFmt w:val="bullet"/>
      <w:lvlText w:val=""/>
      <w:lvlJc w:val="left"/>
      <w:pPr>
        <w:ind w:left="1080" w:hanging="360"/>
      </w:pPr>
      <w:rPr>
        <w:rFonts w:ascii="Wingdings" w:eastAsia="Calibri" w:hAnsi="Wingdings"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79E64828"/>
    <w:multiLevelType w:val="hybridMultilevel"/>
    <w:tmpl w:val="9866F8E8"/>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0F">
      <w:start w:val="1"/>
      <w:numFmt w:val="decimal"/>
      <w:lvlText w:val="%3."/>
      <w:lvlJc w:val="lef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2"/>
  </w:num>
  <w:num w:numId="2">
    <w:abstractNumId w:val="28"/>
  </w:num>
  <w:num w:numId="3">
    <w:abstractNumId w:val="15"/>
  </w:num>
  <w:num w:numId="4">
    <w:abstractNumId w:val="24"/>
  </w:num>
  <w:num w:numId="5">
    <w:abstractNumId w:val="5"/>
  </w:num>
  <w:num w:numId="6">
    <w:abstractNumId w:val="8"/>
  </w:num>
  <w:num w:numId="7">
    <w:abstractNumId w:val="11"/>
  </w:num>
  <w:num w:numId="8">
    <w:abstractNumId w:val="1"/>
  </w:num>
  <w:num w:numId="9">
    <w:abstractNumId w:val="2"/>
  </w:num>
  <w:num w:numId="10">
    <w:abstractNumId w:val="16"/>
  </w:num>
  <w:num w:numId="11">
    <w:abstractNumId w:val="12"/>
  </w:num>
  <w:num w:numId="12">
    <w:abstractNumId w:val="30"/>
  </w:num>
  <w:num w:numId="13">
    <w:abstractNumId w:val="27"/>
  </w:num>
  <w:num w:numId="14">
    <w:abstractNumId w:val="21"/>
  </w:num>
  <w:num w:numId="15">
    <w:abstractNumId w:val="19"/>
  </w:num>
  <w:num w:numId="16">
    <w:abstractNumId w:val="13"/>
  </w:num>
  <w:num w:numId="17">
    <w:abstractNumId w:val="9"/>
  </w:num>
  <w:num w:numId="18">
    <w:abstractNumId w:val="6"/>
  </w:num>
  <w:num w:numId="19">
    <w:abstractNumId w:val="10"/>
  </w:num>
  <w:num w:numId="20">
    <w:abstractNumId w:val="17"/>
  </w:num>
  <w:num w:numId="21">
    <w:abstractNumId w:val="3"/>
  </w:num>
  <w:num w:numId="22">
    <w:abstractNumId w:val="14"/>
  </w:num>
  <w:num w:numId="23">
    <w:abstractNumId w:val="0"/>
  </w:num>
  <w:num w:numId="24">
    <w:abstractNumId w:val="26"/>
  </w:num>
  <w:num w:numId="25">
    <w:abstractNumId w:val="4"/>
  </w:num>
  <w:num w:numId="26">
    <w:abstractNumId w:val="20"/>
  </w:num>
  <w:num w:numId="27">
    <w:abstractNumId w:val="18"/>
  </w:num>
  <w:num w:numId="28">
    <w:abstractNumId w:val="25"/>
  </w:num>
  <w:num w:numId="29">
    <w:abstractNumId w:val="29"/>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ath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twvrzzxwsfx6e2psd50rzrzx0fxdd9zwr0&quot;&gt;PEG-AN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21&lt;/item&gt;&lt;item&gt;25&lt;/item&gt;&lt;item&gt;26&lt;/item&gt;&lt;item&gt;27&lt;/item&gt;&lt;item&gt;28&lt;/item&gt;&lt;item&gt;29&lt;/item&gt;&lt;item&gt;33&lt;/item&gt;&lt;/record-ids&gt;&lt;/item&gt;&lt;/Libraries&gt;"/>
  </w:docVars>
  <w:rsids>
    <w:rsidRoot w:val="00E22DB0"/>
    <w:rsid w:val="000004C6"/>
    <w:rsid w:val="00000943"/>
    <w:rsid w:val="00000F75"/>
    <w:rsid w:val="000014DD"/>
    <w:rsid w:val="0000189E"/>
    <w:rsid w:val="00001BA3"/>
    <w:rsid w:val="00002F66"/>
    <w:rsid w:val="0000319D"/>
    <w:rsid w:val="00003297"/>
    <w:rsid w:val="0000413A"/>
    <w:rsid w:val="00004442"/>
    <w:rsid w:val="00004E18"/>
    <w:rsid w:val="00005BD6"/>
    <w:rsid w:val="0000708F"/>
    <w:rsid w:val="000072FE"/>
    <w:rsid w:val="000074FF"/>
    <w:rsid w:val="00011112"/>
    <w:rsid w:val="00011FEA"/>
    <w:rsid w:val="00012140"/>
    <w:rsid w:val="00012EBB"/>
    <w:rsid w:val="000131FE"/>
    <w:rsid w:val="00014B56"/>
    <w:rsid w:val="00014E0A"/>
    <w:rsid w:val="00017053"/>
    <w:rsid w:val="00023D86"/>
    <w:rsid w:val="000242B4"/>
    <w:rsid w:val="000254D4"/>
    <w:rsid w:val="00025517"/>
    <w:rsid w:val="00025533"/>
    <w:rsid w:val="00025725"/>
    <w:rsid w:val="000265B7"/>
    <w:rsid w:val="00026929"/>
    <w:rsid w:val="00027A67"/>
    <w:rsid w:val="00027DF9"/>
    <w:rsid w:val="000303E8"/>
    <w:rsid w:val="0003040D"/>
    <w:rsid w:val="000307AC"/>
    <w:rsid w:val="00030990"/>
    <w:rsid w:val="000319AC"/>
    <w:rsid w:val="000323BA"/>
    <w:rsid w:val="00035200"/>
    <w:rsid w:val="000352AB"/>
    <w:rsid w:val="00035640"/>
    <w:rsid w:val="0003594C"/>
    <w:rsid w:val="00035A4A"/>
    <w:rsid w:val="000377EE"/>
    <w:rsid w:val="00041A19"/>
    <w:rsid w:val="0004224D"/>
    <w:rsid w:val="00042B99"/>
    <w:rsid w:val="00046170"/>
    <w:rsid w:val="00046D74"/>
    <w:rsid w:val="00046EF2"/>
    <w:rsid w:val="0004710C"/>
    <w:rsid w:val="00047C9A"/>
    <w:rsid w:val="0005023E"/>
    <w:rsid w:val="00051AEE"/>
    <w:rsid w:val="00052CDF"/>
    <w:rsid w:val="00054B67"/>
    <w:rsid w:val="000564DF"/>
    <w:rsid w:val="00056E2C"/>
    <w:rsid w:val="0005774E"/>
    <w:rsid w:val="00057B07"/>
    <w:rsid w:val="00057B19"/>
    <w:rsid w:val="0006082E"/>
    <w:rsid w:val="0006198C"/>
    <w:rsid w:val="00061B58"/>
    <w:rsid w:val="00062701"/>
    <w:rsid w:val="0006327B"/>
    <w:rsid w:val="00064FB7"/>
    <w:rsid w:val="000663CF"/>
    <w:rsid w:val="00071BE5"/>
    <w:rsid w:val="00072825"/>
    <w:rsid w:val="00072B70"/>
    <w:rsid w:val="00072DA3"/>
    <w:rsid w:val="00074350"/>
    <w:rsid w:val="00076688"/>
    <w:rsid w:val="0008067F"/>
    <w:rsid w:val="000820A3"/>
    <w:rsid w:val="000831CF"/>
    <w:rsid w:val="00084AE9"/>
    <w:rsid w:val="00084C97"/>
    <w:rsid w:val="00084CF7"/>
    <w:rsid w:val="00085A6F"/>
    <w:rsid w:val="00086364"/>
    <w:rsid w:val="0008710F"/>
    <w:rsid w:val="00087F30"/>
    <w:rsid w:val="0009015F"/>
    <w:rsid w:val="00090F82"/>
    <w:rsid w:val="0009230A"/>
    <w:rsid w:val="00092806"/>
    <w:rsid w:val="00095AD6"/>
    <w:rsid w:val="00097DF1"/>
    <w:rsid w:val="00097FFA"/>
    <w:rsid w:val="000A0EEC"/>
    <w:rsid w:val="000A1CC8"/>
    <w:rsid w:val="000A27C0"/>
    <w:rsid w:val="000A2B14"/>
    <w:rsid w:val="000A3136"/>
    <w:rsid w:val="000A42F3"/>
    <w:rsid w:val="000A51E0"/>
    <w:rsid w:val="000A5281"/>
    <w:rsid w:val="000A5C70"/>
    <w:rsid w:val="000A6DB7"/>
    <w:rsid w:val="000B08E6"/>
    <w:rsid w:val="000B0B63"/>
    <w:rsid w:val="000B43F5"/>
    <w:rsid w:val="000B7E61"/>
    <w:rsid w:val="000C0080"/>
    <w:rsid w:val="000C1159"/>
    <w:rsid w:val="000C3503"/>
    <w:rsid w:val="000C720B"/>
    <w:rsid w:val="000C79E1"/>
    <w:rsid w:val="000D1428"/>
    <w:rsid w:val="000D2D3A"/>
    <w:rsid w:val="000D3EF7"/>
    <w:rsid w:val="000D611A"/>
    <w:rsid w:val="000D6BE7"/>
    <w:rsid w:val="000D7488"/>
    <w:rsid w:val="000D7DFE"/>
    <w:rsid w:val="000E0472"/>
    <w:rsid w:val="000E1CF2"/>
    <w:rsid w:val="000E3BD2"/>
    <w:rsid w:val="000E47FB"/>
    <w:rsid w:val="000E6093"/>
    <w:rsid w:val="000E62A0"/>
    <w:rsid w:val="000F097F"/>
    <w:rsid w:val="000F1416"/>
    <w:rsid w:val="000F1458"/>
    <w:rsid w:val="000F1AA2"/>
    <w:rsid w:val="000F218C"/>
    <w:rsid w:val="000F4124"/>
    <w:rsid w:val="000F4D38"/>
    <w:rsid w:val="000F503F"/>
    <w:rsid w:val="000F6367"/>
    <w:rsid w:val="000F6D12"/>
    <w:rsid w:val="001004F4"/>
    <w:rsid w:val="0010188C"/>
    <w:rsid w:val="00102409"/>
    <w:rsid w:val="00105805"/>
    <w:rsid w:val="00105F55"/>
    <w:rsid w:val="00106BFA"/>
    <w:rsid w:val="0010786A"/>
    <w:rsid w:val="00110A27"/>
    <w:rsid w:val="001117A2"/>
    <w:rsid w:val="00111E0A"/>
    <w:rsid w:val="00112CF3"/>
    <w:rsid w:val="001136F8"/>
    <w:rsid w:val="00113E12"/>
    <w:rsid w:val="00114C93"/>
    <w:rsid w:val="00115670"/>
    <w:rsid w:val="00115B23"/>
    <w:rsid w:val="00116983"/>
    <w:rsid w:val="001219F9"/>
    <w:rsid w:val="00122864"/>
    <w:rsid w:val="00123D98"/>
    <w:rsid w:val="001317D1"/>
    <w:rsid w:val="001323BA"/>
    <w:rsid w:val="00133467"/>
    <w:rsid w:val="0013475F"/>
    <w:rsid w:val="00135C44"/>
    <w:rsid w:val="00137820"/>
    <w:rsid w:val="001404E7"/>
    <w:rsid w:val="0014070E"/>
    <w:rsid w:val="001428CC"/>
    <w:rsid w:val="00143748"/>
    <w:rsid w:val="0014437E"/>
    <w:rsid w:val="00144DC0"/>
    <w:rsid w:val="001452F7"/>
    <w:rsid w:val="001530B5"/>
    <w:rsid w:val="00153356"/>
    <w:rsid w:val="001537E1"/>
    <w:rsid w:val="00153EB9"/>
    <w:rsid w:val="00156461"/>
    <w:rsid w:val="00156B6C"/>
    <w:rsid w:val="00160C10"/>
    <w:rsid w:val="00160C18"/>
    <w:rsid w:val="001610EF"/>
    <w:rsid w:val="00161EB2"/>
    <w:rsid w:val="00162E33"/>
    <w:rsid w:val="00163A95"/>
    <w:rsid w:val="00164F3B"/>
    <w:rsid w:val="0016562B"/>
    <w:rsid w:val="001656A5"/>
    <w:rsid w:val="00165E67"/>
    <w:rsid w:val="0016629C"/>
    <w:rsid w:val="001676E0"/>
    <w:rsid w:val="001677AD"/>
    <w:rsid w:val="00171664"/>
    <w:rsid w:val="0017277F"/>
    <w:rsid w:val="001737A4"/>
    <w:rsid w:val="001745FE"/>
    <w:rsid w:val="00174805"/>
    <w:rsid w:val="00174D60"/>
    <w:rsid w:val="00176D2D"/>
    <w:rsid w:val="00180CDA"/>
    <w:rsid w:val="00180D8F"/>
    <w:rsid w:val="00181A7C"/>
    <w:rsid w:val="0018237B"/>
    <w:rsid w:val="00182B79"/>
    <w:rsid w:val="001830C7"/>
    <w:rsid w:val="001845D3"/>
    <w:rsid w:val="00184B79"/>
    <w:rsid w:val="00185403"/>
    <w:rsid w:val="001863F8"/>
    <w:rsid w:val="00186B5C"/>
    <w:rsid w:val="00186CC3"/>
    <w:rsid w:val="0018787E"/>
    <w:rsid w:val="00187B26"/>
    <w:rsid w:val="00190172"/>
    <w:rsid w:val="00190636"/>
    <w:rsid w:val="00190E61"/>
    <w:rsid w:val="001912BC"/>
    <w:rsid w:val="00191D20"/>
    <w:rsid w:val="001929D5"/>
    <w:rsid w:val="00192B12"/>
    <w:rsid w:val="001938ED"/>
    <w:rsid w:val="00196483"/>
    <w:rsid w:val="00197113"/>
    <w:rsid w:val="0019715C"/>
    <w:rsid w:val="001A03A0"/>
    <w:rsid w:val="001A164B"/>
    <w:rsid w:val="001A210E"/>
    <w:rsid w:val="001A27A8"/>
    <w:rsid w:val="001A2C6C"/>
    <w:rsid w:val="001A3308"/>
    <w:rsid w:val="001A3C74"/>
    <w:rsid w:val="001A49FE"/>
    <w:rsid w:val="001A4B53"/>
    <w:rsid w:val="001A4D17"/>
    <w:rsid w:val="001A5796"/>
    <w:rsid w:val="001A5F3A"/>
    <w:rsid w:val="001A6DC4"/>
    <w:rsid w:val="001A6ED9"/>
    <w:rsid w:val="001A75E3"/>
    <w:rsid w:val="001B0C08"/>
    <w:rsid w:val="001B22B7"/>
    <w:rsid w:val="001B26BF"/>
    <w:rsid w:val="001B57D6"/>
    <w:rsid w:val="001B65CC"/>
    <w:rsid w:val="001B6A62"/>
    <w:rsid w:val="001B7CE2"/>
    <w:rsid w:val="001C11E5"/>
    <w:rsid w:val="001C1E91"/>
    <w:rsid w:val="001C23FF"/>
    <w:rsid w:val="001C4CD3"/>
    <w:rsid w:val="001C54FE"/>
    <w:rsid w:val="001C7ADD"/>
    <w:rsid w:val="001C7E3D"/>
    <w:rsid w:val="001C7FB2"/>
    <w:rsid w:val="001D0C9B"/>
    <w:rsid w:val="001D0CAF"/>
    <w:rsid w:val="001D1F8F"/>
    <w:rsid w:val="001D2F0A"/>
    <w:rsid w:val="001D396B"/>
    <w:rsid w:val="001D6576"/>
    <w:rsid w:val="001D680F"/>
    <w:rsid w:val="001E36F9"/>
    <w:rsid w:val="001E3710"/>
    <w:rsid w:val="001E3BAF"/>
    <w:rsid w:val="001E3FFA"/>
    <w:rsid w:val="001E5181"/>
    <w:rsid w:val="001E5905"/>
    <w:rsid w:val="001E6133"/>
    <w:rsid w:val="001E75F9"/>
    <w:rsid w:val="001E7D74"/>
    <w:rsid w:val="001F0326"/>
    <w:rsid w:val="001F1410"/>
    <w:rsid w:val="001F158B"/>
    <w:rsid w:val="001F1F60"/>
    <w:rsid w:val="001F325A"/>
    <w:rsid w:val="001F3F56"/>
    <w:rsid w:val="001F420C"/>
    <w:rsid w:val="001F44D0"/>
    <w:rsid w:val="001F4A48"/>
    <w:rsid w:val="001F5EC5"/>
    <w:rsid w:val="001F761F"/>
    <w:rsid w:val="001F7FB4"/>
    <w:rsid w:val="002007B4"/>
    <w:rsid w:val="00200B8A"/>
    <w:rsid w:val="00201969"/>
    <w:rsid w:val="002020AE"/>
    <w:rsid w:val="00207553"/>
    <w:rsid w:val="002078AA"/>
    <w:rsid w:val="00210E87"/>
    <w:rsid w:val="0021160D"/>
    <w:rsid w:val="00211896"/>
    <w:rsid w:val="00212312"/>
    <w:rsid w:val="002126B3"/>
    <w:rsid w:val="00212F45"/>
    <w:rsid w:val="0021363E"/>
    <w:rsid w:val="00214531"/>
    <w:rsid w:val="00215633"/>
    <w:rsid w:val="00215E8B"/>
    <w:rsid w:val="00216019"/>
    <w:rsid w:val="00216806"/>
    <w:rsid w:val="0022039B"/>
    <w:rsid w:val="00221E57"/>
    <w:rsid w:val="00221E90"/>
    <w:rsid w:val="00222CAD"/>
    <w:rsid w:val="00224098"/>
    <w:rsid w:val="002256F5"/>
    <w:rsid w:val="00230D8B"/>
    <w:rsid w:val="00231A3D"/>
    <w:rsid w:val="00231A7D"/>
    <w:rsid w:val="00232133"/>
    <w:rsid w:val="00232F82"/>
    <w:rsid w:val="0023407A"/>
    <w:rsid w:val="00234726"/>
    <w:rsid w:val="00236736"/>
    <w:rsid w:val="00241974"/>
    <w:rsid w:val="00241FDA"/>
    <w:rsid w:val="002421A8"/>
    <w:rsid w:val="00242670"/>
    <w:rsid w:val="00244190"/>
    <w:rsid w:val="00245511"/>
    <w:rsid w:val="00247B29"/>
    <w:rsid w:val="00250773"/>
    <w:rsid w:val="00254919"/>
    <w:rsid w:val="00255ACC"/>
    <w:rsid w:val="002566A8"/>
    <w:rsid w:val="00257A59"/>
    <w:rsid w:val="00260052"/>
    <w:rsid w:val="00263992"/>
    <w:rsid w:val="002647E3"/>
    <w:rsid w:val="00265847"/>
    <w:rsid w:val="002659E3"/>
    <w:rsid w:val="00265C8C"/>
    <w:rsid w:val="00265CFD"/>
    <w:rsid w:val="00267295"/>
    <w:rsid w:val="00267C40"/>
    <w:rsid w:val="0027011E"/>
    <w:rsid w:val="00270613"/>
    <w:rsid w:val="00270BE4"/>
    <w:rsid w:val="002722A6"/>
    <w:rsid w:val="0027283F"/>
    <w:rsid w:val="0027385B"/>
    <w:rsid w:val="0027417E"/>
    <w:rsid w:val="002742BA"/>
    <w:rsid w:val="00274A08"/>
    <w:rsid w:val="00275E8E"/>
    <w:rsid w:val="0027706B"/>
    <w:rsid w:val="0028016A"/>
    <w:rsid w:val="00281436"/>
    <w:rsid w:val="0028187F"/>
    <w:rsid w:val="00281D52"/>
    <w:rsid w:val="002820F5"/>
    <w:rsid w:val="00282343"/>
    <w:rsid w:val="00282924"/>
    <w:rsid w:val="00283C02"/>
    <w:rsid w:val="00283C56"/>
    <w:rsid w:val="00284D84"/>
    <w:rsid w:val="00285D35"/>
    <w:rsid w:val="0028610C"/>
    <w:rsid w:val="002879BC"/>
    <w:rsid w:val="00290B9E"/>
    <w:rsid w:val="00291321"/>
    <w:rsid w:val="002959BB"/>
    <w:rsid w:val="002964A2"/>
    <w:rsid w:val="002972FC"/>
    <w:rsid w:val="002A1429"/>
    <w:rsid w:val="002A29B6"/>
    <w:rsid w:val="002A34DB"/>
    <w:rsid w:val="002A3B18"/>
    <w:rsid w:val="002A41B6"/>
    <w:rsid w:val="002A46D6"/>
    <w:rsid w:val="002A4B07"/>
    <w:rsid w:val="002A6BED"/>
    <w:rsid w:val="002A6DBB"/>
    <w:rsid w:val="002B0755"/>
    <w:rsid w:val="002B21C7"/>
    <w:rsid w:val="002B616B"/>
    <w:rsid w:val="002B717C"/>
    <w:rsid w:val="002B7A70"/>
    <w:rsid w:val="002C01C7"/>
    <w:rsid w:val="002C07E2"/>
    <w:rsid w:val="002C0EFE"/>
    <w:rsid w:val="002C319D"/>
    <w:rsid w:val="002C374E"/>
    <w:rsid w:val="002C5D1B"/>
    <w:rsid w:val="002C6BE5"/>
    <w:rsid w:val="002C7AF8"/>
    <w:rsid w:val="002C7B3A"/>
    <w:rsid w:val="002D405D"/>
    <w:rsid w:val="002D6FF3"/>
    <w:rsid w:val="002E1775"/>
    <w:rsid w:val="002E1894"/>
    <w:rsid w:val="002E4094"/>
    <w:rsid w:val="002E45D7"/>
    <w:rsid w:val="002E6061"/>
    <w:rsid w:val="002E7AA2"/>
    <w:rsid w:val="002F116E"/>
    <w:rsid w:val="002F1DEB"/>
    <w:rsid w:val="002F23A2"/>
    <w:rsid w:val="002F25A7"/>
    <w:rsid w:val="002F428C"/>
    <w:rsid w:val="002F42E4"/>
    <w:rsid w:val="002F4B4C"/>
    <w:rsid w:val="002F62EF"/>
    <w:rsid w:val="002F7E7C"/>
    <w:rsid w:val="00300126"/>
    <w:rsid w:val="0030047C"/>
    <w:rsid w:val="00301025"/>
    <w:rsid w:val="003039AC"/>
    <w:rsid w:val="003048F1"/>
    <w:rsid w:val="00305D9A"/>
    <w:rsid w:val="00306512"/>
    <w:rsid w:val="00306945"/>
    <w:rsid w:val="003075AB"/>
    <w:rsid w:val="00307677"/>
    <w:rsid w:val="00307D68"/>
    <w:rsid w:val="00307F8B"/>
    <w:rsid w:val="0031087C"/>
    <w:rsid w:val="00310A02"/>
    <w:rsid w:val="00310F46"/>
    <w:rsid w:val="00310F65"/>
    <w:rsid w:val="003132E8"/>
    <w:rsid w:val="00314032"/>
    <w:rsid w:val="003177B1"/>
    <w:rsid w:val="00317C5B"/>
    <w:rsid w:val="00320A64"/>
    <w:rsid w:val="00322BFC"/>
    <w:rsid w:val="00323C92"/>
    <w:rsid w:val="00327A42"/>
    <w:rsid w:val="00327BF3"/>
    <w:rsid w:val="00330BF3"/>
    <w:rsid w:val="00330F3B"/>
    <w:rsid w:val="003321C1"/>
    <w:rsid w:val="0033305B"/>
    <w:rsid w:val="0033397B"/>
    <w:rsid w:val="003378ED"/>
    <w:rsid w:val="00337C3C"/>
    <w:rsid w:val="003403C4"/>
    <w:rsid w:val="00340471"/>
    <w:rsid w:val="003408F9"/>
    <w:rsid w:val="00341F82"/>
    <w:rsid w:val="00342697"/>
    <w:rsid w:val="00342B91"/>
    <w:rsid w:val="00347D8F"/>
    <w:rsid w:val="00350906"/>
    <w:rsid w:val="003516BB"/>
    <w:rsid w:val="0035248E"/>
    <w:rsid w:val="00353850"/>
    <w:rsid w:val="00353BAA"/>
    <w:rsid w:val="0035569A"/>
    <w:rsid w:val="00356424"/>
    <w:rsid w:val="00356C16"/>
    <w:rsid w:val="00360765"/>
    <w:rsid w:val="00361406"/>
    <w:rsid w:val="00361D6F"/>
    <w:rsid w:val="00361EDE"/>
    <w:rsid w:val="00362B77"/>
    <w:rsid w:val="00363DB6"/>
    <w:rsid w:val="00370109"/>
    <w:rsid w:val="00370516"/>
    <w:rsid w:val="0037135F"/>
    <w:rsid w:val="003729D7"/>
    <w:rsid w:val="00372C6F"/>
    <w:rsid w:val="0037479F"/>
    <w:rsid w:val="003751F2"/>
    <w:rsid w:val="0037637F"/>
    <w:rsid w:val="00380933"/>
    <w:rsid w:val="00381082"/>
    <w:rsid w:val="0038146B"/>
    <w:rsid w:val="00381C8D"/>
    <w:rsid w:val="00382C29"/>
    <w:rsid w:val="00384248"/>
    <w:rsid w:val="003845B4"/>
    <w:rsid w:val="00384813"/>
    <w:rsid w:val="003848AF"/>
    <w:rsid w:val="003901A6"/>
    <w:rsid w:val="00391124"/>
    <w:rsid w:val="00393510"/>
    <w:rsid w:val="0039420C"/>
    <w:rsid w:val="0039474C"/>
    <w:rsid w:val="00394DCD"/>
    <w:rsid w:val="00395350"/>
    <w:rsid w:val="00395564"/>
    <w:rsid w:val="003A0838"/>
    <w:rsid w:val="003A0FC2"/>
    <w:rsid w:val="003A2990"/>
    <w:rsid w:val="003A3748"/>
    <w:rsid w:val="003A3A23"/>
    <w:rsid w:val="003A5450"/>
    <w:rsid w:val="003A6AB3"/>
    <w:rsid w:val="003A77B0"/>
    <w:rsid w:val="003A7E4F"/>
    <w:rsid w:val="003B07AE"/>
    <w:rsid w:val="003B13DB"/>
    <w:rsid w:val="003B39E5"/>
    <w:rsid w:val="003B41E6"/>
    <w:rsid w:val="003B48C0"/>
    <w:rsid w:val="003B4D7E"/>
    <w:rsid w:val="003B5311"/>
    <w:rsid w:val="003B6196"/>
    <w:rsid w:val="003B6689"/>
    <w:rsid w:val="003B6931"/>
    <w:rsid w:val="003C08FA"/>
    <w:rsid w:val="003C0FC8"/>
    <w:rsid w:val="003C1601"/>
    <w:rsid w:val="003C3CDF"/>
    <w:rsid w:val="003C44E7"/>
    <w:rsid w:val="003C485F"/>
    <w:rsid w:val="003C4F1D"/>
    <w:rsid w:val="003C613B"/>
    <w:rsid w:val="003D041A"/>
    <w:rsid w:val="003D091B"/>
    <w:rsid w:val="003D11E5"/>
    <w:rsid w:val="003D17F4"/>
    <w:rsid w:val="003D3F7E"/>
    <w:rsid w:val="003D517C"/>
    <w:rsid w:val="003D55A9"/>
    <w:rsid w:val="003D574A"/>
    <w:rsid w:val="003D6BCA"/>
    <w:rsid w:val="003D6C57"/>
    <w:rsid w:val="003D6DC1"/>
    <w:rsid w:val="003E3C48"/>
    <w:rsid w:val="003E66A2"/>
    <w:rsid w:val="003E6724"/>
    <w:rsid w:val="003F0AB5"/>
    <w:rsid w:val="003F0E16"/>
    <w:rsid w:val="003F0E8A"/>
    <w:rsid w:val="003F364F"/>
    <w:rsid w:val="003F3E9E"/>
    <w:rsid w:val="003F58A5"/>
    <w:rsid w:val="003F6AFA"/>
    <w:rsid w:val="003F6BD6"/>
    <w:rsid w:val="00400DB7"/>
    <w:rsid w:val="004013C2"/>
    <w:rsid w:val="00402C79"/>
    <w:rsid w:val="004041BE"/>
    <w:rsid w:val="00404AE5"/>
    <w:rsid w:val="00406EE0"/>
    <w:rsid w:val="00407265"/>
    <w:rsid w:val="00407E65"/>
    <w:rsid w:val="00413112"/>
    <w:rsid w:val="00413D0D"/>
    <w:rsid w:val="00414123"/>
    <w:rsid w:val="00414C59"/>
    <w:rsid w:val="004150F0"/>
    <w:rsid w:val="0041573A"/>
    <w:rsid w:val="004163B1"/>
    <w:rsid w:val="00416EC8"/>
    <w:rsid w:val="00417D25"/>
    <w:rsid w:val="00420973"/>
    <w:rsid w:val="00424719"/>
    <w:rsid w:val="00424748"/>
    <w:rsid w:val="00424EF4"/>
    <w:rsid w:val="00426DD1"/>
    <w:rsid w:val="00433BFE"/>
    <w:rsid w:val="00433FC6"/>
    <w:rsid w:val="0043610C"/>
    <w:rsid w:val="004407D5"/>
    <w:rsid w:val="00441417"/>
    <w:rsid w:val="0044170C"/>
    <w:rsid w:val="00442238"/>
    <w:rsid w:val="0044296C"/>
    <w:rsid w:val="0044381E"/>
    <w:rsid w:val="00443FEA"/>
    <w:rsid w:val="0044522E"/>
    <w:rsid w:val="00445F5A"/>
    <w:rsid w:val="00446AFC"/>
    <w:rsid w:val="004476B0"/>
    <w:rsid w:val="0044791F"/>
    <w:rsid w:val="00451283"/>
    <w:rsid w:val="004529CE"/>
    <w:rsid w:val="00453A36"/>
    <w:rsid w:val="00453A56"/>
    <w:rsid w:val="00453AF1"/>
    <w:rsid w:val="00455134"/>
    <w:rsid w:val="00455DDB"/>
    <w:rsid w:val="00461613"/>
    <w:rsid w:val="00464DB5"/>
    <w:rsid w:val="004667A2"/>
    <w:rsid w:val="00467CC2"/>
    <w:rsid w:val="00467D8B"/>
    <w:rsid w:val="00470B36"/>
    <w:rsid w:val="004721DF"/>
    <w:rsid w:val="00472681"/>
    <w:rsid w:val="004728D1"/>
    <w:rsid w:val="0047392A"/>
    <w:rsid w:val="00473E14"/>
    <w:rsid w:val="00474EDF"/>
    <w:rsid w:val="00474FAA"/>
    <w:rsid w:val="00475523"/>
    <w:rsid w:val="00475D43"/>
    <w:rsid w:val="00475D8B"/>
    <w:rsid w:val="00476697"/>
    <w:rsid w:val="0048024F"/>
    <w:rsid w:val="00481FD6"/>
    <w:rsid w:val="0048215E"/>
    <w:rsid w:val="00482187"/>
    <w:rsid w:val="004829F7"/>
    <w:rsid w:val="00483095"/>
    <w:rsid w:val="00485BDC"/>
    <w:rsid w:val="00485EF9"/>
    <w:rsid w:val="0048634C"/>
    <w:rsid w:val="00486AED"/>
    <w:rsid w:val="00487B20"/>
    <w:rsid w:val="00490D66"/>
    <w:rsid w:val="004917BF"/>
    <w:rsid w:val="004918E8"/>
    <w:rsid w:val="00493D0D"/>
    <w:rsid w:val="00494159"/>
    <w:rsid w:val="0049434A"/>
    <w:rsid w:val="00496439"/>
    <w:rsid w:val="00496CDC"/>
    <w:rsid w:val="004A05C6"/>
    <w:rsid w:val="004A30B3"/>
    <w:rsid w:val="004A333A"/>
    <w:rsid w:val="004A41A5"/>
    <w:rsid w:val="004A4B18"/>
    <w:rsid w:val="004A589A"/>
    <w:rsid w:val="004A7065"/>
    <w:rsid w:val="004A70D8"/>
    <w:rsid w:val="004B04F5"/>
    <w:rsid w:val="004B190E"/>
    <w:rsid w:val="004B237C"/>
    <w:rsid w:val="004B2709"/>
    <w:rsid w:val="004B2EBE"/>
    <w:rsid w:val="004B3F95"/>
    <w:rsid w:val="004B43E6"/>
    <w:rsid w:val="004B470B"/>
    <w:rsid w:val="004B7F9C"/>
    <w:rsid w:val="004C11A7"/>
    <w:rsid w:val="004C204D"/>
    <w:rsid w:val="004C275F"/>
    <w:rsid w:val="004C2DB4"/>
    <w:rsid w:val="004C33D1"/>
    <w:rsid w:val="004C3998"/>
    <w:rsid w:val="004C4EE3"/>
    <w:rsid w:val="004C54F2"/>
    <w:rsid w:val="004C5D86"/>
    <w:rsid w:val="004C6170"/>
    <w:rsid w:val="004C644F"/>
    <w:rsid w:val="004C6B0F"/>
    <w:rsid w:val="004D0AEF"/>
    <w:rsid w:val="004D1209"/>
    <w:rsid w:val="004D286B"/>
    <w:rsid w:val="004D3991"/>
    <w:rsid w:val="004D52B9"/>
    <w:rsid w:val="004D58A5"/>
    <w:rsid w:val="004D6043"/>
    <w:rsid w:val="004D63BF"/>
    <w:rsid w:val="004D6F00"/>
    <w:rsid w:val="004E04CB"/>
    <w:rsid w:val="004E0AB7"/>
    <w:rsid w:val="004E10AB"/>
    <w:rsid w:val="004E53DC"/>
    <w:rsid w:val="004E6EE7"/>
    <w:rsid w:val="004E7084"/>
    <w:rsid w:val="004F1A9D"/>
    <w:rsid w:val="004F2496"/>
    <w:rsid w:val="004F41F4"/>
    <w:rsid w:val="004F540E"/>
    <w:rsid w:val="004F7794"/>
    <w:rsid w:val="00500EA4"/>
    <w:rsid w:val="00501605"/>
    <w:rsid w:val="0050273B"/>
    <w:rsid w:val="00502FF9"/>
    <w:rsid w:val="00503AA8"/>
    <w:rsid w:val="005046CC"/>
    <w:rsid w:val="00505CF0"/>
    <w:rsid w:val="00506EB3"/>
    <w:rsid w:val="00507D41"/>
    <w:rsid w:val="00511570"/>
    <w:rsid w:val="00513CC8"/>
    <w:rsid w:val="00513DBE"/>
    <w:rsid w:val="00514CCA"/>
    <w:rsid w:val="00516C35"/>
    <w:rsid w:val="00521B6E"/>
    <w:rsid w:val="00525A7B"/>
    <w:rsid w:val="00525B98"/>
    <w:rsid w:val="00526A40"/>
    <w:rsid w:val="005301CE"/>
    <w:rsid w:val="00533E46"/>
    <w:rsid w:val="00534615"/>
    <w:rsid w:val="00534929"/>
    <w:rsid w:val="00534C38"/>
    <w:rsid w:val="00535DE1"/>
    <w:rsid w:val="005376C6"/>
    <w:rsid w:val="005423AD"/>
    <w:rsid w:val="00542D02"/>
    <w:rsid w:val="005430F4"/>
    <w:rsid w:val="005439EC"/>
    <w:rsid w:val="00543E1B"/>
    <w:rsid w:val="0054536D"/>
    <w:rsid w:val="005457EC"/>
    <w:rsid w:val="005468D4"/>
    <w:rsid w:val="00546D85"/>
    <w:rsid w:val="00547415"/>
    <w:rsid w:val="005475D9"/>
    <w:rsid w:val="00547904"/>
    <w:rsid w:val="005506BD"/>
    <w:rsid w:val="005518C6"/>
    <w:rsid w:val="00551BBB"/>
    <w:rsid w:val="005524F8"/>
    <w:rsid w:val="00552A0E"/>
    <w:rsid w:val="00553C25"/>
    <w:rsid w:val="005553FE"/>
    <w:rsid w:val="00555C5F"/>
    <w:rsid w:val="00556367"/>
    <w:rsid w:val="00556769"/>
    <w:rsid w:val="00556A34"/>
    <w:rsid w:val="00557814"/>
    <w:rsid w:val="005600DA"/>
    <w:rsid w:val="005618F2"/>
    <w:rsid w:val="00561DD6"/>
    <w:rsid w:val="005633CA"/>
    <w:rsid w:val="00564B20"/>
    <w:rsid w:val="005660E1"/>
    <w:rsid w:val="00566122"/>
    <w:rsid w:val="00567684"/>
    <w:rsid w:val="00567DF6"/>
    <w:rsid w:val="00572865"/>
    <w:rsid w:val="005728DA"/>
    <w:rsid w:val="00574B24"/>
    <w:rsid w:val="005752E7"/>
    <w:rsid w:val="0057579B"/>
    <w:rsid w:val="00575D2B"/>
    <w:rsid w:val="00575F27"/>
    <w:rsid w:val="0057718F"/>
    <w:rsid w:val="005804C5"/>
    <w:rsid w:val="00580CEF"/>
    <w:rsid w:val="00583585"/>
    <w:rsid w:val="005862F6"/>
    <w:rsid w:val="00591381"/>
    <w:rsid w:val="0059548D"/>
    <w:rsid w:val="00595872"/>
    <w:rsid w:val="00595E8A"/>
    <w:rsid w:val="00596C74"/>
    <w:rsid w:val="00596DBB"/>
    <w:rsid w:val="00597272"/>
    <w:rsid w:val="0059728D"/>
    <w:rsid w:val="0059749C"/>
    <w:rsid w:val="005A2372"/>
    <w:rsid w:val="005A25E5"/>
    <w:rsid w:val="005A343E"/>
    <w:rsid w:val="005A4C56"/>
    <w:rsid w:val="005A6D04"/>
    <w:rsid w:val="005B21E4"/>
    <w:rsid w:val="005B3F90"/>
    <w:rsid w:val="005B4D4C"/>
    <w:rsid w:val="005B4F90"/>
    <w:rsid w:val="005B58D6"/>
    <w:rsid w:val="005B6BB4"/>
    <w:rsid w:val="005B7630"/>
    <w:rsid w:val="005B7BBD"/>
    <w:rsid w:val="005C0ABE"/>
    <w:rsid w:val="005C188F"/>
    <w:rsid w:val="005C1A2B"/>
    <w:rsid w:val="005C3369"/>
    <w:rsid w:val="005C3958"/>
    <w:rsid w:val="005C3A37"/>
    <w:rsid w:val="005C49A8"/>
    <w:rsid w:val="005C620D"/>
    <w:rsid w:val="005C684C"/>
    <w:rsid w:val="005C6985"/>
    <w:rsid w:val="005C76E9"/>
    <w:rsid w:val="005D0D02"/>
    <w:rsid w:val="005D0E3F"/>
    <w:rsid w:val="005D1C43"/>
    <w:rsid w:val="005D32E0"/>
    <w:rsid w:val="005D495C"/>
    <w:rsid w:val="005D5125"/>
    <w:rsid w:val="005D6547"/>
    <w:rsid w:val="005D676F"/>
    <w:rsid w:val="005E0438"/>
    <w:rsid w:val="005E21B8"/>
    <w:rsid w:val="005E3A35"/>
    <w:rsid w:val="005E4EAC"/>
    <w:rsid w:val="005E5AD4"/>
    <w:rsid w:val="005E63AB"/>
    <w:rsid w:val="005F0580"/>
    <w:rsid w:val="005F1690"/>
    <w:rsid w:val="005F219A"/>
    <w:rsid w:val="005F3609"/>
    <w:rsid w:val="005F554B"/>
    <w:rsid w:val="005F67AF"/>
    <w:rsid w:val="005F6B70"/>
    <w:rsid w:val="005F6FB3"/>
    <w:rsid w:val="00601C31"/>
    <w:rsid w:val="006027E2"/>
    <w:rsid w:val="0060649F"/>
    <w:rsid w:val="00606BAE"/>
    <w:rsid w:val="0060732F"/>
    <w:rsid w:val="006107EB"/>
    <w:rsid w:val="00610807"/>
    <w:rsid w:val="00610DBF"/>
    <w:rsid w:val="0061348F"/>
    <w:rsid w:val="006155E4"/>
    <w:rsid w:val="00616366"/>
    <w:rsid w:val="00616E87"/>
    <w:rsid w:val="0061798C"/>
    <w:rsid w:val="006208A3"/>
    <w:rsid w:val="006215BA"/>
    <w:rsid w:val="00621FFA"/>
    <w:rsid w:val="00622272"/>
    <w:rsid w:val="0062252E"/>
    <w:rsid w:val="006255E6"/>
    <w:rsid w:val="00625CFB"/>
    <w:rsid w:val="00630A7E"/>
    <w:rsid w:val="00630D66"/>
    <w:rsid w:val="00631D47"/>
    <w:rsid w:val="00632BF5"/>
    <w:rsid w:val="00633473"/>
    <w:rsid w:val="006334D3"/>
    <w:rsid w:val="00633977"/>
    <w:rsid w:val="006340CB"/>
    <w:rsid w:val="00634939"/>
    <w:rsid w:val="006352A1"/>
    <w:rsid w:val="00641003"/>
    <w:rsid w:val="00643B85"/>
    <w:rsid w:val="00644495"/>
    <w:rsid w:val="00651E34"/>
    <w:rsid w:val="006538D1"/>
    <w:rsid w:val="006539B3"/>
    <w:rsid w:val="006541C0"/>
    <w:rsid w:val="00654A97"/>
    <w:rsid w:val="00656112"/>
    <w:rsid w:val="00656BC1"/>
    <w:rsid w:val="006579BB"/>
    <w:rsid w:val="0066113E"/>
    <w:rsid w:val="00661554"/>
    <w:rsid w:val="00661E04"/>
    <w:rsid w:val="00662E0C"/>
    <w:rsid w:val="006644B8"/>
    <w:rsid w:val="00664C10"/>
    <w:rsid w:val="006652A0"/>
    <w:rsid w:val="00666879"/>
    <w:rsid w:val="00666C2E"/>
    <w:rsid w:val="00670760"/>
    <w:rsid w:val="006708CF"/>
    <w:rsid w:val="00670AE5"/>
    <w:rsid w:val="00673295"/>
    <w:rsid w:val="00673578"/>
    <w:rsid w:val="00673E1A"/>
    <w:rsid w:val="0067715F"/>
    <w:rsid w:val="006805BE"/>
    <w:rsid w:val="00681B6D"/>
    <w:rsid w:val="00684907"/>
    <w:rsid w:val="00685D67"/>
    <w:rsid w:val="0068638B"/>
    <w:rsid w:val="00687BD5"/>
    <w:rsid w:val="00687DC8"/>
    <w:rsid w:val="00687FAF"/>
    <w:rsid w:val="00694E6B"/>
    <w:rsid w:val="00694EEC"/>
    <w:rsid w:val="00694FE8"/>
    <w:rsid w:val="006951C8"/>
    <w:rsid w:val="006956CF"/>
    <w:rsid w:val="00695D76"/>
    <w:rsid w:val="00697BBC"/>
    <w:rsid w:val="006A0A8D"/>
    <w:rsid w:val="006A1222"/>
    <w:rsid w:val="006A1853"/>
    <w:rsid w:val="006A1897"/>
    <w:rsid w:val="006A4F0C"/>
    <w:rsid w:val="006A5087"/>
    <w:rsid w:val="006A5209"/>
    <w:rsid w:val="006A5242"/>
    <w:rsid w:val="006A6730"/>
    <w:rsid w:val="006A67FB"/>
    <w:rsid w:val="006B0CB8"/>
    <w:rsid w:val="006B2524"/>
    <w:rsid w:val="006B2CE4"/>
    <w:rsid w:val="006B6D85"/>
    <w:rsid w:val="006B7D8A"/>
    <w:rsid w:val="006B7E28"/>
    <w:rsid w:val="006C0ADF"/>
    <w:rsid w:val="006C1110"/>
    <w:rsid w:val="006C3AFB"/>
    <w:rsid w:val="006C3FA2"/>
    <w:rsid w:val="006C4842"/>
    <w:rsid w:val="006C510E"/>
    <w:rsid w:val="006C684A"/>
    <w:rsid w:val="006C6ACD"/>
    <w:rsid w:val="006D081E"/>
    <w:rsid w:val="006D1369"/>
    <w:rsid w:val="006D487A"/>
    <w:rsid w:val="006D4D5B"/>
    <w:rsid w:val="006D5C20"/>
    <w:rsid w:val="006D6931"/>
    <w:rsid w:val="006E0F85"/>
    <w:rsid w:val="006E2341"/>
    <w:rsid w:val="006E3224"/>
    <w:rsid w:val="006E4042"/>
    <w:rsid w:val="006E5A8A"/>
    <w:rsid w:val="006F02B8"/>
    <w:rsid w:val="006F1326"/>
    <w:rsid w:val="006F1C9B"/>
    <w:rsid w:val="006F2F7F"/>
    <w:rsid w:val="006F3545"/>
    <w:rsid w:val="006F38EF"/>
    <w:rsid w:val="006F4171"/>
    <w:rsid w:val="006F5E2C"/>
    <w:rsid w:val="006F786C"/>
    <w:rsid w:val="006F7C05"/>
    <w:rsid w:val="00700827"/>
    <w:rsid w:val="00700940"/>
    <w:rsid w:val="00702A97"/>
    <w:rsid w:val="00702B4D"/>
    <w:rsid w:val="00702C20"/>
    <w:rsid w:val="0070342B"/>
    <w:rsid w:val="007038D1"/>
    <w:rsid w:val="00704D5B"/>
    <w:rsid w:val="00705CC5"/>
    <w:rsid w:val="0070632E"/>
    <w:rsid w:val="00707C83"/>
    <w:rsid w:val="0071030D"/>
    <w:rsid w:val="007104C2"/>
    <w:rsid w:val="00710A00"/>
    <w:rsid w:val="00711E4D"/>
    <w:rsid w:val="007123B1"/>
    <w:rsid w:val="00712FB9"/>
    <w:rsid w:val="00713F8D"/>
    <w:rsid w:val="00714440"/>
    <w:rsid w:val="007152B1"/>
    <w:rsid w:val="00715A08"/>
    <w:rsid w:val="00716CD2"/>
    <w:rsid w:val="00716DEE"/>
    <w:rsid w:val="00717573"/>
    <w:rsid w:val="0072036D"/>
    <w:rsid w:val="007204E0"/>
    <w:rsid w:val="00721537"/>
    <w:rsid w:val="00721F86"/>
    <w:rsid w:val="0072555D"/>
    <w:rsid w:val="007259D7"/>
    <w:rsid w:val="0072645F"/>
    <w:rsid w:val="007266E1"/>
    <w:rsid w:val="00727D7A"/>
    <w:rsid w:val="00730422"/>
    <w:rsid w:val="00730BDE"/>
    <w:rsid w:val="00731E0B"/>
    <w:rsid w:val="00732FE6"/>
    <w:rsid w:val="00733642"/>
    <w:rsid w:val="00733D1B"/>
    <w:rsid w:val="0073423E"/>
    <w:rsid w:val="00735740"/>
    <w:rsid w:val="007363DC"/>
    <w:rsid w:val="00737028"/>
    <w:rsid w:val="007377D7"/>
    <w:rsid w:val="007414D1"/>
    <w:rsid w:val="00744527"/>
    <w:rsid w:val="00744F27"/>
    <w:rsid w:val="0074600D"/>
    <w:rsid w:val="007468A7"/>
    <w:rsid w:val="00746A3F"/>
    <w:rsid w:val="00747393"/>
    <w:rsid w:val="00747E94"/>
    <w:rsid w:val="0075030A"/>
    <w:rsid w:val="0075076E"/>
    <w:rsid w:val="00750E9D"/>
    <w:rsid w:val="007515C3"/>
    <w:rsid w:val="0075172B"/>
    <w:rsid w:val="0075339B"/>
    <w:rsid w:val="00753DB0"/>
    <w:rsid w:val="00754604"/>
    <w:rsid w:val="007557B8"/>
    <w:rsid w:val="0075627D"/>
    <w:rsid w:val="007563EB"/>
    <w:rsid w:val="007565ED"/>
    <w:rsid w:val="007645D6"/>
    <w:rsid w:val="00765AAA"/>
    <w:rsid w:val="007660BD"/>
    <w:rsid w:val="007670A1"/>
    <w:rsid w:val="00767BF0"/>
    <w:rsid w:val="00772126"/>
    <w:rsid w:val="00772598"/>
    <w:rsid w:val="00773371"/>
    <w:rsid w:val="00774760"/>
    <w:rsid w:val="00775BCF"/>
    <w:rsid w:val="0077606B"/>
    <w:rsid w:val="0078078D"/>
    <w:rsid w:val="00780F2D"/>
    <w:rsid w:val="00780F37"/>
    <w:rsid w:val="00783226"/>
    <w:rsid w:val="007832ED"/>
    <w:rsid w:val="00783FF9"/>
    <w:rsid w:val="00787D15"/>
    <w:rsid w:val="0079121D"/>
    <w:rsid w:val="00792D64"/>
    <w:rsid w:val="007930D4"/>
    <w:rsid w:val="007947E4"/>
    <w:rsid w:val="00796948"/>
    <w:rsid w:val="00796A60"/>
    <w:rsid w:val="00797755"/>
    <w:rsid w:val="007A0345"/>
    <w:rsid w:val="007A11BF"/>
    <w:rsid w:val="007A151B"/>
    <w:rsid w:val="007A280E"/>
    <w:rsid w:val="007A3D8D"/>
    <w:rsid w:val="007A5152"/>
    <w:rsid w:val="007A5D8E"/>
    <w:rsid w:val="007A61B7"/>
    <w:rsid w:val="007A63AD"/>
    <w:rsid w:val="007B0DFE"/>
    <w:rsid w:val="007B1439"/>
    <w:rsid w:val="007B3838"/>
    <w:rsid w:val="007B3EB0"/>
    <w:rsid w:val="007B653D"/>
    <w:rsid w:val="007B7EEC"/>
    <w:rsid w:val="007C1559"/>
    <w:rsid w:val="007C2676"/>
    <w:rsid w:val="007C3CE1"/>
    <w:rsid w:val="007C59DD"/>
    <w:rsid w:val="007C6C15"/>
    <w:rsid w:val="007C7054"/>
    <w:rsid w:val="007C7A88"/>
    <w:rsid w:val="007D11AC"/>
    <w:rsid w:val="007D282D"/>
    <w:rsid w:val="007D35E9"/>
    <w:rsid w:val="007D3ED7"/>
    <w:rsid w:val="007D6B6B"/>
    <w:rsid w:val="007E00D3"/>
    <w:rsid w:val="007E0178"/>
    <w:rsid w:val="007E06FF"/>
    <w:rsid w:val="007E0F59"/>
    <w:rsid w:val="007E17D3"/>
    <w:rsid w:val="007E1A02"/>
    <w:rsid w:val="007E7170"/>
    <w:rsid w:val="007F0545"/>
    <w:rsid w:val="007F0A13"/>
    <w:rsid w:val="007F10E8"/>
    <w:rsid w:val="007F12C3"/>
    <w:rsid w:val="007F4372"/>
    <w:rsid w:val="007F44AD"/>
    <w:rsid w:val="007F4B9D"/>
    <w:rsid w:val="007F560B"/>
    <w:rsid w:val="007F6985"/>
    <w:rsid w:val="007F6E49"/>
    <w:rsid w:val="007F78F7"/>
    <w:rsid w:val="008010AD"/>
    <w:rsid w:val="00802447"/>
    <w:rsid w:val="0080252E"/>
    <w:rsid w:val="008033F1"/>
    <w:rsid w:val="00803866"/>
    <w:rsid w:val="00803F14"/>
    <w:rsid w:val="0080428E"/>
    <w:rsid w:val="00804C3D"/>
    <w:rsid w:val="00805F34"/>
    <w:rsid w:val="0080634B"/>
    <w:rsid w:val="00807C4E"/>
    <w:rsid w:val="00810328"/>
    <w:rsid w:val="0081062C"/>
    <w:rsid w:val="008113BB"/>
    <w:rsid w:val="0081299E"/>
    <w:rsid w:val="00813C5C"/>
    <w:rsid w:val="008206DD"/>
    <w:rsid w:val="0082105A"/>
    <w:rsid w:val="00823CF2"/>
    <w:rsid w:val="0082457E"/>
    <w:rsid w:val="00824C50"/>
    <w:rsid w:val="008264DE"/>
    <w:rsid w:val="008269D5"/>
    <w:rsid w:val="00827417"/>
    <w:rsid w:val="008303A3"/>
    <w:rsid w:val="00830CC0"/>
    <w:rsid w:val="00832633"/>
    <w:rsid w:val="0083470A"/>
    <w:rsid w:val="00834979"/>
    <w:rsid w:val="00834FD2"/>
    <w:rsid w:val="008350AE"/>
    <w:rsid w:val="00835756"/>
    <w:rsid w:val="008378C0"/>
    <w:rsid w:val="00837E18"/>
    <w:rsid w:val="00843245"/>
    <w:rsid w:val="00843A6B"/>
    <w:rsid w:val="0084410B"/>
    <w:rsid w:val="0084423D"/>
    <w:rsid w:val="00844419"/>
    <w:rsid w:val="00845046"/>
    <w:rsid w:val="00847C6B"/>
    <w:rsid w:val="00850DA0"/>
    <w:rsid w:val="008516C1"/>
    <w:rsid w:val="00857661"/>
    <w:rsid w:val="00861C82"/>
    <w:rsid w:val="008674D3"/>
    <w:rsid w:val="00867C78"/>
    <w:rsid w:val="00870ACB"/>
    <w:rsid w:val="00871994"/>
    <w:rsid w:val="008721B5"/>
    <w:rsid w:val="00872630"/>
    <w:rsid w:val="0087266D"/>
    <w:rsid w:val="008738EA"/>
    <w:rsid w:val="008764AD"/>
    <w:rsid w:val="0087671D"/>
    <w:rsid w:val="00876B9D"/>
    <w:rsid w:val="00877DFA"/>
    <w:rsid w:val="00877F6F"/>
    <w:rsid w:val="00880369"/>
    <w:rsid w:val="00880EE8"/>
    <w:rsid w:val="008839DF"/>
    <w:rsid w:val="00884191"/>
    <w:rsid w:val="0088419A"/>
    <w:rsid w:val="00886F4F"/>
    <w:rsid w:val="008870BA"/>
    <w:rsid w:val="0088761F"/>
    <w:rsid w:val="008877B2"/>
    <w:rsid w:val="00891AF6"/>
    <w:rsid w:val="00891B7F"/>
    <w:rsid w:val="0089344B"/>
    <w:rsid w:val="00894BFB"/>
    <w:rsid w:val="00894E2B"/>
    <w:rsid w:val="00895DED"/>
    <w:rsid w:val="0089671C"/>
    <w:rsid w:val="00897905"/>
    <w:rsid w:val="008A0696"/>
    <w:rsid w:val="008A0749"/>
    <w:rsid w:val="008A1001"/>
    <w:rsid w:val="008A19B7"/>
    <w:rsid w:val="008A4C5F"/>
    <w:rsid w:val="008B01F4"/>
    <w:rsid w:val="008B315C"/>
    <w:rsid w:val="008B31D5"/>
    <w:rsid w:val="008B401D"/>
    <w:rsid w:val="008B4262"/>
    <w:rsid w:val="008B4DCA"/>
    <w:rsid w:val="008B5CB7"/>
    <w:rsid w:val="008C108A"/>
    <w:rsid w:val="008C1408"/>
    <w:rsid w:val="008C34CF"/>
    <w:rsid w:val="008C39D1"/>
    <w:rsid w:val="008C40E5"/>
    <w:rsid w:val="008C67E8"/>
    <w:rsid w:val="008C700C"/>
    <w:rsid w:val="008D0748"/>
    <w:rsid w:val="008D1616"/>
    <w:rsid w:val="008D1D77"/>
    <w:rsid w:val="008D28E6"/>
    <w:rsid w:val="008D54E4"/>
    <w:rsid w:val="008D5AFE"/>
    <w:rsid w:val="008D5B0F"/>
    <w:rsid w:val="008D7158"/>
    <w:rsid w:val="008E0570"/>
    <w:rsid w:val="008E227F"/>
    <w:rsid w:val="008E2665"/>
    <w:rsid w:val="008E27CB"/>
    <w:rsid w:val="008E3586"/>
    <w:rsid w:val="008E4259"/>
    <w:rsid w:val="008E47B1"/>
    <w:rsid w:val="008E53A9"/>
    <w:rsid w:val="008E54FA"/>
    <w:rsid w:val="008E55EA"/>
    <w:rsid w:val="008E5EDD"/>
    <w:rsid w:val="008F1C4F"/>
    <w:rsid w:val="008F3056"/>
    <w:rsid w:val="008F5212"/>
    <w:rsid w:val="008F54A0"/>
    <w:rsid w:val="008F7099"/>
    <w:rsid w:val="0090018B"/>
    <w:rsid w:val="00902D1A"/>
    <w:rsid w:val="00904B63"/>
    <w:rsid w:val="00905A0F"/>
    <w:rsid w:val="0090632B"/>
    <w:rsid w:val="00910411"/>
    <w:rsid w:val="0091077C"/>
    <w:rsid w:val="009111E6"/>
    <w:rsid w:val="00912DFD"/>
    <w:rsid w:val="0091551D"/>
    <w:rsid w:val="00915D7D"/>
    <w:rsid w:val="00917766"/>
    <w:rsid w:val="0091787A"/>
    <w:rsid w:val="00917F95"/>
    <w:rsid w:val="00920477"/>
    <w:rsid w:val="00920DC6"/>
    <w:rsid w:val="0092184C"/>
    <w:rsid w:val="009230B6"/>
    <w:rsid w:val="00923204"/>
    <w:rsid w:val="009233A2"/>
    <w:rsid w:val="00925F4B"/>
    <w:rsid w:val="0092775D"/>
    <w:rsid w:val="0093223F"/>
    <w:rsid w:val="0093264E"/>
    <w:rsid w:val="00933208"/>
    <w:rsid w:val="00933F10"/>
    <w:rsid w:val="009361FA"/>
    <w:rsid w:val="00936BF0"/>
    <w:rsid w:val="00942C82"/>
    <w:rsid w:val="009433A1"/>
    <w:rsid w:val="00943FD7"/>
    <w:rsid w:val="00944234"/>
    <w:rsid w:val="00945B74"/>
    <w:rsid w:val="0094625D"/>
    <w:rsid w:val="00947CEB"/>
    <w:rsid w:val="009500E8"/>
    <w:rsid w:val="009500F7"/>
    <w:rsid w:val="00951B32"/>
    <w:rsid w:val="00951D66"/>
    <w:rsid w:val="00952342"/>
    <w:rsid w:val="0095246B"/>
    <w:rsid w:val="00952E5B"/>
    <w:rsid w:val="00954ACD"/>
    <w:rsid w:val="00954E4A"/>
    <w:rsid w:val="00956117"/>
    <w:rsid w:val="00956BE7"/>
    <w:rsid w:val="00956F9A"/>
    <w:rsid w:val="00957911"/>
    <w:rsid w:val="00957ECB"/>
    <w:rsid w:val="00961BE0"/>
    <w:rsid w:val="00965DA7"/>
    <w:rsid w:val="009660A7"/>
    <w:rsid w:val="0096672A"/>
    <w:rsid w:val="00967499"/>
    <w:rsid w:val="00967611"/>
    <w:rsid w:val="00967E93"/>
    <w:rsid w:val="00971EA8"/>
    <w:rsid w:val="009736A3"/>
    <w:rsid w:val="009753CD"/>
    <w:rsid w:val="00980CC9"/>
    <w:rsid w:val="00980D98"/>
    <w:rsid w:val="00981EB2"/>
    <w:rsid w:val="009832F6"/>
    <w:rsid w:val="009834E5"/>
    <w:rsid w:val="009845EA"/>
    <w:rsid w:val="00984BEC"/>
    <w:rsid w:val="00985390"/>
    <w:rsid w:val="00985BC3"/>
    <w:rsid w:val="00990A08"/>
    <w:rsid w:val="00995A51"/>
    <w:rsid w:val="00996182"/>
    <w:rsid w:val="009974C1"/>
    <w:rsid w:val="00997E32"/>
    <w:rsid w:val="009A065E"/>
    <w:rsid w:val="009A08F7"/>
    <w:rsid w:val="009A1301"/>
    <w:rsid w:val="009A2F7E"/>
    <w:rsid w:val="009A3420"/>
    <w:rsid w:val="009A368C"/>
    <w:rsid w:val="009A374E"/>
    <w:rsid w:val="009A4234"/>
    <w:rsid w:val="009A5DD0"/>
    <w:rsid w:val="009A5E52"/>
    <w:rsid w:val="009B311F"/>
    <w:rsid w:val="009B381E"/>
    <w:rsid w:val="009B4A28"/>
    <w:rsid w:val="009B56E0"/>
    <w:rsid w:val="009B692F"/>
    <w:rsid w:val="009B7C86"/>
    <w:rsid w:val="009C0F61"/>
    <w:rsid w:val="009C1892"/>
    <w:rsid w:val="009C22A7"/>
    <w:rsid w:val="009C29D8"/>
    <w:rsid w:val="009C4220"/>
    <w:rsid w:val="009C4FDA"/>
    <w:rsid w:val="009C5B30"/>
    <w:rsid w:val="009C5CDD"/>
    <w:rsid w:val="009C70B5"/>
    <w:rsid w:val="009C72EC"/>
    <w:rsid w:val="009D115E"/>
    <w:rsid w:val="009D1615"/>
    <w:rsid w:val="009E1D1C"/>
    <w:rsid w:val="009E23D4"/>
    <w:rsid w:val="009E3B75"/>
    <w:rsid w:val="009E570B"/>
    <w:rsid w:val="009E5F40"/>
    <w:rsid w:val="009E7551"/>
    <w:rsid w:val="009F00AD"/>
    <w:rsid w:val="009F07A1"/>
    <w:rsid w:val="009F16F9"/>
    <w:rsid w:val="009F285C"/>
    <w:rsid w:val="009F2DFA"/>
    <w:rsid w:val="009F3D7C"/>
    <w:rsid w:val="009F4463"/>
    <w:rsid w:val="009F4ECD"/>
    <w:rsid w:val="009F6F36"/>
    <w:rsid w:val="00A007D4"/>
    <w:rsid w:val="00A00D3F"/>
    <w:rsid w:val="00A01369"/>
    <w:rsid w:val="00A023F9"/>
    <w:rsid w:val="00A026BE"/>
    <w:rsid w:val="00A027D8"/>
    <w:rsid w:val="00A02A5B"/>
    <w:rsid w:val="00A02FA7"/>
    <w:rsid w:val="00A07D78"/>
    <w:rsid w:val="00A1061B"/>
    <w:rsid w:val="00A10FEF"/>
    <w:rsid w:val="00A11455"/>
    <w:rsid w:val="00A11C15"/>
    <w:rsid w:val="00A12072"/>
    <w:rsid w:val="00A12A3A"/>
    <w:rsid w:val="00A12C17"/>
    <w:rsid w:val="00A13274"/>
    <w:rsid w:val="00A15031"/>
    <w:rsid w:val="00A162D5"/>
    <w:rsid w:val="00A1635C"/>
    <w:rsid w:val="00A16E82"/>
    <w:rsid w:val="00A170B3"/>
    <w:rsid w:val="00A213D5"/>
    <w:rsid w:val="00A21B9E"/>
    <w:rsid w:val="00A230AA"/>
    <w:rsid w:val="00A23E18"/>
    <w:rsid w:val="00A245E0"/>
    <w:rsid w:val="00A24A7D"/>
    <w:rsid w:val="00A2588B"/>
    <w:rsid w:val="00A25E1D"/>
    <w:rsid w:val="00A26137"/>
    <w:rsid w:val="00A26A96"/>
    <w:rsid w:val="00A26E57"/>
    <w:rsid w:val="00A27B17"/>
    <w:rsid w:val="00A30500"/>
    <w:rsid w:val="00A3072F"/>
    <w:rsid w:val="00A30B2F"/>
    <w:rsid w:val="00A310EA"/>
    <w:rsid w:val="00A364E6"/>
    <w:rsid w:val="00A36A73"/>
    <w:rsid w:val="00A36FD7"/>
    <w:rsid w:val="00A376CA"/>
    <w:rsid w:val="00A425DB"/>
    <w:rsid w:val="00A43FBB"/>
    <w:rsid w:val="00A477DE"/>
    <w:rsid w:val="00A47C1E"/>
    <w:rsid w:val="00A47FA4"/>
    <w:rsid w:val="00A5012F"/>
    <w:rsid w:val="00A51B4C"/>
    <w:rsid w:val="00A531DB"/>
    <w:rsid w:val="00A54829"/>
    <w:rsid w:val="00A548B9"/>
    <w:rsid w:val="00A5602A"/>
    <w:rsid w:val="00A57A47"/>
    <w:rsid w:val="00A60D62"/>
    <w:rsid w:val="00A60E41"/>
    <w:rsid w:val="00A61561"/>
    <w:rsid w:val="00A622C2"/>
    <w:rsid w:val="00A638A8"/>
    <w:rsid w:val="00A64DA6"/>
    <w:rsid w:val="00A653D3"/>
    <w:rsid w:val="00A66B49"/>
    <w:rsid w:val="00A67E4F"/>
    <w:rsid w:val="00A70D43"/>
    <w:rsid w:val="00A71697"/>
    <w:rsid w:val="00A7261A"/>
    <w:rsid w:val="00A72AE1"/>
    <w:rsid w:val="00A763F3"/>
    <w:rsid w:val="00A7728A"/>
    <w:rsid w:val="00A7773D"/>
    <w:rsid w:val="00A80820"/>
    <w:rsid w:val="00A82427"/>
    <w:rsid w:val="00A82C6F"/>
    <w:rsid w:val="00A85879"/>
    <w:rsid w:val="00A8694C"/>
    <w:rsid w:val="00A8786E"/>
    <w:rsid w:val="00A91C2F"/>
    <w:rsid w:val="00A9371E"/>
    <w:rsid w:val="00A95515"/>
    <w:rsid w:val="00A960C3"/>
    <w:rsid w:val="00A96DF6"/>
    <w:rsid w:val="00A96F4D"/>
    <w:rsid w:val="00A97C72"/>
    <w:rsid w:val="00AA0E0D"/>
    <w:rsid w:val="00AA177D"/>
    <w:rsid w:val="00AA1DB8"/>
    <w:rsid w:val="00AA32A9"/>
    <w:rsid w:val="00AA3327"/>
    <w:rsid w:val="00AA3A5B"/>
    <w:rsid w:val="00AA7C37"/>
    <w:rsid w:val="00AB05E5"/>
    <w:rsid w:val="00AB2F29"/>
    <w:rsid w:val="00AB5E4B"/>
    <w:rsid w:val="00AB64AF"/>
    <w:rsid w:val="00AB7CCF"/>
    <w:rsid w:val="00AC16FA"/>
    <w:rsid w:val="00AC1BA2"/>
    <w:rsid w:val="00AC4F79"/>
    <w:rsid w:val="00AC67B8"/>
    <w:rsid w:val="00AC6980"/>
    <w:rsid w:val="00AC74BC"/>
    <w:rsid w:val="00AC7DDB"/>
    <w:rsid w:val="00AD0159"/>
    <w:rsid w:val="00AD0835"/>
    <w:rsid w:val="00AD2245"/>
    <w:rsid w:val="00AD2DA3"/>
    <w:rsid w:val="00AD34C6"/>
    <w:rsid w:val="00AD4DE4"/>
    <w:rsid w:val="00AD4F15"/>
    <w:rsid w:val="00AD72F0"/>
    <w:rsid w:val="00AD747F"/>
    <w:rsid w:val="00AD7C93"/>
    <w:rsid w:val="00AE1528"/>
    <w:rsid w:val="00AE1568"/>
    <w:rsid w:val="00AE1AE0"/>
    <w:rsid w:val="00AE205B"/>
    <w:rsid w:val="00AE36D0"/>
    <w:rsid w:val="00AE7059"/>
    <w:rsid w:val="00AE7A5F"/>
    <w:rsid w:val="00AE7CFB"/>
    <w:rsid w:val="00AF0F03"/>
    <w:rsid w:val="00AF3E69"/>
    <w:rsid w:val="00AF4CFD"/>
    <w:rsid w:val="00AF7C59"/>
    <w:rsid w:val="00B001C7"/>
    <w:rsid w:val="00B008AF"/>
    <w:rsid w:val="00B020E6"/>
    <w:rsid w:val="00B02F3C"/>
    <w:rsid w:val="00B03745"/>
    <w:rsid w:val="00B07520"/>
    <w:rsid w:val="00B07AAB"/>
    <w:rsid w:val="00B11393"/>
    <w:rsid w:val="00B11BE9"/>
    <w:rsid w:val="00B12ED2"/>
    <w:rsid w:val="00B141EC"/>
    <w:rsid w:val="00B1494D"/>
    <w:rsid w:val="00B171B5"/>
    <w:rsid w:val="00B17792"/>
    <w:rsid w:val="00B221F7"/>
    <w:rsid w:val="00B245B4"/>
    <w:rsid w:val="00B245D2"/>
    <w:rsid w:val="00B25A40"/>
    <w:rsid w:val="00B279F2"/>
    <w:rsid w:val="00B27B79"/>
    <w:rsid w:val="00B30616"/>
    <w:rsid w:val="00B30833"/>
    <w:rsid w:val="00B33CEE"/>
    <w:rsid w:val="00B3402B"/>
    <w:rsid w:val="00B35757"/>
    <w:rsid w:val="00B36325"/>
    <w:rsid w:val="00B36B02"/>
    <w:rsid w:val="00B422A9"/>
    <w:rsid w:val="00B4347A"/>
    <w:rsid w:val="00B43E98"/>
    <w:rsid w:val="00B44A58"/>
    <w:rsid w:val="00B450EC"/>
    <w:rsid w:val="00B45748"/>
    <w:rsid w:val="00B46949"/>
    <w:rsid w:val="00B46971"/>
    <w:rsid w:val="00B46EB1"/>
    <w:rsid w:val="00B46F7C"/>
    <w:rsid w:val="00B472C7"/>
    <w:rsid w:val="00B47D8E"/>
    <w:rsid w:val="00B5391D"/>
    <w:rsid w:val="00B53B46"/>
    <w:rsid w:val="00B53B9E"/>
    <w:rsid w:val="00B542F6"/>
    <w:rsid w:val="00B55CAC"/>
    <w:rsid w:val="00B55F63"/>
    <w:rsid w:val="00B6087F"/>
    <w:rsid w:val="00B633DA"/>
    <w:rsid w:val="00B662B7"/>
    <w:rsid w:val="00B66FE7"/>
    <w:rsid w:val="00B6754A"/>
    <w:rsid w:val="00B70422"/>
    <w:rsid w:val="00B722AA"/>
    <w:rsid w:val="00B7259E"/>
    <w:rsid w:val="00B72661"/>
    <w:rsid w:val="00B72819"/>
    <w:rsid w:val="00B73AEF"/>
    <w:rsid w:val="00B74263"/>
    <w:rsid w:val="00B755A4"/>
    <w:rsid w:val="00B76AAC"/>
    <w:rsid w:val="00B76D5C"/>
    <w:rsid w:val="00B7791D"/>
    <w:rsid w:val="00B80A2A"/>
    <w:rsid w:val="00B80ED5"/>
    <w:rsid w:val="00B8359B"/>
    <w:rsid w:val="00B8567E"/>
    <w:rsid w:val="00B860BB"/>
    <w:rsid w:val="00B867A6"/>
    <w:rsid w:val="00B90554"/>
    <w:rsid w:val="00B912B6"/>
    <w:rsid w:val="00B9298E"/>
    <w:rsid w:val="00B949F3"/>
    <w:rsid w:val="00B94BDF"/>
    <w:rsid w:val="00B94FE8"/>
    <w:rsid w:val="00B9527E"/>
    <w:rsid w:val="00B97504"/>
    <w:rsid w:val="00BA1173"/>
    <w:rsid w:val="00BA1708"/>
    <w:rsid w:val="00BA174D"/>
    <w:rsid w:val="00BA20C5"/>
    <w:rsid w:val="00BA3199"/>
    <w:rsid w:val="00BA561C"/>
    <w:rsid w:val="00BA797A"/>
    <w:rsid w:val="00BA7D8C"/>
    <w:rsid w:val="00BB1D66"/>
    <w:rsid w:val="00BB2219"/>
    <w:rsid w:val="00BB23A1"/>
    <w:rsid w:val="00BB2610"/>
    <w:rsid w:val="00BB2861"/>
    <w:rsid w:val="00BB3843"/>
    <w:rsid w:val="00BB479B"/>
    <w:rsid w:val="00BB505C"/>
    <w:rsid w:val="00BB6D6D"/>
    <w:rsid w:val="00BC0E79"/>
    <w:rsid w:val="00BC344C"/>
    <w:rsid w:val="00BC5238"/>
    <w:rsid w:val="00BC5EC0"/>
    <w:rsid w:val="00BC61D6"/>
    <w:rsid w:val="00BC635A"/>
    <w:rsid w:val="00BC6B59"/>
    <w:rsid w:val="00BC7083"/>
    <w:rsid w:val="00BD2FB3"/>
    <w:rsid w:val="00BD323A"/>
    <w:rsid w:val="00BD3A97"/>
    <w:rsid w:val="00BD42F6"/>
    <w:rsid w:val="00BD52FC"/>
    <w:rsid w:val="00BD6FD6"/>
    <w:rsid w:val="00BD734D"/>
    <w:rsid w:val="00BE1587"/>
    <w:rsid w:val="00BE2604"/>
    <w:rsid w:val="00BE2FF0"/>
    <w:rsid w:val="00BE4039"/>
    <w:rsid w:val="00BE4323"/>
    <w:rsid w:val="00BE4A1F"/>
    <w:rsid w:val="00BE6894"/>
    <w:rsid w:val="00BE7185"/>
    <w:rsid w:val="00BE75DE"/>
    <w:rsid w:val="00BE7F21"/>
    <w:rsid w:val="00BE7F5F"/>
    <w:rsid w:val="00BF0295"/>
    <w:rsid w:val="00BF03EF"/>
    <w:rsid w:val="00BF06CC"/>
    <w:rsid w:val="00BF0DDF"/>
    <w:rsid w:val="00BF22AF"/>
    <w:rsid w:val="00BF2443"/>
    <w:rsid w:val="00BF439D"/>
    <w:rsid w:val="00BF48DC"/>
    <w:rsid w:val="00BF7972"/>
    <w:rsid w:val="00C0012F"/>
    <w:rsid w:val="00C00BBB"/>
    <w:rsid w:val="00C013A4"/>
    <w:rsid w:val="00C017E5"/>
    <w:rsid w:val="00C01877"/>
    <w:rsid w:val="00C022A3"/>
    <w:rsid w:val="00C0429F"/>
    <w:rsid w:val="00C04E71"/>
    <w:rsid w:val="00C05F0B"/>
    <w:rsid w:val="00C06653"/>
    <w:rsid w:val="00C07294"/>
    <w:rsid w:val="00C102C6"/>
    <w:rsid w:val="00C1088C"/>
    <w:rsid w:val="00C129B3"/>
    <w:rsid w:val="00C13DFC"/>
    <w:rsid w:val="00C14AA2"/>
    <w:rsid w:val="00C159C4"/>
    <w:rsid w:val="00C162A8"/>
    <w:rsid w:val="00C1720D"/>
    <w:rsid w:val="00C17938"/>
    <w:rsid w:val="00C17A24"/>
    <w:rsid w:val="00C20FFE"/>
    <w:rsid w:val="00C21C06"/>
    <w:rsid w:val="00C2345B"/>
    <w:rsid w:val="00C246CF"/>
    <w:rsid w:val="00C2685C"/>
    <w:rsid w:val="00C26A1A"/>
    <w:rsid w:val="00C26C0C"/>
    <w:rsid w:val="00C27288"/>
    <w:rsid w:val="00C27D54"/>
    <w:rsid w:val="00C31E63"/>
    <w:rsid w:val="00C31FD4"/>
    <w:rsid w:val="00C323C3"/>
    <w:rsid w:val="00C32715"/>
    <w:rsid w:val="00C32745"/>
    <w:rsid w:val="00C32C1C"/>
    <w:rsid w:val="00C32ED2"/>
    <w:rsid w:val="00C33C7E"/>
    <w:rsid w:val="00C346C9"/>
    <w:rsid w:val="00C34977"/>
    <w:rsid w:val="00C3561C"/>
    <w:rsid w:val="00C36040"/>
    <w:rsid w:val="00C3700C"/>
    <w:rsid w:val="00C40C8A"/>
    <w:rsid w:val="00C4130D"/>
    <w:rsid w:val="00C421C4"/>
    <w:rsid w:val="00C45AED"/>
    <w:rsid w:val="00C46138"/>
    <w:rsid w:val="00C461EB"/>
    <w:rsid w:val="00C46C96"/>
    <w:rsid w:val="00C527D9"/>
    <w:rsid w:val="00C52C76"/>
    <w:rsid w:val="00C55867"/>
    <w:rsid w:val="00C56649"/>
    <w:rsid w:val="00C566DA"/>
    <w:rsid w:val="00C569E2"/>
    <w:rsid w:val="00C56E41"/>
    <w:rsid w:val="00C57416"/>
    <w:rsid w:val="00C57C33"/>
    <w:rsid w:val="00C57F40"/>
    <w:rsid w:val="00C60896"/>
    <w:rsid w:val="00C6112F"/>
    <w:rsid w:val="00C62D68"/>
    <w:rsid w:val="00C630C0"/>
    <w:rsid w:val="00C63975"/>
    <w:rsid w:val="00C63DB8"/>
    <w:rsid w:val="00C63F65"/>
    <w:rsid w:val="00C6616A"/>
    <w:rsid w:val="00C67AD0"/>
    <w:rsid w:val="00C70D58"/>
    <w:rsid w:val="00C70E9B"/>
    <w:rsid w:val="00C7131E"/>
    <w:rsid w:val="00C71835"/>
    <w:rsid w:val="00C71F9F"/>
    <w:rsid w:val="00C721AF"/>
    <w:rsid w:val="00C72505"/>
    <w:rsid w:val="00C72B98"/>
    <w:rsid w:val="00C72FAD"/>
    <w:rsid w:val="00C73064"/>
    <w:rsid w:val="00C740A8"/>
    <w:rsid w:val="00C75126"/>
    <w:rsid w:val="00C75F2E"/>
    <w:rsid w:val="00C770C2"/>
    <w:rsid w:val="00C774A0"/>
    <w:rsid w:val="00C778A8"/>
    <w:rsid w:val="00C77C61"/>
    <w:rsid w:val="00C77E2E"/>
    <w:rsid w:val="00C80E41"/>
    <w:rsid w:val="00C86668"/>
    <w:rsid w:val="00C87596"/>
    <w:rsid w:val="00C90C8E"/>
    <w:rsid w:val="00C91ECF"/>
    <w:rsid w:val="00C93253"/>
    <w:rsid w:val="00C94C68"/>
    <w:rsid w:val="00C9533A"/>
    <w:rsid w:val="00C9544B"/>
    <w:rsid w:val="00C97DD4"/>
    <w:rsid w:val="00CA0EF7"/>
    <w:rsid w:val="00CA10E0"/>
    <w:rsid w:val="00CA23FA"/>
    <w:rsid w:val="00CA2A92"/>
    <w:rsid w:val="00CA4AED"/>
    <w:rsid w:val="00CA526E"/>
    <w:rsid w:val="00CA6732"/>
    <w:rsid w:val="00CA7472"/>
    <w:rsid w:val="00CB04FC"/>
    <w:rsid w:val="00CB05B0"/>
    <w:rsid w:val="00CB05D2"/>
    <w:rsid w:val="00CB094A"/>
    <w:rsid w:val="00CB283C"/>
    <w:rsid w:val="00CB3721"/>
    <w:rsid w:val="00CB46E8"/>
    <w:rsid w:val="00CB56DC"/>
    <w:rsid w:val="00CB7DE2"/>
    <w:rsid w:val="00CC1893"/>
    <w:rsid w:val="00CC20A0"/>
    <w:rsid w:val="00CC26B6"/>
    <w:rsid w:val="00CC3116"/>
    <w:rsid w:val="00CC591C"/>
    <w:rsid w:val="00CC6CEF"/>
    <w:rsid w:val="00CD0FC5"/>
    <w:rsid w:val="00CD1EC7"/>
    <w:rsid w:val="00CD3492"/>
    <w:rsid w:val="00CD3BD4"/>
    <w:rsid w:val="00CD3D7F"/>
    <w:rsid w:val="00CD40ED"/>
    <w:rsid w:val="00CD4AB8"/>
    <w:rsid w:val="00CD4E1A"/>
    <w:rsid w:val="00CD59DC"/>
    <w:rsid w:val="00CD7FF8"/>
    <w:rsid w:val="00CE04FE"/>
    <w:rsid w:val="00CE08AA"/>
    <w:rsid w:val="00CE381B"/>
    <w:rsid w:val="00CE404A"/>
    <w:rsid w:val="00CE50BB"/>
    <w:rsid w:val="00CE522C"/>
    <w:rsid w:val="00CE5760"/>
    <w:rsid w:val="00CE687E"/>
    <w:rsid w:val="00CE7375"/>
    <w:rsid w:val="00CF0F7C"/>
    <w:rsid w:val="00CF24BF"/>
    <w:rsid w:val="00CF24E6"/>
    <w:rsid w:val="00CF5743"/>
    <w:rsid w:val="00CF5C7B"/>
    <w:rsid w:val="00CF6F3B"/>
    <w:rsid w:val="00CF7154"/>
    <w:rsid w:val="00CF7359"/>
    <w:rsid w:val="00CF7E1B"/>
    <w:rsid w:val="00D01737"/>
    <w:rsid w:val="00D01D7A"/>
    <w:rsid w:val="00D03126"/>
    <w:rsid w:val="00D05311"/>
    <w:rsid w:val="00D06EC2"/>
    <w:rsid w:val="00D10B17"/>
    <w:rsid w:val="00D11837"/>
    <w:rsid w:val="00D1255F"/>
    <w:rsid w:val="00D127AD"/>
    <w:rsid w:val="00D12BCA"/>
    <w:rsid w:val="00D147E8"/>
    <w:rsid w:val="00D158EC"/>
    <w:rsid w:val="00D16C29"/>
    <w:rsid w:val="00D178F2"/>
    <w:rsid w:val="00D17CCF"/>
    <w:rsid w:val="00D2209C"/>
    <w:rsid w:val="00D227A7"/>
    <w:rsid w:val="00D23062"/>
    <w:rsid w:val="00D23AE2"/>
    <w:rsid w:val="00D25086"/>
    <w:rsid w:val="00D255F2"/>
    <w:rsid w:val="00D2568E"/>
    <w:rsid w:val="00D25DAC"/>
    <w:rsid w:val="00D25EFE"/>
    <w:rsid w:val="00D3053D"/>
    <w:rsid w:val="00D310D9"/>
    <w:rsid w:val="00D3174D"/>
    <w:rsid w:val="00D317C3"/>
    <w:rsid w:val="00D31892"/>
    <w:rsid w:val="00D328F2"/>
    <w:rsid w:val="00D328F6"/>
    <w:rsid w:val="00D32F1F"/>
    <w:rsid w:val="00D34FEF"/>
    <w:rsid w:val="00D3514C"/>
    <w:rsid w:val="00D36400"/>
    <w:rsid w:val="00D36E8B"/>
    <w:rsid w:val="00D3785E"/>
    <w:rsid w:val="00D4158B"/>
    <w:rsid w:val="00D41A88"/>
    <w:rsid w:val="00D42054"/>
    <w:rsid w:val="00D42674"/>
    <w:rsid w:val="00D42CE9"/>
    <w:rsid w:val="00D43CED"/>
    <w:rsid w:val="00D43E29"/>
    <w:rsid w:val="00D44548"/>
    <w:rsid w:val="00D4468E"/>
    <w:rsid w:val="00D478E0"/>
    <w:rsid w:val="00D4794F"/>
    <w:rsid w:val="00D543E3"/>
    <w:rsid w:val="00D546D4"/>
    <w:rsid w:val="00D55D3E"/>
    <w:rsid w:val="00D564AD"/>
    <w:rsid w:val="00D56592"/>
    <w:rsid w:val="00D56742"/>
    <w:rsid w:val="00D56804"/>
    <w:rsid w:val="00D5683F"/>
    <w:rsid w:val="00D57041"/>
    <w:rsid w:val="00D5765B"/>
    <w:rsid w:val="00D57E58"/>
    <w:rsid w:val="00D61334"/>
    <w:rsid w:val="00D6178D"/>
    <w:rsid w:val="00D61EF6"/>
    <w:rsid w:val="00D6215C"/>
    <w:rsid w:val="00D62A7C"/>
    <w:rsid w:val="00D62B97"/>
    <w:rsid w:val="00D645D6"/>
    <w:rsid w:val="00D65757"/>
    <w:rsid w:val="00D6627D"/>
    <w:rsid w:val="00D66CBE"/>
    <w:rsid w:val="00D66FF2"/>
    <w:rsid w:val="00D67A4C"/>
    <w:rsid w:val="00D67CDA"/>
    <w:rsid w:val="00D7095C"/>
    <w:rsid w:val="00D715AE"/>
    <w:rsid w:val="00D716EE"/>
    <w:rsid w:val="00D71D21"/>
    <w:rsid w:val="00D72356"/>
    <w:rsid w:val="00D72C63"/>
    <w:rsid w:val="00D74374"/>
    <w:rsid w:val="00D7693C"/>
    <w:rsid w:val="00D76B89"/>
    <w:rsid w:val="00D812FE"/>
    <w:rsid w:val="00D82C58"/>
    <w:rsid w:val="00D8414A"/>
    <w:rsid w:val="00D86AC8"/>
    <w:rsid w:val="00D90165"/>
    <w:rsid w:val="00D92F8F"/>
    <w:rsid w:val="00D93654"/>
    <w:rsid w:val="00D94711"/>
    <w:rsid w:val="00D95E28"/>
    <w:rsid w:val="00D9624F"/>
    <w:rsid w:val="00D96837"/>
    <w:rsid w:val="00DA090F"/>
    <w:rsid w:val="00DA2169"/>
    <w:rsid w:val="00DA3E7C"/>
    <w:rsid w:val="00DA554F"/>
    <w:rsid w:val="00DA5B0C"/>
    <w:rsid w:val="00DB04E0"/>
    <w:rsid w:val="00DB067D"/>
    <w:rsid w:val="00DB0B94"/>
    <w:rsid w:val="00DB0F28"/>
    <w:rsid w:val="00DB1B21"/>
    <w:rsid w:val="00DB599F"/>
    <w:rsid w:val="00DB7B81"/>
    <w:rsid w:val="00DC05C6"/>
    <w:rsid w:val="00DC0A70"/>
    <w:rsid w:val="00DC2871"/>
    <w:rsid w:val="00DC290D"/>
    <w:rsid w:val="00DC3E5B"/>
    <w:rsid w:val="00DC426C"/>
    <w:rsid w:val="00DC49DA"/>
    <w:rsid w:val="00DC7186"/>
    <w:rsid w:val="00DC7CCA"/>
    <w:rsid w:val="00DD0054"/>
    <w:rsid w:val="00DD19FB"/>
    <w:rsid w:val="00DD2507"/>
    <w:rsid w:val="00DD2E5B"/>
    <w:rsid w:val="00DD5C2E"/>
    <w:rsid w:val="00DD5F33"/>
    <w:rsid w:val="00DD5F73"/>
    <w:rsid w:val="00DD7FBF"/>
    <w:rsid w:val="00DE01AC"/>
    <w:rsid w:val="00DE0583"/>
    <w:rsid w:val="00DE117E"/>
    <w:rsid w:val="00DE1F52"/>
    <w:rsid w:val="00DE20BE"/>
    <w:rsid w:val="00DE37F6"/>
    <w:rsid w:val="00DE467E"/>
    <w:rsid w:val="00DE509D"/>
    <w:rsid w:val="00DE53E9"/>
    <w:rsid w:val="00DE603B"/>
    <w:rsid w:val="00DE6CA6"/>
    <w:rsid w:val="00DF0642"/>
    <w:rsid w:val="00DF18C1"/>
    <w:rsid w:val="00DF1C6A"/>
    <w:rsid w:val="00DF2421"/>
    <w:rsid w:val="00DF2D1B"/>
    <w:rsid w:val="00DF2F7C"/>
    <w:rsid w:val="00DF32DB"/>
    <w:rsid w:val="00DF387B"/>
    <w:rsid w:val="00DF4CBA"/>
    <w:rsid w:val="00DF5003"/>
    <w:rsid w:val="00DF6145"/>
    <w:rsid w:val="00DF688C"/>
    <w:rsid w:val="00DF7407"/>
    <w:rsid w:val="00DF7A70"/>
    <w:rsid w:val="00E0003E"/>
    <w:rsid w:val="00E010F9"/>
    <w:rsid w:val="00E01BFC"/>
    <w:rsid w:val="00E01FBD"/>
    <w:rsid w:val="00E02271"/>
    <w:rsid w:val="00E027DF"/>
    <w:rsid w:val="00E03F88"/>
    <w:rsid w:val="00E057F5"/>
    <w:rsid w:val="00E05980"/>
    <w:rsid w:val="00E06159"/>
    <w:rsid w:val="00E07FA3"/>
    <w:rsid w:val="00E113C3"/>
    <w:rsid w:val="00E12A9A"/>
    <w:rsid w:val="00E13166"/>
    <w:rsid w:val="00E1688A"/>
    <w:rsid w:val="00E169B1"/>
    <w:rsid w:val="00E17693"/>
    <w:rsid w:val="00E20269"/>
    <w:rsid w:val="00E20C11"/>
    <w:rsid w:val="00E212DD"/>
    <w:rsid w:val="00E222FB"/>
    <w:rsid w:val="00E22A66"/>
    <w:rsid w:val="00E22DB0"/>
    <w:rsid w:val="00E239A6"/>
    <w:rsid w:val="00E24BED"/>
    <w:rsid w:val="00E265EE"/>
    <w:rsid w:val="00E27448"/>
    <w:rsid w:val="00E30D65"/>
    <w:rsid w:val="00E31CD3"/>
    <w:rsid w:val="00E34684"/>
    <w:rsid w:val="00E3651D"/>
    <w:rsid w:val="00E36F99"/>
    <w:rsid w:val="00E3761E"/>
    <w:rsid w:val="00E4004C"/>
    <w:rsid w:val="00E40CFB"/>
    <w:rsid w:val="00E41B19"/>
    <w:rsid w:val="00E41CB2"/>
    <w:rsid w:val="00E42F3B"/>
    <w:rsid w:val="00E45163"/>
    <w:rsid w:val="00E4782F"/>
    <w:rsid w:val="00E50CBF"/>
    <w:rsid w:val="00E50E78"/>
    <w:rsid w:val="00E529C4"/>
    <w:rsid w:val="00E52E29"/>
    <w:rsid w:val="00E53774"/>
    <w:rsid w:val="00E53B6E"/>
    <w:rsid w:val="00E540A0"/>
    <w:rsid w:val="00E54CB1"/>
    <w:rsid w:val="00E56A24"/>
    <w:rsid w:val="00E61BDC"/>
    <w:rsid w:val="00E622E6"/>
    <w:rsid w:val="00E64E5B"/>
    <w:rsid w:val="00E65F37"/>
    <w:rsid w:val="00E708F2"/>
    <w:rsid w:val="00E70C3D"/>
    <w:rsid w:val="00E70C42"/>
    <w:rsid w:val="00E70C4C"/>
    <w:rsid w:val="00E710FE"/>
    <w:rsid w:val="00E7111A"/>
    <w:rsid w:val="00E71816"/>
    <w:rsid w:val="00E731DD"/>
    <w:rsid w:val="00E73612"/>
    <w:rsid w:val="00E75348"/>
    <w:rsid w:val="00E75888"/>
    <w:rsid w:val="00E8161F"/>
    <w:rsid w:val="00E81DA1"/>
    <w:rsid w:val="00E825B6"/>
    <w:rsid w:val="00E829B7"/>
    <w:rsid w:val="00E82A2F"/>
    <w:rsid w:val="00E8382A"/>
    <w:rsid w:val="00E854DF"/>
    <w:rsid w:val="00E8560B"/>
    <w:rsid w:val="00E85858"/>
    <w:rsid w:val="00E8612E"/>
    <w:rsid w:val="00E87113"/>
    <w:rsid w:val="00E9064A"/>
    <w:rsid w:val="00E91794"/>
    <w:rsid w:val="00E91954"/>
    <w:rsid w:val="00E9208F"/>
    <w:rsid w:val="00E9263D"/>
    <w:rsid w:val="00E935F1"/>
    <w:rsid w:val="00E93E3C"/>
    <w:rsid w:val="00E9457A"/>
    <w:rsid w:val="00E9794E"/>
    <w:rsid w:val="00EA0AF5"/>
    <w:rsid w:val="00EA2DC7"/>
    <w:rsid w:val="00EA5E9A"/>
    <w:rsid w:val="00EA6A40"/>
    <w:rsid w:val="00EA6C14"/>
    <w:rsid w:val="00EA7EC1"/>
    <w:rsid w:val="00EB0359"/>
    <w:rsid w:val="00EB3B16"/>
    <w:rsid w:val="00EB464F"/>
    <w:rsid w:val="00EB4E30"/>
    <w:rsid w:val="00EB5A61"/>
    <w:rsid w:val="00EB5B97"/>
    <w:rsid w:val="00EC0ADC"/>
    <w:rsid w:val="00EC0C11"/>
    <w:rsid w:val="00EC1029"/>
    <w:rsid w:val="00EC13F4"/>
    <w:rsid w:val="00EC1C2E"/>
    <w:rsid w:val="00EC1ECF"/>
    <w:rsid w:val="00EC2F6F"/>
    <w:rsid w:val="00EC3997"/>
    <w:rsid w:val="00EC4037"/>
    <w:rsid w:val="00EC437B"/>
    <w:rsid w:val="00EC43E5"/>
    <w:rsid w:val="00EC49AE"/>
    <w:rsid w:val="00EC4F39"/>
    <w:rsid w:val="00EC6DEF"/>
    <w:rsid w:val="00ED1056"/>
    <w:rsid w:val="00ED27FD"/>
    <w:rsid w:val="00ED5BB7"/>
    <w:rsid w:val="00ED66CB"/>
    <w:rsid w:val="00ED72CA"/>
    <w:rsid w:val="00EE0E40"/>
    <w:rsid w:val="00EE19B3"/>
    <w:rsid w:val="00EE1C06"/>
    <w:rsid w:val="00EE4198"/>
    <w:rsid w:val="00EE46DE"/>
    <w:rsid w:val="00EE4C44"/>
    <w:rsid w:val="00EE4CEC"/>
    <w:rsid w:val="00EE56EA"/>
    <w:rsid w:val="00EE5C62"/>
    <w:rsid w:val="00EE64AD"/>
    <w:rsid w:val="00EE68B6"/>
    <w:rsid w:val="00EE781E"/>
    <w:rsid w:val="00EE7FFD"/>
    <w:rsid w:val="00EF0EFE"/>
    <w:rsid w:val="00EF23C0"/>
    <w:rsid w:val="00EF365A"/>
    <w:rsid w:val="00EF6CEB"/>
    <w:rsid w:val="00EF7DE2"/>
    <w:rsid w:val="00F00D57"/>
    <w:rsid w:val="00F0284F"/>
    <w:rsid w:val="00F03360"/>
    <w:rsid w:val="00F03E58"/>
    <w:rsid w:val="00F041F9"/>
    <w:rsid w:val="00F042FD"/>
    <w:rsid w:val="00F04B3C"/>
    <w:rsid w:val="00F05067"/>
    <w:rsid w:val="00F053BD"/>
    <w:rsid w:val="00F056F3"/>
    <w:rsid w:val="00F071E1"/>
    <w:rsid w:val="00F079A3"/>
    <w:rsid w:val="00F12BA6"/>
    <w:rsid w:val="00F140EF"/>
    <w:rsid w:val="00F14B59"/>
    <w:rsid w:val="00F157F0"/>
    <w:rsid w:val="00F17450"/>
    <w:rsid w:val="00F2068B"/>
    <w:rsid w:val="00F206BE"/>
    <w:rsid w:val="00F218ED"/>
    <w:rsid w:val="00F221B0"/>
    <w:rsid w:val="00F223C2"/>
    <w:rsid w:val="00F224DA"/>
    <w:rsid w:val="00F23C56"/>
    <w:rsid w:val="00F25362"/>
    <w:rsid w:val="00F25C8E"/>
    <w:rsid w:val="00F25F4A"/>
    <w:rsid w:val="00F26F75"/>
    <w:rsid w:val="00F30682"/>
    <w:rsid w:val="00F315F2"/>
    <w:rsid w:val="00F316A2"/>
    <w:rsid w:val="00F31C89"/>
    <w:rsid w:val="00F3302B"/>
    <w:rsid w:val="00F3422A"/>
    <w:rsid w:val="00F34609"/>
    <w:rsid w:val="00F354DD"/>
    <w:rsid w:val="00F36E3D"/>
    <w:rsid w:val="00F36FF0"/>
    <w:rsid w:val="00F371AA"/>
    <w:rsid w:val="00F412A2"/>
    <w:rsid w:val="00F44223"/>
    <w:rsid w:val="00F45FF9"/>
    <w:rsid w:val="00F46584"/>
    <w:rsid w:val="00F47D5D"/>
    <w:rsid w:val="00F47DBD"/>
    <w:rsid w:val="00F51E7A"/>
    <w:rsid w:val="00F5323A"/>
    <w:rsid w:val="00F53428"/>
    <w:rsid w:val="00F56C18"/>
    <w:rsid w:val="00F56CEE"/>
    <w:rsid w:val="00F632A6"/>
    <w:rsid w:val="00F6467C"/>
    <w:rsid w:val="00F651C9"/>
    <w:rsid w:val="00F65B2B"/>
    <w:rsid w:val="00F65C74"/>
    <w:rsid w:val="00F66950"/>
    <w:rsid w:val="00F66A74"/>
    <w:rsid w:val="00F66F64"/>
    <w:rsid w:val="00F716A0"/>
    <w:rsid w:val="00F71B11"/>
    <w:rsid w:val="00F72230"/>
    <w:rsid w:val="00F7280A"/>
    <w:rsid w:val="00F754FA"/>
    <w:rsid w:val="00F7554D"/>
    <w:rsid w:val="00F8082B"/>
    <w:rsid w:val="00F815A8"/>
    <w:rsid w:val="00F831CD"/>
    <w:rsid w:val="00F8384D"/>
    <w:rsid w:val="00F85011"/>
    <w:rsid w:val="00F8758B"/>
    <w:rsid w:val="00F91D21"/>
    <w:rsid w:val="00F92BF7"/>
    <w:rsid w:val="00F93802"/>
    <w:rsid w:val="00F94EEE"/>
    <w:rsid w:val="00F951FB"/>
    <w:rsid w:val="00F95DF1"/>
    <w:rsid w:val="00F9734E"/>
    <w:rsid w:val="00F978AE"/>
    <w:rsid w:val="00F97B9A"/>
    <w:rsid w:val="00FA1479"/>
    <w:rsid w:val="00FA1A65"/>
    <w:rsid w:val="00FA3155"/>
    <w:rsid w:val="00FA359C"/>
    <w:rsid w:val="00FA3A0C"/>
    <w:rsid w:val="00FA52CD"/>
    <w:rsid w:val="00FA5817"/>
    <w:rsid w:val="00FA65A4"/>
    <w:rsid w:val="00FA68C6"/>
    <w:rsid w:val="00FA6BFC"/>
    <w:rsid w:val="00FB1212"/>
    <w:rsid w:val="00FB2CAA"/>
    <w:rsid w:val="00FB2DD2"/>
    <w:rsid w:val="00FB4373"/>
    <w:rsid w:val="00FB48F8"/>
    <w:rsid w:val="00FB4F41"/>
    <w:rsid w:val="00FB61FD"/>
    <w:rsid w:val="00FC06C7"/>
    <w:rsid w:val="00FC0E27"/>
    <w:rsid w:val="00FC3AAD"/>
    <w:rsid w:val="00FC4D3E"/>
    <w:rsid w:val="00FC76F3"/>
    <w:rsid w:val="00FD0151"/>
    <w:rsid w:val="00FD36E2"/>
    <w:rsid w:val="00FD4C7B"/>
    <w:rsid w:val="00FD68FF"/>
    <w:rsid w:val="00FE3E1E"/>
    <w:rsid w:val="00FE5234"/>
    <w:rsid w:val="00FE594E"/>
    <w:rsid w:val="00FE60BE"/>
    <w:rsid w:val="00FE6833"/>
    <w:rsid w:val="00FE713C"/>
    <w:rsid w:val="00FE7CBD"/>
    <w:rsid w:val="00FE7D06"/>
    <w:rsid w:val="00FF046F"/>
    <w:rsid w:val="00FF06AB"/>
    <w:rsid w:val="00FF1375"/>
    <w:rsid w:val="00FF1B22"/>
    <w:rsid w:val="00FF2F9A"/>
    <w:rsid w:val="00FF32D2"/>
    <w:rsid w:val="00FF3AFE"/>
    <w:rsid w:val="00FF4A08"/>
    <w:rsid w:val="00FF7D2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D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C7"/>
    <w:pPr>
      <w:spacing w:after="200" w:line="276" w:lineRule="auto"/>
    </w:pPr>
    <w:rPr>
      <w:sz w:val="22"/>
      <w:szCs w:val="22"/>
      <w:lang w:val="en-US" w:eastAsia="en-US"/>
    </w:rPr>
  </w:style>
  <w:style w:type="paragraph" w:styleId="1">
    <w:name w:val="heading 1"/>
    <w:basedOn w:val="a"/>
    <w:next w:val="a"/>
    <w:link w:val="1Char"/>
    <w:uiPriority w:val="9"/>
    <w:qFormat/>
    <w:rsid w:val="00A7773D"/>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2">
    <w:name w:val="normal2"/>
    <w:basedOn w:val="1"/>
    <w:rsid w:val="00A7773D"/>
    <w:pPr>
      <w:keepLines w:val="0"/>
      <w:tabs>
        <w:tab w:val="left" w:pos="-720"/>
      </w:tabs>
      <w:suppressAutoHyphens/>
      <w:spacing w:before="90" w:after="54" w:line="240" w:lineRule="auto"/>
    </w:pPr>
    <w:rPr>
      <w:rFonts w:ascii="Arial" w:hAnsi="Arial"/>
      <w:b w:val="0"/>
      <w:bCs w:val="0"/>
      <w:color w:val="auto"/>
      <w:sz w:val="19"/>
      <w:szCs w:val="20"/>
      <w:lang w:val="ca-ES" w:eastAsia="es-ES"/>
    </w:rPr>
  </w:style>
  <w:style w:type="character" w:customStyle="1" w:styleId="1Char">
    <w:name w:val="标题 1 Char"/>
    <w:link w:val="1"/>
    <w:uiPriority w:val="9"/>
    <w:rsid w:val="00A7773D"/>
    <w:rPr>
      <w:rFonts w:ascii="Cambria" w:eastAsia="Times New Roman" w:hAnsi="Cambria" w:cs="Times New Roman"/>
      <w:b/>
      <w:bCs/>
      <w:color w:val="365F91"/>
      <w:sz w:val="28"/>
      <w:szCs w:val="28"/>
    </w:rPr>
  </w:style>
  <w:style w:type="paragraph" w:styleId="a3">
    <w:name w:val="List Paragraph"/>
    <w:basedOn w:val="a"/>
    <w:uiPriority w:val="34"/>
    <w:qFormat/>
    <w:rsid w:val="00B74263"/>
    <w:pPr>
      <w:ind w:left="720"/>
      <w:contextualSpacing/>
    </w:pPr>
  </w:style>
  <w:style w:type="paragraph" w:styleId="a4">
    <w:name w:val="Balloon Text"/>
    <w:basedOn w:val="a"/>
    <w:link w:val="Char"/>
    <w:uiPriority w:val="99"/>
    <w:semiHidden/>
    <w:unhideWhenUsed/>
    <w:rsid w:val="00EE19B3"/>
    <w:pPr>
      <w:spacing w:after="0" w:line="240" w:lineRule="auto"/>
    </w:pPr>
    <w:rPr>
      <w:rFonts w:ascii="Tahoma" w:hAnsi="Tahoma" w:cs="Tahoma"/>
      <w:sz w:val="16"/>
      <w:szCs w:val="16"/>
    </w:rPr>
  </w:style>
  <w:style w:type="character" w:customStyle="1" w:styleId="Char">
    <w:name w:val="批注框文本 Char"/>
    <w:link w:val="a4"/>
    <w:uiPriority w:val="99"/>
    <w:semiHidden/>
    <w:rsid w:val="00EE19B3"/>
    <w:rPr>
      <w:rFonts w:ascii="Tahoma" w:hAnsi="Tahoma" w:cs="Tahoma"/>
      <w:sz w:val="16"/>
      <w:szCs w:val="16"/>
    </w:rPr>
  </w:style>
  <w:style w:type="character" w:customStyle="1" w:styleId="highlight2">
    <w:name w:val="highlight2"/>
    <w:basedOn w:val="a0"/>
    <w:rsid w:val="00713F8D"/>
  </w:style>
  <w:style w:type="paragraph" w:styleId="a5">
    <w:name w:val="header"/>
    <w:basedOn w:val="a"/>
    <w:link w:val="Char0"/>
    <w:uiPriority w:val="99"/>
    <w:unhideWhenUsed/>
    <w:rsid w:val="005C6985"/>
    <w:pPr>
      <w:tabs>
        <w:tab w:val="center" w:pos="4252"/>
        <w:tab w:val="right" w:pos="8504"/>
      </w:tabs>
    </w:pPr>
  </w:style>
  <w:style w:type="character" w:customStyle="1" w:styleId="Char0">
    <w:name w:val="页眉 Char"/>
    <w:link w:val="a5"/>
    <w:uiPriority w:val="99"/>
    <w:rsid w:val="005C6985"/>
    <w:rPr>
      <w:sz w:val="22"/>
      <w:szCs w:val="22"/>
      <w:lang w:val="en-US" w:eastAsia="en-US"/>
    </w:rPr>
  </w:style>
  <w:style w:type="paragraph" w:styleId="a6">
    <w:name w:val="footer"/>
    <w:basedOn w:val="a"/>
    <w:link w:val="Char1"/>
    <w:uiPriority w:val="99"/>
    <w:unhideWhenUsed/>
    <w:rsid w:val="005C6985"/>
    <w:pPr>
      <w:tabs>
        <w:tab w:val="center" w:pos="4252"/>
        <w:tab w:val="right" w:pos="8504"/>
      </w:tabs>
    </w:pPr>
  </w:style>
  <w:style w:type="character" w:customStyle="1" w:styleId="Char1">
    <w:name w:val="页脚 Char"/>
    <w:link w:val="a6"/>
    <w:uiPriority w:val="99"/>
    <w:rsid w:val="005C6985"/>
    <w:rPr>
      <w:sz w:val="22"/>
      <w:szCs w:val="22"/>
      <w:lang w:val="en-US" w:eastAsia="en-US"/>
    </w:rPr>
  </w:style>
  <w:style w:type="character" w:styleId="a7">
    <w:name w:val="Hyperlink"/>
    <w:basedOn w:val="a0"/>
    <w:uiPriority w:val="99"/>
    <w:unhideWhenUsed/>
    <w:rsid w:val="00370516"/>
    <w:rPr>
      <w:color w:val="0563C1" w:themeColor="hyperlink"/>
      <w:u w:val="single"/>
    </w:rPr>
  </w:style>
  <w:style w:type="paragraph" w:customStyle="1" w:styleId="EndNoteBibliographyTitle">
    <w:name w:val="EndNote Bibliography Title"/>
    <w:basedOn w:val="a"/>
    <w:link w:val="EndNoteBibliographyTitleCar"/>
    <w:rsid w:val="00C17938"/>
    <w:pPr>
      <w:spacing w:after="0"/>
      <w:jc w:val="center"/>
    </w:pPr>
    <w:rPr>
      <w:noProof/>
    </w:rPr>
  </w:style>
  <w:style w:type="character" w:customStyle="1" w:styleId="EndNoteBibliographyTitleCar">
    <w:name w:val="EndNote Bibliography Title Car"/>
    <w:basedOn w:val="a0"/>
    <w:link w:val="EndNoteBibliographyTitle"/>
    <w:rsid w:val="00C17938"/>
    <w:rPr>
      <w:noProof/>
      <w:sz w:val="22"/>
      <w:szCs w:val="22"/>
      <w:lang w:val="en-US" w:eastAsia="en-US"/>
    </w:rPr>
  </w:style>
  <w:style w:type="paragraph" w:customStyle="1" w:styleId="EndNoteBibliography">
    <w:name w:val="EndNote Bibliography"/>
    <w:basedOn w:val="a"/>
    <w:link w:val="EndNoteBibliographyCar"/>
    <w:rsid w:val="00C17938"/>
    <w:pPr>
      <w:spacing w:line="240" w:lineRule="auto"/>
      <w:jc w:val="both"/>
    </w:pPr>
    <w:rPr>
      <w:noProof/>
    </w:rPr>
  </w:style>
  <w:style w:type="character" w:customStyle="1" w:styleId="EndNoteBibliographyCar">
    <w:name w:val="EndNote Bibliography Car"/>
    <w:basedOn w:val="a0"/>
    <w:link w:val="EndNoteBibliography"/>
    <w:rsid w:val="00C17938"/>
    <w:rPr>
      <w:noProof/>
      <w:sz w:val="22"/>
      <w:szCs w:val="22"/>
      <w:lang w:val="en-US" w:eastAsia="en-US"/>
    </w:rPr>
  </w:style>
  <w:style w:type="paragraph" w:styleId="a8">
    <w:name w:val="Normal (Web)"/>
    <w:basedOn w:val="a"/>
    <w:uiPriority w:val="99"/>
    <w:semiHidden/>
    <w:unhideWhenUsed/>
    <w:rsid w:val="00BC635A"/>
    <w:pPr>
      <w:spacing w:before="100" w:beforeAutospacing="1" w:after="100" w:afterAutospacing="1" w:line="240" w:lineRule="auto"/>
    </w:pPr>
    <w:rPr>
      <w:rFonts w:ascii="Times New Roman" w:hAnsi="Times New Roman" w:cs="Times New Roman"/>
      <w:sz w:val="24"/>
      <w:szCs w:val="24"/>
      <w:lang w:val="es-ES" w:eastAsia="es-ES"/>
    </w:rPr>
  </w:style>
  <w:style w:type="character" w:styleId="a9">
    <w:name w:val="annotation reference"/>
    <w:basedOn w:val="a0"/>
    <w:uiPriority w:val="99"/>
    <w:semiHidden/>
    <w:unhideWhenUsed/>
    <w:rsid w:val="00A1061B"/>
    <w:rPr>
      <w:sz w:val="16"/>
      <w:szCs w:val="16"/>
    </w:rPr>
  </w:style>
  <w:style w:type="paragraph" w:styleId="aa">
    <w:name w:val="annotation text"/>
    <w:basedOn w:val="a"/>
    <w:link w:val="Char2"/>
    <w:uiPriority w:val="99"/>
    <w:semiHidden/>
    <w:unhideWhenUsed/>
    <w:rsid w:val="00A1061B"/>
    <w:pPr>
      <w:spacing w:line="240" w:lineRule="auto"/>
    </w:pPr>
    <w:rPr>
      <w:sz w:val="20"/>
      <w:szCs w:val="20"/>
    </w:rPr>
  </w:style>
  <w:style w:type="character" w:customStyle="1" w:styleId="Char2">
    <w:name w:val="批注文字 Char"/>
    <w:basedOn w:val="a0"/>
    <w:link w:val="aa"/>
    <w:uiPriority w:val="99"/>
    <w:semiHidden/>
    <w:rsid w:val="00A1061B"/>
    <w:rPr>
      <w:lang w:val="en-US" w:eastAsia="en-US"/>
    </w:rPr>
  </w:style>
  <w:style w:type="paragraph" w:styleId="ab">
    <w:name w:val="annotation subject"/>
    <w:basedOn w:val="aa"/>
    <w:next w:val="aa"/>
    <w:link w:val="Char3"/>
    <w:uiPriority w:val="99"/>
    <w:semiHidden/>
    <w:unhideWhenUsed/>
    <w:rsid w:val="00A1061B"/>
    <w:rPr>
      <w:b/>
      <w:bCs/>
    </w:rPr>
  </w:style>
  <w:style w:type="character" w:customStyle="1" w:styleId="Char3">
    <w:name w:val="批注主题 Char"/>
    <w:basedOn w:val="Char2"/>
    <w:link w:val="ab"/>
    <w:uiPriority w:val="99"/>
    <w:semiHidden/>
    <w:rsid w:val="00A1061B"/>
    <w:rPr>
      <w:b/>
      <w:bCs/>
      <w:lang w:val="en-US" w:eastAsia="en-US"/>
    </w:rPr>
  </w:style>
  <w:style w:type="paragraph" w:styleId="ac">
    <w:name w:val="Revision"/>
    <w:hidden/>
    <w:uiPriority w:val="99"/>
    <w:semiHidden/>
    <w:rsid w:val="00AC67B8"/>
    <w:rPr>
      <w:sz w:val="22"/>
      <w:szCs w:val="22"/>
      <w:lang w:val="en-US" w:eastAsia="en-US"/>
    </w:rPr>
  </w:style>
  <w:style w:type="paragraph" w:customStyle="1" w:styleId="p">
    <w:name w:val="p"/>
    <w:basedOn w:val="a"/>
    <w:rsid w:val="003D11E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ad">
    <w:name w:val="Emphasis"/>
    <w:basedOn w:val="a0"/>
    <w:uiPriority w:val="20"/>
    <w:qFormat/>
    <w:rsid w:val="003D11E5"/>
    <w:rPr>
      <w:i/>
      <w:iCs/>
    </w:rPr>
  </w:style>
  <w:style w:type="character" w:customStyle="1" w:styleId="Mencinsinresolver1">
    <w:name w:val="Mención sin resolver1"/>
    <w:basedOn w:val="a0"/>
    <w:uiPriority w:val="99"/>
    <w:semiHidden/>
    <w:unhideWhenUsed/>
    <w:rsid w:val="00406EE0"/>
    <w:rPr>
      <w:color w:val="605E5C"/>
      <w:shd w:val="clear" w:color="auto" w:fill="E1DFDD"/>
    </w:rPr>
  </w:style>
  <w:style w:type="paragraph" w:customStyle="1" w:styleId="Default">
    <w:name w:val="Default"/>
    <w:rsid w:val="005660E1"/>
    <w:pPr>
      <w:autoSpaceDE w:val="0"/>
      <w:autoSpaceDN w:val="0"/>
      <w:adjustRightInd w:val="0"/>
    </w:pPr>
    <w:rPr>
      <w:rFonts w:ascii="Book Antiqua" w:hAnsi="Book Antiqua" w:cs="Book Antiqua"/>
      <w:color w:val="000000"/>
      <w:sz w:val="24"/>
      <w:szCs w:val="24"/>
    </w:rPr>
  </w:style>
  <w:style w:type="character" w:customStyle="1" w:styleId="Mencinsinresolver2">
    <w:name w:val="Mención sin resolver2"/>
    <w:basedOn w:val="a0"/>
    <w:uiPriority w:val="99"/>
    <w:semiHidden/>
    <w:unhideWhenUsed/>
    <w:rsid w:val="009C5B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C7"/>
    <w:pPr>
      <w:spacing w:after="200" w:line="276" w:lineRule="auto"/>
    </w:pPr>
    <w:rPr>
      <w:sz w:val="22"/>
      <w:szCs w:val="22"/>
      <w:lang w:val="en-US" w:eastAsia="en-US"/>
    </w:rPr>
  </w:style>
  <w:style w:type="paragraph" w:styleId="1">
    <w:name w:val="heading 1"/>
    <w:basedOn w:val="a"/>
    <w:next w:val="a"/>
    <w:link w:val="1Char"/>
    <w:uiPriority w:val="9"/>
    <w:qFormat/>
    <w:rsid w:val="00A7773D"/>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2">
    <w:name w:val="normal2"/>
    <w:basedOn w:val="1"/>
    <w:rsid w:val="00A7773D"/>
    <w:pPr>
      <w:keepLines w:val="0"/>
      <w:tabs>
        <w:tab w:val="left" w:pos="-720"/>
      </w:tabs>
      <w:suppressAutoHyphens/>
      <w:spacing w:before="90" w:after="54" w:line="240" w:lineRule="auto"/>
    </w:pPr>
    <w:rPr>
      <w:rFonts w:ascii="Arial" w:hAnsi="Arial"/>
      <w:b w:val="0"/>
      <w:bCs w:val="0"/>
      <w:color w:val="auto"/>
      <w:sz w:val="19"/>
      <w:szCs w:val="20"/>
      <w:lang w:val="ca-ES" w:eastAsia="es-ES"/>
    </w:rPr>
  </w:style>
  <w:style w:type="character" w:customStyle="1" w:styleId="1Char">
    <w:name w:val="标题 1 Char"/>
    <w:link w:val="1"/>
    <w:uiPriority w:val="9"/>
    <w:rsid w:val="00A7773D"/>
    <w:rPr>
      <w:rFonts w:ascii="Cambria" w:eastAsia="Times New Roman" w:hAnsi="Cambria" w:cs="Times New Roman"/>
      <w:b/>
      <w:bCs/>
      <w:color w:val="365F91"/>
      <w:sz w:val="28"/>
      <w:szCs w:val="28"/>
    </w:rPr>
  </w:style>
  <w:style w:type="paragraph" w:styleId="a3">
    <w:name w:val="List Paragraph"/>
    <w:basedOn w:val="a"/>
    <w:uiPriority w:val="34"/>
    <w:qFormat/>
    <w:rsid w:val="00B74263"/>
    <w:pPr>
      <w:ind w:left="720"/>
      <w:contextualSpacing/>
    </w:pPr>
  </w:style>
  <w:style w:type="paragraph" w:styleId="a4">
    <w:name w:val="Balloon Text"/>
    <w:basedOn w:val="a"/>
    <w:link w:val="Char"/>
    <w:uiPriority w:val="99"/>
    <w:semiHidden/>
    <w:unhideWhenUsed/>
    <w:rsid w:val="00EE19B3"/>
    <w:pPr>
      <w:spacing w:after="0" w:line="240" w:lineRule="auto"/>
    </w:pPr>
    <w:rPr>
      <w:rFonts w:ascii="Tahoma" w:hAnsi="Tahoma" w:cs="Tahoma"/>
      <w:sz w:val="16"/>
      <w:szCs w:val="16"/>
    </w:rPr>
  </w:style>
  <w:style w:type="character" w:customStyle="1" w:styleId="Char">
    <w:name w:val="批注框文本 Char"/>
    <w:link w:val="a4"/>
    <w:uiPriority w:val="99"/>
    <w:semiHidden/>
    <w:rsid w:val="00EE19B3"/>
    <w:rPr>
      <w:rFonts w:ascii="Tahoma" w:hAnsi="Tahoma" w:cs="Tahoma"/>
      <w:sz w:val="16"/>
      <w:szCs w:val="16"/>
    </w:rPr>
  </w:style>
  <w:style w:type="character" w:customStyle="1" w:styleId="highlight2">
    <w:name w:val="highlight2"/>
    <w:basedOn w:val="a0"/>
    <w:rsid w:val="00713F8D"/>
  </w:style>
  <w:style w:type="paragraph" w:styleId="a5">
    <w:name w:val="header"/>
    <w:basedOn w:val="a"/>
    <w:link w:val="Char0"/>
    <w:uiPriority w:val="99"/>
    <w:unhideWhenUsed/>
    <w:rsid w:val="005C6985"/>
    <w:pPr>
      <w:tabs>
        <w:tab w:val="center" w:pos="4252"/>
        <w:tab w:val="right" w:pos="8504"/>
      </w:tabs>
    </w:pPr>
  </w:style>
  <w:style w:type="character" w:customStyle="1" w:styleId="Char0">
    <w:name w:val="页眉 Char"/>
    <w:link w:val="a5"/>
    <w:uiPriority w:val="99"/>
    <w:rsid w:val="005C6985"/>
    <w:rPr>
      <w:sz w:val="22"/>
      <w:szCs w:val="22"/>
      <w:lang w:val="en-US" w:eastAsia="en-US"/>
    </w:rPr>
  </w:style>
  <w:style w:type="paragraph" w:styleId="a6">
    <w:name w:val="footer"/>
    <w:basedOn w:val="a"/>
    <w:link w:val="Char1"/>
    <w:uiPriority w:val="99"/>
    <w:unhideWhenUsed/>
    <w:rsid w:val="005C6985"/>
    <w:pPr>
      <w:tabs>
        <w:tab w:val="center" w:pos="4252"/>
        <w:tab w:val="right" w:pos="8504"/>
      </w:tabs>
    </w:pPr>
  </w:style>
  <w:style w:type="character" w:customStyle="1" w:styleId="Char1">
    <w:name w:val="页脚 Char"/>
    <w:link w:val="a6"/>
    <w:uiPriority w:val="99"/>
    <w:rsid w:val="005C6985"/>
    <w:rPr>
      <w:sz w:val="22"/>
      <w:szCs w:val="22"/>
      <w:lang w:val="en-US" w:eastAsia="en-US"/>
    </w:rPr>
  </w:style>
  <w:style w:type="character" w:styleId="a7">
    <w:name w:val="Hyperlink"/>
    <w:basedOn w:val="a0"/>
    <w:uiPriority w:val="99"/>
    <w:unhideWhenUsed/>
    <w:rsid w:val="00370516"/>
    <w:rPr>
      <w:color w:val="0563C1" w:themeColor="hyperlink"/>
      <w:u w:val="single"/>
    </w:rPr>
  </w:style>
  <w:style w:type="paragraph" w:customStyle="1" w:styleId="EndNoteBibliographyTitle">
    <w:name w:val="EndNote Bibliography Title"/>
    <w:basedOn w:val="a"/>
    <w:link w:val="EndNoteBibliographyTitleCar"/>
    <w:rsid w:val="00C17938"/>
    <w:pPr>
      <w:spacing w:after="0"/>
      <w:jc w:val="center"/>
    </w:pPr>
    <w:rPr>
      <w:noProof/>
    </w:rPr>
  </w:style>
  <w:style w:type="character" w:customStyle="1" w:styleId="EndNoteBibliographyTitleCar">
    <w:name w:val="EndNote Bibliography Title Car"/>
    <w:basedOn w:val="a0"/>
    <w:link w:val="EndNoteBibliographyTitle"/>
    <w:rsid w:val="00C17938"/>
    <w:rPr>
      <w:noProof/>
      <w:sz w:val="22"/>
      <w:szCs w:val="22"/>
      <w:lang w:val="en-US" w:eastAsia="en-US"/>
    </w:rPr>
  </w:style>
  <w:style w:type="paragraph" w:customStyle="1" w:styleId="EndNoteBibliography">
    <w:name w:val="EndNote Bibliography"/>
    <w:basedOn w:val="a"/>
    <w:link w:val="EndNoteBibliographyCar"/>
    <w:rsid w:val="00C17938"/>
    <w:pPr>
      <w:spacing w:line="240" w:lineRule="auto"/>
      <w:jc w:val="both"/>
    </w:pPr>
    <w:rPr>
      <w:noProof/>
    </w:rPr>
  </w:style>
  <w:style w:type="character" w:customStyle="1" w:styleId="EndNoteBibliographyCar">
    <w:name w:val="EndNote Bibliography Car"/>
    <w:basedOn w:val="a0"/>
    <w:link w:val="EndNoteBibliography"/>
    <w:rsid w:val="00C17938"/>
    <w:rPr>
      <w:noProof/>
      <w:sz w:val="22"/>
      <w:szCs w:val="22"/>
      <w:lang w:val="en-US" w:eastAsia="en-US"/>
    </w:rPr>
  </w:style>
  <w:style w:type="paragraph" w:styleId="a8">
    <w:name w:val="Normal (Web)"/>
    <w:basedOn w:val="a"/>
    <w:uiPriority w:val="99"/>
    <w:semiHidden/>
    <w:unhideWhenUsed/>
    <w:rsid w:val="00BC635A"/>
    <w:pPr>
      <w:spacing w:before="100" w:beforeAutospacing="1" w:after="100" w:afterAutospacing="1" w:line="240" w:lineRule="auto"/>
    </w:pPr>
    <w:rPr>
      <w:rFonts w:ascii="Times New Roman" w:hAnsi="Times New Roman" w:cs="Times New Roman"/>
      <w:sz w:val="24"/>
      <w:szCs w:val="24"/>
      <w:lang w:val="es-ES" w:eastAsia="es-ES"/>
    </w:rPr>
  </w:style>
  <w:style w:type="character" w:styleId="a9">
    <w:name w:val="annotation reference"/>
    <w:basedOn w:val="a0"/>
    <w:uiPriority w:val="99"/>
    <w:semiHidden/>
    <w:unhideWhenUsed/>
    <w:rsid w:val="00A1061B"/>
    <w:rPr>
      <w:sz w:val="16"/>
      <w:szCs w:val="16"/>
    </w:rPr>
  </w:style>
  <w:style w:type="paragraph" w:styleId="aa">
    <w:name w:val="annotation text"/>
    <w:basedOn w:val="a"/>
    <w:link w:val="Char2"/>
    <w:uiPriority w:val="99"/>
    <w:semiHidden/>
    <w:unhideWhenUsed/>
    <w:rsid w:val="00A1061B"/>
    <w:pPr>
      <w:spacing w:line="240" w:lineRule="auto"/>
    </w:pPr>
    <w:rPr>
      <w:sz w:val="20"/>
      <w:szCs w:val="20"/>
    </w:rPr>
  </w:style>
  <w:style w:type="character" w:customStyle="1" w:styleId="Char2">
    <w:name w:val="批注文字 Char"/>
    <w:basedOn w:val="a0"/>
    <w:link w:val="aa"/>
    <w:uiPriority w:val="99"/>
    <w:semiHidden/>
    <w:rsid w:val="00A1061B"/>
    <w:rPr>
      <w:lang w:val="en-US" w:eastAsia="en-US"/>
    </w:rPr>
  </w:style>
  <w:style w:type="paragraph" w:styleId="ab">
    <w:name w:val="annotation subject"/>
    <w:basedOn w:val="aa"/>
    <w:next w:val="aa"/>
    <w:link w:val="Char3"/>
    <w:uiPriority w:val="99"/>
    <w:semiHidden/>
    <w:unhideWhenUsed/>
    <w:rsid w:val="00A1061B"/>
    <w:rPr>
      <w:b/>
      <w:bCs/>
    </w:rPr>
  </w:style>
  <w:style w:type="character" w:customStyle="1" w:styleId="Char3">
    <w:name w:val="批注主题 Char"/>
    <w:basedOn w:val="Char2"/>
    <w:link w:val="ab"/>
    <w:uiPriority w:val="99"/>
    <w:semiHidden/>
    <w:rsid w:val="00A1061B"/>
    <w:rPr>
      <w:b/>
      <w:bCs/>
      <w:lang w:val="en-US" w:eastAsia="en-US"/>
    </w:rPr>
  </w:style>
  <w:style w:type="paragraph" w:styleId="ac">
    <w:name w:val="Revision"/>
    <w:hidden/>
    <w:uiPriority w:val="99"/>
    <w:semiHidden/>
    <w:rsid w:val="00AC67B8"/>
    <w:rPr>
      <w:sz w:val="22"/>
      <w:szCs w:val="22"/>
      <w:lang w:val="en-US" w:eastAsia="en-US"/>
    </w:rPr>
  </w:style>
  <w:style w:type="paragraph" w:customStyle="1" w:styleId="p">
    <w:name w:val="p"/>
    <w:basedOn w:val="a"/>
    <w:rsid w:val="003D11E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ad">
    <w:name w:val="Emphasis"/>
    <w:basedOn w:val="a0"/>
    <w:uiPriority w:val="20"/>
    <w:qFormat/>
    <w:rsid w:val="003D11E5"/>
    <w:rPr>
      <w:i/>
      <w:iCs/>
    </w:rPr>
  </w:style>
  <w:style w:type="character" w:customStyle="1" w:styleId="Mencinsinresolver1">
    <w:name w:val="Mención sin resolver1"/>
    <w:basedOn w:val="a0"/>
    <w:uiPriority w:val="99"/>
    <w:semiHidden/>
    <w:unhideWhenUsed/>
    <w:rsid w:val="00406EE0"/>
    <w:rPr>
      <w:color w:val="605E5C"/>
      <w:shd w:val="clear" w:color="auto" w:fill="E1DFDD"/>
    </w:rPr>
  </w:style>
  <w:style w:type="paragraph" w:customStyle="1" w:styleId="Default">
    <w:name w:val="Default"/>
    <w:rsid w:val="005660E1"/>
    <w:pPr>
      <w:autoSpaceDE w:val="0"/>
      <w:autoSpaceDN w:val="0"/>
      <w:adjustRightInd w:val="0"/>
    </w:pPr>
    <w:rPr>
      <w:rFonts w:ascii="Book Antiqua" w:hAnsi="Book Antiqua" w:cs="Book Antiqua"/>
      <w:color w:val="000000"/>
      <w:sz w:val="24"/>
      <w:szCs w:val="24"/>
    </w:rPr>
  </w:style>
  <w:style w:type="character" w:customStyle="1" w:styleId="Mencinsinresolver2">
    <w:name w:val="Mención sin resolver2"/>
    <w:basedOn w:val="a0"/>
    <w:uiPriority w:val="99"/>
    <w:semiHidden/>
    <w:unhideWhenUsed/>
    <w:rsid w:val="009C5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6912">
      <w:bodyDiv w:val="1"/>
      <w:marLeft w:val="0"/>
      <w:marRight w:val="0"/>
      <w:marTop w:val="0"/>
      <w:marBottom w:val="0"/>
      <w:divBdr>
        <w:top w:val="none" w:sz="0" w:space="0" w:color="auto"/>
        <w:left w:val="none" w:sz="0" w:space="0" w:color="auto"/>
        <w:bottom w:val="none" w:sz="0" w:space="0" w:color="auto"/>
        <w:right w:val="none" w:sz="0" w:space="0" w:color="auto"/>
      </w:divBdr>
      <w:divsChild>
        <w:div w:id="1611161423">
          <w:marLeft w:val="0"/>
          <w:marRight w:val="1"/>
          <w:marTop w:val="0"/>
          <w:marBottom w:val="0"/>
          <w:divBdr>
            <w:top w:val="none" w:sz="0" w:space="0" w:color="auto"/>
            <w:left w:val="none" w:sz="0" w:space="0" w:color="auto"/>
            <w:bottom w:val="none" w:sz="0" w:space="0" w:color="auto"/>
            <w:right w:val="none" w:sz="0" w:space="0" w:color="auto"/>
          </w:divBdr>
          <w:divsChild>
            <w:div w:id="985664168">
              <w:marLeft w:val="0"/>
              <w:marRight w:val="0"/>
              <w:marTop w:val="0"/>
              <w:marBottom w:val="0"/>
              <w:divBdr>
                <w:top w:val="none" w:sz="0" w:space="0" w:color="auto"/>
                <w:left w:val="none" w:sz="0" w:space="0" w:color="auto"/>
                <w:bottom w:val="none" w:sz="0" w:space="0" w:color="auto"/>
                <w:right w:val="none" w:sz="0" w:space="0" w:color="auto"/>
              </w:divBdr>
              <w:divsChild>
                <w:div w:id="2145195174">
                  <w:marLeft w:val="0"/>
                  <w:marRight w:val="1"/>
                  <w:marTop w:val="0"/>
                  <w:marBottom w:val="0"/>
                  <w:divBdr>
                    <w:top w:val="none" w:sz="0" w:space="0" w:color="auto"/>
                    <w:left w:val="none" w:sz="0" w:space="0" w:color="auto"/>
                    <w:bottom w:val="none" w:sz="0" w:space="0" w:color="auto"/>
                    <w:right w:val="none" w:sz="0" w:space="0" w:color="auto"/>
                  </w:divBdr>
                  <w:divsChild>
                    <w:div w:id="1168331768">
                      <w:marLeft w:val="0"/>
                      <w:marRight w:val="0"/>
                      <w:marTop w:val="0"/>
                      <w:marBottom w:val="0"/>
                      <w:divBdr>
                        <w:top w:val="none" w:sz="0" w:space="0" w:color="auto"/>
                        <w:left w:val="none" w:sz="0" w:space="0" w:color="auto"/>
                        <w:bottom w:val="none" w:sz="0" w:space="0" w:color="auto"/>
                        <w:right w:val="none" w:sz="0" w:space="0" w:color="auto"/>
                      </w:divBdr>
                      <w:divsChild>
                        <w:div w:id="1768039615">
                          <w:marLeft w:val="0"/>
                          <w:marRight w:val="0"/>
                          <w:marTop w:val="0"/>
                          <w:marBottom w:val="0"/>
                          <w:divBdr>
                            <w:top w:val="none" w:sz="0" w:space="0" w:color="auto"/>
                            <w:left w:val="none" w:sz="0" w:space="0" w:color="auto"/>
                            <w:bottom w:val="none" w:sz="0" w:space="0" w:color="auto"/>
                            <w:right w:val="none" w:sz="0" w:space="0" w:color="auto"/>
                          </w:divBdr>
                          <w:divsChild>
                            <w:div w:id="50469469">
                              <w:marLeft w:val="0"/>
                              <w:marRight w:val="0"/>
                              <w:marTop w:val="120"/>
                              <w:marBottom w:val="360"/>
                              <w:divBdr>
                                <w:top w:val="none" w:sz="0" w:space="0" w:color="auto"/>
                                <w:left w:val="none" w:sz="0" w:space="0" w:color="auto"/>
                                <w:bottom w:val="none" w:sz="0" w:space="0" w:color="auto"/>
                                <w:right w:val="none" w:sz="0" w:space="0" w:color="auto"/>
                              </w:divBdr>
                              <w:divsChild>
                                <w:div w:id="1311247971">
                                  <w:marLeft w:val="0"/>
                                  <w:marRight w:val="0"/>
                                  <w:marTop w:val="0"/>
                                  <w:marBottom w:val="0"/>
                                  <w:divBdr>
                                    <w:top w:val="none" w:sz="0" w:space="0" w:color="auto"/>
                                    <w:left w:val="none" w:sz="0" w:space="0" w:color="auto"/>
                                    <w:bottom w:val="none" w:sz="0" w:space="0" w:color="auto"/>
                                    <w:right w:val="none" w:sz="0" w:space="0" w:color="auto"/>
                                  </w:divBdr>
                                </w:div>
                                <w:div w:id="13402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23704">
      <w:bodyDiv w:val="1"/>
      <w:marLeft w:val="0"/>
      <w:marRight w:val="0"/>
      <w:marTop w:val="0"/>
      <w:marBottom w:val="0"/>
      <w:divBdr>
        <w:top w:val="none" w:sz="0" w:space="0" w:color="auto"/>
        <w:left w:val="none" w:sz="0" w:space="0" w:color="auto"/>
        <w:bottom w:val="none" w:sz="0" w:space="0" w:color="auto"/>
        <w:right w:val="none" w:sz="0" w:space="0" w:color="auto"/>
      </w:divBdr>
    </w:div>
    <w:div w:id="720639681">
      <w:bodyDiv w:val="1"/>
      <w:marLeft w:val="0"/>
      <w:marRight w:val="0"/>
      <w:marTop w:val="0"/>
      <w:marBottom w:val="0"/>
      <w:divBdr>
        <w:top w:val="none" w:sz="0" w:space="0" w:color="auto"/>
        <w:left w:val="none" w:sz="0" w:space="0" w:color="auto"/>
        <w:bottom w:val="none" w:sz="0" w:space="0" w:color="auto"/>
        <w:right w:val="none" w:sz="0" w:space="0" w:color="auto"/>
      </w:divBdr>
    </w:div>
    <w:div w:id="1383674386">
      <w:bodyDiv w:val="1"/>
      <w:marLeft w:val="0"/>
      <w:marRight w:val="0"/>
      <w:marTop w:val="0"/>
      <w:marBottom w:val="0"/>
      <w:divBdr>
        <w:top w:val="none" w:sz="0" w:space="0" w:color="auto"/>
        <w:left w:val="none" w:sz="0" w:space="0" w:color="auto"/>
        <w:bottom w:val="none" w:sz="0" w:space="0" w:color="auto"/>
        <w:right w:val="none" w:sz="0" w:space="0" w:color="auto"/>
      </w:divBdr>
    </w:div>
    <w:div w:id="1434938412">
      <w:bodyDiv w:val="1"/>
      <w:marLeft w:val="0"/>
      <w:marRight w:val="0"/>
      <w:marTop w:val="0"/>
      <w:marBottom w:val="0"/>
      <w:divBdr>
        <w:top w:val="none" w:sz="0" w:space="0" w:color="auto"/>
        <w:left w:val="none" w:sz="0" w:space="0" w:color="auto"/>
        <w:bottom w:val="none" w:sz="0" w:space="0" w:color="auto"/>
        <w:right w:val="none" w:sz="0" w:space="0" w:color="auto"/>
      </w:divBdr>
    </w:div>
    <w:div w:id="1926261125">
      <w:bodyDiv w:val="1"/>
      <w:marLeft w:val="0"/>
      <w:marRight w:val="0"/>
      <w:marTop w:val="0"/>
      <w:marBottom w:val="0"/>
      <w:divBdr>
        <w:top w:val="none" w:sz="0" w:space="0" w:color="auto"/>
        <w:left w:val="none" w:sz="0" w:space="0" w:color="auto"/>
        <w:bottom w:val="none" w:sz="0" w:space="0" w:color="auto"/>
        <w:right w:val="none" w:sz="0" w:space="0" w:color="auto"/>
      </w:divBdr>
      <w:divsChild>
        <w:div w:id="1932229603">
          <w:marLeft w:val="0"/>
          <w:marRight w:val="0"/>
          <w:marTop w:val="0"/>
          <w:marBottom w:val="0"/>
          <w:divBdr>
            <w:top w:val="none" w:sz="0" w:space="0" w:color="auto"/>
            <w:left w:val="none" w:sz="0" w:space="0" w:color="auto"/>
            <w:bottom w:val="none" w:sz="0" w:space="0" w:color="auto"/>
            <w:right w:val="none" w:sz="0" w:space="0" w:color="auto"/>
          </w:divBdr>
          <w:divsChild>
            <w:div w:id="400635784">
              <w:marLeft w:val="0"/>
              <w:marRight w:val="0"/>
              <w:marTop w:val="0"/>
              <w:marBottom w:val="0"/>
              <w:divBdr>
                <w:top w:val="none" w:sz="0" w:space="0" w:color="auto"/>
                <w:left w:val="none" w:sz="0" w:space="0" w:color="auto"/>
                <w:bottom w:val="none" w:sz="0" w:space="0" w:color="auto"/>
                <w:right w:val="none" w:sz="0" w:space="0" w:color="auto"/>
              </w:divBdr>
              <w:divsChild>
                <w:div w:id="1762675614">
                  <w:marLeft w:val="0"/>
                  <w:marRight w:val="2905"/>
                  <w:marTop w:val="0"/>
                  <w:marBottom w:val="0"/>
                  <w:divBdr>
                    <w:top w:val="none" w:sz="0" w:space="0" w:color="auto"/>
                    <w:left w:val="none" w:sz="0" w:space="0" w:color="auto"/>
                    <w:bottom w:val="none" w:sz="0" w:space="0" w:color="auto"/>
                    <w:right w:val="none" w:sz="0" w:space="0" w:color="auto"/>
                  </w:divBdr>
                  <w:divsChild>
                    <w:div w:id="717634537">
                      <w:marLeft w:val="0"/>
                      <w:marRight w:val="0"/>
                      <w:marTop w:val="0"/>
                      <w:marBottom w:val="0"/>
                      <w:divBdr>
                        <w:top w:val="none" w:sz="0" w:space="0" w:color="auto"/>
                        <w:left w:val="none" w:sz="0" w:space="0" w:color="auto"/>
                        <w:bottom w:val="none" w:sz="0" w:space="0" w:color="auto"/>
                        <w:right w:val="none" w:sz="0" w:space="0" w:color="auto"/>
                      </w:divBdr>
                      <w:divsChild>
                        <w:div w:id="1592157239">
                          <w:marLeft w:val="0"/>
                          <w:marRight w:val="0"/>
                          <w:marTop w:val="0"/>
                          <w:marBottom w:val="0"/>
                          <w:divBdr>
                            <w:top w:val="none" w:sz="0" w:space="0" w:color="auto"/>
                            <w:left w:val="none" w:sz="0" w:space="0" w:color="auto"/>
                            <w:bottom w:val="none" w:sz="0" w:space="0" w:color="auto"/>
                            <w:right w:val="none" w:sz="0" w:space="0" w:color="auto"/>
                          </w:divBdr>
                          <w:divsChild>
                            <w:div w:id="178400552">
                              <w:marLeft w:val="0"/>
                              <w:marRight w:val="0"/>
                              <w:marTop w:val="250"/>
                              <w:marBottom w:val="0"/>
                              <w:divBdr>
                                <w:top w:val="none" w:sz="0" w:space="0" w:color="auto"/>
                                <w:left w:val="none" w:sz="0" w:space="0" w:color="auto"/>
                                <w:bottom w:val="none" w:sz="0" w:space="0" w:color="auto"/>
                                <w:right w:val="none" w:sz="0" w:space="0" w:color="auto"/>
                              </w:divBdr>
                              <w:divsChild>
                                <w:div w:id="1779717693">
                                  <w:marLeft w:val="0"/>
                                  <w:marRight w:val="0"/>
                                  <w:marTop w:val="0"/>
                                  <w:marBottom w:val="0"/>
                                  <w:divBdr>
                                    <w:top w:val="none" w:sz="0" w:space="0" w:color="auto"/>
                                    <w:left w:val="none" w:sz="0" w:space="0" w:color="auto"/>
                                    <w:bottom w:val="none" w:sz="0" w:space="0" w:color="auto"/>
                                    <w:right w:val="none" w:sz="0" w:space="0" w:color="auto"/>
                                  </w:divBdr>
                                  <w:divsChild>
                                    <w:div w:id="898904060">
                                      <w:marLeft w:val="-626"/>
                                      <w:marRight w:val="0"/>
                                      <w:marTop w:val="0"/>
                                      <w:marBottom w:val="0"/>
                                      <w:divBdr>
                                        <w:top w:val="none" w:sz="0" w:space="0" w:color="auto"/>
                                        <w:left w:val="none" w:sz="0" w:space="0" w:color="auto"/>
                                        <w:bottom w:val="none" w:sz="0" w:space="0" w:color="auto"/>
                                        <w:right w:val="none" w:sz="0" w:space="0" w:color="auto"/>
                                      </w:divBdr>
                                    </w:div>
                                    <w:div w:id="1213031894">
                                      <w:marLeft w:val="-626"/>
                                      <w:marRight w:val="0"/>
                                      <w:marTop w:val="0"/>
                                      <w:marBottom w:val="0"/>
                                      <w:divBdr>
                                        <w:top w:val="none" w:sz="0" w:space="0" w:color="auto"/>
                                        <w:left w:val="none" w:sz="0" w:space="0" w:color="auto"/>
                                        <w:bottom w:val="none" w:sz="0" w:space="0" w:color="auto"/>
                                        <w:right w:val="none" w:sz="0" w:space="0" w:color="auto"/>
                                      </w:divBdr>
                                    </w:div>
                                    <w:div w:id="1416394792">
                                      <w:marLeft w:val="0"/>
                                      <w:marRight w:val="0"/>
                                      <w:marTop w:val="0"/>
                                      <w:marBottom w:val="0"/>
                                      <w:divBdr>
                                        <w:top w:val="none" w:sz="0" w:space="0" w:color="auto"/>
                                        <w:left w:val="none" w:sz="0" w:space="0" w:color="auto"/>
                                        <w:bottom w:val="none" w:sz="0" w:space="0" w:color="auto"/>
                                        <w:right w:val="none" w:sz="0" w:space="0" w:color="auto"/>
                                      </w:divBdr>
                                    </w:div>
                                    <w:div w:id="2044136675">
                                      <w:marLeft w:val="0"/>
                                      <w:marRight w:val="0"/>
                                      <w:marTop w:val="0"/>
                                      <w:marBottom w:val="0"/>
                                      <w:divBdr>
                                        <w:top w:val="none" w:sz="0" w:space="0" w:color="auto"/>
                                        <w:left w:val="none" w:sz="0" w:space="0" w:color="auto"/>
                                        <w:bottom w:val="none" w:sz="0" w:space="0" w:color="auto"/>
                                        <w:right w:val="none" w:sz="0" w:space="0" w:color="auto"/>
                                      </w:divBdr>
                                    </w:div>
                                    <w:div w:id="20454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mailto:emma.folch@iibb.csic.es"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B4FFB-8868-4F94-947B-258E5277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18731</Words>
  <Characters>106773</Characters>
  <Application>Microsoft Office Word</Application>
  <DocSecurity>0</DocSecurity>
  <Lines>889</Lines>
  <Paragraphs>250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125254</CharactersWithSpaces>
  <SharedDoc>false</SharedDoc>
  <HLinks>
    <vt:vector size="24" baseType="variant">
      <vt:variant>
        <vt:i4>65624</vt:i4>
      </vt:variant>
      <vt:variant>
        <vt:i4>9</vt:i4>
      </vt:variant>
      <vt:variant>
        <vt:i4>0</vt:i4>
      </vt:variant>
      <vt:variant>
        <vt:i4>5</vt:i4>
      </vt:variant>
      <vt:variant>
        <vt:lpwstr>https://www.ncbi.nlm.nih.gov/pubmed/14665518</vt:lpwstr>
      </vt:variant>
      <vt:variant>
        <vt:lpwstr/>
      </vt:variant>
      <vt:variant>
        <vt:i4>1835134</vt:i4>
      </vt:variant>
      <vt:variant>
        <vt:i4>6</vt:i4>
      </vt:variant>
      <vt:variant>
        <vt:i4>0</vt:i4>
      </vt:variant>
      <vt:variant>
        <vt:i4>5</vt:i4>
      </vt:variant>
      <vt:variant>
        <vt:lpwstr>https://www.ncbi.nlm.nih.gov/pubmed/?term=Frossard%20JL%5BAuthor%5D&amp;cauthor=true&amp;cauthor_uid=14665518</vt:lpwstr>
      </vt:variant>
      <vt:variant>
        <vt:lpwstr/>
      </vt:variant>
      <vt:variant>
        <vt:i4>7209038</vt:i4>
      </vt:variant>
      <vt:variant>
        <vt:i4>3</vt:i4>
      </vt:variant>
      <vt:variant>
        <vt:i4>0</vt:i4>
      </vt:variant>
      <vt:variant>
        <vt:i4>5</vt:i4>
      </vt:variant>
      <vt:variant>
        <vt:lpwstr>https://www.ncbi.nlm.nih.gov/pubmed/?term=Matthay%20MA%5BAuthor%5D&amp;cauthor=true&amp;cauthor_uid=14665518</vt:lpwstr>
      </vt:variant>
      <vt:variant>
        <vt:lpwstr/>
      </vt:variant>
      <vt:variant>
        <vt:i4>7733275</vt:i4>
      </vt:variant>
      <vt:variant>
        <vt:i4>0</vt:i4>
      </vt:variant>
      <vt:variant>
        <vt:i4>0</vt:i4>
      </vt:variant>
      <vt:variant>
        <vt:i4>5</vt:i4>
      </vt:variant>
      <vt:variant>
        <vt:lpwstr>https://www.ncbi.nlm.nih.gov/pubmed/?term=Pastor%20CM%5BAuthor%5D&amp;cauthor=true&amp;cauthor_uid=14665518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Arnau Panisello Rosello</dc:creator>
  <cp:lastModifiedBy>Lenovo</cp:lastModifiedBy>
  <cp:revision>5</cp:revision>
  <cp:lastPrinted>2020-08-04T14:51:00Z</cp:lastPrinted>
  <dcterms:created xsi:type="dcterms:W3CDTF">2020-09-11T22:48:00Z</dcterms:created>
  <dcterms:modified xsi:type="dcterms:W3CDTF">2020-10-21T02:23:00Z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48dea18c-6c68-36e1-a048-a81a0903ed36</vt:lpwstr>
  </property>
  <property fmtid="{D5CDD505-2E9C-101B-9397-08002B2CF9AE}" pid="24" name="Mendeley Citation Style_1">
    <vt:lpwstr>http://www.zotero.org/styles/world-journal-of-gastroenterology</vt:lpwstr>
  </property>
</Properties>
</file>