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A5DF" w14:textId="77777777" w:rsidR="00A77B3E" w:rsidRDefault="001C211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69365206" w14:textId="77777777" w:rsidR="00A77B3E" w:rsidRDefault="001C211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59435</w:t>
      </w:r>
    </w:p>
    <w:p w14:paraId="63F58D3D" w14:textId="77777777" w:rsidR="00A77B3E" w:rsidRDefault="001C211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5E384DED" w14:textId="77777777" w:rsidR="00A77B3E" w:rsidRDefault="00A77B3E">
      <w:pPr>
        <w:spacing w:line="360" w:lineRule="auto"/>
        <w:jc w:val="both"/>
      </w:pPr>
    </w:p>
    <w:p w14:paraId="31126519" w14:textId="0076AF23" w:rsidR="00A77B3E" w:rsidRDefault="001C2110">
      <w:pPr>
        <w:spacing w:line="360" w:lineRule="auto"/>
        <w:jc w:val="both"/>
      </w:pPr>
      <w:r>
        <w:rPr>
          <w:rFonts w:ascii="Book Antiqua" w:eastAsia="Book Antiqua" w:hAnsi="Book Antiqua" w:cs="Book Antiqua"/>
          <w:b/>
          <w:color w:val="000000"/>
        </w:rPr>
        <w:t xml:space="preserve">Nonmetastatic </w:t>
      </w:r>
      <w:r w:rsidR="00CB2437">
        <w:rPr>
          <w:rFonts w:ascii="Book Antiqua" w:eastAsia="Book Antiqua" w:hAnsi="Book Antiqua" w:cs="Book Antiqua"/>
          <w:b/>
          <w:color w:val="000000"/>
        </w:rPr>
        <w:t>c</w:t>
      </w:r>
      <w:r>
        <w:rPr>
          <w:rFonts w:ascii="Book Antiqua" w:eastAsia="Book Antiqua" w:hAnsi="Book Antiqua" w:cs="Book Antiqua"/>
          <w:b/>
          <w:color w:val="000000"/>
        </w:rPr>
        <w:t>astration-</w:t>
      </w:r>
      <w:r w:rsidR="00CB2437">
        <w:rPr>
          <w:rFonts w:ascii="Book Antiqua" w:eastAsia="Book Antiqua" w:hAnsi="Book Antiqua" w:cs="Book Antiqua"/>
          <w:b/>
          <w:color w:val="000000"/>
        </w:rPr>
        <w:t>r</w:t>
      </w:r>
      <w:r>
        <w:rPr>
          <w:rFonts w:ascii="Book Antiqua" w:eastAsia="Book Antiqua" w:hAnsi="Book Antiqua" w:cs="Book Antiqua"/>
          <w:b/>
          <w:color w:val="000000"/>
        </w:rPr>
        <w:t xml:space="preserve">esistant </w:t>
      </w:r>
      <w:r w:rsidR="00CB2437">
        <w:rPr>
          <w:rFonts w:ascii="Book Antiqua" w:eastAsia="Book Antiqua" w:hAnsi="Book Antiqua" w:cs="Book Antiqua"/>
          <w:b/>
          <w:color w:val="000000"/>
        </w:rPr>
        <w:t>p</w:t>
      </w:r>
      <w:r>
        <w:rPr>
          <w:rFonts w:ascii="Book Antiqua" w:eastAsia="Book Antiqua" w:hAnsi="Book Antiqua" w:cs="Book Antiqua"/>
          <w:b/>
          <w:color w:val="000000"/>
        </w:rPr>
        <w:t xml:space="preserve">rostate </w:t>
      </w:r>
      <w:r w:rsidR="00CB2437">
        <w:rPr>
          <w:rFonts w:ascii="Book Antiqua" w:eastAsia="Book Antiqua" w:hAnsi="Book Antiqua" w:cs="Book Antiqua"/>
          <w:b/>
          <w:color w:val="000000"/>
        </w:rPr>
        <w:t>c</w:t>
      </w:r>
      <w:r>
        <w:rPr>
          <w:rFonts w:ascii="Book Antiqua" w:eastAsia="Book Antiqua" w:hAnsi="Book Antiqua" w:cs="Book Antiqua"/>
          <w:b/>
          <w:color w:val="000000"/>
        </w:rPr>
        <w:t xml:space="preserve">ancer: Novel </w:t>
      </w:r>
      <w:r w:rsidR="00CB2437">
        <w:rPr>
          <w:rFonts w:ascii="Book Antiqua" w:eastAsia="Book Antiqua" w:hAnsi="Book Antiqua" w:cs="Book Antiqua"/>
          <w:b/>
          <w:color w:val="000000"/>
        </w:rPr>
        <w:t>a</w:t>
      </w:r>
      <w:r>
        <w:rPr>
          <w:rFonts w:ascii="Book Antiqua" w:eastAsia="Book Antiqua" w:hAnsi="Book Antiqua" w:cs="Book Antiqua"/>
          <w:b/>
          <w:color w:val="000000"/>
        </w:rPr>
        <w:t xml:space="preserve">gents to </w:t>
      </w:r>
      <w:r w:rsidR="00CB2437">
        <w:rPr>
          <w:rFonts w:ascii="Book Antiqua" w:eastAsia="Book Antiqua" w:hAnsi="Book Antiqua" w:cs="Book Antiqua"/>
          <w:b/>
          <w:color w:val="000000"/>
        </w:rPr>
        <w:t>t</w:t>
      </w:r>
      <w:r>
        <w:rPr>
          <w:rFonts w:ascii="Book Antiqua" w:eastAsia="Book Antiqua" w:hAnsi="Book Antiqua" w:cs="Book Antiqua"/>
          <w:b/>
          <w:color w:val="000000"/>
        </w:rPr>
        <w:t xml:space="preserve">reat a </w:t>
      </w:r>
      <w:r w:rsidR="00CB2437">
        <w:rPr>
          <w:rFonts w:ascii="Book Antiqua" w:eastAsia="Book Antiqua" w:hAnsi="Book Antiqua" w:cs="Book Antiqua"/>
          <w:b/>
          <w:color w:val="000000"/>
        </w:rPr>
        <w:t>l</w:t>
      </w:r>
      <w:r>
        <w:rPr>
          <w:rFonts w:ascii="Book Antiqua" w:eastAsia="Book Antiqua" w:hAnsi="Book Antiqua" w:cs="Book Antiqua"/>
          <w:b/>
          <w:color w:val="000000"/>
        </w:rPr>
        <w:t xml:space="preserve">ethal </w:t>
      </w:r>
      <w:r w:rsidR="00CB2437">
        <w:rPr>
          <w:rFonts w:ascii="Book Antiqua" w:eastAsia="Book Antiqua" w:hAnsi="Book Antiqua" w:cs="Book Antiqua"/>
          <w:b/>
          <w:color w:val="000000"/>
        </w:rPr>
        <w:t>d</w:t>
      </w:r>
      <w:r>
        <w:rPr>
          <w:rFonts w:ascii="Book Antiqua" w:eastAsia="Book Antiqua" w:hAnsi="Book Antiqua" w:cs="Book Antiqua"/>
          <w:b/>
          <w:color w:val="000000"/>
        </w:rPr>
        <w:t>isease</w:t>
      </w:r>
    </w:p>
    <w:p w14:paraId="29BD4E6B" w14:textId="77777777" w:rsidR="00A77B3E" w:rsidRDefault="00A77B3E">
      <w:pPr>
        <w:spacing w:line="360" w:lineRule="auto"/>
        <w:jc w:val="both"/>
      </w:pPr>
    </w:p>
    <w:p w14:paraId="5E762CA5" w14:textId="40490150" w:rsidR="00A77B3E" w:rsidRDefault="00CB2437">
      <w:pPr>
        <w:spacing w:line="360" w:lineRule="auto"/>
        <w:jc w:val="both"/>
      </w:pPr>
      <w:r>
        <w:rPr>
          <w:rFonts w:ascii="Book Antiqua" w:eastAsia="Book Antiqua" w:hAnsi="Book Antiqua" w:cs="Book Antiqua"/>
          <w:color w:val="000000"/>
        </w:rPr>
        <w:t xml:space="preserve">Henriquez I </w:t>
      </w:r>
      <w:r w:rsidRPr="00CB243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C2110">
        <w:rPr>
          <w:rFonts w:ascii="Book Antiqua" w:eastAsia="Book Antiqua" w:hAnsi="Book Antiqua" w:cs="Book Antiqua"/>
          <w:color w:val="000000"/>
        </w:rPr>
        <w:t>nmCRPC</w:t>
      </w:r>
      <w:r>
        <w:rPr>
          <w:rFonts w:ascii="Book Antiqua" w:eastAsia="Book Antiqua" w:hAnsi="Book Antiqua" w:cs="Book Antiqua"/>
          <w:color w:val="000000"/>
        </w:rPr>
        <w:t>:</w:t>
      </w:r>
      <w:r w:rsidR="001C2110">
        <w:rPr>
          <w:rFonts w:ascii="Book Antiqua" w:eastAsia="Book Antiqua" w:hAnsi="Book Antiqua" w:cs="Book Antiqua"/>
          <w:color w:val="000000"/>
        </w:rPr>
        <w:t xml:space="preserve"> </w:t>
      </w:r>
      <w:r>
        <w:rPr>
          <w:rFonts w:ascii="Book Antiqua" w:eastAsia="Book Antiqua" w:hAnsi="Book Antiqua" w:cs="Book Antiqua"/>
          <w:color w:val="000000"/>
        </w:rPr>
        <w:t>A</w:t>
      </w:r>
      <w:r w:rsidR="001C2110">
        <w:rPr>
          <w:rFonts w:ascii="Book Antiqua" w:eastAsia="Book Antiqua" w:hAnsi="Book Antiqua" w:cs="Book Antiqua"/>
          <w:color w:val="000000"/>
        </w:rPr>
        <w:t xml:space="preserve"> lethal disease</w:t>
      </w:r>
    </w:p>
    <w:p w14:paraId="769BA49C" w14:textId="77777777" w:rsidR="00A77B3E" w:rsidRDefault="00A77B3E">
      <w:pPr>
        <w:spacing w:line="360" w:lineRule="auto"/>
        <w:jc w:val="both"/>
      </w:pPr>
    </w:p>
    <w:p w14:paraId="4C06D960" w14:textId="77777777" w:rsidR="00A77B3E" w:rsidRDefault="001C2110">
      <w:pPr>
        <w:spacing w:line="360" w:lineRule="auto"/>
        <w:jc w:val="both"/>
      </w:pPr>
      <w:r>
        <w:rPr>
          <w:rFonts w:ascii="Book Antiqua" w:eastAsia="Book Antiqua" w:hAnsi="Book Antiqua" w:cs="Book Antiqua"/>
          <w:color w:val="000000"/>
        </w:rPr>
        <w:t>Ivan Henriquez, Daniel Spratt, Alfonso Gómez-Iturriaga, Oscar Abuchaibe, Felipe Couñago</w:t>
      </w:r>
    </w:p>
    <w:p w14:paraId="3DCE1683" w14:textId="77777777" w:rsidR="00A77B3E" w:rsidRDefault="00A77B3E">
      <w:pPr>
        <w:spacing w:line="360" w:lineRule="auto"/>
        <w:jc w:val="both"/>
      </w:pPr>
    </w:p>
    <w:p w14:paraId="264262E1" w14:textId="77777777" w:rsidR="00A77B3E" w:rsidRDefault="001C2110">
      <w:pPr>
        <w:spacing w:line="360" w:lineRule="auto"/>
        <w:jc w:val="both"/>
      </w:pPr>
      <w:r>
        <w:rPr>
          <w:rFonts w:ascii="Book Antiqua" w:eastAsia="Book Antiqua" w:hAnsi="Book Antiqua" w:cs="Book Antiqua"/>
          <w:b/>
          <w:bCs/>
          <w:color w:val="000000"/>
        </w:rPr>
        <w:t xml:space="preserve">Ivan Henriquez, </w:t>
      </w:r>
      <w:r>
        <w:rPr>
          <w:rFonts w:ascii="Book Antiqua" w:eastAsia="Book Antiqua" w:hAnsi="Book Antiqua" w:cs="Book Antiqua"/>
          <w:color w:val="000000"/>
        </w:rPr>
        <w:t>Department of Radiation Oncology, Hospital Universitario Sant Joan, Instituto Investigación Pere i Virgili, Reus 43204, Tarragona, Spain</w:t>
      </w:r>
    </w:p>
    <w:p w14:paraId="5BD8098F" w14:textId="77777777" w:rsidR="00A77B3E" w:rsidRDefault="00A77B3E">
      <w:pPr>
        <w:spacing w:line="360" w:lineRule="auto"/>
        <w:jc w:val="both"/>
      </w:pPr>
    </w:p>
    <w:p w14:paraId="09F39928" w14:textId="77777777" w:rsidR="00A77B3E" w:rsidRDefault="001C2110">
      <w:pPr>
        <w:spacing w:line="360" w:lineRule="auto"/>
        <w:jc w:val="both"/>
      </w:pPr>
      <w:r>
        <w:rPr>
          <w:rFonts w:ascii="Book Antiqua" w:eastAsia="Book Antiqua" w:hAnsi="Book Antiqua" w:cs="Book Antiqua"/>
          <w:b/>
          <w:bCs/>
          <w:color w:val="000000"/>
        </w:rPr>
        <w:t xml:space="preserve">Daniel Spratt, </w:t>
      </w:r>
      <w:r>
        <w:rPr>
          <w:rFonts w:ascii="Book Antiqua" w:eastAsia="Book Antiqua" w:hAnsi="Book Antiqua" w:cs="Book Antiqua"/>
          <w:color w:val="000000"/>
        </w:rPr>
        <w:t>Department of Radiation Oncology, Ann Arbor, University of Michigan, Michigan, MI 48109, United States</w:t>
      </w:r>
    </w:p>
    <w:p w14:paraId="61473DB7" w14:textId="77777777" w:rsidR="00A77B3E" w:rsidRDefault="00A77B3E">
      <w:pPr>
        <w:spacing w:line="360" w:lineRule="auto"/>
        <w:jc w:val="both"/>
      </w:pPr>
    </w:p>
    <w:p w14:paraId="05177970" w14:textId="77EA16F0" w:rsidR="00A77B3E" w:rsidRDefault="001C2110">
      <w:pPr>
        <w:spacing w:line="360" w:lineRule="auto"/>
        <w:jc w:val="both"/>
      </w:pPr>
      <w:r>
        <w:rPr>
          <w:rFonts w:ascii="Book Antiqua" w:eastAsia="Book Antiqua" w:hAnsi="Book Antiqua" w:cs="Book Antiqua"/>
          <w:b/>
          <w:bCs/>
          <w:color w:val="000000"/>
        </w:rPr>
        <w:t xml:space="preserve">Alfonso Gómez-Iturriaga, </w:t>
      </w:r>
      <w:r>
        <w:rPr>
          <w:rFonts w:ascii="Book Antiqua" w:eastAsia="Book Antiqua" w:hAnsi="Book Antiqua" w:cs="Book Antiqua"/>
          <w:color w:val="000000"/>
        </w:rPr>
        <w:t>Department of Radiation Oncology, Hospital Universitario Cruces/Biocruces Health Research Institute, Barakaldo 48903, Bizcaia, Spain</w:t>
      </w:r>
    </w:p>
    <w:p w14:paraId="709A7D00" w14:textId="77777777" w:rsidR="00A77B3E" w:rsidRDefault="00A77B3E">
      <w:pPr>
        <w:spacing w:line="360" w:lineRule="auto"/>
        <w:jc w:val="both"/>
      </w:pPr>
    </w:p>
    <w:p w14:paraId="71BA557E" w14:textId="77777777" w:rsidR="00A77B3E" w:rsidRDefault="001C2110">
      <w:pPr>
        <w:spacing w:line="360" w:lineRule="auto"/>
        <w:jc w:val="both"/>
      </w:pPr>
      <w:r>
        <w:rPr>
          <w:rFonts w:ascii="Book Antiqua" w:eastAsia="Book Antiqua" w:hAnsi="Book Antiqua" w:cs="Book Antiqua"/>
          <w:b/>
          <w:bCs/>
          <w:color w:val="000000"/>
        </w:rPr>
        <w:t xml:space="preserve">Oscar Abuchaibe, </w:t>
      </w:r>
      <w:r>
        <w:rPr>
          <w:rFonts w:ascii="Book Antiqua" w:eastAsia="Book Antiqua" w:hAnsi="Book Antiqua" w:cs="Book Antiqua"/>
          <w:color w:val="000000"/>
        </w:rPr>
        <w:t>Department of Radiation Oncology, Virgilio Galvis Ramirez Cancer Centre, Bucaramanga s/n, Santander, Colombia</w:t>
      </w:r>
    </w:p>
    <w:p w14:paraId="146EC394" w14:textId="77777777" w:rsidR="00A77B3E" w:rsidRDefault="00A77B3E">
      <w:pPr>
        <w:spacing w:line="360" w:lineRule="auto"/>
        <w:jc w:val="both"/>
      </w:pPr>
    </w:p>
    <w:p w14:paraId="7851C188" w14:textId="13E06458" w:rsidR="00A77B3E" w:rsidRDefault="001C2110">
      <w:pPr>
        <w:spacing w:line="360" w:lineRule="auto"/>
        <w:jc w:val="both"/>
      </w:pPr>
      <w:r>
        <w:rPr>
          <w:rFonts w:ascii="Book Antiqua" w:eastAsia="Book Antiqua" w:hAnsi="Book Antiqua" w:cs="Book Antiqua"/>
          <w:b/>
          <w:bCs/>
          <w:color w:val="000000"/>
        </w:rPr>
        <w:t xml:space="preserve">Felipe Couñago, </w:t>
      </w:r>
      <w:r>
        <w:rPr>
          <w:rFonts w:ascii="Book Antiqua" w:eastAsia="Book Antiqua" w:hAnsi="Book Antiqua" w:cs="Book Antiqua"/>
          <w:color w:val="000000"/>
        </w:rPr>
        <w:t>Department of Radiation Oncology, Hospital Universitario Quirónsalud Madrid, Pozuelo de Alarcón</w:t>
      </w:r>
      <w:r w:rsidR="002F510C">
        <w:rPr>
          <w:rFonts w:ascii="Book Antiqua" w:eastAsia="Book Antiqua" w:hAnsi="Book Antiqua" w:cs="Book Antiqua"/>
          <w:color w:val="000000"/>
        </w:rPr>
        <w:t>,</w:t>
      </w:r>
      <w:r>
        <w:rPr>
          <w:rFonts w:ascii="Book Antiqua" w:eastAsia="Book Antiqua" w:hAnsi="Book Antiqua" w:cs="Book Antiqua"/>
          <w:color w:val="000000"/>
        </w:rPr>
        <w:t xml:space="preserve"> Hospital La Luz</w:t>
      </w:r>
      <w:r w:rsidR="002F510C">
        <w:rPr>
          <w:rFonts w:ascii="Book Antiqua" w:eastAsia="Book Antiqua" w:hAnsi="Book Antiqua" w:cs="Book Antiqua"/>
          <w:color w:val="000000"/>
        </w:rPr>
        <w:t>,</w:t>
      </w:r>
      <w:r>
        <w:rPr>
          <w:rFonts w:ascii="Book Antiqua" w:eastAsia="Book Antiqua" w:hAnsi="Book Antiqua" w:cs="Book Antiqua"/>
          <w:color w:val="000000"/>
        </w:rPr>
        <w:t xml:space="preserve"> Clinical Department, Faculty of Biomedicine, Universidad Europea, Madrid 28223, Spain</w:t>
      </w:r>
    </w:p>
    <w:p w14:paraId="737A6428" w14:textId="77777777" w:rsidR="00A77B3E" w:rsidRDefault="00A77B3E">
      <w:pPr>
        <w:spacing w:line="360" w:lineRule="auto"/>
        <w:jc w:val="both"/>
      </w:pPr>
    </w:p>
    <w:p w14:paraId="39614625" w14:textId="1FA24B87" w:rsidR="00A77B3E" w:rsidRDefault="001C211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Henriquez</w:t>
      </w:r>
      <w:r w:rsidR="00BE6B46">
        <w:rPr>
          <w:rFonts w:ascii="Book Antiqua" w:eastAsia="Book Antiqua" w:hAnsi="Book Antiqua" w:cs="Book Antiqua"/>
          <w:color w:val="000000"/>
        </w:rPr>
        <w:t xml:space="preserve"> </w:t>
      </w:r>
      <w:r>
        <w:rPr>
          <w:rFonts w:ascii="Book Antiqua" w:eastAsia="Book Antiqua" w:hAnsi="Book Antiqua" w:cs="Book Antiqua"/>
          <w:color w:val="000000"/>
        </w:rPr>
        <w:t>I, Spratt</w:t>
      </w:r>
      <w:r w:rsidR="00BE6B46">
        <w:rPr>
          <w:rFonts w:ascii="Book Antiqua" w:eastAsia="Book Antiqua" w:hAnsi="Book Antiqua" w:cs="Book Antiqua"/>
          <w:color w:val="000000"/>
        </w:rPr>
        <w:t xml:space="preserve"> </w:t>
      </w:r>
      <w:r>
        <w:rPr>
          <w:rFonts w:ascii="Book Antiqua" w:eastAsia="Book Antiqua" w:hAnsi="Book Antiqua" w:cs="Book Antiqua"/>
          <w:color w:val="000000"/>
        </w:rPr>
        <w:t>D, Gómez-Iturriaga</w:t>
      </w:r>
      <w:r w:rsidR="00BE6B46">
        <w:rPr>
          <w:rFonts w:ascii="Book Antiqua" w:eastAsia="Book Antiqua" w:hAnsi="Book Antiqua" w:cs="Book Antiqua"/>
          <w:color w:val="000000"/>
        </w:rPr>
        <w:t xml:space="preserve"> </w:t>
      </w:r>
      <w:r>
        <w:rPr>
          <w:rFonts w:ascii="Book Antiqua" w:eastAsia="Book Antiqua" w:hAnsi="Book Antiqua" w:cs="Book Antiqua"/>
          <w:color w:val="000000"/>
        </w:rPr>
        <w:t>A, Abuchaibe</w:t>
      </w:r>
      <w:r w:rsidR="00BE6B46">
        <w:rPr>
          <w:rFonts w:ascii="Book Antiqua" w:eastAsia="Book Antiqua" w:hAnsi="Book Antiqua" w:cs="Book Antiqua"/>
          <w:color w:val="000000"/>
        </w:rPr>
        <w:t xml:space="preserve"> </w:t>
      </w:r>
      <w:r>
        <w:rPr>
          <w:rFonts w:ascii="Book Antiqua" w:eastAsia="Book Antiqua" w:hAnsi="Book Antiqua" w:cs="Book Antiqua"/>
          <w:color w:val="000000"/>
        </w:rPr>
        <w:t>O</w:t>
      </w:r>
      <w:r w:rsidR="00776B96">
        <w:rPr>
          <w:rFonts w:ascii="Book Antiqua" w:eastAsia="Book Antiqua" w:hAnsi="Book Antiqua" w:cs="Book Antiqua"/>
          <w:color w:val="000000"/>
        </w:rPr>
        <w:t>,</w:t>
      </w:r>
      <w:r>
        <w:rPr>
          <w:rFonts w:ascii="Book Antiqua" w:eastAsia="Book Antiqua" w:hAnsi="Book Antiqua" w:cs="Book Antiqua"/>
          <w:color w:val="000000"/>
        </w:rPr>
        <w:t xml:space="preserve"> and Couñago</w:t>
      </w:r>
      <w:r w:rsidR="00BE6B46">
        <w:rPr>
          <w:rFonts w:ascii="Book Antiqua" w:eastAsia="Book Antiqua" w:hAnsi="Book Antiqua" w:cs="Book Antiqua"/>
          <w:color w:val="000000"/>
        </w:rPr>
        <w:t xml:space="preserve"> </w:t>
      </w:r>
      <w:r>
        <w:rPr>
          <w:rFonts w:ascii="Book Antiqua" w:eastAsia="Book Antiqua" w:hAnsi="Book Antiqua" w:cs="Book Antiqua"/>
          <w:color w:val="000000"/>
        </w:rPr>
        <w:t>F</w:t>
      </w:r>
      <w:r w:rsidR="00BE6B46">
        <w:rPr>
          <w:rFonts w:ascii="Book Antiqua" w:eastAsia="Book Antiqua" w:hAnsi="Book Antiqua" w:cs="Book Antiqua"/>
          <w:color w:val="000000"/>
        </w:rPr>
        <w:t xml:space="preserve"> </w:t>
      </w:r>
      <w:r>
        <w:rPr>
          <w:rFonts w:ascii="Book Antiqua" w:eastAsia="Book Antiqua" w:hAnsi="Book Antiqua" w:cs="Book Antiqua"/>
          <w:color w:val="000000"/>
        </w:rPr>
        <w:t>contributed equally to this work</w:t>
      </w:r>
      <w:r w:rsidR="00BE6B46">
        <w:rPr>
          <w:rFonts w:ascii="Book Antiqua" w:eastAsia="Book Antiqua" w:hAnsi="Book Antiqua" w:cs="Book Antiqua"/>
          <w:color w:val="000000"/>
        </w:rPr>
        <w:t>.</w:t>
      </w:r>
    </w:p>
    <w:p w14:paraId="63CCDDC5" w14:textId="77777777" w:rsidR="00A77B3E" w:rsidRDefault="00A77B3E">
      <w:pPr>
        <w:spacing w:line="360" w:lineRule="auto"/>
        <w:jc w:val="both"/>
      </w:pPr>
    </w:p>
    <w:p w14:paraId="20517865" w14:textId="7EF50C07" w:rsidR="00A77B3E" w:rsidRDefault="001C2110">
      <w:pPr>
        <w:spacing w:line="360" w:lineRule="auto"/>
        <w:jc w:val="both"/>
      </w:pPr>
      <w:r>
        <w:rPr>
          <w:rFonts w:ascii="Book Antiqua" w:eastAsia="Book Antiqua" w:hAnsi="Book Antiqua" w:cs="Book Antiqua"/>
          <w:b/>
          <w:bCs/>
          <w:color w:val="000000"/>
        </w:rPr>
        <w:t>Correspond</w:t>
      </w:r>
      <w:r w:rsidR="00FE61F6">
        <w:rPr>
          <w:rFonts w:ascii="Book Antiqua" w:eastAsia="Book Antiqua" w:hAnsi="Book Antiqua" w:cs="Book Antiqua"/>
          <w:b/>
          <w:bCs/>
          <w:color w:val="000000"/>
        </w:rPr>
        <w:t xml:space="preserve">ence </w:t>
      </w:r>
      <w:proofErr w:type="gramStart"/>
      <w:r w:rsidR="00FE61F6">
        <w:rPr>
          <w:rFonts w:ascii="Book Antiqua" w:eastAsia="Book Antiqua" w:hAnsi="Book Antiqua" w:cs="Book Antiqua"/>
          <w:b/>
          <w:bCs/>
          <w:color w:val="000000"/>
        </w:rPr>
        <w:t>to</w:t>
      </w:r>
      <w:r>
        <w:rPr>
          <w:rFonts w:ascii="Book Antiqua" w:eastAsia="Book Antiqua" w:hAnsi="Book Antiqua" w:cs="Book Antiqua"/>
          <w:b/>
          <w:bCs/>
          <w:color w:val="000000"/>
        </w:rPr>
        <w:t>:</w:t>
      </w:r>
      <w:proofErr w:type="gramEnd"/>
      <w:r>
        <w:rPr>
          <w:rFonts w:ascii="Book Antiqua" w:eastAsia="Book Antiqua" w:hAnsi="Book Antiqua" w:cs="Book Antiqua"/>
          <w:b/>
          <w:bCs/>
          <w:color w:val="000000"/>
        </w:rPr>
        <w:t xml:space="preserve"> Ivan Henriquez, MD, PhD, Academic Research, Doctor, Medical Assistant, </w:t>
      </w:r>
      <w:r>
        <w:rPr>
          <w:rFonts w:ascii="Book Antiqua" w:eastAsia="Book Antiqua" w:hAnsi="Book Antiqua" w:cs="Book Antiqua"/>
          <w:color w:val="000000"/>
        </w:rPr>
        <w:t>Department of Radiation Oncology, Hospital Universitario Sant Joan, Instituto Investigación Pere i Virgili, Av. Josep Laporte 2, Reus 43204, Tarragona, Spain. ivanhenriquezlopez@me.com</w:t>
      </w:r>
    </w:p>
    <w:p w14:paraId="70848C23" w14:textId="77777777" w:rsidR="00A77B3E" w:rsidRDefault="00A77B3E">
      <w:pPr>
        <w:spacing w:line="360" w:lineRule="auto"/>
        <w:jc w:val="both"/>
      </w:pPr>
    </w:p>
    <w:p w14:paraId="28010590" w14:textId="77777777" w:rsidR="00A77B3E" w:rsidRDefault="001C211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10, 2020</w:t>
      </w:r>
    </w:p>
    <w:p w14:paraId="4A3F400D" w14:textId="77777777" w:rsidR="00A77B3E" w:rsidRDefault="001C211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2020</w:t>
      </w:r>
    </w:p>
    <w:p w14:paraId="77890B49" w14:textId="1D1702DB" w:rsidR="00A77B3E" w:rsidRDefault="001C2110">
      <w:pPr>
        <w:spacing w:line="360" w:lineRule="auto"/>
        <w:jc w:val="both"/>
      </w:pPr>
      <w:r>
        <w:rPr>
          <w:rFonts w:ascii="Book Antiqua" w:eastAsia="Book Antiqua" w:hAnsi="Book Antiqua" w:cs="Book Antiqua"/>
          <w:b/>
          <w:bCs/>
          <w:color w:val="000000"/>
        </w:rPr>
        <w:t xml:space="preserve">Accepted: </w:t>
      </w:r>
      <w:r w:rsidR="003F40C2">
        <w:rPr>
          <w:rFonts w:ascii="Book Antiqua" w:eastAsia="Book Antiqua" w:hAnsi="Book Antiqua" w:cs="Book Antiqua"/>
          <w:color w:val="000000"/>
        </w:rPr>
        <w:t>December 13, 2020</w:t>
      </w:r>
    </w:p>
    <w:p w14:paraId="5F82E42E" w14:textId="77777777" w:rsidR="00A77B3E" w:rsidRDefault="001C2110">
      <w:pPr>
        <w:spacing w:line="360" w:lineRule="auto"/>
        <w:jc w:val="both"/>
      </w:pPr>
      <w:r>
        <w:rPr>
          <w:rFonts w:ascii="Book Antiqua" w:eastAsia="Book Antiqua" w:hAnsi="Book Antiqua" w:cs="Book Antiqua"/>
          <w:b/>
          <w:bCs/>
          <w:color w:val="000000"/>
        </w:rPr>
        <w:t xml:space="preserve">Published online: </w:t>
      </w:r>
    </w:p>
    <w:p w14:paraId="3B78B1D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04C86D7" w14:textId="77777777" w:rsidR="00A77B3E" w:rsidRDefault="001C2110">
      <w:pPr>
        <w:spacing w:line="360" w:lineRule="auto"/>
        <w:jc w:val="both"/>
      </w:pPr>
      <w:r>
        <w:rPr>
          <w:rFonts w:ascii="Book Antiqua" w:eastAsia="Book Antiqua" w:hAnsi="Book Antiqua" w:cs="Book Antiqua"/>
          <w:b/>
          <w:color w:val="000000"/>
        </w:rPr>
        <w:lastRenderedPageBreak/>
        <w:t>Abstract</w:t>
      </w:r>
    </w:p>
    <w:p w14:paraId="32DD9CE1" w14:textId="52B8F5DE" w:rsidR="00A77B3E" w:rsidRDefault="001C2110" w:rsidP="00422568">
      <w:pPr>
        <w:spacing w:line="360" w:lineRule="auto"/>
        <w:jc w:val="both"/>
      </w:pPr>
      <w:r>
        <w:rPr>
          <w:rStyle w:val="Ninguno"/>
          <w:rFonts w:ascii="Book Antiqua" w:eastAsia="Book Antiqua" w:hAnsi="Book Antiqua" w:cs="Book Antiqua"/>
          <w:color w:val="000000"/>
        </w:rPr>
        <w:t>Nonmetastatic castration-resistant prostate cancer (nmCRPC)</w:t>
      </w:r>
      <w:r w:rsidR="00422568">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defined as prostate</w:t>
      </w:r>
      <w:r w:rsidR="00422568">
        <w:rPr>
          <w:rStyle w:val="Ninguno"/>
          <w:rFonts w:ascii="Book Antiqua" w:eastAsia="Book Antiqua" w:hAnsi="Book Antiqua" w:cs="Book Antiqua"/>
          <w:color w:val="000000"/>
        </w:rPr>
        <w:t>-</w:t>
      </w:r>
      <w:r>
        <w:rPr>
          <w:rStyle w:val="Ninguno"/>
          <w:rFonts w:ascii="Book Antiqua" w:eastAsia="Book Antiqua" w:hAnsi="Book Antiqua" w:cs="Book Antiqua"/>
          <w:color w:val="000000"/>
        </w:rPr>
        <w:t>specific antigen (PSA) &gt;</w:t>
      </w:r>
      <w:r w:rsidR="00422568">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2</w:t>
      </w:r>
      <w:r w:rsidR="00422568">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ng/mL, testosterone castration levels &lt;</w:t>
      </w:r>
      <w:r w:rsidR="00422568">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1.7 nm/L, and the absence of metastatic lesions on conventional imaging (computed tomography or bone scan)</w:t>
      </w:r>
      <w:r w:rsidR="00422568">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has been defined as a lethal disease by the Prostate Cancer Work Group. One-third of patients with prostate cancer who receive androgen deprivation therapy for biochemical recurrence after local treatment will develop CRPC, with death occurring an average of 2.5 years after diagnosis of castration resistance. Most patients diagnosed with nmCRPC are asymptomatic or minimally symptomatic at diagnosis due to local treatment. In patients with short PSA doubling times (&lt;</w:t>
      </w:r>
      <w:r w:rsidR="00422568">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 xml:space="preserve">10 mo) and high baseline PSA levels, there is a high risk of bone metastases followed by </w:t>
      </w:r>
      <w:r w:rsidR="00776B96">
        <w:rPr>
          <w:rStyle w:val="Ninguno"/>
          <w:rFonts w:ascii="Book Antiqua" w:eastAsia="Book Antiqua" w:hAnsi="Book Antiqua" w:cs="Book Antiqua"/>
          <w:color w:val="000000"/>
        </w:rPr>
        <w:t>prostate cancer</w:t>
      </w:r>
      <w:r>
        <w:rPr>
          <w:rStyle w:val="Ninguno"/>
          <w:rFonts w:ascii="Book Antiqua" w:eastAsia="Book Antiqua" w:hAnsi="Book Antiqua" w:cs="Book Antiqua"/>
          <w:color w:val="000000"/>
        </w:rPr>
        <w:t>-related mortality. These patients also present significant morbidity that negatively impacts quality of life (QoL). Recently, the results of three randomi</w:t>
      </w:r>
      <w:r w:rsidR="0018358B">
        <w:rPr>
          <w:rStyle w:val="Ninguno"/>
          <w:rFonts w:ascii="Book Antiqua" w:eastAsia="Book Antiqua" w:hAnsi="Book Antiqua" w:cs="Book Antiqua"/>
          <w:color w:val="000000"/>
        </w:rPr>
        <w:t>z</w:t>
      </w:r>
      <w:r>
        <w:rPr>
          <w:rStyle w:val="Ninguno"/>
          <w:rFonts w:ascii="Book Antiqua" w:eastAsia="Book Antiqua" w:hAnsi="Book Antiqua" w:cs="Book Antiqua"/>
          <w:color w:val="000000"/>
        </w:rPr>
        <w:t>ed trials (PROSPER, SPARTAN</w:t>
      </w:r>
      <w:r w:rsidR="0018358B">
        <w:rPr>
          <w:rStyle w:val="Ninguno"/>
          <w:rFonts w:ascii="Book Antiqua" w:eastAsia="Book Antiqua" w:hAnsi="Book Antiqua" w:cs="Book Antiqua"/>
          <w:color w:val="000000"/>
        </w:rPr>
        <w:t>,</w:t>
      </w:r>
      <w:r>
        <w:rPr>
          <w:rStyle w:val="Ninguno"/>
          <w:rFonts w:ascii="Book Antiqua" w:eastAsia="Book Antiqua" w:hAnsi="Book Antiqua" w:cs="Book Antiqua"/>
          <w:color w:val="000000"/>
        </w:rPr>
        <w:t xml:space="preserve"> and ARAMIS) were published. Those trials evaluated the efficacy of three different androgen receptor inhibitors</w:t>
      </w:r>
      <w:r w:rsidR="00422568">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enzalutamide, apalutamide, and darolutamide</w:t>
      </w:r>
      <w:r w:rsidR="00422568">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 xml:space="preserve">in patients with nmCRPC. In all three trials, the study drugs improved both metastasis-free survival and overall survival compared to placebo, plus on-going </w:t>
      </w:r>
      <w:r w:rsidR="00776B96">
        <w:rPr>
          <w:rStyle w:val="Ninguno"/>
          <w:rFonts w:ascii="Book Antiqua" w:eastAsia="Book Antiqua" w:hAnsi="Book Antiqua" w:cs="Book Antiqua"/>
          <w:color w:val="000000"/>
        </w:rPr>
        <w:t>androgen deprivation therapy</w:t>
      </w:r>
      <w:r>
        <w:rPr>
          <w:rStyle w:val="Ninguno"/>
          <w:rFonts w:ascii="Book Antiqua" w:eastAsia="Book Antiqua" w:hAnsi="Book Antiqua" w:cs="Book Antiqua"/>
          <w:color w:val="000000"/>
        </w:rPr>
        <w:t xml:space="preserve"> without a negative impact on QoL. In patients with nmCRPC, the most important clinical objective is early detection and treatment to maintain a low tumor burden and to prolong the symptom-free interval. For patients with nmCRPC, these novel drugs offer new hope for better QoL and survival outcomes.</w:t>
      </w:r>
    </w:p>
    <w:p w14:paraId="7AD8351B" w14:textId="77777777" w:rsidR="00A77B3E" w:rsidRDefault="00A77B3E">
      <w:pPr>
        <w:spacing w:line="360" w:lineRule="auto"/>
        <w:jc w:val="both"/>
      </w:pPr>
    </w:p>
    <w:p w14:paraId="537A570D" w14:textId="78D23740" w:rsidR="00A77B3E" w:rsidRDefault="001C2110">
      <w:pPr>
        <w:spacing w:line="360" w:lineRule="auto"/>
        <w:jc w:val="both"/>
      </w:pPr>
      <w:r>
        <w:rPr>
          <w:rFonts w:ascii="Book Antiqua" w:eastAsia="Book Antiqua" w:hAnsi="Book Antiqua" w:cs="Book Antiqua"/>
          <w:b/>
          <w:bCs/>
          <w:color w:val="000000"/>
        </w:rPr>
        <w:t xml:space="preserve">Key Words: </w:t>
      </w:r>
      <w:r w:rsidR="00C472FE">
        <w:rPr>
          <w:rStyle w:val="Ninguno"/>
          <w:rFonts w:ascii="Book Antiqua" w:eastAsia="Book Antiqua" w:hAnsi="Book Antiqua" w:cs="Book Antiqua"/>
          <w:color w:val="000000"/>
        </w:rPr>
        <w:t>Nonmetastatic castration-resistant prostate cancer</w:t>
      </w:r>
      <w:r>
        <w:rPr>
          <w:rFonts w:ascii="Book Antiqua" w:eastAsia="Book Antiqua" w:hAnsi="Book Antiqua" w:cs="Book Antiqua"/>
          <w:color w:val="000000"/>
        </w:rPr>
        <w:t xml:space="preserve">; </w:t>
      </w:r>
      <w:r w:rsidR="00422568">
        <w:rPr>
          <w:rFonts w:ascii="Book Antiqua" w:eastAsia="Book Antiqua" w:hAnsi="Book Antiqua" w:cs="Book Antiqua"/>
          <w:color w:val="000000"/>
        </w:rPr>
        <w:t>P</w:t>
      </w:r>
      <w:r>
        <w:rPr>
          <w:rFonts w:ascii="Book Antiqua" w:eastAsia="Book Antiqua" w:hAnsi="Book Antiqua" w:cs="Book Antiqua"/>
          <w:color w:val="000000"/>
        </w:rPr>
        <w:t>rostat</w:t>
      </w:r>
      <w:r w:rsidR="00131651">
        <w:rPr>
          <w:rFonts w:ascii="Book Antiqua" w:eastAsia="Book Antiqua" w:hAnsi="Book Antiqua" w:cs="Book Antiqua"/>
          <w:color w:val="000000"/>
        </w:rPr>
        <w:t>e</w:t>
      </w:r>
      <w:r>
        <w:rPr>
          <w:rFonts w:ascii="Book Antiqua" w:eastAsia="Book Antiqua" w:hAnsi="Book Antiqua" w:cs="Book Antiqua"/>
          <w:color w:val="000000"/>
        </w:rPr>
        <w:t xml:space="preserve"> cancer; Apalutamide; Enzalutamide; Darolutamide; Toxicity</w:t>
      </w:r>
    </w:p>
    <w:p w14:paraId="176A6C82" w14:textId="77777777" w:rsidR="00A77B3E" w:rsidRDefault="00A77B3E">
      <w:pPr>
        <w:spacing w:line="360" w:lineRule="auto"/>
        <w:jc w:val="both"/>
      </w:pPr>
    </w:p>
    <w:p w14:paraId="68D18872" w14:textId="0EA05941" w:rsidR="00A77B3E" w:rsidRDefault="001C2110">
      <w:pPr>
        <w:spacing w:line="360" w:lineRule="auto"/>
        <w:jc w:val="both"/>
      </w:pPr>
      <w:r>
        <w:rPr>
          <w:rFonts w:ascii="Book Antiqua" w:eastAsia="Book Antiqua" w:hAnsi="Book Antiqua" w:cs="Book Antiqua"/>
          <w:color w:val="000000"/>
        </w:rPr>
        <w:t xml:space="preserve">Henriquez I, Spratt D, Gómez-Iturriaga A, Abuchaibe O, Couñago F. </w:t>
      </w:r>
      <w:r w:rsidR="00CB2437" w:rsidRPr="00CB2437">
        <w:rPr>
          <w:rFonts w:ascii="Book Antiqua" w:eastAsia="Book Antiqua" w:hAnsi="Book Antiqua" w:cs="Book Antiqua"/>
          <w:color w:val="000000"/>
        </w:rPr>
        <w:t>Nonmetastatic castration-resistant prostate cancer: Novel agents to treat a lethal disease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2020; In press</w:t>
      </w:r>
    </w:p>
    <w:p w14:paraId="496C79B8" w14:textId="77777777" w:rsidR="00A77B3E" w:rsidRDefault="00A77B3E">
      <w:pPr>
        <w:spacing w:line="360" w:lineRule="auto"/>
        <w:jc w:val="both"/>
      </w:pPr>
    </w:p>
    <w:p w14:paraId="7D55519C" w14:textId="1CBD1CCB" w:rsidR="00A77B3E" w:rsidRDefault="001C2110">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main focus of this editorial is to review novel treatments for nonmetastatic castration-resistant prostate cancer (nmCRPC). The three</w:t>
      </w:r>
      <w:r w:rsidR="00AE6B17">
        <w:rPr>
          <w:rFonts w:ascii="Book Antiqua" w:eastAsia="Book Antiqua" w:hAnsi="Book Antiqua" w:cs="Book Antiqua"/>
          <w:color w:val="000000"/>
        </w:rPr>
        <w:t>-</w:t>
      </w:r>
      <w:r>
        <w:rPr>
          <w:rFonts w:ascii="Book Antiqua" w:eastAsia="Book Antiqua" w:hAnsi="Book Antiqua" w:cs="Book Antiqua"/>
          <w:color w:val="000000"/>
        </w:rPr>
        <w:t>practice changing pivotal randomized controlled trials</w:t>
      </w:r>
      <w:r w:rsidR="00422568">
        <w:rPr>
          <w:rFonts w:ascii="Book Antiqua" w:eastAsia="Book Antiqua" w:hAnsi="Book Antiqua" w:cs="Book Antiqua"/>
          <w:color w:val="000000"/>
        </w:rPr>
        <w:t xml:space="preserve"> - </w:t>
      </w:r>
      <w:r>
        <w:rPr>
          <w:rFonts w:ascii="Book Antiqua" w:eastAsia="Book Antiqua" w:hAnsi="Book Antiqua" w:cs="Book Antiqua"/>
          <w:color w:val="000000"/>
        </w:rPr>
        <w:t>PROSPER, SPARTAN, and ARAMIS</w:t>
      </w:r>
      <w:r w:rsidR="00422568">
        <w:rPr>
          <w:rFonts w:ascii="Book Antiqua" w:eastAsia="Book Antiqua" w:hAnsi="Book Antiqua" w:cs="Book Antiqua"/>
          <w:color w:val="000000"/>
        </w:rPr>
        <w:t xml:space="preserve"> - </w:t>
      </w:r>
      <w:r>
        <w:rPr>
          <w:rFonts w:ascii="Book Antiqua" w:eastAsia="Book Antiqua" w:hAnsi="Book Antiqua" w:cs="Book Antiqua"/>
          <w:color w:val="000000"/>
        </w:rPr>
        <w:t>are reviewed. We discuss the findings of these trials, emphasizing the strengths of the studies and critically examining controversies related to the diagnosis of nmCRPC and the role of advanced imaging techniques and molecular determinants.</w:t>
      </w:r>
    </w:p>
    <w:p w14:paraId="4D28D524" w14:textId="545FDAB3" w:rsidR="00A77B3E" w:rsidRDefault="00422568">
      <w:pPr>
        <w:spacing w:line="360" w:lineRule="auto"/>
        <w:jc w:val="both"/>
      </w:pPr>
      <w:r>
        <w:rPr>
          <w:rFonts w:ascii="Book Antiqua" w:eastAsia="Book Antiqua" w:hAnsi="Book Antiqua" w:cs="Book Antiqua"/>
          <w:b/>
          <w:caps/>
          <w:color w:val="000000"/>
          <w:u w:val="single"/>
        </w:rPr>
        <w:br w:type="page"/>
      </w:r>
      <w:r w:rsidR="001C2110">
        <w:rPr>
          <w:rFonts w:ascii="Book Antiqua" w:eastAsia="Book Antiqua" w:hAnsi="Book Antiqua" w:cs="Book Antiqua"/>
          <w:b/>
          <w:caps/>
          <w:color w:val="000000"/>
          <w:u w:val="single"/>
        </w:rPr>
        <w:lastRenderedPageBreak/>
        <w:t>INTRODUCTION</w:t>
      </w:r>
    </w:p>
    <w:p w14:paraId="3285AF81" w14:textId="6DFA036A" w:rsidR="00A77B3E" w:rsidRDefault="001C2110">
      <w:pPr>
        <w:spacing w:line="360" w:lineRule="auto"/>
        <w:jc w:val="both"/>
      </w:pPr>
      <w:r>
        <w:rPr>
          <w:rStyle w:val="Ninguno"/>
          <w:rFonts w:ascii="Book Antiqua" w:eastAsia="Book Antiqua" w:hAnsi="Book Antiqua" w:cs="Book Antiqua"/>
          <w:color w:val="000000"/>
        </w:rPr>
        <w:t>Nonmetastatic castration-resistant prostate cancer (nmCRPC)</w:t>
      </w:r>
      <w:r w:rsidR="0038037F">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defined by the Prostate Cancer Working Group</w:t>
      </w:r>
      <w:r>
        <w:rPr>
          <w:rStyle w:val="Ninguno"/>
          <w:rFonts w:ascii="Book Antiqua" w:eastAsia="Book Antiqua" w:hAnsi="Book Antiqua" w:cs="Book Antiqua"/>
          <w:color w:val="000000"/>
          <w:szCs w:val="30"/>
          <w:vertAlign w:val="superscript"/>
        </w:rPr>
        <w:t>[1]</w:t>
      </w:r>
      <w:r w:rsidR="0038037F" w:rsidRPr="0038037F">
        <w:rPr>
          <w:rStyle w:val="Ninguno"/>
          <w:rFonts w:ascii="Book Antiqua" w:eastAsia="Book Antiqua" w:hAnsi="Book Antiqua" w:cs="Book Antiqua"/>
          <w:color w:val="000000"/>
          <w:szCs w:val="30"/>
        </w:rPr>
        <w:t xml:space="preserve"> </w:t>
      </w:r>
      <w:r>
        <w:rPr>
          <w:rFonts w:ascii="Book Antiqua" w:eastAsia="Book Antiqua" w:hAnsi="Book Antiqua" w:cs="Book Antiqua"/>
          <w:color w:val="000000"/>
        </w:rPr>
        <w:t>as a prostate-specific antigen (PSA) level &gt; 2 ng/mL and testosterone castration level &lt;</w:t>
      </w:r>
      <w:r w:rsidR="0038037F">
        <w:rPr>
          <w:rFonts w:ascii="Book Antiqua" w:eastAsia="Book Antiqua" w:hAnsi="Book Antiqua" w:cs="Book Antiqua"/>
          <w:color w:val="000000"/>
        </w:rPr>
        <w:t xml:space="preserve"> </w:t>
      </w:r>
      <w:r>
        <w:rPr>
          <w:rFonts w:ascii="Book Antiqua" w:eastAsia="Book Antiqua" w:hAnsi="Book Antiqua" w:cs="Book Antiqua"/>
          <w:color w:val="000000"/>
        </w:rPr>
        <w:t xml:space="preserve">1.7 nm/L, without evidence of metastasis on conventional radiographic imaging techniques </w:t>
      </w:r>
      <w:r w:rsidR="0038037F">
        <w:rPr>
          <w:rFonts w:ascii="Book Antiqua" w:eastAsia="Book Antiqua" w:hAnsi="Book Antiqua" w:cs="Book Antiqua"/>
          <w:color w:val="000000"/>
        </w:rPr>
        <w:t>[</w:t>
      </w:r>
      <w:r>
        <w:rPr>
          <w:rFonts w:ascii="Book Antiqua" w:eastAsia="Book Antiqua" w:hAnsi="Book Antiqua" w:cs="Book Antiqua"/>
          <w:color w:val="000000"/>
        </w:rPr>
        <w:t xml:space="preserve">computed tomography </w:t>
      </w:r>
      <w:r w:rsidR="0038037F">
        <w:rPr>
          <w:rFonts w:ascii="Book Antiqua" w:eastAsia="Book Antiqua" w:hAnsi="Book Antiqua" w:cs="Book Antiqua"/>
          <w:color w:val="000000"/>
        </w:rPr>
        <w:t>(</w:t>
      </w:r>
      <w:r>
        <w:rPr>
          <w:rFonts w:ascii="Book Antiqua" w:eastAsia="Book Antiqua" w:hAnsi="Book Antiqua" w:cs="Book Antiqua"/>
          <w:color w:val="000000"/>
        </w:rPr>
        <w:t>CT</w:t>
      </w:r>
      <w:r w:rsidR="0038037F">
        <w:rPr>
          <w:rFonts w:ascii="Book Antiqua" w:eastAsia="Book Antiqua" w:hAnsi="Book Antiqua" w:cs="Book Antiqua"/>
          <w:color w:val="000000"/>
        </w:rPr>
        <w:t>)</w:t>
      </w:r>
      <w:r>
        <w:rPr>
          <w:rFonts w:ascii="Book Antiqua" w:eastAsia="Book Antiqua" w:hAnsi="Book Antiqua" w:cs="Book Antiqua"/>
          <w:color w:val="000000"/>
        </w:rPr>
        <w:t xml:space="preserve"> or bone scans</w:t>
      </w:r>
      <w:r w:rsidR="0038037F">
        <w:rPr>
          <w:rFonts w:ascii="Book Antiqua" w:eastAsia="Book Antiqua" w:hAnsi="Book Antiqua" w:cs="Book Antiqua"/>
          <w:color w:val="000000"/>
        </w:rPr>
        <w:t xml:space="preserve">] - </w:t>
      </w:r>
      <w:r>
        <w:rPr>
          <w:rFonts w:ascii="Book Antiqua" w:eastAsia="Book Antiqua" w:hAnsi="Book Antiqua" w:cs="Book Antiqua"/>
          <w:color w:val="000000"/>
        </w:rPr>
        <w:t>is considered lethal in the absence of effective treatments to extend overall survival</w:t>
      </w:r>
      <w:r w:rsidR="00143FD9">
        <w:rPr>
          <w:rFonts w:ascii="Book Antiqua" w:eastAsia="Book Antiqua" w:hAnsi="Book Antiqua" w:cs="Book Antiqua"/>
          <w:color w:val="000000"/>
        </w:rPr>
        <w:t xml:space="preserve"> (</w:t>
      </w:r>
      <w:r w:rsidR="00143FD9">
        <w:rPr>
          <w:rStyle w:val="Ninguno"/>
          <w:rFonts w:ascii="Book Antiqua" w:eastAsia="Book Antiqua" w:hAnsi="Book Antiqua" w:cs="Book Antiqua"/>
          <w:color w:val="000000"/>
        </w:rPr>
        <w:t>OS</w:t>
      </w:r>
      <w:r w:rsidR="00143FD9">
        <w:rPr>
          <w:rFonts w:ascii="Book Antiqua" w:eastAsia="Book Antiqua" w:hAnsi="Book Antiqua" w:cs="Book Antiqua"/>
          <w:color w:val="000000"/>
        </w:rPr>
        <w:t>)</w:t>
      </w:r>
      <w:r>
        <w:rPr>
          <w:rFonts w:ascii="Book Antiqua" w:eastAsia="Book Antiqua" w:hAnsi="Book Antiqua" w:cs="Book Antiqua"/>
          <w:color w:val="000000"/>
        </w:rPr>
        <w:t>. It is estimated that 30% of patients who receive androgen deprivation therapy (ADT) for biochemical recurrence after local treatment will develop CRPC, and most of these patients will die from the disease, on average, 2.5 years from diagnosis of castration resistance.</w:t>
      </w:r>
    </w:p>
    <w:p w14:paraId="285AA4A5" w14:textId="73EDAAF4" w:rsidR="00A77B3E" w:rsidRDefault="001C2110" w:rsidP="0038037F">
      <w:pPr>
        <w:spacing w:line="360" w:lineRule="auto"/>
        <w:ind w:firstLineChars="100" w:firstLine="240"/>
        <w:jc w:val="both"/>
      </w:pPr>
      <w:r>
        <w:rPr>
          <w:rStyle w:val="Ninguno"/>
          <w:rFonts w:ascii="Book Antiqua" w:eastAsia="Book Antiqua" w:hAnsi="Book Antiqua" w:cs="Book Antiqua"/>
          <w:color w:val="000000"/>
        </w:rPr>
        <w:t>Due to local treatment of the primary tumor, most cases of nmCRPC are asymptomatic or minimally symptomatic at diagnosis, even though most of these patients are considered “high risk” due to rapid (&lt; 10 mo) PSA doubling time (PSADT) and high baseline PSA values. Consequently, the risk of developing bone metastases (M1) and/or prostate cancer-related mortality is high. For this reason, early identification of patients with castration</w:t>
      </w:r>
      <w:r w:rsidR="0018358B">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resistance should be prioritized to offer effective treatments. In this regard, it is crucial to keep in mind that patients with M1 bone involvement will present substantial morbidity with a significant loss of quality of life (QoL)</w:t>
      </w:r>
      <w:r>
        <w:rPr>
          <w:rStyle w:val="Ninguno"/>
          <w:rFonts w:ascii="Book Antiqua" w:eastAsia="Book Antiqua" w:hAnsi="Book Antiqua" w:cs="Book Antiqua"/>
          <w:color w:val="000000"/>
          <w:szCs w:val="30"/>
          <w:vertAlign w:val="superscript"/>
        </w:rPr>
        <w:t>[2,3]</w:t>
      </w:r>
      <w:r>
        <w:rPr>
          <w:rStyle w:val="Ninguno"/>
          <w:rFonts w:ascii="Book Antiqua" w:eastAsia="Book Antiqua" w:hAnsi="Book Antiqua" w:cs="Book Antiqua"/>
          <w:color w:val="000000"/>
        </w:rPr>
        <w:t>.</w:t>
      </w:r>
    </w:p>
    <w:p w14:paraId="0052674F" w14:textId="25E80577" w:rsidR="00A77B3E" w:rsidRDefault="001C2110" w:rsidP="0038037F">
      <w:pPr>
        <w:spacing w:line="360" w:lineRule="auto"/>
        <w:ind w:firstLineChars="100" w:firstLine="240"/>
        <w:jc w:val="both"/>
      </w:pPr>
      <w:r>
        <w:rPr>
          <w:rStyle w:val="Ninguno"/>
          <w:rFonts w:ascii="Book Antiqua" w:eastAsia="Book Antiqua" w:hAnsi="Book Antiqua" w:cs="Book Antiqua"/>
          <w:color w:val="000000"/>
        </w:rPr>
        <w:t>Recently, the results of three randomized trials (SPARTAN, PROSPER, and ARAMIS)</w:t>
      </w:r>
      <w:r>
        <w:rPr>
          <w:rStyle w:val="Ninguno"/>
          <w:rFonts w:ascii="Book Antiqua" w:eastAsia="Book Antiqua" w:hAnsi="Book Antiqua" w:cs="Book Antiqua"/>
          <w:color w:val="000000"/>
          <w:szCs w:val="30"/>
          <w:vertAlign w:val="superscript"/>
        </w:rPr>
        <w:t>[4-6]</w:t>
      </w:r>
      <w:r w:rsidR="0038037F" w:rsidRPr="0038037F">
        <w:rPr>
          <w:rStyle w:val="Ninguno"/>
          <w:rFonts w:ascii="Book Antiqua" w:eastAsia="Book Antiqua" w:hAnsi="Book Antiqua" w:cs="Book Antiqua"/>
          <w:color w:val="000000"/>
          <w:szCs w:val="30"/>
        </w:rPr>
        <w:t xml:space="preserve"> </w:t>
      </w:r>
      <w:r>
        <w:rPr>
          <w:rStyle w:val="Ninguno"/>
          <w:rFonts w:ascii="Book Antiqua" w:eastAsia="Book Antiqua" w:hAnsi="Book Antiqua" w:cs="Book Antiqua"/>
          <w:color w:val="000000"/>
        </w:rPr>
        <w:t>were published in high-impact scientific journals. These trials were performed to evaluate second-generation antiandrogens (enzalutamide, apalutamide, and darolutamide), known as androgen receptor inhibitors (ARIs).</w:t>
      </w:r>
      <w:r w:rsidR="0038037F">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These agents significantly increased both metastasis-free survival (MFS)</w:t>
      </w:r>
      <w:r w:rsidR="00143FD9">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the primary objective</w:t>
      </w:r>
      <w:r w:rsidR="0018358B">
        <w:rPr>
          <w:rStyle w:val="Ninguno"/>
          <w:rFonts w:ascii="Book Antiqua" w:eastAsia="Book Antiqua" w:hAnsi="Book Antiqua" w:cs="Book Antiqua"/>
          <w:color w:val="000000"/>
        </w:rPr>
        <w:t xml:space="preserve"> -</w:t>
      </w:r>
      <w:r w:rsidR="00143FD9">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and OS</w:t>
      </w:r>
      <w:r w:rsidR="00143FD9">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the secondary objective</w:t>
      </w:r>
      <w:r w:rsidR="00143FD9">
        <w:rPr>
          <w:rStyle w:val="Ninguno"/>
          <w:rFonts w:ascii="Book Antiqua" w:eastAsia="Book Antiqua" w:hAnsi="Book Antiqua" w:cs="Book Antiqua"/>
          <w:color w:val="000000"/>
        </w:rPr>
        <w:t xml:space="preserve"> - </w:t>
      </w:r>
      <w:r w:rsidRPr="00143FD9">
        <w:rPr>
          <w:rStyle w:val="Ninguno"/>
          <w:rFonts w:ascii="Book Antiqua" w:eastAsia="Book Antiqua" w:hAnsi="Book Antiqua" w:cs="Book Antiqua"/>
          <w:i/>
          <w:iCs/>
          <w:color w:val="000000"/>
        </w:rPr>
        <w:t>v</w:t>
      </w:r>
      <w:r w:rsidR="00143FD9" w:rsidRPr="00143FD9">
        <w:rPr>
          <w:rStyle w:val="Ninguno"/>
          <w:rFonts w:ascii="Book Antiqua" w:eastAsia="Book Antiqua" w:hAnsi="Book Antiqua" w:cs="Book Antiqua"/>
          <w:i/>
          <w:iCs/>
          <w:color w:val="000000"/>
        </w:rPr>
        <w:t>s</w:t>
      </w:r>
      <w:r>
        <w:rPr>
          <w:rStyle w:val="Ninguno"/>
          <w:rFonts w:ascii="Book Antiqua" w:eastAsia="Book Antiqua" w:hAnsi="Book Antiqua" w:cs="Book Antiqua"/>
          <w:color w:val="000000"/>
        </w:rPr>
        <w:t xml:space="preserve"> placebo, plus on-going </w:t>
      </w:r>
      <w:r w:rsidR="0038037F">
        <w:rPr>
          <w:rFonts w:ascii="Book Antiqua" w:eastAsia="Book Antiqua" w:hAnsi="Book Antiqua" w:cs="Book Antiqua"/>
          <w:color w:val="000000"/>
        </w:rPr>
        <w:t>ADT</w:t>
      </w:r>
      <w:r>
        <w:rPr>
          <w:rStyle w:val="Ninguno"/>
          <w:rFonts w:ascii="Book Antiqua" w:eastAsia="Book Antiqua" w:hAnsi="Book Antiqua" w:cs="Book Antiqua"/>
          <w:color w:val="000000"/>
        </w:rPr>
        <w:t xml:space="preserve"> in patients with nmCRPC. In all three trials, adverse effects</w:t>
      </w:r>
      <w:r w:rsidR="009F6ADE">
        <w:rPr>
          <w:rStyle w:val="Ninguno"/>
          <w:rFonts w:ascii="Book Antiqua" w:eastAsia="Book Antiqua" w:hAnsi="Book Antiqua" w:cs="Book Antiqua"/>
          <w:color w:val="000000"/>
        </w:rPr>
        <w:t xml:space="preserve"> </w:t>
      </w:r>
      <w:r w:rsidR="009F6ADE">
        <w:rPr>
          <w:rStyle w:val="NingunoA"/>
          <w:rFonts w:ascii="Book Antiqua" w:eastAsia="Book Antiqua" w:hAnsi="Book Antiqua" w:cs="Book Antiqua"/>
          <w:color w:val="000000"/>
        </w:rPr>
        <w:t>(AEs)</w:t>
      </w:r>
      <w:r>
        <w:rPr>
          <w:rStyle w:val="Ninguno"/>
          <w:rFonts w:ascii="Book Antiqua" w:eastAsia="Book Antiqua" w:hAnsi="Book Antiqua" w:cs="Book Antiqua"/>
          <w:color w:val="000000"/>
        </w:rPr>
        <w:t xml:space="preserve"> were minimal</w:t>
      </w:r>
      <w:r w:rsidR="0018358B">
        <w:rPr>
          <w:rStyle w:val="Ninguno"/>
          <w:rFonts w:ascii="Book Antiqua" w:eastAsia="Book Antiqua" w:hAnsi="Book Antiqua" w:cs="Book Antiqua"/>
          <w:color w:val="000000"/>
        </w:rPr>
        <w:t>,</w:t>
      </w:r>
      <w:r>
        <w:rPr>
          <w:rStyle w:val="Ninguno"/>
          <w:rFonts w:ascii="Book Antiqua" w:eastAsia="Book Antiqua" w:hAnsi="Book Antiqua" w:cs="Book Antiqua"/>
          <w:color w:val="000000"/>
        </w:rPr>
        <w:t xml:space="preserve"> and QoL was excellent. These results were achieved mainly through early diagnosis and treatment, which helped to maintain a low tumor burden and to minimize symptoms in these patients for a prolonged period of time.</w:t>
      </w:r>
    </w:p>
    <w:p w14:paraId="06C1B654" w14:textId="77777777" w:rsidR="00A77B3E" w:rsidRDefault="001C2110" w:rsidP="00143FD9">
      <w:pPr>
        <w:spacing w:line="360" w:lineRule="auto"/>
        <w:ind w:firstLineChars="100" w:firstLine="240"/>
        <w:jc w:val="both"/>
      </w:pPr>
      <w:r>
        <w:rPr>
          <w:rStyle w:val="Ninguno"/>
          <w:rFonts w:ascii="Book Antiqua" w:eastAsia="Book Antiqua" w:hAnsi="Book Antiqua" w:cs="Book Antiqua"/>
          <w:color w:val="000000"/>
        </w:rPr>
        <w:t xml:space="preserve">The emergence of these new novel agents offers new expectative to patients with nmCRPC, providing them with a remarkable opportunity for better survival outcomes </w:t>
      </w:r>
      <w:r>
        <w:rPr>
          <w:rStyle w:val="Ninguno"/>
          <w:rFonts w:ascii="Book Antiqua" w:eastAsia="Book Antiqua" w:hAnsi="Book Antiqua" w:cs="Book Antiqua"/>
          <w:color w:val="000000"/>
        </w:rPr>
        <w:lastRenderedPageBreak/>
        <w:t>(MFS and OS) while maintaining excellent QoL. In the present editorial, we review and discuss the most relevant clinical, biological, and radiographic aspects related to the diagnosis and treatment of nmCRPC.</w:t>
      </w:r>
    </w:p>
    <w:p w14:paraId="73D72BDC" w14:textId="77777777" w:rsidR="00A77B3E" w:rsidRDefault="00A77B3E">
      <w:pPr>
        <w:spacing w:line="360" w:lineRule="auto"/>
        <w:jc w:val="both"/>
      </w:pPr>
    </w:p>
    <w:p w14:paraId="20BA8358" w14:textId="77777777" w:rsidR="00A77B3E" w:rsidRDefault="001C2110">
      <w:pPr>
        <w:spacing w:line="360" w:lineRule="auto"/>
        <w:jc w:val="both"/>
      </w:pPr>
      <w:r>
        <w:rPr>
          <w:rStyle w:val="Ninguno"/>
          <w:rFonts w:ascii="Book Antiqua" w:eastAsia="Book Antiqua" w:hAnsi="Book Antiqua" w:cs="Book Antiqua"/>
          <w:b/>
          <w:bCs/>
          <w:caps/>
          <w:color w:val="000000"/>
          <w:u w:val="single"/>
        </w:rPr>
        <w:t>Why should we treat nmCRPC?</w:t>
      </w:r>
    </w:p>
    <w:p w14:paraId="2E4D9A84" w14:textId="30996DAC" w:rsidR="00A77B3E" w:rsidRPr="00880405" w:rsidRDefault="001C2110">
      <w:pPr>
        <w:spacing w:line="360" w:lineRule="auto"/>
        <w:jc w:val="both"/>
        <w:rPr>
          <w:b/>
          <w:bCs/>
        </w:rPr>
      </w:pPr>
      <w:r w:rsidRPr="00880405">
        <w:rPr>
          <w:rStyle w:val="Ninguno"/>
          <w:rFonts w:ascii="Book Antiqua" w:eastAsia="Book Antiqua" w:hAnsi="Book Antiqua" w:cs="Book Antiqua"/>
          <w:b/>
          <w:bCs/>
          <w:i/>
          <w:iCs/>
          <w:color w:val="000000"/>
        </w:rPr>
        <w:t>Clinical evidence</w:t>
      </w:r>
    </w:p>
    <w:p w14:paraId="722D81BB" w14:textId="3F3E0985" w:rsidR="00A77B3E" w:rsidRDefault="001C2110">
      <w:pPr>
        <w:spacing w:line="360" w:lineRule="auto"/>
        <w:jc w:val="both"/>
      </w:pPr>
      <w:r>
        <w:rPr>
          <w:rStyle w:val="Ninguno"/>
          <w:rFonts w:ascii="Book Antiqua" w:eastAsia="Book Antiqua" w:hAnsi="Book Antiqua" w:cs="Book Antiqua"/>
          <w:color w:val="000000"/>
        </w:rPr>
        <w:t>The results of the aforementioned pivotal clinical trials</w:t>
      </w:r>
      <w:r w:rsidR="009F6ADE">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SPARTAN, PROSPER, and ARAMIS</w:t>
      </w:r>
      <w:r w:rsidR="009F6ADE">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 xml:space="preserve">were published between February 2018 and February 2019. The study design of these trials was quite similar, involving patients diagnosed with high-risk nmCRPC, with a rapid PSADT (≤ 10 mo) and an </w:t>
      </w:r>
      <w:r w:rsidR="0018358B">
        <w:rPr>
          <w:rStyle w:val="Ninguno"/>
          <w:rFonts w:ascii="Book Antiqua" w:eastAsia="Book Antiqua" w:hAnsi="Book Antiqua" w:cs="Book Antiqua"/>
          <w:color w:val="000000"/>
        </w:rPr>
        <w:t>Eastern Cooperative Oncology Group</w:t>
      </w:r>
      <w:r>
        <w:rPr>
          <w:rStyle w:val="Ninguno"/>
          <w:rFonts w:ascii="Book Antiqua" w:eastAsia="Book Antiqua" w:hAnsi="Book Antiqua" w:cs="Book Antiqua"/>
          <w:color w:val="000000"/>
        </w:rPr>
        <w:t xml:space="preserve"> performance status of 0-1. The patients were randomized (2:1 ratio) to receive the study drug (apalutamide, enzalutamide, or darolutamide) or placebo, plus on-going </w:t>
      </w:r>
      <w:r w:rsidR="0038037F">
        <w:rPr>
          <w:rFonts w:ascii="Book Antiqua" w:eastAsia="Book Antiqua" w:hAnsi="Book Antiqua" w:cs="Book Antiqua"/>
          <w:color w:val="000000"/>
        </w:rPr>
        <w:t>ADT</w:t>
      </w:r>
      <w:r>
        <w:rPr>
          <w:rStyle w:val="Ninguno"/>
          <w:rFonts w:ascii="Book Antiqua" w:eastAsia="Book Antiqua" w:hAnsi="Book Antiqua" w:cs="Book Antiqua"/>
          <w:color w:val="000000"/>
        </w:rPr>
        <w:t>. These potent ARIs prevent androgen-receptor translocation, DNA binding, and receptor-mediated transcription. Structurally, the drugs are quite similar, although with several differentiating characteristics. For example, darolutamide has less capacity to penetrate the central nervous system (blood-brain barrier) and low affinity for the</w:t>
      </w:r>
      <w:r w:rsidR="009F6ADE">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 xml:space="preserve">γ-aminobutyric acid type A receptor, which theoretically confers a lower risk of </w:t>
      </w:r>
      <w:r w:rsidR="009F6ADE">
        <w:rPr>
          <w:rStyle w:val="NingunoA"/>
          <w:rFonts w:ascii="Book Antiqua" w:eastAsia="Book Antiqua" w:hAnsi="Book Antiqua" w:cs="Book Antiqua"/>
          <w:color w:val="000000"/>
        </w:rPr>
        <w:t>AEs</w:t>
      </w:r>
      <w:r>
        <w:rPr>
          <w:rStyle w:val="Ninguno"/>
          <w:rFonts w:ascii="Book Antiqua" w:eastAsia="Book Antiqua" w:hAnsi="Book Antiqua" w:cs="Book Antiqua"/>
          <w:color w:val="000000"/>
        </w:rPr>
        <w:t xml:space="preserve"> in the brain compared to enzalutamide and </w:t>
      </w:r>
      <w:proofErr w:type="gramStart"/>
      <w:r>
        <w:rPr>
          <w:rStyle w:val="Ninguno"/>
          <w:rFonts w:ascii="Book Antiqua" w:eastAsia="Book Antiqua" w:hAnsi="Book Antiqua" w:cs="Book Antiqua"/>
          <w:color w:val="000000"/>
        </w:rPr>
        <w:t>apalutamide</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6]</w:t>
      </w:r>
      <w:r>
        <w:rPr>
          <w:rStyle w:val="Ninguno"/>
          <w:rFonts w:ascii="Book Antiqua" w:eastAsia="Book Antiqua" w:hAnsi="Book Antiqua" w:cs="Book Antiqua"/>
          <w:color w:val="000000"/>
        </w:rPr>
        <w:t>.</w:t>
      </w:r>
    </w:p>
    <w:p w14:paraId="0CE5C6B0" w14:textId="7D7E9ACA" w:rsidR="00A77B3E" w:rsidRDefault="001C2110" w:rsidP="009F6ADE">
      <w:pPr>
        <w:spacing w:line="360" w:lineRule="auto"/>
        <w:ind w:firstLineChars="100" w:firstLine="240"/>
        <w:jc w:val="both"/>
      </w:pPr>
      <w:r>
        <w:rPr>
          <w:rStyle w:val="Ninguno"/>
          <w:rFonts w:ascii="Book Antiqua" w:eastAsia="Book Antiqua" w:hAnsi="Book Antiqua" w:cs="Book Antiqua"/>
          <w:color w:val="000000"/>
        </w:rPr>
        <w:t xml:space="preserve">The primary endpoint in all three trials was MFS. Secondary endpoints included OS, time to bone-related events, time to initiation of chemotherapy, progression-free survival (PFS), time to PSA progression, and time to pain progression, among others. The enrolment in each study ranged from 1200 to 1500 patients. Today, is it clear that MFS is an “intermediate event” (surrogate) that can predict </w:t>
      </w:r>
      <w:r w:rsidR="00143FD9">
        <w:rPr>
          <w:rStyle w:val="Ninguno"/>
          <w:rFonts w:ascii="Book Antiqua" w:eastAsia="Book Antiqua" w:hAnsi="Book Antiqua" w:cs="Book Antiqua"/>
          <w:color w:val="000000"/>
        </w:rPr>
        <w:t>OS</w:t>
      </w:r>
      <w:r>
        <w:rPr>
          <w:rStyle w:val="Ninguno"/>
          <w:rFonts w:ascii="Book Antiqua" w:eastAsia="Book Antiqua" w:hAnsi="Book Antiqua" w:cs="Book Antiqua"/>
          <w:color w:val="000000"/>
        </w:rPr>
        <w:t xml:space="preserve">. In this regard, the Food and Drug Administration has recognized that a substantial delay in the onset of metastasis is a clinically-relevant </w:t>
      </w:r>
      <w:proofErr w:type="gramStart"/>
      <w:r>
        <w:rPr>
          <w:rStyle w:val="Ninguno"/>
          <w:rFonts w:ascii="Book Antiqua" w:eastAsia="Book Antiqua" w:hAnsi="Book Antiqua" w:cs="Book Antiqua"/>
          <w:color w:val="000000"/>
        </w:rPr>
        <w:t>endpoint</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7,8]</w:t>
      </w:r>
      <w:r>
        <w:rPr>
          <w:rStyle w:val="Ninguno"/>
          <w:rFonts w:ascii="Book Antiqua" w:eastAsia="Book Antiqua" w:hAnsi="Book Antiqua" w:cs="Book Antiqua"/>
          <w:color w:val="000000"/>
        </w:rPr>
        <w:t>.</w:t>
      </w:r>
    </w:p>
    <w:p w14:paraId="45BC4E64" w14:textId="49E221E1"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 xml:space="preserve">Although the trials are not directly comparable, they do share many characteristics: </w:t>
      </w:r>
      <w:r w:rsidR="009F6ADE">
        <w:rPr>
          <w:rStyle w:val="NingunoA"/>
          <w:rFonts w:ascii="Book Antiqua" w:eastAsia="Book Antiqua" w:hAnsi="Book Antiqua" w:cs="Book Antiqua"/>
          <w:color w:val="000000"/>
        </w:rPr>
        <w:t>M</w:t>
      </w:r>
      <w:r>
        <w:rPr>
          <w:rStyle w:val="NingunoA"/>
          <w:rFonts w:ascii="Book Antiqua" w:eastAsia="Book Antiqua" w:hAnsi="Book Antiqua" w:cs="Book Antiqua"/>
          <w:color w:val="000000"/>
        </w:rPr>
        <w:t xml:space="preserve">ore than 70% of patients had </w:t>
      </w:r>
      <w:r w:rsidR="0018358B">
        <w:rPr>
          <w:rStyle w:val="Ninguno"/>
          <w:rFonts w:ascii="Book Antiqua" w:eastAsia="Book Antiqua" w:hAnsi="Book Antiqua" w:cs="Book Antiqua"/>
          <w:color w:val="000000"/>
        </w:rPr>
        <w:t xml:space="preserve">Eastern Cooperative Oncology Group status </w:t>
      </w:r>
      <w:r>
        <w:rPr>
          <w:rStyle w:val="NingunoA"/>
          <w:rFonts w:ascii="Book Antiqua" w:eastAsia="Book Antiqua" w:hAnsi="Book Antiqua" w:cs="Book Antiqua"/>
          <w:color w:val="000000"/>
        </w:rPr>
        <w:t xml:space="preserve">0, more than 70% had a PSADT &lt; 6 </w:t>
      </w:r>
      <w:proofErr w:type="spellStart"/>
      <w:r>
        <w:rPr>
          <w:rStyle w:val="NingunoA"/>
          <w:rFonts w:ascii="Book Antiqua" w:eastAsia="Book Antiqua" w:hAnsi="Book Antiqua" w:cs="Book Antiqua"/>
          <w:color w:val="000000"/>
        </w:rPr>
        <w:t>mo</w:t>
      </w:r>
      <w:proofErr w:type="spellEnd"/>
      <w:r>
        <w:rPr>
          <w:rStyle w:val="NingunoA"/>
          <w:rFonts w:ascii="Book Antiqua" w:eastAsia="Book Antiqua" w:hAnsi="Book Antiqua" w:cs="Book Antiqua"/>
          <w:color w:val="000000"/>
        </w:rPr>
        <w:t>, and only 3%</w:t>
      </w:r>
      <w:r w:rsidR="0018358B">
        <w:rPr>
          <w:rStyle w:val="NingunoA"/>
          <w:rFonts w:ascii="Book Antiqua" w:eastAsia="Book Antiqua" w:hAnsi="Book Antiqua" w:cs="Book Antiqua"/>
          <w:color w:val="000000"/>
        </w:rPr>
        <w:t>-</w:t>
      </w:r>
      <w:r>
        <w:rPr>
          <w:rStyle w:val="NingunoA"/>
          <w:rFonts w:ascii="Book Antiqua" w:eastAsia="Book Antiqua" w:hAnsi="Book Antiqua" w:cs="Book Antiqua"/>
          <w:color w:val="000000"/>
        </w:rPr>
        <w:t>11% received bone-targeted therapies from the beginning diagnosis of nmCRPC. In addition, both the SPARTAN and ARAMIS trials</w:t>
      </w:r>
      <w:r w:rsidR="009F6ADE">
        <w:rPr>
          <w:rStyle w:val="NingunoA"/>
          <w:rFonts w:ascii="Book Antiqua" w:eastAsia="Book Antiqua" w:hAnsi="Book Antiqua" w:cs="Book Antiqua"/>
          <w:color w:val="000000"/>
        </w:rPr>
        <w:t xml:space="preserve"> - </w:t>
      </w:r>
      <w:r>
        <w:rPr>
          <w:rStyle w:val="NingunoA"/>
          <w:rFonts w:ascii="Book Antiqua" w:eastAsia="Book Antiqua" w:hAnsi="Book Antiqua" w:cs="Book Antiqua"/>
          <w:color w:val="000000"/>
        </w:rPr>
        <w:t>but not PROSPER</w:t>
      </w:r>
      <w:r w:rsidR="009F6ADE">
        <w:rPr>
          <w:rStyle w:val="NingunoA"/>
          <w:rFonts w:ascii="Book Antiqua" w:eastAsia="Book Antiqua" w:hAnsi="Book Antiqua" w:cs="Book Antiqua"/>
          <w:color w:val="000000"/>
        </w:rPr>
        <w:t xml:space="preserve"> - </w:t>
      </w:r>
      <w:r>
        <w:rPr>
          <w:rStyle w:val="NingunoA"/>
          <w:rFonts w:ascii="Book Antiqua" w:eastAsia="Book Antiqua" w:hAnsi="Book Antiqua" w:cs="Book Antiqua"/>
          <w:color w:val="000000"/>
        </w:rPr>
        <w:t xml:space="preserve">included patients with N1 disease. Only the SPARTAN study </w:t>
      </w:r>
      <w:r>
        <w:rPr>
          <w:rStyle w:val="NingunoA"/>
          <w:rFonts w:ascii="Book Antiqua" w:eastAsia="Book Antiqua" w:hAnsi="Book Antiqua" w:cs="Book Antiqua"/>
          <w:color w:val="000000"/>
        </w:rPr>
        <w:lastRenderedPageBreak/>
        <w:t xml:space="preserve">assessed PFS2 as a secondary endpoint. Treatment-related toxicity was assessed every 4 wk in the SPARTAN trial </w:t>
      </w:r>
      <w:r>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every 16 wk in the ARAMIS and PROSPER studies.</w:t>
      </w:r>
    </w:p>
    <w:p w14:paraId="0EEA5938" w14:textId="7A374185"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 xml:space="preserve">All three trials achieved the main endpoint (MFS): SPARTAN </w:t>
      </w:r>
      <w:r w:rsidR="0018358B">
        <w:rPr>
          <w:rStyle w:val="NingunoA"/>
          <w:rFonts w:ascii="Book Antiqua" w:eastAsia="Book Antiqua" w:hAnsi="Book Antiqua" w:cs="Book Antiqua"/>
          <w:color w:val="000000"/>
        </w:rPr>
        <w:t xml:space="preserve">[hazard ratio </w:t>
      </w:r>
      <w:r>
        <w:rPr>
          <w:rStyle w:val="NingunoA"/>
          <w:rFonts w:ascii="Book Antiqua" w:eastAsia="Book Antiqua" w:hAnsi="Book Antiqua" w:cs="Book Antiqua"/>
          <w:color w:val="000000"/>
        </w:rPr>
        <w:t>(HR</w:t>
      </w:r>
      <w:r w:rsidR="0018358B">
        <w:rPr>
          <w:rStyle w:val="NingunoA"/>
          <w:rFonts w:ascii="Book Antiqua" w:eastAsia="Book Antiqua" w:hAnsi="Book Antiqua" w:cs="Book Antiqua"/>
          <w:color w:val="000000"/>
        </w:rPr>
        <w:t>)</w:t>
      </w:r>
      <w:r>
        <w:rPr>
          <w:rStyle w:val="NingunoA"/>
          <w:rFonts w:ascii="Book Antiqua" w:eastAsia="Book Antiqua" w:hAnsi="Book Antiqua" w:cs="Book Antiqua"/>
          <w:color w:val="000000"/>
        </w:rPr>
        <w:t xml:space="preserve"> 0.28; </w:t>
      </w:r>
      <w:r w:rsidR="00D01D0C">
        <w:rPr>
          <w:rStyle w:val="NingunoA"/>
          <w:rFonts w:ascii="Book Antiqua" w:eastAsia="Book Antiqua" w:hAnsi="Book Antiqua" w:cs="Book Antiqua"/>
          <w:color w:val="000000"/>
        </w:rPr>
        <w:t>95%</w:t>
      </w:r>
      <w:r w:rsidR="0018358B">
        <w:rPr>
          <w:rStyle w:val="NingunoA"/>
          <w:rFonts w:ascii="Book Antiqua" w:eastAsia="Book Antiqua" w:hAnsi="Book Antiqua" w:cs="Book Antiqua"/>
          <w:color w:val="000000"/>
        </w:rPr>
        <w:t xml:space="preserve"> confidence interval (</w:t>
      </w:r>
      <w:r w:rsidR="00D01D0C">
        <w:rPr>
          <w:rStyle w:val="NingunoA"/>
          <w:rFonts w:ascii="Book Antiqua" w:eastAsia="Book Antiqua" w:hAnsi="Book Antiqua" w:cs="Book Antiqua"/>
          <w:color w:val="000000"/>
        </w:rPr>
        <w:t>CI</w:t>
      </w:r>
      <w:r w:rsidR="0018358B">
        <w:rPr>
          <w:rStyle w:val="NingunoA"/>
          <w:rFonts w:ascii="Book Antiqua" w:eastAsia="Book Antiqua" w:hAnsi="Book Antiqua" w:cs="Book Antiqua"/>
          <w:color w:val="000000"/>
        </w:rPr>
        <w:t>)</w:t>
      </w:r>
      <w:r w:rsidR="00D01D0C">
        <w:rPr>
          <w:rStyle w:val="NingunoA"/>
          <w:rFonts w:ascii="Book Antiqua" w:eastAsia="Book Antiqua" w:hAnsi="Book Antiqua" w:cs="Book Antiqua"/>
          <w:color w:val="000000"/>
        </w:rPr>
        <w:t>:</w:t>
      </w:r>
      <w:r>
        <w:rPr>
          <w:rStyle w:val="NingunoA"/>
          <w:rFonts w:ascii="Book Antiqua" w:eastAsia="Book Antiqua" w:hAnsi="Book Antiqua" w:cs="Book Antiqua"/>
          <w:color w:val="000000"/>
        </w:rPr>
        <w:t xml:space="preserve"> 0.23-0.35; </w:t>
      </w:r>
      <w:r w:rsidR="009F6ADE" w:rsidRPr="009F6ADE">
        <w:rPr>
          <w:rStyle w:val="NingunoA"/>
          <w:rFonts w:ascii="Book Antiqua" w:eastAsia="Book Antiqua" w:hAnsi="Book Antiqua" w:cs="Book Antiqua"/>
          <w:i/>
          <w:iCs/>
          <w:color w:val="000000"/>
        </w:rPr>
        <w:t>P</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&lt;</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 xml:space="preserve">0.0001), PROSPER (HR 0.29; </w:t>
      </w:r>
      <w:r w:rsidR="00D01D0C">
        <w:rPr>
          <w:rStyle w:val="NingunoA"/>
          <w:rFonts w:ascii="Book Antiqua" w:eastAsia="Book Antiqua" w:hAnsi="Book Antiqua" w:cs="Book Antiqua"/>
          <w:color w:val="000000"/>
        </w:rPr>
        <w:t>95%CI:</w:t>
      </w:r>
      <w:r>
        <w:rPr>
          <w:rStyle w:val="NingunoA"/>
          <w:rFonts w:ascii="Book Antiqua" w:eastAsia="Book Antiqua" w:hAnsi="Book Antiqua" w:cs="Book Antiqua"/>
          <w:color w:val="000000"/>
        </w:rPr>
        <w:t xml:space="preserve"> 0.24-0.35; </w:t>
      </w:r>
      <w:r w:rsidR="009F6ADE" w:rsidRPr="009F6ADE">
        <w:rPr>
          <w:rStyle w:val="NingunoA"/>
          <w:rFonts w:ascii="Book Antiqua" w:eastAsia="Book Antiqua" w:hAnsi="Book Antiqua" w:cs="Book Antiqua"/>
          <w:i/>
          <w:iCs/>
          <w:color w:val="000000"/>
        </w:rPr>
        <w:t>P</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&lt;</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 xml:space="preserve">0.0001), and ARAMIS (HR 0.41; </w:t>
      </w:r>
      <w:r w:rsidR="00D01D0C">
        <w:rPr>
          <w:rStyle w:val="NingunoA"/>
          <w:rFonts w:ascii="Book Antiqua" w:eastAsia="Book Antiqua" w:hAnsi="Book Antiqua" w:cs="Book Antiqua"/>
          <w:color w:val="000000"/>
        </w:rPr>
        <w:t>95%CI:</w:t>
      </w:r>
      <w:r>
        <w:rPr>
          <w:rStyle w:val="NingunoA"/>
          <w:rFonts w:ascii="Book Antiqua" w:eastAsia="Book Antiqua" w:hAnsi="Book Antiqua" w:cs="Book Antiqua"/>
          <w:color w:val="000000"/>
        </w:rPr>
        <w:t xml:space="preserve"> 0.34-0.50, </w:t>
      </w:r>
      <w:r w:rsidR="009F6ADE" w:rsidRPr="009F6ADE">
        <w:rPr>
          <w:rStyle w:val="NingunoA"/>
          <w:rFonts w:ascii="Book Antiqua" w:eastAsia="Book Antiqua" w:hAnsi="Book Antiqua" w:cs="Book Antiqua"/>
          <w:i/>
          <w:iCs/>
          <w:color w:val="000000"/>
        </w:rPr>
        <w:t>P</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&lt;</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0.001</w:t>
      </w:r>
      <w:r w:rsidRPr="009F6ADE">
        <w:rPr>
          <w:rStyle w:val="NingunoA"/>
          <w:rFonts w:ascii="Book Antiqua" w:eastAsia="Book Antiqua" w:hAnsi="Book Antiqua" w:cs="Book Antiqua"/>
          <w:color w:val="000000"/>
        </w:rPr>
        <w:t>).</w:t>
      </w:r>
      <w:r w:rsidR="009F6ADE">
        <w:rPr>
          <w:rStyle w:val="NingunoA"/>
          <w:rFonts w:ascii="Book Antiqua" w:eastAsia="Book Antiqua" w:hAnsi="Book Antiqua" w:cs="Book Antiqua"/>
          <w:color w:val="000000"/>
        </w:rPr>
        <w:t xml:space="preserve"> </w:t>
      </w:r>
      <w:r w:rsidRPr="009F6ADE">
        <w:rPr>
          <w:rStyle w:val="NingunoA"/>
          <w:rFonts w:ascii="Book Antiqua" w:eastAsia="Book Antiqua" w:hAnsi="Book Antiqua" w:cs="Book Antiqua"/>
          <w:color w:val="000000"/>
        </w:rPr>
        <w:t>The</w:t>
      </w:r>
      <w:r>
        <w:rPr>
          <w:rStyle w:val="NingunoA"/>
          <w:rFonts w:ascii="Book Antiqua" w:eastAsia="Book Antiqua" w:hAnsi="Book Antiqua" w:cs="Book Antiqua"/>
          <w:color w:val="000000"/>
        </w:rPr>
        <w:t xml:space="preserve"> low </w:t>
      </w:r>
      <w:r w:rsidR="0018358B">
        <w:rPr>
          <w:rStyle w:val="NingunoA"/>
          <w:rFonts w:ascii="Book Antiqua" w:eastAsia="Book Antiqua" w:hAnsi="Book Antiqua" w:cs="Book Antiqua"/>
          <w:color w:val="000000"/>
        </w:rPr>
        <w:t>HR</w:t>
      </w:r>
      <w:r>
        <w:rPr>
          <w:rStyle w:val="NingunoA"/>
          <w:rFonts w:ascii="Book Antiqua" w:eastAsia="Book Antiqua" w:hAnsi="Book Antiqua" w:cs="Book Antiqua"/>
          <w:color w:val="000000"/>
        </w:rPr>
        <w:t xml:space="preserve"> in these trials is noteworthy, as it is unusual in the field of oncology to observe such low values in three consecutive trials. These findings show that distant metastases or death decreased by 59%</w:t>
      </w:r>
      <w:r w:rsidR="0018358B">
        <w:rPr>
          <w:rStyle w:val="NingunoA"/>
          <w:rFonts w:ascii="Book Antiqua" w:eastAsia="Book Antiqua" w:hAnsi="Book Antiqua" w:cs="Book Antiqua"/>
          <w:color w:val="000000"/>
        </w:rPr>
        <w:t>-</w:t>
      </w:r>
      <w:r>
        <w:rPr>
          <w:rStyle w:val="NingunoA"/>
          <w:rFonts w:ascii="Book Antiqua" w:eastAsia="Book Antiqua" w:hAnsi="Book Antiqua" w:cs="Book Antiqua"/>
          <w:color w:val="000000"/>
        </w:rPr>
        <w:t xml:space="preserve">72% in patients treated with the study drugs </w:t>
      </w:r>
      <w:r>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placebo. Moreover, administration of these novel agents in patients with nmCRPC extended MFS by approximately 2 years (Table 1).</w:t>
      </w:r>
    </w:p>
    <w:p w14:paraId="6C3D3525" w14:textId="1599FAB9"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 xml:space="preserve">The </w:t>
      </w:r>
      <w:r w:rsidR="00143FD9">
        <w:rPr>
          <w:rStyle w:val="Ninguno"/>
          <w:rFonts w:ascii="Book Antiqua" w:eastAsia="Book Antiqua" w:hAnsi="Book Antiqua" w:cs="Book Antiqua"/>
          <w:color w:val="000000"/>
        </w:rPr>
        <w:t>OS</w:t>
      </w:r>
      <w:r>
        <w:rPr>
          <w:rStyle w:val="NingunoA"/>
          <w:rFonts w:ascii="Book Antiqua" w:eastAsia="Book Antiqua" w:hAnsi="Book Antiqua" w:cs="Book Antiqua"/>
          <w:color w:val="000000"/>
        </w:rPr>
        <w:t xml:space="preserve"> rates for these trials</w:t>
      </w:r>
      <w:r w:rsidR="009F6ADE">
        <w:rPr>
          <w:rStyle w:val="NingunoA"/>
          <w:rFonts w:ascii="Book Antiqua" w:eastAsia="Book Antiqua" w:hAnsi="Book Antiqua" w:cs="Book Antiqua"/>
          <w:color w:val="000000"/>
        </w:rPr>
        <w:t xml:space="preserve"> - </w:t>
      </w:r>
      <w:r>
        <w:rPr>
          <w:rStyle w:val="NingunoA"/>
          <w:rFonts w:ascii="Book Antiqua" w:eastAsia="Book Antiqua" w:hAnsi="Book Antiqua" w:cs="Book Antiqua"/>
          <w:color w:val="000000"/>
        </w:rPr>
        <w:t>a highly anticipated secondary objective</w:t>
      </w:r>
      <w:r w:rsidR="009F6ADE">
        <w:rPr>
          <w:rStyle w:val="NingunoA"/>
          <w:rFonts w:ascii="Book Antiqua" w:eastAsia="Book Antiqua" w:hAnsi="Book Antiqua" w:cs="Book Antiqua"/>
          <w:color w:val="000000"/>
        </w:rPr>
        <w:t xml:space="preserve"> - </w:t>
      </w:r>
      <w:r>
        <w:rPr>
          <w:rStyle w:val="NingunoA"/>
          <w:rFonts w:ascii="Book Antiqua" w:eastAsia="Book Antiqua" w:hAnsi="Book Antiqua" w:cs="Book Antiqua"/>
          <w:color w:val="000000"/>
        </w:rPr>
        <w:t>were recently published, showing a significant reduction in mortality risk in the treatment arms, as follow</w:t>
      </w:r>
      <w:r w:rsidR="0050462D">
        <w:rPr>
          <w:rStyle w:val="NingunoA"/>
          <w:rFonts w:ascii="Book Antiqua" w:eastAsia="Book Antiqua" w:hAnsi="Book Antiqua" w:cs="Book Antiqua"/>
          <w:color w:val="000000"/>
        </w:rPr>
        <w:t>s</w:t>
      </w:r>
      <w:r>
        <w:rPr>
          <w:rStyle w:val="NingunoA"/>
          <w:rFonts w:ascii="Book Antiqua" w:eastAsia="Book Antiqua" w:hAnsi="Book Antiqua" w:cs="Book Antiqua"/>
          <w:color w:val="000000"/>
        </w:rPr>
        <w:t xml:space="preserve">: SPARTAN, 22%; PROSPER, 27%; and ARAMIS, 31%. Median OS in patients treated with apalutamide was 73.9 mo </w:t>
      </w:r>
      <w:r w:rsidRPr="009F6ADE">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59.9 mo in the placebo group. The corresponding OS values for enzalutamide were 67 </w:t>
      </w:r>
      <w:r w:rsidR="009F6ADE">
        <w:rPr>
          <w:rStyle w:val="NingunoA"/>
          <w:rFonts w:ascii="Book Antiqua" w:eastAsia="Book Antiqua" w:hAnsi="Book Antiqua" w:cs="Book Antiqua"/>
          <w:color w:val="000000"/>
        </w:rPr>
        <w:t>mo</w:t>
      </w:r>
      <w:r w:rsidR="009F6ADE" w:rsidRPr="009F6ADE">
        <w:rPr>
          <w:rStyle w:val="NingunoA"/>
          <w:rFonts w:ascii="Book Antiqua" w:eastAsia="Book Antiqua" w:hAnsi="Book Antiqua" w:cs="Book Antiqua"/>
          <w:i/>
          <w:iCs/>
          <w:color w:val="000000"/>
        </w:rPr>
        <w:t xml:space="preserve"> </w:t>
      </w:r>
      <w:r w:rsidRPr="009F6ADE">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56.3 mo</w:t>
      </w:r>
      <w:r w:rsidR="0050462D">
        <w:rPr>
          <w:rStyle w:val="NingunoA"/>
          <w:rFonts w:ascii="Book Antiqua" w:eastAsia="Book Antiqua" w:hAnsi="Book Antiqua" w:cs="Book Antiqua"/>
          <w:color w:val="000000"/>
        </w:rPr>
        <w:t>. OS values have</w:t>
      </w:r>
      <w:r>
        <w:rPr>
          <w:rStyle w:val="NingunoA"/>
          <w:rFonts w:ascii="Book Antiqua" w:eastAsia="Book Antiqua" w:hAnsi="Book Antiqua" w:cs="Book Antiqua"/>
          <w:color w:val="000000"/>
        </w:rPr>
        <w:t xml:space="preserve"> not reached for darolutamide. These findings indicate that treatment with ARIs extended OS by approximately </w:t>
      </w:r>
      <w:r w:rsidR="0050462D">
        <w:rPr>
          <w:rStyle w:val="NingunoA"/>
          <w:rFonts w:ascii="Book Antiqua" w:eastAsia="Book Antiqua" w:hAnsi="Book Antiqua" w:cs="Book Antiqua"/>
          <w:color w:val="000000"/>
        </w:rPr>
        <w:t>1</w:t>
      </w:r>
      <w:r>
        <w:rPr>
          <w:rStyle w:val="NingunoA"/>
          <w:rFonts w:ascii="Book Antiqua" w:eastAsia="Book Antiqua" w:hAnsi="Book Antiqua" w:cs="Book Antiqua"/>
          <w:color w:val="000000"/>
        </w:rPr>
        <w:t xml:space="preserve"> year.</w:t>
      </w:r>
    </w:p>
    <w:p w14:paraId="032CB56C" w14:textId="77777777" w:rsidR="00A77B3E" w:rsidRDefault="00A77B3E">
      <w:pPr>
        <w:spacing w:line="360" w:lineRule="auto"/>
        <w:jc w:val="both"/>
      </w:pPr>
    </w:p>
    <w:p w14:paraId="65388FC7" w14:textId="5406FD61" w:rsidR="00A77B3E" w:rsidRPr="009F6ADE" w:rsidRDefault="001C2110">
      <w:pPr>
        <w:spacing w:line="360" w:lineRule="auto"/>
        <w:jc w:val="both"/>
        <w:rPr>
          <w:i/>
          <w:iCs/>
        </w:rPr>
      </w:pPr>
      <w:r w:rsidRPr="009F6ADE">
        <w:rPr>
          <w:rStyle w:val="NingunoA"/>
          <w:rFonts w:ascii="Book Antiqua" w:eastAsia="Book Antiqua" w:hAnsi="Book Antiqua" w:cs="Book Antiqua"/>
          <w:b/>
          <w:bCs/>
          <w:i/>
          <w:iCs/>
          <w:color w:val="000000"/>
        </w:rPr>
        <w:t>Should we assess molecular determinants in nmCRPC?</w:t>
      </w:r>
    </w:p>
    <w:p w14:paraId="45F0B131" w14:textId="1246FABD" w:rsidR="00A77B3E" w:rsidRDefault="001C2110">
      <w:pPr>
        <w:spacing w:line="360" w:lineRule="auto"/>
        <w:jc w:val="both"/>
      </w:pPr>
      <w:r>
        <w:rPr>
          <w:rStyle w:val="NingunoA"/>
          <w:rFonts w:ascii="Book Antiqua" w:eastAsia="Book Antiqua" w:hAnsi="Book Antiqua" w:cs="Book Antiqua"/>
          <w:color w:val="000000"/>
        </w:rPr>
        <w:t xml:space="preserve">In a </w:t>
      </w:r>
      <w:r w:rsidRPr="00EC0FE4">
        <w:rPr>
          <w:rStyle w:val="NingunoA"/>
          <w:rFonts w:ascii="Book Antiqua" w:eastAsia="Book Antiqua" w:hAnsi="Book Antiqua" w:cs="Book Antiqua"/>
          <w:i/>
          <w:iCs/>
          <w:color w:val="000000"/>
        </w:rPr>
        <w:t>post hoc</w:t>
      </w:r>
      <w:r>
        <w:rPr>
          <w:rStyle w:val="NingunoA"/>
          <w:rFonts w:ascii="Book Antiqua" w:eastAsia="Book Antiqua" w:hAnsi="Book Antiqua" w:cs="Book Antiqua"/>
          <w:color w:val="000000"/>
        </w:rPr>
        <w:t xml:space="preserve"> analysis of the SPARTAN study, Saad</w:t>
      </w:r>
      <w:r w:rsidR="009F6ADE">
        <w:rPr>
          <w:rStyle w:val="Ninguno"/>
          <w:rFonts w:ascii="Book Antiqua" w:eastAsia="Book Antiqua" w:hAnsi="Book Antiqua" w:cs="Book Antiqua"/>
          <w:color w:val="000000"/>
          <w:szCs w:val="20"/>
          <w:vertAlign w:val="superscript"/>
        </w:rPr>
        <w:t xml:space="preserve"> </w:t>
      </w:r>
      <w:r w:rsidRPr="009F6ADE">
        <w:rPr>
          <w:rStyle w:val="NingunoA"/>
          <w:rFonts w:ascii="Book Antiqua" w:eastAsia="Book Antiqua" w:hAnsi="Book Antiqua" w:cs="Book Antiqua"/>
          <w:i/>
          <w:iCs/>
          <w:color w:val="000000"/>
        </w:rPr>
        <w:t>et al</w:t>
      </w:r>
      <w:r w:rsidR="009F6ADE">
        <w:rPr>
          <w:rStyle w:val="Ninguno"/>
          <w:rFonts w:ascii="Book Antiqua" w:eastAsia="Book Antiqua" w:hAnsi="Book Antiqua" w:cs="Book Antiqua"/>
          <w:color w:val="000000"/>
          <w:szCs w:val="20"/>
          <w:vertAlign w:val="superscript"/>
        </w:rPr>
        <w:t>[9]</w:t>
      </w:r>
      <w:r w:rsidRPr="009F6ADE">
        <w:rPr>
          <w:rStyle w:val="NingunoA"/>
          <w:rFonts w:ascii="Book Antiqua" w:eastAsia="Book Antiqua" w:hAnsi="Book Antiqua" w:cs="Book Antiqua"/>
          <w:i/>
          <w:iCs/>
          <w:color w:val="000000"/>
        </w:rPr>
        <w:t xml:space="preserve"> </w:t>
      </w:r>
      <w:r>
        <w:rPr>
          <w:rStyle w:val="NingunoA"/>
          <w:rFonts w:ascii="Book Antiqua" w:eastAsia="Book Antiqua" w:hAnsi="Book Antiqua" w:cs="Book Antiqua"/>
          <w:color w:val="000000"/>
        </w:rPr>
        <w:t>used the DECIPHER</w:t>
      </w:r>
      <w:r w:rsidRPr="009F6ADE">
        <w:rPr>
          <w:rStyle w:val="NingunoA"/>
          <w:rFonts w:ascii="Book Antiqua" w:eastAsia="Book Antiqua" w:hAnsi="Book Antiqua" w:cs="Book Antiqua"/>
          <w:color w:val="000000"/>
          <w:vertAlign w:val="superscript"/>
        </w:rPr>
        <w:t>®</w:t>
      </w:r>
      <w:r>
        <w:rPr>
          <w:rStyle w:val="NingunoA"/>
          <w:rFonts w:ascii="Book Antiqua" w:eastAsia="Book Antiqua" w:hAnsi="Book Antiqua" w:cs="Book Antiqua"/>
          <w:color w:val="000000"/>
        </w:rPr>
        <w:t xml:space="preserve"> platform (Decipher Biosciences Inc., San Diego, CA, U</w:t>
      </w:r>
      <w:r w:rsidR="009F6ADE">
        <w:rPr>
          <w:rStyle w:val="NingunoA"/>
          <w:rFonts w:ascii="Book Antiqua" w:eastAsia="Book Antiqua" w:hAnsi="Book Antiqua" w:cs="Book Antiqua"/>
          <w:color w:val="000000"/>
        </w:rPr>
        <w:t>nited States</w:t>
      </w:r>
      <w:r>
        <w:rPr>
          <w:rStyle w:val="NingunoA"/>
          <w:rFonts w:ascii="Book Antiqua" w:eastAsia="Book Antiqua" w:hAnsi="Book Antiqua" w:cs="Book Antiqua"/>
          <w:color w:val="000000"/>
        </w:rPr>
        <w:t>) to evaluate the molecular subtypes associated with a decrease in PSA values and with survival outcomes. Those authors stratified patients into risk groups according to their genomic classifier (GC) scores</w:t>
      </w:r>
      <w:r w:rsidR="009F6ADE">
        <w:rPr>
          <w:rStyle w:val="NingunoA"/>
          <w:rFonts w:ascii="Book Antiqua" w:eastAsia="Book Antiqua" w:hAnsi="Book Antiqua" w:cs="Book Antiqua"/>
          <w:color w:val="000000"/>
        </w:rPr>
        <w:t xml:space="preserve"> - </w:t>
      </w:r>
      <w:r>
        <w:rPr>
          <w:rStyle w:val="NingunoA"/>
          <w:rFonts w:ascii="Book Antiqua" w:eastAsia="Book Antiqua" w:hAnsi="Book Antiqua" w:cs="Book Antiqua"/>
          <w:color w:val="000000"/>
        </w:rPr>
        <w:t xml:space="preserve">GC &gt; 0.6 (high risk) </w:t>
      </w:r>
      <w:r w:rsidRPr="009F6ADE">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GC ≤ 0.6 (low-to-average risk) and also stratified patients according to the molecular subtype (basal or luminal A/B). The biomarker characteristics of these patients revealed the presence of aggressive disease. A total of 116 patients (50%) had a GC &gt; 0.6 (high risk), 151 patients (65%) had a basal subtype </w:t>
      </w:r>
      <w:r>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8 patients with the luminal A subtype. Importantly, apalutamide improved survival outcomes in all patients, regardless of the specific molecular subtype. Patients treated with apalutamide </w:t>
      </w:r>
      <w:r w:rsidR="0050462D">
        <w:rPr>
          <w:rStyle w:val="NingunoA"/>
          <w:rFonts w:ascii="Book Antiqua" w:eastAsia="Book Antiqua" w:hAnsi="Book Antiqua" w:cs="Book Antiqua"/>
          <w:color w:val="000000"/>
        </w:rPr>
        <w:t>plus</w:t>
      </w:r>
      <w:r>
        <w:rPr>
          <w:rStyle w:val="NingunoA"/>
          <w:rFonts w:ascii="Book Antiqua" w:eastAsia="Book Antiqua" w:hAnsi="Book Antiqua" w:cs="Book Antiqua"/>
          <w:color w:val="000000"/>
        </w:rPr>
        <w:t xml:space="preserve"> ADT presented a rapid and constant decrease in PSA levels, regardless of the specific </w:t>
      </w:r>
      <w:r>
        <w:rPr>
          <w:rStyle w:val="NingunoA"/>
          <w:rFonts w:ascii="Book Antiqua" w:eastAsia="Book Antiqua" w:hAnsi="Book Antiqua" w:cs="Book Antiqua"/>
          <w:color w:val="000000"/>
        </w:rPr>
        <w:lastRenderedPageBreak/>
        <w:t>molecular characteristics (high or low-average GC, basal/</w:t>
      </w:r>
      <w:r w:rsidR="004D71CF">
        <w:rPr>
          <w:rStyle w:val="NingunoA"/>
          <w:rFonts w:ascii="Book Antiqua" w:eastAsia="Book Antiqua" w:hAnsi="Book Antiqua" w:cs="Book Antiqua"/>
          <w:color w:val="000000"/>
        </w:rPr>
        <w:t>l</w:t>
      </w:r>
      <w:r>
        <w:rPr>
          <w:rStyle w:val="NingunoA"/>
          <w:rFonts w:ascii="Book Antiqua" w:eastAsia="Book Antiqua" w:hAnsi="Book Antiqua" w:cs="Book Antiqua"/>
          <w:color w:val="000000"/>
        </w:rPr>
        <w:t xml:space="preserve">uminal subtype). The patients who presented the largest decrease in PSA levels were those with a low-risk GC profile and those with the luminal subtype. Treatment with apalutamide </w:t>
      </w:r>
      <w:r w:rsidR="0050462D">
        <w:rPr>
          <w:rStyle w:val="NingunoA"/>
          <w:rFonts w:ascii="Book Antiqua" w:eastAsia="Book Antiqua" w:hAnsi="Book Antiqua" w:cs="Book Antiqua"/>
          <w:color w:val="000000"/>
        </w:rPr>
        <w:t>plus</w:t>
      </w:r>
      <w:r>
        <w:rPr>
          <w:rStyle w:val="NingunoA"/>
          <w:rFonts w:ascii="Book Antiqua" w:eastAsia="Book Antiqua" w:hAnsi="Book Antiqua" w:cs="Book Antiqua"/>
          <w:color w:val="000000"/>
        </w:rPr>
        <w:t xml:space="preserve"> ADT improved both MFS and OS compared to placebo in all molecular subtypes, although the greatest benefits were observed in those with high-risk GC and the luminal subtype.</w:t>
      </w:r>
    </w:p>
    <w:p w14:paraId="3DCA84DC" w14:textId="35D54393" w:rsidR="00A77B3E" w:rsidRDefault="0050462D" w:rsidP="009F6ADE">
      <w:pPr>
        <w:spacing w:line="360" w:lineRule="auto"/>
        <w:ind w:firstLineChars="100" w:firstLine="240"/>
        <w:jc w:val="both"/>
      </w:pPr>
      <w:r>
        <w:rPr>
          <w:rFonts w:ascii="Book Antiqua" w:eastAsia="Book Antiqua" w:hAnsi="Book Antiqua" w:cs="Book Antiqua"/>
          <w:color w:val="000000"/>
        </w:rPr>
        <w:t>Although t</w:t>
      </w:r>
      <w:r w:rsidR="001C2110">
        <w:rPr>
          <w:rFonts w:ascii="Book Antiqua" w:eastAsia="Book Antiqua" w:hAnsi="Book Antiqua" w:cs="Book Antiqua"/>
          <w:color w:val="000000"/>
        </w:rPr>
        <w:t>here is not strong evidence to support that earlier initiation of ARIs in patients with nmCRPC may result in a more aggressive molecular subtype or clinical stage, it is a controversial issue.</w:t>
      </w:r>
    </w:p>
    <w:p w14:paraId="1D57C085" w14:textId="518E2BE1" w:rsidR="00A77B3E" w:rsidRDefault="001C2110" w:rsidP="009F6ADE">
      <w:pPr>
        <w:spacing w:line="360" w:lineRule="auto"/>
        <w:ind w:firstLineChars="100" w:firstLine="240"/>
        <w:jc w:val="both"/>
      </w:pPr>
      <w:r>
        <w:rPr>
          <w:rFonts w:ascii="Book Antiqua" w:eastAsia="Book Antiqua" w:hAnsi="Book Antiqua" w:cs="Book Antiqua"/>
          <w:color w:val="000000"/>
        </w:rPr>
        <w:t>Smith</w:t>
      </w:r>
      <w:r w:rsidR="009F6ADE" w:rsidRPr="009F6ADE">
        <w:rPr>
          <w:rStyle w:val="Ninguno"/>
          <w:rFonts w:ascii="Book Antiqua" w:eastAsia="Book Antiqua" w:hAnsi="Book Antiqua" w:cs="Book Antiqua"/>
          <w:color w:val="000000"/>
          <w:szCs w:val="20"/>
        </w:rPr>
        <w:t xml:space="preserve"> </w:t>
      </w:r>
      <w:r w:rsidRPr="009F6ADE">
        <w:rPr>
          <w:rFonts w:ascii="Book Antiqua" w:eastAsia="Book Antiqua" w:hAnsi="Book Antiqua" w:cs="Book Antiqua"/>
          <w:i/>
          <w:iCs/>
          <w:color w:val="000000"/>
        </w:rPr>
        <w:t>et al</w:t>
      </w:r>
      <w:r w:rsidR="009F6ADE">
        <w:rPr>
          <w:rStyle w:val="Ninguno"/>
          <w:rFonts w:ascii="Book Antiqua" w:eastAsia="Book Antiqua" w:hAnsi="Book Antiqua" w:cs="Book Antiqua"/>
          <w:color w:val="000000"/>
          <w:szCs w:val="20"/>
          <w:vertAlign w:val="superscript"/>
        </w:rPr>
        <w:t>[10]</w:t>
      </w:r>
      <w:r w:rsidR="009F6ADE">
        <w:rPr>
          <w:rFonts w:ascii="Book Antiqua" w:eastAsia="Book Antiqua" w:hAnsi="Book Antiqua" w:cs="Book Antiqua"/>
          <w:color w:val="000000"/>
        </w:rPr>
        <w:t xml:space="preserve"> </w:t>
      </w:r>
      <w:r>
        <w:rPr>
          <w:rFonts w:ascii="Book Antiqua" w:eastAsia="Book Antiqua" w:hAnsi="Book Antiqua" w:cs="Book Antiqua"/>
          <w:color w:val="000000"/>
        </w:rPr>
        <w:t>evaluated the frequency of AR anomalies, including AR-V7 expression, AR mutations, and AR amplification, before and after treatment with apalutamide plus ADT</w:t>
      </w:r>
      <w:r w:rsidR="0050462D">
        <w:rPr>
          <w:rFonts w:ascii="Book Antiqua" w:eastAsia="Book Antiqua" w:hAnsi="Book Antiqua" w:cs="Book Antiqua"/>
          <w:color w:val="000000"/>
        </w:rPr>
        <w:t>. In addition, they examined the</w:t>
      </w:r>
      <w:r>
        <w:rPr>
          <w:rFonts w:ascii="Book Antiqua" w:eastAsia="Book Antiqua" w:hAnsi="Book Antiqua" w:cs="Book Antiqua"/>
          <w:color w:val="000000"/>
        </w:rPr>
        <w:t xml:space="preserve"> impact on the exploratory endpoint PFS2 and time on subsequent therapy in patients with nmCRPC who were enrolled in the phase 3 SPARTAN study.</w:t>
      </w:r>
      <w:r w:rsidR="009F6ADE">
        <w:rPr>
          <w:rFonts w:ascii="Book Antiqua" w:eastAsia="Book Antiqua" w:hAnsi="Book Antiqua" w:cs="Book Antiqua"/>
          <w:color w:val="000000"/>
        </w:rPr>
        <w:t xml:space="preserve"> </w:t>
      </w:r>
      <w:r>
        <w:rPr>
          <w:rFonts w:ascii="Book Antiqua" w:eastAsia="Book Antiqua" w:hAnsi="Book Antiqua" w:cs="Book Antiqua"/>
          <w:color w:val="000000"/>
        </w:rPr>
        <w:t xml:space="preserve">Frequency of total AR anomalies was higher in patients at end of treatment than at baseline for both the apalutamide and placebo groups (apalutamide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at baseline: 16% </w:t>
      </w:r>
      <w:r>
        <w:rPr>
          <w:rFonts w:ascii="Book Antiqua" w:eastAsia="Book Antiqua" w:hAnsi="Book Antiqua" w:cs="Book Antiqua"/>
          <w:i/>
          <w:iCs/>
          <w:color w:val="000000"/>
        </w:rPr>
        <w:t>vs</w:t>
      </w:r>
      <w:r>
        <w:rPr>
          <w:rFonts w:ascii="Book Antiqua" w:eastAsia="Book Antiqua" w:hAnsi="Book Antiqua" w:cs="Book Antiqua"/>
          <w:color w:val="000000"/>
        </w:rPr>
        <w:t xml:space="preserve"> 13% and at end of treatment: 20% </w:t>
      </w:r>
      <w:r>
        <w:rPr>
          <w:rFonts w:ascii="Book Antiqua" w:eastAsia="Book Antiqua" w:hAnsi="Book Antiqua" w:cs="Book Antiqua"/>
          <w:i/>
          <w:iCs/>
          <w:color w:val="000000"/>
        </w:rPr>
        <w:t>vs</w:t>
      </w:r>
      <w:r>
        <w:rPr>
          <w:rFonts w:ascii="Book Antiqua" w:eastAsia="Book Antiqua" w:hAnsi="Book Antiqua" w:cs="Book Antiqua"/>
          <w:color w:val="000000"/>
        </w:rPr>
        <w:t xml:space="preserve"> 30%). Most patients with AR anomalies in the apalutamide group achieved a PSA response at 12 wk. Following the end of apalutamide or placebo treatment, individual AR anomalies did not have a substantial effect on PFS2.</w:t>
      </w:r>
    </w:p>
    <w:p w14:paraId="60FBD5A2" w14:textId="56362988"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There is a clear need to determine molecular subtypes in prostate cancer to</w:t>
      </w:r>
      <w:r w:rsidR="0080534A">
        <w:rPr>
          <w:rStyle w:val="NingunoA"/>
          <w:rFonts w:ascii="Book Antiqua" w:eastAsia="Book Antiqua" w:hAnsi="Book Antiqua" w:cs="Book Antiqua"/>
          <w:color w:val="000000"/>
        </w:rPr>
        <w:t xml:space="preserve"> identify</w:t>
      </w:r>
      <w:r>
        <w:rPr>
          <w:rStyle w:val="NingunoA"/>
          <w:rFonts w:ascii="Book Antiqua" w:eastAsia="Book Antiqua" w:hAnsi="Book Antiqua" w:cs="Book Antiqua"/>
          <w:color w:val="000000"/>
        </w:rPr>
        <w:t xml:space="preserve"> better the clinical subgroups likely to benefit from specific </w:t>
      </w:r>
      <w:proofErr w:type="gramStart"/>
      <w:r>
        <w:rPr>
          <w:rStyle w:val="NingunoA"/>
          <w:rFonts w:ascii="Book Antiqua" w:eastAsia="Book Antiqua" w:hAnsi="Book Antiqua" w:cs="Book Antiqua"/>
          <w:color w:val="000000"/>
        </w:rPr>
        <w:t>therapies</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11]</w:t>
      </w:r>
      <w:r>
        <w:rPr>
          <w:rStyle w:val="NingunoA"/>
          <w:rFonts w:ascii="Book Antiqua" w:eastAsia="Book Antiqua" w:hAnsi="Book Antiqua" w:cs="Book Antiqua"/>
          <w:color w:val="000000"/>
        </w:rPr>
        <w:t>.</w:t>
      </w:r>
    </w:p>
    <w:p w14:paraId="383F8237" w14:textId="77777777" w:rsidR="00A77B3E" w:rsidRDefault="00A77B3E">
      <w:pPr>
        <w:spacing w:line="360" w:lineRule="auto"/>
        <w:jc w:val="both"/>
      </w:pPr>
    </w:p>
    <w:p w14:paraId="77735410" w14:textId="6F0C0B60" w:rsidR="00A77B3E" w:rsidRPr="009F6ADE" w:rsidRDefault="001C2110">
      <w:pPr>
        <w:spacing w:line="360" w:lineRule="auto"/>
        <w:jc w:val="both"/>
        <w:rPr>
          <w:i/>
          <w:iCs/>
        </w:rPr>
      </w:pPr>
      <w:r w:rsidRPr="009F6ADE">
        <w:rPr>
          <w:rStyle w:val="NingunoA"/>
          <w:rFonts w:ascii="Book Antiqua" w:eastAsia="Book Antiqua" w:hAnsi="Book Antiqua" w:cs="Book Antiqua"/>
          <w:b/>
          <w:bCs/>
          <w:i/>
          <w:iCs/>
          <w:color w:val="000000"/>
        </w:rPr>
        <w:t>Do apalutamide, enzalutamide, and darolutamide have different toxicity profiles?</w:t>
      </w:r>
    </w:p>
    <w:p w14:paraId="54B63D7A" w14:textId="76E43B97" w:rsidR="00A77B3E" w:rsidRDefault="001C2110">
      <w:pPr>
        <w:spacing w:line="360" w:lineRule="auto"/>
        <w:jc w:val="both"/>
      </w:pPr>
      <w:r>
        <w:rPr>
          <w:rStyle w:val="NingunoA"/>
          <w:rFonts w:ascii="Book Antiqua" w:eastAsia="Book Antiqua" w:hAnsi="Book Antiqua" w:cs="Book Antiqua"/>
          <w:color w:val="000000"/>
        </w:rPr>
        <w:t>To date, no head-to-head randomized studies have been performed to compare these three agents, although the available evidence clearly shows that all three have a relatively safe toxicity profile. The overall rate of grade 3/4 AE</w:t>
      </w:r>
      <w:r w:rsidR="009F6ADE">
        <w:rPr>
          <w:rStyle w:val="NingunoA"/>
          <w:rFonts w:ascii="Book Antiqua" w:eastAsia="Book Antiqua" w:hAnsi="Book Antiqua" w:cs="Book Antiqua"/>
          <w:color w:val="000000"/>
        </w:rPr>
        <w:t>s</w:t>
      </w:r>
      <w:r>
        <w:rPr>
          <w:rStyle w:val="NingunoA"/>
          <w:rFonts w:ascii="Book Antiqua" w:eastAsia="Book Antiqua" w:hAnsi="Book Antiqua" w:cs="Book Antiqua"/>
          <w:color w:val="000000"/>
        </w:rPr>
        <w:t xml:space="preserve"> in the three trials was approximately 24%, with the most common AEs being hypertension, fatigue, erythema, falls, fractures, and cognitive alterations. The rates of AEs reported seem to be lower in the </w:t>
      </w:r>
      <w:r w:rsidR="009F6ADE">
        <w:rPr>
          <w:rStyle w:val="NingunoA"/>
          <w:rFonts w:ascii="Book Antiqua" w:eastAsia="Book Antiqua" w:hAnsi="Book Antiqua" w:cs="Book Antiqua"/>
          <w:color w:val="000000"/>
        </w:rPr>
        <w:t>d</w:t>
      </w:r>
      <w:r>
        <w:rPr>
          <w:rStyle w:val="NingunoA"/>
          <w:rFonts w:ascii="Book Antiqua" w:eastAsia="Book Antiqua" w:hAnsi="Book Antiqua" w:cs="Book Antiqua"/>
          <w:color w:val="000000"/>
        </w:rPr>
        <w:t>arolutamide study. Apalutamide has a unique rash reported in 23.8% of patients (grade 3-4 4.2%). Most of them were solved</w:t>
      </w:r>
      <w:r w:rsidR="0080534A">
        <w:rPr>
          <w:rStyle w:val="NingunoA"/>
          <w:rFonts w:ascii="Book Antiqua" w:eastAsia="Book Antiqua" w:hAnsi="Book Antiqua" w:cs="Book Antiqua"/>
          <w:color w:val="000000"/>
        </w:rPr>
        <w:t>,</w:t>
      </w:r>
      <w:r>
        <w:rPr>
          <w:rStyle w:val="NingunoA"/>
          <w:rFonts w:ascii="Book Antiqua" w:eastAsia="Book Antiqua" w:hAnsi="Book Antiqua" w:cs="Book Antiqua"/>
          <w:color w:val="000000"/>
        </w:rPr>
        <w:t xml:space="preserve"> allowing to continue treatment. The discontinuation rate due to treatment-emergent AEs was quite low, ranging from 8.9% to </w:t>
      </w:r>
      <w:r>
        <w:rPr>
          <w:rStyle w:val="NingunoA"/>
          <w:rFonts w:ascii="Book Antiqua" w:eastAsia="Book Antiqua" w:hAnsi="Book Antiqua" w:cs="Book Antiqua"/>
          <w:color w:val="000000"/>
        </w:rPr>
        <w:lastRenderedPageBreak/>
        <w:t>15% (apalutamide 15%, enzalutamide 9.8%, darolutamide 8.9%), and few treatment-related deaths have been reported.</w:t>
      </w:r>
    </w:p>
    <w:p w14:paraId="257ED637" w14:textId="2CCF135B"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Selection of the most appropriate first-line drug will depend on the clinical, biological, and logistical factors at the individual treatment cent</w:t>
      </w:r>
      <w:r w:rsidR="0080534A">
        <w:rPr>
          <w:rStyle w:val="NingunoA"/>
          <w:rFonts w:ascii="Book Antiqua" w:eastAsia="Book Antiqua" w:hAnsi="Book Antiqua" w:cs="Book Antiqua"/>
          <w:color w:val="000000"/>
        </w:rPr>
        <w:t>er</w:t>
      </w:r>
      <w:r>
        <w:rPr>
          <w:rStyle w:val="NingunoA"/>
          <w:rFonts w:ascii="Book Antiqua" w:eastAsia="Book Antiqua" w:hAnsi="Book Antiqua" w:cs="Book Antiqua"/>
          <w:color w:val="000000"/>
        </w:rPr>
        <w:t xml:space="preserve"> as well as on availability and cost of the agent, among other factors. In other words, selection will be personalized according to the specific needs of each patient.</w:t>
      </w:r>
    </w:p>
    <w:p w14:paraId="0DECC3B1" w14:textId="77777777" w:rsidR="00A77B3E" w:rsidRDefault="00A77B3E">
      <w:pPr>
        <w:spacing w:line="360" w:lineRule="auto"/>
        <w:jc w:val="both"/>
      </w:pPr>
    </w:p>
    <w:p w14:paraId="4F1C0A42" w14:textId="5CA14FA0" w:rsidR="00A77B3E" w:rsidRPr="009F6ADE" w:rsidRDefault="001C2110">
      <w:pPr>
        <w:spacing w:line="360" w:lineRule="auto"/>
        <w:jc w:val="both"/>
        <w:rPr>
          <w:i/>
          <w:iCs/>
        </w:rPr>
      </w:pPr>
      <w:r w:rsidRPr="009F6ADE">
        <w:rPr>
          <w:rStyle w:val="NingunoA"/>
          <w:rFonts w:ascii="Book Antiqua" w:eastAsia="Book Antiqua" w:hAnsi="Book Antiqua" w:cs="Book Antiqua"/>
          <w:b/>
          <w:bCs/>
          <w:i/>
          <w:iCs/>
          <w:color w:val="000000"/>
        </w:rPr>
        <w:t>Have any meta-analyses been performed for nmCRPC?</w:t>
      </w:r>
    </w:p>
    <w:p w14:paraId="01C25F38" w14:textId="1D914EB7" w:rsidR="00A77B3E" w:rsidRDefault="001C2110">
      <w:pPr>
        <w:spacing w:line="360" w:lineRule="auto"/>
        <w:jc w:val="both"/>
      </w:pPr>
      <w:r>
        <w:rPr>
          <w:rStyle w:val="NingunoA"/>
          <w:rFonts w:ascii="Book Antiqua" w:eastAsia="Book Antiqua" w:hAnsi="Book Antiqua" w:cs="Book Antiqua"/>
          <w:color w:val="000000"/>
        </w:rPr>
        <w:t>Two study level meta-analyses of the three randomi</w:t>
      </w:r>
      <w:r w:rsidR="0080534A">
        <w:rPr>
          <w:rStyle w:val="NingunoA"/>
          <w:rFonts w:ascii="Book Antiqua" w:eastAsia="Book Antiqua" w:hAnsi="Book Antiqua" w:cs="Book Antiqua"/>
          <w:color w:val="000000"/>
        </w:rPr>
        <w:t>z</w:t>
      </w:r>
      <w:r>
        <w:rPr>
          <w:rStyle w:val="NingunoA"/>
          <w:rFonts w:ascii="Book Antiqua" w:eastAsia="Book Antiqua" w:hAnsi="Book Antiqua" w:cs="Book Antiqua"/>
          <w:color w:val="000000"/>
        </w:rPr>
        <w:t xml:space="preserve">ed trials have been performed to </w:t>
      </w:r>
      <w:proofErr w:type="gramStart"/>
      <w:r>
        <w:rPr>
          <w:rStyle w:val="NingunoA"/>
          <w:rFonts w:ascii="Book Antiqua" w:eastAsia="Book Antiqua" w:hAnsi="Book Antiqua" w:cs="Book Antiqua"/>
          <w:color w:val="000000"/>
        </w:rPr>
        <w:t>date</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12,13]</w:t>
      </w:r>
      <w:r>
        <w:rPr>
          <w:rStyle w:val="NingunoA"/>
          <w:rFonts w:ascii="Book Antiqua" w:eastAsia="Book Antiqua" w:hAnsi="Book Antiqua" w:cs="Book Antiqua"/>
          <w:color w:val="000000"/>
        </w:rPr>
        <w:t xml:space="preserve">, the most recent being the meta-analysis conducted by the Toronto group, presented at the </w:t>
      </w:r>
      <w:r w:rsidR="0080534A">
        <w:rPr>
          <w:rStyle w:val="NingunoA"/>
          <w:rFonts w:ascii="Book Antiqua" w:eastAsia="Book Antiqua" w:hAnsi="Book Antiqua" w:cs="Book Antiqua"/>
          <w:color w:val="000000"/>
        </w:rPr>
        <w:t>American Society of Clinical Oncology</w:t>
      </w:r>
      <w:r>
        <w:rPr>
          <w:rStyle w:val="NingunoA"/>
          <w:rFonts w:ascii="Book Antiqua" w:eastAsia="Book Antiqua" w:hAnsi="Book Antiqua" w:cs="Book Antiqua"/>
          <w:color w:val="000000"/>
        </w:rPr>
        <w:t xml:space="preserve"> 2020 meeting</w:t>
      </w:r>
      <w:r w:rsidR="009F6ADE" w:rsidRPr="009F6ADE">
        <w:rPr>
          <w:rStyle w:val="NingunoA"/>
          <w:rFonts w:ascii="Book Antiqua" w:eastAsia="Book Antiqua" w:hAnsi="Book Antiqua" w:cs="Book Antiqua"/>
          <w:color w:val="000000"/>
          <w:vertAlign w:val="superscript"/>
        </w:rPr>
        <w:t>[</w:t>
      </w:r>
      <w:r>
        <w:rPr>
          <w:rStyle w:val="Ninguno"/>
          <w:rFonts w:ascii="Book Antiqua" w:eastAsia="Book Antiqua" w:hAnsi="Book Antiqua" w:cs="Book Antiqua"/>
          <w:color w:val="000000"/>
          <w:szCs w:val="20"/>
          <w:vertAlign w:val="superscript"/>
        </w:rPr>
        <w:t>12</w:t>
      </w:r>
      <w:r w:rsidR="009F6ADE">
        <w:rPr>
          <w:rStyle w:val="Ninguno"/>
          <w:rFonts w:ascii="Book Antiqua" w:eastAsia="Book Antiqua" w:hAnsi="Book Antiqua" w:cs="Book Antiqua"/>
          <w:color w:val="000000"/>
          <w:szCs w:val="20"/>
          <w:vertAlign w:val="superscript"/>
        </w:rPr>
        <w:t>]</w:t>
      </w:r>
      <w:r>
        <w:rPr>
          <w:rStyle w:val="NingunoA"/>
          <w:rFonts w:ascii="Book Antiqua" w:eastAsia="Book Antiqua" w:hAnsi="Book Antiqua" w:cs="Book Antiqua"/>
          <w:color w:val="000000"/>
        </w:rPr>
        <w:t xml:space="preserve">. In that meta-analysis, the authors evaluated survival outcomes and treatment-related toxicity in the three trials, finding a clear benefit for all three agents </w:t>
      </w:r>
      <w:r>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placebo for MFS (HR 0.32; </w:t>
      </w:r>
      <w:r w:rsidR="00D01D0C">
        <w:rPr>
          <w:rStyle w:val="NingunoA"/>
          <w:rFonts w:ascii="Book Antiqua" w:eastAsia="Book Antiqua" w:hAnsi="Book Antiqua" w:cs="Book Antiqua"/>
          <w:color w:val="000000"/>
        </w:rPr>
        <w:t xml:space="preserve">95%CI: </w:t>
      </w:r>
      <w:r>
        <w:rPr>
          <w:rStyle w:val="NingunoA"/>
          <w:rFonts w:ascii="Book Antiqua" w:eastAsia="Book Antiqua" w:hAnsi="Book Antiqua" w:cs="Book Antiqua"/>
          <w:color w:val="000000"/>
        </w:rPr>
        <w:t xml:space="preserve">0.25-0.41), PFS (HR 0.08; </w:t>
      </w:r>
      <w:r w:rsidR="00D01D0C">
        <w:rPr>
          <w:rStyle w:val="NingunoA"/>
          <w:rFonts w:ascii="Book Antiqua" w:eastAsia="Book Antiqua" w:hAnsi="Book Antiqua" w:cs="Book Antiqua"/>
          <w:color w:val="000000"/>
        </w:rPr>
        <w:t xml:space="preserve">95%CI: </w:t>
      </w:r>
      <w:r>
        <w:rPr>
          <w:rStyle w:val="NingunoA"/>
          <w:rFonts w:ascii="Book Antiqua" w:eastAsia="Book Antiqua" w:hAnsi="Book Antiqua" w:cs="Book Antiqua"/>
          <w:color w:val="000000"/>
        </w:rPr>
        <w:t xml:space="preserve">0.05-0.13), and OS (HR 0.74; </w:t>
      </w:r>
      <w:r w:rsidR="00D01D0C">
        <w:rPr>
          <w:rStyle w:val="NingunoA"/>
          <w:rFonts w:ascii="Book Antiqua" w:eastAsia="Book Antiqua" w:hAnsi="Book Antiqua" w:cs="Book Antiqua"/>
          <w:color w:val="000000"/>
        </w:rPr>
        <w:t xml:space="preserve">95%CI: </w:t>
      </w:r>
      <w:r>
        <w:rPr>
          <w:rStyle w:val="NingunoA"/>
          <w:rFonts w:ascii="Book Antiqua" w:eastAsia="Book Antiqua" w:hAnsi="Book Antiqua" w:cs="Book Antiqua"/>
          <w:color w:val="000000"/>
        </w:rPr>
        <w:t xml:space="preserve">0.61-0.90). In terms of grade 3-4 toxicity, treatment with these agents was associated with significantly more AEs than placebo (HR 1.47; </w:t>
      </w:r>
      <w:r w:rsidR="00D01D0C">
        <w:rPr>
          <w:rStyle w:val="NingunoA"/>
          <w:rFonts w:ascii="Book Antiqua" w:eastAsia="Book Antiqua" w:hAnsi="Book Antiqua" w:cs="Book Antiqua"/>
          <w:color w:val="000000"/>
        </w:rPr>
        <w:t xml:space="preserve">95%CI: </w:t>
      </w:r>
      <w:r>
        <w:rPr>
          <w:rStyle w:val="NingunoA"/>
          <w:rFonts w:ascii="Book Antiqua" w:eastAsia="Book Antiqua" w:hAnsi="Book Antiqua" w:cs="Book Antiqua"/>
          <w:color w:val="000000"/>
        </w:rPr>
        <w:t>1.27-1.71).</w:t>
      </w:r>
    </w:p>
    <w:p w14:paraId="18CBA7A3" w14:textId="77777777" w:rsidR="00A77B3E" w:rsidRDefault="00A77B3E">
      <w:pPr>
        <w:spacing w:line="360" w:lineRule="auto"/>
        <w:jc w:val="both"/>
      </w:pPr>
    </w:p>
    <w:p w14:paraId="57EAC5D9" w14:textId="491DE50F" w:rsidR="00A77B3E" w:rsidRPr="009F6ADE" w:rsidRDefault="001C2110">
      <w:pPr>
        <w:spacing w:line="360" w:lineRule="auto"/>
        <w:jc w:val="both"/>
        <w:rPr>
          <w:i/>
          <w:iCs/>
        </w:rPr>
      </w:pPr>
      <w:r w:rsidRPr="009F6ADE">
        <w:rPr>
          <w:rStyle w:val="NingunoA"/>
          <w:rFonts w:ascii="Book Antiqua" w:eastAsia="Book Antiqua" w:hAnsi="Book Antiqua" w:cs="Book Antiqua"/>
          <w:b/>
          <w:bCs/>
          <w:i/>
          <w:iCs/>
          <w:color w:val="000000"/>
        </w:rPr>
        <w:t>Does local treatment provide any benefit in nmCRPC?</w:t>
      </w:r>
    </w:p>
    <w:p w14:paraId="64B4F810" w14:textId="1D27C863" w:rsidR="00A77B3E" w:rsidRDefault="001C2110">
      <w:pPr>
        <w:spacing w:line="360" w:lineRule="auto"/>
        <w:jc w:val="both"/>
      </w:pPr>
      <w:r>
        <w:rPr>
          <w:rStyle w:val="NingunoA"/>
          <w:rFonts w:ascii="Book Antiqua" w:eastAsia="Book Antiqua" w:hAnsi="Book Antiqua" w:cs="Book Antiqua"/>
          <w:color w:val="000000"/>
        </w:rPr>
        <w:t>There is no solid evidence that treatment (radiotherapy or surgery) of the primary tumor has any benefit in patients with PCa who subsequently develop nonmetastatic castration-resistance, although the findings of the STAMPEDE trial</w:t>
      </w:r>
      <w:r>
        <w:rPr>
          <w:rStyle w:val="Ninguno"/>
          <w:rFonts w:ascii="Book Antiqua" w:eastAsia="Book Antiqua" w:hAnsi="Book Antiqua" w:cs="Book Antiqua"/>
          <w:color w:val="000000"/>
          <w:szCs w:val="20"/>
          <w:vertAlign w:val="superscript"/>
        </w:rPr>
        <w:t>[14]</w:t>
      </w:r>
      <w:r w:rsidR="009F6ADE" w:rsidRPr="009F6ADE">
        <w:rPr>
          <w:rStyle w:val="Ninguno"/>
          <w:rFonts w:ascii="Book Antiqua" w:eastAsia="Book Antiqua" w:hAnsi="Book Antiqua" w:cs="Book Antiqua"/>
          <w:color w:val="000000"/>
          <w:szCs w:val="20"/>
        </w:rPr>
        <w:t xml:space="preserve"> </w:t>
      </w:r>
      <w:r>
        <w:rPr>
          <w:rStyle w:val="NingunoA"/>
          <w:rFonts w:ascii="Book Antiqua" w:eastAsia="Book Antiqua" w:hAnsi="Book Antiqua" w:cs="Book Antiqua"/>
          <w:color w:val="000000"/>
        </w:rPr>
        <w:t>demonstrated that hormone-sensitive metastatic patients with a low tumor burden who received radiotherapy presented better OS outcomes than untreated patients.</w:t>
      </w:r>
    </w:p>
    <w:p w14:paraId="68F90AAC" w14:textId="04DA136B"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 xml:space="preserve">A </w:t>
      </w:r>
      <w:r w:rsidRPr="00EC0FE4">
        <w:rPr>
          <w:rStyle w:val="NingunoA"/>
          <w:rFonts w:ascii="Book Antiqua" w:eastAsia="Book Antiqua" w:hAnsi="Book Antiqua" w:cs="Book Antiqua"/>
          <w:i/>
          <w:iCs/>
          <w:color w:val="000000"/>
        </w:rPr>
        <w:t>post</w:t>
      </w:r>
      <w:r w:rsidR="0050462D" w:rsidRPr="00EC0FE4">
        <w:rPr>
          <w:rStyle w:val="NingunoA"/>
          <w:rFonts w:ascii="Book Antiqua" w:eastAsia="Book Antiqua" w:hAnsi="Book Antiqua" w:cs="Book Antiqua"/>
          <w:i/>
          <w:iCs/>
          <w:color w:val="000000"/>
        </w:rPr>
        <w:t xml:space="preserve"> </w:t>
      </w:r>
      <w:r w:rsidRPr="00EC0FE4">
        <w:rPr>
          <w:rStyle w:val="NingunoA"/>
          <w:rFonts w:ascii="Book Antiqua" w:eastAsia="Book Antiqua" w:hAnsi="Book Antiqua" w:cs="Book Antiqua"/>
          <w:i/>
          <w:iCs/>
          <w:color w:val="000000"/>
        </w:rPr>
        <w:t>hoc</w:t>
      </w:r>
      <w:r>
        <w:rPr>
          <w:rStyle w:val="NingunoA"/>
          <w:rFonts w:ascii="Book Antiqua" w:eastAsia="Book Antiqua" w:hAnsi="Book Antiqua" w:cs="Book Antiqua"/>
          <w:color w:val="000000"/>
        </w:rPr>
        <w:t xml:space="preserve"> analysis of the SPARTAN </w:t>
      </w:r>
      <w:proofErr w:type="gramStart"/>
      <w:r>
        <w:rPr>
          <w:rStyle w:val="NingunoA"/>
          <w:rFonts w:ascii="Book Antiqua" w:eastAsia="Book Antiqua" w:hAnsi="Book Antiqua" w:cs="Book Antiqua"/>
          <w:color w:val="000000"/>
        </w:rPr>
        <w:t>trial</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15]</w:t>
      </w:r>
      <w:r w:rsidR="009F6ADE" w:rsidRPr="009F6ADE">
        <w:rPr>
          <w:rStyle w:val="Ninguno"/>
          <w:rFonts w:ascii="Book Antiqua" w:eastAsia="Book Antiqua" w:hAnsi="Book Antiqua" w:cs="Book Antiqua"/>
          <w:color w:val="000000"/>
          <w:szCs w:val="20"/>
        </w:rPr>
        <w:t xml:space="preserve"> </w:t>
      </w:r>
      <w:r>
        <w:rPr>
          <w:rStyle w:val="NingunoA"/>
          <w:rFonts w:ascii="Book Antiqua" w:eastAsia="Book Antiqua" w:hAnsi="Book Antiqua" w:cs="Book Antiqua"/>
          <w:color w:val="000000"/>
        </w:rPr>
        <w:t xml:space="preserve">assessed the impact of initial radical local treatment on OS. In patients who received local treatment, the hazard ratio for </w:t>
      </w:r>
      <w:r w:rsidR="00143FD9">
        <w:rPr>
          <w:rStyle w:val="Ninguno"/>
          <w:rFonts w:ascii="Book Antiqua" w:eastAsia="Book Antiqua" w:hAnsi="Book Antiqua" w:cs="Book Antiqua"/>
          <w:color w:val="000000"/>
        </w:rPr>
        <w:t>OS</w:t>
      </w:r>
      <w:r>
        <w:rPr>
          <w:rStyle w:val="NingunoA"/>
          <w:rFonts w:ascii="Book Antiqua" w:eastAsia="Book Antiqua" w:hAnsi="Book Antiqua" w:cs="Book Antiqua"/>
          <w:color w:val="000000"/>
        </w:rPr>
        <w:t xml:space="preserve"> was better in the apalutamide group (HR 0.67; </w:t>
      </w:r>
      <w:r w:rsidR="00D01D0C">
        <w:rPr>
          <w:rStyle w:val="NingunoA"/>
          <w:rFonts w:ascii="Book Antiqua" w:eastAsia="Book Antiqua" w:hAnsi="Book Antiqua" w:cs="Book Antiqua"/>
          <w:color w:val="000000"/>
        </w:rPr>
        <w:t xml:space="preserve">95%CI: </w:t>
      </w:r>
      <w:r>
        <w:rPr>
          <w:rStyle w:val="NingunoA"/>
          <w:rFonts w:ascii="Book Antiqua" w:eastAsia="Book Antiqua" w:hAnsi="Book Antiqua" w:cs="Book Antiqua"/>
          <w:color w:val="000000"/>
        </w:rPr>
        <w:t>0.45-0.98), with a clear and consistent separation between the apalutamide and placebo groups on the Kaplan-Meier OS curves after 15 mo. In the subset of patients who did not receive radical local treatment, although the HR was still favorable for the apalutamide group (HR, 0.82), it was not statistically significant.</w:t>
      </w:r>
    </w:p>
    <w:p w14:paraId="76586772" w14:textId="330EB1E3"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lastRenderedPageBreak/>
        <w:t>The mechanism by which local treatment impacts survival in patients with metastatic PCa is unknown. A plausible mechanism is that eradication (or debulking) of the local tumor may prevent future metastases from the primary tumor. Although this hypothesis should be interpreted cautiously, there is enormous interest in determining the value of definitive local treatment in patients with nmCRPC, an approach that warrants investigation in prospective studies.</w:t>
      </w:r>
    </w:p>
    <w:p w14:paraId="38856CC3" w14:textId="77777777" w:rsidR="00A77B3E" w:rsidRDefault="00A77B3E">
      <w:pPr>
        <w:spacing w:line="360" w:lineRule="auto"/>
        <w:jc w:val="both"/>
      </w:pPr>
    </w:p>
    <w:p w14:paraId="71AA417D" w14:textId="5034221E" w:rsidR="00A77B3E" w:rsidRPr="000B4581" w:rsidRDefault="001C2110">
      <w:pPr>
        <w:spacing w:line="360" w:lineRule="auto"/>
        <w:jc w:val="both"/>
        <w:rPr>
          <w:i/>
          <w:iCs/>
        </w:rPr>
      </w:pPr>
      <w:r w:rsidRPr="000B4581">
        <w:rPr>
          <w:rFonts w:ascii="Book Antiqua" w:eastAsia="Book Antiqua" w:hAnsi="Book Antiqua" w:cs="Book Antiqua"/>
          <w:b/>
          <w:bCs/>
          <w:i/>
          <w:iCs/>
          <w:color w:val="000000"/>
        </w:rPr>
        <w:t>What role do new imaging techniques play in patients with nmCRPC?</w:t>
      </w:r>
    </w:p>
    <w:p w14:paraId="1A0BFCE3" w14:textId="6C6636BB" w:rsidR="00A77B3E" w:rsidRDefault="001C2110">
      <w:pPr>
        <w:spacing w:line="360" w:lineRule="auto"/>
        <w:jc w:val="both"/>
      </w:pPr>
      <w:r>
        <w:rPr>
          <w:rFonts w:ascii="Book Antiqua" w:eastAsia="Book Antiqua" w:hAnsi="Book Antiqua" w:cs="Book Antiqua"/>
          <w:color w:val="000000"/>
        </w:rPr>
        <w:t>Conventional imaging tests</w:t>
      </w:r>
      <w:r w:rsidR="000B4581">
        <w:rPr>
          <w:rFonts w:ascii="Book Antiqua" w:eastAsia="Book Antiqua" w:hAnsi="Book Antiqua" w:cs="Book Antiqua"/>
          <w:color w:val="000000"/>
        </w:rPr>
        <w:t xml:space="preserve"> - </w:t>
      </w:r>
      <w:r>
        <w:rPr>
          <w:rFonts w:ascii="Book Antiqua" w:eastAsia="Book Antiqua" w:hAnsi="Book Antiqua" w:cs="Book Antiqua"/>
          <w:color w:val="000000"/>
        </w:rPr>
        <w:t>CT, bone scans, and pelvic magnetic resonance imaging</w:t>
      </w:r>
      <w:r w:rsidR="000B4581">
        <w:rPr>
          <w:rFonts w:ascii="Book Antiqua" w:eastAsia="Book Antiqua" w:hAnsi="Book Antiqua" w:cs="Book Antiqua"/>
          <w:color w:val="000000"/>
        </w:rPr>
        <w:t xml:space="preserve"> - </w:t>
      </w:r>
      <w:r>
        <w:rPr>
          <w:rFonts w:ascii="Book Antiqua" w:eastAsia="Book Antiqua" w:hAnsi="Book Antiqua" w:cs="Book Antiqua"/>
          <w:color w:val="000000"/>
        </w:rPr>
        <w:t>were performed in all three trials</w:t>
      </w:r>
      <w:r w:rsidR="0080534A">
        <w:rPr>
          <w:rFonts w:ascii="Book Antiqua" w:eastAsia="Book Antiqua" w:hAnsi="Book Antiqua" w:cs="Book Antiqua"/>
          <w:color w:val="000000"/>
        </w:rPr>
        <w:t>,</w:t>
      </w:r>
      <w:r>
        <w:rPr>
          <w:rFonts w:ascii="Book Antiqua" w:eastAsia="Book Antiqua" w:hAnsi="Book Antiqua" w:cs="Book Antiqua"/>
          <w:color w:val="000000"/>
        </w:rPr>
        <w:t xml:space="preserve"> and the overall evidence suggests that conventional imaging techniques are adequate. However, newer imaging modalities such as choline</w:t>
      </w:r>
      <w:r w:rsidR="00056A6B">
        <w:rPr>
          <w:rFonts w:ascii="Book Antiqua" w:eastAsia="Book Antiqua" w:hAnsi="Book Antiqua" w:cs="Book Antiqua"/>
          <w:color w:val="000000"/>
        </w:rPr>
        <w:t xml:space="preserve">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w:t>
      </w:r>
      <w:r w:rsidR="0080534A">
        <w:rPr>
          <w:rFonts w:ascii="Book Antiqua" w:eastAsia="Book Antiqua" w:hAnsi="Book Antiqua" w:cs="Book Antiqua"/>
          <w:color w:val="000000"/>
        </w:rPr>
        <w:t>prostate-specific membrane antigen positron emission tomography (PSMA-PET)</w:t>
      </w:r>
      <w:r>
        <w:rPr>
          <w:rFonts w:ascii="Book Antiqua" w:eastAsia="Book Antiqua" w:hAnsi="Book Antiqua" w:cs="Book Antiqua"/>
          <w:color w:val="000000"/>
        </w:rPr>
        <w:t xml:space="preserve">/CT have greater sensitivity and specificity than conventional imaging </w:t>
      </w:r>
      <w:proofErr w:type="gramStart"/>
      <w:r>
        <w:rPr>
          <w:rFonts w:ascii="Book Antiqua" w:eastAsia="Book Antiqua" w:hAnsi="Book Antiqua" w:cs="Book Antiqua"/>
          <w:color w:val="000000"/>
        </w:rPr>
        <w:t>tests</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16,17]</w:t>
      </w:r>
      <w:r w:rsidR="000B4581" w:rsidRPr="000B4581">
        <w:rPr>
          <w:rStyle w:val="Ninguno"/>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and are capable of detecting metastatic lesions that are not visible on conventional imaging. These more advanced imaging techniques could potentially provide important data to improve decision-making. In fact, the RADAR III </w:t>
      </w:r>
      <w:proofErr w:type="gramStart"/>
      <w:r>
        <w:rPr>
          <w:rFonts w:ascii="Book Antiqua" w:eastAsia="Book Antiqua" w:hAnsi="Book Antiqua" w:cs="Book Antiqua"/>
          <w:color w:val="000000"/>
        </w:rPr>
        <w:t>group</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18]</w:t>
      </w:r>
      <w:r w:rsidR="000B4581" w:rsidRPr="000B4581">
        <w:rPr>
          <w:rStyle w:val="Ninguno"/>
          <w:rFonts w:ascii="Book Antiqua" w:eastAsia="Book Antiqua" w:hAnsi="Book Antiqua" w:cs="Book Antiqua"/>
          <w:color w:val="000000"/>
          <w:szCs w:val="20"/>
        </w:rPr>
        <w:t xml:space="preserve"> </w:t>
      </w:r>
      <w:r>
        <w:rPr>
          <w:rFonts w:ascii="Book Antiqua" w:eastAsia="Book Antiqua" w:hAnsi="Book Antiqua" w:cs="Book Antiqua"/>
          <w:color w:val="000000"/>
        </w:rPr>
        <w:t>recently concluded that next-generation imaging techniques should be used in patients with nmCRPC who present a rapid (&lt; 6 mo) PSADT, provided that there is an appropriate treatment available to treat the metastases and alter the course of disease.</w:t>
      </w:r>
    </w:p>
    <w:p w14:paraId="3CBF4F97" w14:textId="34DC1855" w:rsidR="00A77B3E" w:rsidRDefault="001C2110" w:rsidP="000B4581">
      <w:pPr>
        <w:spacing w:line="360" w:lineRule="auto"/>
        <w:ind w:firstLineChars="100" w:firstLine="240"/>
        <w:jc w:val="both"/>
      </w:pPr>
      <w:r>
        <w:rPr>
          <w:rFonts w:ascii="Book Antiqua" w:eastAsia="Book Antiqua" w:hAnsi="Book Antiqua" w:cs="Book Antiqua"/>
          <w:color w:val="000000"/>
        </w:rPr>
        <w:t>The most relevant data published to date were reported by Fendler</w:t>
      </w:r>
      <w:r w:rsidR="000B4581" w:rsidRPr="000B4581">
        <w:rPr>
          <w:rStyle w:val="Ninguno"/>
          <w:rFonts w:ascii="Book Antiqua" w:eastAsia="Book Antiqua" w:hAnsi="Book Antiqua" w:cs="Book Antiqua"/>
          <w:color w:val="000000"/>
          <w:szCs w:val="20"/>
        </w:rPr>
        <w:t xml:space="preserve"> </w:t>
      </w:r>
      <w:r w:rsidRPr="000B4581">
        <w:rPr>
          <w:rFonts w:ascii="Book Antiqua" w:eastAsia="Book Antiqua" w:hAnsi="Book Antiqua" w:cs="Book Antiqua"/>
          <w:i/>
          <w:iCs/>
          <w:color w:val="000000"/>
        </w:rPr>
        <w:t>et al</w:t>
      </w:r>
      <w:r w:rsidR="000B4581">
        <w:rPr>
          <w:rStyle w:val="Ninguno"/>
          <w:rFonts w:ascii="Book Antiqua" w:eastAsia="Book Antiqua" w:hAnsi="Book Antiqua" w:cs="Book Antiqua"/>
          <w:color w:val="000000"/>
          <w:szCs w:val="20"/>
          <w:vertAlign w:val="superscript"/>
        </w:rPr>
        <w:t>[19]</w:t>
      </w:r>
      <w:r>
        <w:rPr>
          <w:rFonts w:ascii="Book Antiqua" w:eastAsia="Book Antiqua" w:hAnsi="Book Antiqua" w:cs="Book Antiqua"/>
          <w:color w:val="000000"/>
        </w:rPr>
        <w:t>, who retrospectively evaluated 200 patients with high-risk nmCRPC. In that study, the authors centrally reviewed data obtained by PSMA-PET imaging to determine the detection rate for pelvic disease and distant metastases, which was positive in 196 of the 200 patients evaluated. Overall</w:t>
      </w:r>
      <w:r w:rsidR="000B4581">
        <w:rPr>
          <w:rFonts w:ascii="Book Antiqua" w:eastAsia="Book Antiqua" w:hAnsi="Book Antiqua" w:cs="Book Antiqua"/>
          <w:color w:val="000000"/>
        </w:rPr>
        <w:t xml:space="preserve">, </w:t>
      </w:r>
      <w:r>
        <w:rPr>
          <w:rFonts w:ascii="Book Antiqua" w:eastAsia="Book Antiqua" w:hAnsi="Book Antiqua" w:cs="Book Antiqua"/>
          <w:color w:val="000000"/>
        </w:rPr>
        <w:t>despite negative conventional imaging studies</w:t>
      </w:r>
      <w:r w:rsidR="000B4581">
        <w:rPr>
          <w:rFonts w:ascii="Book Antiqua" w:eastAsia="Book Antiqua" w:hAnsi="Book Antiqua" w:cs="Book Antiqua"/>
          <w:color w:val="000000"/>
        </w:rPr>
        <w:t xml:space="preserve">, </w:t>
      </w:r>
      <w:r>
        <w:rPr>
          <w:rFonts w:ascii="Book Antiqua" w:eastAsia="Book Antiqua" w:hAnsi="Book Antiqua" w:cs="Book Antiqua"/>
          <w:color w:val="000000"/>
        </w:rPr>
        <w:t>PSMA-PET imaging revealed pelvic involvement in 44% of the sample (24% with local prostate bed recurrence) and M1 disease in 55%.</w:t>
      </w:r>
    </w:p>
    <w:p w14:paraId="125D34F7" w14:textId="77777777" w:rsidR="00A77B3E" w:rsidRDefault="00A77B3E">
      <w:pPr>
        <w:spacing w:line="360" w:lineRule="auto"/>
        <w:jc w:val="both"/>
      </w:pPr>
    </w:p>
    <w:p w14:paraId="1CC5AACB" w14:textId="7A9E4067" w:rsidR="00A77B3E" w:rsidRPr="000B4581" w:rsidRDefault="0038037F">
      <w:pPr>
        <w:spacing w:line="360" w:lineRule="auto"/>
        <w:jc w:val="both"/>
        <w:rPr>
          <w:i/>
          <w:iCs/>
        </w:rPr>
      </w:pPr>
      <w:r w:rsidRPr="000B4581">
        <w:rPr>
          <w:rStyle w:val="NingunoA"/>
          <w:rFonts w:ascii="Book Antiqua" w:eastAsia="Book Antiqua" w:hAnsi="Book Antiqua" w:cs="Book Antiqua"/>
          <w:b/>
          <w:bCs/>
          <w:i/>
          <w:iCs/>
          <w:color w:val="000000"/>
        </w:rPr>
        <w:t>QoL</w:t>
      </w:r>
      <w:r w:rsidR="001C2110" w:rsidRPr="000B4581">
        <w:rPr>
          <w:rStyle w:val="NingunoA"/>
          <w:rFonts w:ascii="Book Antiqua" w:eastAsia="Book Antiqua" w:hAnsi="Book Antiqua" w:cs="Book Antiqua"/>
          <w:b/>
          <w:bCs/>
          <w:i/>
          <w:iCs/>
          <w:color w:val="000000"/>
        </w:rPr>
        <w:t xml:space="preserve"> in nmCRPC</w:t>
      </w:r>
    </w:p>
    <w:p w14:paraId="6635F706" w14:textId="266ED5D3" w:rsidR="00A77B3E" w:rsidRDefault="001C2110">
      <w:pPr>
        <w:spacing w:line="360" w:lineRule="auto"/>
        <w:jc w:val="both"/>
      </w:pPr>
      <w:r>
        <w:rPr>
          <w:rStyle w:val="NingunoA"/>
          <w:rFonts w:ascii="Book Antiqua" w:eastAsia="Book Antiqua" w:hAnsi="Book Antiqua" w:cs="Book Antiqua"/>
          <w:color w:val="000000"/>
        </w:rPr>
        <w:t xml:space="preserve">All three trials evaluated treatment-related QoL. Overall, the findings from these three trials indicate that, in asymptomatic patients with high-risk nmCRPC, treatment with </w:t>
      </w:r>
      <w:r>
        <w:rPr>
          <w:rStyle w:val="NingunoA"/>
          <w:rFonts w:ascii="Book Antiqua" w:eastAsia="Book Antiqua" w:hAnsi="Book Antiqua" w:cs="Book Antiqua"/>
          <w:color w:val="000000"/>
        </w:rPr>
        <w:lastRenderedPageBreak/>
        <w:t xml:space="preserve">ARIs does not appear to </w:t>
      </w:r>
      <w:r w:rsidR="0080534A">
        <w:rPr>
          <w:rStyle w:val="NingunoA"/>
          <w:rFonts w:ascii="Book Antiqua" w:eastAsia="Book Antiqua" w:hAnsi="Book Antiqua" w:cs="Book Antiqua"/>
          <w:color w:val="000000"/>
        </w:rPr>
        <w:t xml:space="preserve">impact </w:t>
      </w:r>
      <w:r>
        <w:rPr>
          <w:rStyle w:val="NingunoA"/>
          <w:rFonts w:ascii="Book Antiqua" w:eastAsia="Book Antiqua" w:hAnsi="Book Antiqua" w:cs="Book Antiqua"/>
          <w:color w:val="000000"/>
        </w:rPr>
        <w:t xml:space="preserve">negatively health-related </w:t>
      </w:r>
      <w:proofErr w:type="gramStart"/>
      <w:r>
        <w:rPr>
          <w:rStyle w:val="NingunoA"/>
          <w:rFonts w:ascii="Book Antiqua" w:eastAsia="Book Antiqua" w:hAnsi="Book Antiqua" w:cs="Book Antiqua"/>
          <w:color w:val="000000"/>
        </w:rPr>
        <w:t>QoL</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20]</w:t>
      </w:r>
      <w:r>
        <w:rPr>
          <w:rStyle w:val="NingunoA"/>
          <w:rFonts w:ascii="Book Antiqua" w:eastAsia="Book Antiqua" w:hAnsi="Book Antiqua" w:cs="Book Antiqua"/>
          <w:color w:val="000000"/>
        </w:rPr>
        <w:t xml:space="preserve">. In recent years, the association between second-generation antiandrogens and </w:t>
      </w:r>
      <w:r w:rsidR="0080534A">
        <w:rPr>
          <w:rStyle w:val="NingunoA"/>
          <w:rFonts w:ascii="Book Antiqua" w:eastAsia="Book Antiqua" w:hAnsi="Book Antiqua" w:cs="Book Antiqua"/>
          <w:color w:val="000000"/>
        </w:rPr>
        <w:t>health-related QoL</w:t>
      </w:r>
      <w:r>
        <w:rPr>
          <w:rStyle w:val="NingunoA"/>
          <w:rFonts w:ascii="Book Antiqua" w:eastAsia="Book Antiqua" w:hAnsi="Book Antiqua" w:cs="Book Antiqua"/>
          <w:color w:val="000000"/>
        </w:rPr>
        <w:t xml:space="preserve"> has been assessed not only in </w:t>
      </w:r>
      <w:proofErr w:type="spellStart"/>
      <w:r>
        <w:rPr>
          <w:rStyle w:val="NingunoA"/>
          <w:rFonts w:ascii="Book Antiqua" w:eastAsia="Book Antiqua" w:hAnsi="Book Antiqua" w:cs="Book Antiqua"/>
          <w:color w:val="000000"/>
        </w:rPr>
        <w:t>nmCRPC</w:t>
      </w:r>
      <w:proofErr w:type="spellEnd"/>
      <w:r>
        <w:rPr>
          <w:rStyle w:val="NingunoA"/>
          <w:rFonts w:ascii="Book Antiqua" w:eastAsia="Book Antiqua" w:hAnsi="Book Antiqua" w:cs="Book Antiqua"/>
          <w:color w:val="000000"/>
        </w:rPr>
        <w:t xml:space="preserve"> but also in hormone-sensitive metastatic prostate cancer. The available data strongly support the use of these drugs, which have proven efficacious with acceptable treatment-related toxicity that does not negatively impact QoL. In short, the introduction of these new agents has generated a revolutionary impact in the treatment of patients with nmCRPC.</w:t>
      </w:r>
    </w:p>
    <w:p w14:paraId="3F5293BF" w14:textId="77777777" w:rsidR="00A77B3E" w:rsidRDefault="00A77B3E">
      <w:pPr>
        <w:spacing w:line="360" w:lineRule="auto"/>
        <w:jc w:val="both"/>
      </w:pPr>
    </w:p>
    <w:p w14:paraId="5DFAD5CF" w14:textId="77777777" w:rsidR="00A77B3E" w:rsidRDefault="001C2110">
      <w:pPr>
        <w:spacing w:line="360" w:lineRule="auto"/>
        <w:jc w:val="both"/>
      </w:pPr>
      <w:r>
        <w:rPr>
          <w:rFonts w:ascii="Book Antiqua" w:eastAsia="Book Antiqua" w:hAnsi="Book Antiqua" w:cs="Book Antiqua"/>
          <w:b/>
          <w:caps/>
          <w:color w:val="000000"/>
          <w:u w:val="single"/>
        </w:rPr>
        <w:t>CONCLUSION</w:t>
      </w:r>
    </w:p>
    <w:p w14:paraId="7AE954B7" w14:textId="4D4FE179" w:rsidR="00A77B3E" w:rsidRDefault="001C2110">
      <w:pPr>
        <w:spacing w:line="360" w:lineRule="auto"/>
        <w:jc w:val="both"/>
      </w:pPr>
      <w:r>
        <w:rPr>
          <w:rStyle w:val="NingunoA"/>
          <w:rFonts w:ascii="Book Antiqua" w:eastAsia="Book Antiqua" w:hAnsi="Book Antiqua" w:cs="Book Antiqua"/>
          <w:color w:val="000000"/>
        </w:rPr>
        <w:t>To conclude, nonmetastatic CRPC is a heterogeneous, aggressive, and lethal clinical disease. If left untreated, most high-risk nmCRPC patients develop significant symptoms with a substantial deterioration in QoL, leading to a rapid death. However, the published data from clinical trials have shown that treatment with these novel ARIs (</w:t>
      </w:r>
      <w:r>
        <w:rPr>
          <w:rStyle w:val="Ninguno"/>
          <w:rFonts w:ascii="Book Antiqua" w:eastAsia="Book Antiqua" w:hAnsi="Book Antiqua" w:cs="Book Antiqua"/>
          <w:color w:val="000000"/>
        </w:rPr>
        <w:t>enzalutamide, apalutamide, and darolutamide)</w:t>
      </w:r>
      <w:r w:rsidR="000B4581">
        <w:rPr>
          <w:rStyle w:val="Ninguno"/>
          <w:rFonts w:ascii="Book Antiqua" w:eastAsia="Book Antiqua" w:hAnsi="Book Antiqua" w:cs="Book Antiqua"/>
          <w:color w:val="000000"/>
        </w:rPr>
        <w:t xml:space="preserve"> </w:t>
      </w:r>
      <w:r>
        <w:rPr>
          <w:rStyle w:val="NingunoA"/>
          <w:rFonts w:ascii="Book Antiqua" w:eastAsia="Book Antiqua" w:hAnsi="Book Antiqua" w:cs="Book Antiqua"/>
          <w:color w:val="000000"/>
        </w:rPr>
        <w:t xml:space="preserve">significantly improves MFS, OS, and </w:t>
      </w:r>
      <w:r w:rsidR="0038037F">
        <w:rPr>
          <w:rStyle w:val="Ninguno"/>
          <w:rFonts w:ascii="Book Antiqua" w:eastAsia="Book Antiqua" w:hAnsi="Book Antiqua" w:cs="Book Antiqua"/>
          <w:color w:val="000000"/>
        </w:rPr>
        <w:t>QoL</w:t>
      </w:r>
      <w:r>
        <w:rPr>
          <w:rStyle w:val="NingunoA"/>
          <w:rFonts w:ascii="Book Antiqua" w:eastAsia="Book Antiqua" w:hAnsi="Book Antiqua" w:cs="Book Antiqua"/>
          <w:color w:val="000000"/>
        </w:rPr>
        <w:t>. Moreover, all of these agents have a low toxicity profile and can therefore be used safely.</w:t>
      </w:r>
    </w:p>
    <w:p w14:paraId="49BAA27C" w14:textId="77777777" w:rsidR="00A77B3E" w:rsidRDefault="00A77B3E">
      <w:pPr>
        <w:spacing w:line="360" w:lineRule="auto"/>
        <w:jc w:val="both"/>
      </w:pPr>
    </w:p>
    <w:p w14:paraId="17F858D9" w14:textId="77777777" w:rsidR="00A77B3E" w:rsidRDefault="001C2110">
      <w:pPr>
        <w:spacing w:line="360" w:lineRule="auto"/>
        <w:jc w:val="both"/>
      </w:pPr>
      <w:r>
        <w:rPr>
          <w:rFonts w:ascii="Book Antiqua" w:eastAsia="Book Antiqua" w:hAnsi="Book Antiqua" w:cs="Book Antiqua"/>
          <w:b/>
          <w:color w:val="000000"/>
        </w:rPr>
        <w:t>REFERENCES</w:t>
      </w:r>
    </w:p>
    <w:p w14:paraId="2D754297" w14:textId="77777777" w:rsidR="00A77B3E" w:rsidRDefault="001C211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Scher HI</w:t>
      </w:r>
      <w:r>
        <w:rPr>
          <w:rFonts w:ascii="Book Antiqua" w:eastAsia="Book Antiqua" w:hAnsi="Book Antiqua" w:cs="Book Antiqua"/>
          <w:color w:val="000000"/>
        </w:rPr>
        <w:t xml:space="preserve">, Morris MJ, Stadler WM, </w:t>
      </w:r>
      <w:proofErr w:type="spellStart"/>
      <w:r>
        <w:rPr>
          <w:rFonts w:ascii="Book Antiqua" w:eastAsia="Book Antiqua" w:hAnsi="Book Antiqua" w:cs="Book Antiqua"/>
          <w:color w:val="000000"/>
        </w:rPr>
        <w:t>Higano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Basch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Antonarakis</w:t>
      </w:r>
      <w:proofErr w:type="spellEnd"/>
      <w:r>
        <w:rPr>
          <w:rFonts w:ascii="Book Antiqua" w:eastAsia="Book Antiqua" w:hAnsi="Book Antiqua" w:cs="Book Antiqua"/>
          <w:color w:val="000000"/>
        </w:rPr>
        <w:t xml:space="preserve"> ES, Beer TM, Carducci MA, Chi KN, Corn PG, de Bono JS, </w:t>
      </w:r>
      <w:proofErr w:type="spellStart"/>
      <w:r>
        <w:rPr>
          <w:rFonts w:ascii="Book Antiqua" w:eastAsia="Book Antiqua" w:hAnsi="Book Antiqua" w:cs="Book Antiqua"/>
          <w:color w:val="000000"/>
        </w:rPr>
        <w:t>Dreicer</w:t>
      </w:r>
      <w:proofErr w:type="spellEnd"/>
      <w:r>
        <w:rPr>
          <w:rFonts w:ascii="Book Antiqua" w:eastAsia="Book Antiqua" w:hAnsi="Book Antiqua" w:cs="Book Antiqua"/>
          <w:color w:val="000000"/>
        </w:rPr>
        <w:t xml:space="preserve"> R, George DJ, Heath EI, Hussain M, Kelly WK, Liu G, </w:t>
      </w:r>
      <w:proofErr w:type="spellStart"/>
      <w:r>
        <w:rPr>
          <w:rFonts w:ascii="Book Antiqua" w:eastAsia="Book Antiqua" w:hAnsi="Book Antiqua" w:cs="Book Antiqua"/>
          <w:color w:val="000000"/>
        </w:rPr>
        <w:t>Logothetis</w:t>
      </w:r>
      <w:proofErr w:type="spellEnd"/>
      <w:r>
        <w:rPr>
          <w:rFonts w:ascii="Book Antiqua" w:eastAsia="Book Antiqua" w:hAnsi="Book Antiqua" w:cs="Book Antiqua"/>
          <w:color w:val="000000"/>
        </w:rPr>
        <w:t xml:space="preserve"> C, Nanus D, Stein MN, </w:t>
      </w:r>
      <w:proofErr w:type="spellStart"/>
      <w:r>
        <w:rPr>
          <w:rFonts w:ascii="Book Antiqua" w:eastAsia="Book Antiqua" w:hAnsi="Book Antiqua" w:cs="Book Antiqua"/>
          <w:color w:val="000000"/>
        </w:rPr>
        <w:t>Rathkopf</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Slovin</w:t>
      </w:r>
      <w:proofErr w:type="spellEnd"/>
      <w:r>
        <w:rPr>
          <w:rFonts w:ascii="Book Antiqua" w:eastAsia="Book Antiqua" w:hAnsi="Book Antiqua" w:cs="Book Antiqua"/>
          <w:color w:val="000000"/>
        </w:rPr>
        <w:t xml:space="preserve"> SF, Ryan CJ, Sartor O, Small EJ, Smith MR, Sternberg CN, Taplin ME, Wilding G, Nelson PS, Schwartz LH, </w:t>
      </w:r>
      <w:proofErr w:type="spellStart"/>
      <w:r>
        <w:rPr>
          <w:rFonts w:ascii="Book Antiqua" w:eastAsia="Book Antiqua" w:hAnsi="Book Antiqua" w:cs="Book Antiqua"/>
          <w:color w:val="000000"/>
        </w:rPr>
        <w:t>Halabi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Kantoff</w:t>
      </w:r>
      <w:proofErr w:type="spellEnd"/>
      <w:r>
        <w:rPr>
          <w:rFonts w:ascii="Book Antiqua" w:eastAsia="Book Antiqua" w:hAnsi="Book Antiqua" w:cs="Book Antiqua"/>
          <w:color w:val="000000"/>
        </w:rPr>
        <w:t xml:space="preserve"> PW, Armstrong AJ; Prostate Cancer Clinical Trials Working Group 3. Trial Design and Objectives for Castration-Resistant Prostate Cancer: Updated Recommendations From the Prostate Cancer Clinical Trials Working Group 3.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1402-1418 [PMID: 26903579 DOI: 10.1200/JCO.2015.64.2702]</w:t>
      </w:r>
    </w:p>
    <w:p w14:paraId="068878D2" w14:textId="77777777" w:rsidR="00A77B3E" w:rsidRDefault="001C211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Smith MR</w:t>
      </w:r>
      <w:r>
        <w:rPr>
          <w:rFonts w:ascii="Book Antiqua" w:eastAsia="Book Antiqua" w:hAnsi="Book Antiqua" w:cs="Book Antiqua"/>
          <w:color w:val="000000"/>
        </w:rPr>
        <w:t xml:space="preserve">, Saad F, Coleman R, Shore N, </w:t>
      </w:r>
      <w:proofErr w:type="spellStart"/>
      <w:r>
        <w:rPr>
          <w:rFonts w:ascii="Book Antiqua" w:eastAsia="Book Antiqua" w:hAnsi="Book Antiqua" w:cs="Book Antiqua"/>
          <w:color w:val="000000"/>
        </w:rPr>
        <w:t>Fizazi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Tombal</w:t>
      </w:r>
      <w:proofErr w:type="spellEnd"/>
      <w:r>
        <w:rPr>
          <w:rFonts w:ascii="Book Antiqua" w:eastAsia="Book Antiqua" w:hAnsi="Book Antiqua" w:cs="Book Antiqua"/>
          <w:color w:val="000000"/>
        </w:rPr>
        <w:t xml:space="preserve"> B, Miller K,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P, Karsh L, </w:t>
      </w:r>
      <w:proofErr w:type="spellStart"/>
      <w:r>
        <w:rPr>
          <w:rFonts w:ascii="Book Antiqua" w:eastAsia="Book Antiqua" w:hAnsi="Book Antiqua" w:cs="Book Antiqua"/>
          <w:color w:val="000000"/>
        </w:rPr>
        <w:t>Damião</w:t>
      </w:r>
      <w:proofErr w:type="spellEnd"/>
      <w:r>
        <w:rPr>
          <w:rFonts w:ascii="Book Antiqua" w:eastAsia="Book Antiqua" w:hAnsi="Book Antiqua" w:cs="Book Antiqua"/>
          <w:color w:val="000000"/>
        </w:rPr>
        <w:t xml:space="preserve"> R, Tammela TL, </w:t>
      </w:r>
      <w:proofErr w:type="spellStart"/>
      <w:r>
        <w:rPr>
          <w:rFonts w:ascii="Book Antiqua" w:eastAsia="Book Antiqua" w:hAnsi="Book Antiqua" w:cs="Book Antiqua"/>
          <w:color w:val="000000"/>
        </w:rPr>
        <w:t>Egerdie</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Poppel</w:t>
      </w:r>
      <w:proofErr w:type="spellEnd"/>
      <w:r>
        <w:rPr>
          <w:rFonts w:ascii="Book Antiqua" w:eastAsia="Book Antiqua" w:hAnsi="Book Antiqua" w:cs="Book Antiqua"/>
          <w:color w:val="000000"/>
        </w:rPr>
        <w:t xml:space="preserve"> H, Chin J, </w:t>
      </w:r>
      <w:proofErr w:type="spellStart"/>
      <w:r>
        <w:rPr>
          <w:rFonts w:ascii="Book Antiqua" w:eastAsia="Book Antiqua" w:hAnsi="Book Antiqua" w:cs="Book Antiqua"/>
          <w:color w:val="000000"/>
        </w:rPr>
        <w:t>Morote</w:t>
      </w:r>
      <w:proofErr w:type="spellEnd"/>
      <w:r>
        <w:rPr>
          <w:rFonts w:ascii="Book Antiqua" w:eastAsia="Book Antiqua" w:hAnsi="Book Antiqua" w:cs="Book Antiqua"/>
          <w:color w:val="000000"/>
        </w:rPr>
        <w:t xml:space="preserve"> J, Gómez-</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 F, Borkowski T, Ye Z, </w:t>
      </w:r>
      <w:proofErr w:type="spellStart"/>
      <w:r>
        <w:rPr>
          <w:rFonts w:ascii="Book Antiqua" w:eastAsia="Book Antiqua" w:hAnsi="Book Antiqua" w:cs="Book Antiqua"/>
          <w:color w:val="000000"/>
        </w:rPr>
        <w:t>Kupic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Dansey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Goessl</w:t>
      </w:r>
      <w:proofErr w:type="spellEnd"/>
      <w:r>
        <w:rPr>
          <w:rFonts w:ascii="Book Antiqua" w:eastAsia="Book Antiqua" w:hAnsi="Book Antiqua" w:cs="Book Antiqua"/>
          <w:color w:val="000000"/>
        </w:rPr>
        <w:t xml:space="preserve"> C. Denosumab and bone-metastasis-free survival in men with castration-resistant prostate cancer: results of a phase 3, </w:t>
      </w:r>
      <w:proofErr w:type="spellStart"/>
      <w:r>
        <w:rPr>
          <w:rFonts w:ascii="Book Antiqua" w:eastAsia="Book Antiqua" w:hAnsi="Book Antiqua" w:cs="Book Antiqua"/>
          <w:color w:val="000000"/>
        </w:rPr>
        <w:lastRenderedPageBreak/>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39-46 [PMID: 22093187 DOI: 10.1016/S0140-6736(11)61226-9]</w:t>
      </w:r>
    </w:p>
    <w:p w14:paraId="3C8FBB39" w14:textId="77777777" w:rsidR="00A77B3E" w:rsidRDefault="001C211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Smith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Kabbinavar</w:t>
      </w:r>
      <w:proofErr w:type="spellEnd"/>
      <w:r>
        <w:rPr>
          <w:rFonts w:ascii="Book Antiqua" w:eastAsia="Book Antiqua" w:hAnsi="Book Antiqua" w:cs="Book Antiqua"/>
          <w:color w:val="000000"/>
        </w:rPr>
        <w:t xml:space="preserve"> F, Saad F, Hussain A, </w:t>
      </w:r>
      <w:proofErr w:type="spellStart"/>
      <w:r>
        <w:rPr>
          <w:rFonts w:ascii="Book Antiqua" w:eastAsia="Book Antiqua" w:hAnsi="Book Antiqua" w:cs="Book Antiqua"/>
          <w:color w:val="000000"/>
        </w:rPr>
        <w:t>Gittelman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Bilhartz</w:t>
      </w:r>
      <w:proofErr w:type="spellEnd"/>
      <w:r>
        <w:rPr>
          <w:rFonts w:ascii="Book Antiqua" w:eastAsia="Book Antiqua" w:hAnsi="Book Antiqua" w:cs="Book Antiqua"/>
          <w:color w:val="000000"/>
        </w:rPr>
        <w:t xml:space="preserve"> DL, Wynne C, Murray R, </w:t>
      </w:r>
      <w:proofErr w:type="spellStart"/>
      <w:r>
        <w:rPr>
          <w:rFonts w:ascii="Book Antiqua" w:eastAsia="Book Antiqua" w:hAnsi="Book Antiqua" w:cs="Book Antiqua"/>
          <w:color w:val="000000"/>
        </w:rPr>
        <w:t>Zinner</w:t>
      </w:r>
      <w:proofErr w:type="spellEnd"/>
      <w:r>
        <w:rPr>
          <w:rFonts w:ascii="Book Antiqua" w:eastAsia="Book Antiqua" w:hAnsi="Book Antiqua" w:cs="Book Antiqua"/>
          <w:color w:val="000000"/>
        </w:rPr>
        <w:t xml:space="preserve"> NR, Schulman C, </w:t>
      </w:r>
      <w:proofErr w:type="spellStart"/>
      <w:r>
        <w:rPr>
          <w:rFonts w:ascii="Book Antiqua" w:eastAsia="Book Antiqua" w:hAnsi="Book Antiqua" w:cs="Book Antiqua"/>
          <w:color w:val="000000"/>
        </w:rPr>
        <w:t>Linnartz</w:t>
      </w:r>
      <w:proofErr w:type="spellEnd"/>
      <w:r>
        <w:rPr>
          <w:rFonts w:ascii="Book Antiqua" w:eastAsia="Book Antiqua" w:hAnsi="Book Antiqua" w:cs="Book Antiqua"/>
          <w:color w:val="000000"/>
        </w:rPr>
        <w:t xml:space="preserve"> R, Zheng M, </w:t>
      </w:r>
      <w:proofErr w:type="spellStart"/>
      <w:r>
        <w:rPr>
          <w:rFonts w:ascii="Book Antiqua" w:eastAsia="Book Antiqua" w:hAnsi="Book Antiqua" w:cs="Book Antiqua"/>
          <w:color w:val="000000"/>
        </w:rPr>
        <w:t>Goessl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Hei</w:t>
      </w:r>
      <w:proofErr w:type="spellEnd"/>
      <w:r>
        <w:rPr>
          <w:rFonts w:ascii="Book Antiqua" w:eastAsia="Book Antiqua" w:hAnsi="Book Antiqua" w:cs="Book Antiqua"/>
          <w:color w:val="000000"/>
        </w:rPr>
        <w:t xml:space="preserve"> YJ, Small EJ, Cook R, </w:t>
      </w:r>
      <w:proofErr w:type="spellStart"/>
      <w:r>
        <w:rPr>
          <w:rFonts w:ascii="Book Antiqua" w:eastAsia="Book Antiqua" w:hAnsi="Book Antiqua" w:cs="Book Antiqua"/>
          <w:color w:val="000000"/>
        </w:rPr>
        <w:t>Higano</w:t>
      </w:r>
      <w:proofErr w:type="spellEnd"/>
      <w:r>
        <w:rPr>
          <w:rFonts w:ascii="Book Antiqua" w:eastAsia="Book Antiqua" w:hAnsi="Book Antiqua" w:cs="Book Antiqua"/>
          <w:color w:val="000000"/>
        </w:rPr>
        <w:t xml:space="preserve"> CS. Natural history of rising serum prostate-specific antigen in men with castrate nonmetastatic prostate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2918-2925 [PMID: 15860850 DOI: 10.1200/JCO.2005.01.529]</w:t>
      </w:r>
    </w:p>
    <w:p w14:paraId="710E569E" w14:textId="77777777" w:rsidR="00A77B3E" w:rsidRDefault="001C211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Smith MR</w:t>
      </w:r>
      <w:r>
        <w:rPr>
          <w:rFonts w:ascii="Book Antiqua" w:eastAsia="Book Antiqua" w:hAnsi="Book Antiqua" w:cs="Book Antiqua"/>
          <w:color w:val="000000"/>
        </w:rPr>
        <w:t xml:space="preserve">, Saad F, Chowdhury S, </w:t>
      </w:r>
      <w:proofErr w:type="spellStart"/>
      <w:r>
        <w:rPr>
          <w:rFonts w:ascii="Book Antiqua" w:eastAsia="Book Antiqua" w:hAnsi="Book Antiqua" w:cs="Book Antiqua"/>
          <w:color w:val="000000"/>
        </w:rPr>
        <w:t>Oudard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Hadaschik</w:t>
      </w:r>
      <w:proofErr w:type="spellEnd"/>
      <w:r>
        <w:rPr>
          <w:rFonts w:ascii="Book Antiqua" w:eastAsia="Book Antiqua" w:hAnsi="Book Antiqua" w:cs="Book Antiqua"/>
          <w:color w:val="000000"/>
        </w:rPr>
        <w:t xml:space="preserve"> BA, Graff JN, Olmos D, Mainwaring PN, Lee JY,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H, Lopez-</w:t>
      </w:r>
      <w:proofErr w:type="spellStart"/>
      <w:r>
        <w:rPr>
          <w:rFonts w:ascii="Book Antiqua" w:eastAsia="Book Antiqua" w:hAnsi="Book Antiqua" w:cs="Book Antiqua"/>
          <w:color w:val="000000"/>
        </w:rPr>
        <w:t>Gitlitz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Trudel</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Espina</w:t>
      </w:r>
      <w:proofErr w:type="spellEnd"/>
      <w:r>
        <w:rPr>
          <w:rFonts w:ascii="Book Antiqua" w:eastAsia="Book Antiqua" w:hAnsi="Book Antiqua" w:cs="Book Antiqua"/>
          <w:color w:val="000000"/>
        </w:rPr>
        <w:t xml:space="preserve"> BM, Shu Y, Park YC, </w:t>
      </w:r>
      <w:proofErr w:type="spellStart"/>
      <w:r>
        <w:rPr>
          <w:rFonts w:ascii="Book Antiqua" w:eastAsia="Book Antiqua" w:hAnsi="Book Antiqua" w:cs="Book Antiqua"/>
          <w:color w:val="000000"/>
        </w:rPr>
        <w:t>Rackoff</w:t>
      </w:r>
      <w:proofErr w:type="spellEnd"/>
      <w:r>
        <w:rPr>
          <w:rFonts w:ascii="Book Antiqua" w:eastAsia="Book Antiqua" w:hAnsi="Book Antiqua" w:cs="Book Antiqua"/>
          <w:color w:val="000000"/>
        </w:rPr>
        <w:t xml:space="preserve"> WR, Yu MK, Small EJ; SPARTAN Investigators. Apalutamide Treatment and Metastasis-free Survival in Prostate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1408-1418 [PMID: 29420164 DOI: 10.1056/NEJMoa1715546]</w:t>
      </w:r>
    </w:p>
    <w:p w14:paraId="4E1DCE3A" w14:textId="77777777" w:rsidR="00A77B3E" w:rsidRDefault="001C211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Hussain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Fizazi</w:t>
      </w:r>
      <w:proofErr w:type="spellEnd"/>
      <w:r>
        <w:rPr>
          <w:rFonts w:ascii="Book Antiqua" w:eastAsia="Book Antiqua" w:hAnsi="Book Antiqua" w:cs="Book Antiqua"/>
          <w:color w:val="000000"/>
        </w:rPr>
        <w:t xml:space="preserve"> K, Saad F, </w:t>
      </w:r>
      <w:proofErr w:type="spellStart"/>
      <w:r>
        <w:rPr>
          <w:rFonts w:ascii="Book Antiqua" w:eastAsia="Book Antiqua" w:hAnsi="Book Antiqua" w:cs="Book Antiqua"/>
          <w:color w:val="000000"/>
        </w:rPr>
        <w:t>Rathenborg</w:t>
      </w:r>
      <w:proofErr w:type="spellEnd"/>
      <w:r>
        <w:rPr>
          <w:rFonts w:ascii="Book Antiqua" w:eastAsia="Book Antiqua" w:hAnsi="Book Antiqua" w:cs="Book Antiqua"/>
          <w:color w:val="000000"/>
        </w:rPr>
        <w:t xml:space="preserve"> P, Shore N, Ferreira U, </w:t>
      </w:r>
      <w:proofErr w:type="spellStart"/>
      <w:r>
        <w:rPr>
          <w:rFonts w:ascii="Book Antiqua" w:eastAsia="Book Antiqua" w:hAnsi="Book Antiqua" w:cs="Book Antiqua"/>
          <w:color w:val="000000"/>
        </w:rPr>
        <w:t>Ivashchenko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Demirhan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Modelska</w:t>
      </w:r>
      <w:proofErr w:type="spellEnd"/>
      <w:r>
        <w:rPr>
          <w:rFonts w:ascii="Book Antiqua" w:eastAsia="Book Antiqua" w:hAnsi="Book Antiqua" w:cs="Book Antiqua"/>
          <w:color w:val="000000"/>
        </w:rPr>
        <w:t xml:space="preserve"> K, Phung, </w:t>
      </w:r>
      <w:proofErr w:type="spellStart"/>
      <w:r>
        <w:rPr>
          <w:rFonts w:ascii="Book Antiqua" w:eastAsia="Book Antiqua" w:hAnsi="Book Antiqua" w:cs="Book Antiqua"/>
          <w:color w:val="000000"/>
        </w:rPr>
        <w:t>Krivoshik</w:t>
      </w:r>
      <w:proofErr w:type="spellEnd"/>
      <w:r>
        <w:rPr>
          <w:rFonts w:ascii="Book Antiqua" w:eastAsia="Book Antiqua" w:hAnsi="Book Antiqua" w:cs="Book Antiqua"/>
          <w:color w:val="000000"/>
        </w:rPr>
        <w:t xml:space="preserve"> A, Sternberg CN. Enzalutamide in Men with Nonmetastatic, Castration-Resistant Prostate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2465-2474 [PMID: 29949494 DOI: 10.1056/NEJMoa1800536]</w:t>
      </w:r>
    </w:p>
    <w:p w14:paraId="687D7763" w14:textId="77777777" w:rsidR="00A77B3E" w:rsidRDefault="001C211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Fizazi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Shore N, Tammela TL, </w:t>
      </w:r>
      <w:proofErr w:type="spellStart"/>
      <w:r>
        <w:rPr>
          <w:rFonts w:ascii="Book Antiqua" w:eastAsia="Book Antiqua" w:hAnsi="Book Antiqua" w:cs="Book Antiqua"/>
          <w:color w:val="000000"/>
        </w:rPr>
        <w:t>Ulys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Vjaters</w:t>
      </w:r>
      <w:proofErr w:type="spellEnd"/>
      <w:r>
        <w:rPr>
          <w:rFonts w:ascii="Book Antiqua" w:eastAsia="Book Antiqua" w:hAnsi="Book Antiqua" w:cs="Book Antiqua"/>
          <w:color w:val="000000"/>
        </w:rPr>
        <w:t xml:space="preserve"> E, Polyakov S, </w:t>
      </w:r>
      <w:proofErr w:type="spellStart"/>
      <w:r>
        <w:rPr>
          <w:rFonts w:ascii="Book Antiqua" w:eastAsia="Book Antiqua" w:hAnsi="Book Antiqua" w:cs="Book Antiqua"/>
          <w:color w:val="000000"/>
        </w:rPr>
        <w:t>Jievaltas</w:t>
      </w:r>
      <w:proofErr w:type="spellEnd"/>
      <w:r>
        <w:rPr>
          <w:rFonts w:ascii="Book Antiqua" w:eastAsia="Book Antiqua" w:hAnsi="Book Antiqua" w:cs="Book Antiqua"/>
          <w:color w:val="000000"/>
        </w:rPr>
        <w:t xml:space="preserve"> M, Luz M, Alekseev B, </w:t>
      </w:r>
      <w:proofErr w:type="spellStart"/>
      <w:r>
        <w:rPr>
          <w:rFonts w:ascii="Book Antiqua" w:eastAsia="Book Antiqua" w:hAnsi="Book Antiqua" w:cs="Book Antiqua"/>
          <w:color w:val="000000"/>
        </w:rPr>
        <w:t>Kuss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Kappeler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Snapir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Sarapohja</w:t>
      </w:r>
      <w:proofErr w:type="spellEnd"/>
      <w:r>
        <w:rPr>
          <w:rFonts w:ascii="Book Antiqua" w:eastAsia="Book Antiqua" w:hAnsi="Book Antiqua" w:cs="Book Antiqua"/>
          <w:color w:val="000000"/>
        </w:rPr>
        <w:t xml:space="preserve"> T, Smith MR; ARAMIS Investigators. Darolutamide in Nonmetastatic, Castration-Resistant Prostate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1235-1246 [PMID: 30763142 DOI: 10.1056/NEJMoa1815671]</w:t>
      </w:r>
    </w:p>
    <w:p w14:paraId="3059F585" w14:textId="77777777" w:rsidR="00A77B3E" w:rsidRDefault="001C211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Regan MM, </w:t>
      </w:r>
      <w:proofErr w:type="spellStart"/>
      <w:r>
        <w:rPr>
          <w:rFonts w:ascii="Book Antiqua" w:eastAsia="Book Antiqua" w:hAnsi="Book Antiqua" w:cs="Book Antiqua"/>
          <w:color w:val="000000"/>
        </w:rPr>
        <w:t>Buyse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Halabi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Kantoff</w:t>
      </w:r>
      <w:proofErr w:type="spellEnd"/>
      <w:r>
        <w:rPr>
          <w:rFonts w:ascii="Book Antiqua" w:eastAsia="Book Antiqua" w:hAnsi="Book Antiqua" w:cs="Book Antiqua"/>
          <w:color w:val="000000"/>
        </w:rPr>
        <w:t xml:space="preserve"> PW, Sartor O, Soule H, Clarke NW, Collette L, Dignam JJ, </w:t>
      </w:r>
      <w:proofErr w:type="spellStart"/>
      <w:r>
        <w:rPr>
          <w:rFonts w:ascii="Book Antiqua" w:eastAsia="Book Antiqua" w:hAnsi="Book Antiqua" w:cs="Book Antiqua"/>
          <w:color w:val="000000"/>
        </w:rPr>
        <w:t>Fizazi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Paruleker</w:t>
      </w:r>
      <w:proofErr w:type="spellEnd"/>
      <w:r>
        <w:rPr>
          <w:rFonts w:ascii="Book Antiqua" w:eastAsia="Book Antiqua" w:hAnsi="Book Antiqua" w:cs="Book Antiqua"/>
          <w:color w:val="000000"/>
        </w:rPr>
        <w:t xml:space="preserve"> WR, Sandler HM,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Tombal</w:t>
      </w:r>
      <w:proofErr w:type="spellEnd"/>
      <w:r>
        <w:rPr>
          <w:rFonts w:ascii="Book Antiqua" w:eastAsia="Book Antiqua" w:hAnsi="Book Antiqua" w:cs="Book Antiqua"/>
          <w:color w:val="000000"/>
        </w:rPr>
        <w:t xml:space="preserve"> B, Williams SG, Sweeney CJ; </w:t>
      </w:r>
      <w:proofErr w:type="spellStart"/>
      <w:r>
        <w:rPr>
          <w:rFonts w:ascii="Book Antiqua" w:eastAsia="Book Antiqua" w:hAnsi="Book Antiqua" w:cs="Book Antiqua"/>
          <w:color w:val="000000"/>
        </w:rPr>
        <w:t>ICECaP</w:t>
      </w:r>
      <w:proofErr w:type="spellEnd"/>
      <w:r>
        <w:rPr>
          <w:rFonts w:ascii="Book Antiqua" w:eastAsia="Book Antiqua" w:hAnsi="Book Antiqua" w:cs="Book Antiqua"/>
          <w:color w:val="000000"/>
        </w:rPr>
        <w:t xml:space="preserve"> Working Group. Metastasis-Free Survival Is a Strong Surrogate of Overall Survival in Localized Prostate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3097-3104 [PMID: 28796587 DOI: 10.1200/JCO.2017.73.9987]</w:t>
      </w:r>
    </w:p>
    <w:p w14:paraId="062CC005" w14:textId="77777777" w:rsidR="00A77B3E" w:rsidRDefault="001C211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Beaver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Kluetz</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Pazdur</w:t>
      </w:r>
      <w:proofErr w:type="spellEnd"/>
      <w:r>
        <w:rPr>
          <w:rFonts w:ascii="Book Antiqua" w:eastAsia="Book Antiqua" w:hAnsi="Book Antiqua" w:cs="Book Antiqua"/>
          <w:color w:val="000000"/>
        </w:rPr>
        <w:t xml:space="preserve"> R. Metastasis-free Survival - A New End Point in Prostate Cancer Trials.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2458-2460 [PMID: 29949489 DOI: 10.1056/NEJMp1805966]</w:t>
      </w:r>
    </w:p>
    <w:p w14:paraId="7DCF24FA" w14:textId="72EC9477" w:rsidR="00A77B3E" w:rsidRPr="00FC4388" w:rsidRDefault="001C2110">
      <w:pPr>
        <w:spacing w:line="360" w:lineRule="auto"/>
        <w:jc w:val="both"/>
        <w:rPr>
          <w:b/>
          <w:bCs/>
        </w:rPr>
      </w:pPr>
      <w:r>
        <w:rPr>
          <w:rFonts w:ascii="Book Antiqua" w:eastAsia="Book Antiqua" w:hAnsi="Book Antiqua" w:cs="Book Antiqua"/>
          <w:color w:val="000000"/>
        </w:rPr>
        <w:t xml:space="preserve">9 </w:t>
      </w:r>
      <w:r>
        <w:rPr>
          <w:rFonts w:ascii="Book Antiqua" w:eastAsia="Book Antiqua" w:hAnsi="Book Antiqua" w:cs="Book Antiqua"/>
          <w:b/>
          <w:bCs/>
          <w:color w:val="000000"/>
        </w:rPr>
        <w:t>Saad F</w:t>
      </w:r>
      <w:r w:rsidRPr="002C6E19">
        <w:rPr>
          <w:rFonts w:ascii="Book Antiqua" w:eastAsia="Book Antiqua" w:hAnsi="Book Antiqua" w:cs="Book Antiqua"/>
          <w:color w:val="000000"/>
        </w:rPr>
        <w:t>,</w:t>
      </w:r>
      <w:r>
        <w:rPr>
          <w:rFonts w:ascii="Book Antiqua" w:eastAsia="Book Antiqua" w:hAnsi="Book Antiqua" w:cs="Book Antiqua"/>
          <w:color w:val="000000"/>
        </w:rPr>
        <w:t xml:space="preserve"> Graff JN, </w:t>
      </w:r>
      <w:proofErr w:type="spellStart"/>
      <w:r>
        <w:rPr>
          <w:rFonts w:ascii="Book Antiqua" w:eastAsia="Book Antiqua" w:hAnsi="Book Antiqua" w:cs="Book Antiqua"/>
          <w:color w:val="000000"/>
        </w:rPr>
        <w:t>Hadaschik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Oudard</w:t>
      </w:r>
      <w:proofErr w:type="spellEnd"/>
      <w:r>
        <w:rPr>
          <w:rFonts w:ascii="Book Antiqua" w:eastAsia="Book Antiqua" w:hAnsi="Book Antiqua" w:cs="Book Antiqua"/>
          <w:color w:val="000000"/>
        </w:rPr>
        <w:t xml:space="preserve"> S, Mainwaring P, </w:t>
      </w:r>
      <w:proofErr w:type="spellStart"/>
      <w:r>
        <w:rPr>
          <w:rFonts w:ascii="Book Antiqua" w:eastAsia="Book Antiqua" w:hAnsi="Book Antiqua" w:cs="Book Antiqua"/>
          <w:color w:val="000000"/>
        </w:rPr>
        <w:t>Bhaumilk</w:t>
      </w:r>
      <w:proofErr w:type="spellEnd"/>
      <w:r>
        <w:rPr>
          <w:rFonts w:ascii="Book Antiqua" w:eastAsia="Book Antiqua" w:hAnsi="Book Antiqua" w:cs="Book Antiqua"/>
          <w:color w:val="000000"/>
        </w:rPr>
        <w:t xml:space="preserve"> A, Gormley M, </w:t>
      </w:r>
      <w:proofErr w:type="spellStart"/>
      <w:r>
        <w:rPr>
          <w:rFonts w:ascii="Book Antiqua" w:eastAsia="Book Antiqua" w:hAnsi="Book Antiqua" w:cs="Book Antiqua"/>
          <w:color w:val="000000"/>
        </w:rPr>
        <w:t>Londhe</w:t>
      </w:r>
      <w:proofErr w:type="spellEnd"/>
      <w:r>
        <w:rPr>
          <w:rFonts w:ascii="Book Antiqua" w:eastAsia="Book Antiqua" w:hAnsi="Book Antiqua" w:cs="Book Antiqua"/>
          <w:color w:val="000000"/>
        </w:rPr>
        <w:t xml:space="preserve"> A, Thomas S, Lopez-</w:t>
      </w:r>
      <w:proofErr w:type="spellStart"/>
      <w:r>
        <w:rPr>
          <w:rFonts w:ascii="Book Antiqua" w:eastAsia="Book Antiqua" w:hAnsi="Book Antiqua" w:cs="Book Antiqua"/>
          <w:color w:val="000000"/>
        </w:rPr>
        <w:t>Gitlitz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Mundle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Davicioni</w:t>
      </w:r>
      <w:proofErr w:type="spellEnd"/>
      <w:r>
        <w:rPr>
          <w:rFonts w:ascii="Book Antiqua" w:eastAsia="Book Antiqua" w:hAnsi="Book Antiqua" w:cs="Book Antiqua"/>
          <w:color w:val="000000"/>
        </w:rPr>
        <w:t xml:space="preserve"> E, Small EJ, Smith MR, Feng </w:t>
      </w:r>
      <w:r>
        <w:rPr>
          <w:rFonts w:ascii="Book Antiqua" w:eastAsia="Book Antiqua" w:hAnsi="Book Antiqua" w:cs="Book Antiqua"/>
          <w:color w:val="000000"/>
        </w:rPr>
        <w:lastRenderedPageBreak/>
        <w:t xml:space="preserve">FY. </w:t>
      </w:r>
      <w:r w:rsidR="005B3301" w:rsidRPr="005B3301">
        <w:rPr>
          <w:rFonts w:ascii="Book Antiqua" w:eastAsia="Book Antiqua" w:hAnsi="Book Antiqua" w:cs="Book Antiqua"/>
          <w:color w:val="000000"/>
        </w:rPr>
        <w:t>Molecular determinants of prostate specific antigen (PSA) kinetics and clinical response to apalutamide (APA) in patients (pts) with nonmetastatic castration-resistant pros</w:t>
      </w:r>
      <w:r w:rsidR="00E84E67">
        <w:rPr>
          <w:rFonts w:ascii="Book Antiqua" w:eastAsia="Book Antiqua" w:hAnsi="Book Antiqua" w:cs="Book Antiqua"/>
          <w:color w:val="000000"/>
        </w:rPr>
        <w:t>tate cancer (nmCRPC) in SPARTAN</w:t>
      </w:r>
      <w:r>
        <w:rPr>
          <w:rFonts w:ascii="Book Antiqua" w:eastAsia="Book Antiqua" w:hAnsi="Book Antiqua" w:cs="Book Antiqua"/>
          <w:color w:val="000000"/>
        </w:rPr>
        <w:t>.</w:t>
      </w:r>
      <w:r w:rsidRPr="00FC4388">
        <w:rPr>
          <w:rFonts w:ascii="Book Antiqua" w:eastAsia="Book Antiqua" w:hAnsi="Book Antiqua" w:cs="Book Antiqua"/>
          <w:i/>
          <w:iCs/>
          <w:color w:val="000000"/>
        </w:rPr>
        <w:t xml:space="preserve"> </w:t>
      </w:r>
      <w:r w:rsidR="00FC4388" w:rsidRPr="00FC4388">
        <w:rPr>
          <w:rFonts w:ascii="Book Antiqua" w:eastAsia="Book Antiqua" w:hAnsi="Book Antiqua" w:cs="Book Antiqua"/>
          <w:i/>
          <w:iCs/>
          <w:color w:val="000000"/>
        </w:rPr>
        <w:t xml:space="preserve">J Clin Oncol </w:t>
      </w:r>
      <w:r w:rsidR="00FC4388">
        <w:rPr>
          <w:rFonts w:ascii="Book Antiqua" w:eastAsia="Book Antiqua" w:hAnsi="Book Antiqua" w:cs="Book Antiqua"/>
          <w:color w:val="000000"/>
        </w:rPr>
        <w:t xml:space="preserve">2020; </w:t>
      </w:r>
      <w:r w:rsidR="00FC4388" w:rsidRPr="00FC4388">
        <w:rPr>
          <w:rFonts w:ascii="Book Antiqua" w:eastAsia="Book Antiqua" w:hAnsi="Book Antiqua" w:cs="Book Antiqua"/>
          <w:b/>
          <w:bCs/>
          <w:color w:val="000000"/>
        </w:rPr>
        <w:t>38</w:t>
      </w:r>
      <w:r w:rsidR="00527E37" w:rsidRPr="00527E37">
        <w:rPr>
          <w:rFonts w:ascii="Book Antiqua" w:eastAsia="Book Antiqua" w:hAnsi="Book Antiqua" w:cs="Book Antiqua"/>
          <w:bCs/>
          <w:color w:val="000000"/>
        </w:rPr>
        <w:t>: 5521-552</w:t>
      </w:r>
      <w:r w:rsidR="00527E37">
        <w:rPr>
          <w:rFonts w:ascii="Book Antiqua" w:eastAsia="Book Antiqua" w:hAnsi="Book Antiqua" w:cs="Book Antiqua"/>
          <w:bCs/>
          <w:color w:val="000000"/>
        </w:rPr>
        <w:t xml:space="preserve"> [</w:t>
      </w:r>
      <w:r w:rsidR="00527E37" w:rsidRPr="00527E37">
        <w:rPr>
          <w:rFonts w:ascii="Book Antiqua" w:eastAsia="Book Antiqua" w:hAnsi="Book Antiqua" w:cs="Book Antiqua"/>
          <w:bCs/>
          <w:color w:val="000000"/>
        </w:rPr>
        <w:t>DOI: 10.1200/JCO.2020.38.15_suppl.5521</w:t>
      </w:r>
      <w:r w:rsidR="00527E37">
        <w:rPr>
          <w:rFonts w:ascii="Book Antiqua" w:eastAsia="Book Antiqua" w:hAnsi="Book Antiqua" w:cs="Book Antiqua"/>
          <w:bCs/>
          <w:color w:val="000000"/>
        </w:rPr>
        <w:t>]</w:t>
      </w:r>
    </w:p>
    <w:p w14:paraId="0ECA8E9F" w14:textId="71DB31C3" w:rsidR="00A77B3E" w:rsidRDefault="001C211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Smith MR</w:t>
      </w:r>
      <w:r w:rsidRPr="002C6E19">
        <w:rPr>
          <w:rFonts w:ascii="Book Antiqua" w:eastAsia="Book Antiqua" w:hAnsi="Book Antiqua" w:cs="Book Antiqua"/>
          <w:color w:val="000000"/>
        </w:rPr>
        <w:t>,</w:t>
      </w:r>
      <w:r>
        <w:rPr>
          <w:rFonts w:ascii="Book Antiqua" w:eastAsia="Book Antiqua" w:hAnsi="Book Antiqua" w:cs="Book Antiqua"/>
          <w:color w:val="000000"/>
        </w:rPr>
        <w:t xml:space="preserve"> Thomas S, Chowdhury S. Androgen receptor anomalies and efficacy of apalutamide in patients with nonmetastatic castration-resistant prostate cancer from the phase 3 SPARTAN study. </w:t>
      </w:r>
      <w:r w:rsidR="00A80BE8" w:rsidRPr="00E15756">
        <w:rPr>
          <w:rFonts w:ascii="Book Antiqua" w:eastAsia="Book Antiqua" w:hAnsi="Book Antiqua" w:cs="Book Antiqua"/>
          <w:i/>
          <w:iCs/>
          <w:color w:val="000000"/>
        </w:rPr>
        <w:t>Cancer Re</w:t>
      </w:r>
      <w:r w:rsidR="00E15756" w:rsidRPr="00E15756">
        <w:rPr>
          <w:rFonts w:ascii="Book Antiqua" w:eastAsia="Book Antiqua" w:hAnsi="Book Antiqua" w:cs="Book Antiqua"/>
          <w:i/>
          <w:iCs/>
          <w:color w:val="000000"/>
        </w:rPr>
        <w:t>s</w:t>
      </w:r>
      <w:r>
        <w:rPr>
          <w:rFonts w:ascii="Book Antiqua" w:eastAsia="Book Antiqua" w:hAnsi="Book Antiqua" w:cs="Book Antiqua"/>
          <w:color w:val="000000"/>
        </w:rPr>
        <w:t xml:space="preserve"> </w:t>
      </w:r>
      <w:r w:rsidR="00E15756">
        <w:rPr>
          <w:rFonts w:ascii="Book Antiqua" w:eastAsia="Book Antiqua" w:hAnsi="Book Antiqua" w:cs="Book Antiqua"/>
          <w:color w:val="000000"/>
        </w:rPr>
        <w:t>2018</w:t>
      </w:r>
      <w:r w:rsidR="00E225C3">
        <w:rPr>
          <w:rFonts w:ascii="Book Antiqua" w:eastAsia="Book Antiqua" w:hAnsi="Book Antiqua" w:cs="Book Antiqua"/>
          <w:color w:val="000000"/>
        </w:rPr>
        <w:t xml:space="preserve"> [DOI: </w:t>
      </w:r>
      <w:r w:rsidR="00E225C3" w:rsidRPr="00E225C3">
        <w:rPr>
          <w:rFonts w:ascii="Book Antiqua" w:eastAsia="Book Antiqua" w:hAnsi="Book Antiqua" w:cs="Book Antiqua"/>
          <w:color w:val="000000"/>
        </w:rPr>
        <w:t>10.1158/1538-7445</w:t>
      </w:r>
      <w:r w:rsidR="00E225C3">
        <w:rPr>
          <w:rFonts w:ascii="Book Antiqua" w:eastAsia="Book Antiqua" w:hAnsi="Book Antiqua" w:cs="Book Antiqua"/>
          <w:color w:val="000000"/>
        </w:rPr>
        <w:t>]</w:t>
      </w:r>
    </w:p>
    <w:p w14:paraId="0BCE30B9" w14:textId="77777777" w:rsidR="00A77B3E" w:rsidRDefault="001C211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Zhao SG</w:t>
      </w:r>
      <w:r>
        <w:rPr>
          <w:rFonts w:ascii="Book Antiqua" w:eastAsia="Book Antiqua" w:hAnsi="Book Antiqua" w:cs="Book Antiqua"/>
          <w:color w:val="000000"/>
        </w:rPr>
        <w:t xml:space="preserve">, Chang SL, </w:t>
      </w:r>
      <w:proofErr w:type="spellStart"/>
      <w:r>
        <w:rPr>
          <w:rFonts w:ascii="Book Antiqua" w:eastAsia="Book Antiqua" w:hAnsi="Book Antiqua" w:cs="Book Antiqua"/>
          <w:color w:val="000000"/>
        </w:rPr>
        <w:t>Erho</w:t>
      </w:r>
      <w:proofErr w:type="spellEnd"/>
      <w:r>
        <w:rPr>
          <w:rFonts w:ascii="Book Antiqua" w:eastAsia="Book Antiqua" w:hAnsi="Book Antiqua" w:cs="Book Antiqua"/>
          <w:color w:val="000000"/>
        </w:rPr>
        <w:t xml:space="preserve"> N, Yu M, Lehrer J, </w:t>
      </w:r>
      <w:proofErr w:type="spellStart"/>
      <w:r>
        <w:rPr>
          <w:rFonts w:ascii="Book Antiqua" w:eastAsia="Book Antiqua" w:hAnsi="Book Antiqua" w:cs="Book Antiqua"/>
          <w:color w:val="000000"/>
        </w:rPr>
        <w:t>Alshalalfa</w:t>
      </w:r>
      <w:proofErr w:type="spellEnd"/>
      <w:r>
        <w:rPr>
          <w:rFonts w:ascii="Book Antiqua" w:eastAsia="Book Antiqua" w:hAnsi="Book Antiqua" w:cs="Book Antiqua"/>
          <w:color w:val="000000"/>
        </w:rPr>
        <w:t xml:space="preserve"> M, Speers C, </w:t>
      </w:r>
      <w:proofErr w:type="spellStart"/>
      <w:r>
        <w:rPr>
          <w:rFonts w:ascii="Book Antiqua" w:eastAsia="Book Antiqua" w:hAnsi="Book Antiqua" w:cs="Book Antiqua"/>
          <w:color w:val="000000"/>
        </w:rPr>
        <w:t>Cooperberg</w:t>
      </w:r>
      <w:proofErr w:type="spellEnd"/>
      <w:r>
        <w:rPr>
          <w:rFonts w:ascii="Book Antiqua" w:eastAsia="Book Antiqua" w:hAnsi="Book Antiqua" w:cs="Book Antiqua"/>
          <w:color w:val="000000"/>
        </w:rPr>
        <w:t xml:space="preserve"> MR, Kim W, Ryan CJ, Den RB, Freedland SJ, Posadas E, Sandler H, Klein EA, Black P, Seiler R, Tomlins SA, </w:t>
      </w:r>
      <w:proofErr w:type="spellStart"/>
      <w:r>
        <w:rPr>
          <w:rFonts w:ascii="Book Antiqua" w:eastAsia="Book Antiqua" w:hAnsi="Book Antiqua" w:cs="Book Antiqua"/>
          <w:color w:val="000000"/>
        </w:rPr>
        <w:t>Chinnaiyan</w:t>
      </w:r>
      <w:proofErr w:type="spellEnd"/>
      <w:r>
        <w:rPr>
          <w:rFonts w:ascii="Book Antiqua" w:eastAsia="Book Antiqua" w:hAnsi="Book Antiqua" w:cs="Book Antiqua"/>
          <w:color w:val="000000"/>
        </w:rPr>
        <w:t xml:space="preserve"> AM, Jenkins RB, </w:t>
      </w:r>
      <w:proofErr w:type="spellStart"/>
      <w:r>
        <w:rPr>
          <w:rFonts w:ascii="Book Antiqua" w:eastAsia="Book Antiqua" w:hAnsi="Book Antiqua" w:cs="Book Antiqua"/>
          <w:color w:val="000000"/>
        </w:rPr>
        <w:t>Davicioni</w:t>
      </w:r>
      <w:proofErr w:type="spellEnd"/>
      <w:r>
        <w:rPr>
          <w:rFonts w:ascii="Book Antiqua" w:eastAsia="Book Antiqua" w:hAnsi="Book Antiqua" w:cs="Book Antiqua"/>
          <w:color w:val="000000"/>
        </w:rPr>
        <w:t xml:space="preserve"> E, Ross AE, Schaeffer EM, Nguyen PL, Carroll PR, Karnes RJ, Spratt DE, Feng FY. Associations of Luminal and Basal Subtyping of Prostate Cancer With Prognosis and Response to Androgen Deprivation Therapy.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1663-1672 [PMID: 28494073 DOI: 10.1001/jamaoncol.2017.0751]</w:t>
      </w:r>
    </w:p>
    <w:p w14:paraId="002FDD36" w14:textId="1F329F94" w:rsidR="00A77B3E" w:rsidRDefault="001C211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Roviello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Gatta</w:t>
      </w:r>
      <w:proofErr w:type="spellEnd"/>
      <w:r>
        <w:rPr>
          <w:rFonts w:ascii="Book Antiqua" w:eastAsia="Book Antiqua" w:hAnsi="Book Antiqua" w:cs="Book Antiqua"/>
          <w:color w:val="000000"/>
        </w:rPr>
        <w:t xml:space="preserve"> Michelet MR, D'Angelo A, Nobili S, Mini E. Role of novel hormonal therapies in the management of non-metastatic castration-resistant prostate cancer: a literature-based meta-analysis of randomized trials.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xml:space="preserve">: 1033-1039 [PMID: 31617061 </w:t>
      </w:r>
      <w:r w:rsidR="00C7670F" w:rsidRPr="00C7670F">
        <w:rPr>
          <w:rFonts w:ascii="Book Antiqua" w:eastAsia="Book Antiqua" w:hAnsi="Book Antiqua" w:cs="Book Antiqua"/>
          <w:color w:val="000000"/>
        </w:rPr>
        <w:t>DOI: 10.1007/s12094-019-02228-2</w:t>
      </w:r>
      <w:r>
        <w:rPr>
          <w:rFonts w:ascii="Book Antiqua" w:eastAsia="Book Antiqua" w:hAnsi="Book Antiqua" w:cs="Book Antiqua"/>
          <w:color w:val="000000"/>
        </w:rPr>
        <w:t>]</w:t>
      </w:r>
    </w:p>
    <w:p w14:paraId="47461657" w14:textId="28451350" w:rsidR="00A77B3E" w:rsidRDefault="001C211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Hird</w:t>
      </w:r>
      <w:proofErr w:type="spellEnd"/>
      <w:r>
        <w:rPr>
          <w:rFonts w:ascii="Book Antiqua" w:eastAsia="Book Antiqua" w:hAnsi="Book Antiqua" w:cs="Book Antiqua"/>
          <w:b/>
          <w:bCs/>
          <w:color w:val="000000"/>
        </w:rPr>
        <w:t xml:space="preserve"> AE</w:t>
      </w:r>
      <w:r w:rsidRPr="00F76CD9">
        <w:rPr>
          <w:rFonts w:ascii="Book Antiqua" w:eastAsia="Book Antiqua" w:hAnsi="Book Antiqua" w:cs="Book Antiqua"/>
          <w:color w:val="000000"/>
        </w:rPr>
        <w:t>,</w:t>
      </w:r>
      <w:r>
        <w:rPr>
          <w:rFonts w:ascii="Book Antiqua" w:eastAsia="Book Antiqua" w:hAnsi="Book Antiqua" w:cs="Book Antiqua"/>
          <w:color w:val="000000"/>
        </w:rPr>
        <w:t xml:space="preserve"> </w:t>
      </w:r>
      <w:r w:rsidR="00342CD8" w:rsidRPr="00342CD8">
        <w:rPr>
          <w:rFonts w:ascii="Book Antiqua" w:eastAsia="Book Antiqua" w:hAnsi="Book Antiqua" w:cs="Book Antiqua"/>
          <w:color w:val="000000"/>
        </w:rPr>
        <w:t xml:space="preserve">Magee DE, Bhindi B, Ye XY, Chandrasekar T, Goldberg H, Klotz L, </w:t>
      </w:r>
      <w:proofErr w:type="spellStart"/>
      <w:r w:rsidR="00342CD8" w:rsidRPr="00342CD8">
        <w:rPr>
          <w:rFonts w:ascii="Book Antiqua" w:eastAsia="Book Antiqua" w:hAnsi="Book Antiqua" w:cs="Book Antiqua"/>
          <w:color w:val="000000"/>
        </w:rPr>
        <w:t>Fleshner</w:t>
      </w:r>
      <w:proofErr w:type="spellEnd"/>
      <w:r w:rsidR="00342CD8" w:rsidRPr="00342CD8">
        <w:rPr>
          <w:rFonts w:ascii="Book Antiqua" w:eastAsia="Book Antiqua" w:hAnsi="Book Antiqua" w:cs="Book Antiqua"/>
          <w:color w:val="000000"/>
        </w:rPr>
        <w:t xml:space="preserve"> N, </w:t>
      </w:r>
      <w:proofErr w:type="spellStart"/>
      <w:r w:rsidR="00342CD8" w:rsidRPr="00342CD8">
        <w:rPr>
          <w:rFonts w:ascii="Book Antiqua" w:eastAsia="Book Antiqua" w:hAnsi="Book Antiqua" w:cs="Book Antiqua"/>
          <w:color w:val="000000"/>
        </w:rPr>
        <w:t>Satkunasivam</w:t>
      </w:r>
      <w:proofErr w:type="spellEnd"/>
      <w:r w:rsidR="00342CD8" w:rsidRPr="00342CD8">
        <w:rPr>
          <w:rFonts w:ascii="Book Antiqua" w:eastAsia="Book Antiqua" w:hAnsi="Book Antiqua" w:cs="Book Antiqua"/>
          <w:color w:val="000000"/>
        </w:rPr>
        <w:t xml:space="preserve"> R, </w:t>
      </w:r>
      <w:proofErr w:type="spellStart"/>
      <w:r w:rsidR="00342CD8" w:rsidRPr="00342CD8">
        <w:rPr>
          <w:rFonts w:ascii="Book Antiqua" w:eastAsia="Book Antiqua" w:hAnsi="Book Antiqua" w:cs="Book Antiqua"/>
          <w:color w:val="000000"/>
        </w:rPr>
        <w:t>Klaassen</w:t>
      </w:r>
      <w:proofErr w:type="spellEnd"/>
      <w:r w:rsidR="00342CD8" w:rsidRPr="00342CD8">
        <w:rPr>
          <w:rFonts w:ascii="Book Antiqua" w:eastAsia="Book Antiqua" w:hAnsi="Book Antiqua" w:cs="Book Antiqua"/>
          <w:color w:val="000000"/>
        </w:rPr>
        <w:t xml:space="preserve"> Z, Wallis CJD. A Systematic Review and Network Meta-analysis of Novel Androgen Receptor Inhibitors in Non-metastatic Castration-resistant Prostate Cancer</w:t>
      </w:r>
      <w:r>
        <w:rPr>
          <w:rFonts w:ascii="Book Antiqua" w:eastAsia="Book Antiqua" w:hAnsi="Book Antiqua" w:cs="Book Antiqua"/>
          <w:color w:val="000000"/>
        </w:rPr>
        <w:t xml:space="preserve">. </w:t>
      </w:r>
      <w:r w:rsidR="00342CD8" w:rsidRPr="00342CD8">
        <w:rPr>
          <w:rFonts w:ascii="Book Antiqua" w:eastAsia="Book Antiqua" w:hAnsi="Book Antiqua" w:cs="Book Antiqua"/>
          <w:i/>
          <w:iCs/>
          <w:color w:val="000000"/>
        </w:rPr>
        <w:t xml:space="preserve">Clin </w:t>
      </w:r>
      <w:proofErr w:type="spellStart"/>
      <w:r w:rsidR="00342CD8" w:rsidRPr="00342CD8">
        <w:rPr>
          <w:rFonts w:ascii="Book Antiqua" w:eastAsia="Book Antiqua" w:hAnsi="Book Antiqua" w:cs="Book Antiqua"/>
          <w:i/>
          <w:iCs/>
          <w:color w:val="000000"/>
        </w:rPr>
        <w:t>Genitourin</w:t>
      </w:r>
      <w:proofErr w:type="spellEnd"/>
      <w:r w:rsidR="00342CD8" w:rsidRPr="00342CD8">
        <w:rPr>
          <w:rFonts w:ascii="Book Antiqua" w:eastAsia="Book Antiqua" w:hAnsi="Book Antiqua" w:cs="Book Antiqua"/>
          <w:i/>
          <w:iCs/>
          <w:color w:val="000000"/>
        </w:rPr>
        <w:t xml:space="preserve"> Cancer</w:t>
      </w:r>
      <w:r w:rsidR="00342CD8">
        <w:rPr>
          <w:rFonts w:ascii="Book Antiqua" w:eastAsia="Book Antiqua" w:hAnsi="Book Antiqua" w:cs="Book Antiqua"/>
          <w:color w:val="000000"/>
        </w:rPr>
        <w:t xml:space="preserve"> 2020; </w:t>
      </w:r>
      <w:r w:rsidR="00342CD8" w:rsidRPr="00342CD8">
        <w:rPr>
          <w:rFonts w:ascii="Book Antiqua" w:eastAsia="Book Antiqua" w:hAnsi="Book Antiqua" w:cs="Book Antiqua"/>
          <w:b/>
          <w:bCs/>
          <w:color w:val="000000"/>
        </w:rPr>
        <w:t>18</w:t>
      </w:r>
      <w:r w:rsidR="00342CD8">
        <w:rPr>
          <w:rFonts w:ascii="Book Antiqua" w:eastAsia="Book Antiqua" w:hAnsi="Book Antiqua" w:cs="Book Antiqua"/>
          <w:color w:val="000000"/>
        </w:rPr>
        <w:t>: 343-350</w:t>
      </w:r>
    </w:p>
    <w:p w14:paraId="66D3EA83" w14:textId="77777777" w:rsidR="00A77B3E" w:rsidRDefault="001C211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Parker CC</w:t>
      </w:r>
      <w:r>
        <w:rPr>
          <w:rFonts w:ascii="Book Antiqua" w:eastAsia="Book Antiqua" w:hAnsi="Book Antiqua" w:cs="Book Antiqua"/>
          <w:color w:val="000000"/>
        </w:rPr>
        <w:t xml:space="preserve">, James ND, Brawley CD, Clarke NW, Hoyle AP, Ali A, Ritchie AWS, Attard G, Chowdhury S, Cross W, </w:t>
      </w:r>
      <w:proofErr w:type="spellStart"/>
      <w:r>
        <w:rPr>
          <w:rFonts w:ascii="Book Antiqua" w:eastAsia="Book Antiqua" w:hAnsi="Book Antiqua" w:cs="Book Antiqua"/>
          <w:color w:val="000000"/>
        </w:rPr>
        <w:t>Dearnaley</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Gillessen</w:t>
      </w:r>
      <w:proofErr w:type="spellEnd"/>
      <w:r>
        <w:rPr>
          <w:rFonts w:ascii="Book Antiqua" w:eastAsia="Book Antiqua" w:hAnsi="Book Antiqua" w:cs="Book Antiqua"/>
          <w:color w:val="000000"/>
        </w:rPr>
        <w:t xml:space="preserve"> S, Gilson C, Jones RJ, Langley RE, Malik ZI, Mason MD, Matheson D, </w:t>
      </w:r>
      <w:proofErr w:type="spellStart"/>
      <w:r>
        <w:rPr>
          <w:rFonts w:ascii="Book Antiqua" w:eastAsia="Book Antiqua" w:hAnsi="Book Antiqua" w:cs="Book Antiqua"/>
          <w:color w:val="000000"/>
        </w:rPr>
        <w:t>Millman</w:t>
      </w:r>
      <w:proofErr w:type="spellEnd"/>
      <w:r>
        <w:rPr>
          <w:rFonts w:ascii="Book Antiqua" w:eastAsia="Book Antiqua" w:hAnsi="Book Antiqua" w:cs="Book Antiqua"/>
          <w:color w:val="000000"/>
        </w:rPr>
        <w:t xml:space="preserve"> R, Russell JM, </w:t>
      </w:r>
      <w:proofErr w:type="spellStart"/>
      <w:r>
        <w:rPr>
          <w:rFonts w:ascii="Book Antiqua" w:eastAsia="Book Antiqua" w:hAnsi="Book Antiqua" w:cs="Book Antiqua"/>
          <w:color w:val="000000"/>
        </w:rPr>
        <w:t>Thalmann</w:t>
      </w:r>
      <w:proofErr w:type="spellEnd"/>
      <w:r>
        <w:rPr>
          <w:rFonts w:ascii="Book Antiqua" w:eastAsia="Book Antiqua" w:hAnsi="Book Antiqua" w:cs="Book Antiqua"/>
          <w:color w:val="000000"/>
        </w:rPr>
        <w:t xml:space="preserve"> GN, Amos CL, </w:t>
      </w:r>
      <w:proofErr w:type="spellStart"/>
      <w:r>
        <w:rPr>
          <w:rFonts w:ascii="Book Antiqua" w:eastAsia="Book Antiqua" w:hAnsi="Book Antiqua" w:cs="Book Antiqua"/>
          <w:color w:val="000000"/>
        </w:rPr>
        <w:t>Alonzi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Bahl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Birtle</w:t>
      </w:r>
      <w:proofErr w:type="spellEnd"/>
      <w:r>
        <w:rPr>
          <w:rFonts w:ascii="Book Antiqua" w:eastAsia="Book Antiqua" w:hAnsi="Book Antiqua" w:cs="Book Antiqua"/>
          <w:color w:val="000000"/>
        </w:rPr>
        <w:t xml:space="preserve"> A, Din O, </w:t>
      </w:r>
      <w:proofErr w:type="spellStart"/>
      <w:r>
        <w:rPr>
          <w:rFonts w:ascii="Book Antiqua" w:eastAsia="Book Antiqua" w:hAnsi="Book Antiqua" w:cs="Book Antiqua"/>
          <w:color w:val="000000"/>
        </w:rPr>
        <w:t>Douis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Eswar</w:t>
      </w:r>
      <w:proofErr w:type="spellEnd"/>
      <w:r>
        <w:rPr>
          <w:rFonts w:ascii="Book Antiqua" w:eastAsia="Book Antiqua" w:hAnsi="Book Antiqua" w:cs="Book Antiqua"/>
          <w:color w:val="000000"/>
        </w:rPr>
        <w:t xml:space="preserve"> C, Gale J, Gannon MR, </w:t>
      </w:r>
      <w:proofErr w:type="spellStart"/>
      <w:r>
        <w:rPr>
          <w:rFonts w:ascii="Book Antiqua" w:eastAsia="Book Antiqua" w:hAnsi="Book Antiqua" w:cs="Book Antiqua"/>
          <w:color w:val="000000"/>
        </w:rPr>
        <w:t>Jonnada</w:t>
      </w:r>
      <w:proofErr w:type="spellEnd"/>
      <w:r>
        <w:rPr>
          <w:rFonts w:ascii="Book Antiqua" w:eastAsia="Book Antiqua" w:hAnsi="Book Antiqua" w:cs="Book Antiqua"/>
          <w:color w:val="000000"/>
        </w:rPr>
        <w:t xml:space="preserve"> S, Khaksar S, Lester JF, O'Sullivan JM, Parikh OA, </w:t>
      </w:r>
      <w:proofErr w:type="spellStart"/>
      <w:r>
        <w:rPr>
          <w:rFonts w:ascii="Book Antiqua" w:eastAsia="Book Antiqua" w:hAnsi="Book Antiqua" w:cs="Book Antiqua"/>
          <w:color w:val="000000"/>
        </w:rPr>
        <w:t>Pedley</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Pudney</w:t>
      </w:r>
      <w:proofErr w:type="spellEnd"/>
      <w:r>
        <w:rPr>
          <w:rFonts w:ascii="Book Antiqua" w:eastAsia="Book Antiqua" w:hAnsi="Book Antiqua" w:cs="Book Antiqua"/>
          <w:color w:val="000000"/>
        </w:rPr>
        <w:t xml:space="preserve"> DM, Sheehan DJ, Srihari NN, Tran ATH, Parmar MKB,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Systemic Therapy for Advanced or Metastatic Prostate cancer: Evaluation of Drug Efficacy (STAMPEDE) investigators. Radiotherapy to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for newly diagnosed, metastatic prostate cancer </w:t>
      </w:r>
      <w:r>
        <w:rPr>
          <w:rFonts w:ascii="Book Antiqua" w:eastAsia="Book Antiqua" w:hAnsi="Book Antiqua" w:cs="Book Antiqua"/>
          <w:color w:val="000000"/>
        </w:rPr>
        <w:lastRenderedPageBreak/>
        <w:t xml:space="preserve">(STAMPEDE):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2353-2366 [PMID: 30355464 DOI: 10.1016/S0140-6736(18)32486-3]</w:t>
      </w:r>
    </w:p>
    <w:p w14:paraId="6AD882D2" w14:textId="77777777" w:rsidR="00A77B3E" w:rsidRDefault="001C211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Small EJ</w:t>
      </w:r>
      <w:r>
        <w:rPr>
          <w:rFonts w:ascii="Book Antiqua" w:eastAsia="Book Antiqua" w:hAnsi="Book Antiqua" w:cs="Book Antiqua"/>
          <w:color w:val="000000"/>
        </w:rPr>
        <w:t xml:space="preserve">, Saad F, Chowdhury S, </w:t>
      </w:r>
      <w:proofErr w:type="spellStart"/>
      <w:r>
        <w:rPr>
          <w:rFonts w:ascii="Book Antiqua" w:eastAsia="Book Antiqua" w:hAnsi="Book Antiqua" w:cs="Book Antiqua"/>
          <w:color w:val="000000"/>
        </w:rPr>
        <w:t>Oudard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Hadaschik</w:t>
      </w:r>
      <w:proofErr w:type="spellEnd"/>
      <w:r>
        <w:rPr>
          <w:rFonts w:ascii="Book Antiqua" w:eastAsia="Book Antiqua" w:hAnsi="Book Antiqua" w:cs="Book Antiqua"/>
          <w:color w:val="000000"/>
        </w:rPr>
        <w:t xml:space="preserve"> BA, Graff JN, Olmos D, Mainwaring PN, Lee JY,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H, De </w:t>
      </w:r>
      <w:proofErr w:type="spellStart"/>
      <w:r>
        <w:rPr>
          <w:rFonts w:ascii="Book Antiqua" w:eastAsia="Book Antiqua" w:hAnsi="Book Antiqua" w:cs="Book Antiqua"/>
          <w:color w:val="000000"/>
        </w:rPr>
        <w:t>Porre</w:t>
      </w:r>
      <w:proofErr w:type="spellEnd"/>
      <w:r>
        <w:rPr>
          <w:rFonts w:ascii="Book Antiqua" w:eastAsia="Book Antiqua" w:hAnsi="Book Antiqua" w:cs="Book Antiqua"/>
          <w:color w:val="000000"/>
        </w:rPr>
        <w:t xml:space="preserve"> P, Smith AA, Zhang K, Lopez-</w:t>
      </w:r>
      <w:proofErr w:type="spellStart"/>
      <w:r>
        <w:rPr>
          <w:rFonts w:ascii="Book Antiqua" w:eastAsia="Book Antiqua" w:hAnsi="Book Antiqua" w:cs="Book Antiqua"/>
          <w:color w:val="000000"/>
        </w:rPr>
        <w:t>Gitlitz</w:t>
      </w:r>
      <w:proofErr w:type="spellEnd"/>
      <w:r>
        <w:rPr>
          <w:rFonts w:ascii="Book Antiqua" w:eastAsia="Book Antiqua" w:hAnsi="Book Antiqua" w:cs="Book Antiqua"/>
          <w:color w:val="000000"/>
        </w:rPr>
        <w:t xml:space="preserve"> A, Smith MR. Apalutamide and overall survival in non-metastatic castration-resistant prostate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1813-1820 [PMID: 31560066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/mdz397]</w:t>
      </w:r>
    </w:p>
    <w:p w14:paraId="0F1FAD53" w14:textId="77777777" w:rsidR="00A77B3E" w:rsidRDefault="001C211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Afshar-</w:t>
      </w:r>
      <w:proofErr w:type="spellStart"/>
      <w:r>
        <w:rPr>
          <w:rFonts w:ascii="Book Antiqua" w:eastAsia="Book Antiqua" w:hAnsi="Book Antiqua" w:cs="Book Antiqua"/>
          <w:b/>
          <w:bCs/>
          <w:color w:val="000000"/>
        </w:rPr>
        <w:t>Oromieh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Holland-</w:t>
      </w:r>
      <w:proofErr w:type="spellStart"/>
      <w:r>
        <w:rPr>
          <w:rFonts w:ascii="Book Antiqua" w:eastAsia="Book Antiqua" w:hAnsi="Book Antiqua" w:cs="Book Antiqua"/>
          <w:color w:val="000000"/>
        </w:rPr>
        <w:t>Letz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Giesel</w:t>
      </w:r>
      <w:proofErr w:type="spellEnd"/>
      <w:r>
        <w:rPr>
          <w:rFonts w:ascii="Book Antiqua" w:eastAsia="Book Antiqua" w:hAnsi="Book Antiqua" w:cs="Book Antiqua"/>
          <w:color w:val="000000"/>
        </w:rPr>
        <w:t xml:space="preserve"> FL, </w:t>
      </w:r>
      <w:proofErr w:type="spellStart"/>
      <w:r>
        <w:rPr>
          <w:rFonts w:ascii="Book Antiqua" w:eastAsia="Book Antiqua" w:hAnsi="Book Antiqua" w:cs="Book Antiqua"/>
          <w:color w:val="000000"/>
        </w:rPr>
        <w:t>Kratochwil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Haufe</w:t>
      </w:r>
      <w:proofErr w:type="spellEnd"/>
      <w:r>
        <w:rPr>
          <w:rFonts w:ascii="Book Antiqua" w:eastAsia="Book Antiqua" w:hAnsi="Book Antiqua" w:cs="Book Antiqua"/>
          <w:color w:val="000000"/>
        </w:rPr>
        <w:t xml:space="preserve"> S, Debus N, Eder M, Eisenhut M, Schäfer M, Neels O, </w:t>
      </w:r>
      <w:proofErr w:type="spellStart"/>
      <w:r>
        <w:rPr>
          <w:rFonts w:ascii="Book Antiqua" w:eastAsia="Book Antiqua" w:hAnsi="Book Antiqua" w:cs="Book Antiqua"/>
          <w:color w:val="000000"/>
        </w:rPr>
        <w:t>Hohenfellner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Kopka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Kauczor</w:t>
      </w:r>
      <w:proofErr w:type="spellEnd"/>
      <w:r>
        <w:rPr>
          <w:rFonts w:ascii="Book Antiqua" w:eastAsia="Book Antiqua" w:hAnsi="Book Antiqua" w:cs="Book Antiqua"/>
          <w:color w:val="000000"/>
        </w:rPr>
        <w:t xml:space="preserve"> HU, Debus J, </w:t>
      </w:r>
      <w:proofErr w:type="spellStart"/>
      <w:r>
        <w:rPr>
          <w:rFonts w:ascii="Book Antiqua" w:eastAsia="Book Antiqua" w:hAnsi="Book Antiqua" w:cs="Book Antiqua"/>
          <w:color w:val="000000"/>
        </w:rPr>
        <w:t>Haberkorn</w:t>
      </w:r>
      <w:proofErr w:type="spellEnd"/>
      <w:r>
        <w:rPr>
          <w:rFonts w:ascii="Book Antiqua" w:eastAsia="Book Antiqua" w:hAnsi="Book Antiqua" w:cs="Book Antiqua"/>
          <w:color w:val="000000"/>
        </w:rPr>
        <w:t xml:space="preserve"> U. Diagnostic performance of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Ga-PSMA-11 (HBED-CC) PET/CT in patients with recurrent prostate cancer: evaluation in 1007 patients.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Mol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1258-1268 [PMID: 28497198 DOI: 10.1007/s00259-017-3711-7]</w:t>
      </w:r>
    </w:p>
    <w:p w14:paraId="4D490685" w14:textId="77777777" w:rsidR="00A77B3E" w:rsidRDefault="001C211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Meller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Bremmer F, </w:t>
      </w:r>
      <w:proofErr w:type="spellStart"/>
      <w:r>
        <w:rPr>
          <w:rFonts w:ascii="Book Antiqua" w:eastAsia="Book Antiqua" w:hAnsi="Book Antiqua" w:cs="Book Antiqua"/>
          <w:color w:val="000000"/>
        </w:rPr>
        <w:t>Sahlmann</w:t>
      </w:r>
      <w:proofErr w:type="spellEnd"/>
      <w:r>
        <w:rPr>
          <w:rFonts w:ascii="Book Antiqua" w:eastAsia="Book Antiqua" w:hAnsi="Book Antiqua" w:cs="Book Antiqua"/>
          <w:color w:val="000000"/>
        </w:rPr>
        <w:t xml:space="preserve"> CO, Hijazi S, </w:t>
      </w:r>
      <w:proofErr w:type="spellStart"/>
      <w:r>
        <w:rPr>
          <w:rFonts w:ascii="Book Antiqua" w:eastAsia="Book Antiqua" w:hAnsi="Book Antiqua" w:cs="Book Antiqua"/>
          <w:color w:val="000000"/>
        </w:rPr>
        <w:t>Bouter</w:t>
      </w:r>
      <w:proofErr w:type="spellEnd"/>
      <w:r>
        <w:rPr>
          <w:rFonts w:ascii="Book Antiqua" w:eastAsia="Book Antiqua" w:hAnsi="Book Antiqua" w:cs="Book Antiqua"/>
          <w:color w:val="000000"/>
        </w:rPr>
        <w:t xml:space="preserve"> C, Trojan L, </w:t>
      </w:r>
      <w:proofErr w:type="spellStart"/>
      <w:r>
        <w:rPr>
          <w:rFonts w:ascii="Book Antiqua" w:eastAsia="Book Antiqua" w:hAnsi="Book Antiqua" w:cs="Book Antiqua"/>
          <w:color w:val="000000"/>
        </w:rPr>
        <w:t>Meller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Thelen</w:t>
      </w:r>
      <w:proofErr w:type="spellEnd"/>
      <w:r>
        <w:rPr>
          <w:rFonts w:ascii="Book Antiqua" w:eastAsia="Book Antiqua" w:hAnsi="Book Antiqua" w:cs="Book Antiqua"/>
          <w:color w:val="000000"/>
        </w:rPr>
        <w:t xml:space="preserve"> P. Alterations in androgen deprivation enhanced prostate-specific membrane antigen (PSMA) expression in prostate cancer cells as a target for diagnostics and therapy. </w:t>
      </w:r>
      <w:r>
        <w:rPr>
          <w:rFonts w:ascii="Book Antiqua" w:eastAsia="Book Antiqua" w:hAnsi="Book Antiqua" w:cs="Book Antiqua"/>
          <w:i/>
          <w:iCs/>
          <w:color w:val="000000"/>
        </w:rPr>
        <w:t>EJNMMI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66 [PMID: 26576996 DOI: 10.1186/s13550-015-0145-8]</w:t>
      </w:r>
    </w:p>
    <w:p w14:paraId="058BED18" w14:textId="77777777" w:rsidR="00A77B3E" w:rsidRDefault="001C211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Crawford ED</w:t>
      </w:r>
      <w:r>
        <w:rPr>
          <w:rFonts w:ascii="Book Antiqua" w:eastAsia="Book Antiqua" w:hAnsi="Book Antiqua" w:cs="Book Antiqua"/>
          <w:color w:val="000000"/>
        </w:rPr>
        <w:t xml:space="preserve">, Koo PJ, Shore N, </w:t>
      </w:r>
      <w:proofErr w:type="spellStart"/>
      <w:r>
        <w:rPr>
          <w:rFonts w:ascii="Book Antiqua" w:eastAsia="Book Antiqua" w:hAnsi="Book Antiqua" w:cs="Book Antiqua"/>
          <w:color w:val="000000"/>
        </w:rPr>
        <w:t>Slovin</w:t>
      </w:r>
      <w:proofErr w:type="spellEnd"/>
      <w:r>
        <w:rPr>
          <w:rFonts w:ascii="Book Antiqua" w:eastAsia="Book Antiqua" w:hAnsi="Book Antiqua" w:cs="Book Antiqua"/>
          <w:color w:val="000000"/>
        </w:rPr>
        <w:t xml:space="preserve"> SF, Concepcion RS, Freedland SJ, Gomella LG, Karsh L, Keane TE, Maroni P, Penson D, </w:t>
      </w:r>
      <w:proofErr w:type="spellStart"/>
      <w:r>
        <w:rPr>
          <w:rFonts w:ascii="Book Antiqua" w:eastAsia="Book Antiqua" w:hAnsi="Book Antiqua" w:cs="Book Antiqua"/>
          <w:color w:val="000000"/>
        </w:rPr>
        <w:t>Petrylak</w:t>
      </w:r>
      <w:proofErr w:type="spellEnd"/>
      <w:r>
        <w:rPr>
          <w:rFonts w:ascii="Book Antiqua" w:eastAsia="Book Antiqua" w:hAnsi="Book Antiqua" w:cs="Book Antiqua"/>
          <w:color w:val="000000"/>
        </w:rPr>
        <w:t xml:space="preserve"> DP, Ross A, </w:t>
      </w:r>
      <w:proofErr w:type="spellStart"/>
      <w:r>
        <w:rPr>
          <w:rFonts w:ascii="Book Antiqua" w:eastAsia="Book Antiqua" w:hAnsi="Book Antiqua" w:cs="Book Antiqua"/>
          <w:color w:val="000000"/>
        </w:rPr>
        <w:t>Mouraviev</w:t>
      </w:r>
      <w:proofErr w:type="spellEnd"/>
      <w:r>
        <w:rPr>
          <w:rFonts w:ascii="Book Antiqua" w:eastAsia="Book Antiqua" w:hAnsi="Book Antiqua" w:cs="Book Antiqua"/>
          <w:color w:val="000000"/>
        </w:rPr>
        <w:t xml:space="preserve"> V, Reiter RE, </w:t>
      </w:r>
      <w:proofErr w:type="spellStart"/>
      <w:r>
        <w:rPr>
          <w:rFonts w:ascii="Book Antiqua" w:eastAsia="Book Antiqua" w:hAnsi="Book Antiqua" w:cs="Book Antiqua"/>
          <w:color w:val="000000"/>
        </w:rPr>
        <w:t>Divgi</w:t>
      </w:r>
      <w:proofErr w:type="spellEnd"/>
      <w:r>
        <w:rPr>
          <w:rFonts w:ascii="Book Antiqua" w:eastAsia="Book Antiqua" w:hAnsi="Book Antiqua" w:cs="Book Antiqua"/>
          <w:color w:val="000000"/>
        </w:rPr>
        <w:t xml:space="preserve"> C, Yu EY; RADAR III Group. A Clinician's Guide to Next Generation Imaging in Patients With Advanced Prostate Cancer (RADAR III).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w:t>
      </w:r>
      <w:r>
        <w:rPr>
          <w:rFonts w:ascii="Book Antiqua" w:eastAsia="Book Antiqua" w:hAnsi="Book Antiqua" w:cs="Book Antiqua"/>
          <w:color w:val="000000"/>
        </w:rPr>
        <w:t>: 682-692 [PMID: 30077557 DOI: 10.1016/j.juro.2018.05.164]</w:t>
      </w:r>
    </w:p>
    <w:p w14:paraId="64135DDA" w14:textId="77777777" w:rsidR="00A77B3E" w:rsidRDefault="001C211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Fendler WP</w:t>
      </w:r>
      <w:r>
        <w:rPr>
          <w:rFonts w:ascii="Book Antiqua" w:eastAsia="Book Antiqua" w:hAnsi="Book Antiqua" w:cs="Book Antiqua"/>
          <w:color w:val="000000"/>
        </w:rPr>
        <w:t xml:space="preserve">, Weber M, </w:t>
      </w:r>
      <w:proofErr w:type="spellStart"/>
      <w:r>
        <w:rPr>
          <w:rFonts w:ascii="Book Antiqua" w:eastAsia="Book Antiqua" w:hAnsi="Book Antiqua" w:cs="Book Antiqua"/>
          <w:color w:val="000000"/>
        </w:rPr>
        <w:t>Iravani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MS, Calais J, </w:t>
      </w:r>
      <w:proofErr w:type="spellStart"/>
      <w:r>
        <w:rPr>
          <w:rFonts w:ascii="Book Antiqua" w:eastAsia="Book Antiqua" w:hAnsi="Book Antiqua" w:cs="Book Antiqua"/>
          <w:color w:val="000000"/>
        </w:rPr>
        <w:t>Czernin</w:t>
      </w:r>
      <w:proofErr w:type="spellEnd"/>
      <w:r>
        <w:rPr>
          <w:rFonts w:ascii="Book Antiqua" w:eastAsia="Book Antiqua" w:hAnsi="Book Antiqua" w:cs="Book Antiqua"/>
          <w:color w:val="000000"/>
        </w:rPr>
        <w:t xml:space="preserve"> J, Ilhan H, Saad F, Small EJ, Smith MR, Perez PM, Hope TA, Rauscher I, </w:t>
      </w:r>
      <w:proofErr w:type="spellStart"/>
      <w:r>
        <w:rPr>
          <w:rFonts w:ascii="Book Antiqua" w:eastAsia="Book Antiqua" w:hAnsi="Book Antiqua" w:cs="Book Antiqua"/>
          <w:color w:val="000000"/>
        </w:rPr>
        <w:t>Londhe</w:t>
      </w:r>
      <w:proofErr w:type="spellEnd"/>
      <w:r>
        <w:rPr>
          <w:rFonts w:ascii="Book Antiqua" w:eastAsia="Book Antiqua" w:hAnsi="Book Antiqua" w:cs="Book Antiqua"/>
          <w:color w:val="000000"/>
        </w:rPr>
        <w:t xml:space="preserve"> A, Lopez-</w:t>
      </w:r>
      <w:proofErr w:type="spellStart"/>
      <w:r>
        <w:rPr>
          <w:rFonts w:ascii="Book Antiqua" w:eastAsia="Book Antiqua" w:hAnsi="Book Antiqua" w:cs="Book Antiqua"/>
          <w:color w:val="000000"/>
        </w:rPr>
        <w:t>Gitlitz</w:t>
      </w:r>
      <w:proofErr w:type="spellEnd"/>
      <w:r>
        <w:rPr>
          <w:rFonts w:ascii="Book Antiqua" w:eastAsia="Book Antiqua" w:hAnsi="Book Antiqua" w:cs="Book Antiqua"/>
          <w:color w:val="000000"/>
        </w:rPr>
        <w:t xml:space="preserve"> A, Cheng S, Maurer T, Herrmann K, </w:t>
      </w:r>
      <w:proofErr w:type="spellStart"/>
      <w:r>
        <w:rPr>
          <w:rFonts w:ascii="Book Antiqua" w:eastAsia="Book Antiqua" w:hAnsi="Book Antiqua" w:cs="Book Antiqua"/>
          <w:color w:val="000000"/>
        </w:rPr>
        <w:t>Eiber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Hadaschik</w:t>
      </w:r>
      <w:proofErr w:type="spellEnd"/>
      <w:r>
        <w:rPr>
          <w:rFonts w:ascii="Book Antiqua" w:eastAsia="Book Antiqua" w:hAnsi="Book Antiqua" w:cs="Book Antiqua"/>
          <w:color w:val="000000"/>
        </w:rPr>
        <w:t xml:space="preserve"> B. Prostate-Specific Membrane Antigen Ligand Positron Emission Tomography in Men with Nonmetastatic Castration-Resistant Prostate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7448-7454 [PMID: 31511295 DOI: 10.1158/1078-0432.CCR-19-1050]</w:t>
      </w:r>
    </w:p>
    <w:p w14:paraId="56044D82" w14:textId="77777777" w:rsidR="00A77B3E" w:rsidRDefault="001C211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Seymour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Hamstra</w:t>
      </w:r>
      <w:proofErr w:type="spellEnd"/>
      <w:r>
        <w:rPr>
          <w:rFonts w:ascii="Book Antiqua" w:eastAsia="Book Antiqua" w:hAnsi="Book Antiqua" w:cs="Book Antiqua"/>
          <w:color w:val="000000"/>
        </w:rPr>
        <w:t xml:space="preserve"> D. Quality of life is not compromised with intensification of androgen therapy in recurrent prostate cancer.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1275-1276 [PMID: 30213450 DOI: 10.1016/S1470-2045(18)30567-9]</w:t>
      </w:r>
    </w:p>
    <w:p w14:paraId="7E1E61D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E9C91B4" w14:textId="77777777" w:rsidR="00A77B3E" w:rsidRDefault="001C2110">
      <w:pPr>
        <w:spacing w:line="360" w:lineRule="auto"/>
        <w:jc w:val="both"/>
      </w:pPr>
      <w:r>
        <w:rPr>
          <w:rFonts w:ascii="Book Antiqua" w:eastAsia="Book Antiqua" w:hAnsi="Book Antiqua" w:cs="Book Antiqua"/>
          <w:b/>
          <w:color w:val="000000"/>
        </w:rPr>
        <w:lastRenderedPageBreak/>
        <w:t>Footnotes</w:t>
      </w:r>
    </w:p>
    <w:p w14:paraId="078E9883" w14:textId="32DE535A" w:rsidR="00A77B3E" w:rsidRDefault="001C211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w:t>
      </w:r>
      <w:r w:rsidR="00FB5B7A">
        <w:rPr>
          <w:rFonts w:ascii="Book Antiqua" w:eastAsia="Book Antiqua" w:hAnsi="Book Antiqua" w:cs="Book Antiqua"/>
          <w:color w:val="000000"/>
        </w:rPr>
        <w:t>.</w:t>
      </w:r>
    </w:p>
    <w:p w14:paraId="047D7F48" w14:textId="77777777" w:rsidR="00A77B3E" w:rsidRDefault="00A77B3E">
      <w:pPr>
        <w:spacing w:line="360" w:lineRule="auto"/>
        <w:jc w:val="both"/>
      </w:pPr>
    </w:p>
    <w:p w14:paraId="5D88AEA4" w14:textId="77777777" w:rsidR="00A77B3E" w:rsidRDefault="001C211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A0C056" w14:textId="77777777" w:rsidR="00A77B3E" w:rsidRDefault="00A77B3E">
      <w:pPr>
        <w:spacing w:line="360" w:lineRule="auto"/>
        <w:jc w:val="both"/>
      </w:pPr>
    </w:p>
    <w:p w14:paraId="34FF9FA0" w14:textId="5989CDC4" w:rsidR="00A77B3E" w:rsidRDefault="001C211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B5B7A">
        <w:rPr>
          <w:rFonts w:ascii="Book Antiqua" w:eastAsia="Book Antiqua" w:hAnsi="Book Antiqua" w:cs="Book Antiqua"/>
          <w:color w:val="000000"/>
        </w:rPr>
        <w:t>m</w:t>
      </w:r>
      <w:r>
        <w:rPr>
          <w:rFonts w:ascii="Book Antiqua" w:eastAsia="Book Antiqua" w:hAnsi="Book Antiqua" w:cs="Book Antiqua"/>
          <w:color w:val="000000"/>
        </w:rPr>
        <w:t>anuscript</w:t>
      </w:r>
    </w:p>
    <w:p w14:paraId="4D9B84AE" w14:textId="77777777" w:rsidR="00A77B3E" w:rsidRDefault="00A77B3E">
      <w:pPr>
        <w:spacing w:line="360" w:lineRule="auto"/>
        <w:jc w:val="both"/>
      </w:pPr>
    </w:p>
    <w:p w14:paraId="623DF2F5" w14:textId="77777777" w:rsidR="00A77B3E" w:rsidRDefault="001C211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10, 2020</w:t>
      </w:r>
    </w:p>
    <w:p w14:paraId="7D9E827B" w14:textId="77777777" w:rsidR="00A77B3E" w:rsidRDefault="001C211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2020</w:t>
      </w:r>
    </w:p>
    <w:p w14:paraId="4500B4F3" w14:textId="77777777" w:rsidR="00A77B3E" w:rsidRDefault="001C2110">
      <w:pPr>
        <w:spacing w:line="360" w:lineRule="auto"/>
        <w:jc w:val="both"/>
      </w:pPr>
      <w:r>
        <w:rPr>
          <w:rFonts w:ascii="Book Antiqua" w:eastAsia="Book Antiqua" w:hAnsi="Book Antiqua" w:cs="Book Antiqua"/>
          <w:b/>
          <w:color w:val="000000"/>
        </w:rPr>
        <w:t xml:space="preserve">Article in press: </w:t>
      </w:r>
    </w:p>
    <w:p w14:paraId="472AA951" w14:textId="77777777" w:rsidR="00A77B3E" w:rsidRDefault="00A77B3E">
      <w:pPr>
        <w:spacing w:line="360" w:lineRule="auto"/>
        <w:jc w:val="both"/>
      </w:pPr>
    </w:p>
    <w:p w14:paraId="4AAE5680" w14:textId="1DF01588" w:rsidR="00A77B3E" w:rsidRDefault="001C211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1D3950AE" w14:textId="77777777" w:rsidR="00A77B3E" w:rsidRDefault="001C211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3AD8F76E" w14:textId="77777777" w:rsidR="00A77B3E" w:rsidRDefault="001C2110">
      <w:pPr>
        <w:spacing w:line="360" w:lineRule="auto"/>
        <w:jc w:val="both"/>
      </w:pPr>
      <w:r>
        <w:rPr>
          <w:rFonts w:ascii="Book Antiqua" w:eastAsia="Book Antiqua" w:hAnsi="Book Antiqua" w:cs="Book Antiqua"/>
          <w:b/>
          <w:color w:val="000000"/>
        </w:rPr>
        <w:t>Peer-review report’s scientific quality classification</w:t>
      </w:r>
    </w:p>
    <w:p w14:paraId="30991718" w14:textId="6791ED7B" w:rsidR="00A77B3E" w:rsidRDefault="001C2110">
      <w:pPr>
        <w:spacing w:line="360" w:lineRule="auto"/>
        <w:jc w:val="both"/>
      </w:pPr>
      <w:r>
        <w:rPr>
          <w:rFonts w:ascii="Book Antiqua" w:eastAsia="Book Antiqua" w:hAnsi="Book Antiqua" w:cs="Book Antiqua"/>
          <w:color w:val="000000"/>
        </w:rPr>
        <w:t>Grade A (Excellent): A</w:t>
      </w:r>
      <w:r w:rsidR="00571293">
        <w:rPr>
          <w:rFonts w:ascii="Book Antiqua" w:eastAsia="Book Antiqua" w:hAnsi="Book Antiqua" w:cs="Book Antiqua"/>
          <w:color w:val="000000"/>
        </w:rPr>
        <w:t>, A</w:t>
      </w:r>
    </w:p>
    <w:p w14:paraId="7C17CF47" w14:textId="77777777" w:rsidR="00A77B3E" w:rsidRDefault="001C2110">
      <w:pPr>
        <w:spacing w:line="360" w:lineRule="auto"/>
        <w:jc w:val="both"/>
      </w:pPr>
      <w:r>
        <w:rPr>
          <w:rFonts w:ascii="Book Antiqua" w:eastAsia="Book Antiqua" w:hAnsi="Book Antiqua" w:cs="Book Antiqua"/>
          <w:color w:val="000000"/>
        </w:rPr>
        <w:t>Grade B (Very good): 0</w:t>
      </w:r>
    </w:p>
    <w:p w14:paraId="3877D5A6" w14:textId="77777777" w:rsidR="00A77B3E" w:rsidRDefault="001C2110">
      <w:pPr>
        <w:spacing w:line="360" w:lineRule="auto"/>
        <w:jc w:val="both"/>
      </w:pPr>
      <w:r>
        <w:rPr>
          <w:rFonts w:ascii="Book Antiqua" w:eastAsia="Book Antiqua" w:hAnsi="Book Antiqua" w:cs="Book Antiqua"/>
          <w:color w:val="000000"/>
        </w:rPr>
        <w:t>Grade C (Good): 0</w:t>
      </w:r>
    </w:p>
    <w:p w14:paraId="684C08B6" w14:textId="77777777" w:rsidR="00A77B3E" w:rsidRDefault="001C2110">
      <w:pPr>
        <w:spacing w:line="360" w:lineRule="auto"/>
        <w:jc w:val="both"/>
      </w:pPr>
      <w:r>
        <w:rPr>
          <w:rFonts w:ascii="Book Antiqua" w:eastAsia="Book Antiqua" w:hAnsi="Book Antiqua" w:cs="Book Antiqua"/>
          <w:color w:val="000000"/>
        </w:rPr>
        <w:t>Grade D (Fair): 0</w:t>
      </w:r>
    </w:p>
    <w:p w14:paraId="47F70BED" w14:textId="77777777" w:rsidR="00A77B3E" w:rsidRDefault="001C2110">
      <w:pPr>
        <w:spacing w:line="360" w:lineRule="auto"/>
        <w:jc w:val="both"/>
      </w:pPr>
      <w:r>
        <w:rPr>
          <w:rFonts w:ascii="Book Antiqua" w:eastAsia="Book Antiqua" w:hAnsi="Book Antiqua" w:cs="Book Antiqua"/>
          <w:color w:val="000000"/>
        </w:rPr>
        <w:t>Grade E (Poor): 0</w:t>
      </w:r>
    </w:p>
    <w:p w14:paraId="6B916CD2" w14:textId="77777777" w:rsidR="00A77B3E" w:rsidRDefault="00A77B3E">
      <w:pPr>
        <w:spacing w:line="360" w:lineRule="auto"/>
        <w:jc w:val="both"/>
      </w:pPr>
    </w:p>
    <w:p w14:paraId="45089971" w14:textId="10B0EACB" w:rsidR="00A77B3E" w:rsidRDefault="001C211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Schlaepfer IR</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BA4F1B">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C1E197D" w14:textId="77777777" w:rsidR="00C71AE7" w:rsidRDefault="00C71AE7">
      <w:pPr>
        <w:spacing w:line="360" w:lineRule="auto"/>
        <w:jc w:val="both"/>
        <w:sectPr w:rsidR="00C71AE7">
          <w:pgSz w:w="12240" w:h="15840"/>
          <w:pgMar w:top="1440" w:right="1440" w:bottom="1440" w:left="1440" w:header="720" w:footer="720" w:gutter="0"/>
          <w:cols w:space="720"/>
          <w:docGrid w:linePitch="360"/>
        </w:sectPr>
      </w:pPr>
    </w:p>
    <w:p w14:paraId="77D46E90" w14:textId="77777777" w:rsidR="00B875F8" w:rsidRDefault="00B875F8" w:rsidP="00B875F8">
      <w:pPr>
        <w:spacing w:line="360" w:lineRule="auto"/>
        <w:jc w:val="both"/>
        <w:rPr>
          <w:rFonts w:ascii="Book Antiqua" w:eastAsia="Book Antiqua" w:hAnsi="Book Antiqua" w:cs="Book Antiqua"/>
          <w:b/>
          <w:color w:val="000000"/>
        </w:rPr>
      </w:pPr>
      <w:r w:rsidRPr="00EE287E">
        <w:rPr>
          <w:rFonts w:ascii="Book Antiqua" w:eastAsia="Book Antiqua" w:hAnsi="Book Antiqua" w:cs="Book Antiqua"/>
          <w:b/>
          <w:color w:val="000000"/>
        </w:rPr>
        <w:lastRenderedPageBreak/>
        <w:t xml:space="preserve">Table 1 Metastasis-free survival in patients with </w:t>
      </w:r>
      <w:r>
        <w:rPr>
          <w:rFonts w:ascii="Book Antiqua" w:eastAsia="Book Antiqua" w:hAnsi="Book Antiqua" w:cs="Book Antiqua"/>
          <w:b/>
          <w:color w:val="000000"/>
        </w:rPr>
        <w:t>n</w:t>
      </w:r>
      <w:r w:rsidRPr="00EE287E">
        <w:rPr>
          <w:rFonts w:ascii="Book Antiqua" w:eastAsia="Book Antiqua" w:hAnsi="Book Antiqua" w:cs="Book Antiqua"/>
          <w:b/>
          <w:color w:val="000000"/>
        </w:rPr>
        <w:t>onmetastatic castration-resistant prostate cancer in the SPARTAN, PROSPER, and ARAMIS randomized controlled trials</w:t>
      </w:r>
    </w:p>
    <w:tbl>
      <w:tblPr>
        <w:tblW w:w="9893" w:type="dxa"/>
        <w:tblInd w:w="110" w:type="dxa"/>
        <w:shd w:val="clear" w:color="auto" w:fill="CED7E7"/>
        <w:tblLayout w:type="fixed"/>
        <w:tblLook w:val="04A0" w:firstRow="1" w:lastRow="0" w:firstColumn="1" w:lastColumn="0" w:noHBand="0" w:noVBand="1"/>
      </w:tblPr>
      <w:tblGrid>
        <w:gridCol w:w="4241"/>
        <w:gridCol w:w="990"/>
        <w:gridCol w:w="1685"/>
        <w:gridCol w:w="2977"/>
      </w:tblGrid>
      <w:tr w:rsidR="00B875F8" w:rsidRPr="00EE287E" w14:paraId="0E4D21EE" w14:textId="77777777" w:rsidTr="007B682E">
        <w:trPr>
          <w:trHeight w:val="404"/>
        </w:trPr>
        <w:tc>
          <w:tcPr>
            <w:tcW w:w="4241" w:type="dxa"/>
            <w:tcBorders>
              <w:top w:val="single" w:sz="4" w:space="0" w:color="auto"/>
              <w:bottom w:val="single" w:sz="4" w:space="0" w:color="auto"/>
            </w:tcBorders>
            <w:shd w:val="clear" w:color="auto" w:fill="auto"/>
            <w:tcMar>
              <w:top w:w="80" w:type="dxa"/>
              <w:left w:w="80" w:type="dxa"/>
              <w:bottom w:w="80" w:type="dxa"/>
              <w:right w:w="80" w:type="dxa"/>
            </w:tcMar>
          </w:tcPr>
          <w:p w14:paraId="2BA28A5E" w14:textId="77777777" w:rsidR="00B875F8" w:rsidRPr="00EE287E" w:rsidRDefault="00B875F8" w:rsidP="007B682E">
            <w:pPr>
              <w:pStyle w:val="CuerpoA"/>
              <w:spacing w:line="360" w:lineRule="auto"/>
              <w:rPr>
                <w:rFonts w:ascii="Book Antiqua" w:hAnsi="Book Antiqua"/>
                <w:b/>
                <w:szCs w:val="20"/>
                <w:lang w:val="en-GB"/>
              </w:rPr>
            </w:pPr>
            <w:r w:rsidRPr="00EE287E">
              <w:rPr>
                <w:rStyle w:val="Ninguno"/>
                <w:rFonts w:ascii="Book Antiqua" w:hAnsi="Book Antiqua"/>
                <w:b/>
                <w:szCs w:val="20"/>
                <w:lang w:val="en-GB"/>
              </w:rPr>
              <w:t>Objective: MFS</w:t>
            </w:r>
          </w:p>
        </w:tc>
        <w:tc>
          <w:tcPr>
            <w:tcW w:w="990" w:type="dxa"/>
            <w:tcBorders>
              <w:top w:val="single" w:sz="4" w:space="0" w:color="auto"/>
              <w:bottom w:val="single" w:sz="4" w:space="0" w:color="auto"/>
            </w:tcBorders>
            <w:shd w:val="clear" w:color="auto" w:fill="auto"/>
            <w:tcMar>
              <w:top w:w="80" w:type="dxa"/>
              <w:left w:w="80" w:type="dxa"/>
              <w:bottom w:w="80" w:type="dxa"/>
              <w:right w:w="80" w:type="dxa"/>
            </w:tcMar>
          </w:tcPr>
          <w:p w14:paraId="15A2FBF6" w14:textId="77777777" w:rsidR="00B875F8" w:rsidRPr="00EE287E" w:rsidRDefault="00B875F8" w:rsidP="007B682E">
            <w:pPr>
              <w:pStyle w:val="CuerpoA"/>
              <w:spacing w:line="360" w:lineRule="auto"/>
              <w:rPr>
                <w:rFonts w:ascii="Book Antiqua" w:hAnsi="Book Antiqua"/>
                <w:b/>
                <w:i/>
                <w:iCs/>
                <w:szCs w:val="20"/>
                <w:lang w:val="en-GB"/>
              </w:rPr>
            </w:pPr>
            <w:r w:rsidRPr="00EE287E">
              <w:rPr>
                <w:rStyle w:val="Ninguno"/>
                <w:rFonts w:ascii="Book Antiqua" w:hAnsi="Book Antiqua"/>
                <w:b/>
                <w:i/>
                <w:iCs/>
                <w:szCs w:val="20"/>
                <w:lang w:val="en-GB"/>
              </w:rPr>
              <w:t>n</w:t>
            </w:r>
          </w:p>
        </w:tc>
        <w:tc>
          <w:tcPr>
            <w:tcW w:w="1685" w:type="dxa"/>
            <w:tcBorders>
              <w:top w:val="single" w:sz="4" w:space="0" w:color="auto"/>
              <w:bottom w:val="single" w:sz="4" w:space="0" w:color="auto"/>
            </w:tcBorders>
            <w:shd w:val="clear" w:color="auto" w:fill="auto"/>
            <w:tcMar>
              <w:top w:w="80" w:type="dxa"/>
              <w:left w:w="80" w:type="dxa"/>
              <w:bottom w:w="80" w:type="dxa"/>
              <w:right w:w="80" w:type="dxa"/>
            </w:tcMar>
          </w:tcPr>
          <w:p w14:paraId="28A8CE9B" w14:textId="77777777" w:rsidR="00B875F8" w:rsidRPr="00EE287E" w:rsidRDefault="00B875F8" w:rsidP="007B682E">
            <w:pPr>
              <w:pStyle w:val="CuerpoA"/>
              <w:spacing w:line="360" w:lineRule="auto"/>
              <w:rPr>
                <w:rFonts w:ascii="Book Antiqua" w:hAnsi="Book Antiqua"/>
              </w:rPr>
            </w:pPr>
            <w:r w:rsidRPr="00EE287E">
              <w:rPr>
                <w:rStyle w:val="Ninguno"/>
                <w:rFonts w:ascii="Book Antiqua" w:hAnsi="Book Antiqua"/>
                <w:b/>
                <w:szCs w:val="20"/>
                <w:lang w:val="en-GB"/>
              </w:rPr>
              <w:t>HR</w:t>
            </w:r>
            <w:r>
              <w:rPr>
                <w:rStyle w:val="Ninguno"/>
                <w:rFonts w:ascii="Book Antiqua" w:eastAsiaTheme="minorEastAsia" w:hAnsi="Book Antiqua" w:hint="eastAsia"/>
                <w:lang w:eastAsia="zh-CN"/>
              </w:rPr>
              <w:t xml:space="preserve"> </w:t>
            </w:r>
            <w:r w:rsidRPr="00EE287E">
              <w:rPr>
                <w:rStyle w:val="Ninguno"/>
                <w:rFonts w:ascii="Book Antiqua" w:hAnsi="Book Antiqua"/>
                <w:b/>
                <w:szCs w:val="20"/>
                <w:lang w:val="en-GB"/>
              </w:rPr>
              <w:t>for MFS</w:t>
            </w:r>
          </w:p>
        </w:tc>
        <w:tc>
          <w:tcPr>
            <w:tcW w:w="2977" w:type="dxa"/>
            <w:tcBorders>
              <w:top w:val="single" w:sz="4" w:space="0" w:color="auto"/>
              <w:bottom w:val="single" w:sz="4" w:space="0" w:color="auto"/>
            </w:tcBorders>
            <w:shd w:val="clear" w:color="auto" w:fill="auto"/>
            <w:tcMar>
              <w:top w:w="80" w:type="dxa"/>
              <w:left w:w="80" w:type="dxa"/>
              <w:bottom w:w="80" w:type="dxa"/>
              <w:right w:w="80" w:type="dxa"/>
            </w:tcMar>
          </w:tcPr>
          <w:p w14:paraId="6F0AD9A9" w14:textId="073D7978" w:rsidR="00B875F8" w:rsidRPr="00EE287E" w:rsidRDefault="00B875F8" w:rsidP="007B682E">
            <w:pPr>
              <w:pStyle w:val="CuerpoA"/>
              <w:spacing w:line="360" w:lineRule="auto"/>
              <w:rPr>
                <w:rFonts w:ascii="Book Antiqua" w:hAnsi="Book Antiqua"/>
                <w:b/>
                <w:szCs w:val="20"/>
                <w:lang w:val="en-GB"/>
              </w:rPr>
            </w:pPr>
            <w:r w:rsidRPr="00EE287E">
              <w:rPr>
                <w:rStyle w:val="Ninguno"/>
                <w:rFonts w:ascii="Book Antiqua" w:hAnsi="Book Antiqua"/>
                <w:b/>
                <w:szCs w:val="20"/>
                <w:lang w:val="en-GB"/>
              </w:rPr>
              <w:t xml:space="preserve">95%CI; </w:t>
            </w:r>
            <w:r w:rsidRPr="00B875F8">
              <w:rPr>
                <w:rStyle w:val="Ninguno"/>
                <w:rFonts w:ascii="Book Antiqua" w:hAnsi="Book Antiqua"/>
                <w:b/>
                <w:i/>
                <w:iCs/>
                <w:szCs w:val="20"/>
                <w:lang w:val="en-GB"/>
              </w:rPr>
              <w:t xml:space="preserve">P </w:t>
            </w:r>
            <w:r>
              <w:rPr>
                <w:rStyle w:val="Ninguno"/>
                <w:rFonts w:ascii="Book Antiqua" w:hAnsi="Book Antiqua"/>
                <w:b/>
                <w:szCs w:val="20"/>
                <w:lang w:val="en-GB"/>
              </w:rPr>
              <w:t>value</w:t>
            </w:r>
          </w:p>
        </w:tc>
      </w:tr>
      <w:tr w:rsidR="00B875F8" w:rsidRPr="00EE287E" w14:paraId="17503296" w14:textId="77777777" w:rsidTr="007B682E">
        <w:trPr>
          <w:trHeight w:val="404"/>
        </w:trPr>
        <w:tc>
          <w:tcPr>
            <w:tcW w:w="4241" w:type="dxa"/>
            <w:tcBorders>
              <w:top w:val="single" w:sz="4" w:space="0" w:color="auto"/>
            </w:tcBorders>
            <w:shd w:val="clear" w:color="auto" w:fill="auto"/>
            <w:tcMar>
              <w:top w:w="80" w:type="dxa"/>
              <w:left w:w="80" w:type="dxa"/>
              <w:bottom w:w="80" w:type="dxa"/>
              <w:right w:w="80" w:type="dxa"/>
            </w:tcMar>
          </w:tcPr>
          <w:p w14:paraId="401B72EA" w14:textId="5C699263"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 xml:space="preserve">Apalutamide </w:t>
            </w:r>
            <w:r w:rsidRPr="00B875F8">
              <w:rPr>
                <w:rStyle w:val="Ninguno"/>
                <w:rFonts w:ascii="Book Antiqua" w:hAnsi="Book Antiqua"/>
                <w:i/>
                <w:iCs/>
                <w:szCs w:val="20"/>
                <w:lang w:val="en-GB"/>
              </w:rPr>
              <w:t xml:space="preserve">vs </w:t>
            </w:r>
            <w:r w:rsidRPr="00EE287E">
              <w:rPr>
                <w:rStyle w:val="Ninguno"/>
                <w:rFonts w:ascii="Book Antiqua" w:hAnsi="Book Antiqua"/>
                <w:szCs w:val="20"/>
                <w:lang w:val="en-GB"/>
              </w:rPr>
              <w:t>placebo (SPARTAN)</w:t>
            </w:r>
          </w:p>
        </w:tc>
        <w:tc>
          <w:tcPr>
            <w:tcW w:w="990" w:type="dxa"/>
            <w:tcBorders>
              <w:top w:val="single" w:sz="4" w:space="0" w:color="auto"/>
            </w:tcBorders>
            <w:shd w:val="clear" w:color="auto" w:fill="auto"/>
            <w:tcMar>
              <w:top w:w="80" w:type="dxa"/>
              <w:left w:w="80" w:type="dxa"/>
              <w:bottom w:w="80" w:type="dxa"/>
              <w:right w:w="80" w:type="dxa"/>
            </w:tcMar>
          </w:tcPr>
          <w:p w14:paraId="78145179"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1207</w:t>
            </w:r>
          </w:p>
        </w:tc>
        <w:tc>
          <w:tcPr>
            <w:tcW w:w="1685" w:type="dxa"/>
            <w:tcBorders>
              <w:top w:val="single" w:sz="4" w:space="0" w:color="auto"/>
            </w:tcBorders>
            <w:shd w:val="clear" w:color="auto" w:fill="auto"/>
            <w:tcMar>
              <w:top w:w="80" w:type="dxa"/>
              <w:left w:w="80" w:type="dxa"/>
              <w:bottom w:w="80" w:type="dxa"/>
              <w:right w:w="80" w:type="dxa"/>
            </w:tcMar>
          </w:tcPr>
          <w:p w14:paraId="3E868053"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0.28</w:t>
            </w:r>
          </w:p>
        </w:tc>
        <w:tc>
          <w:tcPr>
            <w:tcW w:w="2977" w:type="dxa"/>
            <w:tcBorders>
              <w:top w:val="single" w:sz="4" w:space="0" w:color="auto"/>
            </w:tcBorders>
            <w:shd w:val="clear" w:color="auto" w:fill="auto"/>
            <w:tcMar>
              <w:top w:w="80" w:type="dxa"/>
              <w:left w:w="80" w:type="dxa"/>
              <w:bottom w:w="80" w:type="dxa"/>
              <w:right w:w="80" w:type="dxa"/>
            </w:tcMar>
          </w:tcPr>
          <w:p w14:paraId="48F5C33F" w14:textId="7F5208F6"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0.23</w:t>
            </w:r>
            <w:r>
              <w:rPr>
                <w:rStyle w:val="Ninguno"/>
                <w:rFonts w:ascii="Book Antiqua" w:hAnsi="Book Antiqua"/>
                <w:szCs w:val="20"/>
                <w:lang w:val="en-GB"/>
              </w:rPr>
              <w:t>-</w:t>
            </w:r>
            <w:r w:rsidRPr="00EE287E">
              <w:rPr>
                <w:rStyle w:val="Ninguno"/>
                <w:rFonts w:ascii="Book Antiqua" w:hAnsi="Book Antiqua"/>
                <w:szCs w:val="20"/>
                <w:lang w:val="en-GB"/>
              </w:rPr>
              <w:t>0.35; &lt;</w:t>
            </w:r>
            <w:r>
              <w:rPr>
                <w:rStyle w:val="Ninguno"/>
                <w:rFonts w:ascii="Book Antiqua" w:hAnsi="Book Antiqua"/>
                <w:szCs w:val="20"/>
                <w:lang w:val="en-GB"/>
              </w:rPr>
              <w:t xml:space="preserve"> </w:t>
            </w:r>
            <w:r w:rsidRPr="00EE287E">
              <w:rPr>
                <w:rStyle w:val="Ninguno"/>
                <w:rFonts w:ascii="Book Antiqua" w:hAnsi="Book Antiqua"/>
                <w:szCs w:val="20"/>
                <w:lang w:val="en-GB"/>
              </w:rPr>
              <w:t>0.0001</w:t>
            </w:r>
          </w:p>
        </w:tc>
      </w:tr>
      <w:tr w:rsidR="00B875F8" w:rsidRPr="00EE287E" w14:paraId="702967EE" w14:textId="77777777" w:rsidTr="007B682E">
        <w:trPr>
          <w:trHeight w:val="404"/>
        </w:trPr>
        <w:tc>
          <w:tcPr>
            <w:tcW w:w="4241" w:type="dxa"/>
            <w:shd w:val="clear" w:color="auto" w:fill="auto"/>
            <w:tcMar>
              <w:top w:w="80" w:type="dxa"/>
              <w:left w:w="80" w:type="dxa"/>
              <w:bottom w:w="80" w:type="dxa"/>
              <w:right w:w="80" w:type="dxa"/>
            </w:tcMar>
          </w:tcPr>
          <w:p w14:paraId="7AB17124" w14:textId="7D6C0ACF"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 xml:space="preserve">Enzalutamide </w:t>
            </w:r>
            <w:r w:rsidRPr="00B875F8">
              <w:rPr>
                <w:rStyle w:val="Ninguno"/>
                <w:rFonts w:ascii="Book Antiqua" w:hAnsi="Book Antiqua"/>
                <w:i/>
                <w:iCs/>
                <w:szCs w:val="20"/>
                <w:lang w:val="en-GB"/>
              </w:rPr>
              <w:t>vs</w:t>
            </w:r>
            <w:r>
              <w:rPr>
                <w:rStyle w:val="Ninguno"/>
                <w:rFonts w:ascii="Book Antiqua" w:hAnsi="Book Antiqua"/>
                <w:szCs w:val="20"/>
                <w:lang w:val="en-GB"/>
              </w:rPr>
              <w:t xml:space="preserve"> </w:t>
            </w:r>
            <w:r w:rsidRPr="00EE287E">
              <w:rPr>
                <w:rStyle w:val="Ninguno"/>
                <w:rFonts w:ascii="Book Antiqua" w:hAnsi="Book Antiqua"/>
                <w:szCs w:val="20"/>
                <w:lang w:val="en-GB"/>
              </w:rPr>
              <w:t>placebo (PROSPER)</w:t>
            </w:r>
          </w:p>
        </w:tc>
        <w:tc>
          <w:tcPr>
            <w:tcW w:w="990" w:type="dxa"/>
            <w:shd w:val="clear" w:color="auto" w:fill="auto"/>
            <w:tcMar>
              <w:top w:w="80" w:type="dxa"/>
              <w:left w:w="80" w:type="dxa"/>
              <w:bottom w:w="80" w:type="dxa"/>
              <w:right w:w="80" w:type="dxa"/>
            </w:tcMar>
          </w:tcPr>
          <w:p w14:paraId="044E6B51"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1401</w:t>
            </w:r>
          </w:p>
        </w:tc>
        <w:tc>
          <w:tcPr>
            <w:tcW w:w="1685" w:type="dxa"/>
            <w:shd w:val="clear" w:color="auto" w:fill="auto"/>
            <w:tcMar>
              <w:top w:w="80" w:type="dxa"/>
              <w:left w:w="80" w:type="dxa"/>
              <w:bottom w:w="80" w:type="dxa"/>
              <w:right w:w="80" w:type="dxa"/>
            </w:tcMar>
          </w:tcPr>
          <w:p w14:paraId="4F77B201"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0.29</w:t>
            </w:r>
          </w:p>
        </w:tc>
        <w:tc>
          <w:tcPr>
            <w:tcW w:w="2977" w:type="dxa"/>
            <w:shd w:val="clear" w:color="auto" w:fill="auto"/>
            <w:tcMar>
              <w:top w:w="80" w:type="dxa"/>
              <w:left w:w="80" w:type="dxa"/>
              <w:bottom w:w="80" w:type="dxa"/>
              <w:right w:w="80" w:type="dxa"/>
            </w:tcMar>
          </w:tcPr>
          <w:p w14:paraId="3DF4B751" w14:textId="5F05AA53"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0.24</w:t>
            </w:r>
            <w:r>
              <w:rPr>
                <w:rStyle w:val="Ninguno"/>
                <w:rFonts w:ascii="Book Antiqua" w:hAnsi="Book Antiqua"/>
                <w:szCs w:val="20"/>
                <w:lang w:val="en-GB"/>
              </w:rPr>
              <w:t>-</w:t>
            </w:r>
            <w:r w:rsidRPr="00EE287E">
              <w:rPr>
                <w:rStyle w:val="Ninguno"/>
                <w:rFonts w:ascii="Book Antiqua" w:hAnsi="Book Antiqua"/>
                <w:szCs w:val="20"/>
                <w:lang w:val="en-GB"/>
              </w:rPr>
              <w:t>0.35; &lt;</w:t>
            </w:r>
            <w:r>
              <w:rPr>
                <w:rStyle w:val="Ninguno"/>
                <w:rFonts w:ascii="Book Antiqua" w:hAnsi="Book Antiqua"/>
                <w:szCs w:val="20"/>
                <w:lang w:val="en-GB"/>
              </w:rPr>
              <w:t xml:space="preserve"> </w:t>
            </w:r>
            <w:r w:rsidRPr="00EE287E">
              <w:rPr>
                <w:rStyle w:val="Ninguno"/>
                <w:rFonts w:ascii="Book Antiqua" w:hAnsi="Book Antiqua"/>
                <w:szCs w:val="20"/>
                <w:lang w:val="en-GB"/>
              </w:rPr>
              <w:t>0.0001</w:t>
            </w:r>
          </w:p>
        </w:tc>
      </w:tr>
      <w:tr w:rsidR="00B875F8" w:rsidRPr="00EE287E" w14:paraId="717BAC64" w14:textId="77777777" w:rsidTr="007B682E">
        <w:trPr>
          <w:trHeight w:val="169"/>
        </w:trPr>
        <w:tc>
          <w:tcPr>
            <w:tcW w:w="4241" w:type="dxa"/>
            <w:tcBorders>
              <w:bottom w:val="single" w:sz="4" w:space="0" w:color="auto"/>
            </w:tcBorders>
            <w:shd w:val="clear" w:color="auto" w:fill="auto"/>
            <w:tcMar>
              <w:top w:w="80" w:type="dxa"/>
              <w:left w:w="80" w:type="dxa"/>
              <w:bottom w:w="80" w:type="dxa"/>
              <w:right w:w="80" w:type="dxa"/>
            </w:tcMar>
          </w:tcPr>
          <w:p w14:paraId="7F84F690" w14:textId="34E7901A"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 xml:space="preserve">Darolutamide </w:t>
            </w:r>
            <w:r w:rsidRPr="00B875F8">
              <w:rPr>
                <w:rStyle w:val="Ninguno"/>
                <w:rFonts w:ascii="Book Antiqua" w:hAnsi="Book Antiqua"/>
                <w:i/>
                <w:iCs/>
                <w:szCs w:val="20"/>
                <w:lang w:val="en-GB"/>
              </w:rPr>
              <w:t>vs</w:t>
            </w:r>
            <w:r w:rsidRPr="00EE287E">
              <w:rPr>
                <w:rStyle w:val="Ninguno"/>
                <w:rFonts w:ascii="Book Antiqua" w:hAnsi="Book Antiqua"/>
                <w:szCs w:val="20"/>
                <w:lang w:val="en-GB"/>
              </w:rPr>
              <w:t xml:space="preserve"> placebo (ARAMIS)</w:t>
            </w:r>
          </w:p>
        </w:tc>
        <w:tc>
          <w:tcPr>
            <w:tcW w:w="990" w:type="dxa"/>
            <w:tcBorders>
              <w:bottom w:val="single" w:sz="4" w:space="0" w:color="auto"/>
            </w:tcBorders>
            <w:shd w:val="clear" w:color="auto" w:fill="auto"/>
            <w:tcMar>
              <w:top w:w="80" w:type="dxa"/>
              <w:left w:w="80" w:type="dxa"/>
              <w:bottom w:w="80" w:type="dxa"/>
              <w:right w:w="80" w:type="dxa"/>
            </w:tcMar>
          </w:tcPr>
          <w:p w14:paraId="2AF4021A"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1509</w:t>
            </w:r>
          </w:p>
        </w:tc>
        <w:tc>
          <w:tcPr>
            <w:tcW w:w="1685" w:type="dxa"/>
            <w:tcBorders>
              <w:bottom w:val="single" w:sz="4" w:space="0" w:color="auto"/>
            </w:tcBorders>
            <w:shd w:val="clear" w:color="auto" w:fill="auto"/>
            <w:tcMar>
              <w:top w:w="80" w:type="dxa"/>
              <w:left w:w="80" w:type="dxa"/>
              <w:bottom w:w="80" w:type="dxa"/>
              <w:right w:w="80" w:type="dxa"/>
            </w:tcMar>
          </w:tcPr>
          <w:p w14:paraId="6E0168CC"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0.41</w:t>
            </w:r>
          </w:p>
        </w:tc>
        <w:tc>
          <w:tcPr>
            <w:tcW w:w="2977" w:type="dxa"/>
            <w:tcBorders>
              <w:bottom w:val="single" w:sz="4" w:space="0" w:color="auto"/>
            </w:tcBorders>
            <w:shd w:val="clear" w:color="auto" w:fill="auto"/>
            <w:tcMar>
              <w:top w:w="80" w:type="dxa"/>
              <w:left w:w="80" w:type="dxa"/>
              <w:bottom w:w="80" w:type="dxa"/>
              <w:right w:w="80" w:type="dxa"/>
            </w:tcMar>
          </w:tcPr>
          <w:p w14:paraId="471E53A5" w14:textId="553834EB"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0.34</w:t>
            </w:r>
            <w:r>
              <w:rPr>
                <w:rStyle w:val="Ninguno"/>
                <w:rFonts w:ascii="Book Antiqua" w:hAnsi="Book Antiqua"/>
                <w:szCs w:val="20"/>
                <w:lang w:val="en-GB"/>
              </w:rPr>
              <w:t>-</w:t>
            </w:r>
            <w:r w:rsidRPr="00EE287E">
              <w:rPr>
                <w:rStyle w:val="Ninguno"/>
                <w:rFonts w:ascii="Book Antiqua" w:hAnsi="Book Antiqua"/>
                <w:szCs w:val="20"/>
                <w:lang w:val="en-GB"/>
              </w:rPr>
              <w:t>0.50; &lt;</w:t>
            </w:r>
            <w:r>
              <w:rPr>
                <w:rStyle w:val="Ninguno"/>
                <w:rFonts w:ascii="Book Antiqua" w:hAnsi="Book Antiqua"/>
                <w:szCs w:val="20"/>
                <w:lang w:val="en-GB"/>
              </w:rPr>
              <w:t xml:space="preserve"> </w:t>
            </w:r>
            <w:r w:rsidRPr="00EE287E">
              <w:rPr>
                <w:rStyle w:val="Ninguno"/>
                <w:rFonts w:ascii="Book Antiqua" w:hAnsi="Book Antiqua"/>
                <w:szCs w:val="20"/>
                <w:lang w:val="en-GB"/>
              </w:rPr>
              <w:t>0.001</w:t>
            </w:r>
          </w:p>
        </w:tc>
      </w:tr>
    </w:tbl>
    <w:p w14:paraId="15A7B705" w14:textId="3036DAAC" w:rsidR="00A77B3E" w:rsidRPr="00DA547F" w:rsidRDefault="00B71615" w:rsidP="00B875F8">
      <w:pPr>
        <w:spacing w:line="360" w:lineRule="auto"/>
        <w:jc w:val="both"/>
        <w:rPr>
          <w:rFonts w:ascii="Book Antiqua" w:hAnsi="Book Antiqua"/>
        </w:rPr>
      </w:pPr>
      <w:r w:rsidRPr="00DA547F">
        <w:rPr>
          <w:rFonts w:ascii="Book Antiqua" w:hAnsi="Book Antiqua"/>
        </w:rPr>
        <w:t>CI</w:t>
      </w:r>
      <w:r>
        <w:rPr>
          <w:rFonts w:ascii="Book Antiqua" w:hAnsi="Book Antiqua"/>
        </w:rPr>
        <w:t>: C</w:t>
      </w:r>
      <w:r w:rsidRPr="00DA547F">
        <w:rPr>
          <w:rFonts w:ascii="Book Antiqua" w:hAnsi="Book Antiqua"/>
        </w:rPr>
        <w:t>onfidence interval</w:t>
      </w:r>
      <w:r>
        <w:rPr>
          <w:rFonts w:ascii="Book Antiqua" w:hAnsi="Book Antiqua"/>
        </w:rPr>
        <w:t>;</w:t>
      </w:r>
      <w:r w:rsidRPr="00DA547F">
        <w:rPr>
          <w:rFonts w:ascii="Book Antiqua" w:hAnsi="Book Antiqua"/>
        </w:rPr>
        <w:t xml:space="preserve"> </w:t>
      </w:r>
      <w:r w:rsidR="00DA547F" w:rsidRPr="00DA547F">
        <w:rPr>
          <w:rFonts w:ascii="Book Antiqua" w:hAnsi="Book Antiqua"/>
        </w:rPr>
        <w:t>HR</w:t>
      </w:r>
      <w:r w:rsidR="00DA547F">
        <w:rPr>
          <w:rFonts w:ascii="Book Antiqua" w:hAnsi="Book Antiqua"/>
        </w:rPr>
        <w:t>: H</w:t>
      </w:r>
      <w:r w:rsidR="00DA547F" w:rsidRPr="00DA547F">
        <w:rPr>
          <w:rFonts w:ascii="Book Antiqua" w:hAnsi="Book Antiqua"/>
        </w:rPr>
        <w:t>azard ratio;</w:t>
      </w:r>
      <w:r w:rsidRPr="00B71615">
        <w:rPr>
          <w:rFonts w:ascii="Book Antiqua" w:hAnsi="Book Antiqua"/>
        </w:rPr>
        <w:t xml:space="preserve"> </w:t>
      </w:r>
      <w:r w:rsidRPr="00DA547F">
        <w:rPr>
          <w:rFonts w:ascii="Book Antiqua" w:hAnsi="Book Antiqua"/>
        </w:rPr>
        <w:t>MFS</w:t>
      </w:r>
      <w:r>
        <w:rPr>
          <w:rFonts w:ascii="Book Antiqua" w:hAnsi="Book Antiqua"/>
        </w:rPr>
        <w:t>: M</w:t>
      </w:r>
      <w:r w:rsidRPr="00DA547F">
        <w:rPr>
          <w:rFonts w:ascii="Book Antiqua" w:hAnsi="Book Antiqua"/>
        </w:rPr>
        <w:t>etastasis-free survival</w:t>
      </w:r>
      <w:r>
        <w:rPr>
          <w:rFonts w:ascii="Book Antiqua" w:hAnsi="Book Antiqua"/>
        </w:rPr>
        <w:t>.</w:t>
      </w:r>
    </w:p>
    <w:sectPr w:rsidR="00A77B3E" w:rsidRPr="00DA5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3DF8" w14:textId="77777777" w:rsidR="00F168F9" w:rsidRDefault="00F168F9" w:rsidP="004E779B">
      <w:r>
        <w:separator/>
      </w:r>
    </w:p>
  </w:endnote>
  <w:endnote w:type="continuationSeparator" w:id="0">
    <w:p w14:paraId="3F77D028" w14:textId="77777777" w:rsidR="00F168F9" w:rsidRDefault="00F168F9" w:rsidP="004E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Segoe UI">
    <w:panose1 w:val="020B0604020202020204"/>
    <w:charset w:val="00"/>
    <w:family w:val="swiss"/>
    <w:pitch w:val="variable"/>
    <w:sig w:usb0="E5002E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190878496"/>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58A00B2C" w14:textId="484B4EFF" w:rsidR="004E779B" w:rsidRPr="00EC0FE4" w:rsidRDefault="004E779B" w:rsidP="004E779B">
            <w:pPr>
              <w:pStyle w:val="Footer"/>
              <w:jc w:val="right"/>
              <w:rPr>
                <w:sz w:val="24"/>
                <w:szCs w:val="24"/>
              </w:rPr>
            </w:pPr>
            <w:r w:rsidRPr="00EC0FE4">
              <w:rPr>
                <w:sz w:val="24"/>
                <w:szCs w:val="24"/>
                <w:lang w:val="zh-CN" w:eastAsia="zh-CN"/>
              </w:rPr>
              <w:t xml:space="preserve"> </w:t>
            </w:r>
            <w:r w:rsidRPr="00EC0FE4">
              <w:rPr>
                <w:rFonts w:ascii="Book Antiqua" w:hAnsi="Book Antiqua"/>
                <w:sz w:val="24"/>
                <w:szCs w:val="24"/>
              </w:rPr>
              <w:fldChar w:fldCharType="begin"/>
            </w:r>
            <w:r w:rsidRPr="00EC0FE4">
              <w:rPr>
                <w:rFonts w:ascii="Book Antiqua" w:hAnsi="Book Antiqua"/>
                <w:sz w:val="24"/>
                <w:szCs w:val="24"/>
              </w:rPr>
              <w:instrText>PAGE</w:instrText>
            </w:r>
            <w:r w:rsidRPr="00EC0FE4">
              <w:rPr>
                <w:rFonts w:ascii="Book Antiqua" w:hAnsi="Book Antiqua"/>
                <w:sz w:val="24"/>
                <w:szCs w:val="24"/>
              </w:rPr>
              <w:fldChar w:fldCharType="separate"/>
            </w:r>
            <w:r w:rsidR="00131651" w:rsidRPr="00EC0FE4">
              <w:rPr>
                <w:rFonts w:ascii="Book Antiqua" w:hAnsi="Book Antiqua"/>
                <w:noProof/>
                <w:sz w:val="24"/>
                <w:szCs w:val="24"/>
              </w:rPr>
              <w:t>17</w:t>
            </w:r>
            <w:r w:rsidRPr="00EC0FE4">
              <w:rPr>
                <w:rFonts w:ascii="Book Antiqua" w:hAnsi="Book Antiqua"/>
                <w:sz w:val="24"/>
                <w:szCs w:val="24"/>
              </w:rPr>
              <w:fldChar w:fldCharType="end"/>
            </w:r>
            <w:r w:rsidRPr="00EC0FE4">
              <w:rPr>
                <w:rFonts w:ascii="Book Antiqua" w:hAnsi="Book Antiqua"/>
                <w:sz w:val="24"/>
                <w:szCs w:val="24"/>
                <w:lang w:val="zh-CN" w:eastAsia="zh-CN"/>
              </w:rPr>
              <w:t xml:space="preserve"> / </w:t>
            </w:r>
            <w:r w:rsidRPr="00EC0FE4">
              <w:rPr>
                <w:rFonts w:ascii="Book Antiqua" w:hAnsi="Book Antiqua"/>
                <w:sz w:val="24"/>
                <w:szCs w:val="24"/>
              </w:rPr>
              <w:fldChar w:fldCharType="begin"/>
            </w:r>
            <w:r w:rsidRPr="00EC0FE4">
              <w:rPr>
                <w:rFonts w:ascii="Book Antiqua" w:hAnsi="Book Antiqua"/>
                <w:sz w:val="24"/>
                <w:szCs w:val="24"/>
              </w:rPr>
              <w:instrText>NUMPAGES</w:instrText>
            </w:r>
            <w:r w:rsidRPr="00EC0FE4">
              <w:rPr>
                <w:rFonts w:ascii="Book Antiqua" w:hAnsi="Book Antiqua"/>
                <w:sz w:val="24"/>
                <w:szCs w:val="24"/>
              </w:rPr>
              <w:fldChar w:fldCharType="separate"/>
            </w:r>
            <w:r w:rsidR="00131651" w:rsidRPr="00EC0FE4">
              <w:rPr>
                <w:rFonts w:ascii="Book Antiqua" w:hAnsi="Book Antiqua"/>
                <w:noProof/>
                <w:sz w:val="24"/>
                <w:szCs w:val="24"/>
              </w:rPr>
              <w:t>17</w:t>
            </w:r>
            <w:r w:rsidRPr="00EC0FE4">
              <w:rPr>
                <w:rFonts w:ascii="Book Antiqua" w:hAnsi="Book Antiqua"/>
                <w:sz w:val="24"/>
                <w:szCs w:val="24"/>
              </w:rPr>
              <w:fldChar w:fldCharType="end"/>
            </w:r>
          </w:p>
        </w:sdtContent>
      </w:sdt>
    </w:sdtContent>
  </w:sdt>
  <w:p w14:paraId="43F11313" w14:textId="77777777" w:rsidR="004E779B" w:rsidRDefault="004E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0D726" w14:textId="77777777" w:rsidR="00F168F9" w:rsidRDefault="00F168F9" w:rsidP="004E779B">
      <w:r>
        <w:separator/>
      </w:r>
    </w:p>
  </w:footnote>
  <w:footnote w:type="continuationSeparator" w:id="0">
    <w:p w14:paraId="493C4994" w14:textId="77777777" w:rsidR="00F168F9" w:rsidRDefault="00F168F9" w:rsidP="004E7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A6B"/>
    <w:rsid w:val="000B4581"/>
    <w:rsid w:val="00131651"/>
    <w:rsid w:val="00143FD9"/>
    <w:rsid w:val="0018358B"/>
    <w:rsid w:val="001C2110"/>
    <w:rsid w:val="001E0FE1"/>
    <w:rsid w:val="002B37EC"/>
    <w:rsid w:val="002C6E19"/>
    <w:rsid w:val="002D0597"/>
    <w:rsid w:val="002D0755"/>
    <w:rsid w:val="002F510C"/>
    <w:rsid w:val="00305CC3"/>
    <w:rsid w:val="00320A96"/>
    <w:rsid w:val="00342CD8"/>
    <w:rsid w:val="0038037F"/>
    <w:rsid w:val="003C37EA"/>
    <w:rsid w:val="003F04EB"/>
    <w:rsid w:val="003F40C2"/>
    <w:rsid w:val="00422568"/>
    <w:rsid w:val="004D71CF"/>
    <w:rsid w:val="004E779B"/>
    <w:rsid w:val="0050462D"/>
    <w:rsid w:val="00527E37"/>
    <w:rsid w:val="00571293"/>
    <w:rsid w:val="005A4411"/>
    <w:rsid w:val="005B1C03"/>
    <w:rsid w:val="005B3301"/>
    <w:rsid w:val="005E4F2C"/>
    <w:rsid w:val="006156C4"/>
    <w:rsid w:val="00616515"/>
    <w:rsid w:val="00617EE0"/>
    <w:rsid w:val="00625017"/>
    <w:rsid w:val="00642BE4"/>
    <w:rsid w:val="006B0539"/>
    <w:rsid w:val="006B6AA5"/>
    <w:rsid w:val="007122F5"/>
    <w:rsid w:val="00776B96"/>
    <w:rsid w:val="007D1F6A"/>
    <w:rsid w:val="007E5473"/>
    <w:rsid w:val="007F7486"/>
    <w:rsid w:val="0080534A"/>
    <w:rsid w:val="008351FB"/>
    <w:rsid w:val="0084532E"/>
    <w:rsid w:val="00880405"/>
    <w:rsid w:val="0088751C"/>
    <w:rsid w:val="008F02E7"/>
    <w:rsid w:val="009334AA"/>
    <w:rsid w:val="009569FC"/>
    <w:rsid w:val="009F6ADE"/>
    <w:rsid w:val="00A45B8D"/>
    <w:rsid w:val="00A77B3E"/>
    <w:rsid w:val="00A80BE8"/>
    <w:rsid w:val="00AE6B17"/>
    <w:rsid w:val="00AE76DE"/>
    <w:rsid w:val="00B71615"/>
    <w:rsid w:val="00B875F8"/>
    <w:rsid w:val="00BA4F1B"/>
    <w:rsid w:val="00BE6B46"/>
    <w:rsid w:val="00C472FE"/>
    <w:rsid w:val="00C562DF"/>
    <w:rsid w:val="00C71AE7"/>
    <w:rsid w:val="00C7670F"/>
    <w:rsid w:val="00CA2A55"/>
    <w:rsid w:val="00CB2437"/>
    <w:rsid w:val="00D01D0C"/>
    <w:rsid w:val="00D07A0E"/>
    <w:rsid w:val="00D2174C"/>
    <w:rsid w:val="00DA547F"/>
    <w:rsid w:val="00E15756"/>
    <w:rsid w:val="00E1714F"/>
    <w:rsid w:val="00E225C3"/>
    <w:rsid w:val="00E30BF7"/>
    <w:rsid w:val="00E734C8"/>
    <w:rsid w:val="00E84E67"/>
    <w:rsid w:val="00E9291B"/>
    <w:rsid w:val="00EB62F7"/>
    <w:rsid w:val="00EC0815"/>
    <w:rsid w:val="00EC0FE4"/>
    <w:rsid w:val="00ED6872"/>
    <w:rsid w:val="00EE0CF0"/>
    <w:rsid w:val="00EF6198"/>
    <w:rsid w:val="00F168F9"/>
    <w:rsid w:val="00F47702"/>
    <w:rsid w:val="00F76CD9"/>
    <w:rsid w:val="00F812FD"/>
    <w:rsid w:val="00F8491F"/>
    <w:rsid w:val="00FB5B7A"/>
    <w:rsid w:val="00FC4388"/>
    <w:rsid w:val="00FE6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D0781"/>
  <w15:docId w15:val="{6FF49962-F497-4CF0-A8DB-7CE180CB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basedOn w:val="DefaultParagraphFont"/>
  </w:style>
  <w:style w:type="character" w:customStyle="1" w:styleId="NingunoA">
    <w:name w:val="NingunoA"/>
    <w:basedOn w:val="DefaultParagraphFont"/>
  </w:style>
  <w:style w:type="paragraph" w:styleId="Header">
    <w:name w:val="header"/>
    <w:basedOn w:val="Normal"/>
    <w:link w:val="HeaderChar"/>
    <w:unhideWhenUsed/>
    <w:rsid w:val="004E77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E779B"/>
    <w:rPr>
      <w:sz w:val="18"/>
      <w:szCs w:val="18"/>
    </w:rPr>
  </w:style>
  <w:style w:type="paragraph" w:styleId="Footer">
    <w:name w:val="footer"/>
    <w:basedOn w:val="Normal"/>
    <w:link w:val="FooterChar"/>
    <w:uiPriority w:val="99"/>
    <w:unhideWhenUsed/>
    <w:rsid w:val="004E779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E779B"/>
    <w:rPr>
      <w:sz w:val="18"/>
      <w:szCs w:val="18"/>
    </w:rPr>
  </w:style>
  <w:style w:type="paragraph" w:customStyle="1" w:styleId="CuerpoA">
    <w:name w:val="Cuerpo A"/>
    <w:rsid w:val="00B875F8"/>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s-ES_tradnl" w:eastAsia="es-ES"/>
    </w:rPr>
  </w:style>
  <w:style w:type="paragraph" w:styleId="BalloonText">
    <w:name w:val="Balloon Text"/>
    <w:basedOn w:val="Normal"/>
    <w:link w:val="BalloonTextChar"/>
    <w:semiHidden/>
    <w:unhideWhenUsed/>
    <w:rsid w:val="007122F5"/>
    <w:rPr>
      <w:rFonts w:ascii="Segoe UI" w:hAnsi="Segoe UI" w:cs="Segoe UI"/>
      <w:sz w:val="18"/>
      <w:szCs w:val="18"/>
    </w:rPr>
  </w:style>
  <w:style w:type="character" w:customStyle="1" w:styleId="BalloonTextChar">
    <w:name w:val="Balloon Text Char"/>
    <w:basedOn w:val="DefaultParagraphFont"/>
    <w:link w:val="BalloonText"/>
    <w:semiHidden/>
    <w:rsid w:val="0071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8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105B-D672-0548-AD8A-DD492FC1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4048</Words>
  <Characters>23804</Characters>
  <Application>Microsoft Office Word</Application>
  <DocSecurity>0</DocSecurity>
  <Lines>396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2020-12-21T00:44:00Z</dcterms:created>
  <dcterms:modified xsi:type="dcterms:W3CDTF">2020-12-21T00:44:00Z</dcterms:modified>
</cp:coreProperties>
</file>