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F1630" w14:textId="77777777" w:rsidR="00A77B3E" w:rsidRDefault="00464B5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09D2E52A" w14:textId="77777777" w:rsidR="00A77B3E" w:rsidRDefault="00464B5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59526</w:t>
      </w:r>
    </w:p>
    <w:p w14:paraId="7AAE38CC" w14:textId="77777777" w:rsidR="00A77B3E" w:rsidRDefault="00464B5F">
      <w:pPr>
        <w:spacing w:line="360" w:lineRule="auto"/>
        <w:jc w:val="both"/>
      </w:pPr>
      <w:r>
        <w:rPr>
          <w:rFonts w:ascii="Book Antiqua" w:eastAsia="Book Antiqua" w:hAnsi="Book Antiqua" w:cs="Book Antiqua"/>
          <w:b/>
          <w:color w:val="000000"/>
        </w:rPr>
        <w:t xml:space="preserve">Manuscript Type: </w:t>
      </w:r>
      <w:bookmarkStart w:id="0" w:name="OLE_LINK127"/>
      <w:bookmarkStart w:id="1" w:name="OLE_LINK128"/>
      <w:r>
        <w:rPr>
          <w:rFonts w:ascii="Book Antiqua" w:eastAsia="Book Antiqua" w:hAnsi="Book Antiqua" w:cs="Book Antiqua"/>
          <w:color w:val="000000"/>
        </w:rPr>
        <w:t>ORIGINAL ARTICLE</w:t>
      </w:r>
      <w:bookmarkEnd w:id="0"/>
      <w:bookmarkEnd w:id="1"/>
    </w:p>
    <w:p w14:paraId="08C5E153" w14:textId="77777777" w:rsidR="00A77B3E" w:rsidRDefault="00A77B3E">
      <w:pPr>
        <w:spacing w:line="360" w:lineRule="auto"/>
        <w:jc w:val="both"/>
      </w:pPr>
    </w:p>
    <w:p w14:paraId="2A61E054" w14:textId="77777777" w:rsidR="00A77B3E" w:rsidRDefault="00464B5F">
      <w:pPr>
        <w:spacing w:line="360" w:lineRule="auto"/>
        <w:jc w:val="both"/>
      </w:pPr>
      <w:bookmarkStart w:id="2" w:name="OLE_LINK129"/>
      <w:bookmarkStart w:id="3" w:name="OLE_LINK130"/>
      <w:r>
        <w:rPr>
          <w:rFonts w:ascii="Book Antiqua" w:eastAsia="Book Antiqua" w:hAnsi="Book Antiqua" w:cs="Book Antiqua"/>
          <w:b/>
          <w:i/>
          <w:color w:val="000000"/>
        </w:rPr>
        <w:t>Clinical Trials Study</w:t>
      </w:r>
    </w:p>
    <w:p w14:paraId="07E7D2AE" w14:textId="77777777" w:rsidR="00A77B3E" w:rsidRDefault="00464B5F">
      <w:pPr>
        <w:spacing w:line="360" w:lineRule="auto"/>
        <w:jc w:val="both"/>
      </w:pPr>
      <w:bookmarkStart w:id="4" w:name="OLE_LINK117"/>
      <w:bookmarkStart w:id="5" w:name="OLE_LINK137"/>
      <w:bookmarkStart w:id="6" w:name="OLE_LINK138"/>
      <w:bookmarkEnd w:id="2"/>
      <w:bookmarkEnd w:id="3"/>
      <w:r>
        <w:rPr>
          <w:rFonts w:ascii="Book Antiqua" w:eastAsia="Book Antiqua" w:hAnsi="Book Antiqua" w:cs="Book Antiqua"/>
          <w:b/>
          <w:color w:val="000000"/>
        </w:rPr>
        <w:t>Evaluation of</w:t>
      </w:r>
      <w:r w:rsidR="00990143">
        <w:rPr>
          <w:rFonts w:ascii="Book Antiqua" w:eastAsia="Book Antiqua" w:hAnsi="Book Antiqua" w:cs="Book Antiqua"/>
          <w:b/>
          <w:color w:val="000000"/>
        </w:rPr>
        <w:t xml:space="preserve"> joint awaren</w:t>
      </w:r>
      <w:r w:rsidR="00287430">
        <w:rPr>
          <w:rFonts w:ascii="Book Antiqua" w:eastAsia="Book Antiqua" w:hAnsi="Book Antiqua" w:cs="Book Antiqua"/>
          <w:b/>
          <w:color w:val="000000"/>
        </w:rPr>
        <w:t xml:space="preserve">ess after acetabular fracture: </w:t>
      </w:r>
      <w:r w:rsidR="00287430">
        <w:rPr>
          <w:rFonts w:ascii="Book Antiqua" w:hAnsi="Book Antiqua" w:cs="Book Antiqua" w:hint="eastAsia"/>
          <w:b/>
          <w:color w:val="000000"/>
          <w:lang w:eastAsia="zh-CN"/>
        </w:rPr>
        <w:t>V</w:t>
      </w:r>
      <w:r w:rsidR="00990143">
        <w:rPr>
          <w:rFonts w:ascii="Book Antiqua" w:eastAsia="Book Antiqua" w:hAnsi="Book Antiqua" w:cs="Book Antiqua"/>
          <w:b/>
          <w:color w:val="000000"/>
        </w:rPr>
        <w:t>alidation of th</w:t>
      </w:r>
      <w:r w:rsidR="00287430">
        <w:rPr>
          <w:rFonts w:ascii="Book Antiqua" w:eastAsia="Book Antiqua" w:hAnsi="Book Antiqua" w:cs="Book Antiqua"/>
          <w:b/>
          <w:color w:val="000000"/>
        </w:rPr>
        <w:t>e Forgotten Joint Score</w:t>
      </w:r>
      <w:r w:rsidR="00990143">
        <w:rPr>
          <w:rFonts w:ascii="Book Antiqua" w:eastAsia="Book Antiqua" w:hAnsi="Book Antiqua" w:cs="Book Antiqua"/>
          <w:b/>
          <w:color w:val="000000"/>
        </w:rPr>
        <w:t xml:space="preserve"> ac</w:t>
      </w:r>
      <w:r>
        <w:rPr>
          <w:rFonts w:ascii="Book Antiqua" w:eastAsia="Book Antiqua" w:hAnsi="Book Antiqua" w:cs="Book Antiqua"/>
          <w:b/>
          <w:color w:val="000000"/>
        </w:rPr>
        <w:t>cording to the COSMIN checklist protocol</w:t>
      </w:r>
    </w:p>
    <w:bookmarkEnd w:id="4"/>
    <w:bookmarkEnd w:id="5"/>
    <w:bookmarkEnd w:id="6"/>
    <w:p w14:paraId="638A20B8" w14:textId="77777777" w:rsidR="00A77B3E" w:rsidRDefault="00A77B3E">
      <w:pPr>
        <w:spacing w:line="360" w:lineRule="auto"/>
        <w:jc w:val="both"/>
      </w:pPr>
    </w:p>
    <w:p w14:paraId="451625EF" w14:textId="77777777" w:rsidR="00A77B3E" w:rsidRPr="00C75424" w:rsidRDefault="00DB7373">
      <w:pPr>
        <w:spacing w:line="360" w:lineRule="auto"/>
        <w:jc w:val="both"/>
        <w:rPr>
          <w:lang w:val="de-DE"/>
        </w:rPr>
      </w:pPr>
      <w:bookmarkStart w:id="7" w:name="OLE_LINK5"/>
      <w:bookmarkStart w:id="8" w:name="OLE_LINK6"/>
      <w:r w:rsidRPr="00C75424">
        <w:rPr>
          <w:rFonts w:ascii="Book Antiqua" w:eastAsia="Book Antiqua" w:hAnsi="Book Antiqua" w:cs="Book Antiqua"/>
          <w:color w:val="000000"/>
          <w:lang w:val="de-DE"/>
        </w:rPr>
        <w:t xml:space="preserve">Freigang </w:t>
      </w:r>
      <w:r w:rsidRPr="00C75424">
        <w:rPr>
          <w:rFonts w:ascii="Book Antiqua" w:hAnsi="Book Antiqua" w:cs="Book Antiqua" w:hint="eastAsia"/>
          <w:color w:val="000000"/>
          <w:lang w:val="de-DE" w:eastAsia="zh-CN"/>
        </w:rPr>
        <w:t>V</w:t>
      </w:r>
      <w:bookmarkEnd w:id="7"/>
      <w:bookmarkEnd w:id="8"/>
      <w:r w:rsidRPr="00C75424">
        <w:rPr>
          <w:rFonts w:ascii="Book Antiqua" w:hAnsi="Book Antiqua" w:cs="Book Antiqua" w:hint="eastAsia"/>
          <w:color w:val="000000"/>
          <w:lang w:val="de-DE" w:eastAsia="zh-CN"/>
        </w:rPr>
        <w:t xml:space="preserve"> </w:t>
      </w:r>
      <w:r w:rsidRPr="00C75424">
        <w:rPr>
          <w:rFonts w:ascii="Book Antiqua" w:hAnsi="Book Antiqua" w:cs="Book Antiqua" w:hint="eastAsia"/>
          <w:i/>
          <w:color w:val="000000"/>
          <w:lang w:val="de-DE" w:eastAsia="zh-CN"/>
        </w:rPr>
        <w:t>et al</w:t>
      </w:r>
      <w:r w:rsidRPr="00C75424">
        <w:rPr>
          <w:rFonts w:ascii="Book Antiqua" w:hAnsi="Book Antiqua" w:cs="Book Antiqua" w:hint="eastAsia"/>
          <w:color w:val="000000"/>
          <w:lang w:val="de-DE" w:eastAsia="zh-CN"/>
        </w:rPr>
        <w:t xml:space="preserve">. </w:t>
      </w:r>
      <w:bookmarkStart w:id="9" w:name="OLE_LINK118"/>
      <w:bookmarkStart w:id="10" w:name="OLE_LINK119"/>
      <w:bookmarkStart w:id="11" w:name="OLE_LINK139"/>
      <w:r w:rsidR="00464B5F" w:rsidRPr="00C75424">
        <w:rPr>
          <w:rFonts w:ascii="Book Antiqua" w:eastAsia="Book Antiqua" w:hAnsi="Book Antiqua" w:cs="Book Antiqua"/>
          <w:color w:val="000000"/>
          <w:lang w:val="de-DE"/>
        </w:rPr>
        <w:t xml:space="preserve">FJS </w:t>
      </w:r>
      <w:r w:rsidRPr="00C75424">
        <w:rPr>
          <w:rFonts w:ascii="Book Antiqua" w:eastAsia="Book Antiqua" w:hAnsi="Book Antiqua" w:cs="Book Antiqua"/>
          <w:color w:val="000000"/>
          <w:lang w:val="de-DE"/>
        </w:rPr>
        <w:t>acetabulum</w:t>
      </w:r>
      <w:bookmarkEnd w:id="9"/>
      <w:bookmarkEnd w:id="10"/>
      <w:bookmarkEnd w:id="11"/>
    </w:p>
    <w:p w14:paraId="7DBA1BA9" w14:textId="77777777" w:rsidR="00A77B3E" w:rsidRPr="00C75424" w:rsidRDefault="00A77B3E">
      <w:pPr>
        <w:spacing w:line="360" w:lineRule="auto"/>
        <w:jc w:val="both"/>
        <w:rPr>
          <w:lang w:val="de-DE"/>
        </w:rPr>
      </w:pPr>
    </w:p>
    <w:p w14:paraId="67C41A6D" w14:textId="77777777" w:rsidR="00A77B3E" w:rsidRPr="00C75424" w:rsidRDefault="00464B5F">
      <w:pPr>
        <w:spacing w:line="360" w:lineRule="auto"/>
        <w:jc w:val="both"/>
        <w:rPr>
          <w:lang w:val="de-DE"/>
        </w:rPr>
      </w:pPr>
      <w:r w:rsidRPr="00C75424">
        <w:rPr>
          <w:rFonts w:ascii="Book Antiqua" w:eastAsia="Book Antiqua" w:hAnsi="Book Antiqua" w:cs="Book Antiqua"/>
          <w:color w:val="000000"/>
          <w:lang w:val="de-DE"/>
        </w:rPr>
        <w:t xml:space="preserve">Viola </w:t>
      </w:r>
      <w:bookmarkStart w:id="12" w:name="OLE_LINK3"/>
      <w:bookmarkStart w:id="13" w:name="OLE_LINK4"/>
      <w:r w:rsidRPr="00C75424">
        <w:rPr>
          <w:rFonts w:ascii="Book Antiqua" w:eastAsia="Book Antiqua" w:hAnsi="Book Antiqua" w:cs="Book Antiqua"/>
          <w:color w:val="000000"/>
          <w:lang w:val="de-DE"/>
        </w:rPr>
        <w:t>Freigang</w:t>
      </w:r>
      <w:bookmarkEnd w:id="12"/>
      <w:bookmarkEnd w:id="13"/>
      <w:r w:rsidRPr="00C75424">
        <w:rPr>
          <w:rFonts w:ascii="Book Antiqua" w:eastAsia="Book Antiqua" w:hAnsi="Book Antiqua" w:cs="Book Antiqua"/>
          <w:color w:val="000000"/>
          <w:lang w:val="de-DE"/>
        </w:rPr>
        <w:t xml:space="preserve">, Johannes </w:t>
      </w:r>
      <w:bookmarkStart w:id="14" w:name="OLE_LINK9"/>
      <w:bookmarkStart w:id="15" w:name="OLE_LINK10"/>
      <w:r w:rsidRPr="00C75424">
        <w:rPr>
          <w:rFonts w:ascii="Book Antiqua" w:eastAsia="Book Antiqua" w:hAnsi="Book Antiqua" w:cs="Book Antiqua"/>
          <w:color w:val="000000"/>
          <w:lang w:val="de-DE"/>
        </w:rPr>
        <w:t>Weber</w:t>
      </w:r>
      <w:bookmarkEnd w:id="14"/>
      <w:bookmarkEnd w:id="15"/>
      <w:r w:rsidRPr="00C75424">
        <w:rPr>
          <w:rFonts w:ascii="Book Antiqua" w:eastAsia="Book Antiqua" w:hAnsi="Book Antiqua" w:cs="Book Antiqua"/>
          <w:color w:val="000000"/>
          <w:lang w:val="de-DE"/>
        </w:rPr>
        <w:t xml:space="preserve">, Karolina </w:t>
      </w:r>
      <w:bookmarkStart w:id="16" w:name="OLE_LINK11"/>
      <w:bookmarkStart w:id="17" w:name="OLE_LINK12"/>
      <w:r w:rsidRPr="00C75424">
        <w:rPr>
          <w:rFonts w:ascii="Book Antiqua" w:eastAsia="Book Antiqua" w:hAnsi="Book Antiqua" w:cs="Book Antiqua"/>
          <w:color w:val="000000"/>
          <w:lang w:val="de-DE"/>
        </w:rPr>
        <w:t>Mueller</w:t>
      </w:r>
      <w:bookmarkEnd w:id="16"/>
      <w:bookmarkEnd w:id="17"/>
      <w:r w:rsidRPr="00C75424">
        <w:rPr>
          <w:rFonts w:ascii="Book Antiqua" w:eastAsia="Book Antiqua" w:hAnsi="Book Antiqua" w:cs="Book Antiqua"/>
          <w:color w:val="000000"/>
          <w:lang w:val="de-DE"/>
        </w:rPr>
        <w:t xml:space="preserve">, Christian </w:t>
      </w:r>
      <w:bookmarkStart w:id="18" w:name="OLE_LINK13"/>
      <w:bookmarkStart w:id="19" w:name="OLE_LINK14"/>
      <w:r w:rsidRPr="00C75424">
        <w:rPr>
          <w:rFonts w:ascii="Book Antiqua" w:eastAsia="Book Antiqua" w:hAnsi="Book Antiqua" w:cs="Book Antiqua"/>
          <w:color w:val="000000"/>
          <w:lang w:val="de-DE"/>
        </w:rPr>
        <w:t>Pfeifer</w:t>
      </w:r>
      <w:bookmarkEnd w:id="18"/>
      <w:bookmarkEnd w:id="19"/>
      <w:r w:rsidRPr="00C75424">
        <w:rPr>
          <w:rFonts w:ascii="Book Antiqua" w:eastAsia="Book Antiqua" w:hAnsi="Book Antiqua" w:cs="Book Antiqua"/>
          <w:color w:val="000000"/>
          <w:lang w:val="de-DE"/>
        </w:rPr>
        <w:t xml:space="preserve">, Michael </w:t>
      </w:r>
      <w:bookmarkStart w:id="20" w:name="OLE_LINK15"/>
      <w:r w:rsidRPr="00C75424">
        <w:rPr>
          <w:rFonts w:ascii="Book Antiqua" w:eastAsia="Book Antiqua" w:hAnsi="Book Antiqua" w:cs="Book Antiqua"/>
          <w:color w:val="000000"/>
          <w:lang w:val="de-DE"/>
        </w:rPr>
        <w:t>Worlicek</w:t>
      </w:r>
      <w:bookmarkEnd w:id="20"/>
      <w:r w:rsidRPr="00C75424">
        <w:rPr>
          <w:rFonts w:ascii="Book Antiqua" w:eastAsia="Book Antiqua" w:hAnsi="Book Antiqua" w:cs="Book Antiqua"/>
          <w:color w:val="000000"/>
          <w:lang w:val="de-DE"/>
        </w:rPr>
        <w:t xml:space="preserve">, Volker </w:t>
      </w:r>
      <w:bookmarkStart w:id="21" w:name="OLE_LINK7"/>
      <w:bookmarkStart w:id="22" w:name="OLE_LINK8"/>
      <w:r w:rsidRPr="00C75424">
        <w:rPr>
          <w:rFonts w:ascii="Book Antiqua" w:eastAsia="Book Antiqua" w:hAnsi="Book Antiqua" w:cs="Book Antiqua"/>
          <w:color w:val="000000"/>
          <w:lang w:val="de-DE"/>
        </w:rPr>
        <w:t>Alt</w:t>
      </w:r>
      <w:bookmarkEnd w:id="21"/>
      <w:bookmarkEnd w:id="22"/>
      <w:r w:rsidRPr="00C75424">
        <w:rPr>
          <w:rFonts w:ascii="Book Antiqua" w:eastAsia="Book Antiqua" w:hAnsi="Book Antiqua" w:cs="Book Antiqua"/>
          <w:color w:val="000000"/>
          <w:lang w:val="de-DE"/>
        </w:rPr>
        <w:t xml:space="preserve">, Florian Michael </w:t>
      </w:r>
      <w:bookmarkStart w:id="23" w:name="OLE_LINK16"/>
      <w:r w:rsidRPr="00C75424">
        <w:rPr>
          <w:rFonts w:ascii="Book Antiqua" w:eastAsia="Book Antiqua" w:hAnsi="Book Antiqua" w:cs="Book Antiqua"/>
          <w:color w:val="000000"/>
          <w:lang w:val="de-DE"/>
        </w:rPr>
        <w:t>Baumann</w:t>
      </w:r>
      <w:bookmarkEnd w:id="23"/>
    </w:p>
    <w:p w14:paraId="6936C780" w14:textId="77777777" w:rsidR="00A77B3E" w:rsidRPr="00C75424" w:rsidRDefault="00A77B3E">
      <w:pPr>
        <w:spacing w:line="360" w:lineRule="auto"/>
        <w:jc w:val="both"/>
        <w:rPr>
          <w:lang w:val="de-DE"/>
        </w:rPr>
      </w:pPr>
    </w:p>
    <w:p w14:paraId="759055A9" w14:textId="77777777" w:rsidR="00A77B3E" w:rsidRPr="00C75424" w:rsidRDefault="00464B5F">
      <w:pPr>
        <w:spacing w:line="360" w:lineRule="auto"/>
        <w:jc w:val="both"/>
        <w:rPr>
          <w:lang w:val="de-DE"/>
        </w:rPr>
      </w:pPr>
      <w:r w:rsidRPr="00C75424">
        <w:rPr>
          <w:rFonts w:ascii="Book Antiqua" w:eastAsia="Book Antiqua" w:hAnsi="Book Antiqua" w:cs="Book Antiqua"/>
          <w:b/>
          <w:bCs/>
          <w:color w:val="000000"/>
          <w:lang w:val="de-DE"/>
        </w:rPr>
        <w:t xml:space="preserve">Viola Freigang, Johannes Weber, </w:t>
      </w:r>
      <w:r w:rsidR="00F82478" w:rsidRPr="00C75424">
        <w:rPr>
          <w:rFonts w:ascii="Book Antiqua" w:eastAsia="Book Antiqua" w:hAnsi="Book Antiqua" w:cs="Book Antiqua"/>
          <w:b/>
          <w:bCs/>
          <w:color w:val="000000"/>
          <w:lang w:val="de-DE"/>
        </w:rPr>
        <w:t>Christian Pfeifer, Michael Worlicek, Volker Alt, Florian Michael Baumann,</w:t>
      </w:r>
      <w:r w:rsidR="00F82478" w:rsidRPr="00C75424">
        <w:rPr>
          <w:rFonts w:ascii="Book Antiqua" w:hAnsi="Book Antiqua" w:cs="Book Antiqua" w:hint="eastAsia"/>
          <w:b/>
          <w:bCs/>
          <w:color w:val="000000"/>
          <w:lang w:val="de-DE" w:eastAsia="zh-CN"/>
        </w:rPr>
        <w:t xml:space="preserve"> </w:t>
      </w:r>
      <w:r w:rsidRPr="00C75424">
        <w:rPr>
          <w:rFonts w:ascii="Book Antiqua" w:eastAsia="Book Antiqua" w:hAnsi="Book Antiqua" w:cs="Book Antiqua"/>
          <w:color w:val="000000"/>
          <w:lang w:val="de-DE"/>
        </w:rPr>
        <w:t xml:space="preserve">Department of Trauma Surgery, Regensburg University Medical Center, Regensburg 93042, </w:t>
      </w:r>
      <w:bookmarkStart w:id="24" w:name="OLE_LINK120"/>
      <w:bookmarkStart w:id="25" w:name="OLE_LINK121"/>
      <w:bookmarkStart w:id="26" w:name="OLE_LINK122"/>
      <w:bookmarkStart w:id="27" w:name="OLE_LINK123"/>
      <w:r w:rsidRPr="00C75424">
        <w:rPr>
          <w:rFonts w:ascii="Book Antiqua" w:eastAsia="Book Antiqua" w:hAnsi="Book Antiqua" w:cs="Book Antiqua"/>
          <w:color w:val="000000"/>
          <w:lang w:val="de-DE"/>
        </w:rPr>
        <w:t>Germany</w:t>
      </w:r>
      <w:bookmarkEnd w:id="24"/>
      <w:bookmarkEnd w:id="25"/>
      <w:bookmarkEnd w:id="26"/>
      <w:bookmarkEnd w:id="27"/>
    </w:p>
    <w:p w14:paraId="3D331E45" w14:textId="77777777" w:rsidR="00A77B3E" w:rsidRPr="00C75424" w:rsidRDefault="00A77B3E">
      <w:pPr>
        <w:spacing w:line="360" w:lineRule="auto"/>
        <w:jc w:val="both"/>
        <w:rPr>
          <w:lang w:val="de-DE"/>
        </w:rPr>
      </w:pPr>
    </w:p>
    <w:p w14:paraId="6D1D09DE" w14:textId="77777777" w:rsidR="00A77B3E" w:rsidRDefault="00464B5F">
      <w:pPr>
        <w:spacing w:line="360" w:lineRule="auto"/>
        <w:jc w:val="both"/>
      </w:pPr>
      <w:r>
        <w:rPr>
          <w:rFonts w:ascii="Book Antiqua" w:eastAsia="Book Antiqua" w:hAnsi="Book Antiqua" w:cs="Book Antiqua"/>
          <w:b/>
          <w:bCs/>
          <w:color w:val="000000"/>
        </w:rPr>
        <w:t xml:space="preserve">Karolina Mueller, </w:t>
      </w:r>
      <w:r>
        <w:rPr>
          <w:rFonts w:ascii="Book Antiqua" w:eastAsia="Book Antiqua" w:hAnsi="Book Antiqua" w:cs="Book Antiqua"/>
          <w:color w:val="000000"/>
        </w:rPr>
        <w:t>Center for Clinical Studies, Regensburg University Medical Center, Regensburg 93042, Germany</w:t>
      </w:r>
    </w:p>
    <w:p w14:paraId="0E106A76" w14:textId="77777777" w:rsidR="00A77B3E" w:rsidRDefault="00A77B3E">
      <w:pPr>
        <w:spacing w:line="360" w:lineRule="auto"/>
        <w:jc w:val="both"/>
      </w:pPr>
    </w:p>
    <w:p w14:paraId="26D0D80E" w14:textId="5DA11421" w:rsidR="00A77B3E" w:rsidRDefault="00464B5F">
      <w:pPr>
        <w:spacing w:line="360" w:lineRule="auto"/>
        <w:jc w:val="both"/>
      </w:pPr>
      <w:r>
        <w:rPr>
          <w:rFonts w:ascii="Book Antiqua" w:eastAsia="Book Antiqua" w:hAnsi="Book Antiqua" w:cs="Book Antiqua"/>
          <w:b/>
          <w:bCs/>
          <w:color w:val="000000"/>
          <w:szCs w:val="22"/>
        </w:rPr>
        <w:t xml:space="preserve">Author contributions: </w:t>
      </w:r>
      <w:bookmarkStart w:id="28" w:name="OLE_LINK140"/>
      <w:bookmarkStart w:id="29" w:name="OLE_LINK141"/>
      <w:proofErr w:type="spellStart"/>
      <w:r w:rsidR="009E3452">
        <w:rPr>
          <w:rFonts w:ascii="Book Antiqua" w:eastAsia="Book Antiqua" w:hAnsi="Book Antiqua" w:cs="Book Antiqua"/>
          <w:color w:val="000000"/>
        </w:rPr>
        <w:t>Freigang</w:t>
      </w:r>
      <w:proofErr w:type="spellEnd"/>
      <w:r w:rsidR="009E3452">
        <w:rPr>
          <w:rFonts w:ascii="Book Antiqua" w:eastAsia="Book Antiqua" w:hAnsi="Book Antiqua" w:cs="Book Antiqua"/>
          <w:color w:val="000000"/>
        </w:rPr>
        <w:t xml:space="preserve"> </w:t>
      </w:r>
      <w:r w:rsidR="009E3452">
        <w:rPr>
          <w:rFonts w:ascii="Book Antiqua" w:hAnsi="Book Antiqua" w:cs="Book Antiqua"/>
          <w:color w:val="000000"/>
          <w:lang w:eastAsia="zh-CN"/>
        </w:rPr>
        <w:t>V</w:t>
      </w:r>
      <w:r w:rsidR="009E3452">
        <w:rPr>
          <w:rFonts w:ascii="Book Antiqua" w:eastAsia="Book Antiqua" w:hAnsi="Book Antiqua" w:cs="Book Antiqua"/>
          <w:color w:val="000000"/>
        </w:rPr>
        <w:t xml:space="preserve"> </w:t>
      </w:r>
      <w:r>
        <w:rPr>
          <w:rFonts w:ascii="Book Antiqua" w:eastAsia="Book Antiqua" w:hAnsi="Book Antiqua" w:cs="Book Antiqua"/>
          <w:color w:val="000000"/>
        </w:rPr>
        <w:t>carried out data interpretation, performed literature research and dr</w:t>
      </w:r>
      <w:r w:rsidR="009E3452">
        <w:rPr>
          <w:rFonts w:ascii="Book Antiqua" w:eastAsia="Book Antiqua" w:hAnsi="Book Antiqua" w:cs="Book Antiqua"/>
          <w:color w:val="000000"/>
        </w:rPr>
        <w:t>afted the manuscript</w:t>
      </w:r>
      <w:r w:rsidR="009E3452">
        <w:rPr>
          <w:rFonts w:ascii="Book Antiqua" w:hAnsi="Book Antiqua" w:cs="Book Antiqua" w:hint="eastAsia"/>
          <w:color w:val="000000"/>
          <w:lang w:eastAsia="zh-CN"/>
        </w:rPr>
        <w:t>;</w:t>
      </w:r>
      <w:r w:rsidR="009E3452">
        <w:rPr>
          <w:rFonts w:ascii="Book Antiqua" w:eastAsia="Book Antiqua" w:hAnsi="Book Antiqua" w:cs="Book Antiqua"/>
          <w:color w:val="000000"/>
        </w:rPr>
        <w:t xml:space="preserve"> Weber J, Mueller</w:t>
      </w:r>
      <w:r w:rsidR="009E3452">
        <w:rPr>
          <w:rFonts w:ascii="Book Antiqua" w:hAnsi="Book Antiqua" w:cs="Book Antiqua" w:hint="eastAsia"/>
          <w:color w:val="000000"/>
          <w:lang w:eastAsia="zh-CN"/>
        </w:rPr>
        <w:t xml:space="preserve"> K</w:t>
      </w:r>
      <w:r w:rsidR="009E3452">
        <w:rPr>
          <w:rFonts w:ascii="Book Antiqua" w:eastAsia="Book Antiqua" w:hAnsi="Book Antiqua" w:cs="Book Antiqua"/>
          <w:color w:val="000000"/>
        </w:rPr>
        <w:t>, Alt V, Pfeifer C</w:t>
      </w:r>
      <w:r w:rsidR="009E3452">
        <w:rPr>
          <w:rFonts w:ascii="Book Antiqua" w:hAnsi="Book Antiqua" w:cs="Book Antiqua" w:hint="eastAsia"/>
          <w:color w:val="000000"/>
          <w:lang w:eastAsia="zh-CN"/>
        </w:rPr>
        <w:t xml:space="preserve"> and</w:t>
      </w:r>
      <w:r w:rsidR="009E3452">
        <w:rPr>
          <w:rFonts w:ascii="Book Antiqua" w:eastAsia="Book Antiqua" w:hAnsi="Book Antiqua" w:cs="Book Antiqua"/>
          <w:color w:val="000000"/>
        </w:rPr>
        <w:t xml:space="preserve"> </w:t>
      </w:r>
      <w:proofErr w:type="spellStart"/>
      <w:r w:rsidR="009E3452">
        <w:rPr>
          <w:rFonts w:ascii="Book Antiqua" w:eastAsia="Book Antiqua" w:hAnsi="Book Antiqua" w:cs="Book Antiqua"/>
          <w:color w:val="000000"/>
        </w:rPr>
        <w:t>Worlicek</w:t>
      </w:r>
      <w:proofErr w:type="spellEnd"/>
      <w:r w:rsidR="009E3452">
        <w:rPr>
          <w:rFonts w:ascii="Book Antiqua" w:eastAsia="Book Antiqua" w:hAnsi="Book Antiqua" w:cs="Book Antiqua"/>
          <w:color w:val="000000"/>
        </w:rPr>
        <w:t xml:space="preserve"> M</w:t>
      </w:r>
      <w:r>
        <w:rPr>
          <w:rFonts w:ascii="Book Antiqua" w:eastAsia="Book Antiqua" w:hAnsi="Book Antiqua" w:cs="Book Antiqua"/>
          <w:color w:val="000000"/>
        </w:rPr>
        <w:t xml:space="preserve"> were involved in conduction of the study and significantly participated in p</w:t>
      </w:r>
      <w:r w:rsidR="009E3452">
        <w:rPr>
          <w:rFonts w:ascii="Book Antiqua" w:eastAsia="Book Antiqua" w:hAnsi="Book Antiqua" w:cs="Book Antiqua"/>
          <w:color w:val="000000"/>
        </w:rPr>
        <w:t>reparation of the manuscript</w:t>
      </w:r>
      <w:r w:rsidR="009E3452">
        <w:rPr>
          <w:rFonts w:ascii="Book Antiqua" w:hAnsi="Book Antiqua" w:cs="Book Antiqua" w:hint="eastAsia"/>
          <w:color w:val="000000"/>
          <w:lang w:eastAsia="zh-CN"/>
        </w:rPr>
        <w:t>;</w:t>
      </w:r>
      <w:r w:rsidR="009E3452">
        <w:rPr>
          <w:rFonts w:ascii="Book Antiqua" w:eastAsia="Book Antiqua" w:hAnsi="Book Antiqua" w:cs="Book Antiqua"/>
          <w:color w:val="000000"/>
        </w:rPr>
        <w:t xml:space="preserve"> Baumann F</w:t>
      </w:r>
      <w:r w:rsidR="009E3452">
        <w:rPr>
          <w:rFonts w:ascii="Book Antiqua" w:hAnsi="Book Antiqua" w:cs="Book Antiqua" w:hint="eastAsia"/>
          <w:color w:val="000000"/>
          <w:lang w:eastAsia="zh-CN"/>
        </w:rPr>
        <w:t>M</w:t>
      </w:r>
      <w:r>
        <w:rPr>
          <w:rFonts w:ascii="Book Antiqua" w:eastAsia="Book Antiqua" w:hAnsi="Book Antiqua" w:cs="Book Antiqua"/>
          <w:color w:val="000000"/>
        </w:rPr>
        <w:t xml:space="preserve"> was involved in the design, coordination, and draft of the manuscript</w:t>
      </w:r>
      <w:r w:rsidR="004B5FA7">
        <w:rPr>
          <w:rFonts w:ascii="Book Antiqua" w:eastAsia="Book Antiqua" w:hAnsi="Book Antiqua" w:cs="Book Antiqua"/>
          <w:color w:val="000000"/>
        </w:rPr>
        <w:t>; a</w:t>
      </w:r>
      <w:r>
        <w:rPr>
          <w:rFonts w:ascii="Book Antiqua" w:eastAsia="Book Antiqua" w:hAnsi="Book Antiqua" w:cs="Book Antiqua"/>
          <w:color w:val="000000"/>
        </w:rPr>
        <w:t>ll authors read and approved the final version of the manuscript.</w:t>
      </w:r>
    </w:p>
    <w:bookmarkEnd w:id="28"/>
    <w:bookmarkEnd w:id="29"/>
    <w:p w14:paraId="34FD6ADA" w14:textId="77777777" w:rsidR="00A77B3E" w:rsidRDefault="00A77B3E">
      <w:pPr>
        <w:spacing w:line="360" w:lineRule="auto"/>
        <w:jc w:val="both"/>
      </w:pPr>
    </w:p>
    <w:p w14:paraId="78F8F7E5" w14:textId="4F7BF836" w:rsidR="00A77B3E" w:rsidRDefault="00464B5F">
      <w:pPr>
        <w:spacing w:line="360" w:lineRule="auto"/>
        <w:jc w:val="both"/>
      </w:pPr>
      <w:r>
        <w:rPr>
          <w:rFonts w:ascii="Book Antiqua" w:eastAsia="Book Antiqua" w:hAnsi="Book Antiqua" w:cs="Book Antiqua"/>
          <w:b/>
          <w:bCs/>
          <w:color w:val="000000"/>
        </w:rPr>
        <w:lastRenderedPageBreak/>
        <w:t xml:space="preserve">Corresponding author: Florian </w:t>
      </w:r>
      <w:r w:rsidR="00643871" w:rsidRPr="00C75424">
        <w:rPr>
          <w:rFonts w:ascii="Book Antiqua" w:eastAsia="Book Antiqua" w:hAnsi="Book Antiqua" w:cs="Book Antiqua"/>
          <w:b/>
          <w:bCs/>
          <w:color w:val="000000"/>
          <w:lang w:val="de-DE"/>
        </w:rPr>
        <w:t xml:space="preserve">Michael </w:t>
      </w:r>
      <w:r>
        <w:rPr>
          <w:rFonts w:ascii="Book Antiqua" w:eastAsia="Book Antiqua" w:hAnsi="Book Antiqua" w:cs="Book Antiqua"/>
          <w:b/>
          <w:bCs/>
          <w:color w:val="000000"/>
        </w:rPr>
        <w:t xml:space="preserve">Baumann, MD, Associate Professor, Surgeon, </w:t>
      </w:r>
      <w:r>
        <w:rPr>
          <w:rFonts w:ascii="Book Antiqua" w:eastAsia="Book Antiqua" w:hAnsi="Book Antiqua" w:cs="Book Antiqua"/>
          <w:color w:val="000000"/>
        </w:rPr>
        <w:t xml:space="preserve">Department of Trauma Surgery, </w:t>
      </w:r>
      <w:bookmarkStart w:id="30" w:name="OLE_LINK17"/>
      <w:bookmarkStart w:id="31" w:name="OLE_LINK18"/>
      <w:r>
        <w:rPr>
          <w:rFonts w:ascii="Book Antiqua" w:eastAsia="Book Antiqua" w:hAnsi="Book Antiqua" w:cs="Book Antiqua"/>
          <w:color w:val="000000"/>
        </w:rPr>
        <w:t>Regensburg University Medical Center</w:t>
      </w:r>
      <w:bookmarkEnd w:id="30"/>
      <w:bookmarkEnd w:id="31"/>
      <w:r>
        <w:rPr>
          <w:rFonts w:ascii="Book Antiqua" w:eastAsia="Book Antiqua" w:hAnsi="Book Antiqua" w:cs="Book Antiqua"/>
          <w:color w:val="000000"/>
        </w:rPr>
        <w:t xml:space="preserve">, </w:t>
      </w:r>
      <w:bookmarkStart w:id="32" w:name="OLE_LINK124"/>
      <w:bookmarkStart w:id="33" w:name="OLE_LINK125"/>
      <w:bookmarkStart w:id="34" w:name="OLE_LINK126"/>
      <w:r w:rsidR="006556FD" w:rsidRPr="006556FD">
        <w:rPr>
          <w:rFonts w:ascii="Book Antiqua" w:eastAsia="Book Antiqua" w:hAnsi="Book Antiqua" w:cs="Book Antiqua"/>
          <w:color w:val="000000"/>
        </w:rPr>
        <w:t>Franz-Josef-</w:t>
      </w:r>
      <w:proofErr w:type="spellStart"/>
      <w:r w:rsidR="006556FD" w:rsidRPr="006556FD">
        <w:rPr>
          <w:rFonts w:ascii="Book Antiqua" w:eastAsia="Book Antiqua" w:hAnsi="Book Antiqua" w:cs="Book Antiqua"/>
          <w:color w:val="000000"/>
        </w:rPr>
        <w:t>Strauß</w:t>
      </w:r>
      <w:proofErr w:type="spellEnd"/>
      <w:r w:rsidR="006556FD" w:rsidRPr="006556FD">
        <w:rPr>
          <w:rFonts w:ascii="Book Antiqua" w:eastAsia="Book Antiqua" w:hAnsi="Book Antiqua" w:cs="Book Antiqua"/>
          <w:color w:val="000000"/>
        </w:rPr>
        <w:t>-</w:t>
      </w:r>
      <w:proofErr w:type="spellStart"/>
      <w:r w:rsidR="006556FD" w:rsidRPr="006556FD">
        <w:rPr>
          <w:rFonts w:ascii="Book Antiqua" w:eastAsia="Book Antiqua" w:hAnsi="Book Antiqua" w:cs="Book Antiqua"/>
          <w:color w:val="000000"/>
        </w:rPr>
        <w:t>Allee</w:t>
      </w:r>
      <w:proofErr w:type="spellEnd"/>
      <w:r w:rsidR="006556FD" w:rsidRPr="006556FD">
        <w:rPr>
          <w:rFonts w:ascii="Book Antiqua" w:eastAsia="Book Antiqua" w:hAnsi="Book Antiqua" w:cs="Book Antiqua"/>
          <w:color w:val="000000"/>
        </w:rPr>
        <w:t xml:space="preserve"> 11</w:t>
      </w:r>
      <w:bookmarkEnd w:id="32"/>
      <w:bookmarkEnd w:id="33"/>
      <w:bookmarkEnd w:id="34"/>
      <w:r w:rsidR="006556FD">
        <w:rPr>
          <w:rFonts w:ascii="Book Antiqua" w:hAnsi="Book Antiqua" w:cs="Book Antiqua" w:hint="eastAsia"/>
          <w:color w:val="000000"/>
          <w:lang w:eastAsia="zh-CN"/>
        </w:rPr>
        <w:t>,</w:t>
      </w:r>
      <w:r w:rsidR="006556FD" w:rsidRPr="006556FD">
        <w:rPr>
          <w:rFonts w:ascii="Book Antiqua" w:eastAsia="Book Antiqua" w:hAnsi="Book Antiqua" w:cs="Book Antiqua"/>
          <w:color w:val="000000"/>
        </w:rPr>
        <w:t xml:space="preserve"> </w:t>
      </w:r>
      <w:r>
        <w:rPr>
          <w:rFonts w:ascii="Book Antiqua" w:eastAsia="Book Antiqua" w:hAnsi="Book Antiqua" w:cs="Book Antiqua"/>
          <w:color w:val="000000"/>
        </w:rPr>
        <w:t>Regensburg 93042, Germany. florian.baumann@ukr.de</w:t>
      </w:r>
    </w:p>
    <w:p w14:paraId="024B1012" w14:textId="77777777" w:rsidR="00A77B3E" w:rsidRDefault="00A77B3E">
      <w:pPr>
        <w:spacing w:line="360" w:lineRule="auto"/>
        <w:jc w:val="both"/>
      </w:pPr>
    </w:p>
    <w:p w14:paraId="14B42A07" w14:textId="77777777" w:rsidR="00A77B3E" w:rsidRDefault="00464B5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16, 2020</w:t>
      </w:r>
    </w:p>
    <w:p w14:paraId="5EBD1DD1" w14:textId="77777777" w:rsidR="00A77B3E" w:rsidRPr="006556FD" w:rsidRDefault="00464B5F">
      <w:pPr>
        <w:spacing w:line="360" w:lineRule="auto"/>
        <w:jc w:val="both"/>
        <w:rPr>
          <w:lang w:eastAsia="zh-CN"/>
        </w:rPr>
      </w:pPr>
      <w:r>
        <w:rPr>
          <w:rFonts w:ascii="Book Antiqua" w:eastAsia="Book Antiqua" w:hAnsi="Book Antiqua" w:cs="Book Antiqua"/>
          <w:b/>
          <w:bCs/>
          <w:color w:val="000000"/>
        </w:rPr>
        <w:t xml:space="preserve">Revised: </w:t>
      </w:r>
      <w:r w:rsidR="006556FD" w:rsidRPr="006556FD">
        <w:rPr>
          <w:rFonts w:ascii="Book Antiqua" w:hAnsi="Book Antiqua" w:cs="Book Antiqua" w:hint="eastAsia"/>
          <w:bCs/>
          <w:color w:val="000000"/>
          <w:lang w:eastAsia="zh-CN"/>
        </w:rPr>
        <w:t>December 14, 2020</w:t>
      </w:r>
    </w:p>
    <w:p w14:paraId="182DD284" w14:textId="5B3CA2E6" w:rsidR="00A77B3E" w:rsidRDefault="00464B5F">
      <w:pPr>
        <w:spacing w:line="360" w:lineRule="auto"/>
        <w:jc w:val="both"/>
      </w:pPr>
      <w:r>
        <w:rPr>
          <w:rFonts w:ascii="Book Antiqua" w:eastAsia="Book Antiqua" w:hAnsi="Book Antiqua" w:cs="Book Antiqua"/>
          <w:b/>
          <w:bCs/>
          <w:color w:val="000000"/>
        </w:rPr>
        <w:t xml:space="preserve">Accepted: </w:t>
      </w:r>
      <w:r w:rsidR="00FF2A2C" w:rsidRPr="00FF2A2C">
        <w:rPr>
          <w:rFonts w:ascii="Book Antiqua" w:eastAsia="Book Antiqua" w:hAnsi="Book Antiqua" w:cs="Book Antiqua"/>
          <w:color w:val="000000"/>
        </w:rPr>
        <w:t>January 21, 2021</w:t>
      </w:r>
    </w:p>
    <w:p w14:paraId="30F1C189" w14:textId="31A96F7C" w:rsidR="00A77B3E" w:rsidRDefault="00464B5F">
      <w:pPr>
        <w:spacing w:line="360" w:lineRule="auto"/>
        <w:jc w:val="both"/>
      </w:pPr>
      <w:r>
        <w:rPr>
          <w:rFonts w:ascii="Book Antiqua" w:eastAsia="Book Antiqua" w:hAnsi="Book Antiqua" w:cs="Book Antiqua"/>
          <w:b/>
          <w:bCs/>
          <w:color w:val="000000"/>
        </w:rPr>
        <w:t xml:space="preserve">Published online: </w:t>
      </w:r>
      <w:r w:rsidR="00893FDF" w:rsidRPr="001A0443">
        <w:rPr>
          <w:rFonts w:ascii="Book Antiqua" w:eastAsia="Book Antiqua" w:hAnsi="Book Antiqua" w:cs="Book Antiqua"/>
          <w:bCs/>
          <w:color w:val="000000"/>
        </w:rPr>
        <w:t>February 18, 2021</w:t>
      </w:r>
    </w:p>
    <w:p w14:paraId="459A655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F2F43ED" w14:textId="77777777" w:rsidR="00A77B3E" w:rsidRDefault="00464B5F">
      <w:pPr>
        <w:spacing w:line="360" w:lineRule="auto"/>
        <w:jc w:val="both"/>
      </w:pPr>
      <w:r>
        <w:rPr>
          <w:rFonts w:ascii="Book Antiqua" w:eastAsia="Book Antiqua" w:hAnsi="Book Antiqua" w:cs="Book Antiqua"/>
          <w:b/>
          <w:color w:val="000000"/>
        </w:rPr>
        <w:lastRenderedPageBreak/>
        <w:t>Abstract</w:t>
      </w:r>
    </w:p>
    <w:p w14:paraId="634DBC34" w14:textId="77777777" w:rsidR="00A77B3E" w:rsidRDefault="00464B5F">
      <w:pPr>
        <w:spacing w:line="360" w:lineRule="auto"/>
        <w:jc w:val="both"/>
      </w:pPr>
      <w:r>
        <w:rPr>
          <w:rFonts w:ascii="Book Antiqua" w:eastAsia="Book Antiqua" w:hAnsi="Book Antiqua" w:cs="Book Antiqua"/>
          <w:color w:val="000000"/>
        </w:rPr>
        <w:t>BACKGROUND</w:t>
      </w:r>
    </w:p>
    <w:p w14:paraId="383A0051" w14:textId="61A79891" w:rsidR="00A77B3E" w:rsidRDefault="00464B5F">
      <w:pPr>
        <w:spacing w:line="360" w:lineRule="auto"/>
        <w:jc w:val="both"/>
      </w:pPr>
      <w:bookmarkStart w:id="35" w:name="OLE_LINK145"/>
      <w:bookmarkStart w:id="36" w:name="OLE_LINK146"/>
      <w:r>
        <w:rPr>
          <w:rFonts w:ascii="Book Antiqua" w:eastAsia="Book Antiqua" w:hAnsi="Book Antiqua" w:cs="Book Antiqua"/>
          <w:color w:val="000000"/>
        </w:rPr>
        <w:t xml:space="preserve">A fracture of the acetabulum is an uncommon, but serious injury. </w:t>
      </w:r>
      <w:r w:rsidR="00541E7B">
        <w:rPr>
          <w:rFonts w:ascii="Book Antiqua" w:eastAsia="Book Antiqua" w:hAnsi="Book Antiqua" w:cs="Book Antiqua"/>
          <w:color w:val="000000"/>
        </w:rPr>
        <w:t>Established</w:t>
      </w:r>
      <w:r>
        <w:rPr>
          <w:rFonts w:ascii="Book Antiqua" w:eastAsia="Book Antiqua" w:hAnsi="Book Antiqua" w:cs="Book Antiqua"/>
          <w:color w:val="000000"/>
        </w:rPr>
        <w:t xml:space="preserve"> outcome tools </w:t>
      </w:r>
      <w:r w:rsidR="00541E7B">
        <w:rPr>
          <w:rFonts w:ascii="Book Antiqua" w:eastAsia="Book Antiqua" w:hAnsi="Book Antiqua" w:cs="Book Antiqua"/>
          <w:color w:val="000000"/>
        </w:rPr>
        <w:t>do not</w:t>
      </w:r>
      <w:r>
        <w:rPr>
          <w:rFonts w:ascii="Book Antiqua" w:eastAsia="Book Antiqua" w:hAnsi="Book Antiqua" w:cs="Book Antiqua"/>
          <w:color w:val="000000"/>
        </w:rPr>
        <w:t xml:space="preserve"> reflect the patient’s perspective after fracture of the hip joint. Originally designed for post-arthroplasty patients, the </w:t>
      </w:r>
      <w:bookmarkStart w:id="37" w:name="OLE_LINK37"/>
      <w:bookmarkStart w:id="38" w:name="OLE_LINK38"/>
      <w:r>
        <w:rPr>
          <w:rFonts w:ascii="Book Antiqua" w:eastAsia="Book Antiqua" w:hAnsi="Book Antiqua" w:cs="Book Antiqua"/>
          <w:color w:val="000000"/>
        </w:rPr>
        <w:t>Forgotten Joint Score</w:t>
      </w:r>
      <w:bookmarkEnd w:id="37"/>
      <w:bookmarkEnd w:id="38"/>
      <w:r>
        <w:rPr>
          <w:rFonts w:ascii="Book Antiqua" w:eastAsia="Book Antiqua" w:hAnsi="Book Antiqua" w:cs="Book Antiqua"/>
          <w:color w:val="000000"/>
        </w:rPr>
        <w:t xml:space="preserve"> (FJS) is a patient-reported outcome measurement </w:t>
      </w:r>
      <w:r w:rsidR="00541E7B">
        <w:rPr>
          <w:rFonts w:ascii="Book Antiqua" w:eastAsia="Book Antiqua" w:hAnsi="Book Antiqua" w:cs="Book Antiqua"/>
          <w:color w:val="000000"/>
        </w:rPr>
        <w:t xml:space="preserve">(PROM) </w:t>
      </w:r>
      <w:r>
        <w:rPr>
          <w:rFonts w:ascii="Book Antiqua" w:eastAsia="Book Antiqua" w:hAnsi="Book Antiqua" w:cs="Book Antiqua"/>
          <w:color w:val="000000"/>
        </w:rPr>
        <w:t xml:space="preserve">tool </w:t>
      </w:r>
      <w:r w:rsidR="00541E7B">
        <w:rPr>
          <w:rFonts w:ascii="Book Antiqua" w:eastAsia="Book Antiqua" w:hAnsi="Book Antiqua" w:cs="Book Antiqua"/>
          <w:color w:val="000000"/>
        </w:rPr>
        <w:t>evaluating the</w:t>
      </w:r>
      <w:r>
        <w:rPr>
          <w:rFonts w:ascii="Book Antiqua" w:eastAsia="Book Antiqua" w:hAnsi="Book Antiqua" w:cs="Book Antiqua"/>
          <w:color w:val="000000"/>
        </w:rPr>
        <w:t xml:space="preserve"> disease-specific </w:t>
      </w:r>
      <w:bookmarkStart w:id="39" w:name="OLE_LINK19"/>
      <w:bookmarkStart w:id="40" w:name="OLE_LINK20"/>
      <w:r>
        <w:rPr>
          <w:rFonts w:ascii="Book Antiqua" w:eastAsia="Book Antiqua" w:hAnsi="Book Antiqua" w:cs="Book Antiqua"/>
          <w:color w:val="000000"/>
        </w:rPr>
        <w:t>health-related quality of life</w:t>
      </w:r>
      <w:bookmarkEnd w:id="39"/>
      <w:bookmarkEnd w:id="40"/>
      <w:r w:rsidR="00541E7B">
        <w:rPr>
          <w:rFonts w:ascii="Book Antiqua" w:eastAsia="Book Antiqua" w:hAnsi="Book Antiqua" w:cs="Book Antiqua"/>
          <w:color w:val="000000"/>
        </w:rPr>
        <w:t xml:space="preserve"> (HR-QoL)</w:t>
      </w:r>
      <w:r>
        <w:rPr>
          <w:rFonts w:ascii="Book Antiqua" w:eastAsia="Book Antiqua" w:hAnsi="Book Antiqua" w:cs="Book Antiqua"/>
          <w:color w:val="000000"/>
        </w:rPr>
        <w:t xml:space="preserve">. </w:t>
      </w:r>
    </w:p>
    <w:bookmarkEnd w:id="35"/>
    <w:bookmarkEnd w:id="36"/>
    <w:p w14:paraId="242AECB5" w14:textId="77777777" w:rsidR="00A77B3E" w:rsidRDefault="00A77B3E">
      <w:pPr>
        <w:spacing w:line="360" w:lineRule="auto"/>
        <w:jc w:val="both"/>
      </w:pPr>
    </w:p>
    <w:p w14:paraId="1DC7A7F5" w14:textId="77777777" w:rsidR="00A77B3E" w:rsidRDefault="00464B5F">
      <w:pPr>
        <w:spacing w:line="360" w:lineRule="auto"/>
        <w:jc w:val="both"/>
      </w:pPr>
      <w:r>
        <w:rPr>
          <w:rFonts w:ascii="Book Antiqua" w:eastAsia="Book Antiqua" w:hAnsi="Book Antiqua" w:cs="Book Antiqua"/>
          <w:color w:val="000000"/>
        </w:rPr>
        <w:t>AIM</w:t>
      </w:r>
    </w:p>
    <w:p w14:paraId="0F83316E" w14:textId="77777777" w:rsidR="00A77B3E" w:rsidRDefault="00CC79CF">
      <w:pPr>
        <w:spacing w:line="360" w:lineRule="auto"/>
        <w:jc w:val="both"/>
      </w:pPr>
      <w:bookmarkStart w:id="41" w:name="OLE_LINK147"/>
      <w:bookmarkStart w:id="42" w:name="OLE_LINK148"/>
      <w:r>
        <w:rPr>
          <w:rFonts w:ascii="Book Antiqua" w:hAnsi="Book Antiqua" w:cs="Book Antiqua" w:hint="eastAsia"/>
          <w:color w:val="000000"/>
          <w:lang w:eastAsia="zh-CN"/>
        </w:rPr>
        <w:t>T</w:t>
      </w:r>
      <w:r w:rsidR="00464B5F">
        <w:rPr>
          <w:rFonts w:ascii="Book Antiqua" w:eastAsia="Book Antiqua" w:hAnsi="Book Antiqua" w:cs="Book Antiqua"/>
          <w:color w:val="000000"/>
        </w:rPr>
        <w:t xml:space="preserve">o validate the FJS in patients after acetabular fracture. </w:t>
      </w:r>
    </w:p>
    <w:bookmarkEnd w:id="41"/>
    <w:bookmarkEnd w:id="42"/>
    <w:p w14:paraId="370C111E" w14:textId="77777777" w:rsidR="00A77B3E" w:rsidRDefault="00A77B3E">
      <w:pPr>
        <w:spacing w:line="360" w:lineRule="auto"/>
        <w:jc w:val="both"/>
      </w:pPr>
    </w:p>
    <w:p w14:paraId="64F982AA" w14:textId="77777777" w:rsidR="00A77B3E" w:rsidRDefault="00464B5F">
      <w:pPr>
        <w:spacing w:line="360" w:lineRule="auto"/>
        <w:jc w:val="both"/>
      </w:pPr>
      <w:r>
        <w:rPr>
          <w:rFonts w:ascii="Book Antiqua" w:eastAsia="Book Antiqua" w:hAnsi="Book Antiqua" w:cs="Book Antiqua"/>
          <w:color w:val="000000"/>
        </w:rPr>
        <w:t>METHODS</w:t>
      </w:r>
    </w:p>
    <w:p w14:paraId="53169AA2" w14:textId="757E14F0" w:rsidR="00A77B3E" w:rsidRDefault="00464B5F">
      <w:pPr>
        <w:spacing w:line="360" w:lineRule="auto"/>
        <w:jc w:val="both"/>
      </w:pPr>
      <w:bookmarkStart w:id="43" w:name="OLE_LINK149"/>
      <w:bookmarkStart w:id="44" w:name="OLE_LINK150"/>
      <w:r>
        <w:rPr>
          <w:rFonts w:ascii="Book Antiqua" w:eastAsia="Book Antiqua" w:hAnsi="Book Antiqua" w:cs="Book Antiqua"/>
          <w:color w:val="000000"/>
        </w:rPr>
        <w:t xml:space="preserve">In a prospective mono-centric cohort study, we evaluated </w:t>
      </w:r>
      <w:r w:rsidR="00CC79CF">
        <w:rPr>
          <w:rFonts w:ascii="Book Antiqua" w:eastAsia="Book Antiqua" w:hAnsi="Book Antiqua" w:cs="Book Antiqua"/>
          <w:color w:val="000000"/>
        </w:rPr>
        <w:t>100 patients at mean 5.2</w:t>
      </w:r>
      <w:r w:rsidR="00CC79CF">
        <w:rPr>
          <w:rFonts w:ascii="Book Antiqua" w:hAnsi="Book Antiqua" w:cs="Book Antiqua" w:hint="eastAsia"/>
          <w:color w:val="000000"/>
          <w:lang w:eastAsia="zh-CN"/>
        </w:rPr>
        <w:t xml:space="preserve"> </w:t>
      </w:r>
      <w:r w:rsidR="00CC79CF">
        <w:rPr>
          <w:rFonts w:ascii="Book Antiqua" w:eastAsia="Book Antiqua" w:hAnsi="Book Antiqua" w:cs="Book Antiqua"/>
          <w:color w:val="000000"/>
        </w:rPr>
        <w:t>± 3.6</w:t>
      </w:r>
      <w:r w:rsidR="00CC79CF" w:rsidRPr="00CC79CF">
        <w:rPr>
          <w:rFonts w:ascii="Book Antiqua" w:eastAsia="Book Antiqua" w:hAnsi="Book Antiqua" w:cs="Book Antiqua"/>
          <w:color w:val="000000"/>
        </w:rPr>
        <w:t xml:space="preserve"> </w:t>
      </w:r>
      <w:r w:rsidR="00CC79CF">
        <w:rPr>
          <w:rFonts w:ascii="Book Antiqua" w:eastAsia="Book Antiqua" w:hAnsi="Book Antiqua" w:cs="Book Antiqua"/>
          <w:color w:val="000000"/>
        </w:rPr>
        <w:t>years</w:t>
      </w:r>
      <w:r>
        <w:rPr>
          <w:rFonts w:ascii="Book Antiqua" w:eastAsia="Book Antiqua" w:hAnsi="Book Antiqua" w:cs="Book Antiqua"/>
          <w:color w:val="000000"/>
        </w:rPr>
        <w:t xml:space="preserve"> after a fracture of the acetabulum. The validation study </w:t>
      </w:r>
      <w:r w:rsidR="00541E7B">
        <w:rPr>
          <w:rFonts w:ascii="Book Antiqua" w:eastAsia="Book Antiqua" w:hAnsi="Book Antiqua" w:cs="Book Antiqua"/>
          <w:color w:val="000000"/>
        </w:rPr>
        <w:t>followed</w:t>
      </w:r>
      <w:r>
        <w:rPr>
          <w:rFonts w:ascii="Book Antiqua" w:eastAsia="Book Antiqua" w:hAnsi="Book Antiqua" w:cs="Book Antiqua"/>
          <w:color w:val="000000"/>
        </w:rPr>
        <w:t xml:space="preserve"> the</w:t>
      </w:r>
      <w:r w:rsidR="00541E7B">
        <w:rPr>
          <w:rFonts w:ascii="Book Antiqua" w:eastAsia="Book Antiqua" w:hAnsi="Book Antiqua" w:cs="Book Antiqua"/>
          <w:color w:val="000000"/>
        </w:rPr>
        <w:t xml:space="preserve"> complete</w:t>
      </w:r>
      <w:r>
        <w:rPr>
          <w:rFonts w:ascii="Book Antiqua" w:eastAsia="Book Antiqua" w:hAnsi="Book Antiqua" w:cs="Book Antiqua"/>
          <w:color w:val="000000"/>
        </w:rPr>
        <w:t xml:space="preserve"> COSMIN checklist protocol. For calculation of convergent validity, we used </w:t>
      </w:r>
      <w:r w:rsidR="00541E7B">
        <w:rPr>
          <w:rFonts w:ascii="Book Antiqua" w:eastAsia="Book Antiqua" w:hAnsi="Book Antiqua" w:cs="Book Antiqua"/>
          <w:color w:val="000000"/>
        </w:rPr>
        <w:t xml:space="preserve">the </w:t>
      </w:r>
      <w:proofErr w:type="spellStart"/>
      <w:r w:rsidR="00541E7B">
        <w:rPr>
          <w:rFonts w:ascii="Book Antiqua" w:eastAsia="Book Antiqua" w:hAnsi="Book Antiqua" w:cs="Book Antiqua"/>
          <w:color w:val="000000"/>
        </w:rPr>
        <w:t>Tegner</w:t>
      </w:r>
      <w:proofErr w:type="spellEnd"/>
      <w:r w:rsidR="00541E7B">
        <w:rPr>
          <w:rFonts w:ascii="Book Antiqua" w:eastAsia="Book Antiqua" w:hAnsi="Book Antiqua" w:cs="Book Antiqua"/>
          <w:color w:val="000000"/>
        </w:rPr>
        <w:t xml:space="preserve">-Activity Scale, </w:t>
      </w:r>
      <w:r>
        <w:rPr>
          <w:rFonts w:ascii="Book Antiqua" w:eastAsia="Book Antiqua" w:hAnsi="Book Antiqua" w:cs="Book Antiqua"/>
          <w:color w:val="000000"/>
        </w:rPr>
        <w:t>the Western Ontario and McMaster Universities Osteoarthritis Index, the EuroQol-5D, and a subjective rating of change as an anchor variable.</w:t>
      </w:r>
    </w:p>
    <w:bookmarkEnd w:id="43"/>
    <w:bookmarkEnd w:id="44"/>
    <w:p w14:paraId="253721C1" w14:textId="77777777" w:rsidR="00A77B3E" w:rsidRDefault="00A77B3E">
      <w:pPr>
        <w:spacing w:line="360" w:lineRule="auto"/>
        <w:jc w:val="both"/>
      </w:pPr>
    </w:p>
    <w:p w14:paraId="4F16A7FA" w14:textId="77777777" w:rsidR="00A77B3E" w:rsidRDefault="00464B5F">
      <w:pPr>
        <w:spacing w:line="360" w:lineRule="auto"/>
        <w:jc w:val="both"/>
      </w:pPr>
      <w:r>
        <w:rPr>
          <w:rFonts w:ascii="Book Antiqua" w:eastAsia="Book Antiqua" w:hAnsi="Book Antiqua" w:cs="Book Antiqua"/>
          <w:color w:val="000000"/>
        </w:rPr>
        <w:t>RESULTS</w:t>
      </w:r>
    </w:p>
    <w:p w14:paraId="33370ADF" w14:textId="180E45E2" w:rsidR="00A77B3E" w:rsidRDefault="00541E7B">
      <w:pPr>
        <w:spacing w:line="360" w:lineRule="auto"/>
        <w:jc w:val="both"/>
      </w:pPr>
      <w:bookmarkStart w:id="45" w:name="OLE_LINK151"/>
      <w:bookmarkStart w:id="46" w:name="OLE_LINK152"/>
      <w:r>
        <w:rPr>
          <w:rFonts w:ascii="Book Antiqua" w:eastAsia="Book Antiqua" w:hAnsi="Book Antiqua" w:cs="Book Antiqua"/>
          <w:color w:val="000000"/>
        </w:rPr>
        <w:t xml:space="preserve">We confirmed good internal consistency with a </w:t>
      </w:r>
      <w:r w:rsidR="00464B5F">
        <w:rPr>
          <w:rFonts w:ascii="Book Antiqua" w:eastAsia="Book Antiqua" w:hAnsi="Book Antiqua" w:cs="Book Antiqua"/>
          <w:color w:val="000000"/>
        </w:rPr>
        <w:t xml:space="preserve">Cronbach‘s alpha </w:t>
      </w:r>
      <w:r>
        <w:rPr>
          <w:rFonts w:ascii="Book Antiqua" w:eastAsia="Book Antiqua" w:hAnsi="Book Antiqua" w:cs="Book Antiqua"/>
          <w:color w:val="000000"/>
        </w:rPr>
        <w:t>of</w:t>
      </w:r>
      <w:r w:rsidR="00464B5F">
        <w:rPr>
          <w:rFonts w:ascii="Book Antiqua" w:eastAsia="Book Antiqua" w:hAnsi="Book Antiqua" w:cs="Book Antiqua"/>
          <w:color w:val="000000"/>
        </w:rPr>
        <w:t xml:space="preserve"> 0.95. </w:t>
      </w:r>
      <w:r>
        <w:rPr>
          <w:rFonts w:ascii="Book Antiqua" w:eastAsia="Book Antiqua" w:hAnsi="Book Antiqua" w:cs="Book Antiqua"/>
          <w:color w:val="000000"/>
        </w:rPr>
        <w:t xml:space="preserve">With an </w:t>
      </w:r>
      <w:r w:rsidRPr="00CC79CF">
        <w:rPr>
          <w:rFonts w:ascii="Book Antiqua" w:eastAsia="Book Antiqua" w:hAnsi="Book Antiqua" w:cs="Book Antiqua"/>
          <w:color w:val="000000"/>
        </w:rPr>
        <w:t>intraclass correlation coefficient</w:t>
      </w:r>
      <w:r>
        <w:rPr>
          <w:rFonts w:ascii="Book Antiqua" w:eastAsia="Book Antiqua" w:hAnsi="Book Antiqua" w:cs="Book Antiqua"/>
          <w:color w:val="000000"/>
        </w:rPr>
        <w:t xml:space="preserve"> of 0.99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0.97,</w:t>
      </w:r>
      <w:r>
        <w:rPr>
          <w:rFonts w:ascii="Book Antiqua" w:hAnsi="Book Antiqua" w:cs="Book Antiqua" w:hint="eastAsia"/>
          <w:color w:val="000000"/>
          <w:lang w:eastAsia="zh-CN"/>
        </w:rPr>
        <w:t xml:space="preserve"> </w:t>
      </w:r>
      <w:r>
        <w:rPr>
          <w:rFonts w:ascii="Book Antiqua" w:eastAsia="Book Antiqua" w:hAnsi="Book Antiqua" w:cs="Book Antiqua"/>
          <w:color w:val="000000"/>
        </w:rPr>
        <w:t>0.99), t</w:t>
      </w:r>
      <w:r w:rsidR="00464B5F">
        <w:rPr>
          <w:rFonts w:ascii="Book Antiqua" w:eastAsia="Book Antiqua" w:hAnsi="Book Antiqua" w:cs="Book Antiqua"/>
          <w:color w:val="000000"/>
        </w:rPr>
        <w:t>est-retest reliability of the FJS was excellent. Correlation coefficients between the questionnaires were moderate to high ranging from |0.56| to |0.83| (absolute value). No relevant floor or ceiling effects occurred.</w:t>
      </w:r>
      <w:r w:rsidR="00464B5F">
        <w:rPr>
          <w:rFonts w:ascii="Book Antiqua" w:eastAsia="Book Antiqua" w:hAnsi="Book Antiqua" w:cs="Book Antiqua"/>
          <w:color w:val="000000"/>
          <w:szCs w:val="22"/>
        </w:rPr>
        <w:t xml:space="preserve"> </w:t>
      </w:r>
      <w:r w:rsidR="00464B5F">
        <w:rPr>
          <w:rFonts w:ascii="Book Antiqua" w:eastAsia="Book Antiqua" w:hAnsi="Book Antiqua" w:cs="Book Antiqua"/>
          <w:color w:val="000000"/>
        </w:rPr>
        <w:t xml:space="preserve">Standard error of measurement was 3.2 and </w:t>
      </w:r>
      <w:bookmarkStart w:id="47" w:name="OLE_LINK25"/>
      <w:bookmarkStart w:id="48" w:name="OLE_LINK26"/>
      <w:bookmarkStart w:id="49" w:name="OLE_LINK60"/>
      <w:r w:rsidR="00CC79CF">
        <w:rPr>
          <w:rFonts w:ascii="Book Antiqua" w:eastAsia="Book Antiqua" w:hAnsi="Book Antiqua" w:cs="Book Antiqua"/>
          <w:color w:val="000000"/>
        </w:rPr>
        <w:t xml:space="preserve">smallest </w:t>
      </w:r>
      <w:r w:rsidR="00464B5F">
        <w:rPr>
          <w:rFonts w:ascii="Book Antiqua" w:eastAsia="Book Antiqua" w:hAnsi="Book Antiqua" w:cs="Book Antiqua"/>
          <w:color w:val="000000"/>
        </w:rPr>
        <w:t>detectable change</w:t>
      </w:r>
      <w:bookmarkEnd w:id="47"/>
      <w:bookmarkEnd w:id="48"/>
      <w:bookmarkEnd w:id="49"/>
      <w:r w:rsidR="00464B5F">
        <w:rPr>
          <w:rFonts w:ascii="Book Antiqua" w:eastAsia="Book Antiqua" w:hAnsi="Book Antiqua" w:cs="Book Antiqua"/>
          <w:color w:val="000000"/>
        </w:rPr>
        <w:t xml:space="preserve"> (SDC) was 8.8. Thus, changes greater than 8.8 points between two assessments denote a real change in FJS.</w:t>
      </w:r>
    </w:p>
    <w:bookmarkEnd w:id="45"/>
    <w:bookmarkEnd w:id="46"/>
    <w:p w14:paraId="61A8D9D0" w14:textId="77777777" w:rsidR="00A77B3E" w:rsidRDefault="00A77B3E">
      <w:pPr>
        <w:spacing w:line="360" w:lineRule="auto"/>
        <w:jc w:val="both"/>
      </w:pPr>
    </w:p>
    <w:p w14:paraId="25B8E15F" w14:textId="77777777" w:rsidR="00A77B3E" w:rsidRDefault="00464B5F">
      <w:pPr>
        <w:spacing w:line="360" w:lineRule="auto"/>
        <w:jc w:val="both"/>
      </w:pPr>
      <w:r>
        <w:rPr>
          <w:rFonts w:ascii="Book Antiqua" w:eastAsia="Book Antiqua" w:hAnsi="Book Antiqua" w:cs="Book Antiqua"/>
          <w:color w:val="000000"/>
        </w:rPr>
        <w:t>CONCLUSION</w:t>
      </w:r>
    </w:p>
    <w:p w14:paraId="40AAC710" w14:textId="77777777" w:rsidR="00A77B3E" w:rsidRDefault="00464B5F">
      <w:pPr>
        <w:spacing w:line="360" w:lineRule="auto"/>
        <w:jc w:val="both"/>
      </w:pPr>
      <w:bookmarkStart w:id="50" w:name="OLE_LINK153"/>
      <w:bookmarkStart w:id="51" w:name="OLE_LINK154"/>
      <w:r>
        <w:rPr>
          <w:rFonts w:ascii="Book Antiqua" w:eastAsia="Book Antiqua" w:hAnsi="Book Antiqua" w:cs="Book Antiqua"/>
          <w:color w:val="000000"/>
        </w:rPr>
        <w:lastRenderedPageBreak/>
        <w:t xml:space="preserve">The FJS is a valid and reliable tool for evaluation of </w:t>
      </w:r>
      <w:r w:rsidR="00CC79CF" w:rsidRPr="00CC79CF">
        <w:rPr>
          <w:rFonts w:ascii="Book Antiqua" w:eastAsia="Book Antiqua" w:hAnsi="Book Antiqua" w:cs="Book Antiqua"/>
          <w:color w:val="000000"/>
        </w:rPr>
        <w:t>patient-reported outcome</w:t>
      </w:r>
      <w:r>
        <w:rPr>
          <w:rFonts w:ascii="Book Antiqua" w:eastAsia="Book Antiqua" w:hAnsi="Book Antiqua" w:cs="Book Antiqua"/>
          <w:color w:val="000000"/>
        </w:rPr>
        <w:t xml:space="preserve"> in posttraumatic condition after acetabular fracture. The SDC indicating a real clinical improvement was 8.8 points in the FJS. We could confirm responsiveness of the FJS and found no relevant floor- or ceiling effects. </w:t>
      </w:r>
    </w:p>
    <w:bookmarkEnd w:id="50"/>
    <w:bookmarkEnd w:id="51"/>
    <w:p w14:paraId="72A38A93" w14:textId="77777777" w:rsidR="00A77B3E" w:rsidRDefault="00A77B3E">
      <w:pPr>
        <w:spacing w:line="360" w:lineRule="auto"/>
        <w:jc w:val="both"/>
      </w:pPr>
    </w:p>
    <w:p w14:paraId="07081A79" w14:textId="2625B580" w:rsidR="00A77B3E" w:rsidRDefault="00464B5F">
      <w:pPr>
        <w:spacing w:line="360" w:lineRule="auto"/>
        <w:jc w:val="both"/>
      </w:pPr>
      <w:r>
        <w:rPr>
          <w:rFonts w:ascii="Book Antiqua" w:eastAsia="Book Antiqua" w:hAnsi="Book Antiqua" w:cs="Book Antiqua"/>
          <w:b/>
          <w:bCs/>
          <w:color w:val="000000"/>
        </w:rPr>
        <w:t xml:space="preserve">Key Words: </w:t>
      </w:r>
      <w:bookmarkStart w:id="52" w:name="OLE_LINK131"/>
      <w:bookmarkStart w:id="53" w:name="OLE_LINK132"/>
      <w:bookmarkStart w:id="54" w:name="OLE_LINK142"/>
      <w:bookmarkStart w:id="55" w:name="OLE_LINK143"/>
      <w:r>
        <w:rPr>
          <w:rFonts w:ascii="Book Antiqua" w:eastAsia="Book Antiqua" w:hAnsi="Book Antiqua" w:cs="Book Antiqua"/>
          <w:color w:val="000000"/>
        </w:rPr>
        <w:t xml:space="preserve">Patient reported outcome measurement; </w:t>
      </w:r>
      <w:r w:rsidR="00541E7B">
        <w:rPr>
          <w:rFonts w:ascii="Book Antiqua" w:eastAsia="Book Antiqua" w:hAnsi="Book Antiqua" w:cs="Book Antiqua"/>
          <w:color w:val="000000"/>
        </w:rPr>
        <w:t xml:space="preserve">Validation study; Hip joint; </w:t>
      </w:r>
      <w:r>
        <w:rPr>
          <w:rFonts w:ascii="Book Antiqua" w:eastAsia="Book Antiqua" w:hAnsi="Book Antiqua" w:cs="Book Antiqua"/>
          <w:color w:val="000000"/>
        </w:rPr>
        <w:t xml:space="preserve">Forgotten Joint Score; </w:t>
      </w:r>
      <w:r w:rsidR="009D1AC0">
        <w:rPr>
          <w:rFonts w:ascii="Book Antiqua" w:hAnsi="Book Antiqua" w:cs="Book Antiqua" w:hint="eastAsia"/>
          <w:color w:val="000000"/>
          <w:lang w:eastAsia="zh-CN"/>
        </w:rPr>
        <w:t>A</w:t>
      </w:r>
      <w:r>
        <w:rPr>
          <w:rFonts w:ascii="Book Antiqua" w:eastAsia="Book Antiqua" w:hAnsi="Book Antiqua" w:cs="Book Antiqua"/>
          <w:color w:val="000000"/>
        </w:rPr>
        <w:t xml:space="preserve">cetabulum fracture; </w:t>
      </w:r>
      <w:bookmarkStart w:id="56" w:name="OLE_LINK1"/>
      <w:bookmarkStart w:id="57" w:name="OLE_LINK2"/>
      <w:r w:rsidR="00541E7B">
        <w:rPr>
          <w:rFonts w:ascii="Book Antiqua" w:eastAsia="Book Antiqua" w:hAnsi="Book Antiqua" w:cs="Book Antiqua"/>
          <w:color w:val="000000"/>
        </w:rPr>
        <w:t xml:space="preserve">COSMIN </w:t>
      </w:r>
      <w:bookmarkEnd w:id="56"/>
      <w:bookmarkEnd w:id="57"/>
      <w:r w:rsidR="00541E7B">
        <w:rPr>
          <w:rFonts w:ascii="Book Antiqua" w:eastAsia="Book Antiqua" w:hAnsi="Book Antiqua" w:cs="Book Antiqua"/>
          <w:color w:val="000000"/>
        </w:rPr>
        <w:t>checklist</w:t>
      </w:r>
      <w:bookmarkEnd w:id="52"/>
      <w:bookmarkEnd w:id="53"/>
    </w:p>
    <w:bookmarkEnd w:id="54"/>
    <w:bookmarkEnd w:id="55"/>
    <w:p w14:paraId="072E502F" w14:textId="77777777" w:rsidR="00A164D8" w:rsidRDefault="00A164D8" w:rsidP="00A164D8">
      <w:pPr>
        <w:spacing w:line="360" w:lineRule="auto"/>
        <w:rPr>
          <w:rFonts w:ascii="Book Antiqua" w:hAnsi="Book Antiqua" w:cs="Book Antiqua" w:hint="eastAsia"/>
          <w:b/>
          <w:color w:val="000000"/>
          <w:lang w:eastAsia="zh-CN"/>
        </w:rPr>
      </w:pPr>
    </w:p>
    <w:p w14:paraId="16C6C3C3" w14:textId="77777777" w:rsidR="00A164D8" w:rsidRPr="00026CB8" w:rsidRDefault="00A164D8" w:rsidP="00A164D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020716E" w14:textId="77777777" w:rsidR="00A164D8" w:rsidRDefault="00A164D8">
      <w:pPr>
        <w:spacing w:line="360" w:lineRule="auto"/>
        <w:jc w:val="both"/>
        <w:rPr>
          <w:rFonts w:hint="eastAsia"/>
          <w:lang w:eastAsia="zh-CN"/>
        </w:rPr>
      </w:pPr>
    </w:p>
    <w:p w14:paraId="700CF887" w14:textId="540409C3" w:rsidR="00A77B3E" w:rsidRDefault="00464B5F">
      <w:pPr>
        <w:spacing w:line="360" w:lineRule="auto"/>
        <w:jc w:val="both"/>
      </w:pPr>
      <w:bookmarkStart w:id="58" w:name="OLE_LINK133"/>
      <w:bookmarkStart w:id="59" w:name="OLE_LINK134"/>
      <w:proofErr w:type="spellStart"/>
      <w:r w:rsidRPr="00804DA7">
        <w:rPr>
          <w:rFonts w:ascii="Book Antiqua" w:eastAsia="Book Antiqua" w:hAnsi="Book Antiqua" w:cs="Book Antiqua"/>
          <w:color w:val="000000"/>
          <w:lang w:val="en-GB"/>
        </w:rPr>
        <w:t>Freigang</w:t>
      </w:r>
      <w:proofErr w:type="spellEnd"/>
      <w:r w:rsidRPr="00804DA7">
        <w:rPr>
          <w:rFonts w:ascii="Book Antiqua" w:eastAsia="Book Antiqua" w:hAnsi="Book Antiqua" w:cs="Book Antiqua"/>
          <w:color w:val="000000"/>
          <w:lang w:val="en-GB"/>
        </w:rPr>
        <w:t xml:space="preserve"> V, Weber J, Mueller K, Pfeifer C, </w:t>
      </w:r>
      <w:proofErr w:type="spellStart"/>
      <w:r w:rsidRPr="00804DA7">
        <w:rPr>
          <w:rFonts w:ascii="Book Antiqua" w:eastAsia="Book Antiqua" w:hAnsi="Book Antiqua" w:cs="Book Antiqua"/>
          <w:color w:val="000000"/>
          <w:lang w:val="en-GB"/>
        </w:rPr>
        <w:t>Worlicek</w:t>
      </w:r>
      <w:proofErr w:type="spellEnd"/>
      <w:r w:rsidRPr="00804DA7">
        <w:rPr>
          <w:rFonts w:ascii="Book Antiqua" w:eastAsia="Book Antiqua" w:hAnsi="Book Antiqua" w:cs="Book Antiqua"/>
          <w:color w:val="000000"/>
          <w:lang w:val="en-GB"/>
        </w:rPr>
        <w:t xml:space="preserve"> M, Alt V, Baumann F</w:t>
      </w:r>
      <w:r w:rsidR="00E84DA7">
        <w:rPr>
          <w:rFonts w:ascii="Book Antiqua" w:hAnsi="Book Antiqua" w:cs="Book Antiqua" w:hint="eastAsia"/>
          <w:color w:val="000000"/>
          <w:lang w:val="en-GB" w:eastAsia="zh-CN"/>
        </w:rPr>
        <w:t>M</w:t>
      </w:r>
      <w:r w:rsidRPr="00804DA7">
        <w:rPr>
          <w:rFonts w:ascii="Book Antiqua" w:eastAsia="Book Antiqua" w:hAnsi="Book Antiqua" w:cs="Book Antiqua"/>
          <w:color w:val="000000"/>
          <w:lang w:val="en-GB"/>
        </w:rPr>
        <w:t xml:space="preserve">. </w:t>
      </w:r>
      <w:r>
        <w:rPr>
          <w:rFonts w:ascii="Book Antiqua" w:eastAsia="Book Antiqua" w:hAnsi="Book Antiqua" w:cs="Book Antiqua"/>
          <w:color w:val="000000"/>
        </w:rPr>
        <w:t>Evaluation of</w:t>
      </w:r>
      <w:r w:rsidR="00287430">
        <w:rPr>
          <w:rFonts w:ascii="Book Antiqua" w:eastAsia="Book Antiqua" w:hAnsi="Book Antiqua" w:cs="Book Antiqua"/>
          <w:color w:val="000000"/>
        </w:rPr>
        <w:t xml:space="preserve"> joint awareness after acetabular fracture</w:t>
      </w:r>
      <w:r>
        <w:rPr>
          <w:rFonts w:ascii="Book Antiqua" w:eastAsia="Book Antiqua" w:hAnsi="Book Antiqua" w:cs="Book Antiqua"/>
          <w:color w:val="000000"/>
        </w:rPr>
        <w:t xml:space="preserve">: Validation of the Forgotten Joint Score according to the COSMIN checklist protocol.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w:t>
      </w:r>
      <w:r w:rsidR="00C70155">
        <w:rPr>
          <w:rFonts w:ascii="Book Antiqua" w:eastAsia="Book Antiqua" w:hAnsi="Book Antiqua" w:cs="Book Antiqua"/>
          <w:color w:val="000000"/>
        </w:rPr>
        <w:t>1</w:t>
      </w:r>
      <w:r>
        <w:rPr>
          <w:rFonts w:ascii="Book Antiqua" w:eastAsia="Book Antiqua" w:hAnsi="Book Antiqua" w:cs="Book Antiqua"/>
          <w:color w:val="000000"/>
        </w:rPr>
        <w:t xml:space="preserve">; </w:t>
      </w:r>
      <w:r w:rsidR="00893FDF" w:rsidRPr="00893FDF">
        <w:rPr>
          <w:rFonts w:ascii="Book Antiqua" w:eastAsia="Book Antiqua" w:hAnsi="Book Antiqua" w:cs="Book Antiqua"/>
          <w:color w:val="000000"/>
        </w:rPr>
        <w:t xml:space="preserve">12(2): </w:t>
      </w:r>
      <w:r w:rsidR="00A164D8">
        <w:rPr>
          <w:rFonts w:ascii="Book Antiqua" w:eastAsia="Book Antiqua" w:hAnsi="Book Antiqua" w:cs="Book Antiqua"/>
          <w:color w:val="000000"/>
        </w:rPr>
        <w:t>69-81</w:t>
      </w:r>
      <w:r w:rsidR="00893FDF" w:rsidRPr="00893FDF">
        <w:rPr>
          <w:rFonts w:ascii="Book Antiqua" w:eastAsia="Book Antiqua" w:hAnsi="Book Antiqua" w:cs="Book Antiqua"/>
          <w:color w:val="000000"/>
        </w:rPr>
        <w:t xml:space="preserve"> URL: https://www.wjgnet.com/2218-5836/full/v12/i2/</w:t>
      </w:r>
      <w:r w:rsidR="00A164D8">
        <w:rPr>
          <w:rFonts w:ascii="Book Antiqua" w:eastAsia="Book Antiqua" w:hAnsi="Book Antiqua" w:cs="Book Antiqua"/>
          <w:color w:val="000000"/>
        </w:rPr>
        <w:t>69</w:t>
      </w:r>
      <w:r w:rsidR="00893FDF" w:rsidRPr="00893FDF">
        <w:rPr>
          <w:rFonts w:ascii="Book Antiqua" w:eastAsia="Book Antiqua" w:hAnsi="Book Antiqua" w:cs="Book Antiqua"/>
          <w:color w:val="000000"/>
        </w:rPr>
        <w:t>.htm DOI: https://dx.doi.org/10.5312/wjo.v12.i2.</w:t>
      </w:r>
      <w:r w:rsidR="00A164D8">
        <w:rPr>
          <w:rFonts w:ascii="Book Antiqua" w:eastAsia="Book Antiqua" w:hAnsi="Book Antiqua" w:cs="Book Antiqua"/>
          <w:color w:val="000000"/>
        </w:rPr>
        <w:t>69</w:t>
      </w:r>
    </w:p>
    <w:bookmarkEnd w:id="58"/>
    <w:bookmarkEnd w:id="59"/>
    <w:p w14:paraId="3CA7448F" w14:textId="77777777" w:rsidR="00A77B3E" w:rsidRDefault="00A77B3E">
      <w:pPr>
        <w:spacing w:line="360" w:lineRule="auto"/>
        <w:jc w:val="both"/>
      </w:pPr>
    </w:p>
    <w:p w14:paraId="77FE02FA" w14:textId="77777777" w:rsidR="00A77B3E" w:rsidRPr="00A12DC0" w:rsidRDefault="00464B5F">
      <w:pPr>
        <w:spacing w:line="360" w:lineRule="auto"/>
        <w:jc w:val="both"/>
        <w:rPr>
          <w:lang w:eastAsia="zh-CN"/>
        </w:rPr>
      </w:pPr>
      <w:r>
        <w:rPr>
          <w:rFonts w:ascii="Book Antiqua" w:eastAsia="Book Antiqua" w:hAnsi="Book Antiqua" w:cs="Book Antiqua"/>
          <w:b/>
          <w:bCs/>
          <w:color w:val="000000"/>
        </w:rPr>
        <w:t xml:space="preserve">Core Tip: </w:t>
      </w:r>
      <w:bookmarkStart w:id="60" w:name="OLE_LINK135"/>
      <w:bookmarkStart w:id="61" w:name="OLE_LINK136"/>
      <w:bookmarkStart w:id="62" w:name="OLE_LINK144"/>
      <w:r>
        <w:rPr>
          <w:rFonts w:ascii="Book Antiqua" w:eastAsia="Book Antiqua" w:hAnsi="Book Antiqua" w:cs="Book Antiqua"/>
          <w:color w:val="000000"/>
        </w:rPr>
        <w:t>A fracture of the acetabulum is a rare but serious medical condition. Patie</w:t>
      </w:r>
      <w:r w:rsidR="007846EB">
        <w:rPr>
          <w:rFonts w:ascii="Book Antiqua" w:eastAsia="Book Antiqua" w:hAnsi="Book Antiqua" w:cs="Book Antiqua"/>
          <w:color w:val="000000"/>
        </w:rPr>
        <w:t>nt-reported outcome measurement</w:t>
      </w:r>
      <w:r w:rsidR="007846E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has rising impact on clinical </w:t>
      </w:r>
      <w:r w:rsidR="00FA4F45">
        <w:rPr>
          <w:rFonts w:ascii="Book Antiqua" w:eastAsia="Book Antiqua" w:hAnsi="Book Antiqua" w:cs="Book Antiqua"/>
          <w:color w:val="000000"/>
        </w:rPr>
        <w:t>decision-making</w:t>
      </w:r>
      <w:r>
        <w:rPr>
          <w:rFonts w:ascii="Book Antiqua" w:eastAsia="Book Antiqua" w:hAnsi="Book Antiqua" w:cs="Book Antiqua"/>
          <w:color w:val="000000"/>
        </w:rPr>
        <w:t xml:space="preserve"> and is of extraordinary value in research. Validation of measurement tools is an essential scientific contribution for further research. This study evaluates psychometric properties of the Forgotten Joint Score in posttraumatic condition after acetabular fractures.</w:t>
      </w:r>
    </w:p>
    <w:bookmarkEnd w:id="60"/>
    <w:bookmarkEnd w:id="61"/>
    <w:bookmarkEnd w:id="62"/>
    <w:p w14:paraId="66C539A3" w14:textId="77777777" w:rsidR="00A77B3E" w:rsidRDefault="00A77B3E">
      <w:pPr>
        <w:spacing w:line="360" w:lineRule="auto"/>
        <w:jc w:val="both"/>
      </w:pPr>
    </w:p>
    <w:p w14:paraId="37411621" w14:textId="77777777" w:rsidR="00A77B3E" w:rsidRDefault="007846EB">
      <w:pPr>
        <w:spacing w:line="360" w:lineRule="auto"/>
        <w:jc w:val="both"/>
      </w:pPr>
      <w:r>
        <w:rPr>
          <w:rFonts w:ascii="Book Antiqua" w:eastAsia="Book Antiqua" w:hAnsi="Book Antiqua" w:cs="Book Antiqua"/>
          <w:b/>
          <w:caps/>
          <w:color w:val="000000"/>
          <w:u w:val="single"/>
        </w:rPr>
        <w:br w:type="page"/>
      </w:r>
      <w:r w:rsidR="00464B5F">
        <w:rPr>
          <w:rFonts w:ascii="Book Antiqua" w:eastAsia="Book Antiqua" w:hAnsi="Book Antiqua" w:cs="Book Antiqua"/>
          <w:b/>
          <w:caps/>
          <w:color w:val="000000"/>
          <w:u w:val="single"/>
        </w:rPr>
        <w:lastRenderedPageBreak/>
        <w:t>INTRODUCTION</w:t>
      </w:r>
    </w:p>
    <w:p w14:paraId="56FAC9C0" w14:textId="4EF689B1" w:rsidR="00A77B3E" w:rsidRDefault="00464B5F">
      <w:pPr>
        <w:spacing w:line="360" w:lineRule="auto"/>
        <w:jc w:val="both"/>
      </w:pPr>
      <w:bookmarkStart w:id="63" w:name="OLE_LINK155"/>
      <w:bookmarkStart w:id="64" w:name="OLE_LINK156"/>
      <w:bookmarkStart w:id="65" w:name="OLE_LINK157"/>
      <w:r>
        <w:rPr>
          <w:rFonts w:ascii="Book Antiqua" w:eastAsia="Book Antiqua" w:hAnsi="Book Antiqua" w:cs="Book Antiqua"/>
          <w:color w:val="000000"/>
        </w:rPr>
        <w:t xml:space="preserve">A fracture of the acetabulum is an uncommon but severe injury to the hip joint. Initial management of these injuries is crucial regarding long-term </w:t>
      </w:r>
      <w:r w:rsidR="00804DA7">
        <w:rPr>
          <w:rFonts w:ascii="Book Antiqua" w:eastAsia="Book Antiqua" w:hAnsi="Book Antiqua" w:cs="Book Antiqua"/>
          <w:color w:val="000000"/>
        </w:rPr>
        <w:t>outcome</w:t>
      </w:r>
      <w:r w:rsidR="00A57436">
        <w:rPr>
          <w:rFonts w:ascii="Book Antiqua" w:hAnsi="Book Antiqua" w:cs="Book Antiqua" w:hint="eastAsia"/>
          <w:color w:val="000000"/>
          <w:vertAlign w:val="superscript"/>
          <w:lang w:eastAsia="zh-CN"/>
        </w:rPr>
        <w:t>[</w:t>
      </w:r>
      <w:r w:rsidR="00FA4F45">
        <w:rPr>
          <w:rFonts w:ascii="Book Antiqua" w:eastAsia="Book Antiqua" w:hAnsi="Book Antiqua" w:cs="Book Antiqua"/>
          <w:color w:val="000000"/>
        </w:rPr>
        <w:fldChar w:fldCharType="begin"/>
      </w:r>
      <w:r w:rsidR="00FA4F45">
        <w:rPr>
          <w:rFonts w:ascii="Book Antiqua" w:eastAsia="Book Antiqua" w:hAnsi="Book Antiqua" w:cs="Book Antiqua"/>
          <w:color w:val="000000"/>
        </w:rPr>
        <w:instrText xml:space="preserve"> ADDIN ZOTERO_ITEM CSL_CITATION {"citationID":"Yrf7A7Fe","properties":{"formattedCitation":"\\super 1\\uc0\\u8211{}7\\nosupersub{}","plainCitation":"1–7","noteIndex":0},"citationItems":[{"id":114,"uris":["http://zotero.org/users/local/QA4apqAk/items/J5NIL3MU"],"uri":["http://zotero.org/users/local/QA4apqAk/items/J5NIL3MU"],"itemData":{"id":114,"type":"article-journal","abstract":"We report the outcome of 161 of 257 surgically fixed acetabular fractures. The operations were undertaken between 1989 and 1998 and the patients were followed for a minimum of ten years. Anthropometric data, fracture pattern, time to surgery, associated injuries, surgical approach, complications and outcome were recorded. Modified Merle D'Aubigné score and Matta radiological scoring systems were used as outcome measures. We observed simple fractures in 108 patients (42%) and associated fractures in 149 (58%). The result was excellent in 75 patients (47%), good in 41 (25%), fair in 12 (7%) and poor in 33 (20%). Poor prognostic factors included increasing age, delay to surgery, quality of reduction and some fracture patterns. Complications were common in the medium- to long-term and functional outcome was variable. The gold-standard treatment for displaced acetabular fractures remains open reduction and internal fixation performed in dedicated units by specialist surgeons as soon as possible.","container-title":"The Journal of Bone and Joint Surgery. British Volume","DOI":"10.1302/0301-620X.93B2.24056","ISSN":"2044-5377","issue":"2","journalAbbreviation":"J Bone Joint Surg Br","language":"eng","note":"PMID: 21282764","page":"229-236","source":"PubMed","title":"Outcomes of acetabular fracture fixation with ten years' follow-up","volume":"93","author":[{"family":"Briffa","given":"N."},{"family":"Pearce","given":"R."},{"family":"Hill","given":"A. M."},{"family":"Bircher","given":"M."}],"issued":{"date-parts":[["2011",2]]}}},{"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M."}],"issued":{"date-parts":[["2012",9,5]]}}},{"id":132,"uris":["http://zotero.org/users/local/QA4apqAk/items/YPR5MXP2"],"uri":["http://zotero.org/users/local/QA4apqAk/items/YPR5MXP2"],"itemData":{"id":132,"type":"article-journal","abstract":"INTRODUCTION: acetabular fractures are difficult to treat with often an unsatisfactory results for patients. The aim of this study is to investigate about the health-related quality-of-life outcome of patients with a traumatic acetabular fracture, as recorded at least 24 months after their surgery.\nMETHODS: a cohort of patients underwent a dedicated acetabular surgical reconstruction for a pelvic trauma between November 2011 and May 2016, were enrolled to investigate, at least two years after injury, their midterm quality of life; SF-36 and LiSat-11 were used.\nRESULTS: 35 patients were enrolled but only 28 patients were revisited, 20 males (714%) and 8 females (286%) with a mean age of 43 years (19-73). The most common cause was motor vehicle accident (655%). Lower score after trauma are reported in both tests, SF-36 and LiSat 11, for all items.\nDISCUSSION: comparing the SF-36 score in the Italian normative sample with our SF-36 score before the trauma there is no statistically significant difference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0.1661) underlining how the patients before the trauma were healthy and in good health. Both scores, SF-36 and LiSat-11, before and after trauma are statistically different with respectively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0,0002 and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0,049 which proves the lower quality of life after trauma in comparison to their life before trauma.\nCONCLUSIONS: Although the treatment protocols of acetabular fractures have greatly improved over the years, these continue to have disabling consequences that hardly allow to recover a good quality of life two years after the trauma.","container-title":"Injury","DOI":"10.1016/j.injury.2018.10.004","ISSN":"1879-0267","journalAbbreviation":"Injury","language":"eng","note":"PMID: 30415672","page":"S74-S76","source":"PubMed","title":"Acetabular fractures: Is it possible to regain the same patient's related quality of life before trauma?","title-short":"Acetabular fractures","volume":"49 Suppl 3","author":[{"family":"Piazzolla","given":"A."},{"family":"Baglioni","given":"M."},{"family":"Solarino","given":"G."},{"family":"Vicenti","given":"G."},{"family":"Panella","given":"A."},{"family":"Moretti","given":"B."}],"issued":{"date-parts":[["2018",11]]}}},{"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0.001) and surgical treatment of the acetabular fracture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0.04). Complex fracture patterns were accompanied by acetabular bone defects more often than simple patterns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id":140,"uris":["http://zotero.org/users/local/QA4apqAk/items/RH8QVSWX"],"uri":["http://zotero.org/users/local/QA4apqAk/items/RH8QVSWX"],"itemData":{"id":140,"type":"article-journal","abstract":"PURPOSE: To determine if initial treatment affects the outcome of total hip arthroplasty (THA) after acetabular fracture.\nMETHODS: 49 patients (49 hips) initially treated non-operatively followed some months later by THA in conjunction with acetabular reconstruction (Group 1) and 29 patients (29 hips) who had undergone THA after a previous osteosynthesis (Group 2) were assessed. The mean follow-up was 11.7 (range 5-23) years.\nRESULTS: 3 acetabular components were revised for aseptic loosening in Group 1 and 2 in Group 2. The survival rate for cup loosening at 16 years was 90.6% (95% confidence interval [CI], 78.1-100) for Group 1 and 94.1% (95% CI, 86.5-100) for Group 2 (p = 0.76). There were 2 sciatic palsies in Group 2 after osteosynthesis. The mean preoperative clinical score and postoperative range of mobility were better in Group 1. There were more heterotopic ossifications in Group 2.\nCONCLUSION: Despite the good results found in both groups, THA after previous osteosynthesis for acetabular fractures had more complications than a primary THA in conjunction with acetabular reconstruction.","container-title":"Hip International: The Journal of Clinical and Experimental Research on Hip Pathology and Therapy","DOI":"10.1177/1120700019836413","ISSN":"1724-6067","issue":"3","journalAbbreviation":"Hip Int","language":"eng","note":"PMID: 30912452","page":"339-346","source":"PubMed","title":"Total hip arthroplasty after acetabular fracture: does initial treatment make any difference to the outcome? A 5- to 23-year follow-up with clinical and radiological analysis","title-short":"Total hip arthroplasty after acetabular fracture","volume":"30","author":[{"family":"García-Rey","given":"Eduardo"},{"family":"Sirianni","given":"Rossella"},{"family":"García-Cimbrelo","given":"Eduardo"},{"family":"Sedel","given":"Laurent"}],"issued":{"date-parts":[["2020",5]]}}}],"schema":"https://github.com/citation-style-language/schema/raw/master/csl-citation.json"} </w:instrText>
      </w:r>
      <w:r w:rsidR="00FA4F45">
        <w:rPr>
          <w:rFonts w:ascii="Book Antiqua" w:eastAsia="Book Antiqua" w:hAnsi="Book Antiqua" w:cs="Book Antiqua"/>
          <w:color w:val="000000"/>
        </w:rPr>
        <w:fldChar w:fldCharType="separate"/>
      </w:r>
      <w:r w:rsidR="00782942" w:rsidRPr="00782942">
        <w:rPr>
          <w:rFonts w:ascii="Book Antiqua" w:hAnsi="Book Antiqua"/>
          <w:vertAlign w:val="superscript"/>
        </w:rPr>
        <w:t>1–7</w:t>
      </w:r>
      <w:r w:rsidR="00FA4F4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Persistent immobilizing pain and post-traumatic osteoarthritis are typical consequences in cases where the integrity of the acetabulum is not adequately reconstructed. Open reduction and internal fixation (ORIF) is the standard treatment for displaced acetabular fractures. Risk factors for a poor radiographic outcome like residual articular surface gaps and steps as well as involvement of the posterior wall and the quadrilateral surface are well </w:t>
      </w:r>
      <w:r w:rsidR="00FA4F45">
        <w:rPr>
          <w:rFonts w:ascii="Book Antiqua" w:eastAsia="Book Antiqua" w:hAnsi="Book Antiqua" w:cs="Book Antiqua"/>
          <w:color w:val="000000"/>
        </w:rPr>
        <w:t>known</w:t>
      </w:r>
      <w:r w:rsidR="00A57436">
        <w:rPr>
          <w:rFonts w:ascii="Book Antiqua" w:hAnsi="Book Antiqua" w:cs="Book Antiqua" w:hint="eastAsia"/>
          <w:color w:val="000000"/>
          <w:vertAlign w:val="superscript"/>
          <w:lang w:eastAsia="zh-CN"/>
        </w:rPr>
        <w:t>[</w:t>
      </w:r>
      <w:r w:rsidR="00FA4F45">
        <w:rPr>
          <w:rFonts w:ascii="Book Antiqua" w:eastAsia="Book Antiqua" w:hAnsi="Book Antiqua" w:cs="Book Antiqua"/>
          <w:color w:val="000000"/>
        </w:rPr>
        <w:fldChar w:fldCharType="begin"/>
      </w:r>
      <w:r w:rsidR="00FA4F45">
        <w:rPr>
          <w:rFonts w:ascii="Book Antiqua" w:eastAsia="Book Antiqua" w:hAnsi="Book Antiqua" w:cs="Book Antiqua"/>
          <w:color w:val="000000"/>
        </w:rPr>
        <w:instrText xml:space="preserve"> ADDIN ZOTERO_ITEM CSL_CITATION {"citationID":"fSpdiYWu","properties":{"formattedCitation":"\\super 2,4,8,9\\nosupersub{}","plainCitation":"2,4,8,9","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0.001) and surgical treatment of the acetabular fracture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0.04). Complex fracture patterns were accompanied by acetabular bone defects more often than simple patterns (p</w:instrText>
      </w:r>
      <w:r w:rsidR="00FA4F45">
        <w:rPr>
          <w:rFonts w:eastAsia="Book Antiqua"/>
          <w:color w:val="000000"/>
        </w:rPr>
        <w:instrText> </w:instrText>
      </w:r>
      <w:r w:rsidR="00FA4F45">
        <w:rPr>
          <w:rFonts w:ascii="Book Antiqua" w:eastAsia="Book Antiqua" w:hAnsi="Book Antiqua" w:cs="Book Antiqua"/>
          <w:color w:val="000000"/>
        </w:rPr>
        <w:instrText>=</w:instrText>
      </w:r>
      <w:r w:rsidR="00FA4F45">
        <w:rPr>
          <w:rFonts w:eastAsia="Book Antiqua"/>
          <w:color w:val="000000"/>
        </w:rPr>
        <w:instrText> </w:instrText>
      </w:r>
      <w:r w:rsidR="00FA4F45">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M."}],"issued":{"date-parts":[["1996",11]]}}},{"id":144,"uris":["http://zotero.org/users/local/QA4apqAk/items/9XELZYXD"],"uri":["http://zotero.org/users/local/QA4apqAk/items/9XELZYXD"],"itemData":{"id":144,"type":"article-journal","abstract":"BACKGROUND: Historically, the greatest residual (gap or step) displacement is used to predict clinical outcome following acetabular fracture surgery. Gap and step displacement may, however, impact the outcome to different degrees. We assessed the individual relationship between gap or step displacement and hip survivorship and determined their independent association with conversion to total hip arthroplasty.\nMETHODS: Patients who had acetabular fracture fixation (from 1992 through 2014), follow-up of ≥2 years (or early conversion to total hip arthroplasty), and postoperative computed tomography (CT) scans were included. Of 227 patients, 55 (24.2%) had conversion to total hip arthroplasty at a mean follow-up (and standard deviation) of 8.7 ± 5.6 years. Residual gap and step displacement were measured using a standardized CT-based method, and assessors were blinded to the outcome. Kaplan-Meier survivorship curves for the hips were plotted and compared (log-rank test) using critical cutoff values for gap and step displacement. These values were identified using receiver operating characteristic curves. Multivariate analysis was performed to identify independent variables associated with conversion to total hip arthroplasty. Subgroup analysis was performed in younger patients (&lt;50 years old).\nRESULTS: The critical CT cutoff value for total hip arthroplasty conversion was 5 mm for gap and 1 mm for step displacement. Hip survivorship at 10 years was 82.0% for patients with a gap of &lt;5 mm compared with 56.5% for a gap of ≥5 mm (p &lt; 0.001) and 80.0% for a step of &lt;1.0 mm versus 65.5% for a step of ≥1.0 mm (p = 0.012). A gap of ≥5 mm (hazard ratio [HR], 2.3; p = 0.012) and an age of ≥50 years (HR, 4.2; p &lt; 0.001) were independently associated with conversion to total hip arthroplasty in all patients. In the subgroup of younger patients, only a step of ≥1 mm (HR, 6.4; p = 0.017) was an independent factor for conversion to total hip arthroplasty.\nCONCLUSIONS: Residual gap and step displacement as measured on CT scans are both related to long-term hip survivorship, but step displacement (1 mm) is tolerated less than gap displacement (5 mm). Of the 2 types of displacement, only a large gap displacement (≥5 mm) was independently associated with conversion to total hip arthroplasty. In younger patients who had less articular impaction with smaller residual gaps, only step displacement (≥1 mm) appeared to be associated with this outcome.\nLEVEL OF EVIDENCE: Prognostic Level III. See Instructions for Authors for a complete description of levels of evidence.","container-title":"The Journal of Bone and Joint Surgery. American Volume","DOI":"10.2106/JBJS.17.00692","ISSN":"1535-1386","issue":"11","journalAbbreviation":"J Bone Joint Surg Am","language":"eng","note":"PMID: 29870442","page":"922-929","source":"PubMed","title":"Predictors for Long-Term Hip Survivorship Following Acetabular Fracture Surgery: Importance of Gap Compared with Step Displacement","title-short":"Predictors for Long-Term Hip Survivorship Following Acetabular Fracture Surgery","volume":"100","author":[{"family":"Verbeek","given":"Diederik O."},{"family":"List","given":"Jelle P.","non-dropping-particle":"van der"},{"family":"Tissue","given":"Camden M."},{"family":"Helfet","given":"David L."}],"issued":{"date-parts":[["2018",6,6]]}}}],"schema":"https://github.com/citation-style-language/schema/raw/master/csl-citation.json"} </w:instrText>
      </w:r>
      <w:r w:rsidR="00FA4F45">
        <w:rPr>
          <w:rFonts w:ascii="Book Antiqua" w:eastAsia="Book Antiqua" w:hAnsi="Book Antiqua" w:cs="Book Antiqua"/>
          <w:color w:val="000000"/>
        </w:rPr>
        <w:fldChar w:fldCharType="separate"/>
      </w:r>
      <w:r w:rsidR="00782942" w:rsidRPr="00782942">
        <w:rPr>
          <w:rFonts w:ascii="Book Antiqua" w:hAnsi="Book Antiqua"/>
          <w:vertAlign w:val="superscript"/>
        </w:rPr>
        <w:t>2,4,8,9</w:t>
      </w:r>
      <w:r w:rsidR="00FA4F4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the impact of these radiographic parameters on </w:t>
      </w:r>
      <w:bookmarkStart w:id="66" w:name="OLE_LINK23"/>
      <w:bookmarkStart w:id="67" w:name="OLE_LINK24"/>
      <w:r>
        <w:rPr>
          <w:rFonts w:ascii="Book Antiqua" w:eastAsia="Book Antiqua" w:hAnsi="Book Antiqua" w:cs="Book Antiqua"/>
          <w:color w:val="000000"/>
        </w:rPr>
        <w:t>Patient-reported outcome</w:t>
      </w:r>
      <w:bookmarkEnd w:id="66"/>
      <w:bookmarkEnd w:id="67"/>
      <w:r>
        <w:rPr>
          <w:rFonts w:ascii="Book Antiqua" w:eastAsia="Book Antiqua" w:hAnsi="Book Antiqua" w:cs="Book Antiqua"/>
          <w:color w:val="000000"/>
        </w:rPr>
        <w:t xml:space="preserve"> (PRO) is unclear. Conventional scoring systems like the Merle </w:t>
      </w:r>
      <w:proofErr w:type="spellStart"/>
      <w:r>
        <w:rPr>
          <w:rFonts w:ascii="Book Antiqua" w:eastAsia="Book Antiqua" w:hAnsi="Book Antiqua" w:cs="Book Antiqua"/>
          <w:color w:val="000000"/>
        </w:rPr>
        <w:t>d’Aubigne-Postel</w:t>
      </w:r>
      <w:proofErr w:type="spellEnd"/>
      <w:r>
        <w:rPr>
          <w:rFonts w:ascii="Book Antiqua" w:eastAsia="Book Antiqua" w:hAnsi="Book Antiqua" w:cs="Book Antiqua"/>
          <w:color w:val="000000"/>
        </w:rPr>
        <w:t xml:space="preserve"> Score are rather surgeon-based neglecting the patient’s perception of the </w:t>
      </w:r>
      <w:r w:rsidR="00FA4F45">
        <w:rPr>
          <w:rFonts w:ascii="Book Antiqua" w:eastAsia="Book Antiqua" w:hAnsi="Book Antiqua" w:cs="Book Antiqua"/>
          <w:color w:val="000000"/>
        </w:rPr>
        <w:t>outcome</w:t>
      </w:r>
      <w:r w:rsidR="00A57436">
        <w:rPr>
          <w:rFonts w:ascii="Book Antiqua" w:hAnsi="Book Antiqua" w:cs="Book Antiqua" w:hint="eastAsia"/>
          <w:color w:val="000000"/>
          <w:vertAlign w:val="superscript"/>
          <w:lang w:eastAsia="zh-CN"/>
        </w:rPr>
        <w:t>[</w:t>
      </w:r>
      <w:r w:rsidR="00FA4F45">
        <w:rPr>
          <w:rFonts w:ascii="Book Antiqua" w:eastAsia="Book Antiqua" w:hAnsi="Book Antiqua" w:cs="Book Antiqua"/>
          <w:color w:val="000000"/>
          <w:vertAlign w:val="superscript"/>
        </w:rPr>
        <w:fldChar w:fldCharType="begin"/>
      </w:r>
      <w:r w:rsidR="00FA4F45">
        <w:rPr>
          <w:rFonts w:ascii="Book Antiqua" w:eastAsia="Book Antiqua" w:hAnsi="Book Antiqua" w:cs="Book Antiqua"/>
          <w:color w:val="000000"/>
          <w:vertAlign w:val="superscript"/>
        </w:rPr>
        <w:instrText xml:space="preserve"> ADDIN ZOTERO_ITEM CSL_CITATION {"citationID":"zO3egfhe","properties":{"formattedCitation":"\\super 10\\nosupersub{}","plainCitation":"10","noteIndex":0},"citationItems":[{"id":146,"uris":["http://zotero.org/users/local/QA4apqAk/items/FBMZUQIE"],"uri":["http://zotero.org/users/local/QA4apqAk/items/FBMZUQIE"],"itemData":{"id":146,"type":"webpage","title":"The Classic: Functional Results of Hip Arthroplasty with Acrylic Prosthesis","URL":"https://www.ncbi.nlm.nih.gov/pmc/articles/PMC2600978/","accessed":{"date-parts":[["2021",1,5]]}}}],"schema":"https://github.com/citation-style-language/schema/raw/master/csl-citation.json"} </w:instrText>
      </w:r>
      <w:r w:rsidR="00FA4F45">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10</w:t>
      </w:r>
      <w:r w:rsidR="00FA4F45">
        <w:rPr>
          <w:rFonts w:ascii="Book Antiqua" w:eastAsia="Book Antiqua" w:hAnsi="Book Antiqua" w:cs="Book Antiqua"/>
          <w:color w:val="000000"/>
          <w:vertAlign w:val="superscript"/>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6E1ABBD0" w14:textId="3646B49E" w:rsidR="00A77B3E" w:rsidRDefault="00464B5F" w:rsidP="00492BC2">
      <w:pPr>
        <w:spacing w:line="360" w:lineRule="auto"/>
        <w:ind w:firstLineChars="100" w:firstLine="240"/>
        <w:jc w:val="both"/>
      </w:pPr>
      <w:r>
        <w:rPr>
          <w:rFonts w:ascii="Book Antiqua" w:eastAsia="Book Antiqua" w:hAnsi="Book Antiqua" w:cs="Book Antiqua"/>
          <w:color w:val="000000"/>
        </w:rPr>
        <w:t xml:space="preserve">The “Forgotten Joint Score” (FJS) was developed </w:t>
      </w:r>
      <w:r w:rsidR="00541E7B">
        <w:rPr>
          <w:rFonts w:ascii="Book Antiqua" w:eastAsia="Book Antiqua" w:hAnsi="Book Antiqua" w:cs="Book Antiqua"/>
          <w:color w:val="000000"/>
        </w:rPr>
        <w:t xml:space="preserve">in 2012 </w:t>
      </w:r>
      <w:r>
        <w:rPr>
          <w:rFonts w:ascii="Book Antiqua" w:eastAsia="Book Antiqua" w:hAnsi="Book Antiqua" w:cs="Book Antiqua"/>
          <w:color w:val="000000"/>
        </w:rPr>
        <w:t xml:space="preserve">as a </w:t>
      </w:r>
      <w:r w:rsidR="00541E7B">
        <w:rPr>
          <w:rFonts w:ascii="Book Antiqua" w:eastAsia="Book Antiqua" w:hAnsi="Book Antiqua" w:cs="Book Antiqua"/>
          <w:color w:val="000000"/>
        </w:rPr>
        <w:t xml:space="preserve">PRO measurement </w:t>
      </w:r>
      <w:r>
        <w:rPr>
          <w:rFonts w:ascii="Book Antiqua" w:eastAsia="Book Antiqua" w:hAnsi="Book Antiqua" w:cs="Book Antiqua"/>
          <w:color w:val="000000"/>
        </w:rPr>
        <w:t xml:space="preserve">tool in patients after arthroplasty of the </w:t>
      </w:r>
      <w:r w:rsidR="00541E7B">
        <w:rPr>
          <w:rFonts w:ascii="Book Antiqua" w:eastAsia="Book Antiqua" w:hAnsi="Book Antiqua" w:cs="Book Antiqua"/>
          <w:color w:val="000000"/>
        </w:rPr>
        <w:t xml:space="preserve">knee </w:t>
      </w:r>
      <w:r>
        <w:rPr>
          <w:rFonts w:ascii="Book Antiqua" w:eastAsia="Book Antiqua" w:hAnsi="Book Antiqua" w:cs="Book Antiqua"/>
          <w:color w:val="000000"/>
        </w:rPr>
        <w:t xml:space="preserve">or </w:t>
      </w:r>
      <w:r w:rsidR="00541E7B">
        <w:rPr>
          <w:rFonts w:ascii="Book Antiqua" w:eastAsia="Book Antiqua" w:hAnsi="Book Antiqua" w:cs="Book Antiqua"/>
          <w:color w:val="000000"/>
        </w:rPr>
        <w:t xml:space="preserve">hip </w:t>
      </w:r>
      <w:r w:rsidR="00FA4F45">
        <w:rPr>
          <w:rFonts w:ascii="Book Antiqua" w:eastAsia="Book Antiqua" w:hAnsi="Book Antiqua" w:cs="Book Antiqua"/>
          <w:color w:val="000000"/>
        </w:rPr>
        <w:t>joint</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vertAlign w:val="superscript"/>
        </w:rPr>
        <w:fldChar w:fldCharType="begin"/>
      </w:r>
      <w:r w:rsidR="00724FA7">
        <w:rPr>
          <w:rFonts w:ascii="Book Antiqua" w:eastAsia="Book Antiqua" w:hAnsi="Book Antiqua" w:cs="Book Antiqua"/>
          <w:color w:val="000000"/>
          <w:vertAlign w:val="superscript"/>
        </w:rPr>
        <w:instrText xml:space="preserve"> ADDIN ZOTERO_ITEM CSL_CITATION {"citationID":"hJ2vtijr","properties":{"formattedCitation":"\\super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24FA7">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11</w:t>
      </w:r>
      <w:r w:rsidR="00724FA7">
        <w:rPr>
          <w:rFonts w:ascii="Book Antiqua" w:eastAsia="Book Antiqua" w:hAnsi="Book Antiqua" w:cs="Book Antiqua"/>
          <w:color w:val="000000"/>
          <w:vertAlign w:val="superscript"/>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concept that the patient</w:t>
      </w:r>
      <w:r w:rsidR="00541E7B">
        <w:rPr>
          <w:rFonts w:ascii="Book Antiqua" w:eastAsia="Book Antiqua" w:hAnsi="Book Antiqua" w:cs="Book Antiqua"/>
          <w:color w:val="000000"/>
        </w:rPr>
        <w:t xml:space="preserve"> rates </w:t>
      </w:r>
      <w:r>
        <w:rPr>
          <w:rFonts w:ascii="Book Antiqua" w:eastAsia="Book Antiqua" w:hAnsi="Book Antiqua" w:cs="Book Antiqua"/>
          <w:color w:val="000000"/>
        </w:rPr>
        <w:t xml:space="preserve">the loss of awareness of the hip joint is revolutionary in patient-reported outcome measurement (PROM). Joint awareness in everyday life is seen as </w:t>
      </w:r>
      <w:r w:rsidR="00541E7B">
        <w:rPr>
          <w:rFonts w:ascii="Book Antiqua" w:eastAsia="Book Antiqua" w:hAnsi="Book Antiqua" w:cs="Book Antiqua"/>
          <w:color w:val="000000"/>
        </w:rPr>
        <w:t xml:space="preserve">an important </w:t>
      </w:r>
      <w:r>
        <w:rPr>
          <w:rFonts w:ascii="Book Antiqua" w:eastAsia="Book Antiqua" w:hAnsi="Book Antiqua" w:cs="Book Antiqua"/>
          <w:color w:val="000000"/>
        </w:rPr>
        <w:t>criterion in activity of daily living</w:t>
      </w:r>
      <w:r w:rsidR="00541E7B">
        <w:rPr>
          <w:rFonts w:ascii="Book Antiqua" w:eastAsia="Book Antiqua" w:hAnsi="Book Antiqua" w:cs="Book Antiqua"/>
          <w:color w:val="000000"/>
        </w:rPr>
        <w:t xml:space="preserve"> (ADL)</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{"citationID":"QgrmXP0q","properties":{"formattedCitation":"\\super 11\\uc0\\u8211{}13\\nosupersub{}","plainCitation":"11–13","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11–13</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forgotten joint, a condition where the patient has no distracting sensation of the joint, is seen as the ultimate goal resulting in maximum patient satisfaction</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{"citationID":"n6H97JUK","properties":{"formattedCitation":"\\super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Currently, the Merle </w:t>
      </w:r>
      <w:proofErr w:type="spellStart"/>
      <w:r>
        <w:rPr>
          <w:rFonts w:ascii="Book Antiqua" w:eastAsia="Book Antiqua" w:hAnsi="Book Antiqua" w:cs="Book Antiqua"/>
          <w:color w:val="000000"/>
        </w:rPr>
        <w:t>d’Aubigne-Postel</w:t>
      </w:r>
      <w:proofErr w:type="spellEnd"/>
      <w:r>
        <w:rPr>
          <w:rFonts w:ascii="Book Antiqua" w:eastAsia="Book Antiqua" w:hAnsi="Book Antiqua" w:cs="Book Antiqua"/>
          <w:color w:val="000000"/>
        </w:rPr>
        <w:t xml:space="preserve"> Score and the </w:t>
      </w:r>
      <w:bookmarkStart w:id="68" w:name="OLE_LINK39"/>
      <w:r>
        <w:rPr>
          <w:rFonts w:ascii="Book Antiqua" w:eastAsia="Book Antiqua" w:hAnsi="Book Antiqua" w:cs="Book Antiqua"/>
          <w:color w:val="000000"/>
        </w:rPr>
        <w:t>Western Ontario and McMaster Univ</w:t>
      </w:r>
      <w:r w:rsidR="00492BC2">
        <w:rPr>
          <w:rFonts w:ascii="Book Antiqua" w:eastAsia="Book Antiqua" w:hAnsi="Book Antiqua" w:cs="Book Antiqua"/>
          <w:color w:val="000000"/>
        </w:rPr>
        <w:t>ersities Osteoarthritis Index-</w:t>
      </w:r>
      <w:r>
        <w:rPr>
          <w:rFonts w:ascii="Book Antiqua" w:eastAsia="Book Antiqua" w:hAnsi="Book Antiqua" w:cs="Book Antiqua"/>
          <w:color w:val="000000"/>
        </w:rPr>
        <w:t>Visual Analog Scale</w:t>
      </w:r>
      <w:bookmarkEnd w:id="68"/>
      <w:r>
        <w:rPr>
          <w:rFonts w:ascii="Book Antiqua" w:eastAsia="Book Antiqua" w:hAnsi="Book Antiqua" w:cs="Book Antiqua"/>
          <w:color w:val="000000"/>
        </w:rPr>
        <w:t xml:space="preserve"> (</w:t>
      </w:r>
      <w:r w:rsidR="00492BC2" w:rsidRPr="00492BC2">
        <w:rPr>
          <w:rFonts w:ascii="Book Antiqua" w:eastAsia="Book Antiqua" w:hAnsi="Book Antiqua" w:cs="Book Antiqua"/>
          <w:color w:val="000000"/>
        </w:rPr>
        <w:t>WOMAC-VAS</w:t>
      </w:r>
      <w:r>
        <w:rPr>
          <w:rFonts w:ascii="Book Antiqua" w:eastAsia="Book Antiqua" w:hAnsi="Book Antiqua" w:cs="Book Antiqua"/>
          <w:color w:val="000000"/>
        </w:rPr>
        <w:t>) Score are most frequently used in functional outcome evaluation after acetabular fractures</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{"citationID":"1Uh7rVHc","properties":{"formattedCitation":"\\super 2,4,8,9,14\\nosupersub{}","plainCitation":"2,4,8,9,14","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0.001) and surgical treatment of the acetabular fracture (p</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0.04). Complex fracture patterns were accompanied by acetabular bone defects more often than simple patterns (p</w:instrText>
      </w:r>
      <w:r w:rsidR="00724FA7">
        <w:rPr>
          <w:rFonts w:eastAsia="Book Antiqua"/>
          <w:color w:val="000000"/>
        </w:rPr>
        <w:instrText> </w:instrText>
      </w:r>
      <w:r w:rsidR="00724FA7">
        <w:rPr>
          <w:rFonts w:ascii="Book Antiqua" w:eastAsia="Book Antiqua" w:hAnsi="Book Antiqua" w:cs="Book Antiqua"/>
          <w:color w:val="000000"/>
        </w:rPr>
        <w:instrText>=</w:instrText>
      </w:r>
      <w:r w:rsidR="00724FA7">
        <w:rPr>
          <w:rFonts w:eastAsia="Book Antiqua"/>
          <w:color w:val="000000"/>
        </w:rPr>
        <w:instrText> </w:instrText>
      </w:r>
      <w:r w:rsidR="00724FA7">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M."}],"issued":{"date-parts":[["1996",11]]}}},{"id":144,"uris":["http://zotero.org/users/local/QA4apqAk/items/9XELZYXD"],"uri":["http://zotero.org/users/local/QA4apqAk/items/9XELZYXD"],"itemData":{"id":144,"type":"article-journal","abstract":"BACKGROUND: Historically, the greatest residual (gap or step) displacement is used to predict clinical outcome following acetabular fracture surgery. Gap and step displacement may, however, impact the outcome to different degrees. We assessed the individual relationship between gap or step displacement and hip survivorship and determined their independent association with conversion to total hip arthroplasty.\nMETHODS: Patients who had acetabular fracture fixation (from 1992 through 2014), follow-up of ≥2 years (or early conversion to total hip arthroplasty), and postoperative computed tomography (CT) scans were included. Of 227 patients, 55 (24.2%) had conversion to total hip arthroplasty at a mean follow-up (and standard deviation) of 8.7 ± 5.6 years. Residual gap and step displacement were measured using a standardized CT-based method, and assessors were blinded to the outcome. Kaplan-Meier survivorship curves for the hips were plotted and compared (log-rank test) using critical cutoff values for gap and step displacement. These values were identified using receiver operating characteristic curves. Multivariate analysis was performed to identify independent variables associated with conversion to total hip arthroplasty. Subgroup analysis was performed in younger patients (&lt;50 years old).\nRESULTS: The critical CT cutoff value for total hip arthroplasty conversion was 5 mm for gap and 1 mm for step displacement. Hip survivorship at 10 years was 82.0% for patients with a gap of &lt;5 mm compared with 56.5% for a gap of ≥5 mm (p &lt; 0.001) and 80.0% for a step of &lt;1.0 mm versus 65.5% for a step of ≥1.0 mm (p = 0.012). A gap of ≥5 mm (hazard ratio [HR], 2.3; p = 0.012) and an age of ≥50 years (HR, 4.2; p &lt; 0.001) were independently associated with conversion to total hip arthroplasty in all patients. In the subgroup of younger patients, only a step of ≥1 mm (HR, 6.4; p = 0.017) was an independent factor for conversion to total hip arthroplasty.\nCONCLUSIONS: Residual gap and step displacement as measured on CT scans are both related to long-term hip survivorship, but step displacement (1 mm) is tolerated less than gap displacement (5 mm). Of the 2 types of displacement, only a large gap displacement (≥5 mm) was independently associated with conversion to total hip arthroplasty. In younger patients who had less articular impaction with smaller residual gaps, only step displacement (≥1 mm) appeared to be associated with this outcome.\nLEVEL OF EVIDENCE: Prognostic Level III. See Instructions for Authors for a complete description of levels of evidence.","container-title":"The Journal of Bone and Joint Surgery. American Volume","DOI":"10.2106/JBJS.17.00692","ISSN":"1535-1386","issue":"11","journalAbbreviation":"J Bone Joint Surg Am","language":"eng","note":"PMID: 29870442","page":"922-929","source":"PubMed","title":"Predictors for Long-Term Hip Survivorship Following Acetabular Fracture Surgery: Importance of Gap Compared with Step Displacement","title-short":"Predictors for Long-Term Hip Survivorship Following Acetabular Fracture Surgery","volume":"100","author":[{"family":"Verbeek","given":"Diederik O."},{"family":"List","given":"Jelle P.","non-dropping-particle":"van der"},{"family":"Tissue","given":"Camden M."},{"family":"Helfet","given":"David L."}],"issued":{"date-parts":[["2018",6,6]]}}},{"id":5,"uris":["http://zotero.org/users/local/QA4apqAk/items/M2CIZY2A"],"uri":["http://zotero.org/users/local/QA4apqAk/items/M2CIZY2A"],"itemData":{"id":5,"type":"article-journal","abstract":"Background\nDue to demographic changes, more and more fracture patterns involving anterior acetabular structures occur. The infra-acetabular screw is seen a useful tool to increase stability in fixation of the acetabular cup. However, the exact position of this screw in relation to anatomic landmarks which are intra-operatively palpable via an intra-pelvic approach has not yet been determined.\n\nMethods\nThis biomorphometric experimental study references the ideal screw position of an infra-acetabular screw to anatomic landmarks palpable via an intra-pelvic approach. Therefore, we created a computer tomography-based 3D-model of 40 patients (20 women, 20 men) who received a computer tomography (CT) scan of the pelvis for any other reason than an acetabular fracture.\n\nResults\nThe entry point of an ideal infra-acetabular was of high constancy. At mean, this point was 10.2 mm caudal and 10.4 mm medial of the ilio-pubic/ilio-pectineal eminence. This reference is independent of age, gender, or physical dimensions. However, we found gender-dependent differences for the angulation and the length of the screw.\n\nConclusions\nThis study provides a comprehensive guideline to determine the ideal entry point for an infra-acetabular screw via an intra-pelvic approach. The entry point is located 10.2 mm caudal and 10.4 mm medial of the ilio-pubic/ilio-pectineal eminence.\n\nTrial registration\nClinical Trial Registry University of Regensburg Z-2017-0930-1. Registered 04. Dec 2017.","container-title":"Journal of Orthopaedic Surgery and Research","DOI":"10.1186/s13018-018-0786-1","ISSN":"1749-799X","journalAbbreviation":"J Orthop Surg Res","note":"PMID: 29631637\nPMCID: PMC5892032","source":"PubMed Central","title":"A guideline for placement of an infra-acetabular screw based on anatomic landmarks via an intra-pelvic approach","URL":"https://www.ncbi.nlm.nih.gov/pmc/articles/PMC5892032/","volume":"13","author":[{"family":"Baumann","given":"Florian"},{"family":"Schmitz","given":"Paul"},{"family":"Mahr","given":"Daniel"},{"family":"Kerschbaum","given":"Maximilian"},{"family":"Gänsslen","given":"Axel"},{"family":"Nerlich","given":"Michael"},{"family":"Worlicek","given":"Michael"}],"accessed":{"date-parts":[["2020",2,18]]},"issued":{"date-parts":[["2018",4,10]]}}}],"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2,4,8,9,14</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Other scales like the </w:t>
      </w:r>
      <w:bookmarkStart w:id="69" w:name="OLE_LINK40"/>
      <w:bookmarkStart w:id="70" w:name="OLE_LINK41"/>
      <w:r>
        <w:rPr>
          <w:rFonts w:ascii="Book Antiqua" w:eastAsia="Book Antiqua" w:hAnsi="Book Antiqua" w:cs="Book Antiqua"/>
          <w:color w:val="000000"/>
        </w:rPr>
        <w:t>EuroQol-5D</w:t>
      </w:r>
      <w:bookmarkEnd w:id="69"/>
      <w:bookmarkEnd w:id="70"/>
      <w:r>
        <w:rPr>
          <w:rFonts w:ascii="Book Antiqua" w:eastAsia="Book Antiqua" w:hAnsi="Book Antiqua" w:cs="Book Antiqua"/>
          <w:color w:val="000000"/>
        </w:rPr>
        <w:t xml:space="preserve"> (EQ-5D-3L) and the </w:t>
      </w:r>
      <w:bookmarkStart w:id="71" w:name="OLE_LINK42"/>
      <w:bookmarkStart w:id="72" w:name="OLE_LINK43"/>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bookmarkEnd w:id="71"/>
      <w:bookmarkEnd w:id="72"/>
      <w:r>
        <w:rPr>
          <w:rFonts w:ascii="Book Antiqua" w:eastAsia="Book Antiqua" w:hAnsi="Book Antiqua" w:cs="Book Antiqua"/>
          <w:color w:val="000000"/>
        </w:rPr>
        <w:t xml:space="preserve"> (TAS) are tools to rate global health-related quality of life and sports activity for characterization of a patient population.</w:t>
      </w:r>
    </w:p>
    <w:p w14:paraId="12A41E70" w14:textId="580C4C5D" w:rsidR="00A77B3E" w:rsidRDefault="00464B5F" w:rsidP="006141FE">
      <w:pPr>
        <w:spacing w:line="360" w:lineRule="auto"/>
        <w:ind w:firstLineChars="100" w:firstLine="240"/>
        <w:jc w:val="both"/>
      </w:pPr>
      <w:r>
        <w:rPr>
          <w:rFonts w:ascii="Book Antiqua" w:eastAsia="Book Antiqua" w:hAnsi="Book Antiqua" w:cs="Book Antiqua"/>
          <w:color w:val="000000"/>
        </w:rPr>
        <w:t xml:space="preserve">Studies </w:t>
      </w:r>
      <w:r w:rsidR="00541E7B">
        <w:rPr>
          <w:rFonts w:ascii="Book Antiqua" w:eastAsia="Book Antiqua" w:hAnsi="Book Antiqua" w:cs="Book Antiqua"/>
          <w:color w:val="000000"/>
        </w:rPr>
        <w:t>on psychometric properties of outcome tools</w:t>
      </w:r>
      <w:r>
        <w:rPr>
          <w:rFonts w:ascii="Book Antiqua" w:eastAsia="Book Antiqua" w:hAnsi="Book Antiqua" w:cs="Book Antiqua"/>
          <w:color w:val="000000"/>
        </w:rPr>
        <w:t xml:space="preserve"> </w:t>
      </w:r>
      <w:r w:rsidR="00541E7B">
        <w:rPr>
          <w:rFonts w:ascii="Book Antiqua" w:eastAsia="Book Antiqua" w:hAnsi="Book Antiqua" w:cs="Book Antiqua"/>
          <w:color w:val="000000"/>
        </w:rPr>
        <w:t>should meet highest standards regarding</w:t>
      </w:r>
      <w:r>
        <w:rPr>
          <w:rFonts w:ascii="Book Antiqua" w:eastAsia="Book Antiqua" w:hAnsi="Book Antiqua" w:cs="Book Antiqua"/>
          <w:color w:val="000000"/>
        </w:rPr>
        <w:t xml:space="preserve"> methodological quality</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{"citationID":"2u5G0jbN","properties":{"formattedCitation":"\\super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15</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w:t>
      </w:r>
      <w:r w:rsidR="006141FE" w:rsidRPr="006141FE">
        <w:rPr>
          <w:rFonts w:ascii="Book Antiqua" w:eastAsia="Book Antiqua" w:hAnsi="Book Antiqua" w:cs="Book Antiqua"/>
          <w:color w:val="000000"/>
        </w:rPr>
        <w:t xml:space="preserve"> </w:t>
      </w:r>
      <w:r w:rsidR="006141FE">
        <w:rPr>
          <w:rFonts w:ascii="Book Antiqua" w:eastAsia="Book Antiqua" w:hAnsi="Book Antiqua" w:cs="Book Antiqua"/>
          <w:color w:val="000000"/>
        </w:rPr>
        <w:t>COSMIN</w:t>
      </w:r>
      <w:r w:rsidR="006141FE" w:rsidRPr="006141FE">
        <w:rPr>
          <w:rFonts w:ascii="Book Antiqua" w:eastAsia="Book Antiqua" w:hAnsi="Book Antiqua" w:cs="Book Antiqua"/>
          <w:color w:val="000000"/>
        </w:rPr>
        <w:t xml:space="preserve"> </w:t>
      </w:r>
      <w:r w:rsidR="006141FE">
        <w:rPr>
          <w:rFonts w:ascii="Book Antiqua" w:eastAsia="Book Antiqua" w:hAnsi="Book Antiqua" w:cs="Book Antiqua"/>
          <w:color w:val="000000"/>
        </w:rPr>
        <w:t>checklist</w:t>
      </w:r>
      <w:r>
        <w:rPr>
          <w:rFonts w:ascii="Book Antiqua" w:eastAsia="Book Antiqua" w:hAnsi="Book Antiqua" w:cs="Book Antiqua"/>
          <w:color w:val="000000"/>
        </w:rPr>
        <w:t xml:space="preserve"> is </w:t>
      </w:r>
      <w:r w:rsidR="00B71FEE">
        <w:rPr>
          <w:rFonts w:ascii="Book Antiqua" w:eastAsia="Book Antiqua" w:hAnsi="Book Antiqua" w:cs="Book Antiqua"/>
          <w:color w:val="000000"/>
        </w:rPr>
        <w:t xml:space="preserve">based on an international Delphi study in 2010 reporting on </w:t>
      </w:r>
      <w:r>
        <w:rPr>
          <w:rFonts w:ascii="Book Antiqua" w:eastAsia="Book Antiqua" w:hAnsi="Book Antiqua" w:cs="Book Antiqua"/>
          <w:color w:val="000000"/>
        </w:rPr>
        <w:t xml:space="preserve">a consensus-based checklist </w:t>
      </w:r>
      <w:r w:rsidR="00B71FEE">
        <w:rPr>
          <w:rFonts w:ascii="Book Antiqua" w:eastAsia="Book Antiqua" w:hAnsi="Book Antiqua" w:cs="Book Antiqua"/>
          <w:color w:val="000000"/>
        </w:rPr>
        <w:t>evaluating</w:t>
      </w:r>
      <w:r>
        <w:rPr>
          <w:rFonts w:ascii="Book Antiqua" w:eastAsia="Book Antiqua" w:hAnsi="Book Antiqua" w:cs="Book Antiqua"/>
          <w:color w:val="000000"/>
        </w:rPr>
        <w:t xml:space="preserve"> </w:t>
      </w:r>
      <w:r w:rsidR="00B71FEE">
        <w:rPr>
          <w:rFonts w:ascii="Book Antiqua" w:eastAsia="Book Antiqua" w:hAnsi="Book Antiqua" w:cs="Book Antiqua"/>
          <w:color w:val="000000"/>
        </w:rPr>
        <w:t xml:space="preserve">the </w:t>
      </w:r>
      <w:r>
        <w:rPr>
          <w:rFonts w:ascii="Book Antiqua" w:eastAsia="Book Antiqua" w:hAnsi="Book Antiqua" w:cs="Book Antiqua"/>
          <w:color w:val="000000"/>
        </w:rPr>
        <w:t xml:space="preserve">quality of studies on </w:t>
      </w:r>
      <w:r w:rsidR="00B71FEE">
        <w:rPr>
          <w:rFonts w:ascii="Book Antiqua" w:eastAsia="Book Antiqua" w:hAnsi="Book Antiqua" w:cs="Book Antiqua"/>
          <w:color w:val="000000"/>
        </w:rPr>
        <w:t>psychometric</w:t>
      </w:r>
      <w:r>
        <w:rPr>
          <w:rFonts w:ascii="Book Antiqua" w:eastAsia="Book Antiqua" w:hAnsi="Book Antiqua" w:cs="Book Antiqua"/>
          <w:color w:val="000000"/>
        </w:rPr>
        <w:t xml:space="preserve"> properties of </w:t>
      </w:r>
      <w:r w:rsidR="00B71FEE">
        <w:rPr>
          <w:rFonts w:ascii="Book Antiqua" w:eastAsia="Book Antiqua" w:hAnsi="Book Antiqua" w:cs="Book Antiqua"/>
          <w:color w:val="000000"/>
        </w:rPr>
        <w:t>HR-QoL</w:t>
      </w:r>
      <w:r>
        <w:rPr>
          <w:rFonts w:ascii="Book Antiqua" w:eastAsia="Book Antiqua" w:hAnsi="Book Antiqua" w:cs="Book Antiqua"/>
          <w:color w:val="000000"/>
        </w:rPr>
        <w:t xml:space="preserve"> instruments</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{"citationID":"dVzJ3qra","properties":{"formattedCitation":"\\super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COSMIN checklist consists of ten items giving recommendations for design, conduction </w:t>
      </w:r>
      <w:r>
        <w:rPr>
          <w:rFonts w:ascii="Book Antiqua" w:eastAsia="Book Antiqua" w:hAnsi="Book Antiqua" w:cs="Book Antiqua"/>
          <w:color w:val="000000"/>
        </w:rPr>
        <w:lastRenderedPageBreak/>
        <w:t>and interpretation of medical validation studies. Relevant characteristics are study design, content validity, structural validity, internal consi</w:t>
      </w:r>
      <w:r w:rsidR="00EE6D7A">
        <w:rPr>
          <w:rFonts w:ascii="Book Antiqua" w:eastAsia="Book Antiqua" w:hAnsi="Book Antiqua" w:cs="Book Antiqua"/>
          <w:color w:val="000000"/>
        </w:rPr>
        <w:t>stency, cross-cultural validity</w:t>
      </w:r>
      <w:r w:rsidR="00EE6D7A">
        <w:rPr>
          <w:rFonts w:ascii="Book Antiqua" w:hAnsi="Book Antiqua" w:cs="Book Antiqua" w:hint="eastAsia"/>
          <w:color w:val="000000"/>
          <w:lang w:eastAsia="zh-CN"/>
        </w:rPr>
        <w:t>/</w:t>
      </w:r>
      <w:r>
        <w:rPr>
          <w:rFonts w:ascii="Book Antiqua" w:eastAsia="Book Antiqua" w:hAnsi="Book Antiqua" w:cs="Book Antiqua"/>
          <w:color w:val="000000"/>
        </w:rPr>
        <w:t xml:space="preserve">measurement invariance, reliability, measurement error, criterion validity, hypotheses testing for construct validity, and responsiveness. </w:t>
      </w:r>
    </w:p>
    <w:p w14:paraId="3D307C8A" w14:textId="77777777" w:rsidR="00A77B3E" w:rsidRDefault="00464B5F" w:rsidP="00EE6D7A">
      <w:pPr>
        <w:spacing w:line="360" w:lineRule="auto"/>
        <w:ind w:firstLineChars="100" w:firstLine="240"/>
        <w:jc w:val="both"/>
      </w:pPr>
      <w:r>
        <w:rPr>
          <w:rFonts w:ascii="Book Antiqua" w:eastAsia="Book Antiqua" w:hAnsi="Book Antiqua" w:cs="Book Antiqua"/>
          <w:color w:val="000000"/>
        </w:rPr>
        <w:t xml:space="preserve">Purpose of this study was to validate the FJS for mid- and long-term condition after acetabular fractures and to investigate the relation between perioperative parameters and score values of the FJS. </w:t>
      </w:r>
    </w:p>
    <w:bookmarkEnd w:id="63"/>
    <w:bookmarkEnd w:id="64"/>
    <w:bookmarkEnd w:id="65"/>
    <w:p w14:paraId="08268969" w14:textId="77777777" w:rsidR="00A77B3E" w:rsidRDefault="00A77B3E">
      <w:pPr>
        <w:spacing w:line="360" w:lineRule="auto"/>
        <w:jc w:val="both"/>
      </w:pPr>
    </w:p>
    <w:p w14:paraId="49723B5D" w14:textId="77777777" w:rsidR="00A77B3E" w:rsidRDefault="00464B5F">
      <w:pPr>
        <w:spacing w:line="360" w:lineRule="auto"/>
        <w:jc w:val="both"/>
      </w:pPr>
      <w:r>
        <w:rPr>
          <w:rFonts w:ascii="Book Antiqua" w:eastAsia="Book Antiqua" w:hAnsi="Book Antiqua" w:cs="Book Antiqua"/>
          <w:b/>
          <w:caps/>
          <w:color w:val="000000"/>
          <w:u w:val="single"/>
        </w:rPr>
        <w:t>MATERIALS AND METHODS</w:t>
      </w:r>
    </w:p>
    <w:p w14:paraId="3E5C3DCB" w14:textId="77777777" w:rsidR="00A77B3E" w:rsidRPr="00EE6D7A" w:rsidRDefault="00464B5F">
      <w:pPr>
        <w:spacing w:line="360" w:lineRule="auto"/>
        <w:jc w:val="both"/>
        <w:rPr>
          <w:i/>
        </w:rPr>
      </w:pPr>
      <w:bookmarkStart w:id="73" w:name="OLE_LINK158"/>
      <w:bookmarkStart w:id="74" w:name="OLE_LINK159"/>
      <w:r w:rsidRPr="00EE6D7A">
        <w:rPr>
          <w:rFonts w:ascii="Book Antiqua" w:eastAsia="Book Antiqua" w:hAnsi="Book Antiqua" w:cs="Book Antiqua"/>
          <w:b/>
          <w:bCs/>
          <w:i/>
          <w:color w:val="000000"/>
        </w:rPr>
        <w:t xml:space="preserve">Validation </w:t>
      </w:r>
      <w:r w:rsidR="006F1FA4" w:rsidRPr="00EE6D7A">
        <w:rPr>
          <w:rFonts w:ascii="Book Antiqua" w:eastAsia="Book Antiqua" w:hAnsi="Book Antiqua" w:cs="Book Antiqua"/>
          <w:b/>
          <w:bCs/>
          <w:i/>
          <w:color w:val="000000"/>
        </w:rPr>
        <w:t>study</w:t>
      </w:r>
    </w:p>
    <w:p w14:paraId="73BB7ADF" w14:textId="28FB31CD" w:rsidR="00A77B3E" w:rsidRDefault="00B71FEE">
      <w:pPr>
        <w:spacing w:line="360" w:lineRule="auto"/>
        <w:jc w:val="both"/>
      </w:pPr>
      <w:r>
        <w:rPr>
          <w:rFonts w:ascii="Book Antiqua" w:eastAsia="Book Antiqua" w:hAnsi="Book Antiqua" w:cs="Book Antiqua"/>
          <w:color w:val="000000"/>
        </w:rPr>
        <w:t xml:space="preserve">The ethics committee at the University of Regensburg approved this study in December 2015 (Institutional Review Board Number 15-101-0241). </w:t>
      </w:r>
      <w:r w:rsidR="00464B5F">
        <w:rPr>
          <w:rFonts w:ascii="Book Antiqua" w:eastAsia="Book Antiqua" w:hAnsi="Book Antiqua" w:cs="Book Antiqua"/>
          <w:color w:val="000000"/>
        </w:rPr>
        <w:t>We obtained written informed consent from all study participants.</w:t>
      </w:r>
      <w:r w:rsidRPr="00B71FEE">
        <w:rPr>
          <w:rFonts w:ascii="Book Antiqua" w:eastAsia="Book Antiqua" w:hAnsi="Book Antiqua" w:cs="Book Antiqua"/>
          <w:color w:val="000000"/>
        </w:rPr>
        <w:t xml:space="preserve"> </w:t>
      </w:r>
      <w:r>
        <w:rPr>
          <w:rFonts w:ascii="Book Antiqua" w:eastAsia="Book Antiqua" w:hAnsi="Book Antiqua" w:cs="Book Antiqua"/>
          <w:color w:val="000000"/>
        </w:rPr>
        <w:t>The study was carried out in accordance with the Declaration of Helsinki.</w:t>
      </w:r>
    </w:p>
    <w:p w14:paraId="7A65ACF4" w14:textId="26063202" w:rsidR="00A77B3E" w:rsidRDefault="00B71FEE" w:rsidP="00EE6D7A">
      <w:pPr>
        <w:spacing w:line="360" w:lineRule="auto"/>
        <w:ind w:firstLineChars="100" w:firstLine="240"/>
        <w:jc w:val="both"/>
      </w:pPr>
      <w:r>
        <w:rPr>
          <w:rFonts w:ascii="Book Antiqua" w:eastAsia="Book Antiqua" w:hAnsi="Book Antiqua" w:cs="Book Antiqua"/>
          <w:color w:val="000000"/>
        </w:rPr>
        <w:t xml:space="preserve">In </w:t>
      </w:r>
      <w:r w:rsidR="00464B5F">
        <w:rPr>
          <w:rFonts w:ascii="Book Antiqua" w:eastAsia="Book Antiqua" w:hAnsi="Book Antiqua" w:cs="Book Antiqua"/>
          <w:color w:val="000000"/>
        </w:rPr>
        <w:t xml:space="preserve">this prospective, mono-centric validating study, we identified 100 consecutive German-speaking patients with a history of an acetabular fracture between 07/2002 and 06/2016. </w:t>
      </w:r>
    </w:p>
    <w:p w14:paraId="29A8F4DE" w14:textId="6D5F3283" w:rsidR="00A77B3E" w:rsidRDefault="00464B5F" w:rsidP="00EE6D7A">
      <w:pPr>
        <w:spacing w:line="360" w:lineRule="auto"/>
        <w:ind w:firstLineChars="100" w:firstLine="240"/>
        <w:jc w:val="both"/>
      </w:pPr>
      <w:r>
        <w:rPr>
          <w:rFonts w:ascii="Book Antiqua" w:eastAsia="Book Antiqua" w:hAnsi="Book Antiqua" w:cs="Book Antiqua"/>
          <w:color w:val="000000"/>
        </w:rPr>
        <w:t>Inclusion criteria were:</w:t>
      </w:r>
      <w:r w:rsidR="00EE6D7A">
        <w:rPr>
          <w:rFonts w:hint="eastAsia"/>
          <w:lang w:eastAsia="zh-CN"/>
        </w:rPr>
        <w:t xml:space="preserve"> (1) </w:t>
      </w:r>
      <w:r>
        <w:rPr>
          <w:rFonts w:ascii="Book Antiqua" w:eastAsia="Book Antiqua" w:hAnsi="Book Antiqua" w:cs="Book Antiqua"/>
          <w:color w:val="000000"/>
        </w:rPr>
        <w:t>Mid- and long-term condition after acetabular fracture</w:t>
      </w:r>
      <w:r w:rsidR="00EE6D7A">
        <w:rPr>
          <w:rFonts w:ascii="Book Antiqua" w:hAnsi="Book Antiqua" w:cs="Book Antiqua" w:hint="eastAsia"/>
          <w:color w:val="000000"/>
          <w:lang w:eastAsia="zh-CN"/>
        </w:rPr>
        <w:t xml:space="preserve">; (2) </w:t>
      </w:r>
      <w:r>
        <w:rPr>
          <w:rFonts w:ascii="Book Antiqua" w:eastAsia="Book Antiqua" w:hAnsi="Book Antiqua" w:cs="Book Antiqua"/>
          <w:color w:val="000000"/>
        </w:rPr>
        <w:t xml:space="preserve">Minimum follow up was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B71FEE">
        <w:rPr>
          <w:rFonts w:ascii="Book Antiqua" w:eastAsia="Book Antiqua" w:hAnsi="Book Antiqua" w:cs="Book Antiqua"/>
          <w:color w:val="000000"/>
        </w:rPr>
        <w:t>after</w:t>
      </w:r>
      <w:r>
        <w:rPr>
          <w:rFonts w:ascii="Book Antiqua" w:eastAsia="Book Antiqua" w:hAnsi="Book Antiqua" w:cs="Book Antiqua"/>
          <w:color w:val="000000"/>
        </w:rPr>
        <w:t xml:space="preserve"> trauma</w:t>
      </w:r>
      <w:r w:rsidR="00EE6D7A">
        <w:rPr>
          <w:rFonts w:ascii="Book Antiqua" w:hAnsi="Book Antiqua" w:hint="eastAsia"/>
          <w:lang w:eastAsia="zh-CN"/>
        </w:rPr>
        <w:t>;</w:t>
      </w:r>
      <w:r w:rsidR="00EE6D7A" w:rsidRPr="00EE6D7A">
        <w:rPr>
          <w:rFonts w:ascii="Book Antiqua" w:hAnsi="Book Antiqua"/>
          <w:lang w:eastAsia="zh-CN"/>
        </w:rPr>
        <w:t xml:space="preserve"> (3) </w:t>
      </w:r>
      <w:r w:rsidRPr="00EE6D7A">
        <w:rPr>
          <w:rFonts w:ascii="Book Antiqua" w:eastAsia="Book Antiqua" w:hAnsi="Book Antiqua" w:cs="Book Antiqua"/>
          <w:color w:val="000000"/>
        </w:rPr>
        <w:t>Age between 18 and 70 years</w:t>
      </w:r>
      <w:r w:rsidR="00E40D1D">
        <w:rPr>
          <w:rFonts w:ascii="Book Antiqua" w:eastAsia="Book Antiqua" w:hAnsi="Book Antiqua" w:cs="Book Antiqua"/>
          <w:color w:val="000000"/>
        </w:rPr>
        <w:t>;</w:t>
      </w:r>
      <w:r w:rsidR="00EE6D7A">
        <w:rPr>
          <w:rFonts w:ascii="Book Antiqua" w:hAnsi="Book Antiqua" w:hint="eastAsia"/>
          <w:lang w:eastAsia="zh-CN"/>
        </w:rPr>
        <w:t xml:space="preserve"> and</w:t>
      </w:r>
      <w:r w:rsidR="00EE6D7A" w:rsidRPr="00EE6D7A">
        <w:rPr>
          <w:rFonts w:ascii="Book Antiqua" w:hAnsi="Book Antiqua"/>
          <w:lang w:eastAsia="zh-CN"/>
        </w:rPr>
        <w:t xml:space="preserve"> (4) </w:t>
      </w:r>
      <w:r w:rsidRPr="00EE6D7A">
        <w:rPr>
          <w:rFonts w:ascii="Book Antiqua" w:eastAsia="Book Antiqua" w:hAnsi="Book Antiqua" w:cs="Book Antiqua"/>
          <w:color w:val="000000"/>
        </w:rPr>
        <w:t>Sufficient German reading and comprehension c</w:t>
      </w:r>
      <w:r>
        <w:rPr>
          <w:rFonts w:ascii="Book Antiqua" w:eastAsia="Book Antiqua" w:hAnsi="Book Antiqua" w:cs="Book Antiqua"/>
          <w:color w:val="000000"/>
        </w:rPr>
        <w:t>apacity</w:t>
      </w:r>
      <w:r w:rsidR="00EE6D7A">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51C6B599" w14:textId="3142DE84" w:rsidR="00A77B3E" w:rsidRPr="00EE6D7A" w:rsidRDefault="00464B5F" w:rsidP="00EE6D7A">
      <w:pPr>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Exclusion criteria were:</w:t>
      </w:r>
      <w:r w:rsidR="00EE6D7A">
        <w:rPr>
          <w:rFonts w:hint="eastAsia"/>
          <w:lang w:eastAsia="zh-CN"/>
        </w:rPr>
        <w:t xml:space="preserve"> (1) </w:t>
      </w:r>
      <w:r>
        <w:rPr>
          <w:rFonts w:ascii="Book Antiqua" w:eastAsia="Book Antiqua" w:hAnsi="Book Antiqua" w:cs="Book Antiqua"/>
          <w:color w:val="000000"/>
        </w:rPr>
        <w:t>Relevant concomitant injuries (</w:t>
      </w:r>
      <w:r w:rsidRPr="00EE6D7A">
        <w:rPr>
          <w:rFonts w:ascii="Book Antiqua" w:eastAsia="Book Antiqua" w:hAnsi="Book Antiqua" w:cs="Book Antiqua"/>
          <w:i/>
          <w:color w:val="000000"/>
        </w:rPr>
        <w:t>e.g.</w:t>
      </w:r>
      <w:r w:rsidR="00E40D1D" w:rsidRPr="00E40D1D">
        <w:rPr>
          <w:rFonts w:ascii="Book Antiqua" w:eastAsia="Book Antiqua" w:hAnsi="Book Antiqua" w:cs="Book Antiqua"/>
          <w:color w:val="000000"/>
        </w:rPr>
        <w:t>,</w:t>
      </w:r>
      <w:r w:rsidRPr="00E40D1D">
        <w:rPr>
          <w:rFonts w:ascii="Book Antiqua" w:eastAsia="Book Antiqua" w:hAnsi="Book Antiqua" w:cs="Book Antiqua"/>
          <w:color w:val="000000"/>
        </w:rPr>
        <w:t xml:space="preserve"> </w:t>
      </w:r>
      <w:r>
        <w:rPr>
          <w:rFonts w:ascii="Book Antiqua" w:eastAsia="Book Antiqua" w:hAnsi="Book Antiqua" w:cs="Book Antiqua"/>
          <w:color w:val="000000"/>
        </w:rPr>
        <w:t>a fracture of the lower extremity or neurovascular injury leading to prolonged immobilizatio</w:t>
      </w:r>
      <w:r w:rsidRPr="00EE6D7A">
        <w:rPr>
          <w:rFonts w:ascii="Book Antiqua" w:eastAsia="Book Antiqua" w:hAnsi="Book Antiqua" w:cs="Book Antiqua"/>
          <w:color w:val="000000"/>
        </w:rPr>
        <w:t>n)</w:t>
      </w:r>
      <w:r w:rsidR="00EE6D7A" w:rsidRPr="00EE6D7A">
        <w:rPr>
          <w:rFonts w:ascii="Book Antiqua" w:hAnsi="Book Antiqua"/>
          <w:lang w:eastAsia="zh-CN"/>
        </w:rPr>
        <w:t xml:space="preserve">; (2) </w:t>
      </w:r>
      <w:r w:rsidRPr="00EE6D7A">
        <w:rPr>
          <w:rFonts w:ascii="Book Antiqua" w:eastAsia="Book Antiqua" w:hAnsi="Book Antiqua" w:cs="Book Antiqua"/>
          <w:color w:val="000000"/>
        </w:rPr>
        <w:t>Preexisting mental disorder</w:t>
      </w:r>
      <w:r w:rsidR="00EE6D7A" w:rsidRPr="00EE6D7A">
        <w:rPr>
          <w:rFonts w:ascii="Book Antiqua" w:hAnsi="Book Antiqua"/>
          <w:lang w:eastAsia="zh-CN"/>
        </w:rPr>
        <w:t xml:space="preserve">; (3) </w:t>
      </w:r>
      <w:r w:rsidRPr="00EE6D7A">
        <w:rPr>
          <w:rFonts w:ascii="Book Antiqua" w:eastAsia="Book Antiqua" w:hAnsi="Book Antiqua" w:cs="Book Antiqua"/>
          <w:color w:val="000000"/>
        </w:rPr>
        <w:t>Lack of consent to participate in this study</w:t>
      </w:r>
      <w:r w:rsidR="00EE6D7A">
        <w:rPr>
          <w:rFonts w:ascii="Book Antiqua" w:hAnsi="Book Antiqua" w:cs="Book Antiqua" w:hint="eastAsia"/>
          <w:color w:val="000000"/>
          <w:lang w:eastAsia="zh-CN"/>
        </w:rPr>
        <w:t>.</w:t>
      </w:r>
    </w:p>
    <w:p w14:paraId="4F319D53" w14:textId="14E0FCC3" w:rsidR="00A77B3E" w:rsidRDefault="00464B5F" w:rsidP="00EE6D7A">
      <w:pPr>
        <w:spacing w:line="360" w:lineRule="auto"/>
        <w:ind w:firstLineChars="100" w:firstLine="240"/>
        <w:jc w:val="both"/>
      </w:pPr>
      <w:r>
        <w:rPr>
          <w:rFonts w:ascii="Book Antiqua" w:eastAsia="Book Antiqua" w:hAnsi="Book Antiqua" w:cs="Book Antiqua"/>
          <w:color w:val="000000"/>
        </w:rPr>
        <w:t xml:space="preserve">Of initial 296 patients who were treated in a single institution for an acetabular fracture between 07/2002 and 06/2016, 32 patients had died until follow-up, 102 patients were lost to follow-up, 58 patients refused to give their informed consent. Four patients were excluded due to missing data. The patients were asked to complete the questionnaire at follow-up evaluation at mean 5.2 </w:t>
      </w:r>
      <w:r w:rsidR="00E6447F">
        <w:rPr>
          <w:rFonts w:ascii="Book Antiqua" w:eastAsia="Book Antiqua" w:hAnsi="Book Antiqua" w:cs="Book Antiqua"/>
          <w:color w:val="000000"/>
        </w:rPr>
        <w:t>± 3.6</w:t>
      </w:r>
      <w:r w:rsidR="00E6447F" w:rsidRPr="00E6447F">
        <w:rPr>
          <w:rFonts w:ascii="Book Antiqua" w:eastAsia="Book Antiqua" w:hAnsi="Book Antiqua" w:cs="Book Antiqua"/>
          <w:color w:val="000000"/>
        </w:rPr>
        <w:t xml:space="preserve"> </w:t>
      </w:r>
      <w:r w:rsidR="00E6447F">
        <w:rPr>
          <w:rFonts w:ascii="Book Antiqua" w:eastAsia="Book Antiqua" w:hAnsi="Book Antiqua" w:cs="Book Antiqua"/>
          <w:color w:val="000000"/>
        </w:rPr>
        <w:t>years</w:t>
      </w:r>
      <w:r>
        <w:rPr>
          <w:rFonts w:ascii="Book Antiqua" w:eastAsia="Book Antiqua" w:hAnsi="Book Antiqua" w:cs="Book Antiqua"/>
          <w:color w:val="000000"/>
        </w:rPr>
        <w:t xml:space="preserve"> after the injury (time point T1). </w:t>
      </w:r>
      <w:r w:rsidR="00B71FEE">
        <w:rPr>
          <w:rFonts w:ascii="Book Antiqua" w:eastAsia="Book Antiqua" w:hAnsi="Book Antiqua" w:cs="Book Antiqua"/>
          <w:color w:val="000000"/>
        </w:rPr>
        <w:t xml:space="preserve">The patients received the questionnaire two weeks after the first questionnaire </w:t>
      </w:r>
      <w:r w:rsidR="00B71FEE">
        <w:rPr>
          <w:rFonts w:ascii="Book Antiqua" w:eastAsia="Book Antiqua" w:hAnsi="Book Antiqua" w:cs="Book Antiqua"/>
          <w:color w:val="000000"/>
        </w:rPr>
        <w:lastRenderedPageBreak/>
        <w:t>(time point T2) to</w:t>
      </w:r>
      <w:r>
        <w:rPr>
          <w:rFonts w:ascii="Book Antiqua" w:eastAsia="Book Antiqua" w:hAnsi="Book Antiqua" w:cs="Book Antiqua"/>
          <w:color w:val="000000"/>
        </w:rPr>
        <w:t xml:space="preserve"> evaluat</w:t>
      </w:r>
      <w:r w:rsidR="00B71FEE">
        <w:rPr>
          <w:rFonts w:ascii="Book Antiqua" w:eastAsia="Book Antiqua" w:hAnsi="Book Antiqua" w:cs="Book Antiqua"/>
          <w:color w:val="000000"/>
        </w:rPr>
        <w:t>e</w:t>
      </w:r>
      <w:r>
        <w:rPr>
          <w:rFonts w:ascii="Book Antiqua" w:eastAsia="Book Antiqua" w:hAnsi="Book Antiqua" w:cs="Book Antiqua"/>
          <w:color w:val="000000"/>
        </w:rPr>
        <w:t xml:space="preserve"> </w:t>
      </w:r>
      <w:r w:rsidR="00B71FEE">
        <w:rPr>
          <w:rFonts w:ascii="Book Antiqua" w:eastAsia="Book Antiqua" w:hAnsi="Book Antiqua" w:cs="Book Antiqua"/>
          <w:color w:val="000000"/>
        </w:rPr>
        <w:t>the</w:t>
      </w:r>
      <w:r>
        <w:rPr>
          <w:rFonts w:ascii="Book Antiqua" w:eastAsia="Book Antiqua" w:hAnsi="Book Antiqua" w:cs="Book Antiqua"/>
          <w:color w:val="000000"/>
        </w:rPr>
        <w:t xml:space="preserve"> test-retest reliability and responsiveness</w:t>
      </w:r>
      <w:r w:rsidR="00B71FEE">
        <w:rPr>
          <w:rFonts w:ascii="Book Antiqua" w:eastAsia="Book Antiqua" w:hAnsi="Book Antiqua" w:cs="Book Antiqua"/>
          <w:color w:val="000000"/>
        </w:rPr>
        <w:t>.</w:t>
      </w:r>
      <w:r>
        <w:rPr>
          <w:rFonts w:ascii="Book Antiqua" w:eastAsia="Book Antiqua" w:hAnsi="Book Antiqua" w:cs="Book Antiqua"/>
          <w:color w:val="000000"/>
        </w:rPr>
        <w:t xml:space="preserve"> If the patients did not return the questionnaire form within four weeks, the patients were reminded at intervals of two week</w:t>
      </w:r>
      <w:r w:rsidR="006F1FA4">
        <w:rPr>
          <w:rFonts w:ascii="Book Antiqua" w:hAnsi="Book Antiqua" w:cs="Book Antiqua" w:hint="eastAsia"/>
          <w:color w:val="000000"/>
          <w:lang w:eastAsia="zh-CN"/>
        </w:rPr>
        <w:t>s</w:t>
      </w:r>
      <w:r w:rsidR="006F1FA4">
        <w:rPr>
          <w:rFonts w:ascii="Book Antiqua" w:eastAsia="Book Antiqua" w:hAnsi="Book Antiqua" w:cs="Book Antiqua"/>
          <w:color w:val="000000"/>
        </w:rPr>
        <w:t>’</w:t>
      </w:r>
      <w:r>
        <w:rPr>
          <w:rFonts w:ascii="Book Antiqua" w:eastAsia="Book Antiqua" w:hAnsi="Book Antiqua" w:cs="Book Antiqua"/>
          <w:color w:val="000000"/>
        </w:rPr>
        <w:t xml:space="preserve"> time. 55 of 100 patients completed the questionnaire twice on average after 32</w:t>
      </w:r>
      <w:r w:rsidR="006F1FA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F1FA4">
        <w:rPr>
          <w:rFonts w:ascii="Book Antiqua" w:hAnsi="Book Antiqua" w:cs="Book Antiqua" w:hint="eastAsia"/>
          <w:color w:val="000000"/>
          <w:lang w:eastAsia="zh-CN"/>
        </w:rPr>
        <w:t xml:space="preserve"> </w:t>
      </w:r>
      <w:r w:rsidR="006F1FA4">
        <w:rPr>
          <w:rFonts w:ascii="Book Antiqua" w:eastAsia="Book Antiqua" w:hAnsi="Book Antiqua" w:cs="Book Antiqua"/>
          <w:color w:val="000000"/>
        </w:rPr>
        <w:t>71</w:t>
      </w:r>
      <w:r w:rsidR="006F1FA4">
        <w:rPr>
          <w:rFonts w:ascii="Book Antiqua" w:hAnsi="Book Antiqua" w:cs="Book Antiqua" w:hint="eastAsia"/>
          <w:color w:val="000000"/>
          <w:lang w:eastAsia="zh-CN"/>
        </w:rPr>
        <w:t>.</w:t>
      </w:r>
      <w:r>
        <w:rPr>
          <w:rFonts w:ascii="Book Antiqua" w:eastAsia="Book Antiqua" w:hAnsi="Book Antiqua" w:cs="Book Antiqua"/>
          <w:color w:val="000000"/>
        </w:rPr>
        <w:t>4 d. Figure 1 shows the patient flow chart.</w:t>
      </w:r>
    </w:p>
    <w:p w14:paraId="3D6D64D3" w14:textId="77777777" w:rsidR="006F1FA4" w:rsidRDefault="006F1FA4">
      <w:pPr>
        <w:spacing w:line="360" w:lineRule="auto"/>
        <w:jc w:val="both"/>
        <w:rPr>
          <w:rFonts w:ascii="Book Antiqua" w:hAnsi="Book Antiqua" w:cs="Book Antiqua"/>
          <w:b/>
          <w:bCs/>
          <w:i/>
          <w:color w:val="000000"/>
          <w:lang w:eastAsia="zh-CN"/>
        </w:rPr>
      </w:pPr>
    </w:p>
    <w:p w14:paraId="28C1CD2B" w14:textId="77777777" w:rsidR="00A77B3E" w:rsidRPr="004D002F" w:rsidRDefault="004D002F">
      <w:pPr>
        <w:spacing w:line="360" w:lineRule="auto"/>
        <w:jc w:val="both"/>
        <w:rPr>
          <w:i/>
          <w:lang w:eastAsia="zh-CN"/>
        </w:rPr>
      </w:pPr>
      <w:r>
        <w:rPr>
          <w:rFonts w:ascii="Book Antiqua" w:hAnsi="Book Antiqua" w:cs="Book Antiqua" w:hint="eastAsia"/>
          <w:b/>
          <w:bCs/>
          <w:i/>
          <w:color w:val="000000"/>
          <w:lang w:eastAsia="zh-CN"/>
        </w:rPr>
        <w:t>FJS</w:t>
      </w:r>
    </w:p>
    <w:p w14:paraId="2DE8AE48" w14:textId="37348AE8" w:rsidR="00A77B3E" w:rsidRDefault="00464B5F">
      <w:pPr>
        <w:spacing w:line="360" w:lineRule="auto"/>
        <w:jc w:val="both"/>
      </w:pPr>
      <w:r>
        <w:rPr>
          <w:rFonts w:ascii="Book Antiqua" w:eastAsia="Book Antiqua" w:hAnsi="Book Antiqua" w:cs="Book Antiqua"/>
          <w:color w:val="000000"/>
        </w:rPr>
        <w:t>The Forgotten Joint score is a self-administrated questionnaire comprising of 12 items concerning on the patient’s ability to forget the hip joint in everyday life</w:t>
      </w:r>
      <w:r w:rsidR="00A57436">
        <w:rPr>
          <w:rFonts w:ascii="Book Antiqua" w:hAnsi="Book Antiqua" w:cs="Book Antiqua" w:hint="eastAsia"/>
          <w:color w:val="000000"/>
          <w:vertAlign w:val="superscript"/>
          <w:lang w:eastAsia="zh-CN"/>
        </w:rPr>
        <w:t>[</w:t>
      </w:r>
      <w:r w:rsidR="00724FA7">
        <w:rPr>
          <w:rFonts w:ascii="Book Antiqua" w:eastAsia="Book Antiqua" w:hAnsi="Book Antiqua" w:cs="Book Antiqua"/>
          <w:color w:val="000000"/>
        </w:rPr>
        <w:fldChar w:fldCharType="begin"/>
      </w:r>
      <w:r w:rsidR="00724FA7">
        <w:rPr>
          <w:rFonts w:ascii="Book Antiqua" w:eastAsia="Book Antiqua" w:hAnsi="Book Antiqua" w:cs="Book Antiqua"/>
          <w:color w:val="000000"/>
        </w:rPr>
        <w:instrText xml:space="preserve"> ADDIN ZOTERO_ITEM CSL_CITATION {"citationID":"1Z7ZXmJp","properties":{"formattedCitation":"\\super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24FA7">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724FA7">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Meanwhile, the loss of awareness of a joint is seen as the ultimate goal leading to maximum patient satisfaction. The </w:t>
      </w:r>
      <w:r w:rsidR="004D002F">
        <w:rPr>
          <w:rFonts w:ascii="Book Antiqua" w:eastAsia="Book Antiqua" w:hAnsi="Book Antiqua" w:cs="Book Antiqua"/>
          <w:color w:val="000000"/>
        </w:rPr>
        <w:t>F</w:t>
      </w:r>
      <w:r w:rsidR="004D002F">
        <w:rPr>
          <w:rFonts w:ascii="Book Antiqua" w:hAnsi="Book Antiqua" w:cs="Book Antiqua" w:hint="eastAsia"/>
          <w:color w:val="000000"/>
          <w:lang w:eastAsia="zh-CN"/>
        </w:rPr>
        <w:t>JS</w:t>
      </w:r>
      <w:r>
        <w:rPr>
          <w:rFonts w:ascii="Book Antiqua" w:eastAsia="Book Antiqua" w:hAnsi="Book Antiqua" w:cs="Book Antiqua"/>
          <w:color w:val="000000"/>
        </w:rPr>
        <w:t xml:space="preserve"> was developed in 2012</w:t>
      </w:r>
      <w:r w:rsidR="00B71FEE">
        <w:rPr>
          <w:rFonts w:ascii="Book Antiqua" w:eastAsia="Book Antiqua" w:hAnsi="Book Antiqua" w:cs="Book Antiqua"/>
          <w:color w:val="000000"/>
        </w:rPr>
        <w:t xml:space="preserve">. Several studies have proven </w:t>
      </w:r>
      <w:r>
        <w:rPr>
          <w:rFonts w:ascii="Book Antiqua" w:eastAsia="Book Antiqua" w:hAnsi="Book Antiqua" w:cs="Book Antiqua"/>
          <w:color w:val="000000"/>
        </w:rPr>
        <w:t>high internal consistency</w:t>
      </w:r>
      <w:r w:rsidR="00B71FEE">
        <w:rPr>
          <w:rFonts w:ascii="Book Antiqua" w:eastAsia="Book Antiqua" w:hAnsi="Book Antiqua" w:cs="Book Antiqua"/>
          <w:color w:val="000000"/>
        </w:rPr>
        <w:t>,</w:t>
      </w:r>
      <w:r w:rsidR="00B71FEE" w:rsidRPr="00B71FEE">
        <w:rPr>
          <w:rFonts w:ascii="Book Antiqua" w:eastAsia="Book Antiqua" w:hAnsi="Book Antiqua" w:cs="Book Antiqua"/>
          <w:color w:val="000000"/>
        </w:rPr>
        <w:t xml:space="preserve"> </w:t>
      </w:r>
      <w:r w:rsidR="00B71FEE">
        <w:rPr>
          <w:rFonts w:ascii="Book Antiqua" w:eastAsia="Book Antiqua" w:hAnsi="Book Antiqua" w:cs="Book Antiqua"/>
          <w:color w:val="000000"/>
        </w:rPr>
        <w:t>responsiveness, and</w:t>
      </w:r>
      <w:r>
        <w:rPr>
          <w:rFonts w:ascii="Book Antiqua" w:eastAsia="Book Antiqua" w:hAnsi="Book Antiqua" w:cs="Book Antiqua"/>
          <w:color w:val="000000"/>
        </w:rPr>
        <w:t xml:space="preserve"> construct validity </w:t>
      </w:r>
      <w:r w:rsidR="00B71FEE">
        <w:rPr>
          <w:rFonts w:ascii="Book Antiqua" w:eastAsia="Book Antiqua" w:hAnsi="Book Antiqua" w:cs="Book Antiqua"/>
          <w:color w:val="000000"/>
        </w:rPr>
        <w:t>in mid- and long term conditions after arthroplasty</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{"citationID":"Rt1VAaZB","properties":{"formattedCitation":"\\super 11,13,17\\uc0\\u8211{}19\\nosupersub{}","plainCitation":"11,13,17–19","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198,"uris":["http://zotero.org/users/local/QA4apqAk/items/AJUZ8Z2N"],"uri":["http://zotero.org/users/local/QA4apqAk/items/AJUZ8Z2N"],"itemData":{"id":198,"type":"article-journal","abstract":"PURPOSE: There is rising impact of patient-reported outcome (PRO) measurement in joint arthroplasty over the past years. Bicruciate-retaining implants have shown more physiologic knee kinematics and provide superior proprioceptive capacities. The aim of this study was to evaluate if the functional properties of this new implant design lead to improved PRO results after total knee arthroplasty (TKA).\nMETHODS: This prospective, controlled trial compares PRO of bicruciate-retaining total knee arthroplasty (BCR-TKA) to unicondylar knee arthroplasty (UKA) and standard posterior-stabilized total knee arthroplasty (PS-TKA). We evaluated 102 patients (34 patients in each group) 18 months postoperatively after knee arthroplasty. Primary outcome measure was the Forgotten Joint Score (FJS).\nRESULTS: The BCR-group showed the same level of joint awareness as the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0.999). The second control group of PS-TKA patients had a lower mean score value in the FJS compared to the BCR-group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0.035) and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0.031). There was no correlation of age, gender, body mass index (BMI) and the FJS. No relevant floor- or ceiling effects occurred.\nCONCLUSIONS: This study found reduced joint awareness for BCR-TKA compared to a standard total knee arthroplasty. The score values of the BCR-group were equal to the UKA-group. Further prospective, randomized studies to investigate long-term survivorship of bicruciate-retaining implants are needed.\nLEVEL OF EVIDENCE: Level II.","container-title":"Archives of Orthopaedic and Trauma Surgery","DOI":"10.1007/s00402-017-2839-z","ISSN":"1434-3916","issue":"2","journalAbbreviation":"Arch Orthop Trauma Surg","language":"eng","note":"PMID: 29124363","page":"273-279","source":"PubMed","title":"Reduced joint-awareness in bicruciate-retaining total knee arthroplasty compared to cruciate-sacrificing total knee arthroplasty","volume":"138","author":[{"family":"Baumann","given":"Florian"},{"family":"Krutsch","given":"Werner"},{"family":"Worlicek","given":"Michael"},{"family":"Kerschbaum","given":"Maximilian"},{"family":"Zellner","given":"Johannes"},{"family":"Schmitz","given":"Paul"},{"family":"Nerlich","given":"Michael"},{"family":"Tibesku","given":"Carsten"}],"issued":{"date-parts":[["2018",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11,13,17–19</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Originally, it was developed to evaluate PRO in patients after arthroplasty of the knee or hip. </w:t>
      </w:r>
    </w:p>
    <w:p w14:paraId="5272DAD2" w14:textId="773851D1" w:rsidR="00A77B3E" w:rsidRDefault="00B71FEE" w:rsidP="004D002F">
      <w:pPr>
        <w:spacing w:line="360" w:lineRule="auto"/>
        <w:ind w:firstLineChars="100" w:firstLine="240"/>
        <w:jc w:val="both"/>
      </w:pPr>
      <w:r>
        <w:rPr>
          <w:rFonts w:ascii="Book Antiqua" w:eastAsia="Book Antiqua" w:hAnsi="Book Antiqua" w:cs="Book Antiqua"/>
          <w:color w:val="000000"/>
        </w:rPr>
        <w:t xml:space="preserve">The patients were asked to return the forms by mail. </w:t>
      </w:r>
      <w:r w:rsidR="00464B5F">
        <w:rPr>
          <w:rFonts w:ascii="Book Antiqua" w:eastAsia="Book Antiqua" w:hAnsi="Book Antiqua" w:cs="Book Antiqua"/>
          <w:color w:val="000000"/>
        </w:rPr>
        <w:t xml:space="preserve">For evaluation of test–retest reliability, the patients were supposed to complete a second questionnaire after a minimum of two weeks. </w:t>
      </w:r>
      <w:r>
        <w:rPr>
          <w:rFonts w:ascii="Book Antiqua" w:eastAsia="Book Antiqua" w:hAnsi="Book Antiqua" w:cs="Book Antiqua"/>
          <w:color w:val="000000"/>
        </w:rPr>
        <w:t xml:space="preserve">The patients received a reminding call if they </w:t>
      </w:r>
      <w:r w:rsidR="00464B5F">
        <w:rPr>
          <w:rFonts w:ascii="Book Antiqua" w:eastAsia="Book Antiqua" w:hAnsi="Book Antiqua" w:cs="Book Antiqua"/>
          <w:color w:val="000000"/>
        </w:rPr>
        <w:t>di</w:t>
      </w:r>
      <w:r>
        <w:rPr>
          <w:rFonts w:ascii="Book Antiqua" w:eastAsia="Book Antiqua" w:hAnsi="Book Antiqua" w:cs="Book Antiqua"/>
          <w:color w:val="000000"/>
        </w:rPr>
        <w:t>d not answer within two weeks</w:t>
      </w:r>
      <w:r w:rsidR="00464B5F">
        <w:rPr>
          <w:rFonts w:ascii="Book Antiqua" w:eastAsia="Book Antiqua" w:hAnsi="Book Antiqua" w:cs="Book Antiqua"/>
          <w:color w:val="000000"/>
        </w:rPr>
        <w:t>.</w:t>
      </w:r>
    </w:p>
    <w:p w14:paraId="1B417BE3" w14:textId="77777777" w:rsidR="001A507C" w:rsidRDefault="001A507C">
      <w:pPr>
        <w:spacing w:line="360" w:lineRule="auto"/>
        <w:jc w:val="both"/>
        <w:rPr>
          <w:rFonts w:ascii="Book Antiqua" w:hAnsi="Book Antiqua" w:cs="Book Antiqua"/>
          <w:b/>
          <w:bCs/>
          <w:i/>
          <w:color w:val="000000"/>
          <w:lang w:eastAsia="zh-CN"/>
        </w:rPr>
      </w:pPr>
    </w:p>
    <w:p w14:paraId="3A3A85E3" w14:textId="77777777" w:rsidR="00A77B3E" w:rsidRPr="001A507C" w:rsidRDefault="00464B5F">
      <w:pPr>
        <w:spacing w:line="360" w:lineRule="auto"/>
        <w:jc w:val="both"/>
        <w:rPr>
          <w:i/>
          <w:lang w:eastAsia="zh-CN"/>
        </w:rPr>
      </w:pPr>
      <w:r w:rsidRPr="001A507C">
        <w:rPr>
          <w:rFonts w:ascii="Book Antiqua" w:eastAsia="Book Antiqua" w:hAnsi="Book Antiqua" w:cs="Book Antiqua"/>
          <w:b/>
          <w:bCs/>
          <w:i/>
          <w:color w:val="000000"/>
        </w:rPr>
        <w:t>WOMAC-VAS</w:t>
      </w:r>
    </w:p>
    <w:p w14:paraId="722F27CF" w14:textId="1E0E9C77" w:rsidR="00A77B3E" w:rsidRDefault="00464B5F">
      <w:pPr>
        <w:spacing w:line="360" w:lineRule="auto"/>
        <w:jc w:val="both"/>
      </w:pPr>
      <w:r>
        <w:rPr>
          <w:rFonts w:ascii="Book Antiqua" w:eastAsia="Book Antiqua" w:hAnsi="Book Antiqua" w:cs="Book Antiqua"/>
          <w:color w:val="000000"/>
        </w:rPr>
        <w:t xml:space="preserve">The WOMAC-VAS is a well-established standardized questionnaire to evaluate the disease-specific </w:t>
      </w:r>
      <w:r w:rsidR="00CC79CF" w:rsidRPr="00CC79CF">
        <w:rPr>
          <w:rFonts w:ascii="Book Antiqua" w:eastAsia="Book Antiqua" w:hAnsi="Book Antiqua" w:cs="Book Antiqua"/>
          <w:color w:val="000000"/>
        </w:rPr>
        <w:t>health-related quality of life</w:t>
      </w:r>
      <w:r>
        <w:rPr>
          <w:rFonts w:ascii="Book Antiqua" w:eastAsia="Book Antiqua" w:hAnsi="Book Antiqua" w:cs="Book Antiqua"/>
          <w:color w:val="000000"/>
        </w:rPr>
        <w:t xml:space="preserve"> of patients with osteoarthritis of the knee and hip comprising of 24 questions each rated on a VAS (0-100 mm)</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{"citationID":"WmB10LkE","properties":{"formattedCitation":"\\super 20\\nosupersub{}","plainCitation":"20","noteIndex":0},"citationItems":[{"id":164,"uris":["http://zotero.org/users/local/QA4apqAk/items/JSVGUZRQ"],"uri":["http://zotero.org/users/local/QA4apqAk/items/JSVGUZRQ"],"itemData":{"id":164,"type":"article-journal","abstract":"Within the context of a double blind randomized controlled parallel trial of 2 nonsteroidal antiinflammatory drugs, we validated WOMAC, a new multidimensional, self-administered health status instrument for patients with osteoarthritis of the hip or knee. The pain, stiffness and physical function subscales fulfil conventional criteria for face, content and construct validity, reliability, responsiveness and relative efficiency. WOMAC is a disease-specific purpose built high performance instrument for evaluative research in osteoarthritis clinical trials.","container-title":"The Journal of Rheumatology","ISSN":"0315-162X","issue":"12","journalAbbreviation":"J Rheumatol","language":"eng","note":"PMID: 3068365","page":"1833-1840","source":"PubMed","title":"Validation study of WOMAC: a health status instrument for measuring clinically important patient relevant outcomes to antirheumatic drug therapy in patients with osteoarthritis of the hip or knee","title-short":"Validation study of WOMAC","volume":"15","author":[{"family":"Bellamy","given":"N."},{"family":"Buchanan","given":"W. W."},{"family":"Goldsmith","given":"C. H."},{"family":"Campbell","given":"J."},{"family":"Stitt","given":"L. W."}],"issued":{"date-parts":[["1988",12]]}}}],"schema":"https://github.com/citation-style-language/schema/raw/master/csl-citation.json"}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20</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Following scores were computed: subscale pain (</w:t>
      </w:r>
      <w:r>
        <w:rPr>
          <w:rFonts w:ascii="Book Antiqua" w:eastAsia="Book Antiqua" w:hAnsi="Book Antiqua" w:cs="Book Antiqua"/>
          <w:color w:val="000000"/>
          <w:szCs w:val="22"/>
          <w:shd w:val="clear" w:color="auto" w:fill="F8F8F8"/>
        </w:rPr>
        <w:t>0-500 mm</w:t>
      </w:r>
      <w:r>
        <w:rPr>
          <w:rFonts w:ascii="Book Antiqua" w:eastAsia="Book Antiqua" w:hAnsi="Book Antiqua" w:cs="Book Antiqua"/>
          <w:color w:val="000000"/>
        </w:rPr>
        <w:t>), subscale stiffness (</w:t>
      </w:r>
      <w:r>
        <w:rPr>
          <w:rFonts w:ascii="Book Antiqua" w:eastAsia="Book Antiqua" w:hAnsi="Book Antiqua" w:cs="Book Antiqua"/>
          <w:color w:val="000000"/>
          <w:szCs w:val="22"/>
          <w:shd w:val="clear" w:color="auto" w:fill="F8F8F8"/>
        </w:rPr>
        <w:t>0-200 mm</w:t>
      </w:r>
      <w:r>
        <w:rPr>
          <w:rFonts w:ascii="Book Antiqua" w:eastAsia="Book Antiqua" w:hAnsi="Book Antiqua" w:cs="Book Antiqua"/>
          <w:color w:val="000000"/>
        </w:rPr>
        <w:t>), subscale functional limitation (</w:t>
      </w:r>
      <w:r>
        <w:rPr>
          <w:rFonts w:ascii="Book Antiqua" w:eastAsia="Book Antiqua" w:hAnsi="Book Antiqua" w:cs="Book Antiqua"/>
          <w:color w:val="000000"/>
          <w:szCs w:val="22"/>
          <w:shd w:val="clear" w:color="auto" w:fill="F8F8F8"/>
        </w:rPr>
        <w:t>0-1700 mm</w:t>
      </w:r>
      <w:r>
        <w:rPr>
          <w:rFonts w:ascii="Book Antiqua" w:eastAsia="Book Antiqua" w:hAnsi="Book Antiqua" w:cs="Book Antiqua"/>
          <w:color w:val="000000"/>
        </w:rPr>
        <w:t>), and a summary score (0-2400 mm). A WOMAC-VAS score of 0 indicates no pain, no stiffness, and full function. The higher the score is, the more problems the patient is facing. The WOMAC-VAS is validated in German</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{"citationID":"DCyLA4DO","properties":{"formattedCitation":"\\super 21\\nosupersub{}","plainCitation":"21","noteIndex":0},"citationItems":[{"id":166,"uris":["http://zotero.org/users/local/QA4apqAk/items/EEGVQZFJ"],"uri":["http://zotero.org/users/local/QA4apqAk/items/EEGVQZFJ"],"itemData":{"id":166,"type":"article-journal","abstract":"The WOMAC (Western Ontario and McMaster Universities) Osteoarthritis Index is a tested questionnaire to assess symptoms and physical functional disability. We adapted the WOMAC for the German language and tested its metric properties, test-retest reliability and validity in 51 patients with knee and hip OA. All WOMAC scales (pain, stiffness, function) were internally consistent with Cronbach's coefficient alpha ranging from 0.80 to 0.96. Test-retest reliability was satisfactory with intraclass correlation coefficients ranging from 0.55 to 0.74. All scales and the global index calculated as the mean of scale scores had a bimodal distribution and a slight ceiling effect. As hypothesized the WOMAC scales were associated with radiological OA-severity and limitations of range-of-motion. Patients with more severe symptoms and functional disability perceived more limitations in their roles at home and at work. The presented German version of the WOMAC is a reliable and valid instrument for the assessment of symptoms and physical functional disability in patients with knee and hip OA.","container-title":"Zeitschrift Fur Rheumatologie","ISSN":"0340-1855","issue":"1","journalAbbreviation":"Z Rheumatol","language":"ger","note":"PMID: 8868149","page":"40-49","source":"PubMed","title":"[Evaluation of a German version of WOMAC (Western Ontario and McMaster Universities) Arthrosis Index]","volume":"55","author":[{"family":"Stucki","given":"G."},{"family":"Meier","given":"D."},{"family":"Stucki","given":"S."},{"family":"Michel","given":"B. A."},{"family":"Tyndall","given":"A. G."},{"family":"Dick","given":"W."},{"family":"Theiler","given":"R."}],"issued":{"date-parts":[["1996",2]]}}}],"schema":"https://github.com/citation-style-language/schema/raw/master/csl-citation.json"}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21</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161721F1" w14:textId="77777777" w:rsidR="001A507C" w:rsidRDefault="001A507C" w:rsidP="001A507C">
      <w:pPr>
        <w:spacing w:line="360" w:lineRule="auto"/>
        <w:jc w:val="both"/>
        <w:rPr>
          <w:rFonts w:ascii="Book Antiqua" w:hAnsi="Book Antiqua" w:cs="Book Antiqua"/>
          <w:b/>
          <w:bCs/>
          <w:color w:val="000000"/>
          <w:lang w:eastAsia="zh-CN"/>
        </w:rPr>
      </w:pPr>
    </w:p>
    <w:p w14:paraId="107DEA34" w14:textId="77777777" w:rsidR="001A507C" w:rsidRPr="001A507C" w:rsidRDefault="00492BC2"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TAS</w:t>
      </w:r>
      <w:r w:rsidR="00464B5F" w:rsidRPr="001A507C">
        <w:rPr>
          <w:rFonts w:ascii="Book Antiqua" w:eastAsia="Book Antiqua" w:hAnsi="Book Antiqua" w:cs="Book Antiqua"/>
          <w:b/>
          <w:bCs/>
          <w:i/>
          <w:color w:val="000000"/>
        </w:rPr>
        <w:t xml:space="preserve"> </w:t>
      </w:r>
    </w:p>
    <w:p w14:paraId="498E8397" w14:textId="5876716A" w:rsidR="00A77B3E" w:rsidRDefault="00464B5F" w:rsidP="001A507C">
      <w:pPr>
        <w:spacing w:line="360" w:lineRule="auto"/>
        <w:jc w:val="both"/>
      </w:pPr>
      <w:r>
        <w:rPr>
          <w:rFonts w:ascii="Book Antiqua" w:eastAsia="Book Antiqua" w:hAnsi="Book Antiqua" w:cs="Book Antiqua"/>
          <w:color w:val="000000"/>
        </w:rPr>
        <w:lastRenderedPageBreak/>
        <w:t xml:space="preserve">The TAS is a </w:t>
      </w:r>
      <w:r w:rsidR="00110F62">
        <w:rPr>
          <w:rFonts w:ascii="Book Antiqua" w:eastAsia="Book Antiqua" w:hAnsi="Book Antiqua" w:cs="Book Antiqua"/>
          <w:color w:val="000000"/>
        </w:rPr>
        <w:t>well-established</w:t>
      </w:r>
      <w:r w:rsidR="00B71FEE">
        <w:rPr>
          <w:rFonts w:ascii="Book Antiqua" w:eastAsia="Book Antiqua" w:hAnsi="Book Antiqua" w:cs="Book Antiqua"/>
          <w:color w:val="000000"/>
        </w:rPr>
        <w:t xml:space="preserve"> score</w:t>
      </w:r>
      <w:r>
        <w:rPr>
          <w:rFonts w:ascii="Book Antiqua" w:eastAsia="Book Antiqua" w:hAnsi="Book Antiqua" w:cs="Book Antiqua"/>
          <w:color w:val="000000"/>
        </w:rPr>
        <w:t xml:space="preserve"> reflecting the patient’s highest level of </w:t>
      </w:r>
      <w:r w:rsidR="00B71FEE">
        <w:rPr>
          <w:rFonts w:ascii="Book Antiqua" w:eastAsia="Book Antiqua" w:hAnsi="Book Antiqua" w:cs="Book Antiqua"/>
          <w:color w:val="000000"/>
        </w:rPr>
        <w:t>physical</w:t>
      </w:r>
      <w:r>
        <w:rPr>
          <w:rFonts w:ascii="Book Antiqua" w:eastAsia="Book Antiqua" w:hAnsi="Book Antiqua" w:cs="Book Antiqua"/>
          <w:color w:val="000000"/>
        </w:rPr>
        <w:t xml:space="preserve"> activity </w:t>
      </w:r>
      <w:r w:rsidR="00B71FEE">
        <w:rPr>
          <w:rFonts w:ascii="Book Antiqua" w:eastAsia="Book Antiqua" w:hAnsi="Book Antiqua" w:cs="Book Antiqua"/>
          <w:color w:val="000000"/>
        </w:rPr>
        <w:t>on a 10 level scale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{"citationID":"Fj5fx01c","properties":{"formattedCitation":"\\super 22\\nosupersub{}","plainCitation":"22","noteIndex":0},"citationItems":[{"id":168,"uris":["http://zotero.org/users/local/QA4apqAk/items/JGZ5DUFN"],"uri":["http://zotero.org/users/local/QA4apqAk/items/JGZ5DUFN"],"itemData":{"id":168,"type":"article-journal","abstract":"Many different methods of evaluating disability after knee ligament injury exist. Most of them differ in design. Some are based on only patients' symptoms. Other include patients' symptoms, activity grading, performance in a test, and clinical findings. The rating in these evaluating systems can be either numerical, as in a score, or binary, with yes/no answers. Comparison between a symptom-related score and a score of more complex design showed that the symptom-related score gave a more differentiated picture of the disability. It was also shown that the binary rating system gave less detailed information than a score and that differences in a binary rating can depend on at what level the symptoms are regarded as \"significant.\" A new activity grading scale, where work and sport activities were graded numerically, was constructed as complement to the functional score. When evaluating knee ligament injuries, stability testing, functional knee score, performance test, and activity grading are all important. However, the relative importance varies during the course of treatment, and therefore they should not all be included in one and the same score.","container-title":"Clinical Orthopaedics and Related Research","ISSN":"0009-921X","issue":"198","journalAbbreviation":"Clin Orthop Relat Res","language":"eng","note":"PMID: 4028566","page":"43-49","source":"PubMed","title":"Rating systems in the evaluation of knee ligament injuries","author":[{"family":"Tegner","given":"Y."},{"family":"Lysholm","given":"J."}],"issued":{"date-parts":[["1985",9]]}}}],"schema":"https://github.com/citation-style-language/schema/raw/master/csl-citation.json"}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22</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B71FEE">
        <w:rPr>
          <w:rFonts w:ascii="Book Antiqua" w:eastAsia="Book Antiqua" w:hAnsi="Book Antiqua" w:cs="Book Antiqua"/>
          <w:color w:val="000000"/>
        </w:rPr>
        <w:t xml:space="preserve">The TAS is the most </w:t>
      </w:r>
      <w:r>
        <w:rPr>
          <w:rFonts w:ascii="Book Antiqua" w:eastAsia="Book Antiqua" w:hAnsi="Book Antiqua" w:cs="Book Antiqua"/>
          <w:color w:val="000000"/>
        </w:rPr>
        <w:t xml:space="preserve">commonly </w:t>
      </w:r>
      <w:r w:rsidR="00B71FEE">
        <w:rPr>
          <w:rFonts w:ascii="Book Antiqua" w:eastAsia="Book Antiqua" w:hAnsi="Book Antiqua" w:cs="Book Antiqua"/>
          <w:color w:val="000000"/>
        </w:rPr>
        <w:t>reported</w:t>
      </w:r>
      <w:r>
        <w:rPr>
          <w:rFonts w:ascii="Book Antiqua" w:eastAsia="Book Antiqua" w:hAnsi="Book Antiqua" w:cs="Book Antiqua"/>
          <w:color w:val="000000"/>
        </w:rPr>
        <w:t xml:space="preserve"> tool</w:t>
      </w:r>
      <w:r w:rsidR="00B71FEE">
        <w:rPr>
          <w:rFonts w:ascii="Book Antiqua" w:eastAsia="Book Antiqua" w:hAnsi="Book Antiqua" w:cs="Book Antiqua"/>
          <w:color w:val="000000"/>
        </w:rPr>
        <w:t xml:space="preserve"> for physical activity in </w:t>
      </w:r>
      <w:r>
        <w:rPr>
          <w:rFonts w:ascii="Book Antiqua" w:eastAsia="Book Antiqua" w:hAnsi="Book Antiqua" w:cs="Book Antiqua"/>
          <w:color w:val="000000"/>
        </w:rPr>
        <w:t xml:space="preserve">patients with </w:t>
      </w:r>
      <w:r w:rsidR="00B71FEE">
        <w:rPr>
          <w:rFonts w:ascii="Book Antiqua" w:eastAsia="Book Antiqua" w:hAnsi="Book Antiqua" w:cs="Book Antiqua"/>
          <w:color w:val="000000"/>
        </w:rPr>
        <w:t>lower extremity disorders</w:t>
      </w:r>
      <w:r>
        <w:rPr>
          <w:rFonts w:ascii="Book Antiqua" w:eastAsia="Book Antiqua" w:hAnsi="Book Antiqua" w:cs="Book Antiqua"/>
          <w:color w:val="000000"/>
        </w:rPr>
        <w:t>. A TAS score of ten reflects the functional capacity of a top-level athlete, a score of 0 reflects the inability to walk. A German adaption is available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{"citationID":"QmaQ1Aa3","properties":{"formattedCitation":"\\super 23\\nosupersub{}","plainCitation":"23","noteIndex":0},"citationItems":[{"id":170,"uris":["http://zotero.org/users/local/QA4apqAk/items/TNBW9MIE"],"uri":["http://zotero.org/users/local/QA4apqAk/items/TNBW9MIE"],"itemData":{"id":170,"type":"article-journal","abstract":"OBJECTIVE: The Lysholm score and the Tegner activity scale are widely used for assessing knee function and activity level after knee ligament injuries. This study aimed to asses validity and reliability of the German versions of the Lysholm score (Lysholm-G) and the Tegner activity scale (Tegner-G) in patients after total knee arthroplasty (TKA).\nMETHODS: Two patient groups (&lt;3 months postoperative; 3 to 12 months postoperative) and a healthy control group completed both questionnaires twice within 3 to 7 days. On the first occasion, the SF-12 questionnaire was also administered. The instruments' absolute and relative reliability, internal consistency, construct validity (discriminative validity and exploratory factor analysis), criterion validity, and floor/ceiling effects were determined.\nRESULTS: Both instruments showed acceptable relative reliability (Lysholm-G: ICC2,1 = 0.87; Tegner-G: ICC2,1 = 0.79), and the Lysholm-G had a Cronbach's alpha of 0.93. Kruskal-Wallis test and post-hoc Mann-Whitney U tests showed significant differences in both scores among the groups. Factor analysis of Lysholm-G yielded three factors that together explained 76% of the variance. Correlations between the Lysholm-G/Tegner-G and the physical component of the SF-12 were moderate (ρ = 0.60/0.59). Item analysis of the Lysholm-G revealed a low relative reliability for the item \"instability\" and low discriminative validity for the items \"locking\" and \"instability\".\nCONCLUSIONS: This study demonstrated acceptable psychometric performances for the Lysholm-G and the Tegner-G scales as outcome measures for patients with TKA. A short version of the Lysholm score without the \"locking\" and \"instability\" items might be more appropriate for TKA patients.","container-title":"Swiss Medical Weekly","DOI":"10.4414/smw.2014.13976","ISSN":"1424-3997","journalAbbreviation":"Swiss Med Wkly","language":"eng","note":"PMID: 24921654","page":"w13976","source":"PubMed","title":"Function and activity in patients with knee arthroplasty: validity and reliability of a German version of the Lysholm Score and the Tegner Activity Scale","title-short":"Function and activity in patients with knee arthroplasty","volume":"144","author":[{"family":"Swanenburg","given":"Jaap"},{"family":"Koch","given":"Peter P."},{"family":"Meier","given":"Nadja"},{"family":"Wirth","given":"Brigitte"}],"issued":{"date-parts":[["2014"]]}}}],"schema":"https://github.com/citation-style-language/schema/raw/master/csl-citation.json"}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23</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7B5B0242" w14:textId="77777777" w:rsidR="001A507C" w:rsidRDefault="001A507C" w:rsidP="001A507C">
      <w:pPr>
        <w:spacing w:line="360" w:lineRule="auto"/>
        <w:jc w:val="both"/>
        <w:rPr>
          <w:rFonts w:ascii="Book Antiqua" w:hAnsi="Book Antiqua" w:cs="Book Antiqua"/>
          <w:b/>
          <w:bCs/>
          <w:color w:val="000000"/>
          <w:lang w:eastAsia="zh-CN"/>
        </w:rPr>
      </w:pPr>
    </w:p>
    <w:p w14:paraId="6D7285F9" w14:textId="77777777" w:rsidR="001A507C" w:rsidRPr="001A507C" w:rsidRDefault="00492BC2"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EQ-5D-3L</w:t>
      </w:r>
      <w:r w:rsidR="00464B5F" w:rsidRPr="001A507C">
        <w:rPr>
          <w:rFonts w:ascii="Book Antiqua" w:eastAsia="Book Antiqua" w:hAnsi="Book Antiqua" w:cs="Book Antiqua"/>
          <w:b/>
          <w:bCs/>
          <w:i/>
          <w:color w:val="000000"/>
        </w:rPr>
        <w:t xml:space="preserve"> </w:t>
      </w:r>
    </w:p>
    <w:p w14:paraId="5D8AA627" w14:textId="20CAC4AF" w:rsidR="00A77B3E" w:rsidRDefault="00464B5F" w:rsidP="001A507C">
      <w:pPr>
        <w:spacing w:line="360" w:lineRule="auto"/>
        <w:jc w:val="both"/>
      </w:pPr>
      <w:r>
        <w:rPr>
          <w:rFonts w:ascii="Book Antiqua" w:eastAsia="Book Antiqua" w:hAnsi="Book Antiqua" w:cs="Book Antiqua"/>
          <w:color w:val="000000"/>
        </w:rPr>
        <w:t xml:space="preserve">The EQ-5D-3L is a </w:t>
      </w:r>
      <w:r w:rsidR="00B71FEE">
        <w:rPr>
          <w:rFonts w:ascii="Book Antiqua" w:eastAsia="Book Antiqua" w:hAnsi="Book Antiqua" w:cs="Book Antiqua"/>
          <w:color w:val="000000"/>
        </w:rPr>
        <w:t>HR-QoL</w:t>
      </w:r>
      <w:r>
        <w:rPr>
          <w:rFonts w:ascii="Book Antiqua" w:eastAsia="Book Antiqua" w:hAnsi="Book Antiqua" w:cs="Book Antiqua"/>
          <w:color w:val="000000"/>
        </w:rPr>
        <w:t xml:space="preserve"> questionnaire consisting of </w:t>
      </w:r>
      <w:r w:rsidR="00B71FEE">
        <w:rPr>
          <w:rFonts w:ascii="Book Antiqua" w:eastAsia="Book Antiqua" w:hAnsi="Book Antiqua" w:cs="Book Antiqua"/>
          <w:color w:val="000000"/>
        </w:rPr>
        <w:t xml:space="preserve">subscales regarding </w:t>
      </w:r>
      <w:r>
        <w:rPr>
          <w:rFonts w:ascii="Book Antiqua" w:eastAsia="Book Antiqua" w:hAnsi="Book Antiqua" w:cs="Book Antiqua"/>
          <w:color w:val="000000"/>
        </w:rPr>
        <w:t>mobility, self-care, usual activities, pain/discomfort, and anxiety/depression</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{"citationID":"MdHxKMH2","properties":{"formattedCitation":"\\super 24,25\\nosupersub{}","plainCitation":"24,25","noteIndex":0},"citationItems":[{"id":128,"uris":["http://zotero.org/users/local/QA4apqAk/items/MP9D5Y58"],"uri":["http://zotero.org/users/local/QA4apqAk/items/MP9D5Y58"],"itemData":{"id":128,"type":"article-journal","abstract":"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process.","container-title":"Annals of Medicine","DOI":"10.3109/07853890109002087","ISSN":"0785-3890","issue":"5","journalAbbreviation":"Ann Med","language":"eng","note":"PMID: 11491192","page":"337-343","source":"PubMed","title":"EQ-5D: a measure of health status from the EuroQol Group","title-short":"EQ-5D","volume":"33","author":[{"family":"Rabin","given":"R."},{"family":"Charro","given":"F.","non-dropping-particle":"de"}],"issued":{"date-parts":[["2001",7]]}}},{"id":130,"uris":["http://zotero.org/users/local/QA4apqAk/items/9NNNF6N3"],"uri":["http://zotero.org/users/local/QA4apqAk/items/9NNNF6N3"],"itemData":{"id":130,"type":"article-journal","abstract":"The aim of this survey study was to derive the societal values of the general public for the EuroQol EQ-5D. Using the same protocol as previously used in the United Kingdom, we compared the German values with the British. In face-to-face interviews a sample of 339 individuals in northern Germany valued 15 different health states from a sample of 36 states. Values were derived using the York MVH protocol for time trade-off (TTO) and a visual analogue scale (VAS). Values for all 243 health states of the EQ-5D were estimated by a regression model. The VAS values revealed close a resemblance to the British VAS results. German TTO values were higher than the British. This was especially the case for the worse health states. The results suggest that the TTO values are more related to national variables than values derived by VAS. The use of the TTO values of this investigation makes it possible to anticipate these cultural differences in studies carried out in Germany.","container-title":"The European journal of health economics: HEPAC: health economics in prevention and care","DOI":"10.1007/s10198-004-0264-z","ISSN":"1618-7598","issue":"2","journalAbbreviation":"Eur J Health Econ","language":"eng","note":"PMID: 19787848","page":"124-130","source":"PubMed","title":"Validating the EQ-5D with time trade off for the German population","volume":"6","author":[{"family":"Greiner","given":"W."},{"family":"Claes","given":"C."},{"family":"Busschbach","given":"J. J. V."},{"family":"Schulenburg","given":"J.-M. Graf","non-dropping-particle":"von der"}],"issued":{"date-parts":[["2005",6]]}}}],"schema":"https://github.com/citation-style-language/schema/raw/master/csl-citation.json"}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24,25</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Responses to each dimension were transformed into EQ index ranging from -0.21 (worst health) to 1.00 (best health). </w:t>
      </w:r>
      <w:r w:rsidR="005E175C">
        <w:rPr>
          <w:rFonts w:ascii="Book Antiqua" w:eastAsia="Book Antiqua" w:hAnsi="Book Antiqua" w:cs="Book Antiqua"/>
          <w:color w:val="000000"/>
        </w:rPr>
        <w:t>Additionally,</w:t>
      </w:r>
      <w:r>
        <w:rPr>
          <w:rFonts w:ascii="Book Antiqua" w:eastAsia="Book Antiqua" w:hAnsi="Book Antiqua" w:cs="Book Antiqua"/>
          <w:color w:val="000000"/>
        </w:rPr>
        <w:t xml:space="preserve"> the EQ-5D </w:t>
      </w:r>
      <w:r w:rsidR="005E175C">
        <w:rPr>
          <w:rFonts w:ascii="Book Antiqua" w:eastAsia="Book Antiqua" w:hAnsi="Book Antiqua" w:cs="Book Antiqua"/>
          <w:color w:val="000000"/>
        </w:rPr>
        <w:t>reports</w:t>
      </w:r>
      <w:r>
        <w:rPr>
          <w:rFonts w:ascii="Book Antiqua" w:eastAsia="Book Antiqua" w:hAnsi="Book Antiqua" w:cs="Book Antiqua"/>
          <w:color w:val="000000"/>
        </w:rPr>
        <w:t xml:space="preserve"> </w:t>
      </w:r>
      <w:r w:rsidR="005E175C">
        <w:rPr>
          <w:rFonts w:ascii="Book Antiqua" w:eastAsia="Book Antiqua" w:hAnsi="Book Antiqua" w:cs="Book Antiqua"/>
          <w:color w:val="000000"/>
        </w:rPr>
        <w:t>the patient’s assessment of the current HR-QoL in a 100 mm visual analogue scale. This scale ranges</w:t>
      </w:r>
      <w:r>
        <w:rPr>
          <w:rFonts w:ascii="Book Antiqua" w:eastAsia="Book Antiqua" w:hAnsi="Book Antiqua" w:cs="Book Antiqua"/>
          <w:color w:val="000000"/>
        </w:rPr>
        <w:t xml:space="preserve"> from 0 (the worst health you can imagine) to 100 (the best health you can imagine).</w:t>
      </w:r>
    </w:p>
    <w:p w14:paraId="2B151A62" w14:textId="77777777" w:rsidR="001A507C" w:rsidRDefault="001A507C" w:rsidP="001A507C">
      <w:pPr>
        <w:spacing w:line="360" w:lineRule="auto"/>
        <w:jc w:val="both"/>
        <w:rPr>
          <w:rFonts w:ascii="Book Antiqua" w:hAnsi="Book Antiqua" w:cs="Book Antiqua"/>
          <w:b/>
          <w:bCs/>
          <w:color w:val="000000"/>
          <w:lang w:eastAsia="zh-CN"/>
        </w:rPr>
      </w:pPr>
    </w:p>
    <w:p w14:paraId="63A1F0E0" w14:textId="77777777" w:rsidR="001A507C" w:rsidRPr="001A507C" w:rsidRDefault="00464B5F"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 xml:space="preserve">Subjective </w:t>
      </w:r>
      <w:r w:rsidR="001A507C" w:rsidRPr="001A507C">
        <w:rPr>
          <w:rFonts w:ascii="Book Antiqua" w:eastAsia="Book Antiqua" w:hAnsi="Book Antiqua" w:cs="Book Antiqua"/>
          <w:b/>
          <w:bCs/>
          <w:i/>
          <w:color w:val="000000"/>
        </w:rPr>
        <w:t xml:space="preserve">assessment </w:t>
      </w:r>
    </w:p>
    <w:p w14:paraId="56A2A1F5" w14:textId="3FB47E17" w:rsidR="00A77B3E" w:rsidRDefault="005E175C" w:rsidP="001A507C">
      <w:pPr>
        <w:spacing w:line="360" w:lineRule="auto"/>
        <w:jc w:val="both"/>
      </w:pPr>
      <w:r>
        <w:rPr>
          <w:rFonts w:ascii="Book Antiqua" w:eastAsia="Book Antiqua" w:hAnsi="Book Antiqua" w:cs="Book Antiqua"/>
          <w:color w:val="000000"/>
        </w:rPr>
        <w:t>We asked the patients</w:t>
      </w:r>
      <w:r w:rsidR="00464B5F">
        <w:rPr>
          <w:rFonts w:ascii="Book Antiqua" w:eastAsia="Book Antiqua" w:hAnsi="Book Antiqua" w:cs="Book Antiqua"/>
          <w:color w:val="000000"/>
        </w:rPr>
        <w:t xml:space="preserve"> to evaluate whether the condition of </w:t>
      </w:r>
      <w:r>
        <w:rPr>
          <w:rFonts w:ascii="Book Antiqua" w:eastAsia="Book Antiqua" w:hAnsi="Book Antiqua" w:cs="Book Antiqua"/>
          <w:color w:val="000000"/>
        </w:rPr>
        <w:t>their</w:t>
      </w:r>
      <w:r w:rsidR="00464B5F">
        <w:rPr>
          <w:rFonts w:ascii="Book Antiqua" w:eastAsia="Book Antiqua" w:hAnsi="Book Antiqua" w:cs="Book Antiqua"/>
          <w:color w:val="000000"/>
        </w:rPr>
        <w:t xml:space="preserve"> hip joint had changed since primary evaluation (much better, somewhat better, unchanged, somewhat worse, much worse). For calculation of the responsiveness, the </w:t>
      </w:r>
      <w:r w:rsidR="00A57436">
        <w:rPr>
          <w:rFonts w:ascii="Book Antiqua" w:eastAsia="Book Antiqua" w:hAnsi="Book Antiqua" w:cs="Book Antiqua"/>
          <w:color w:val="000000"/>
        </w:rPr>
        <w:t>anchor variable was summarized</w:t>
      </w:r>
      <w:r w:rsidR="00464B5F">
        <w:rPr>
          <w:rFonts w:ascii="Book Antiqua" w:eastAsia="Book Antiqua" w:hAnsi="Book Antiqua" w:cs="Book Antiqua"/>
          <w:color w:val="000000"/>
        </w:rPr>
        <w:t xml:space="preserve"> to ‘better’, ‘unchanged’, or ‘worse’.</w:t>
      </w:r>
    </w:p>
    <w:p w14:paraId="382C1304" w14:textId="77777777" w:rsidR="001A507C" w:rsidRDefault="001A507C" w:rsidP="001A507C">
      <w:pPr>
        <w:spacing w:line="360" w:lineRule="auto"/>
        <w:jc w:val="both"/>
        <w:rPr>
          <w:rFonts w:ascii="Book Antiqua" w:hAnsi="Book Antiqua" w:cs="Book Antiqua"/>
          <w:b/>
          <w:bCs/>
          <w:color w:val="000000"/>
          <w:lang w:eastAsia="zh-CN"/>
        </w:rPr>
      </w:pPr>
    </w:p>
    <w:p w14:paraId="0DE24038" w14:textId="77777777" w:rsidR="001A507C" w:rsidRPr="001A507C" w:rsidRDefault="00464B5F" w:rsidP="001A507C">
      <w:pPr>
        <w:spacing w:line="360" w:lineRule="auto"/>
        <w:jc w:val="both"/>
        <w:rPr>
          <w:rFonts w:ascii="Book Antiqua" w:hAnsi="Book Antiqua" w:cs="Book Antiqua"/>
          <w:b/>
          <w:bCs/>
          <w:i/>
          <w:color w:val="000000"/>
          <w:lang w:eastAsia="zh-CN"/>
        </w:rPr>
      </w:pPr>
      <w:r w:rsidRPr="001A507C">
        <w:rPr>
          <w:rFonts w:ascii="Book Antiqua" w:eastAsia="Book Antiqua" w:hAnsi="Book Antiqua" w:cs="Book Antiqua"/>
          <w:b/>
          <w:bCs/>
          <w:i/>
          <w:color w:val="000000"/>
        </w:rPr>
        <w:t xml:space="preserve">Clinical data </w:t>
      </w:r>
    </w:p>
    <w:p w14:paraId="3BC66DED" w14:textId="3F330D23" w:rsidR="00A77B3E" w:rsidRDefault="00464B5F" w:rsidP="001A507C">
      <w:pPr>
        <w:spacing w:line="360" w:lineRule="auto"/>
        <w:jc w:val="both"/>
      </w:pPr>
      <w:r>
        <w:rPr>
          <w:rFonts w:ascii="Book Antiqua" w:eastAsia="Book Antiqua" w:hAnsi="Book Antiqua" w:cs="Book Antiqua"/>
          <w:color w:val="000000"/>
        </w:rPr>
        <w:t xml:space="preserve">We reviewed all digital patient charts to record relevant clinical data. Our institution is a level-one trauma-center specialized on management of pelvic injuries. Standard diagnostics at time of injury was a clinical evaluation and a </w:t>
      </w:r>
      <w:r w:rsidR="001A507C" w:rsidRPr="001A507C">
        <w:rPr>
          <w:rFonts w:ascii="Book Antiqua" w:eastAsia="Book Antiqua" w:hAnsi="Book Antiqua" w:cs="Book Antiqua"/>
          <w:color w:val="000000"/>
        </w:rPr>
        <w:t xml:space="preserve">computed tomography </w:t>
      </w:r>
      <w:r w:rsidR="001A507C">
        <w:rPr>
          <w:rFonts w:ascii="Book Antiqua" w:hAnsi="Book Antiqua" w:cs="Book Antiqua" w:hint="eastAsia"/>
          <w:color w:val="000000"/>
          <w:lang w:eastAsia="zh-CN"/>
        </w:rPr>
        <w:t>(</w:t>
      </w:r>
      <w:r>
        <w:rPr>
          <w:rFonts w:ascii="Book Antiqua" w:eastAsia="Book Antiqua" w:hAnsi="Book Antiqua" w:cs="Book Antiqua"/>
          <w:color w:val="000000"/>
        </w:rPr>
        <w:t>CT</w:t>
      </w:r>
      <w:r w:rsidR="001A507C">
        <w:rPr>
          <w:rFonts w:ascii="Book Antiqua" w:hAnsi="Book Antiqua" w:cs="Book Antiqua" w:hint="eastAsia"/>
          <w:color w:val="000000"/>
          <w:lang w:eastAsia="zh-CN"/>
        </w:rPr>
        <w:t>)</w:t>
      </w:r>
      <w:r>
        <w:rPr>
          <w:rFonts w:ascii="Book Antiqua" w:eastAsia="Book Antiqua" w:hAnsi="Book Antiqua" w:cs="Book Antiqua"/>
          <w:color w:val="000000"/>
        </w:rPr>
        <w:t xml:space="preserve"> scan of the pelvis. The initial degree of initial and postoperative dislocation was rated according to the Matta scoring system for evaluation of dislocation after acetabular fracture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{"citationID":"PuAdM10H","properties":{"formattedCitation":"\\super 8\\nosupersub{}","plainCitation":"8","noteIndex":0},"citationItems":[{"id":142,"uris":["http://zotero.org/users/local/QA4apqAk/items/MNXALDVG"],"uri":["http://zotero.org/users/local/QA4apqAk/items/MNXALDVG"],"itemData":{"id":142,"type":"article-journal","abstract":"The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8</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 was an indication for conservative treatment in cases with no relevant dislocation (less than 2</w:t>
      </w:r>
      <w:r w:rsidR="00AC1D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and no involvement of the dome area) measured in the initial CT scan. We recorded clinical parameter like treatment modality (operative </w:t>
      </w:r>
      <w:r w:rsidRPr="00AC1D0C">
        <w:rPr>
          <w:rFonts w:ascii="Book Antiqua" w:eastAsia="Book Antiqua" w:hAnsi="Book Antiqua" w:cs="Book Antiqua"/>
          <w:i/>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non-operative/fracture classification according to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/surgical approach) and compared mean values of the FJS between the groups.</w:t>
      </w:r>
    </w:p>
    <w:p w14:paraId="4673DECF" w14:textId="77777777" w:rsidR="00AC1D0C" w:rsidRDefault="00AC1D0C" w:rsidP="00AC1D0C">
      <w:pPr>
        <w:spacing w:line="360" w:lineRule="auto"/>
        <w:jc w:val="both"/>
        <w:rPr>
          <w:rFonts w:ascii="Book Antiqua" w:hAnsi="Book Antiqua" w:cs="Book Antiqua"/>
          <w:b/>
          <w:bCs/>
          <w:color w:val="000000"/>
          <w:lang w:eastAsia="zh-CN"/>
        </w:rPr>
      </w:pPr>
    </w:p>
    <w:p w14:paraId="66379080" w14:textId="77777777" w:rsidR="00A77B3E" w:rsidRPr="00AC1D0C" w:rsidRDefault="00464B5F" w:rsidP="00AC1D0C">
      <w:pPr>
        <w:spacing w:line="360" w:lineRule="auto"/>
        <w:jc w:val="both"/>
        <w:rPr>
          <w:i/>
        </w:rPr>
      </w:pPr>
      <w:r w:rsidRPr="00AC1D0C">
        <w:rPr>
          <w:rFonts w:ascii="Book Antiqua" w:eastAsia="Book Antiqua" w:hAnsi="Book Antiqua" w:cs="Book Antiqua"/>
          <w:b/>
          <w:bCs/>
          <w:i/>
          <w:color w:val="000000"/>
        </w:rPr>
        <w:t xml:space="preserve">Statistical </w:t>
      </w:r>
      <w:r w:rsidR="00AC1D0C" w:rsidRPr="00AC1D0C">
        <w:rPr>
          <w:rFonts w:ascii="Book Antiqua" w:eastAsia="Book Antiqua" w:hAnsi="Book Antiqua" w:cs="Book Antiqua"/>
          <w:b/>
          <w:bCs/>
          <w:i/>
          <w:color w:val="000000"/>
        </w:rPr>
        <w:t>analysis</w:t>
      </w:r>
    </w:p>
    <w:p w14:paraId="7CAF6E84" w14:textId="42BFEE2F" w:rsidR="00A77B3E" w:rsidRDefault="00464B5F">
      <w:pPr>
        <w:spacing w:line="360" w:lineRule="auto"/>
        <w:jc w:val="both"/>
      </w:pPr>
      <w:r>
        <w:rPr>
          <w:rFonts w:ascii="Book Antiqua" w:eastAsia="Book Antiqua" w:hAnsi="Book Antiqua" w:cs="Book Antiqua"/>
          <w:color w:val="000000"/>
        </w:rPr>
        <w:t xml:space="preserve">Statistical analysis was performed using the software package SPSS (Version 25, SPSS Inc, Chicago, </w:t>
      </w:r>
      <w:r w:rsidR="00E40D1D" w:rsidRPr="00E40D1D">
        <w:rPr>
          <w:rFonts w:ascii="Book Antiqua" w:eastAsia="Book Antiqua" w:hAnsi="Book Antiqua" w:cs="Book Antiqua"/>
          <w:color w:val="000000"/>
        </w:rPr>
        <w:t>IL,</w:t>
      </w:r>
      <w:r w:rsidR="00E40D1D">
        <w:rPr>
          <w:rFonts w:ascii="Book Antiqua" w:eastAsia="Book Antiqua" w:hAnsi="Book Antiqua" w:cs="Book Antiqua"/>
          <w:color w:val="000000"/>
        </w:rPr>
        <w:t xml:space="preserve"> </w:t>
      </w:r>
      <w:r w:rsidR="00E40D1D" w:rsidRPr="00E40D1D">
        <w:rPr>
          <w:rFonts w:ascii="Book Antiqua" w:eastAsia="Book Antiqua" w:hAnsi="Book Antiqua" w:cs="Book Antiqua"/>
          <w:color w:val="000000"/>
        </w:rPr>
        <w:t>United States</w:t>
      </w:r>
      <w:r>
        <w:rPr>
          <w:rFonts w:ascii="Book Antiqua" w:eastAsia="Book Antiqua" w:hAnsi="Book Antiqua" w:cs="Book Antiqua"/>
          <w:color w:val="000000"/>
        </w:rPr>
        <w:t xml:space="preserve">). The level of significance was defined at </w:t>
      </w:r>
      <w:r w:rsidR="00082D08" w:rsidRPr="00082D08">
        <w:rPr>
          <w:rFonts w:ascii="Book Antiqua" w:eastAsia="Book Antiqua" w:hAnsi="Book Antiqua" w:cs="Book Antiqua"/>
          <w:i/>
          <w:color w:val="000000"/>
        </w:rPr>
        <w:t>P</w:t>
      </w:r>
      <w:r w:rsidR="00082D08">
        <w:rPr>
          <w:rFonts w:ascii="Book Antiqua" w:eastAsia="Book Antiqua" w:hAnsi="Book Antiqua" w:cs="Book Antiqua"/>
          <w:color w:val="000000"/>
        </w:rPr>
        <w:t xml:space="preserve"> </w:t>
      </w:r>
      <w:r>
        <w:rPr>
          <w:rFonts w:ascii="Book Antiqua" w:eastAsia="Book Antiqua" w:hAnsi="Book Antiqua" w:cs="Book Antiqua"/>
          <w:color w:val="000000"/>
        </w:rPr>
        <w:t xml:space="preserve">&lt; 0.05 for all tests. Analyses were exploratory, thus no adjustments of </w:t>
      </w:r>
      <w:r w:rsidR="00082D08" w:rsidRPr="00082D08">
        <w:rPr>
          <w:rFonts w:ascii="Book Antiqua" w:eastAsia="Book Antiqua" w:hAnsi="Book Antiqua" w:cs="Book Antiqua"/>
          <w:i/>
          <w:color w:val="000000"/>
        </w:rPr>
        <w:t>P</w:t>
      </w:r>
      <w:r w:rsidR="00082D08">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for multiple testing were conducted. Questionnaires were computed in accordance with guidelines. If not stated in questionnaire guidelines, missing values were not imputed. </w:t>
      </w:r>
    </w:p>
    <w:p w14:paraId="712FACFF" w14:textId="6447DFB2" w:rsidR="00A77B3E" w:rsidRDefault="00464B5F" w:rsidP="00135651">
      <w:pPr>
        <w:spacing w:line="360" w:lineRule="auto"/>
        <w:ind w:firstLineChars="100" w:firstLine="240"/>
        <w:jc w:val="both"/>
      </w:pPr>
      <w:r>
        <w:rPr>
          <w:rFonts w:ascii="Book Antiqua" w:eastAsia="Book Antiqua" w:hAnsi="Book Antiqua" w:cs="Book Antiqua"/>
          <w:color w:val="000000"/>
        </w:rPr>
        <w:t xml:space="preserve">Descriptive data </w:t>
      </w:r>
      <w:r w:rsidR="005E175C">
        <w:rPr>
          <w:rFonts w:ascii="Book Antiqua" w:eastAsia="Book Antiqua" w:hAnsi="Book Antiqua" w:cs="Book Antiqua"/>
          <w:color w:val="000000"/>
        </w:rPr>
        <w:t>were</w:t>
      </w:r>
      <w:r>
        <w:rPr>
          <w:rFonts w:ascii="Book Antiqua" w:eastAsia="Book Antiqua" w:hAnsi="Book Antiqua" w:cs="Book Antiqua"/>
          <w:color w:val="000000"/>
        </w:rPr>
        <w:t xml:space="preserve"> given as frequencies (</w:t>
      </w:r>
      <w:r w:rsidRPr="00135651">
        <w:rPr>
          <w:rFonts w:ascii="Book Antiqua" w:eastAsia="Book Antiqua" w:hAnsi="Book Antiqua" w:cs="Book Antiqua"/>
          <w:i/>
          <w:color w:val="000000"/>
        </w:rPr>
        <w:t>n</w:t>
      </w:r>
      <w:r>
        <w:rPr>
          <w:rFonts w:ascii="Book Antiqua" w:eastAsia="Book Antiqua" w:hAnsi="Book Antiqua" w:cs="Book Antiqua"/>
          <w:color w:val="000000"/>
        </w:rPr>
        <w:t>) and percentage (%) for categorical variables, mean</w:t>
      </w:r>
      <w:r w:rsidR="00135651">
        <w:rPr>
          <w:rFonts w:ascii="Book Antiqua" w:hAnsi="Book Antiqua" w:cs="Book Antiqua" w:hint="eastAsia"/>
          <w:color w:val="000000"/>
          <w:lang w:eastAsia="zh-CN"/>
        </w:rPr>
        <w:t xml:space="preserve"> </w:t>
      </w:r>
      <w:r w:rsidR="00135651" w:rsidRPr="00135651">
        <w:rPr>
          <w:rFonts w:ascii="Book Antiqua" w:eastAsia="宋体" w:hAnsi="Book Antiqua" w:cs="Book Antiqua"/>
          <w:color w:val="000000"/>
          <w:lang w:eastAsia="zh-CN"/>
        </w:rPr>
        <w:t>±</w:t>
      </w:r>
      <w:r w:rsidR="00135651">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or median and interquartile range (IQR) for continuous variables.</w:t>
      </w:r>
    </w:p>
    <w:p w14:paraId="4D0C93F8" w14:textId="77777777" w:rsidR="00A77B3E" w:rsidRDefault="00A77B3E">
      <w:pPr>
        <w:spacing w:line="360" w:lineRule="auto"/>
        <w:jc w:val="both"/>
      </w:pPr>
    </w:p>
    <w:p w14:paraId="76956922" w14:textId="77777777" w:rsidR="00A77B3E" w:rsidRPr="00E66E4D" w:rsidRDefault="00464B5F">
      <w:pPr>
        <w:spacing w:line="360" w:lineRule="auto"/>
        <w:jc w:val="both"/>
        <w:rPr>
          <w:i/>
        </w:rPr>
      </w:pPr>
      <w:r w:rsidRPr="00E66E4D">
        <w:rPr>
          <w:rFonts w:ascii="Book Antiqua" w:eastAsia="Book Antiqua" w:hAnsi="Book Antiqua" w:cs="Book Antiqua"/>
          <w:b/>
          <w:bCs/>
          <w:i/>
          <w:color w:val="000000"/>
        </w:rPr>
        <w:t>Methodological testing according to the COSMIN checklist</w:t>
      </w:r>
    </w:p>
    <w:p w14:paraId="5CEF2799" w14:textId="70F1C991" w:rsidR="00A77B3E" w:rsidRDefault="00C518A1">
      <w:pPr>
        <w:spacing w:line="360" w:lineRule="auto"/>
        <w:jc w:val="both"/>
      </w:pPr>
      <w:r>
        <w:rPr>
          <w:rFonts w:ascii="Book Antiqua" w:eastAsia="Book Antiqua" w:hAnsi="Book Antiqua" w:cs="Book Antiqua"/>
          <w:color w:val="000000"/>
        </w:rPr>
        <w:t>W</w:t>
      </w:r>
      <w:r w:rsidR="00464B5F">
        <w:rPr>
          <w:rFonts w:ascii="Book Antiqua" w:eastAsia="Book Antiqua" w:hAnsi="Book Antiqua" w:cs="Book Antiqua"/>
          <w:color w:val="000000"/>
        </w:rPr>
        <w:t>e evaluated the reliability (internal consistency, test-retest reliability, and measurement error), validity (convergent validity and clinical validity), responsiveness to change, and interpretability (data completeness and response distribution) of the FJS</w:t>
      </w:r>
      <w:r w:rsidRPr="00C518A1">
        <w:rPr>
          <w:rFonts w:ascii="Book Antiqua" w:eastAsia="Book Antiqua" w:hAnsi="Book Antiqua" w:cs="Book Antiqua"/>
          <w:color w:val="000000"/>
        </w:rPr>
        <w:t xml:space="preserve"> </w:t>
      </w:r>
      <w:r w:rsidR="00110F62">
        <w:rPr>
          <w:rFonts w:ascii="Book Antiqua" w:eastAsia="Book Antiqua" w:hAnsi="Book Antiqua" w:cs="Book Antiqua"/>
          <w:color w:val="000000"/>
        </w:rPr>
        <w:t>based on the COSMIN checklist</w:t>
      </w:r>
      <w:r w:rsidR="00464B5F">
        <w:rPr>
          <w:rFonts w:ascii="Book Antiqua" w:eastAsia="Book Antiqua" w:hAnsi="Book Antiqua" w:cs="Book Antiqua"/>
          <w:color w:val="000000"/>
        </w:rPr>
        <w:t>.</w:t>
      </w:r>
    </w:p>
    <w:p w14:paraId="5DCF084C" w14:textId="77777777" w:rsidR="00E66E4D" w:rsidRDefault="00E66E4D">
      <w:pPr>
        <w:spacing w:line="360" w:lineRule="auto"/>
        <w:jc w:val="both"/>
        <w:rPr>
          <w:rFonts w:ascii="Book Antiqua" w:hAnsi="Book Antiqua" w:cs="Book Antiqua"/>
          <w:b/>
          <w:bCs/>
          <w:color w:val="000000"/>
          <w:lang w:eastAsia="zh-CN"/>
        </w:rPr>
      </w:pPr>
    </w:p>
    <w:p w14:paraId="6A7E4524" w14:textId="77777777" w:rsidR="00145257" w:rsidRPr="00145257" w:rsidRDefault="00E66E4D">
      <w:pPr>
        <w:spacing w:line="360" w:lineRule="auto"/>
        <w:jc w:val="both"/>
        <w:rPr>
          <w:rFonts w:ascii="Book Antiqua" w:hAnsi="Book Antiqua"/>
          <w:b/>
          <w:i/>
          <w:lang w:eastAsia="zh-CN"/>
        </w:rPr>
      </w:pPr>
      <w:r w:rsidRPr="00145257">
        <w:rPr>
          <w:rFonts w:ascii="Book Antiqua" w:eastAsia="Book Antiqua" w:hAnsi="Book Antiqua" w:cs="Book Antiqua"/>
          <w:b/>
          <w:bCs/>
          <w:i/>
          <w:color w:val="000000"/>
        </w:rPr>
        <w:t>Reliability</w:t>
      </w:r>
    </w:p>
    <w:p w14:paraId="092F67BF" w14:textId="5FE6940B" w:rsidR="00A77B3E" w:rsidRDefault="00464B5F">
      <w:pPr>
        <w:spacing w:line="360" w:lineRule="auto"/>
        <w:jc w:val="both"/>
      </w:pPr>
      <w:r>
        <w:rPr>
          <w:rFonts w:ascii="Book Antiqua" w:eastAsia="Book Antiqua" w:hAnsi="Book Antiqua" w:cs="Book Antiqua"/>
          <w:color w:val="000000"/>
        </w:rPr>
        <w:t>Reliability is the degree to which the measurement is free from measurement error</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{"citationID":"I83O6KZl","properties":{"formattedCitation":"\\super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7AABD2EA" w14:textId="77777777" w:rsidR="00E66E4D" w:rsidRDefault="00E66E4D" w:rsidP="00E66E4D">
      <w:pPr>
        <w:spacing w:line="360" w:lineRule="auto"/>
        <w:jc w:val="both"/>
        <w:rPr>
          <w:rFonts w:ascii="Book Antiqua" w:hAnsi="Book Antiqua" w:cs="Book Antiqua"/>
          <w:b/>
          <w:bCs/>
          <w:color w:val="000000"/>
          <w:lang w:eastAsia="zh-CN"/>
        </w:rPr>
      </w:pPr>
    </w:p>
    <w:p w14:paraId="2CC7549E" w14:textId="77777777" w:rsidR="00145257" w:rsidRPr="00145257" w:rsidRDefault="00464B5F">
      <w:pPr>
        <w:spacing w:line="360" w:lineRule="auto"/>
        <w:jc w:val="both"/>
        <w:rPr>
          <w:rFonts w:ascii="Book Antiqua" w:hAnsi="Book Antiqua" w:cs="Book Antiqua"/>
          <w:b/>
          <w:bCs/>
          <w:i/>
          <w:color w:val="000000"/>
          <w:lang w:eastAsia="zh-CN"/>
        </w:rPr>
      </w:pPr>
      <w:r w:rsidRPr="00145257">
        <w:rPr>
          <w:rFonts w:ascii="Book Antiqua" w:eastAsia="Book Antiqua" w:hAnsi="Book Antiqua" w:cs="Book Antiqua"/>
          <w:b/>
          <w:bCs/>
          <w:i/>
          <w:color w:val="000000"/>
        </w:rPr>
        <w:t>Internal consistency</w:t>
      </w:r>
    </w:p>
    <w:p w14:paraId="760603BE" w14:textId="582D677E" w:rsidR="00A77B3E" w:rsidRDefault="00464B5F">
      <w:pPr>
        <w:spacing w:line="360" w:lineRule="auto"/>
        <w:jc w:val="both"/>
      </w:pPr>
      <w:r>
        <w:rPr>
          <w:rFonts w:ascii="Book Antiqua" w:eastAsia="Book Antiqua" w:hAnsi="Book Antiqua" w:cs="Book Antiqua"/>
          <w:color w:val="000000"/>
        </w:rPr>
        <w:t>Internal consistency is the degree of interrelatedness among items</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{"citationID":"tZiQ7nGh","properties":{"formattedCitation":"\\super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Su</w:t>
      </w:r>
      <w:r w:rsidR="00C518A1">
        <w:rPr>
          <w:rFonts w:ascii="Book Antiqua" w:eastAsia="Book Antiqua" w:hAnsi="Book Antiqua" w:cs="Book Antiqua"/>
          <w:color w:val="000000"/>
        </w:rPr>
        <w:t xml:space="preserve">fficient internal consistency </w:t>
      </w:r>
      <w:proofErr w:type="spellStart"/>
      <w:r w:rsidR="00C518A1">
        <w:rPr>
          <w:rFonts w:ascii="Book Antiqua" w:eastAsia="Book Antiqua" w:hAnsi="Book Antiqua" w:cs="Book Antiqua"/>
          <w:color w:val="000000"/>
        </w:rPr>
        <w:t>i</w:t>
      </w:r>
      <w:r w:rsidR="00F15ACA">
        <w:rPr>
          <w:rFonts w:ascii="Book Antiqua" w:eastAsia="Book Antiqua" w:hAnsi="Book Antiqua" w:cs="Book Antiqua"/>
          <w:color w:val="000000"/>
        </w:rPr>
        <w:t>ukr</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assumed for a Cronbach’s α ≥ 0.70</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{"citationID":"YtCnyI9D","properties":{"formattedCitation":"\\super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15</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5FCA81C3" w14:textId="77777777" w:rsidR="00E66E4D" w:rsidRDefault="00E66E4D" w:rsidP="00E66E4D">
      <w:pPr>
        <w:spacing w:line="360" w:lineRule="auto"/>
        <w:jc w:val="both"/>
        <w:rPr>
          <w:rFonts w:ascii="Book Antiqua" w:hAnsi="Book Antiqua" w:cs="Book Antiqua"/>
          <w:b/>
          <w:bCs/>
          <w:color w:val="000000"/>
          <w:lang w:eastAsia="zh-CN"/>
        </w:rPr>
      </w:pPr>
    </w:p>
    <w:p w14:paraId="76E10BD9" w14:textId="77777777" w:rsidR="00145257" w:rsidRPr="00145257" w:rsidRDefault="00464B5F">
      <w:pPr>
        <w:spacing w:line="360" w:lineRule="auto"/>
        <w:jc w:val="both"/>
        <w:rPr>
          <w:rFonts w:ascii="Book Antiqua" w:hAnsi="Book Antiqua" w:cs="Book Antiqua"/>
          <w:b/>
          <w:bCs/>
          <w:i/>
          <w:color w:val="000000"/>
          <w:lang w:eastAsia="zh-CN"/>
        </w:rPr>
      </w:pPr>
      <w:r w:rsidRPr="00145257">
        <w:rPr>
          <w:rFonts w:ascii="Book Antiqua" w:eastAsia="Book Antiqua" w:hAnsi="Book Antiqua" w:cs="Book Antiqua"/>
          <w:b/>
          <w:bCs/>
          <w:i/>
          <w:color w:val="000000"/>
        </w:rPr>
        <w:t>Test–retest reliability</w:t>
      </w:r>
    </w:p>
    <w:p w14:paraId="32908742" w14:textId="21068A87" w:rsidR="00A77B3E" w:rsidRDefault="00464B5F">
      <w:pPr>
        <w:spacing w:line="360" w:lineRule="auto"/>
        <w:jc w:val="both"/>
      </w:pPr>
      <w:r>
        <w:rPr>
          <w:rFonts w:ascii="Book Antiqua" w:eastAsia="Book Antiqua" w:hAnsi="Book Antiqua" w:cs="Book Antiqua"/>
          <w:color w:val="000000"/>
        </w:rPr>
        <w:t xml:space="preserve">Test–retest reliability </w:t>
      </w:r>
      <w:r w:rsidR="00555322">
        <w:rPr>
          <w:rFonts w:ascii="Book Antiqua" w:eastAsia="Book Antiqua" w:hAnsi="Book Antiqua" w:cs="Book Antiqua"/>
          <w:color w:val="000000"/>
        </w:rPr>
        <w:t>is the degree of which an outcome</w:t>
      </w:r>
      <w:r>
        <w:rPr>
          <w:rFonts w:ascii="Book Antiqua" w:eastAsia="Book Antiqua" w:hAnsi="Book Antiqua" w:cs="Book Antiqua"/>
          <w:color w:val="000000"/>
        </w:rPr>
        <w:t xml:space="preserve"> of the same patient in the same health condition remain</w:t>
      </w:r>
      <w:r w:rsidR="00555322">
        <w:rPr>
          <w:rFonts w:ascii="Book Antiqua" w:eastAsia="Book Antiqua" w:hAnsi="Book Antiqua" w:cs="Book Antiqua"/>
          <w:color w:val="000000"/>
        </w:rPr>
        <w:t>s</w:t>
      </w:r>
      <w:r>
        <w:rPr>
          <w:rFonts w:ascii="Book Antiqua" w:eastAsia="Book Antiqua" w:hAnsi="Book Antiqua" w:cs="Book Antiqua"/>
          <w:color w:val="000000"/>
        </w:rPr>
        <w:t xml:space="preserve"> unchanged over time. As the time interval between first and second testing w</w:t>
      </w:r>
      <w:r w:rsidR="00E66E4D">
        <w:rPr>
          <w:rFonts w:ascii="Book Antiqua" w:eastAsia="Book Antiqua" w:hAnsi="Book Antiqua" w:cs="Book Antiqua"/>
          <w:color w:val="000000"/>
        </w:rPr>
        <w:t>ere heterogeneous (0 to 385 d</w:t>
      </w:r>
      <w:r>
        <w:rPr>
          <w:rFonts w:ascii="Book Antiqua" w:eastAsia="Book Antiqua" w:hAnsi="Book Antiqua" w:cs="Book Antiqua"/>
          <w:color w:val="000000"/>
        </w:rPr>
        <w:t xml:space="preserve">), </w:t>
      </w:r>
      <w:bookmarkStart w:id="75" w:name="OLE_LINK21"/>
      <w:bookmarkStart w:id="76" w:name="OLE_LINK22"/>
      <w:r>
        <w:rPr>
          <w:rFonts w:ascii="Book Antiqua" w:eastAsia="Book Antiqua" w:hAnsi="Book Antiqua" w:cs="Book Antiqua"/>
          <w:color w:val="000000"/>
        </w:rPr>
        <w:t>intraclass correlation coefficient</w:t>
      </w:r>
      <w:bookmarkEnd w:id="75"/>
      <w:bookmarkEnd w:id="76"/>
      <w:r>
        <w:rPr>
          <w:rFonts w:ascii="Book Antiqua" w:eastAsia="Book Antiqua" w:hAnsi="Book Antiqua" w:cs="Book Antiqua"/>
          <w:color w:val="000000"/>
        </w:rPr>
        <w:t xml:space="preserve"> (ICC, </w:t>
      </w:r>
      <w:r>
        <w:rPr>
          <w:rFonts w:ascii="Book Antiqua" w:eastAsia="Book Antiqua" w:hAnsi="Book Antiqua" w:cs="Book Antiqua"/>
          <w:color w:val="000000"/>
        </w:rPr>
        <w:lastRenderedPageBreak/>
        <w:t xml:space="preserve">two-way mixed model with absolute agreement, average measures) and its 95%CI was </w:t>
      </w:r>
      <w:r w:rsidR="00555322">
        <w:rPr>
          <w:rFonts w:ascii="Book Antiqua" w:eastAsia="Book Antiqua" w:hAnsi="Book Antiqua" w:cs="Book Antiqua"/>
          <w:color w:val="000000"/>
        </w:rPr>
        <w:t>estimated</w:t>
      </w:r>
      <w:r>
        <w:rPr>
          <w:rFonts w:ascii="Book Antiqua" w:eastAsia="Book Antiqua" w:hAnsi="Book Antiqua" w:cs="Book Antiqua"/>
          <w:color w:val="000000"/>
        </w:rPr>
        <w:t xml:space="preserve"> indicating an unchanged </w:t>
      </w:r>
      <w:r w:rsidR="00555322">
        <w:rPr>
          <w:rFonts w:ascii="Book Antiqua" w:eastAsia="Book Antiqua" w:hAnsi="Book Antiqua" w:cs="Book Antiqua"/>
          <w:color w:val="000000"/>
        </w:rPr>
        <w:t xml:space="preserve">health </w:t>
      </w:r>
      <w:r>
        <w:rPr>
          <w:rFonts w:ascii="Book Antiqua" w:eastAsia="Book Antiqua" w:hAnsi="Book Antiqua" w:cs="Book Antiqua"/>
          <w:color w:val="000000"/>
        </w:rPr>
        <w:t xml:space="preserve">condition </w:t>
      </w:r>
      <w:r w:rsidR="00555322">
        <w:rPr>
          <w:rFonts w:ascii="Book Antiqua" w:eastAsia="Book Antiqua" w:hAnsi="Book Antiqua" w:cs="Book Antiqua"/>
          <w:color w:val="000000"/>
        </w:rPr>
        <w:t>regarding</w:t>
      </w:r>
      <w:r>
        <w:rPr>
          <w:rFonts w:ascii="Book Antiqua" w:eastAsia="Book Antiqua" w:hAnsi="Book Antiqua" w:cs="Book Antiqua"/>
          <w:color w:val="000000"/>
        </w:rPr>
        <w:t xml:space="preserve"> their hip </w:t>
      </w:r>
      <w:r w:rsidR="00555322">
        <w:rPr>
          <w:rFonts w:ascii="Book Antiqua" w:eastAsia="Book Antiqua" w:hAnsi="Book Antiqua" w:cs="Book Antiqua"/>
          <w:color w:val="000000"/>
        </w:rPr>
        <w:t>function compared to the primary evaluation</w:t>
      </w:r>
      <w:r>
        <w:rPr>
          <w:rFonts w:ascii="Book Antiqua" w:eastAsia="Book Antiqua" w:hAnsi="Book Antiqua" w:cs="Book Antiqua"/>
          <w:color w:val="000000"/>
        </w:rPr>
        <w:t xml:space="preserve">. For an ICC ≥ 0.70 sufficient test-retest reliability was assumed. </w:t>
      </w:r>
    </w:p>
    <w:p w14:paraId="6DA1B987" w14:textId="77777777" w:rsidR="00E66E4D" w:rsidRDefault="00E66E4D">
      <w:pPr>
        <w:spacing w:line="360" w:lineRule="auto"/>
        <w:jc w:val="both"/>
        <w:rPr>
          <w:rFonts w:ascii="Book Antiqua" w:hAnsi="Book Antiqua" w:cs="Book Antiqua"/>
          <w:b/>
          <w:bCs/>
          <w:color w:val="000000"/>
          <w:lang w:eastAsia="zh-CN"/>
        </w:rPr>
      </w:pPr>
    </w:p>
    <w:p w14:paraId="705765FA" w14:textId="77777777" w:rsidR="00145257" w:rsidRPr="00145257" w:rsidRDefault="00464B5F">
      <w:pPr>
        <w:spacing w:line="360" w:lineRule="auto"/>
        <w:jc w:val="both"/>
        <w:rPr>
          <w:rFonts w:ascii="Book Antiqua" w:hAnsi="Book Antiqua"/>
          <w:b/>
          <w:i/>
          <w:lang w:eastAsia="zh-CN"/>
        </w:rPr>
      </w:pPr>
      <w:r w:rsidRPr="00145257">
        <w:rPr>
          <w:rFonts w:ascii="Book Antiqua" w:eastAsia="Book Antiqua" w:hAnsi="Book Antiqua" w:cs="Book Antiqua"/>
          <w:b/>
          <w:bCs/>
          <w:i/>
          <w:color w:val="000000"/>
        </w:rPr>
        <w:t>Measurement error</w:t>
      </w:r>
    </w:p>
    <w:p w14:paraId="63F0246D" w14:textId="70D46E60" w:rsidR="00A77B3E" w:rsidRPr="001B2086" w:rsidRDefault="00464B5F">
      <w:pPr>
        <w:spacing w:line="360" w:lineRule="auto"/>
        <w:jc w:val="both"/>
        <w:rPr>
          <w:rFonts w:ascii="Book Antiqua" w:hAnsi="Book Antiqua"/>
        </w:rPr>
      </w:pPr>
      <w:r>
        <w:rPr>
          <w:rFonts w:ascii="Book Antiqua" w:eastAsia="Book Antiqua" w:hAnsi="Book Antiqua" w:cs="Book Antiqua"/>
          <w:color w:val="000000"/>
        </w:rPr>
        <w:t>The measurement error is the systematic and random error of a patient’s score that is not attributed to true changes in the construct to be measured</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{"citationID":"NUgXN7pq","properties":{"formattedCitation":"\\super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For patients indicating no change in the condition of their hip joint, </w:t>
      </w:r>
      <w:bookmarkStart w:id="77" w:name="OLE_LINK58"/>
      <w:bookmarkStart w:id="78" w:name="OLE_LINK59"/>
      <w:r>
        <w:rPr>
          <w:rFonts w:ascii="Book Antiqua" w:eastAsia="Book Antiqua" w:hAnsi="Book Antiqua" w:cs="Book Antiqua"/>
          <w:color w:val="000000"/>
        </w:rPr>
        <w:t>standard error of measurement</w:t>
      </w:r>
      <w:bookmarkEnd w:id="77"/>
      <w:bookmarkEnd w:id="78"/>
      <w:r>
        <w:rPr>
          <w:rFonts w:ascii="Book Antiqua" w:eastAsia="Book Antiqua" w:hAnsi="Book Antiqua" w:cs="Book Antiqua"/>
          <w:color w:val="000000"/>
        </w:rPr>
        <w:t xml:space="preserve"> (SEM) and smallest detectable change (SDC) were computed to estimate how much a score needs to change to be sure that a true change has occurred (sensitivity to change). SEM was computed by multiplying the standard deviation (SD, all assessments of patients with unchanged condition) by the square root of 1 minus reliability </w:t>
      </w:r>
      <w:r w:rsidRPr="001B2086">
        <w:rPr>
          <w:rFonts w:ascii="Book Antiqua" w:eastAsia="Book Antiqua" w:hAnsi="Book Antiqua" w:cs="Book Antiqua"/>
          <w:color w:val="000000"/>
        </w:rPr>
        <w:t xml:space="preserve">(ICC): </w:t>
      </w:r>
      <m:oMath>
        <m:r>
          <m:rPr>
            <m:sty m:val="p"/>
          </m:rPr>
          <w:rPr>
            <w:rFonts w:ascii="Cambria Math" w:hAnsi="Cambria Math"/>
            <w:lang w:val="en-GB"/>
          </w:rPr>
          <m:t>SD</m:t>
        </m:r>
        <m:r>
          <w:rPr>
            <w:rFonts w:ascii="Cambria Math" w:hAnsi="Cambria Math"/>
            <w:lang w:val="en-GB"/>
          </w:rPr>
          <m:t xml:space="preserve"> </m:t>
        </m:r>
        <m:r>
          <m:rPr>
            <m:sty m:val="p"/>
          </m:rPr>
          <w:rPr>
            <w:rFonts w:ascii="Cambria Math" w:hAnsi="Cambria Math"/>
            <w:lang w:val="en-GB"/>
          </w:rPr>
          <m:t xml:space="preserve">× </m:t>
        </m:r>
        <m:rad>
          <m:radPr>
            <m:degHide m:val="1"/>
            <m:ctrlPr>
              <w:rPr>
                <w:rFonts w:ascii="Cambria Math" w:hAnsi="Cambria Math"/>
                <w:lang w:val="en-GB"/>
              </w:rPr>
            </m:ctrlPr>
          </m:radPr>
          <m:deg/>
          <m:e>
            <m:r>
              <m:rPr>
                <m:sty m:val="p"/>
              </m:rPr>
              <w:rPr>
                <w:rFonts w:ascii="Cambria Math" w:hAnsi="Cambria Math"/>
                <w:lang w:val="en-GB"/>
              </w:rPr>
              <m:t>1-ICC</m:t>
            </m:r>
          </m:e>
        </m:rad>
      </m:oMath>
      <w:r w:rsidRPr="001B2086">
        <w:rPr>
          <w:rFonts w:ascii="Book Antiqua" w:eastAsia="Book Antiqua" w:hAnsi="Book Antiqua" w:cs="Book Antiqua"/>
          <w:color w:val="000000"/>
        </w:rPr>
        <w:t xml:space="preserve">. SDC was computed </w:t>
      </w:r>
      <w:r w:rsidR="00A61A15" w:rsidRPr="001B2086">
        <w:rPr>
          <w:rFonts w:ascii="Book Antiqua" w:eastAsia="Book Antiqua" w:hAnsi="Book Antiqua" w:cs="Book Antiqua"/>
          <w:color w:val="000000"/>
        </w:rPr>
        <w:t>by</w:t>
      </w:r>
      <w:r w:rsidR="00100035">
        <w:rPr>
          <w:rFonts w:ascii="Book Antiqua" w:hAnsi="Book Antiqua" w:cs="Book Antiqua" w:hint="eastAsia"/>
          <w:color w:val="000000"/>
          <w:lang w:eastAsia="zh-CN"/>
        </w:rPr>
        <w:t xml:space="preserve"> </w:t>
      </w:r>
      <m:oMath>
        <m:r>
          <m:rPr>
            <m:sty m:val="p"/>
          </m:rPr>
          <w:rPr>
            <w:rFonts w:ascii="Cambria Math" w:hAnsi="Cambria Math"/>
            <w:lang w:val="en-GB"/>
          </w:rPr>
          <m:t>SEM</m:t>
        </m:r>
        <m:r>
          <w:rPr>
            <w:rFonts w:ascii="Cambria Math" w:hAnsi="Cambria Math"/>
            <w:lang w:val="en-GB"/>
          </w:rPr>
          <m:t xml:space="preserve"> × </m:t>
        </m:r>
        <m:r>
          <m:rPr>
            <m:sty m:val="p"/>
          </m:rPr>
          <w:rPr>
            <w:rFonts w:ascii="Cambria Math" w:hAnsi="Cambria Math"/>
            <w:lang w:val="en-GB"/>
          </w:rPr>
          <m:t xml:space="preserve">1.96 × </m:t>
        </m:r>
        <m:rad>
          <m:radPr>
            <m:degHide m:val="1"/>
            <m:ctrlPr>
              <w:rPr>
                <w:rFonts w:ascii="Cambria Math" w:hAnsi="Cambria Math"/>
                <w:lang w:val="en-GB"/>
              </w:rPr>
            </m:ctrlPr>
          </m:radPr>
          <m:deg/>
          <m:e>
            <m:r>
              <m:rPr>
                <m:sty m:val="p"/>
              </m:rPr>
              <w:rPr>
                <w:rFonts w:ascii="Cambria Math" w:hAnsi="Cambria Math"/>
                <w:lang w:val="en-GB"/>
              </w:rPr>
              <m:t>2</m:t>
            </m:r>
          </m:e>
        </m:rad>
      </m:oMath>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vertAlign w:val="superscript"/>
        </w:rPr>
        <w:fldChar w:fldCharType="begin"/>
      </w:r>
      <w:r w:rsidR="00A61A15">
        <w:rPr>
          <w:rFonts w:ascii="Book Antiqua" w:eastAsia="Book Antiqua" w:hAnsi="Book Antiqua" w:cs="Book Antiqua"/>
          <w:color w:val="000000"/>
          <w:vertAlign w:val="superscript"/>
        </w:rPr>
        <w:instrText xml:space="preserve"> ADDIN ZOTERO_ITEM CSL_CITATION {"citationID":"CJCiBGfM","properties":{"formattedCitation":"\\super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A61A15">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15</w:t>
      </w:r>
      <w:r w:rsidR="00A61A15">
        <w:rPr>
          <w:rFonts w:ascii="Book Antiqua" w:eastAsia="Book Antiqua" w:hAnsi="Book Antiqua" w:cs="Book Antiqua"/>
          <w:color w:val="000000"/>
          <w:vertAlign w:val="superscript"/>
        </w:rPr>
        <w:fldChar w:fldCharType="end"/>
      </w:r>
      <w:r w:rsidR="00A57436">
        <w:rPr>
          <w:rFonts w:ascii="Book Antiqua" w:hAnsi="Book Antiqua" w:cs="Book Antiqua" w:hint="eastAsia"/>
          <w:color w:val="000000"/>
          <w:vertAlign w:val="superscript"/>
          <w:lang w:eastAsia="zh-CN"/>
        </w:rPr>
        <w:t>]</w:t>
      </w:r>
      <w:r w:rsidRPr="001B2086">
        <w:rPr>
          <w:rFonts w:ascii="Book Antiqua" w:eastAsia="Book Antiqua" w:hAnsi="Book Antiqua" w:cs="Book Antiqua"/>
          <w:color w:val="000000"/>
        </w:rPr>
        <w:t>.</w:t>
      </w:r>
    </w:p>
    <w:p w14:paraId="0EB24623" w14:textId="77777777" w:rsidR="00CF6F2A" w:rsidRDefault="00CF6F2A">
      <w:pPr>
        <w:spacing w:line="360" w:lineRule="auto"/>
        <w:jc w:val="both"/>
        <w:rPr>
          <w:rFonts w:ascii="Book Antiqua" w:hAnsi="Book Antiqua" w:cs="Book Antiqua"/>
          <w:b/>
          <w:bCs/>
          <w:color w:val="000000"/>
          <w:lang w:eastAsia="zh-CN"/>
        </w:rPr>
      </w:pPr>
    </w:p>
    <w:p w14:paraId="68396CB4" w14:textId="77777777" w:rsidR="00A77B3E" w:rsidRPr="00CF6F2A" w:rsidRDefault="00CF6F2A">
      <w:pPr>
        <w:spacing w:line="360" w:lineRule="auto"/>
        <w:jc w:val="both"/>
        <w:rPr>
          <w:i/>
        </w:rPr>
      </w:pPr>
      <w:r w:rsidRPr="00CF6F2A">
        <w:rPr>
          <w:rFonts w:ascii="Book Antiqua" w:eastAsia="Book Antiqua" w:hAnsi="Book Antiqua" w:cs="Book Antiqua"/>
          <w:b/>
          <w:bCs/>
          <w:i/>
          <w:color w:val="000000"/>
        </w:rPr>
        <w:t>Validity</w:t>
      </w:r>
    </w:p>
    <w:p w14:paraId="7E0C13DF" w14:textId="421489F9" w:rsidR="00A77B3E" w:rsidRDefault="00464B5F">
      <w:pPr>
        <w:spacing w:line="360" w:lineRule="auto"/>
        <w:jc w:val="both"/>
      </w:pPr>
      <w:r>
        <w:rPr>
          <w:rFonts w:ascii="Book Antiqua" w:eastAsia="Book Antiqua" w:hAnsi="Book Antiqua" w:cs="Book Antiqua"/>
          <w:color w:val="000000"/>
        </w:rPr>
        <w:t>Validity is the degree to which a questionnaire measures the construct it purports to measure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{"citationID":"3hgplp2K","properties":{"formattedCitation":"\\super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555322">
        <w:rPr>
          <w:rFonts w:ascii="Book Antiqua" w:eastAsia="Book Antiqua" w:hAnsi="Book Antiqua" w:cs="Book Antiqua"/>
          <w:color w:val="000000"/>
        </w:rPr>
        <w:t>T</w:t>
      </w:r>
      <w:r>
        <w:rPr>
          <w:rFonts w:ascii="Book Antiqua" w:eastAsia="Book Antiqua" w:hAnsi="Book Antiqua" w:cs="Book Antiqua"/>
          <w:color w:val="000000"/>
        </w:rPr>
        <w:t>here is no gold standard in the measurement of PRO</w:t>
      </w:r>
      <w:r w:rsidR="00555322">
        <w:rPr>
          <w:rFonts w:ascii="Book Antiqua" w:eastAsia="Book Antiqua" w:hAnsi="Book Antiqua" w:cs="Book Antiqua"/>
          <w:color w:val="000000"/>
        </w:rPr>
        <w:t xml:space="preserve">. Therefore, we rated </w:t>
      </w:r>
      <w:r>
        <w:rPr>
          <w:rFonts w:ascii="Book Antiqua" w:eastAsia="Book Antiqua" w:hAnsi="Book Antiqua" w:cs="Book Antiqua"/>
          <w:color w:val="000000"/>
        </w:rPr>
        <w:t xml:space="preserve">validity as convergent and clinical validity. Convergent validity is the degree to which the score of the FJS is </w:t>
      </w:r>
      <w:r w:rsidR="00555322">
        <w:rPr>
          <w:rFonts w:ascii="Book Antiqua" w:eastAsia="Book Antiqua" w:hAnsi="Book Antiqua" w:cs="Book Antiqua"/>
          <w:color w:val="000000"/>
        </w:rPr>
        <w:t>comparable</w:t>
      </w:r>
      <w:r>
        <w:rPr>
          <w:rFonts w:ascii="Book Antiqua" w:eastAsia="Book Antiqua" w:hAnsi="Book Antiqua" w:cs="Book Antiqua"/>
          <w:color w:val="000000"/>
        </w:rPr>
        <w:t xml:space="preserve"> with the scores of</w:t>
      </w:r>
      <w:r w:rsidR="00555322">
        <w:rPr>
          <w:rFonts w:ascii="Book Antiqua" w:eastAsia="Book Antiqua" w:hAnsi="Book Antiqua" w:cs="Book Antiqua"/>
          <w:color w:val="000000"/>
        </w:rPr>
        <w:t xml:space="preserve"> other functional</w:t>
      </w:r>
      <w:r>
        <w:rPr>
          <w:rFonts w:ascii="Book Antiqua" w:eastAsia="Book Antiqua" w:hAnsi="Book Antiqua" w:cs="Book Antiqua"/>
          <w:color w:val="000000"/>
        </w:rPr>
        <w:t xml:space="preserve"> questionnaires (</w:t>
      </w:r>
      <w:r w:rsidR="00555322">
        <w:rPr>
          <w:rFonts w:ascii="Book Antiqua" w:eastAsia="Book Antiqua" w:hAnsi="Book Antiqua" w:cs="Book Antiqua"/>
          <w:color w:val="000000"/>
        </w:rPr>
        <w:t xml:space="preserve">TAS, </w:t>
      </w:r>
      <w:r>
        <w:rPr>
          <w:rFonts w:ascii="Book Antiqua" w:eastAsia="Book Antiqua" w:hAnsi="Book Antiqua" w:cs="Book Antiqua"/>
          <w:color w:val="000000"/>
        </w:rPr>
        <w:t>WOMAC-VAS, EQ Index, EQ VAS)</w:t>
      </w:r>
      <w:r w:rsidR="00555322">
        <w:rPr>
          <w:rFonts w:ascii="Book Antiqua" w:eastAsia="Book Antiqua" w:hAnsi="Book Antiqua" w:cs="Book Antiqua"/>
          <w:color w:val="000000"/>
        </w:rPr>
        <w:t>. We measured c</w:t>
      </w:r>
      <w:r>
        <w:rPr>
          <w:rFonts w:ascii="Book Antiqua" w:eastAsia="Book Antiqua" w:hAnsi="Book Antiqua" w:cs="Book Antiqua"/>
          <w:color w:val="000000"/>
        </w:rPr>
        <w:t xml:space="preserve">onvergent validity by Spearmen’s rank correlation. </w:t>
      </w:r>
      <w:r w:rsidR="00555322">
        <w:rPr>
          <w:rFonts w:ascii="Book Antiqua" w:eastAsia="Book Antiqua" w:hAnsi="Book Antiqua" w:cs="Book Antiqua"/>
          <w:color w:val="000000"/>
        </w:rPr>
        <w:t>With a c</w:t>
      </w:r>
      <w:r>
        <w:rPr>
          <w:rFonts w:ascii="Book Antiqua" w:eastAsia="Book Antiqua" w:hAnsi="Book Antiqua" w:cs="Book Antiqua"/>
          <w:color w:val="000000"/>
        </w:rPr>
        <w:t xml:space="preserve">orrelation coefficients </w:t>
      </w:r>
      <w:r>
        <w:rPr>
          <w:rFonts w:ascii="Book Antiqua" w:eastAsia="Book Antiqua" w:hAnsi="Book Antiqua" w:cs="Book Antiqua"/>
          <w:color w:val="000000"/>
          <w:szCs w:val="20"/>
        </w:rPr>
        <w:t>|</w:t>
      </w:r>
      <w:r>
        <w:rPr>
          <w:rFonts w:ascii="Book Antiqua" w:eastAsia="Book Antiqua" w:hAnsi="Book Antiqua" w:cs="Book Antiqua"/>
          <w:color w:val="000000"/>
        </w:rPr>
        <w:t>≥ 0.60</w:t>
      </w:r>
      <w:r>
        <w:rPr>
          <w:rFonts w:ascii="Book Antiqua" w:eastAsia="Book Antiqua" w:hAnsi="Book Antiqua" w:cs="Book Antiqua"/>
          <w:color w:val="000000"/>
          <w:szCs w:val="20"/>
        </w:rPr>
        <w:t>|</w:t>
      </w:r>
      <w:r w:rsidR="00110F62">
        <w:rPr>
          <w:rFonts w:ascii="Book Antiqua" w:eastAsia="Book Antiqua" w:hAnsi="Book Antiqua" w:cs="Book Antiqua"/>
          <w:color w:val="000000"/>
        </w:rPr>
        <w:t xml:space="preserve"> (absolute value),</w:t>
      </w:r>
      <w:r>
        <w:rPr>
          <w:rFonts w:ascii="Book Antiqua" w:eastAsia="Book Antiqua" w:hAnsi="Book Antiqua" w:cs="Book Antiqua"/>
          <w:color w:val="000000"/>
        </w:rPr>
        <w:t xml:space="preserve"> convergent validity</w:t>
      </w:r>
      <w:r w:rsidR="00555322">
        <w:rPr>
          <w:rFonts w:ascii="Book Antiqua" w:eastAsia="Book Antiqua" w:hAnsi="Book Antiqua" w:cs="Book Antiqua"/>
          <w:color w:val="000000"/>
        </w:rPr>
        <w:t xml:space="preserve"> was rated positive</w:t>
      </w:r>
      <w:r>
        <w:rPr>
          <w:rFonts w:ascii="Book Antiqua" w:eastAsia="Book Antiqua" w:hAnsi="Book Antiqua" w:cs="Book Antiqua"/>
          <w:color w:val="000000"/>
        </w:rPr>
        <w:t>. Based on previous results, it is expected that FJS correlates negative and high ≤ -0.60 with WOMAC-VAS subscales and WOMAC-VAS summary score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{"citationID":"lbPgVJTd","properties":{"formattedCitation":"\\super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correlates positive and moderate between 0.30 and 0.50 with EQ Index, EQ VAS and TAS</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{"citationID":"sWGsRSi7","properties":{"formattedCitation":"\\super 13\\nosupersub{}","plainCitation":"13","noteIndex":0},"citationItems":[{"id":152,"uris":["http://zotero.org/users/local/QA4apqAk/items/3IYLPNKV"],"uri":["http://zotero.org/users/local/QA4apqAk/items/3IYLPNKV"],"itemData":{"id":152,"type":"article-journal","abstract":"PURPOSE: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13</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sidR="00555322">
        <w:rPr>
          <w:rFonts w:ascii="Book Antiqua" w:eastAsia="Book Antiqua" w:hAnsi="Book Antiqua" w:cs="Book Antiqua"/>
          <w:color w:val="000000"/>
        </w:rPr>
        <w:t>. We measured c</w:t>
      </w:r>
      <w:r>
        <w:rPr>
          <w:rFonts w:ascii="Book Antiqua" w:eastAsia="Book Antiqua" w:hAnsi="Book Antiqua" w:cs="Book Antiqua"/>
          <w:color w:val="000000"/>
        </w:rPr>
        <w:t xml:space="preserve">linical validity of FJS by known-groups comparison using </w:t>
      </w:r>
      <w:r w:rsidRPr="00412D13">
        <w:rPr>
          <w:rFonts w:ascii="Book Antiqua" w:eastAsia="Book Antiqua" w:hAnsi="Book Antiqua" w:cs="Book Antiqua"/>
          <w:i/>
          <w:color w:val="000000"/>
        </w:rPr>
        <w:t>U</w:t>
      </w:r>
      <w:r>
        <w:rPr>
          <w:rFonts w:ascii="Book Antiqua" w:eastAsia="Book Antiqua" w:hAnsi="Book Antiqua" w:cs="Book Antiqua"/>
          <w:color w:val="000000"/>
        </w:rPr>
        <w:t xml:space="preserve">-test to assess differences between patients with and without articular displacement. Just the first FJS measurement of patients without total hip arthroplasty was assessed. </w:t>
      </w:r>
    </w:p>
    <w:p w14:paraId="30635417" w14:textId="77777777" w:rsidR="007F7829" w:rsidRDefault="007F7829" w:rsidP="007F7829">
      <w:pPr>
        <w:spacing w:line="360" w:lineRule="auto"/>
        <w:jc w:val="both"/>
        <w:rPr>
          <w:rFonts w:ascii="Book Antiqua" w:hAnsi="Book Antiqua" w:cs="Book Antiqua"/>
          <w:b/>
          <w:bCs/>
          <w:color w:val="000000"/>
          <w:lang w:eastAsia="zh-CN"/>
        </w:rPr>
      </w:pPr>
    </w:p>
    <w:p w14:paraId="6D9DB66B" w14:textId="77777777" w:rsidR="00A77B3E" w:rsidRPr="007F7829" w:rsidRDefault="00464B5F" w:rsidP="007F7829">
      <w:pPr>
        <w:spacing w:line="360" w:lineRule="auto"/>
        <w:jc w:val="both"/>
        <w:rPr>
          <w:i/>
        </w:rPr>
      </w:pPr>
      <w:r w:rsidRPr="007F7829">
        <w:rPr>
          <w:rFonts w:ascii="Book Antiqua" w:eastAsia="Book Antiqua" w:hAnsi="Book Antiqua" w:cs="Book Antiqua"/>
          <w:b/>
          <w:bCs/>
          <w:i/>
          <w:color w:val="000000"/>
        </w:rPr>
        <w:t xml:space="preserve">Responsiveness </w:t>
      </w:r>
    </w:p>
    <w:p w14:paraId="566C0C53" w14:textId="45B1AFA8" w:rsidR="00A77B3E" w:rsidRDefault="00464B5F">
      <w:pPr>
        <w:spacing w:line="360" w:lineRule="auto"/>
        <w:jc w:val="both"/>
      </w:pPr>
      <w:r>
        <w:rPr>
          <w:rFonts w:ascii="Book Antiqua" w:eastAsia="Book Antiqua" w:hAnsi="Book Antiqua" w:cs="Book Antiqua"/>
          <w:color w:val="000000"/>
        </w:rPr>
        <w:t>Responsiveness is the ability of a questionnaire to detect a change over time in the construct to be measured</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{"citationID":"Ps5ScALN","properties":{"formattedCitation":"\\super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Changes in FJS were assessed by Wilcoxon tests separate for patients indicating improvement, no change or worsening of hip functioning. Moreover, Cohan’s d </w:t>
      </w:r>
      <w:bookmarkStart w:id="79" w:name="OLE_LINK61"/>
      <w:bookmarkStart w:id="80" w:name="OLE_LINK62"/>
      <w:r>
        <w:rPr>
          <w:rFonts w:ascii="Book Antiqua" w:eastAsia="Book Antiqua" w:hAnsi="Book Antiqua" w:cs="Book Antiqua"/>
          <w:color w:val="000000"/>
        </w:rPr>
        <w:t>effect size</w:t>
      </w:r>
      <w:bookmarkEnd w:id="79"/>
      <w:bookmarkEnd w:id="80"/>
      <w:r>
        <w:rPr>
          <w:rFonts w:ascii="Book Antiqua" w:eastAsia="Book Antiqua" w:hAnsi="Book Antiqua" w:cs="Book Antiqua"/>
          <w:color w:val="000000"/>
        </w:rPr>
        <w:t xml:space="preserve"> (ES) was computed for each patient group by the mean difference between measurement at T1 and T2 by the SD of measurement A</w:t>
      </w:r>
      <w:r w:rsidRPr="007F7829">
        <w:rPr>
          <w:rFonts w:ascii="Book Antiqua" w:eastAsia="Book Antiqua" w:hAnsi="Book Antiqua" w:cs="Book Antiqua"/>
          <w:color w:val="000000"/>
        </w:rPr>
        <w:t>:</w:t>
      </w:r>
      <m:oMath>
        <m:r>
          <m:rPr>
            <m:sty m:val="p"/>
          </m:rPr>
          <w:rPr>
            <w:rFonts w:ascii="Cambria Math" w:hAnsi="Cambria Math"/>
            <w:lang w:val="en-GB"/>
          </w:rPr>
          <m:t xml:space="preserve"> mean difference measure A and B/SD measure A</m:t>
        </m:r>
      </m:oMath>
      <w:r w:rsidRPr="00250D54">
        <w:rPr>
          <w:rFonts w:ascii="Book Antiqua" w:eastAsia="Book Antiqua" w:hAnsi="Book Antiqua" w:cs="Book Antiqua"/>
          <w:color w:val="000000"/>
        </w:rPr>
        <w:t>.</w:t>
      </w:r>
      <w:r w:rsidRPr="007F7829">
        <w:rPr>
          <w:rFonts w:ascii="Book Antiqua" w:eastAsia="Book Antiqua" w:hAnsi="Book Antiqua" w:cs="Book Antiqua"/>
          <w:color w:val="000000"/>
        </w:rPr>
        <w:t xml:space="preserve"> ES va</w:t>
      </w:r>
      <w:r>
        <w:rPr>
          <w:rFonts w:ascii="Book Antiqua" w:eastAsia="Book Antiqua" w:hAnsi="Book Antiqua" w:cs="Book Antiqua"/>
          <w:color w:val="000000"/>
        </w:rPr>
        <w:t>lues of 0.2, 0.5, and 0.8 indicate smal</w:t>
      </w:r>
      <w:r w:rsidR="00094E99">
        <w:rPr>
          <w:rFonts w:ascii="Book Antiqua" w:eastAsia="Book Antiqua" w:hAnsi="Book Antiqua" w:cs="Book Antiqua"/>
          <w:color w:val="000000"/>
        </w:rPr>
        <w:t>l, moderate and large changes/</w:t>
      </w:r>
      <w:r>
        <w:rPr>
          <w:rFonts w:ascii="Book Antiqua" w:eastAsia="Book Antiqua" w:hAnsi="Book Antiqua" w:cs="Book Antiqua"/>
          <w:color w:val="000000"/>
        </w:rPr>
        <w:t>responsiveness</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{"citationID":"BHnKRHNn","properties":{"formattedCitation":"\\super 15,16\\nosupersub{}","plainCitation":"15,16","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15,16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To assess whether patients with different hip function development (improvement, no change, worsening) differed in baseline FJS, Kruskal-Wallis H-Test was computed.</w:t>
      </w:r>
    </w:p>
    <w:p w14:paraId="0A21A3E6" w14:textId="77777777" w:rsidR="00D97289" w:rsidRDefault="00D97289">
      <w:pPr>
        <w:spacing w:line="360" w:lineRule="auto"/>
        <w:jc w:val="both"/>
        <w:rPr>
          <w:rFonts w:ascii="Book Antiqua" w:hAnsi="Book Antiqua" w:cs="Book Antiqua"/>
          <w:b/>
          <w:bCs/>
          <w:i/>
          <w:color w:val="000000"/>
          <w:lang w:eastAsia="zh-CN"/>
        </w:rPr>
      </w:pPr>
    </w:p>
    <w:p w14:paraId="47995691" w14:textId="77777777" w:rsidR="00A77B3E" w:rsidRPr="00D97289" w:rsidRDefault="00464B5F">
      <w:pPr>
        <w:spacing w:line="360" w:lineRule="auto"/>
        <w:jc w:val="both"/>
        <w:rPr>
          <w:i/>
        </w:rPr>
      </w:pPr>
      <w:r w:rsidRPr="00D97289">
        <w:rPr>
          <w:rFonts w:ascii="Book Antiqua" w:eastAsia="Book Antiqua" w:hAnsi="Book Antiqua" w:cs="Book Antiqua"/>
          <w:b/>
          <w:bCs/>
          <w:i/>
          <w:color w:val="000000"/>
        </w:rPr>
        <w:t>Interpretability</w:t>
      </w:r>
    </w:p>
    <w:p w14:paraId="609AD25D" w14:textId="0D3AFB44" w:rsidR="00A77B3E" w:rsidRDefault="00464B5F">
      <w:pPr>
        <w:spacing w:line="360" w:lineRule="auto"/>
        <w:jc w:val="both"/>
      </w:pPr>
      <w:r>
        <w:rPr>
          <w:rFonts w:ascii="Book Antiqua" w:eastAsia="Book Antiqua" w:hAnsi="Book Antiqua" w:cs="Book Antiqua"/>
          <w:color w:val="000000"/>
        </w:rPr>
        <w:t>Interpretability is the ability to transform a qualitative effect into a quantitative score</w:t>
      </w:r>
      <w:r w:rsidR="00A57436">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A61A15">
        <w:rPr>
          <w:rFonts w:ascii="Book Antiqua" w:eastAsia="Book Antiqua" w:hAnsi="Book Antiqua" w:cs="Book Antiqua"/>
          <w:color w:val="000000"/>
        </w:rPr>
        <w:instrText xml:space="preserve"> ADDIN ZOTERO_ITEM CSL_CITATION {"citationID":"QTzowLw7","properties":{"formattedCitation":"\\super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A61A15">
        <w:rPr>
          <w:rFonts w:ascii="Book Antiqua" w:eastAsia="Book Antiqua" w:hAnsi="Book Antiqua" w:cs="Book Antiqua"/>
          <w:color w:val="000000"/>
        </w:rPr>
        <w:fldChar w:fldCharType="end"/>
      </w:r>
      <w:r w:rsidR="00A5743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Interpretability of the FJS was assessed by presenting data completeness and response distribution (floor and ceiling effects). </w:t>
      </w:r>
      <w:r w:rsidR="00555322">
        <w:rPr>
          <w:rFonts w:ascii="Book Antiqua" w:eastAsia="Book Antiqua" w:hAnsi="Book Antiqua" w:cs="Book Antiqua"/>
          <w:color w:val="000000"/>
        </w:rPr>
        <w:t>Extreme outcome values might not be represented adequately if more than 15% of patients score lowest (0) value (floor effect) or highest (100) (ceiling effect) levels in the FJS. In cases of floor- or ceiling effects, the questionnaire might also not be able to reflect changes</w:t>
      </w:r>
      <w:r w:rsidR="00555322">
        <w:rPr>
          <w:rFonts w:ascii="Book Antiqua" w:hAnsi="Book Antiqua" w:cs="Book Antiqua" w:hint="eastAsia"/>
          <w:color w:val="000000"/>
          <w:vertAlign w:val="superscript"/>
          <w:lang w:eastAsia="zh-CN"/>
        </w:rPr>
        <w:t>[</w:t>
      </w:r>
      <w:r w:rsidR="00555322">
        <w:rPr>
          <w:rFonts w:ascii="Book Antiqua" w:eastAsia="Book Antiqua" w:hAnsi="Book Antiqua" w:cs="Book Antiqua"/>
          <w:color w:val="000000"/>
        </w:rPr>
        <w:fldChar w:fldCharType="begin"/>
      </w:r>
      <w:r w:rsidR="00555322">
        <w:rPr>
          <w:rFonts w:ascii="Book Antiqua" w:eastAsia="Book Antiqua" w:hAnsi="Book Antiqua" w:cs="Book Antiqua"/>
          <w:color w:val="000000"/>
        </w:rPr>
        <w:instrText xml:space="preserve"> ADDIN ZOTERO_ITEM CSL_CITATION {"citationID":"10AGK6P6","properties":{"formattedCitation":"\\super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555322">
        <w:rPr>
          <w:rFonts w:ascii="Book Antiqua" w:eastAsia="Book Antiqua" w:hAnsi="Book Antiqua" w:cs="Book Antiqua"/>
          <w:color w:val="000000"/>
        </w:rPr>
        <w:fldChar w:fldCharType="separate"/>
      </w:r>
      <w:r w:rsidR="00555322" w:rsidRPr="00782942">
        <w:rPr>
          <w:rFonts w:ascii="Book Antiqua" w:hAnsi="Book Antiqua"/>
          <w:vertAlign w:val="superscript"/>
        </w:rPr>
        <w:t>15</w:t>
      </w:r>
      <w:r w:rsidR="00555322">
        <w:rPr>
          <w:rFonts w:ascii="Book Antiqua" w:eastAsia="Book Antiqua" w:hAnsi="Book Antiqua" w:cs="Book Antiqua"/>
          <w:color w:val="000000"/>
        </w:rPr>
        <w:fldChar w:fldCharType="end"/>
      </w:r>
      <w:r w:rsidR="00555322">
        <w:rPr>
          <w:rFonts w:ascii="Book Antiqua" w:hAnsi="Book Antiqua" w:cs="Book Antiqua" w:hint="eastAsia"/>
          <w:color w:val="000000"/>
          <w:vertAlign w:val="superscript"/>
          <w:lang w:eastAsia="zh-CN"/>
        </w:rPr>
        <w:t>]</w:t>
      </w:r>
      <w:r w:rsidR="00555322">
        <w:rPr>
          <w:rFonts w:ascii="Book Antiqua" w:eastAsia="Book Antiqua" w:hAnsi="Book Antiqua" w:cs="Book Antiqua"/>
          <w:color w:val="000000"/>
        </w:rPr>
        <w:t xml:space="preserve">. </w:t>
      </w:r>
    </w:p>
    <w:bookmarkEnd w:id="73"/>
    <w:bookmarkEnd w:id="74"/>
    <w:p w14:paraId="44BE76BC" w14:textId="77777777" w:rsidR="00A77B3E" w:rsidRDefault="00A77B3E">
      <w:pPr>
        <w:spacing w:line="360" w:lineRule="auto"/>
        <w:jc w:val="both"/>
        <w:rPr>
          <w:lang w:eastAsia="zh-CN"/>
        </w:rPr>
      </w:pPr>
    </w:p>
    <w:p w14:paraId="59DDD7C5" w14:textId="77777777" w:rsidR="00A77B3E" w:rsidRDefault="00464B5F">
      <w:pPr>
        <w:spacing w:line="360" w:lineRule="auto"/>
        <w:jc w:val="both"/>
      </w:pPr>
      <w:r>
        <w:rPr>
          <w:rFonts w:ascii="Book Antiqua" w:eastAsia="Book Antiqua" w:hAnsi="Book Antiqua" w:cs="Book Antiqua"/>
          <w:b/>
          <w:caps/>
          <w:color w:val="000000"/>
          <w:u w:val="single"/>
        </w:rPr>
        <w:t>RESULTS</w:t>
      </w:r>
    </w:p>
    <w:p w14:paraId="2EAB99BA" w14:textId="4EA30E0A" w:rsidR="00A77B3E" w:rsidRPr="00B37232" w:rsidRDefault="00464B5F" w:rsidP="00B37232">
      <w:pPr>
        <w:spacing w:line="360" w:lineRule="auto"/>
        <w:jc w:val="both"/>
        <w:rPr>
          <w:i/>
        </w:rPr>
      </w:pPr>
      <w:r w:rsidRPr="00B37232">
        <w:rPr>
          <w:rFonts w:ascii="Book Antiqua" w:eastAsia="Book Antiqua" w:hAnsi="Book Antiqua" w:cs="Book Antiqua"/>
          <w:b/>
          <w:bCs/>
          <w:i/>
          <w:color w:val="000000"/>
        </w:rPr>
        <w:t xml:space="preserve">Demographic data </w:t>
      </w:r>
    </w:p>
    <w:p w14:paraId="08354366" w14:textId="6D3100EB" w:rsidR="00A77B3E" w:rsidRDefault="00464B5F">
      <w:pPr>
        <w:spacing w:line="360" w:lineRule="auto"/>
        <w:jc w:val="both"/>
      </w:pPr>
      <w:r>
        <w:rPr>
          <w:rFonts w:ascii="Book Antiqua" w:eastAsia="Book Antiqua" w:hAnsi="Book Antiqua" w:cs="Book Antiqua"/>
          <w:color w:val="000000"/>
        </w:rPr>
        <w:t xml:space="preserve">Table 1 shows </w:t>
      </w:r>
      <w:r w:rsidR="009E3489">
        <w:rPr>
          <w:rFonts w:ascii="Book Antiqua" w:eastAsia="Book Antiqua" w:hAnsi="Book Antiqua" w:cs="Book Antiqua"/>
          <w:color w:val="000000"/>
        </w:rPr>
        <w:t xml:space="preserve">mean score values at initial assessment and </w:t>
      </w:r>
      <w:r>
        <w:rPr>
          <w:rFonts w:ascii="Book Antiqua" w:eastAsia="Book Antiqua" w:hAnsi="Book Antiqua" w:cs="Book Antiqua"/>
          <w:color w:val="000000"/>
        </w:rPr>
        <w:t>demographic data. The cohort comprised of 79% men and 21% women. All patients had sustained an acetabular fracture 1 to 14 years before. 22% of these patients were treated conservatively; 78% required surgical treatment. Of 78 patients with surgical treatment, 55 patients required open reduction and internal plate fixation. In 37 cases, an anterior approach (25</w:t>
      </w:r>
      <w:r w:rsidR="00412D13">
        <w:rPr>
          <w:rFonts w:ascii="Book Antiqua" w:eastAsia="Book Antiqua" w:hAnsi="Book Antiqua" w:cs="Book Antiqua"/>
          <w:color w:val="000000"/>
        </w:rPr>
        <w:t xml:space="preserve"> </w:t>
      </w:r>
      <w:r w:rsidR="00412D13" w:rsidRPr="00412D13">
        <w:rPr>
          <w:rFonts w:ascii="Book Antiqua" w:eastAsia="Book Antiqua" w:hAnsi="Book Antiqua" w:cs="Book Antiqua"/>
          <w:color w:val="000000"/>
        </w:rPr>
        <w:t>×</w:t>
      </w:r>
      <w:r>
        <w:rPr>
          <w:rFonts w:ascii="Book Antiqua" w:eastAsia="Book Antiqua" w:hAnsi="Book Antiqua" w:cs="Book Antiqua"/>
          <w:color w:val="000000"/>
        </w:rPr>
        <w:t xml:space="preserve"> ilio-inguinal and 12</w:t>
      </w:r>
      <w:r w:rsidR="00412D13">
        <w:rPr>
          <w:rFonts w:ascii="Book Antiqua" w:eastAsia="Book Antiqua" w:hAnsi="Book Antiqua" w:cs="Book Antiqua"/>
          <w:color w:val="000000"/>
        </w:rPr>
        <w:t xml:space="preserve"> </w:t>
      </w:r>
      <w:r w:rsidR="00412D13" w:rsidRPr="00412D13">
        <w:rPr>
          <w:rFonts w:ascii="Book Antiqua" w:eastAsia="Book Antiqua" w:hAnsi="Book Antiqua" w:cs="Book Antiqua"/>
          <w:color w:val="000000"/>
        </w:rPr>
        <w:t>×</w:t>
      </w:r>
      <w:r>
        <w:rPr>
          <w:rFonts w:ascii="Book Antiqua" w:eastAsia="Book Antiqua" w:hAnsi="Book Antiqua" w:cs="Book Antiqua"/>
          <w:color w:val="000000"/>
        </w:rPr>
        <w:t xml:space="preserve"> intrapelvic approach) was necessary. 18 patients required posterior fixation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Kocher-</w:t>
      </w:r>
      <w:proofErr w:type="spellStart"/>
      <w:r>
        <w:rPr>
          <w:rFonts w:ascii="Book Antiqua" w:eastAsia="Book Antiqua" w:hAnsi="Book Antiqua" w:cs="Book Antiqua"/>
          <w:color w:val="000000"/>
        </w:rPr>
        <w:t>Langenbeck</w:t>
      </w:r>
      <w:proofErr w:type="spellEnd"/>
      <w:r>
        <w:rPr>
          <w:rFonts w:ascii="Book Antiqua" w:eastAsia="Book Antiqua" w:hAnsi="Book Antiqua" w:cs="Book Antiqua"/>
          <w:color w:val="000000"/>
        </w:rPr>
        <w:t xml:space="preserve"> approach. </w:t>
      </w:r>
      <w:r w:rsidR="009E3489">
        <w:rPr>
          <w:rFonts w:ascii="Book Antiqua" w:eastAsia="Book Antiqua" w:hAnsi="Book Antiqua" w:cs="Book Antiqua"/>
          <w:color w:val="000000"/>
        </w:rPr>
        <w:t>We carried out o</w:t>
      </w:r>
      <w:r>
        <w:rPr>
          <w:rFonts w:ascii="Book Antiqua" w:eastAsia="Book Antiqua" w:hAnsi="Book Antiqua" w:cs="Book Antiqua"/>
          <w:color w:val="000000"/>
        </w:rPr>
        <w:t xml:space="preserve">perative </w:t>
      </w:r>
      <w:r>
        <w:rPr>
          <w:rFonts w:ascii="Book Antiqua" w:eastAsia="Book Antiqua" w:hAnsi="Book Antiqua" w:cs="Book Antiqua"/>
          <w:color w:val="000000"/>
        </w:rPr>
        <w:lastRenderedPageBreak/>
        <w:t xml:space="preserve">management according to the </w:t>
      </w:r>
      <w:proofErr w:type="spellStart"/>
      <w:r>
        <w:rPr>
          <w:rFonts w:ascii="Book Antiqua" w:eastAsia="Book Antiqua" w:hAnsi="Book Antiqua" w:cs="Book Antiqua"/>
          <w:color w:val="000000"/>
        </w:rPr>
        <w:t>Arbeitsgemeinschaft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für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Osteosynthesefragen</w:t>
      </w:r>
      <w:proofErr w:type="spellEnd"/>
      <w:r>
        <w:rPr>
          <w:rFonts w:ascii="Book Antiqua" w:eastAsia="Book Antiqua" w:hAnsi="Book Antiqua" w:cs="Book Antiqua"/>
          <w:color w:val="000000"/>
        </w:rPr>
        <w:t xml:space="preserve"> (AO) principles (Figure 2). According to these recommendations, we aimed for anatomic reduction of the articular surface and internal fixation of the fragments.</w:t>
      </w:r>
      <w:r w:rsidR="00100035">
        <w:rPr>
          <w:rFonts w:ascii="Book Antiqua" w:hAnsi="Book Antiqua" w:cs="Book Antiqua" w:hint="eastAsia"/>
          <w:color w:val="000000"/>
          <w:lang w:eastAsia="zh-CN"/>
        </w:rPr>
        <w:t xml:space="preserve"> </w:t>
      </w:r>
      <w:r w:rsidR="009E3489">
        <w:rPr>
          <w:rFonts w:ascii="Book Antiqua" w:hAnsi="Book Antiqua" w:cs="Book Antiqua"/>
          <w:color w:val="000000"/>
          <w:lang w:eastAsia="zh-CN"/>
        </w:rPr>
        <w:t>Aftercare</w:t>
      </w:r>
      <w:r>
        <w:rPr>
          <w:rFonts w:ascii="Book Antiqua" w:eastAsia="Book Antiqua" w:hAnsi="Book Antiqua" w:cs="Book Antiqua"/>
          <w:color w:val="000000"/>
        </w:rPr>
        <w:t xml:space="preserve"> was equal for all patients</w:t>
      </w:r>
      <w:r w:rsidR="009E3489">
        <w:rPr>
          <w:rFonts w:ascii="Book Antiqua" w:eastAsia="Book Antiqua" w:hAnsi="Book Antiqua" w:cs="Book Antiqua"/>
          <w:color w:val="000000"/>
        </w:rPr>
        <w:t>. We advised the patients to</w:t>
      </w:r>
      <w:r>
        <w:rPr>
          <w:rFonts w:ascii="Book Antiqua" w:eastAsia="Book Antiqua" w:hAnsi="Book Antiqua" w:cs="Book Antiqua"/>
          <w:color w:val="000000"/>
        </w:rPr>
        <w:t xml:space="preserve"> partial weight-bearing of 15</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kg for 6 w</w:t>
      </w:r>
      <w:r w:rsidR="00A61A15">
        <w:rPr>
          <w:rFonts w:ascii="Book Antiqua" w:eastAsia="Book Antiqua" w:hAnsi="Book Antiqua" w:cs="Book Antiqua"/>
          <w:color w:val="000000"/>
        </w:rPr>
        <w:t>ee</w:t>
      </w:r>
      <w:r>
        <w:rPr>
          <w:rFonts w:ascii="Book Antiqua" w:eastAsia="Book Antiqua" w:hAnsi="Book Antiqua" w:cs="Book Antiqua"/>
          <w:color w:val="000000"/>
        </w:rPr>
        <w:t>k</w:t>
      </w:r>
      <w:r w:rsidR="00A61A15">
        <w:rPr>
          <w:rFonts w:ascii="Book Antiqua" w:eastAsia="Book Antiqua" w:hAnsi="Book Antiqua" w:cs="Book Antiqua"/>
          <w:color w:val="000000"/>
        </w:rPr>
        <w:t>s</w:t>
      </w:r>
      <w:r>
        <w:rPr>
          <w:rFonts w:ascii="Book Antiqua" w:eastAsia="Book Antiqua" w:hAnsi="Book Antiqua" w:cs="Book Antiqua"/>
          <w:color w:val="000000"/>
        </w:rPr>
        <w:t xml:space="preserve"> and a step-wise increase of load of 10</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kg per week until the patient’s normal weight was reached. For patients with an involvement of the posterior wall, internal rotation of the hip was limited for 6 w</w:t>
      </w:r>
      <w:r w:rsidR="00A61A15">
        <w:rPr>
          <w:rFonts w:ascii="Book Antiqua" w:eastAsia="Book Antiqua" w:hAnsi="Book Antiqua" w:cs="Book Antiqua"/>
          <w:color w:val="000000"/>
        </w:rPr>
        <w:t>ee</w:t>
      </w:r>
      <w:r>
        <w:rPr>
          <w:rFonts w:ascii="Book Antiqua" w:eastAsia="Book Antiqua" w:hAnsi="Book Antiqua" w:cs="Book Antiqua"/>
          <w:color w:val="000000"/>
        </w:rPr>
        <w:t>k</w:t>
      </w:r>
      <w:r w:rsidR="00A61A15">
        <w:rPr>
          <w:rFonts w:ascii="Book Antiqua" w:eastAsia="Book Antiqua" w:hAnsi="Book Antiqua" w:cs="Book Antiqua"/>
          <w:color w:val="000000"/>
        </w:rPr>
        <w:t>s</w:t>
      </w:r>
      <w:r>
        <w:rPr>
          <w:rFonts w:ascii="Book Antiqua" w:eastAsia="Book Antiqua" w:hAnsi="Book Antiqua" w:cs="Book Antiqua"/>
          <w:color w:val="000000"/>
        </w:rPr>
        <w:t xml:space="preserve"> postoperative. 54/100 patients had an initial articular surface step of more than 3</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mm and 46 patients had an initial articular surface step of 3</w:t>
      </w:r>
      <w:r w:rsidR="009D76C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or less. Regarding long-term complications, 4 of 100 patients required a total hip arthroplasty (THA) due to rapid progressive joint degeneration after the acetabular fracture. There were 2/54 patients in the displacement group and 2/46 patients in the other group requiring THA until follow-up evaluation. </w:t>
      </w:r>
      <w:r w:rsidR="009E3489">
        <w:rPr>
          <w:rFonts w:ascii="Book Antiqua" w:eastAsia="Book Antiqua" w:hAnsi="Book Antiqua" w:cs="Book Antiqua"/>
          <w:color w:val="000000"/>
        </w:rPr>
        <w:t xml:space="preserve">The time </w:t>
      </w:r>
      <w:r>
        <w:rPr>
          <w:rFonts w:ascii="Book Antiqua" w:eastAsia="Book Antiqua" w:hAnsi="Book Antiqua" w:cs="Book Antiqua"/>
          <w:color w:val="000000"/>
        </w:rPr>
        <w:t>between accident (T0) and follow-up (T1) was 5.2 ± 3.6 years (range 0.2-13.5). The mean age at follow up (T1) was 57.9 ± 17.6 years (range 22-88). The second questionnaire (T2) was compl</w:t>
      </w:r>
      <w:r w:rsidR="009D76CB">
        <w:rPr>
          <w:rFonts w:ascii="Book Antiqua" w:eastAsia="Book Antiqua" w:hAnsi="Book Antiqua" w:cs="Book Antiqua"/>
          <w:color w:val="000000"/>
        </w:rPr>
        <w:t>eted on average 31.2 ± 71.4 d</w:t>
      </w:r>
      <w:r>
        <w:rPr>
          <w:rFonts w:ascii="Book Antiqua" w:eastAsia="Book Antiqua" w:hAnsi="Book Antiqua" w:cs="Book Antiqua"/>
          <w:color w:val="000000"/>
        </w:rPr>
        <w:t xml:space="preserve"> (range 0-385) after the first.</w:t>
      </w:r>
    </w:p>
    <w:p w14:paraId="7E6756D3" w14:textId="77777777" w:rsidR="009D76CB" w:rsidRDefault="009D76CB" w:rsidP="009D76CB">
      <w:pPr>
        <w:spacing w:line="360" w:lineRule="auto"/>
        <w:jc w:val="both"/>
        <w:rPr>
          <w:rFonts w:ascii="Book Antiqua" w:hAnsi="Book Antiqua" w:cs="Book Antiqua"/>
          <w:b/>
          <w:bCs/>
          <w:color w:val="000000"/>
          <w:lang w:eastAsia="zh-CN"/>
        </w:rPr>
      </w:pPr>
    </w:p>
    <w:p w14:paraId="5D7AD463" w14:textId="77777777" w:rsidR="00A77B3E" w:rsidRPr="009D76CB" w:rsidRDefault="00464B5F" w:rsidP="009D76CB">
      <w:pPr>
        <w:spacing w:line="360" w:lineRule="auto"/>
        <w:jc w:val="both"/>
        <w:rPr>
          <w:i/>
        </w:rPr>
      </w:pPr>
      <w:r w:rsidRPr="009D76CB">
        <w:rPr>
          <w:rFonts w:ascii="Book Antiqua" w:eastAsia="Book Antiqua" w:hAnsi="Book Antiqua" w:cs="Book Antiqua"/>
          <w:b/>
          <w:bCs/>
          <w:i/>
          <w:color w:val="000000"/>
        </w:rPr>
        <w:t>Reliability</w:t>
      </w:r>
    </w:p>
    <w:p w14:paraId="4C32BDFE" w14:textId="77777777" w:rsidR="00A77B3E" w:rsidRDefault="00464B5F" w:rsidP="005C101F">
      <w:pPr>
        <w:spacing w:line="360" w:lineRule="auto"/>
        <w:jc w:val="both"/>
      </w:pPr>
      <w:r>
        <w:rPr>
          <w:rFonts w:ascii="Book Antiqua" w:eastAsia="Book Antiqua" w:hAnsi="Book Antiqua" w:cs="Book Antiqua"/>
          <w:color w:val="000000"/>
        </w:rPr>
        <w:t>The internal consistency of the questionnaire is satisfying, with Cronbach’s alpha = 0.95 for measurement at T1 (</w:t>
      </w:r>
      <w:r>
        <w:rPr>
          <w:rFonts w:ascii="Book Antiqua" w:eastAsia="Book Antiqua" w:hAnsi="Book Antiqua" w:cs="Book Antiqua"/>
          <w:i/>
          <w:iCs/>
          <w:color w:val="000000"/>
        </w:rPr>
        <w:t>n</w:t>
      </w:r>
      <w:r>
        <w:rPr>
          <w:rFonts w:ascii="Book Antiqua" w:eastAsia="Book Antiqua" w:hAnsi="Book Antiqua" w:cs="Book Antiqua"/>
          <w:color w:val="000000"/>
        </w:rPr>
        <w:t xml:space="preserve"> = 83) and 0.97 for measurement at T2 (</w:t>
      </w:r>
      <w:r>
        <w:rPr>
          <w:rFonts w:ascii="Book Antiqua" w:eastAsia="Book Antiqua" w:hAnsi="Book Antiqua" w:cs="Book Antiqua"/>
          <w:i/>
          <w:iCs/>
          <w:color w:val="000000"/>
        </w:rPr>
        <w:t>n</w:t>
      </w:r>
      <w:r>
        <w:rPr>
          <w:rFonts w:ascii="Book Antiqua" w:eastAsia="Book Antiqua" w:hAnsi="Book Antiqua" w:cs="Book Antiqua"/>
          <w:color w:val="000000"/>
        </w:rPr>
        <w:t xml:space="preserve"> = 50). Even with deleting an item, Cronbach’s alpha was high raging between 0.95 and 0.97.</w:t>
      </w:r>
    </w:p>
    <w:p w14:paraId="51AFA5EB" w14:textId="49F26F0C" w:rsidR="00A77B3E" w:rsidRDefault="00464B5F" w:rsidP="005C101F">
      <w:pPr>
        <w:spacing w:line="360" w:lineRule="auto"/>
        <w:ind w:firstLineChars="100" w:firstLine="240"/>
        <w:jc w:val="both"/>
      </w:pPr>
      <w:r>
        <w:rPr>
          <w:rFonts w:ascii="Book Antiqua" w:eastAsia="Book Antiqua" w:hAnsi="Book Antiqua" w:cs="Book Antiqua"/>
          <w:color w:val="000000"/>
        </w:rPr>
        <w:t>The test-retest reliability was ex</w:t>
      </w:r>
      <w:r w:rsidR="005C101F">
        <w:rPr>
          <w:rFonts w:ascii="Book Antiqua" w:eastAsia="Book Antiqua" w:hAnsi="Book Antiqua" w:cs="Book Antiqua"/>
          <w:color w:val="000000"/>
        </w:rPr>
        <w:t>cellent with an ICC = 0.99 (95%</w:t>
      </w:r>
      <w:r>
        <w:rPr>
          <w:rFonts w:ascii="Book Antiqua" w:eastAsia="Book Antiqua" w:hAnsi="Book Antiqua" w:cs="Book Antiqua"/>
          <w:color w:val="000000"/>
        </w:rPr>
        <w:t>CI = 0.97-0.99)</w:t>
      </w:r>
      <w:r w:rsidR="009E3489">
        <w:rPr>
          <w:rFonts w:ascii="Book Antiqua" w:eastAsia="Book Antiqua" w:hAnsi="Book Antiqua" w:cs="Book Antiqua"/>
          <w:color w:val="000000"/>
        </w:rPr>
        <w:t>. We included only patients</w:t>
      </w:r>
      <w:r>
        <w:rPr>
          <w:rFonts w:ascii="Book Antiqua" w:eastAsia="Book Antiqua" w:hAnsi="Book Antiqua" w:cs="Book Antiqua"/>
          <w:color w:val="000000"/>
        </w:rPr>
        <w:t xml:space="preserve"> indicating an unchanged </w:t>
      </w:r>
      <w:r w:rsidR="009E3489">
        <w:rPr>
          <w:rFonts w:ascii="Book Antiqua" w:eastAsia="Book Antiqua" w:hAnsi="Book Antiqua" w:cs="Book Antiqua"/>
          <w:color w:val="000000"/>
        </w:rPr>
        <w:t xml:space="preserve">functional </w:t>
      </w:r>
      <w:r>
        <w:rPr>
          <w:rFonts w:ascii="Book Antiqua" w:eastAsia="Book Antiqua" w:hAnsi="Book Antiqua" w:cs="Book Antiqua"/>
          <w:color w:val="000000"/>
        </w:rPr>
        <w:t xml:space="preserve">condition </w:t>
      </w:r>
      <w:r w:rsidR="009E3489">
        <w:rPr>
          <w:rFonts w:ascii="Book Antiqua" w:eastAsia="Book Antiqua" w:hAnsi="Book Antiqua" w:cs="Book Antiqua"/>
          <w:color w:val="000000"/>
        </w:rPr>
        <w:t>regarding their hip joint</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24). </w:t>
      </w:r>
    </w:p>
    <w:p w14:paraId="5A7D10BF" w14:textId="77777777" w:rsidR="00A77B3E" w:rsidRDefault="00464B5F" w:rsidP="005C101F">
      <w:pPr>
        <w:spacing w:line="360" w:lineRule="auto"/>
        <w:ind w:firstLineChars="100" w:firstLine="240"/>
        <w:jc w:val="both"/>
      </w:pPr>
      <w:r>
        <w:rPr>
          <w:rFonts w:ascii="Book Antiqua" w:eastAsia="Book Antiqua" w:hAnsi="Book Antiqua" w:cs="Book Antiqua"/>
          <w:color w:val="000000"/>
        </w:rPr>
        <w:t>SEM was 3.2 and SDC was 8.8. Thus, changes &gt; 8.8 points between two assessments denote real change in FJS and changes ≤ 8.8 denote for measurement errors and subject variability.</w:t>
      </w:r>
    </w:p>
    <w:p w14:paraId="0AF84A34" w14:textId="77777777" w:rsidR="005C101F" w:rsidRDefault="005C101F" w:rsidP="005C101F">
      <w:pPr>
        <w:spacing w:line="360" w:lineRule="auto"/>
        <w:jc w:val="both"/>
        <w:rPr>
          <w:rFonts w:ascii="Book Antiqua" w:hAnsi="Book Antiqua" w:cs="Book Antiqua"/>
          <w:b/>
          <w:bCs/>
          <w:color w:val="000000"/>
          <w:lang w:eastAsia="zh-CN"/>
        </w:rPr>
      </w:pPr>
    </w:p>
    <w:p w14:paraId="7243660F" w14:textId="77777777" w:rsidR="00A77B3E" w:rsidRPr="005C101F" w:rsidRDefault="00464B5F" w:rsidP="005C101F">
      <w:pPr>
        <w:spacing w:line="360" w:lineRule="auto"/>
        <w:jc w:val="both"/>
        <w:rPr>
          <w:i/>
        </w:rPr>
      </w:pPr>
      <w:r w:rsidRPr="005C101F">
        <w:rPr>
          <w:rFonts w:ascii="Book Antiqua" w:eastAsia="Book Antiqua" w:hAnsi="Book Antiqua" w:cs="Book Antiqua"/>
          <w:b/>
          <w:bCs/>
          <w:i/>
          <w:color w:val="000000"/>
        </w:rPr>
        <w:t>Validity</w:t>
      </w:r>
    </w:p>
    <w:p w14:paraId="1EAF3DFE" w14:textId="4B0E609D" w:rsidR="00A77B3E" w:rsidRDefault="00464B5F">
      <w:pPr>
        <w:spacing w:line="360" w:lineRule="auto"/>
        <w:jc w:val="both"/>
      </w:pPr>
      <w:r>
        <w:rPr>
          <w:rFonts w:ascii="Book Antiqua" w:eastAsia="Book Antiqua" w:hAnsi="Book Antiqua" w:cs="Book Antiqua"/>
          <w:color w:val="000000"/>
        </w:rPr>
        <w:lastRenderedPageBreak/>
        <w:t>In both assessments, convergent validity between FJS and WOMAC-VAS, TAS, EQ Index as well as EQ VAS could be confirmed. Correlation coefficients were moderate to high ranging from |0.56| to |0.83| (absolute value). The higher the WOMAC-VAS (pain, stiffness, functional limitation and summary score), the lower the forgetting of the joint. The higher the TAS, EQ index and EQ VAS, the higher the forgetting of the joint (Table 2).</w:t>
      </w:r>
    </w:p>
    <w:p w14:paraId="43EA0C85" w14:textId="1E3A5BEA" w:rsidR="00A77B3E" w:rsidRDefault="00464B5F" w:rsidP="009E1132">
      <w:pPr>
        <w:spacing w:line="360" w:lineRule="auto"/>
        <w:ind w:firstLineChars="100" w:firstLine="240"/>
        <w:jc w:val="both"/>
      </w:pPr>
      <w:r>
        <w:rPr>
          <w:rFonts w:ascii="Book Antiqua" w:eastAsia="Book Antiqua" w:hAnsi="Book Antiqua" w:cs="Book Antiqua"/>
          <w:color w:val="000000"/>
        </w:rPr>
        <w:t>Clinical validity was assessed by comparing FJS scores between patients with articular displacement (&gt; 3</w:t>
      </w:r>
      <w:r w:rsidR="009E113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t>
      </w:r>
      <w:r>
        <w:rPr>
          <w:rFonts w:ascii="Book Antiqua" w:eastAsia="Book Antiqua" w:hAnsi="Book Antiqua" w:cs="Book Antiqua"/>
          <w:i/>
          <w:iCs/>
          <w:color w:val="000000"/>
        </w:rPr>
        <w:t>n</w:t>
      </w:r>
      <w:r>
        <w:rPr>
          <w:rFonts w:ascii="Book Antiqua" w:eastAsia="Book Antiqua" w:hAnsi="Book Antiqua" w:cs="Book Antiqua"/>
          <w:color w:val="000000"/>
        </w:rPr>
        <w:t xml:space="preserve"> = 54) and patients without articular displacement (≤ 3</w:t>
      </w:r>
      <w:r w:rsidR="009E113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w:t>
      </w:r>
      <w:r>
        <w:rPr>
          <w:rFonts w:ascii="Book Antiqua" w:eastAsia="Book Antiqua" w:hAnsi="Book Antiqua" w:cs="Book Antiqua"/>
          <w:i/>
          <w:iCs/>
          <w:color w:val="000000"/>
        </w:rPr>
        <w:t>n</w:t>
      </w:r>
      <w:r>
        <w:rPr>
          <w:rFonts w:ascii="Book Antiqua" w:eastAsia="Book Antiqua" w:hAnsi="Book Antiqua" w:cs="Book Antiqua"/>
          <w:color w:val="000000"/>
        </w:rPr>
        <w:t xml:space="preserve"> = 46).</w:t>
      </w:r>
      <w:r w:rsidR="00100035">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(median = 3 8.6, IQR = 12.5/72.9) and without (median = 3 7.5, IQR = 16.6/67.8) articular displacement did not differ in FJS at follow-up evaluation T1 (</w:t>
      </w:r>
      <w:r>
        <w:rPr>
          <w:rFonts w:ascii="Book Antiqua" w:eastAsia="Book Antiqua" w:hAnsi="Book Antiqua" w:cs="Book Antiqua"/>
          <w:i/>
          <w:iCs/>
          <w:color w:val="000000"/>
        </w:rPr>
        <w:t>Z</w:t>
      </w:r>
      <w:r>
        <w:rPr>
          <w:rFonts w:ascii="Book Antiqua" w:eastAsia="Book Antiqua" w:hAnsi="Book Antiqua" w:cs="Book Antiqua"/>
          <w:color w:val="000000"/>
        </w:rPr>
        <w:t xml:space="preserve"> = 0.005, </w:t>
      </w:r>
      <w:r>
        <w:rPr>
          <w:rFonts w:ascii="Book Antiqua" w:eastAsia="Book Antiqua" w:hAnsi="Book Antiqua" w:cs="Book Antiqua"/>
          <w:i/>
          <w:iCs/>
          <w:color w:val="000000"/>
        </w:rPr>
        <w:t>P</w:t>
      </w:r>
      <w:r>
        <w:rPr>
          <w:rFonts w:ascii="Book Antiqua" w:eastAsia="Book Antiqua" w:hAnsi="Book Antiqua" w:cs="Book Antiqua"/>
          <w:color w:val="000000"/>
        </w:rPr>
        <w:t xml:space="preserve"> = 0.996). </w:t>
      </w:r>
    </w:p>
    <w:p w14:paraId="04EF1C97" w14:textId="77777777" w:rsidR="00A77B3E" w:rsidRDefault="00464B5F" w:rsidP="009E1132">
      <w:pPr>
        <w:spacing w:line="360" w:lineRule="auto"/>
        <w:ind w:firstLineChars="100" w:firstLine="240"/>
        <w:jc w:val="both"/>
      </w:pPr>
      <w:r>
        <w:rPr>
          <w:rFonts w:ascii="Book Antiqua" w:eastAsia="Book Antiqua" w:hAnsi="Book Antiqua" w:cs="Book Antiqua"/>
          <w:color w:val="000000"/>
        </w:rPr>
        <w:t xml:space="preserve">We also evaluated clinical validity by comparing the different fracture patterns according to the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classification. We found highest median values for anterior column and posterior hemi-transverse fractures (median = 12.5,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and lowest levels of the FJS in T-type fractures (median = 72.9, </w:t>
      </w:r>
      <w:r>
        <w:rPr>
          <w:rFonts w:ascii="Book Antiqua" w:eastAsia="Book Antiqua" w:hAnsi="Book Antiqua" w:cs="Book Antiqua"/>
          <w:i/>
          <w:iCs/>
          <w:color w:val="000000"/>
        </w:rPr>
        <w:t>n</w:t>
      </w:r>
      <w:r>
        <w:rPr>
          <w:rFonts w:ascii="Book Antiqua" w:eastAsia="Book Antiqua" w:hAnsi="Book Antiqua" w:cs="Book Antiqua"/>
          <w:color w:val="000000"/>
        </w:rPr>
        <w:t xml:space="preserve"> = 3). However, there were only three patients with a T-type fracture within the study population. There was no significant difference in the FJS between the fracture types according to the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classification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0.795). </w:t>
      </w:r>
    </w:p>
    <w:p w14:paraId="64289143" w14:textId="77777777" w:rsidR="00A77B3E" w:rsidRDefault="00464B5F" w:rsidP="009E1132">
      <w:pPr>
        <w:spacing w:line="360" w:lineRule="auto"/>
        <w:ind w:firstLineChars="100" w:firstLine="240"/>
        <w:jc w:val="both"/>
      </w:pPr>
      <w:r>
        <w:rPr>
          <w:rFonts w:ascii="Book Antiqua" w:eastAsia="Book Antiqua" w:hAnsi="Book Antiqua" w:cs="Book Antiqua"/>
          <w:color w:val="000000"/>
        </w:rPr>
        <w:t>There was also no significant difference between the surgical approaches (</w:t>
      </w:r>
      <w:r>
        <w:rPr>
          <w:rFonts w:ascii="Book Antiqua" w:eastAsia="Book Antiqua" w:hAnsi="Book Antiqua" w:cs="Book Antiqua"/>
          <w:i/>
          <w:iCs/>
          <w:color w:val="000000"/>
        </w:rPr>
        <w:t>P</w:t>
      </w:r>
      <w:r>
        <w:rPr>
          <w:rFonts w:ascii="Book Antiqua" w:eastAsia="Book Antiqua" w:hAnsi="Book Antiqua" w:cs="Book Antiqua"/>
          <w:color w:val="000000"/>
        </w:rPr>
        <w:t xml:space="preserve"> = 0.477). Lowest FJS levels (median = 15.6, </w:t>
      </w:r>
      <w:r>
        <w:rPr>
          <w:rFonts w:ascii="Book Antiqua" w:eastAsia="Book Antiqua" w:hAnsi="Book Antiqua" w:cs="Book Antiqua"/>
          <w:i/>
          <w:iCs/>
          <w:color w:val="000000"/>
        </w:rPr>
        <w:t>n</w:t>
      </w:r>
      <w:r>
        <w:rPr>
          <w:rFonts w:ascii="Book Antiqua" w:eastAsia="Book Antiqua" w:hAnsi="Book Antiqua" w:cs="Book Antiqua"/>
          <w:color w:val="000000"/>
        </w:rPr>
        <w:t xml:space="preserve"> = 24) were found in patients undergoing ORIF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ilio-inguinal approach whereas patients with a Kocher-</w:t>
      </w:r>
      <w:proofErr w:type="spellStart"/>
      <w:r>
        <w:rPr>
          <w:rFonts w:ascii="Book Antiqua" w:eastAsia="Book Antiqua" w:hAnsi="Book Antiqua" w:cs="Book Antiqua"/>
          <w:color w:val="000000"/>
        </w:rPr>
        <w:t>Langenbeck</w:t>
      </w:r>
      <w:proofErr w:type="spellEnd"/>
      <w:r>
        <w:rPr>
          <w:rFonts w:ascii="Book Antiqua" w:eastAsia="Book Antiqua" w:hAnsi="Book Antiqua" w:cs="Book Antiqua"/>
          <w:color w:val="000000"/>
        </w:rPr>
        <w:t xml:space="preserve"> approach reported highest FJS levels (median 33.3, </w:t>
      </w:r>
      <w:r>
        <w:rPr>
          <w:rFonts w:ascii="Book Antiqua" w:eastAsia="Book Antiqua" w:hAnsi="Book Antiqua" w:cs="Book Antiqua"/>
          <w:i/>
          <w:iCs/>
          <w:color w:val="000000"/>
        </w:rPr>
        <w:t>n</w:t>
      </w:r>
      <w:r>
        <w:rPr>
          <w:rFonts w:ascii="Book Antiqua" w:eastAsia="Book Antiqua" w:hAnsi="Book Antiqua" w:cs="Book Antiqua"/>
          <w:color w:val="000000"/>
        </w:rPr>
        <w:t xml:space="preserve"> = 18).</w:t>
      </w:r>
    </w:p>
    <w:p w14:paraId="0359B154" w14:textId="10D1FD1E" w:rsidR="00A77B3E" w:rsidRPr="00100035" w:rsidRDefault="00464B5F" w:rsidP="009E1132">
      <w:pPr>
        <w:spacing w:line="360" w:lineRule="auto"/>
        <w:ind w:firstLineChars="100" w:firstLine="240"/>
        <w:jc w:val="both"/>
        <w:rPr>
          <w:lang w:eastAsia="zh-CN"/>
        </w:rPr>
      </w:pPr>
      <w:r>
        <w:rPr>
          <w:rFonts w:ascii="Book Antiqua" w:eastAsia="Book Antiqua" w:hAnsi="Book Antiqua" w:cs="Book Antiqua"/>
          <w:color w:val="000000"/>
        </w:rPr>
        <w:t>There was a significant difference in FJS (</w:t>
      </w:r>
      <w:r>
        <w:rPr>
          <w:rFonts w:ascii="Book Antiqua" w:eastAsia="Book Antiqua" w:hAnsi="Book Antiqua" w:cs="Book Antiqua"/>
          <w:i/>
          <w:iCs/>
          <w:color w:val="000000"/>
        </w:rPr>
        <w:t>P</w:t>
      </w:r>
      <w:r>
        <w:rPr>
          <w:rFonts w:ascii="Book Antiqua" w:eastAsia="Book Antiqua" w:hAnsi="Book Antiqua" w:cs="Book Antiqua"/>
          <w:color w:val="000000"/>
        </w:rPr>
        <w:t xml:space="preserve"> = 0.019) comparing patients after conservative treatment (median 68.7, </w:t>
      </w:r>
      <w:r>
        <w:rPr>
          <w:rFonts w:ascii="Book Antiqua" w:eastAsia="Book Antiqua" w:hAnsi="Book Antiqua" w:cs="Book Antiqua"/>
          <w:i/>
          <w:iCs/>
          <w:color w:val="000000"/>
        </w:rPr>
        <w:t>n</w:t>
      </w:r>
      <w:r>
        <w:rPr>
          <w:rFonts w:ascii="Book Antiqua" w:eastAsia="Book Antiqua" w:hAnsi="Book Antiqua" w:cs="Book Antiqua"/>
          <w:color w:val="000000"/>
        </w:rPr>
        <w:t xml:space="preserve"> = 22) to surgically managed patients (median 33.3, </w:t>
      </w:r>
      <w:r>
        <w:rPr>
          <w:rFonts w:ascii="Book Antiqua" w:eastAsia="Book Antiqua" w:hAnsi="Book Antiqua" w:cs="Book Antiqua"/>
          <w:i/>
          <w:iCs/>
          <w:color w:val="000000"/>
        </w:rPr>
        <w:t>n</w:t>
      </w:r>
      <w:r>
        <w:rPr>
          <w:rFonts w:ascii="Book Antiqua" w:eastAsia="Book Antiqua" w:hAnsi="Book Antiqua" w:cs="Book Antiqua"/>
          <w:color w:val="000000"/>
        </w:rPr>
        <w:t xml:space="preserve"> = 78).</w:t>
      </w:r>
    </w:p>
    <w:p w14:paraId="22F48BE7" w14:textId="77777777" w:rsidR="009E1132" w:rsidRDefault="009E1132" w:rsidP="009E1132">
      <w:pPr>
        <w:spacing w:line="360" w:lineRule="auto"/>
        <w:jc w:val="both"/>
        <w:rPr>
          <w:rFonts w:ascii="Book Antiqua" w:hAnsi="Book Antiqua" w:cs="Book Antiqua"/>
          <w:b/>
          <w:bCs/>
          <w:color w:val="000000"/>
          <w:lang w:eastAsia="zh-CN"/>
        </w:rPr>
      </w:pPr>
    </w:p>
    <w:p w14:paraId="1AA7F317" w14:textId="77777777" w:rsidR="00A77B3E" w:rsidRPr="009E1132" w:rsidRDefault="00464B5F" w:rsidP="009E1132">
      <w:pPr>
        <w:spacing w:line="360" w:lineRule="auto"/>
        <w:jc w:val="both"/>
        <w:rPr>
          <w:i/>
        </w:rPr>
      </w:pPr>
      <w:r w:rsidRPr="009E1132">
        <w:rPr>
          <w:rFonts w:ascii="Book Antiqua" w:eastAsia="Book Antiqua" w:hAnsi="Book Antiqua" w:cs="Book Antiqua"/>
          <w:b/>
          <w:bCs/>
          <w:i/>
          <w:color w:val="000000"/>
        </w:rPr>
        <w:t xml:space="preserve">Responsiveness </w:t>
      </w:r>
    </w:p>
    <w:p w14:paraId="3825687C" w14:textId="17281502" w:rsidR="00A77B3E" w:rsidRDefault="00464B5F">
      <w:pPr>
        <w:spacing w:line="360" w:lineRule="auto"/>
        <w:jc w:val="both"/>
      </w:pPr>
      <w:r>
        <w:rPr>
          <w:rFonts w:ascii="Book Antiqua" w:eastAsia="Book Antiqua" w:hAnsi="Book Antiqua" w:cs="Book Antiqua"/>
          <w:color w:val="000000"/>
        </w:rPr>
        <w:t>Patients with different hip function development did not significantly differ in FJS at initial assessment (H</w:t>
      </w:r>
      <w:r w:rsidR="006D0ECF">
        <w:rPr>
          <w:rFonts w:ascii="Book Antiqua" w:eastAsia="Book Antiqua" w:hAnsi="Book Antiqua" w:cs="Book Antiqua"/>
          <w:color w:val="000000"/>
          <w:szCs w:val="30"/>
          <w:vertAlign w:val="subscript"/>
        </w:rPr>
        <w:t>2,</w:t>
      </w:r>
      <w:r w:rsidR="006D0ECF">
        <w:rPr>
          <w:rFonts w:ascii="Book Antiqua" w:hAnsi="Book Antiqua" w:cs="Book Antiqua" w:hint="eastAsia"/>
          <w:color w:val="000000"/>
          <w:szCs w:val="30"/>
          <w:vertAlign w:val="subscript"/>
          <w:lang w:eastAsia="zh-CN"/>
        </w:rPr>
        <w:t xml:space="preserve"> </w:t>
      </w:r>
      <w:r>
        <w:rPr>
          <w:rFonts w:ascii="Book Antiqua" w:eastAsia="Book Antiqua" w:hAnsi="Book Antiqua" w:cs="Book Antiqua"/>
          <w:color w:val="000000"/>
          <w:szCs w:val="30"/>
          <w:vertAlign w:val="subscript"/>
        </w:rPr>
        <w:t>55</w:t>
      </w:r>
      <w:r>
        <w:rPr>
          <w:rFonts w:ascii="Book Antiqua" w:eastAsia="Book Antiqua" w:hAnsi="Book Antiqua" w:cs="Book Antiqua"/>
          <w:color w:val="000000"/>
        </w:rPr>
        <w:t xml:space="preserve"> = 0.336, </w:t>
      </w:r>
      <w:r>
        <w:rPr>
          <w:rFonts w:ascii="Book Antiqua" w:eastAsia="Book Antiqua" w:hAnsi="Book Antiqua" w:cs="Book Antiqua"/>
          <w:i/>
          <w:iCs/>
          <w:color w:val="000000"/>
        </w:rPr>
        <w:t>P</w:t>
      </w:r>
      <w:r w:rsidR="00A61A15">
        <w:rPr>
          <w:rFonts w:ascii="Book Antiqua" w:eastAsia="Book Antiqua" w:hAnsi="Book Antiqua" w:cs="Book Antiqua"/>
          <w:color w:val="000000"/>
        </w:rPr>
        <w:t xml:space="preserve"> = 0.845)</w:t>
      </w:r>
      <w:r>
        <w:rPr>
          <w:rFonts w:ascii="Book Antiqua" w:eastAsia="Book Antiqua" w:hAnsi="Book Antiqua" w:cs="Book Antiqua"/>
          <w:color w:val="000000"/>
        </w:rPr>
        <w:t xml:space="preserve">. In patients indicating improvement of hip </w:t>
      </w:r>
      <w:r>
        <w:rPr>
          <w:rFonts w:ascii="Book Antiqua" w:eastAsia="Book Antiqua" w:hAnsi="Book Antiqua" w:cs="Book Antiqua"/>
          <w:color w:val="000000"/>
        </w:rPr>
        <w:lastRenderedPageBreak/>
        <w:t xml:space="preserve">function, the FJS significantly increased (mean difference = 9.4, </w:t>
      </w:r>
      <w:r>
        <w:rPr>
          <w:rFonts w:ascii="Book Antiqua" w:eastAsia="Book Antiqua" w:hAnsi="Book Antiqua" w:cs="Book Antiqua"/>
          <w:i/>
          <w:iCs/>
          <w:color w:val="000000"/>
        </w:rPr>
        <w:t>Z</w:t>
      </w:r>
      <w:r>
        <w:rPr>
          <w:rFonts w:ascii="Book Antiqua" w:eastAsia="Book Antiqua" w:hAnsi="Book Antiqua" w:cs="Book Antiqua"/>
          <w:color w:val="000000"/>
        </w:rPr>
        <w:t xml:space="preserve"> = 3.465,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21). This increase was higher than the SDC of 8.8 and had a small ES of 0.28. In patients indicating worsening of hip function, the FJS significantly decreased (mean difference = 17.1, </w:t>
      </w:r>
      <w:r w:rsidR="00110F62">
        <w:rPr>
          <w:rFonts w:ascii="Book Antiqua" w:eastAsia="Book Antiqua" w:hAnsi="Book Antiqua" w:cs="Book Antiqua"/>
          <w:color w:val="000000"/>
        </w:rPr>
        <w:t xml:space="preserve">Z </w:t>
      </w:r>
      <w:r>
        <w:rPr>
          <w:rFonts w:ascii="Book Antiqua" w:eastAsia="Book Antiqua" w:hAnsi="Book Antiqua" w:cs="Book Antiqua"/>
          <w:color w:val="000000"/>
        </w:rPr>
        <w:t xml:space="preserve">= -2.402,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This decrease was higher than the SDC of 8.8 and had a moderate ES of 0.59. Patients indicating no change in hip function did not show differences in FJS (mean difference = 1.1, </w:t>
      </w:r>
      <w:r w:rsidR="00110F62">
        <w:rPr>
          <w:rFonts w:ascii="Book Antiqua" w:eastAsia="Book Antiqua" w:hAnsi="Book Antiqua" w:cs="Book Antiqua"/>
          <w:color w:val="000000"/>
        </w:rPr>
        <w:t xml:space="preserve">Z </w:t>
      </w:r>
      <w:r>
        <w:rPr>
          <w:rFonts w:ascii="Book Antiqua" w:eastAsia="Book Antiqua" w:hAnsi="Book Antiqua" w:cs="Book Antiqua"/>
          <w:color w:val="000000"/>
        </w:rPr>
        <w:t xml:space="preserve">= -0.328, </w:t>
      </w:r>
      <w:r>
        <w:rPr>
          <w:rFonts w:ascii="Book Antiqua" w:eastAsia="Book Antiqua" w:hAnsi="Book Antiqua" w:cs="Book Antiqua"/>
          <w:i/>
          <w:iCs/>
          <w:color w:val="000000"/>
        </w:rPr>
        <w:t>P</w:t>
      </w:r>
      <w:r>
        <w:rPr>
          <w:rFonts w:ascii="Book Antiqua" w:eastAsia="Book Antiqua" w:hAnsi="Book Antiqua" w:cs="Book Antiqua"/>
          <w:color w:val="000000"/>
        </w:rPr>
        <w:t xml:space="preserve"> = 0.743, </w:t>
      </w:r>
      <w:r>
        <w:rPr>
          <w:rFonts w:ascii="Book Antiqua" w:eastAsia="Book Antiqua" w:hAnsi="Book Antiqua" w:cs="Book Antiqua"/>
          <w:i/>
          <w:iCs/>
          <w:color w:val="000000"/>
        </w:rPr>
        <w:t>n</w:t>
      </w:r>
      <w:r>
        <w:rPr>
          <w:rFonts w:ascii="Book Antiqua" w:eastAsia="Book Antiqua" w:hAnsi="Book Antiqua" w:cs="Book Antiqua"/>
          <w:color w:val="000000"/>
        </w:rPr>
        <w:t xml:space="preserve"> = 24, ES = 0.03). Table 3 presents responsiveness data of the FJS.</w:t>
      </w:r>
    </w:p>
    <w:p w14:paraId="0E26408E" w14:textId="77777777" w:rsidR="00E0409D" w:rsidRDefault="00E0409D">
      <w:pPr>
        <w:spacing w:line="360" w:lineRule="auto"/>
        <w:jc w:val="both"/>
        <w:rPr>
          <w:rFonts w:ascii="Book Antiqua" w:hAnsi="Book Antiqua" w:cs="Book Antiqua"/>
          <w:b/>
          <w:bCs/>
          <w:color w:val="000000"/>
          <w:lang w:eastAsia="zh-CN"/>
        </w:rPr>
      </w:pPr>
    </w:p>
    <w:p w14:paraId="6C874374" w14:textId="77777777" w:rsidR="00A77B3E" w:rsidRPr="00E0409D" w:rsidRDefault="00464B5F">
      <w:pPr>
        <w:spacing w:line="360" w:lineRule="auto"/>
        <w:jc w:val="both"/>
        <w:rPr>
          <w:i/>
        </w:rPr>
      </w:pPr>
      <w:r w:rsidRPr="00E0409D">
        <w:rPr>
          <w:rFonts w:ascii="Book Antiqua" w:eastAsia="Book Antiqua" w:hAnsi="Book Antiqua" w:cs="Book Antiqua"/>
          <w:b/>
          <w:bCs/>
          <w:i/>
          <w:color w:val="000000"/>
        </w:rPr>
        <w:t>Interpretability</w:t>
      </w:r>
    </w:p>
    <w:p w14:paraId="1C339801" w14:textId="77777777" w:rsidR="00A77B3E" w:rsidRDefault="00464B5F">
      <w:pPr>
        <w:spacing w:line="360" w:lineRule="auto"/>
        <w:jc w:val="both"/>
      </w:pPr>
      <w:r>
        <w:rPr>
          <w:rFonts w:ascii="Book Antiqua" w:eastAsia="Book Antiqua" w:hAnsi="Book Antiqua" w:cs="Book Antiqua"/>
          <w:color w:val="000000"/>
        </w:rPr>
        <w:t xml:space="preserve">The proportion of missing FJS item responses was 3.9% (47/1200) at first assessment and 1.2% (8/660) at second assessment. For four patients, the FJS at first assessment could not be computed as they had more than four missing responses and thus, these patients were excluded from data analyses. </w:t>
      </w:r>
    </w:p>
    <w:p w14:paraId="025B1058" w14:textId="77777777" w:rsidR="00254CF6" w:rsidRDefault="00464B5F" w:rsidP="00254CF6">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Ther</w:t>
      </w:r>
      <w:r w:rsidR="0099789E">
        <w:rPr>
          <w:rFonts w:ascii="Book Antiqua" w:eastAsia="Book Antiqua" w:hAnsi="Book Antiqua" w:cs="Book Antiqua"/>
          <w:color w:val="000000"/>
        </w:rPr>
        <w:t xml:space="preserve">e was no relevant floor effect </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minimum score of 0: first assessment T1: </w:t>
      </w:r>
      <w:r>
        <w:rPr>
          <w:rFonts w:ascii="Book Antiqua" w:eastAsia="Book Antiqua" w:hAnsi="Book Antiqua" w:cs="Book Antiqua"/>
          <w:i/>
          <w:iCs/>
          <w:color w:val="000000"/>
        </w:rPr>
        <w:t>n</w:t>
      </w:r>
      <w:r>
        <w:rPr>
          <w:rFonts w:ascii="Book Antiqua" w:eastAsia="Book Antiqua" w:hAnsi="Book Antiqua" w:cs="Book Antiqua"/>
          <w:color w:val="000000"/>
        </w:rPr>
        <w:t xml:space="preserve"> = 1 (1%), second assessment T2: </w:t>
      </w:r>
      <w:r>
        <w:rPr>
          <w:rFonts w:ascii="Book Antiqua" w:eastAsia="Book Antiqua" w:hAnsi="Book Antiqua" w:cs="Book Antiqua"/>
          <w:i/>
          <w:iCs/>
          <w:color w:val="000000"/>
        </w:rPr>
        <w:t>n</w:t>
      </w:r>
      <w:r w:rsidR="0099789E">
        <w:rPr>
          <w:rFonts w:ascii="Book Antiqua" w:eastAsia="Book Antiqua" w:hAnsi="Book Antiqua" w:cs="Book Antiqua"/>
          <w:color w:val="000000"/>
        </w:rPr>
        <w:t xml:space="preserve"> = 1 (1%)</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9789E">
        <w:rPr>
          <w:rFonts w:ascii="Book Antiqua" w:eastAsia="Book Antiqua" w:hAnsi="Book Antiqua" w:cs="Book Antiqua"/>
          <w:color w:val="000000"/>
        </w:rPr>
        <w:t xml:space="preserve">and no relevant ceiling effect </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maximum score of 100: first assessment T1: </w:t>
      </w:r>
      <w:r>
        <w:rPr>
          <w:rFonts w:ascii="Book Antiqua" w:eastAsia="Book Antiqua" w:hAnsi="Book Antiqua" w:cs="Book Antiqua"/>
          <w:i/>
          <w:iCs/>
          <w:color w:val="000000"/>
        </w:rPr>
        <w:t>n</w:t>
      </w:r>
      <w:r>
        <w:rPr>
          <w:rFonts w:ascii="Book Antiqua" w:eastAsia="Book Antiqua" w:hAnsi="Book Antiqua" w:cs="Book Antiqua"/>
          <w:color w:val="000000"/>
        </w:rPr>
        <w:t xml:space="preserve"> = 1 (1%), second assessment T2: </w:t>
      </w:r>
      <w:r>
        <w:rPr>
          <w:rFonts w:ascii="Book Antiqua" w:eastAsia="Book Antiqua" w:hAnsi="Book Antiqua" w:cs="Book Antiqua"/>
          <w:i/>
          <w:iCs/>
          <w:color w:val="000000"/>
        </w:rPr>
        <w:t>n</w:t>
      </w:r>
      <w:r w:rsidR="0099789E">
        <w:rPr>
          <w:rFonts w:ascii="Book Antiqua" w:eastAsia="Book Antiqua" w:hAnsi="Book Antiqua" w:cs="Book Antiqua"/>
          <w:color w:val="000000"/>
        </w:rPr>
        <w:t xml:space="preserve"> = 2 (2%)</w:t>
      </w:r>
      <w:r w:rsidR="0099789E">
        <w:rPr>
          <w:rFonts w:ascii="Book Antiqua" w:hAnsi="Book Antiqua" w:cs="Book Antiqua" w:hint="eastAsia"/>
          <w:color w:val="000000"/>
          <w:lang w:eastAsia="zh-CN"/>
        </w:rPr>
        <w:t>]</w:t>
      </w:r>
      <w:r>
        <w:rPr>
          <w:rFonts w:ascii="Book Antiqua" w:eastAsia="Book Antiqua" w:hAnsi="Book Antiqua" w:cs="Book Antiqua"/>
          <w:color w:val="000000"/>
        </w:rPr>
        <w:t xml:space="preserve"> for the FJS.</w:t>
      </w:r>
    </w:p>
    <w:p w14:paraId="7A8EB95C" w14:textId="77777777" w:rsidR="00254CF6" w:rsidRDefault="00254CF6" w:rsidP="00254CF6">
      <w:pPr>
        <w:spacing w:line="360" w:lineRule="auto"/>
        <w:jc w:val="both"/>
        <w:rPr>
          <w:rFonts w:ascii="Book Antiqua" w:hAnsi="Book Antiqua" w:cs="Book Antiqua"/>
          <w:color w:val="000000"/>
          <w:lang w:eastAsia="zh-CN"/>
        </w:rPr>
      </w:pPr>
    </w:p>
    <w:p w14:paraId="506A03DF" w14:textId="77777777" w:rsidR="00A77B3E" w:rsidRDefault="00464B5F" w:rsidP="00254CF6">
      <w:pPr>
        <w:spacing w:line="360" w:lineRule="auto"/>
        <w:jc w:val="both"/>
      </w:pPr>
      <w:r>
        <w:rPr>
          <w:rFonts w:ascii="Book Antiqua" w:eastAsia="Book Antiqua" w:hAnsi="Book Antiqua" w:cs="Book Antiqua"/>
          <w:b/>
          <w:caps/>
          <w:color w:val="000000"/>
          <w:u w:val="single"/>
        </w:rPr>
        <w:t>DISCUSSION</w:t>
      </w:r>
    </w:p>
    <w:p w14:paraId="0E235FC0" w14:textId="37D1E3E9" w:rsidR="00A77B3E" w:rsidRDefault="00464B5F">
      <w:pPr>
        <w:spacing w:line="360" w:lineRule="auto"/>
        <w:jc w:val="both"/>
      </w:pPr>
      <w:bookmarkStart w:id="81" w:name="OLE_LINK160"/>
      <w:bookmarkStart w:id="82" w:name="OLE_LINK161"/>
      <w:r>
        <w:rPr>
          <w:rFonts w:ascii="Book Antiqua" w:eastAsia="Book Antiqua" w:hAnsi="Book Antiqua" w:cs="Book Antiqua"/>
          <w:color w:val="000000"/>
        </w:rPr>
        <w:t>The main result of this study is that the FJS is a valid and reliable tool for evaluation of PRO in posttraumatic condition after acetabular fracture. The SDC indicating a real clinical improvement after a change of 8.8 points between FJS assessments. We could confirm responsiveness of the FJS and found no relevant floor- or ceiling effects. This is the first study validating FJS in fractures of the hip joint</w:t>
      </w:r>
      <w:r w:rsidR="004E31FA" w:rsidRPr="004E31FA">
        <w:rPr>
          <w:rFonts w:ascii="Book Antiqua" w:eastAsia="Book Antiqua" w:hAnsi="Book Antiqua" w:cs="Book Antiqua"/>
          <w:color w:val="000000"/>
        </w:rPr>
        <w:t xml:space="preserve"> </w:t>
      </w:r>
      <w:r w:rsidR="004E31FA">
        <w:rPr>
          <w:rFonts w:ascii="Book Antiqua" w:eastAsia="Book Antiqua" w:hAnsi="Book Antiqua" w:cs="Book Antiqua"/>
          <w:color w:val="000000"/>
        </w:rPr>
        <w:t>according to the COSMIN checklist</w:t>
      </w:r>
      <w:r>
        <w:rPr>
          <w:rFonts w:ascii="Book Antiqua" w:eastAsia="Book Antiqua" w:hAnsi="Book Antiqua" w:cs="Book Antiqua"/>
          <w:color w:val="000000"/>
        </w:rPr>
        <w:t xml:space="preserve">. </w:t>
      </w:r>
    </w:p>
    <w:p w14:paraId="7E1D0524" w14:textId="77777777" w:rsidR="006A5201" w:rsidRDefault="006A5201">
      <w:pPr>
        <w:spacing w:line="360" w:lineRule="auto"/>
        <w:jc w:val="both"/>
        <w:rPr>
          <w:rFonts w:ascii="Book Antiqua" w:hAnsi="Book Antiqua" w:cs="Book Antiqua"/>
          <w:color w:val="000000"/>
          <w:lang w:eastAsia="zh-CN"/>
        </w:rPr>
      </w:pPr>
    </w:p>
    <w:p w14:paraId="3A5B1F5A" w14:textId="77777777" w:rsidR="00A77B3E" w:rsidRPr="006A5201" w:rsidRDefault="00464B5F">
      <w:pPr>
        <w:spacing w:line="360" w:lineRule="auto"/>
        <w:jc w:val="both"/>
        <w:rPr>
          <w:i/>
        </w:rPr>
      </w:pPr>
      <w:r w:rsidRPr="006A5201">
        <w:rPr>
          <w:rFonts w:ascii="Book Antiqua" w:eastAsia="Book Antiqua" w:hAnsi="Book Antiqua" w:cs="Book Antiqua"/>
          <w:b/>
          <w:bCs/>
          <w:i/>
          <w:color w:val="000000"/>
        </w:rPr>
        <w:t>Study design and patient population</w:t>
      </w:r>
    </w:p>
    <w:p w14:paraId="54CEA17A" w14:textId="77BAB4FB" w:rsidR="00A77B3E" w:rsidRDefault="00464B5F">
      <w:pPr>
        <w:spacing w:line="360" w:lineRule="auto"/>
        <w:jc w:val="both"/>
      </w:pPr>
      <w:r>
        <w:rPr>
          <w:rFonts w:ascii="Book Antiqua" w:eastAsia="Book Antiqua" w:hAnsi="Book Antiqua" w:cs="Book Antiqua"/>
          <w:color w:val="000000"/>
        </w:rPr>
        <w:t>An acetabular fracture is an uncommon but serious injury to the hip joint</w:t>
      </w:r>
      <w:r w:rsidR="00562057">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{"citationID":"lKAaVzvX","properties":{"formattedCitation":"\\super 2,6,8,9,14,26\\nosupersub{}","plainCitation":"2,6,8,9,14,26","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M."}],"issued":{"date-parts":[["1996",11]]}}},{"id":144,"uris":["http://zotero.org/users/local/QA4apqAk/items/9XELZYXD"],"uri":["http://zotero.org/users/local/QA4apqAk/items/9XELZYXD"],"itemData":{"id":144,"type":"article-journal","abstract":"BACKGROUND: Historically, the greatest residual (gap or step) displacement is used to predict clinical outcome following acetabular fracture surgery. Gap and step displacement may, however, impact the outcome to different degrees. We assessed the individual relationship between gap or step displacement and hip survivorship and determined their independent association with conversion to total hip arthroplasty.\nMETHODS: Patients who had acetabular fracture fixation (from 1992 through 2014), follow-up of ≥2 years (or early conversion to total hip arthroplasty), and postoperative computed tomography (CT) scans were included. Of 227 patients, 55 (24.2%) had conversion to total hip arthroplasty at a mean follow-up (and standard deviation) of 8.7 ± 5.6 years. Residual gap and step displacement were measured using a standardized CT-based method, and assessors were blinded to the outcome. Kaplan-Meier survivorship curves for the hips were plotted and compared (log-rank test) using critical cutoff values for gap and step displacement. These values were identified using receiver operating characteristic curves. Multivariate analysis was performed to identify independent variables associated with conversion to total hip arthroplasty. Subgroup analysis was performed in younger patients (&lt;50 years old).\nRESULTS: The critical CT cutoff value for total hip arthroplasty conversion was 5 mm for gap and 1 mm for step displacement. Hip survivorship at 10 years was 82.0% for patients with a gap of &lt;5 mm compared with 56.5% for a gap of ≥5 mm (p &lt; 0.001) and 80.0% for a step of &lt;1.0 mm versus 65.5% for a step of ≥1.0 mm (p = 0.012). A gap of ≥5 mm (hazard ratio [HR], 2.3; p = 0.012) and an age of ≥50 years (HR, 4.2; p &lt; 0.001) were independently associated with conversion to total hip arthroplasty in all patients. In the subgroup of younger patients, only a step of ≥1 mm (HR, 6.4; p = 0.017) was an independent factor for conversion to total hip arthroplasty.\nCONCLUSIONS: Residual gap and step displacement as measured on CT scans are both related to long-term hip survivorship, but step displacement (1 mm) is tolerated less than gap displacement (5 mm). Of the 2 types of displacement, only a large gap displacement (≥5 mm) was independently associated with conversion to total hip arthroplasty. In younger patients who had less articular impaction with smaller residual gaps, only step displacement (≥1 mm) appeared to be associated with this outcome.\nLEVEL OF EVIDENCE: Prognostic Level III. See Instructions for Authors for a complete description of levels of evidence.","container-title":"The Journal of Bone and Joint Surgery. American Volume","DOI":"10.2106/JBJS.17.00692","ISSN":"1535-1386","issue":"11","journalAbbreviation":"J Bone Joint Surg Am","language":"eng","note":"PMID: 29870442","page":"922-929","source":"PubMed","title":"Predictors for Long-Term Hip Survivorship Following Acetabular Fracture Surgery: Importance of Gap Compared with Step Displacement","title-short":"Predictors for Long-Term Hip Survivorship Following Acetabular Fracture Surgery","volume":"100","author":[{"family":"Verbeek","given":"Diederik O."},{"family":"List","given":"Jelle P.","non-dropping-particle":"van der"},{"family":"Tissue","given":"Camden M."},{"family":"Helfet","given":"David L."}],"issued":{"date-parts":[["2018",6,6]]}}},{"id":5,"uris":["http://zotero.org/users/local/QA4apqAk/items/M2CIZY2A"],"uri":["http://zotero.org/users/local/QA4apqAk/items/M2CIZY2A"],"itemData":{"id":5,"type":"article-journal","abstract":"Background\nDue to demographic changes, more and more fracture patterns involving anterior acetabular structures occur. The infra-acetabular screw is seen a useful tool to increase stability in fixation of the acetabular cup. However, the exact position of this screw in relation to anatomic landmarks which are intra-operatively palpable via an intra-pelvic approach has not yet been determined.\n\nMethods\nThis biomorphometric experimental study references the ideal screw position of an infra-acetabular screw to anatomic landmarks palpable via an intra-pelvic approach. Therefore, we created a computer tomography-based 3D-model of 40 patients (20 women, 20 men) who received a computer tomography (CT) scan of the pelvis for any other reason than an acetabular fracture.\n\nResults\nThe entry point of an ideal infra-acetabular was of high constancy. At mean, this point was 10.2 mm caudal and 10.4 mm medial of the ilio-pubic/ilio-pectineal eminence. This reference is independent of age, gender, or physical dimensions. However, we found gender-dependent differences for the angulation and the length of the screw.\n\nConclusions\nThis study provides a comprehensive guideline to determine the ideal entry point for an infra-acetabular screw via an intra-pelvic approach. The entry point is located 10.2 mm caudal and 10.4 mm medial of the ilio-pubic/ilio-pectineal eminence.\n\nTrial registration\nClinical Trial Registry University of Regensburg Z-2017-0930-1. Registered 04. Dec 2017.","container-title":"Journal of Orthopaedic Surgery and Research","DOI":"10.1186/s13018-018-0786-1","ISSN":"1749-799X","journalAbbreviation":"J Orthop Surg Res","note":"PMID: 29631637\nPMCID: PMC5892032","source":"PubMed Central","title":"A guideline for placement of an infra-acetabular screw based on anatomic landmarks via an intra-pelvic approach","URL":"https://www.ncbi.nlm.nih.gov/pmc/articles/PMC5892032/","volume":"13","author":[{"family":"Baumann","given":"Florian"},{"family":"Schmitz","given":"Paul"},{"family":"Mahr","given":"Daniel"},{"family":"Kerschbaum","given":"Maximilian"},{"family":"Gänsslen","given":"Axel"},{"family":"Nerlich","given":"Michael"},{"family":"Worlicek","given":"Michael"}],"accessed":{"date-parts":[["2020",2,18]]},"issued":{"date-parts":[["2018",4,10]]}}},{"id":121,"uris":["http://zotero.org/users/local/QA4apqAk/items/Y9W8GD97"],"uri":["http://zotero.org/users/local/QA4apqAk/items/Y9W8GD97"],"itemData":{"id":121,"type":"article-journal","abstract":"This study examined retrospectively the clinical and radiographic features of acute displaced acetabular fractures which heavily influence the quality of an open reduction and clinical outcome. Of 424 acute fractures (119 simple and 305 associated injuries) in 411 patients, the mean time from the injury to surgery was 8.2 days (range, 0-21 days). The mean age of the patients was 46.5 years (range, 13-89 years), and followup was an average of 9.3 years (range, 3-21 years). For the 424 hips, the reduction was anatomic in 282 (67%), imperfect in 90 (21%), poor in 39 (9%), and secondarily congruent in 13 both-column fractures (3%). The quality of the reductions markedly deteriorated with advancing age. Clinically, the Harris hip score was excellent in 179 (42%), good in 126 (30%), fair in 54 (13%), and poor in 65 (15%). Excellent or good clinical outcomes were recorded in 249 of 282 patients (89%) with an anatomic reduction. Of the 119 patients with fair and poor results, 92 patients (77%) had complicating factors recognizable at clinical presentation, including extensive impaction, articular abrasion, a femoral head or neck fracture, or endogenous obesity. Although stable anatomic reduction of most displaced acetabular fractures affords the optimal prognosis, especially in younger patients, the initial clinical and radiologic evaluations delineate a sizable minority with poorly prognostic features that favor a poor clinical outcome after internal fixation, by minimizing the likelihood for an anatomic reduction or compromising the outcome despite an anatomic reduction. With the rapidly aging population accentuating this trend, a reappraisal for the role of the current therapeutic alternatives of nonoperative treatment, a limited open reduction, or an acute total hip replacement merits review.","container-title":"Clinical Orthopaedics and Related Research","DOI":"10.1097/00003086-200302000-00026","ISSN":"0009-921X","issue":"407","journalAbbreviation":"Clin Orthop Relat Res","language":"eng","note":"PMID: 12567145","page":"173-186","source":"PubMed","title":"Displaced acetabular fractures managed operatively: indicators of outcome","title-short":"Displaced acetabular fractures managed operatively","author":[{"family":"Mears","given":"Dana C."},{"family":"Velyvis","given":"John H."},{"family":"Chang","given":"Chih-Peng"}],"issued":{"date-parts":[["2003",2]]}}}],"schema":"https://github.com/citation-style-language/schema/raw/master/csl-citation.json"}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2,6,8,9,14,26</w:t>
      </w:r>
      <w:r w:rsidR="00A61A15">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surgeon-based view on clinical and functional outcomes after acetabular fracture is well documented in literature</w:t>
      </w:r>
      <w:r w:rsidR="00562057">
        <w:rPr>
          <w:rFonts w:ascii="Book Antiqua" w:hAnsi="Book Antiqua" w:cs="Book Antiqua" w:hint="eastAsia"/>
          <w:color w:val="000000"/>
          <w:vertAlign w:val="superscript"/>
          <w:lang w:eastAsia="zh-CN"/>
        </w:rPr>
        <w:t>[</w:t>
      </w:r>
      <w:r w:rsidR="00A61A15">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{"citationID":"y8heWs16","properties":{"formattedCitation":"\\super 1,4,5,26\\uc0\\u8211{}29\\nosupersub{}","plainCitation":"1,4,5,26–29","noteIndex":0},"citationItems":[{"id":114,"uris":["http://zotero.org/users/local/QA4apqAk/items/J5NIL3MU"],"uri":["http://zotero.org/users/local/QA4apqAk/items/J5NIL3MU"],"itemData":{"id":114,"type":"article-journal","abstract":"We report the outcome of 161 of 257 surgically fixed acetabular fractures. The operations were undertaken between 1989 and 1998 and the patients were followed for a minimum of ten years. Anthropometric data, fracture pattern, time to surgery, associated injuries, surgical approach, complications and outcome were recorded. Modified Merle D'Aubigné score and Matta radiological scoring systems were used as outcome measures. We observed simple fractures in 108 patients (42%) and associated fractures in 149 (58%). The result was excellent in 75 patients (47%), good in 41 (25%), fair in 12 (7%) and poor in 33 (20%). Poor prognostic factors included increasing age, delay to surgery, quality of reduction and some fracture patterns. Complications were common in the medium- to long-term and functional outcome was variable. The gold-standard treatment for displaced acetabular fractures remains open reduction and internal fixation performed in dedicated units by specialist surgeons as soon as possible.","container-title":"The Journal of Bone and Joint Surgery. British Volume","DOI":"10.1302/0301-620X.93B2.24056","ISSN":"2044-5377","issue":"2","journalAbbreviation":"J Bone Joint Surg Br","language":"eng","note":"PMID: 21282764","page":"229-236","source":"PubMed","title":"Outcomes of acetabular fracture fixation with ten years' follow-up","volume":"93","author":[{"family":"Briffa","given":"N."},{"family":"Pearce","given":"R."},{"family":"Hill","given":"A. M."},{"family":"Bircher","given":"M."}],"issued":{"date-parts":[["2011",2]]}}},{"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0.001) and surgical treatment of the acetabular fracture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0.04). Complex fracture patterns were accompanied by acetabular bone defects more often than simple patterns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121,"uris":["http://zotero.org/users/local/QA4apqAk/items/Y9W8GD97"],"uri":["http://zotero.org/users/local/QA4apqAk/items/Y9W8GD97"],"itemData":{"id":121,"type":"article-journal","abstract":"This study examined retrospectively the clinical and radiographic features of acute displaced acetabular fractures which heavily influence the quality of an open reduction and clinical outcome. Of 424 acute fractures (119 simple and 305 associated injuries) in 411 patients, the mean time from the injury to surgery was 8.2 days (range, 0-21 days). The mean age of the patients was 46.5 years (range, 13-89 years), and followup was an average of 9.3 years (range, 3-21 years). For the 424 hips, the reduction was anatomic in 282 (67%), imperfect in 90 (21%), poor in 39 (9%), and secondarily congruent in 13 both-column fractures (3%). The quality of the reductions markedly deteriorated with advancing age. Clinically, the Harris hip score was excellent in 179 (42%), good in 126 (30%), fair in 54 (13%), and poor in 65 (15%). Excellent or good clinical outcomes were recorded in 249 of 282 patients (89%) with an anatomic reduction. Of the 119 patients with fair and poor results, 92 patients (77%) had complicating factors recognizable at clinical presentation, including extensive impaction, articular abrasion, a femoral head or neck fracture, or endogenous obesity. Although stable anatomic reduction of most displaced acetabular fractures affords the optimal prognosis, especially in younger patients, the initial clinical and radiologic evaluations delineate a sizable minority with poorly prognostic features that favor a poor clinical outcome after internal fixation, by minimizing the likelihood for an anatomic reduction or compromising the outcome despite an anatomic reduction. With the rapidly aging population accentuating this trend, a reappraisal for the role of the current therapeutic alternatives of nonoperative treatment, a limited open reduction, or an acute total hip replacement merits review.","container-title":"Clinical Orthopaedics and Related Research","DOI":"10.1097/00003086-200302000-00026","ISSN":"0009-921X","issue":"407","journalAbbreviation":"Clin Orthop Relat Res","language":"eng","note":"PMID: 12567145","page":"173-186","source":"PubMed","title":"Displaced acetabular fractures managed operatively: indicators of outcome","title-short":"Displaced acetabular fractures managed operatively","author":[{"family":"Mears","given":"Dana C."},{"family":"Velyvis","given":"John H."},{"family":"Chang","given":"Chih-Peng"}],"issued":{"date-parts":[["2003",2]]}}},{"id":112,"uris":["http://zotero.org/users/local/QA4apqAk/items/4WL4ME8T"],"uri":["http://zotero.org/users/local/QA4apqAk/items/4WL4ME8T"],"itemData":{"id":112,"type":"article-journal","abstract":"BACKGROUND: Acetabular fractures in the elderly are associated with high levels of morbidity and mortality. Despite advances in operative techniques, there remains a cohort of elderly, extremely frail patients with comminuted fractures who are considered unfit for surgery and are treated conservatively. We aim to assess mortality, mobility and radiological outcomes one-year post injury in this challenging cohort.\nMETHODS: We performed a review of the regional Fracture Outcome and Research Database for patients over 65 with associated type acetabular fractures which were treated conservatively. We collected data on demographics, fracture classification, pre-injury mobility and habitation, and length of acute hospital stay. Mobility status, habitation, radiographic result and mortality were also recorded at one-year post injury.\nRESULTS: There were 49 patients with a mean age of 80 years. The mean estimated American Society of Anaesthesiologist (ASA) score was 3.1. 92% sustained a low energy injury, and the most common fracture pattern was anterior posterior hemi-transverse (84%). Mean acute hospital stay was 20 days and mortality was 24% at one year. 56% of patients maintained habitation in their own home and 35% returned to their premorbid level of mobility. Of the surviving patients, 30% had an 'excellent/good' reduction on x-ray at one year, 70% had a 'fair/poor' reduction. There was no correlation between fracture reduction and either one year mobility status or maintenance of mobility.\nCONCLUSIONS: The data confirms that conservatively managed complex acetabular fractures in the elderly, frail patient are associated with a significant reduction in mobility and living independence, a high level of mortality and poor radiological outcomes.\nIMPLICATIONS: Conservative management of this cohort is associated with poor outcomes and current operative solutions are unsuitable for this frail cohort of patients. Future developments should focus on minimising surgical insult and allowing weight bearing mobilisation to maximise the rehabilitation potential in this frail cohort.","container-title":"Injury","DOI":"10.1016/j.injury.2019.12.008","ISSN":"1879-0267","issue":"2","journalAbbreviation":"Injury","language":"eng","note":"PMID: 31843199","page":"347-351","source":"PubMed","title":"Outcomes of conservatively managed complex acetabular fractures in the frail and elderly one year post injury","volume":"51","author":[{"family":"Baker","given":"Gavin"},{"family":"McMahon","given":"Samuel E."},{"family":"Warnock","given":"Michael"},{"family":"Johnston","given":"Andrew"},{"family":"Cusick","given":"Laurence A."}],"issued":{"date-parts":[["2020",2]]}}},{"id":117,"uris":["http://zotero.org/users/local/QA4apqAk/items/4M5TVFLV"],"uri":["http://zotero.org/users/local/QA4apqAk/items/4M5TVFLV"],"itemData":{"id":117,"type":"article-journal","abstract":"BACKGROUND: Traumatic hip dislocation with fracture of the posterior acetabular wall is associated with high rates of residual invalidity.\nMETHODS: The records of patients who underwent surgical treatment of traumatic dislocation of the hip associated with an isolated fracture of the posterior acetabular wall from 1999 to 2009 were reviewed. There were 30 men and 12 women, who at the time of the trauma had a mean age of 42 years (range 21-65). Mean follow-up duration was 5 years (range 2-10). Pre-operative fracture evaluation was based on the classification of Judet et al. which divided this fractures into three types: type 1 is characterized by a single fracture line separating a single bone fragment from the remaining part of the posterior wall; type 2 fracture involves several fragments of the posterior wall and in type 3, a type 1 or type 2 fracture is associated with a sunk cancellous area in the acetabular wall medial to the fracture line but not affected by it, due to the shear impact of the femoral head at the time of dislocation. Clinical evaluation of the outcome was according to the criteria of Merle D'Aubigné and Postel as modified by Matta. Outcomes were divided into excellent/good and fair/poor. Since treatment was standard, data were further analyzed to assess the relative importance of age, sex, follow-up duration, sciatic nerve lesion on admission and mechanism of injury, using the Chi-square test.\nRESULTS: Full clinical recovery without sequelae or radiographic abnormalities was achieved by 10 patients, 8 with type 1 fracture and 2 with type 2 fracture. A good outcome was seen in 13 patients, 3 with type 1 fracture, 9 with type 2 fracture and 1 with type 3 fracture. Eight patients, 3 with type 2 fracture and 5 with type 3 fracture, had a fair outcome. Only follow-up ≥6 years influenced outcome significantly (p &gt; 0.005).\nCONCLUSION: Our conclusions in light of our experience are that in type 1 lesions, anatomical reduction and stabilization achieve excellent outcomes, both clinical and radiographic; type 2 fractures pose greater prognostic problems because their outcome is determined by the success of the reduction and fixation of a multi-fragment fracture; finally, different considerations apply to type 3 fractures, which present varying degrees of comminution and an impacted acetabular surface: their outcome depends on the quality of the anatomical and morphological restoration of acetabular congruence.","container-title":"European Journal of Orthopaedic Surgery &amp; Traumatology: Orthopedie Traumatologie","DOI":"10.1007/s00590-013-1200-7","ISSN":"1633-8065","issue":"3","journalAbbreviation":"Eur J Orthop Surg Traumatol","language":"eng","note":"PMID: 23467885","page":"341-346","source":"PubMed","title":"Outcome of unstable isolated fractures of the posterior acetabular wall associated with hip dislocation","volume":"24","author":[{"family":"Palma","given":"L.","non-dropping-particle":"de"},{"family":"Santucci","given":"A."},{"family":"Verdenelli","given":"A."},{"family":"Bugatti","given":"M. G."},{"family":"Meco","given":"L."},{"family":"Marinelli","given":"M."}],"issued":{"date-parts":[["2014",4]]}}},{"id":123,"uris":["http://zotero.org/users/local/QA4apqAk/items/4YAY8M2N"],"uri":["http://zotero.org/users/local/QA4apqAk/items/4YAY8M2N"],"itemData":{"id":123,"type":"article-journal","abstract":"OBJECTIVES: To evaluate radiological fracture reduction and clinical results using the pararectus approach in complex acetabular fractures involving the anterior column.\nDESIGN: Retrospective database analysis of prospectively collected data.\nSETTING: Level 1 trauma center.\nPATIENTS/PARTICIPANTS: 61 patients (48 male and 13 female) with a median age of 55 (range 17-91) years were included. According to the chosen surgical approach, they were divided into 2 groups. The P-group included 43 patients, among them 32 male and 11 female patients with a median age of 55 (range 17-90) years. Eighteen patients [16 male, 2 female; median age: 53 (range 23-91) years] were treated through the ilioinguinal approach (I-group).\nINTERVENTION: Anterior surgical procedures through the pararectus or the ilioinguinal approach.\nMAIN OUTCOME MEASURED: Reduction results were rated according to the modified Matta criteria using a measurement protocol of hip joint gaps and steps in computed tomography scans. Operation time, complications, and clinical outcomes median one year postoperatively were compared.\nRESULTS: In the pararectus group reduction was anatomical in 21 out of 40 analyzed patients (52.5%), imperfect in 11 patients (27.5%), and poor in 8 patients (20%). The mean joint step reduction was 3.7 mm, and the mean joint gap reduction was 12.1 mm. In the ilioinguinal group reduction was anatomical in 9 out of 18 patients (50%), imperfect in 4 patients (22%), and poor in 5 patients (28%). The mean joint step reduction was 1 mm, and the mean joint gap reduction was 7 mm. Operation time was significantly shorter in the P-group (mean: 49 minutes; P &lt; 0.001).\nCONCLUSIONS: This study indicates that acetabular fracture reduction using the pararectus approach is at least comparable with the ilioinguinal approach independent of patients' age. A relevant advantage of the pararectus approach was seen in a significantly shorter operation time.\nLEVEL OF EVIDENCE: Therapeutic Level III. See Instructions for Authors for a complete description of levels of evidence.","container-title":"Journal of Orthopaedic Trauma","DOI":"10.1097/BOT.0000000000001636","ISSN":"1531-2291","issue":"2","journalAbbreviation":"J Orthop Trauma","language":"eng","note":"PMID: 31714471\nPMCID: PMC6970543","page":"82-88","source":"PubMed","title":"The Pararectus Approach in Acetabular Surgery: Radiological and Clinical Outcome","title-short":"The Pararectus Approach in Acetabular Surgery","volume":"34","author":[{"family":"Wenzel","given":"Lisa"},{"family":"Rüden","given":"Christian","non-dropping-particle":"von"},{"family":"Thannheimer","given":"Andreas"},{"family":"Becker","given":"Johannes"},{"family":"Brand","given":"Andreas"},{"family":"Augat","given":"Peter"},{"family":"Perl","given":"Mario"}],"issued":{"date-parts":[["2020",2]]}}}],"schema":"https://github.com/citation-style-language/schema/raw/master/csl-citation.json"} </w:instrText>
      </w:r>
      <w:r w:rsidR="00A61A15">
        <w:rPr>
          <w:rFonts w:ascii="Book Antiqua" w:eastAsia="Book Antiqua" w:hAnsi="Book Antiqua" w:cs="Book Antiqua"/>
          <w:color w:val="000000"/>
        </w:rPr>
        <w:fldChar w:fldCharType="separate"/>
      </w:r>
      <w:r w:rsidR="00782942" w:rsidRPr="00782942">
        <w:rPr>
          <w:rFonts w:ascii="Book Antiqua" w:hAnsi="Book Antiqua"/>
          <w:vertAlign w:val="superscript"/>
        </w:rPr>
        <w:t>1,4,5,26–29</w:t>
      </w:r>
      <w:r w:rsidR="00A61A15">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Operative management has become the standard </w:t>
      </w:r>
      <w:r>
        <w:rPr>
          <w:rFonts w:ascii="Book Antiqua" w:eastAsia="Book Antiqua" w:hAnsi="Book Antiqua" w:cs="Book Antiqua"/>
          <w:color w:val="000000"/>
        </w:rPr>
        <w:lastRenderedPageBreak/>
        <w:t>treatment for displaced fractures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{"citationID":"xZyVqXcW","properties":{"formattedCitation":"\\super 2,6,8,26,28,30\\nosupersub{}","plainCitation":"2,6,8,26,28,30","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M."}],"issued":{"date-parts":[["1996",11]]}}},{"id":121,"uris":["http://zotero.org/users/local/QA4apqAk/items/Y9W8GD97"],"uri":["http://zotero.org/users/local/QA4apqAk/items/Y9W8GD97"],"itemData":{"id":121,"type":"article-journal","abstract":"This study examined retrospectively the clinical and radiographic features of acute displaced acetabular fractures which heavily influence the quality of an open reduction and clinical outcome. Of 424 acute fractures (119 simple and 305 associated injuries) in 411 patients, the mean time from the injury to surgery was 8.2 days (range, 0-21 days). The mean age of the patients was 46.5 years (range, 13-89 years), and followup was an average of 9.3 years (range, 3-21 years). For the 424 hips, the reduction was anatomic in 282 (67%), imperfect in 90 (21%), poor in 39 (9%), and secondarily congruent in 13 both-column fractures (3%). The quality of the reductions markedly deteriorated with advancing age. Clinically, the Harris hip score was excellent in 179 (42%), good in 126 (30%), fair in 54 (13%), and poor in 65 (15%). Excellent or good clinical outcomes were recorded in 249 of 282 patients (89%) with an anatomic reduction. Of the 119 patients with fair and poor results, 92 patients (77%) had complicating factors recognizable at clinical presentation, including extensive impaction, articular abrasion, a femoral head or neck fracture, or endogenous obesity. Although stable anatomic reduction of most displaced acetabular fractures affords the optimal prognosis, especially in younger patients, the initial clinical and radiologic evaluations delineate a sizable minority with poorly prognostic features that favor a poor clinical outcome after internal fixation, by minimizing the likelihood for an anatomic reduction or compromising the outcome despite an anatomic reduction. With the rapidly aging population accentuating this trend, a reappraisal for the role of the current therapeutic alternatives of nonoperative treatment, a limited open reduction, or an acute total hip replacement merits review.","container-title":"Clinical Orthopaedics and Related Research","DOI":"10.1097/00003086-200302000-00026","ISSN":"0009-921X","issue":"407","journalAbbreviation":"Clin Orthop Relat Res","language":"eng","note":"PMID: 12567145","page":"173-186","source":"PubMed","title":"Displaced acetabular fractures managed operatively: indicators of outcome","title-short":"Displaced acetabular fractures managed operatively","author":[{"family":"Mears","given":"Dana C."},{"family":"Velyvis","given":"John H."},{"family":"Chang","given":"Chih-Peng"}],"issued":{"date-parts":[["2003",2]]}}},{"id":117,"uris":["http://zotero.org/users/local/QA4apqAk/items/4M5TVFLV"],"uri":["http://zotero.org/users/local/QA4apqAk/items/4M5TVFLV"],"itemData":{"id":117,"type":"article-journal","abstract":"BACKGROUND: Traumatic hip dislocation with fracture of the posterior acetabular wall is associated with high rates of residual invalidity.\nMETHODS: The records of patients who underwent surgical treatment of traumatic dislocation of the hip associated with an isolated fracture of the posterior acetabular wall from 1999 to 2009 were reviewed. There were 30 men and 12 women, who at the time of the trauma had a mean age of 42 years (range 21-65). Mean follow-up duration was 5 years (range 2-10). Pre-operative fracture evaluation was based on the classification of Judet et al. which divided this fractures into three types: type 1 is characterized by a single fracture line separating a single bone fragment from the remaining part of the posterior wall; type 2 fracture involves several fragments of the posterior wall and in type 3, a type 1 or type 2 fracture is associated with a sunk cancellous area in the acetabular wall medial to the fracture line but not affected by it, due to the shear impact of the femoral head at the time of dislocation. Clinical evaluation of the outcome was according to the criteria of Merle D'Aubigné and Postel as modified by Matta. Outcomes were divided into excellent/good and fair/poor. Since treatment was standard, data were further analyzed to assess the relative importance of age, sex, follow-up duration, sciatic nerve lesion on admission and mechanism of injury, using the Chi-square test.\nRESULTS: Full clinical recovery without sequelae or radiographic abnormalities was achieved by 10 patients, 8 with type 1 fracture and 2 with type 2 fracture. A good outcome was seen in 13 patients, 3 with type 1 fracture, 9 with type 2 fracture and 1 with type 3 fracture. Eight patients, 3 with type 2 fracture and 5 with type 3 fracture, had a fair outcome. Only follow-up ≥6 years influenced outcome significantly (p &gt; 0.005).\nCONCLUSION: Our conclusions in light of our experience are that in type 1 lesions, anatomical reduction and stabilization achieve excellent outcomes, both clinical and radiographic; type 2 fractures pose greater prognostic problems because their outcome is determined by the success of the reduction and fixation of a multi-fragment fracture; finally, different considerations apply to type 3 fractures, which present varying degrees of comminution and an impacted acetabular surface: their outcome depends on the quality of the anatomical and morphological restoration of acetabular congruence.","container-title":"European Journal of Orthopaedic Surgery &amp; Traumatology: Orthopedie Traumatologie","DOI":"10.1007/s00590-013-1200-7","ISSN":"1633-8065","issue":"3","journalAbbreviation":"Eur J Orthop Surg Traumatol","language":"eng","note":"PMID: 23467885","page":"341-346","source":"PubMed","title":"Outcome of unstable isolated fractures of the posterior acetabular wall associated with hip dislocation","volume":"24","author":[{"family":"Palma","given":"L.","non-dropping-particle":"de"},{"family":"Santucci","given":"A."},{"family":"Verdenelli","given":"A."},{"family":"Bugatti","given":"M. G."},{"family":"Meco","given":"L."},{"family":"Marinelli","given":"M."}],"issued":{"date-parts":[["2014",4]]}}},{"id":173,"uris":["http://zotero.org/users/local/QA4apqAk/items/SZIJZ95C"],"uri":["http://zotero.org/users/local/QA4apqAk/items/SZIJZ95C"],"itemData":{"id":173,"type":"article-journal","container-title":"Journal De Chirurgie","ISSN":"1773-0422","journalAbbreviation":"J Chir (Paris)","language":"fre","note":"PMID: 13761246","page":"47-87","source":"PubMed","title":"[Fractures of the cotyloid cavity, study of a series of 75 cases]","volume":"82","author":[{"family":"Letournel","given":"E."}],"issued":{"date-parts":[["1961",8]]}}}],"schema":"https://github.com/citation-style-language/schema/raw/master/csl-citation.json"}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2,6,8,26,28,30</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Even though technical advancements have led to major improvements in management of these injuries, there is still a relevant number of cases leading to poor clinical outcomes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{"citationID":"100rTqOB","properties":{"formattedCitation":"\\super 5,6\\nosupersub{}","plainCitation":"5,6","noteIndex":0},"citationItems":[{"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138,"uris":["http://zotero.org/users/local/QA4apqAk/items/5CVRHRAM"],"uri":["http://zotero.org/users/local/QA4apqAk/items/5CVRHRAM"],"itemData":{"id":138,"type":"article-journal","abstract":"Over the past 40 years, the management of displaced fractures of the acetabulum has changed from conservative to operative. We have undertaken a meta-analysis to evaluate the classification, the incidence of complications and the functional outcome of patients who had undergone operative treatment of such injuries. We analysed a total of 3670 fractures. The most common long-term complication was osteoarthritis which occurred in approximately 20% of the patients. Other late complications, including heterotopic ossification and avascular necrosis of the femoral head, were present in less than 10%. However, only 8% of patients who were treated surgically needed a further operation, usually a hip arthroplasty, and between 75% and 80% of patients gained an excellent or good result at a mean of five years after injury. Factors influencing the functional outcome included the type of fracture and/or dislocation, damage to the femoral head, associated injuries and co-morbidity which can be considered to be non-controllable, and the timing of the operation, the surgical approach, the quality of reduction and local complications which are all controllable. The treatment of these injuries is challenging. Tertiary referrals need to be undertaken as early as possible, since the timing of surgery is of the utmost importance. It is important, at operation, to obtain the most accurate reduction of the fracture which is possible, with a minimal surgical approach, as both are related to improved outcome.","container-title":"The Journal of Bone and Joint Surgery. British Volume","ISSN":"0301-620X","issue":"1","journalAbbreviation":"J Bone Joint Surg Br","language":"eng","note":"PMID: 15686228","page":"2-9","source":"PubMed","title":"Operative treatment of displaced fractures of the acetabulum. A meta-analysis","volume":"87","author":[{"family":"Giannoudis","given":"P. V."},{"family":"Grotz","given":"M. R. W."},{"family":"Papakostidis","given":"C."},{"family":"Dinopoulos","given":"H."}],"issued":{"date-parts":[["2005",1]]}}}],"schema":"https://github.com/citation-style-language/schema/raw/master/csl-citation.json"}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5,6</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presented outcome studies mainly reflect short-term outcomes with a focus on risk factors leading to early failure with posttraumatic rapid-progressive joint degeneration like quality of reduction or stability of the </w:t>
      </w:r>
      <w:proofErr w:type="spellStart"/>
      <w:r>
        <w:rPr>
          <w:rFonts w:ascii="Book Antiqua" w:eastAsia="Book Antiqua" w:hAnsi="Book Antiqua" w:cs="Book Antiqua"/>
          <w:color w:val="000000"/>
        </w:rPr>
        <w:t>osteosynthetic</w:t>
      </w:r>
      <w:proofErr w:type="spellEnd"/>
      <w:r>
        <w:rPr>
          <w:rFonts w:ascii="Book Antiqua" w:eastAsia="Book Antiqua" w:hAnsi="Book Antiqua" w:cs="Book Antiqua"/>
          <w:color w:val="000000"/>
        </w:rPr>
        <w:t xml:space="preserve"> fixation</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{"citationID":"CEKsxeW5","properties":{"formattedCitation":"\\super 2,4,5,7\\nosupersub{}","plainCitation":"2,4,5,7","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M."}],"issued":{"date-parts":[["2012",9,5]]}}},{"id":134,"uris":["http://zotero.org/users/local/QA4apqAk/items/FZ6RCQQC"],"uri":["http://zotero.org/users/local/QA4apqAk/items/FZ6RCQQC"],"itemData":{"id":134,"type":"article-journal","abstract":"BACKGROUND: Total hip arthroplasty (THA) is a challenging option for the treatment of posttraumatic arthritis due to acetabular fractures.\nMETHODS: The study aimed to determine the short- and mid-term clinical and radiographic results of THA following acetabular fracture. The fracture pattern, the extent of injury and the initial fracture treatment were considered to evaluate the influence of these factors on the clinical-radiographic outcome.\nRESULTS: 67 patients who received THA for the treatment of posttraumatic osteoarthritis after acetabular fracture between January 2007 and December 2012 were analyzed consecutively. The group consisted of 13 female (19%) and 54 male (81%) patients with a mean age of 59 (25-87) years at the time of THA. The time between acetabular injury and arthroplasty was 107 (1-504) months on average. The all-cause 8-year survival rate was 0.87% (0.76-0.93) and there were 8 revisions, half of them were due to aseptic loosening of the cup. The Harris Hip Score achieved was 75.7</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21.3 (26.9-100) points. Prior to THA, heterotopic ossifications were detected in 28% and after THA implantation in 42%.\nCONCLUSION: The decrease of the interval between injury and arthroplasty was associated with increasing patient age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0.001) and surgical treatment of the acetabular fracture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0.04). Complex fracture patterns were accompanied by acetabular bone defects more often than simple patterns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 Overall, arthroplasty due to posttraumatic osteoarthritis after acetabular fracture resulted in decreased overall survival rates and poorer clinical outcome as compared to primary arthroplasty.","container-title":"Archives of Orthopaedic and Trauma Surgery","DOI":"10.1007/s00402-019-03272-x","ISSN":"1434-3916","issue":"3","journalAbbreviation":"Arch Orthop Trauma Surg","language":"eng","note":"PMID: 31501930","page":"331-341","source":"PubMed","title":"Total hip arthroplasty following acetabular fracture: a clinical and radiographic outcome analysis of 67 patients","title-short":"Total hip arthroplasty following acetabular fracture","volume":"140","author":[{"family":"Busch","given":"André"},{"family":"Stöckle","given":"Ulrich"},{"family":"Schreiner","given":"Anna"},{"family":"Zwaart","given":"Peter","non-dropping-particle":"de"},{"family":"Schäffler","given":"Aljoscha"},{"family":"Ochs","given":"Björn Gunnar"}],"issued":{"date-parts":[["2020",3]]}}},{"id":136,"uris":["http://zotero.org/users/local/QA4apqAk/items/H4YI5VBT"],"uri":["http://zotero.org/users/local/QA4apqAk/items/H4YI5VBT"],"itemData":{"id":136,"type":"article-journal","abstract":"BACKGROUND: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140,"uris":["http://zotero.org/users/local/QA4apqAk/items/RH8QVSWX"],"uri":["http://zotero.org/users/local/QA4apqAk/items/RH8QVSWX"],"itemData":{"id":140,"type":"article-journal","abstract":"PURPOSE: To determine if initial treatment affects the outcome of total hip arthroplasty (THA) after acetabular fracture.\nMETHODS: 49 patients (49 hips) initially treated non-operatively followed some months later by THA in conjunction with acetabular reconstruction (Group 1) and 29 patients (29 hips) who had undergone THA after a previous osteosynthesis (Group 2) were assessed. The mean follow-up was 11.7 (range 5-23) years.\nRESULTS: 3 acetabular components were revised for aseptic loosening in Group 1 and 2 in Group 2. The survival rate for cup loosening at 16 years was 90.6% (95% confidence interval [CI], 78.1-100) for Group 1 and 94.1% (95% CI, 86.5-100) for Group 2 (p = 0.76). There were 2 sciatic palsies in Group 2 after osteosynthesis. The mean preoperative clinical score and postoperative range of mobility were better in Group 1. There were more heterotopic ossifications in Group 2.\nCONCLUSION: Despite the good results found in both groups, THA after previous osteosynthesis for acetabular fractures had more complications than a primary THA in conjunction with acetabular reconstruction.","container-title":"Hip International: The Journal of Clinical and Experimental Research on Hip Pathology and Therapy","DOI":"10.1177/1120700019836413","ISSN":"1724-6067","issue":"3","journalAbbreviation":"Hip Int","language":"eng","note":"PMID: 30912452","page":"339-346","source":"PubMed","title":"Total hip arthroplasty after acetabular fracture: does initial treatment make any difference to the outcome? A 5- to 23-year follow-up with clinical and radiological analysis","title-short":"Total hip arthroplasty after acetabular fracture","volume":"30","author":[{"family":"García-Rey","given":"Eduardo"},{"family":"Sirianni","given":"Rossella"},{"family":"García-Cimbrelo","given":"Eduardo"},{"family":"Sedel","given":"Laurent"}],"issued":{"date-parts":[["2020",5]]}}}],"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2,4,5,7</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However, there is a variety of symptoms sensed by the patient and the patient’s perspective are neglected by most studies on QoL after acetabular fracture</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{"citationID":"GlimPVWF","properties":{"formattedCitation":"\\super 1,2,5,7,8,31\\nosupersub{}","plainCitation":"1,2,5,7,8,31","noteIndex":0},"citationItems":[{"id":114,"uris":["http://zotero.org/users/local/QA4apqAk/items/J5NIL3MU"],"uri":["http://zotero.org/users/local/QA4apqAk/items/J5NIL3MU"],"itemData":{"id":114,"type":"article-journal","abstract":"We report the outcome of 161 of 257 surgically fixed acetabular fractures. The operations were undertaken between 1989 and 1998 and the patients were followed for a minimum of ten years. Anthropometric data, fracture pattern, time to surgery, associated injuries, surgical approach, complications and outcome were recorded. Modified Merle D'Aubigné score and Matta radiological scoring systems were used as outcome measures. We observed simple fractures in 108 patients (42%) and associated fractures in 149 (58%). The result was excellent in 75 patients (47%), good in 41 (25%), fair in 12 (7%) and poor in 33 (20%). Poor prognostic factors included increasing age, delay to surgery, quality of reduction and some fracture patterns. Complications were common in the medium- to long-term and functional outcome was variable. The gold-standard treatment for displaced acetabular fractures remains open reduction and internal fixation performed in dedicated units by specialist surgeons as soon as possible.","container-title":"The Journal of Bone and Joint Surgery. British Volume","DOI":"10.1302/0301-620X.93B2.24056","ISSN":"2044-5377","issue":"2","journalAbbreviation":"J Bone Joint Surg Br","language":"eng","note":"PMID: 21282764","page":"229-236","source":"PubMed","title":"Outcomes of acetabular fracture fixation with ten years' follow-up","volume":"93","author":[{"family":"Briffa","given":"N."},{"family":"Pearce","given":"R."},{"family":"Hill","given":"A. M."},{"family":"Bircher","given":"M."}],"issued":{"date-parts":[["2011",2]]}}},{"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M."}],"issued":{"date-parts":[["2012",9,5]]}}},{"id":136,"uris":["http://zotero.org/users/local/QA4apqAk/items/H4YI5VBT"],"uri":["http://zotero.org/users/local/QA4apqAk/items/H4YI5VBT"],"itemData":{"id":136,"type":"article-journal","abstract":"BACKGROUND: The outcomes of surgically treated acetabular fractures are dependent on many factors. The purpose of this retrospective study is to evaluate these factors in a group of patients operated on by a single surgeon in one institute.\nMETHODS: One hundred and eighteen patients, treated surgically for their displaced acetabular fracture and who had completed two years follow-up, were evaluated clinically with Modified Postel Merle d'Aubigné score and radiologically with Matta's radiological outcome grading. The effect of age (≤ 55 or &gt;55 years), gender, fracture displacement (≤ 20mm or &gt;20mm), hip dislocation, delay in surgery (≤ 2 weeks or &gt;2 weeks), associated injury and length of follow-up (≤ 5 years or &gt;5 years) on the functional outcome was evaluated.\nRESULTS: There were 99 (83.9%) males and 19 (16.1%) females with mean age of 38.75 years (16 to 65 years). The mean duration of follow-up was 3.95 years (range 2 to 14 years). The mean Modified Postel Merle d'Aubigné score was 15.7 ± 2.2 (range, 8 to 18). The clinical outcome was excellent in 27 (22.9%), good in 52 (44.2%), fair in 20 (16.9%), and poor in 19 (16.1%, 10 patients who underwent THR for secondary arthritis were considered as poor outcome) patients. The Modified Postel Merle d'Aubigné score was significantly affected by quality of reduction (P=0.0001), presence of associated injuries (P=0.0001), initial fracture displacement of &gt;20mm (P=0.018), joint dislocation (P=0.015) and delay in surgery (P=0.001). However, age, gender, fracture type and length of follow-up did not have any effects on the clinical outcome.\nCONCLUSION: Poor reduction, associated injuries, fracture displacement of &gt;20mm, joint dislocation and late surgery definitely carry poor prognosis in predicting the outcome of surgically treated acetabular fractures.","container-title":"Orthopaedics &amp; traumatology, surgery &amp; research: OTSR","DOI":"10.1016/j.otsr.2013.09.004","ISSN":"1877-0568","issue":"8","journalAbbreviation":"Orthop Traumatol Surg Res","language":"eng","note":"PMID: 24183746","page":"929-935","source":"PubMed","title":"Predictors of postoperative outcome for acetabular fractures","volume":"99","author":[{"family":"Meena","given":"U. K."},{"family":"Tripathy","given":"S. K."},{"family":"Sen","given":"R. K."},{"family":"Aggarwal","given":"S."},{"family":"Behera","given":"P."}],"issued":{"date-parts":[["2013",12]]}}},{"id":140,"uris":["http://zotero.org/users/local/QA4apqAk/items/RH8QVSWX"],"uri":["http://zotero.org/users/local/QA4apqAk/items/RH8QVSWX"],"itemData":{"id":140,"type":"article-journal","abstract":"PURPOSE: To determine if initial treatment affects the outcome of total hip arthroplasty (THA) after acetabular fracture.\nMETHODS: 49 patients (49 hips) initially treated non-operatively followed some months later by THA in conjunction with acetabular reconstruction (Group 1) and 29 patients (29 hips) who had undergone THA after a previous osteosynthesis (Group 2) were assessed. The mean follow-up was 11.7 (range 5-23) years.\nRESULTS: 3 acetabular components were revised for aseptic loosening in Group 1 and 2 in Group 2. The survival rate for cup loosening at 16 years was 90.6% (95% confidence interval [CI], 78.1-100) for Group 1 and 94.1% (95% CI, 86.5-100) for Group 2 (p = 0.76). There were 2 sciatic palsies in Group 2 after osteosynthesis. The mean preoperative clinical score and postoperative range of mobility were better in Group 1. There were more heterotopic ossifications in Group 2.\nCONCLUSION: Despite the good results found in both groups, THA after previous osteosynthesis for acetabular fractures had more complications than a primary THA in conjunction with acetabular reconstruction.","container-title":"Hip International: The Journal of Clinical and Experimental Research on Hip Pathology and Therapy","DOI":"10.1177/1120700019836413","ISSN":"1724-6067","issue":"3","journalAbbreviation":"Hip Int","language":"eng","note":"PMID: 30912452","page":"339-346","source":"PubMed","title":"Total hip arthroplasty after acetabular fracture: does initial treatment make any difference to the outcome? A 5- to 23-year follow-up with clinical and radiological analysis","title-short":"Total hip arthroplasty after acetabular fracture","volume":"30","author":[{"family":"García-Rey","given":"Eduardo"},{"family":"Sirianni","given":"Rossella"},{"family":"García-Cimbrelo","given":"Eduardo"},{"family":"Sedel","given":"Laurent"}],"issued":{"date-parts":[["2020",5]]}}},{"id":142,"uris":["http://zotero.org/users/local/QA4apqAk/items/MNXALDVG"],"uri":["http://zotero.org/users/local/QA4apqAk/items/MNXALDVG"],"itemData":{"id":142,"type":"article-journal","abstract":"The results were reviewed for 259 patients who had open reduction and internal fixation of 262 displaced acetabular fractures within twenty-one days after the injury. Two hundred and fifty-five hips were followed for a mean of six years (range, two to fourteen years) after the injury; the remaining seven, which clearly had a poor result, were followed for less than two years. According to the classification of Letournel and Judet, associated fracture types accounted for 208 (79 per cent) of the fractures, with both-column fractures being the most common type (ninety-two hips; 35 per cent). Two hundred and fifty-eight hips were operated on with a single operative approach (Kocher-Langenbeck, ilioinguinal, or extended iliofemoral). The four remaining hips were operated on with a Kocher-Langenbeck as well as an ilioinguinal approach. The reduction was graded as anatomical in 185 hips (71 per cent). The rate of anatomical reduction decreased with increases in the complexity of the fracture, the age of the patient, and the interval between the injury and the reduction. The over-all clinical result was excellent for 104 hips (40 per cent), good for ninety-five (36 per cent), fair for twenty-one (8 per cent), and poor for forty-two (16 per cent). The clinical result was related closely to the radiographic result. The clinical result was adversely affected by associated injuries of the femoral head, an older age of the patient, and operative complications. It was positively affected by an anatomical reduction and postoperative congruity between the femoral head and the acetabular roof. Osteonecrosis of the femoral head was noted in eight hips (3 per cent), and progressive wear of the femoral head was seen in thirteen (5 per cent). Subsequent operations included a total replacement of seventeen hips (6 per cent), an arthrodesis in four (2 per cent), and excision of ectopic bone in twelve (5 per cent). These findings indicate that in many patients who have a complex acetabular fracture the hip joint can be preserved and post-traumatic osteoarthrosis can be avoided if an anatomical reduction is achieved. An increase in the rate of anatomical reduction and a decrease in the rate of operative complications should be the goals of surgeons who treat these fractures.","container-title":"The Journal of Bone and Joint Surgery. American Volume","ISSN":"0021-9355","issue":"11","journalAbbreviation":"J Bone Joint Surg Am","language":"eng","note":"PMID: 8934477","page":"1632-1645","source":"PubMed","title":"Fractures of the acetabulum: accuracy of reduction and clinical results in patients managed operatively within three weeks after the injury","title-short":"Fractures of the acetabulum","volume":"78","author":[{"family":"Matta","given":"J. M."}],"issued":{"date-parts":[["1996",11]]}}},{"id":175,"uris":["http://zotero.org/users/local/QA4apqAk/items/64W6SK5L"],"uri":["http://zotero.org/users/local/QA4apqAk/items/64W6SK5L"],"itemData":{"id":175,"type":"article-journal","abstract":"AIM: The aim of this study was to evaluate the long-term clinical outcomes and complications following an acetabular fracture associated with a posterior hip dislocation compared to those without dislocation.\nPATIENTS &amp; METHODS: A retrospective cohort study of 113 patients (mean age 42 (14-95), 77% male) with acetabular fracture dislocations compared to 367 patients with acetabular fractures without dislocation (mean age 54 (16-100), 66% male) treated from 1988 to 2010. Patient characteristics, complications, reoperations, and conversion to total hip arthroplasty (THA) were recorded. Long term patient reported outcomes (Oxford Hip Score and SF-12) were measured at mean follow up 9.7 years (5-26).\nRESULTS: At long-term follow up 12/113 (11%) patients had died and 22/113 (19%) were lost. Isolated posterior wall fracture was the most common fracture associated with dislocation. Patients with dislocation were more likely to be younger and male with higher Injury Severity Scores (ISS). There was no significant difference in radiographic post-traumatic osteoarthritis development between fractures with and without dislocation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0.246). Sciatic nerve palsy (12% Vs 1%, p</w:instrText>
      </w:r>
      <w:r w:rsidR="004745BC">
        <w:rPr>
          <w:rFonts w:eastAsia="Book Antiqua"/>
          <w:color w:val="000000"/>
        </w:rPr>
        <w:instrText> </w:instrText>
      </w:r>
      <w:r w:rsidR="004745BC">
        <w:rPr>
          <w:rFonts w:ascii="Book Antiqua" w:eastAsia="Book Antiqua" w:hAnsi="Book Antiqua" w:cs="Book Antiqua"/>
          <w:color w:val="000000"/>
        </w:rPr>
        <w:instrText>&lt;</w:instrText>
      </w:r>
      <w:r w:rsidR="004745BC">
        <w:rPr>
          <w:rFonts w:eastAsia="Book Antiqua"/>
          <w:color w:val="000000"/>
        </w:rPr>
        <w:instrText> </w:instrText>
      </w:r>
      <w:r w:rsidR="004745BC">
        <w:rPr>
          <w:rFonts w:ascii="Book Antiqua" w:eastAsia="Book Antiqua" w:hAnsi="Book Antiqua" w:cs="Book Antiqua"/>
          <w:color w:val="000000"/>
        </w:rPr>
        <w:instrText>0.001) and avascular necrosis (AVN) (11% Vs 1%, p</w:instrText>
      </w:r>
      <w:r w:rsidR="004745BC">
        <w:rPr>
          <w:rFonts w:eastAsia="Book Antiqua"/>
          <w:color w:val="000000"/>
        </w:rPr>
        <w:instrText> </w:instrText>
      </w:r>
      <w:r w:rsidR="004745BC">
        <w:rPr>
          <w:rFonts w:ascii="Book Antiqua" w:eastAsia="Book Antiqua" w:hAnsi="Book Antiqua" w:cs="Book Antiqua"/>
          <w:color w:val="000000"/>
        </w:rPr>
        <w:instrText>&lt;</w:instrText>
      </w:r>
      <w:r w:rsidR="004745BC">
        <w:rPr>
          <w:rFonts w:eastAsia="Book Antiqua"/>
          <w:color w:val="000000"/>
        </w:rPr>
        <w:instrText> </w:instrText>
      </w:r>
      <w:r w:rsidR="004745BC">
        <w:rPr>
          <w:rFonts w:ascii="Book Antiqua" w:eastAsia="Book Antiqua" w:hAnsi="Book Antiqua" w:cs="Book Antiqua"/>
          <w:color w:val="000000"/>
        </w:rPr>
        <w:instrText>0.001) were more common when dislocation was present. AVN was associated with increasing age and hypotension on arrival to the emergency department. Ten-year native hip survival was worse following fracture dislocations compared to fractures without dislocation: 75.1% (65.7-84.5 95% CI) Vs 90.7% (87.0-94.4), p</w:instrText>
      </w:r>
      <w:r w:rsidR="004745BC">
        <w:rPr>
          <w:rFonts w:eastAsia="Book Antiqua"/>
          <w:color w:val="000000"/>
        </w:rPr>
        <w:instrText> </w:instrText>
      </w:r>
      <w:r w:rsidR="004745BC">
        <w:rPr>
          <w:rFonts w:ascii="Book Antiqua" w:eastAsia="Book Antiqua" w:hAnsi="Book Antiqua" w:cs="Book Antiqua"/>
          <w:color w:val="000000"/>
        </w:rPr>
        <w:instrText>&lt;</w:instrText>
      </w:r>
      <w:r w:rsidR="004745BC">
        <w:rPr>
          <w:rFonts w:eastAsia="Book Antiqua"/>
          <w:color w:val="000000"/>
        </w:rPr>
        <w:instrText> </w:instrText>
      </w:r>
      <w:r w:rsidR="004745BC">
        <w:rPr>
          <w:rFonts w:ascii="Book Antiqua" w:eastAsia="Book Antiqua" w:hAnsi="Book Antiqua" w:cs="Book Antiqua"/>
          <w:color w:val="000000"/>
        </w:rPr>
        <w:instrText>0.001. Significant predictors of THA requirement were older age, particularly age &gt;55 years at fracture, and increased ISS. Long-term OHS was worse in fractures with dislocations (33.6</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13.1</w:instrText>
      </w:r>
      <w:r w:rsidR="004745BC">
        <w:rPr>
          <w:rFonts w:eastAsia="Book Antiqua"/>
          <w:color w:val="000000"/>
        </w:rPr>
        <w:instrText> </w:instrText>
      </w:r>
      <w:r w:rsidR="004745BC">
        <w:rPr>
          <w:rFonts w:ascii="Book Antiqua" w:eastAsia="Book Antiqua" w:hAnsi="Book Antiqua" w:cs="Book Antiqua"/>
          <w:color w:val="000000"/>
        </w:rPr>
        <w:instrText>Vs 37.0</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14.0,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0.016).\nCONCLUSION: Acetabular fractures with an associated dislocation have worse long-term functional outcomes with higher rates of complications and conversion to late THA compared to acetabular fractures without a dislocation.","container-title":"Injury","DOI":"10.1016/j.injury.2018.07.032","ISSN":"1879-0267","issue":"10","journalAbbreviation":"Injury","language":"eng","note":"PMID: 30100247","page":"1841-1847","source":"PubMed","title":"Native hip dislocation at acetabular fracture predicts poor long-term outcome","volume":"49","author":[{"family":"Nicholson","given":"J. A."},{"family":"Scott","given":"C. E. H."},{"family":"Annan","given":"J."},{"family":"Ahmed","given":"I."},{"family":"Keating","given":"J. F."}],"issued":{"date-parts":[["2018",10]]}}}],"schema":"https://github.com/citation-style-language/schema/raw/master/csl-citation.json"}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1,2,5,7,8,31</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We chose to include patients with a mid-term result as well as long-term condition in this validating study to represent as many conditions as possible. </w:t>
      </w:r>
      <w:r w:rsidR="004E31FA">
        <w:rPr>
          <w:rFonts w:ascii="Book Antiqua" w:eastAsia="Book Antiqua" w:hAnsi="Book Antiqua" w:cs="Book Antiqua"/>
          <w:color w:val="000000"/>
        </w:rPr>
        <w:t>D</w:t>
      </w:r>
      <w:r>
        <w:rPr>
          <w:rFonts w:ascii="Book Antiqua" w:eastAsia="Book Antiqua" w:hAnsi="Book Antiqua" w:cs="Book Antiqua"/>
          <w:color w:val="000000"/>
        </w:rPr>
        <w:t xml:space="preserve">emographic data </w:t>
      </w:r>
      <w:r w:rsidR="004E31FA">
        <w:rPr>
          <w:rFonts w:ascii="Book Antiqua" w:eastAsia="Book Antiqua" w:hAnsi="Book Antiqua" w:cs="Book Antiqua"/>
          <w:color w:val="000000"/>
        </w:rPr>
        <w:t xml:space="preserve">of our patient population </w:t>
      </w:r>
      <w:r>
        <w:rPr>
          <w:rFonts w:ascii="Book Antiqua" w:eastAsia="Book Antiqua" w:hAnsi="Book Antiqua" w:cs="Book Antiqua"/>
          <w:color w:val="000000"/>
        </w:rPr>
        <w:t>is comparable to other studies on acetabular fractures with an average age of 57.9 years at time of injury</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{"citationID":"Nk0PGGxp","properties":{"formattedCitation":"\\super 2,32,33\\nosupersub{}","plainCitation":"2,32,33","noteIndex":0},"citationItems":[{"id":126,"uris":["http://zotero.org/users/local/QA4apqAk/items/WFFZTHC7"],"uri":["http://zotero.org/users/local/QA4apqAk/items/WFFZTHC7"],"itemData":{"id":126,"type":"article-journal","abstract":"BACKGROUND: The aims of the study were (1) to determine the cumulative two to twenty-year survivorship of the hip after open reduction and internal fixation of displaced acetabular fractures, (2) to identify factors predicting conversion to total hip arthroplasty or hip arthrodesis, and (3) to create a predictive model that calculates an individual's probability of early need for total hip arthroplasty or hip arthrodesis.\nMETHODS: Eight hundred and sixteen acetabular fractures treated with open reduction and internal fixation by one surgeon over a twenty-six-year period were analyzed. Cumulative two to twenty-year Kaplan-Meier survivorship analyses of the hip, including best and worst-case scenarios, were performed with total hip arthroplasty or hip arthrodesis as the end point. Univariate and multivariate Cox regression analyses were performed to identify negative predictors, which were then used to construct a nomogram for predicting an individual's probability of needing an early total hip arthroplasty.\nRESULTS: The cumulative twenty-year survivorship of the 816 hips available for follow-up was 79% at twenty years. The best and worst-case scenarios corresponded to cumulative twenty-year survivorship of 86% and 52%, respectively. Significant independent negative predictors were nonanatomical fracture reduction, an age of more than forty years, anterior hip dislocation, postoperative incongruence of the acetabular roof, involvement of the posterior acetabular wall, acetabular impaction, a femoral head cartilage lesion, initial displacement of the articular surface of ≥ 20 mm, and utilization of the extended iliofemoral approach.\nCONCLUSIONS: Open reduction and internal fixation of displaced acetabular fractures was able to successfully prevent the need for subsequent total hip arthroplasty within twenty years in 79% of the patients. The results represent benchmark comparative data for any future and past studies on the outcome of surgical fixation of acetabular fractures.","container-title":"The Journal of Bone and Joint Surgery. American Volume","DOI":"10.2106/JBJS.K.00444","ISSN":"1535-1386","issue":"17","journalAbbreviation":"J Bone Joint Surg Am","language":"eng","note":"PMID: 22992846","page":"1559-1567","source":"PubMed","title":"Two to twenty-year survivorship of the hip in 810 patients with operatively treated acetabular fractures","volume":"94","author":[{"family":"Tannast","given":"Moritz"},{"family":"Najibi","given":"Soheil"},{"family":"Matta","given":"Joel M."}],"issued":{"date-parts":[["2012",9,5]]}}},{"id":62,"uris":["http://zotero.org/users/local/QA4apqAk/items/8WY6UTQJ"],"uri":["http://zotero.org/users/local/QA4apqAk/items/8WY6UTQJ"],"itemData":{"id":62,"type":"article-journal","abstract":"Epidemiological, clinical and radiological data of 1266 patients with a unilateral acetabular fracture of up to 29 hospitals was reviewed. Three time periods, 1991-1993 (Registry I; n=359), 1998-2000 (Registry II; n=503), and 2005-2006 (Registry III; n=404) were compared with regard to injury pattern and severity, fracture type, and chosen nonoperative vs. operative treatment to elucidate changes over time in the treatment of acetabular fractures. In the operatively treated group, time to operation, surgical approach, fracture fixation implants and fracture reduction quality were examined. 641 (50.6%) patients with isolated acetabular fractures, 410 (32.4%) multiple injured and 215 (17.0%) polytrauma patients with 642 (50.7%) simple and 624 (49.3%) associated acetabular fractures were evaluated. In the time period from 1991 to 2006, the rate of operative treatments increased nationwide to 77% (rho&lt;0.001). The distribution of fracture types involving the anterior and posterior wall changed with age (rho&lt;0.001). Across all registries, 583 (68.0%) operations were performed within 7 days, 212 (24.7%) operations between 7 and 14 days and 54 (6.3%) operations were performed later than 14 days after injury. An anatomical reduction (0-1mm displacement) was achieved in 551 (64%) acetabular fractures. The obtained reduction quality did not correlate with time to operation, was lower in associated than in simple fracture types, and also lower in patients with isolated acetabular fractures than in polytrauma patients. Most importantly, the fracture reduction quality did not improve over time despite a higher frequency of surgical interventions. The Kocher-Langenbeck approach was preferred in the nineties in nearly three quarters of all operative procedures. Currently, the Kocher-Langenbeck and the ilioinguinal approaches are used equally often. The fracture fixation did not change over time and is achieved in 51% with plates in combination with single screws. This multisurgeon series illustrates a nationwide performance in acetabular fracture management. Despite changes in the chosen approaches and an increased surgical frequency, the operative treatment of acetabular fractures of the last 15 years did not lead to an increased reduction quality. Therefore, the rarity and complexity of acetabular fractures demands further specific teaching by experienced acetabular surgeons, scientific research and clinical outcome evaluation.","container-title":"Injury","DOI":"10.1016/j.injury.2010.04.010","ISSN":"1879-0267","issue":"8","journalAbbreviation":"Injury","language":"eng","note":"PMID: 20451195","page":"839-851","source":"PubMed","title":"Changes in the treatment of acetabular fractures over 15 years: Analysis of 1266 cases treated by the German Pelvic Multicentre Study Group (DAO/DGU)","title-short":"Changes in the treatment of acetabular fractures over 15 years","volume":"41","author":[{"family":"Ochs","given":"Björn Gunnar"},{"family":"Marintschev","given":"Ivan"},{"family":"Hoyer","given":"Heike"},{"family":"Rolauffs","given":"Bernd"},{"family":"Culemann","given":"Ulf"},{"family":"Pohlemann","given":"Tim"},{"family":"Stuby","given":"Fabian Maria"}],"issued":{"date-parts":[["2010",8]]}}},{"id":179,"uris":["http://zotero.org/users/local/QA4apqAk/items/ZB3BFF2E"],"uri":["http://zotero.org/users/local/QA4apqAk/items/ZB3BFF2E"],"itemData":{"id":179,"type":"article-journal","abstract":"OBJECTIVE: In his original series of 129 surgically treated acetabular fractures, Letournel did not operate on patients older than 60 years. Almost 30 years later, he still emphasized that no patients with reduced bone quality should be operated on. The aim of the study was to analyze epidemiologic characteristics and treatment modes for today's cohort of elderly patients with acetabular fractures.\nDESIGN: Retrospective analysis.\nSETTING: Multicenter registry/Level I trauma center.\nPATIENTS: Three thousand seven hundred ninety-three patients who had sustained a fracture of the acetabulum.\nINTERVENTION: Operative and nonoperative treatment of acetabular fractures.\nMAIN OUTCOME MEASUREMENTS: Epidemiologic characteristics, treatment mode, in-hospital mortality, rate of secondary hip arthroplasty, and quality of life indicated by EQ-5D score.\nRESULTS: For the multicenter registry, more than 50% of all patients with acetabular fractures had an age of 60 years or over. The age peak was found at 75-80 years. Fifty percent of the elderly patients were treated surgically. The in-hospital mortality was significantly higher in elderly patients than patients younger than 60 years. In our Level I trauma center, surgical treatment by open reduction and internal fixation did not influence in-hospital mortality or quality of life of elderly patients with acetabular fractures.\nCONCLUSIONS: Today, elderly persons represent the dominant cohort among patients with fractures of the acetabulum. Fifty-five years after the publication of Letournel's original case series, data indicate that currently, surgical treatment is a common and necessary option in the therapy of acetabular fractures in elderly patients.\nLEVEL OF EVIDENCE: Prognostic Level III. See Instructions for Authors for a complete description of levels of evidence.","container-title":"Journal of Orthopaedic Trauma","DOI":"10.1097/BOT.0000000000001406","ISSN":"1531-2291","journalAbbreviation":"J Orthop Trauma","language":"eng","note":"PMID: 30688853","page":"S8-S13","source":"PubMed","title":"Geriatric Acetabular Surgery: Letournel's Contraindications Then and Now-Data From the German Pelvic Registry","title-short":"Geriatric Acetabular Surgery","volume":"33 Suppl 2","author":[{"family":"Herath","given":"Steven C."},{"family":"Pott","given":"Hendrik"},{"family":"Rollmann","given":"Mika F. R."},{"family":"Braun","given":"Benedikt J."},{"family":"Holstein","given":"Jörg H."},{"family":"Höch","given":"Andreas"},{"family":"Stuby","given":"Fabian M."},{"family":"Pohlemann","given":"Tim"}],"issued":{"date-parts":[["2019",2]]}}}],"schema":"https://github.com/citation-style-language/schema/raw/master/csl-citation.json"}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2,32,33</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Again, our population represents the broad spectrum regarding age distribution seen in acetabular fracture patients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{"citationID":"7bqP8EPr","properties":{"formattedCitation":"\\super 33\\nosupersub{}","plainCitation":"33","noteIndex":0},"citationItems":[{"id":179,"uris":["http://zotero.org/users/local/QA4apqAk/items/ZB3BFF2E"],"uri":["http://zotero.org/users/local/QA4apqAk/items/ZB3BFF2E"],"itemData":{"id":179,"type":"article-journal","abstract":"OBJECTIVE: In his original series of 129 surgically treated acetabular fractures, Letournel did not operate on patients older than 60 years. Almost 30 years later, he still emphasized that no patients with reduced bone quality should be operated on. The aim of the study was to analyze epidemiologic characteristics and treatment modes for today's cohort of elderly patients with acetabular fractures.\nDESIGN: Retrospective analysis.\nSETTING: Multicenter registry/Level I trauma center.\nPATIENTS: Three thousand seven hundred ninety-three patients who had sustained a fracture of the acetabulum.\nINTERVENTION: Operative and nonoperative treatment of acetabular fractures.\nMAIN OUTCOME MEASUREMENTS: Epidemiologic characteristics, treatment mode, in-hospital mortality, rate of secondary hip arthroplasty, and quality of life indicated by EQ-5D score.\nRESULTS: For the multicenter registry, more than 50% of all patients with acetabular fractures had an age of 60 years or over. The age peak was found at 75-80 years. Fifty percent of the elderly patients were treated surgically. The in-hospital mortality was significantly higher in elderly patients than patients younger than 60 years. In our Level I trauma center, surgical treatment by open reduction and internal fixation did not influence in-hospital mortality or quality of life of elderly patients with acetabular fractures.\nCONCLUSIONS: Today, elderly persons represent the dominant cohort among patients with fractures of the acetabulum. Fifty-five years after the publication of Letournel's original case series, data indicate that currently, surgical treatment is a common and necessary option in the therapy of acetabular fractures in elderly patients.\nLEVEL OF EVIDENCE: Prognostic Level III. See Instructions for Authors for a complete description of levels of evidence.","container-title":"Journal of Orthopaedic Trauma","DOI":"10.1097/BOT.0000000000001406","ISSN":"1531-2291","journalAbbreviation":"J Orthop Trauma","language":"eng","note":"PMID: 30688853","page":"S8-S13","source":"PubMed","title":"Geriatric Acetabular Surgery: Letournel's Contraindications Then and Now-Data From the German Pelvic Registry","title-short":"Geriatric Acetabular Surgery","volume":"33 Suppl 2","author":[{"family":"Herath","given":"Steven C."},{"family":"Pott","given":"Hendrik"},{"family":"Rollmann","given":"Mika F. R."},{"family":"Braun","given":"Benedikt J."},{"family":"Holstein","given":"Jörg H."},{"family":"Höch","given":"Andreas"},{"family":"Stuby","given":"Fabian M."},{"family":"Pohlemann","given":"Tim"}],"issued":{"date-parts":[["2019",2]]}}}],"schema":"https://github.com/citation-style-language/schema/raw/master/csl-citation.json"}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33</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4E31FA">
        <w:rPr>
          <w:rFonts w:ascii="Book Antiqua" w:eastAsia="Book Antiqua" w:hAnsi="Book Antiqua" w:cs="Book Antiqua"/>
          <w:color w:val="000000"/>
        </w:rPr>
        <w:t>T</w:t>
      </w:r>
      <w:r>
        <w:rPr>
          <w:rFonts w:ascii="Book Antiqua" w:eastAsia="Book Antiqua" w:hAnsi="Book Antiqua" w:cs="Book Antiqua"/>
          <w:color w:val="000000"/>
        </w:rPr>
        <w:t>he FJS was</w:t>
      </w:r>
      <w:r w:rsidR="004E31FA">
        <w:rPr>
          <w:rFonts w:ascii="Book Antiqua" w:eastAsia="Book Antiqua" w:hAnsi="Book Antiqua" w:cs="Book Antiqua"/>
          <w:color w:val="000000"/>
        </w:rPr>
        <w:t xml:space="preserve"> originally</w:t>
      </w:r>
      <w:r>
        <w:rPr>
          <w:rFonts w:ascii="Book Antiqua" w:eastAsia="Book Antiqua" w:hAnsi="Book Antiqua" w:cs="Book Antiqua"/>
          <w:color w:val="000000"/>
        </w:rPr>
        <w:t xml:space="preserve"> designed for patients after arthroplasty of the </w:t>
      </w:r>
      <w:r w:rsidR="004E31FA">
        <w:rPr>
          <w:rFonts w:ascii="Book Antiqua" w:eastAsia="Book Antiqua" w:hAnsi="Book Antiqua" w:cs="Book Antiqua"/>
          <w:color w:val="000000"/>
        </w:rPr>
        <w:t xml:space="preserve">knee and </w:t>
      </w:r>
      <w:r>
        <w:rPr>
          <w:rFonts w:ascii="Book Antiqua" w:eastAsia="Book Antiqua" w:hAnsi="Book Antiqua" w:cs="Book Antiqua"/>
          <w:color w:val="000000"/>
        </w:rPr>
        <w:t>hip</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{"citationID":"g3rMh5H0","properties":{"formattedCitation":"\\super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Therefore, it is compiled for an older, physically less active patient population. However, recent studies have proven reliability in younger patients</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{"citationID":"SAp9xZeb","properties":{"formattedCitation":"\\super 12,13,17\\uc0\\u8211{}19,34\\nosupersub{}","plainCitation":"12,13,17–19,34","noteIndex":0},"citationItems":[{"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192,"uris":["http://zotero.org/users/local/QA4apqAk/items/DEBMM3HC"],"uri":["http://zotero.org/users/local/QA4apqAk/items/DEBMM3HC"],"itemData":{"id":192,"type":"article-journal","abstract":"BACKGROUND: Evaluating patient-reported outcomes (PRO) in early osteoarthritis (OA) of the knee is difficult. Established measurement tools are focused on one of the two major patient groups in knee surgery: young, highly active patients, or older patients with advanced degenerative OA of the knee. Joint awareness in everyday life is a crucial criterion in measuring PRO. The purpose of this study was to validate a German version of the \"Forgotten Joint Score\" (FJS) in patients after surgical treatment of tibial plateau fractures.\nMETHODS: In this prospective cohort study, clinical and radiological outcomes data were collected from patients after surgical treatment of tibial plateau fractures following a skiing accident. Functional outcome questionnaires were administered including the FJS, the Lysholm-Score, the Tegner-Activity Scale (TAS), the EuroQol-5D (EQ 5-D), and a subjective rating of change. The validation study was carried out according to the COSMIN checklist protocol. The KLS was used to measure the presence and severity of OA on knee radiographs, and correlation with the FJS was measured.\nRESULTS: Cronbach's alpha was .96 (95%-CI .92, .99) confirming good internal consistency. Test-retest reliability of the FJS was high with an ICC(67) =</w:instrText>
      </w:r>
      <w:r w:rsidR="004745BC">
        <w:rPr>
          <w:rFonts w:eastAsia="Book Antiqua"/>
          <w:color w:val="000000"/>
        </w:rPr>
        <w:instrText> </w:instrText>
      </w:r>
      <w:r w:rsidR="004745BC">
        <w:rPr>
          <w:rFonts w:ascii="Book Antiqua" w:eastAsia="Book Antiqua" w:hAnsi="Book Antiqua" w:cs="Book Antiqua"/>
          <w:color w:val="000000"/>
        </w:rPr>
        <w:instrText>.91 (95%-CI .85,.95). Furthermore, no relevant floor or ceiling effects were observed. FJS significantly differed in patients with different OA degrees (p =</w:instrText>
      </w:r>
      <w:r w:rsidR="004745BC">
        <w:rPr>
          <w:rFonts w:eastAsia="Book Antiqua"/>
          <w:color w:val="000000"/>
        </w:rPr>
        <w:instrText> </w:instrText>
      </w:r>
      <w:r w:rsidR="004745BC">
        <w:rPr>
          <w:rFonts w:ascii="Book Antiqua" w:eastAsia="Book Antiqua" w:hAnsi="Book Antiqua" w:cs="Book Antiqua"/>
          <w:color w:val="000000"/>
        </w:rPr>
        <w:instrText>.041). Symptomatic patients had significant lower FJS than asymptomatic patients (p &lt;</w:instrText>
      </w:r>
      <w:r w:rsidR="004745BC">
        <w:rPr>
          <w:rFonts w:eastAsia="Book Antiqua"/>
          <w:color w:val="000000"/>
        </w:rPr>
        <w:instrText> </w:instrText>
      </w:r>
      <w:r w:rsidR="004745BC">
        <w:rPr>
          <w:rFonts w:ascii="Book Antiqua" w:eastAsia="Book Antiqua" w:hAnsi="Book Antiqua" w:cs="Book Antiqua"/>
          <w:color w:val="000000"/>
        </w:rPr>
        <w:instrText>.001).\nCONCLUSIONS: This is the first study validating a disease-specific PRO, the FJS, in long-term outcomes after joint fracture. We demonstrated good psychometric properties and a significant correlation between the FJS and the radiologic degree of OA in patients with a history of tibial plateau fracture.\nTRIAL REGISTRATION: Clinical Trial Registry University of Regensburg Z-2015-0872-2 . Registered 01. October 2015.","container-title":"Health and Quality of Life Outcomes","DOI":"10.1186/s12955-017-0801-y","ISSN":"1477-7525","issue":"1","journalAbbreviation":"Health Qual Life Outcomes","language":"eng","note":"PMID: 29197416\nPMCID: PMC5712162","page":"233","source":"PubMed","title":"Joint awareness in posttraumatic osteoarthritis of the knee: validation of the forgotten joint score in long term condition after tibial plateau fracture","title-short":"Joint awareness in posttraumatic osteoarthritis of the knee","volume":"15","author":[{"family":"Baumann","given":"Florian"},{"family":"Weber","given":"Johannes"},{"family":"Mahr","given":"Daniel"},{"family":"Bäumlein","given":"Martin"},{"family":"Kerschbaum","given":"Maximilian"},{"family":"Müller","given":"Karolina"},{"family":"Rillmann","given":"Paavo"},{"family":"Nerlich","given":"Michael"},{"family":"Loibl","given":"Markus"}],"issued":{"date-parts":[["2017",12,2]]}}},{"id":198,"uris":["http://zotero.org/users/local/QA4apqAk/items/AJUZ8Z2N"],"uri":["http://zotero.org/users/local/QA4apqAk/items/AJUZ8Z2N"],"itemData":{"id":198,"type":"article-journal","abstract":"PURPOSE: There is rising impact of patient-reported outcome (PRO) measurement in joint arthroplasty over the past years. Bicruciate-retaining implants have shown more physiologic knee kinematics and provide superior proprioceptive capacities. The aim of this study was to evaluate if the functional properties of this new implant design lead to improved PRO results after total knee arthroplasty (TKA).\nMETHODS: This prospective, controlled trial compares PRO of bicruciate-retaining total knee arthroplasty (BCR-TKA) to unicondylar knee arthroplasty (UKA) and standard posterior-stabilized total knee arthroplasty (PS-TKA). We evaluated 102 patients (34 patients in each group) 18 months postoperatively after knee arthroplasty. Primary outcome measure was the Forgotten Joint Score (FJS).\nRESULTS: The BCR-group showed the same level of joint awareness as the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0.999). The second control group of PS-TKA patients had a lower mean score value in the FJS compared to the BCR-group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0.035) and UKA-group (p</w:instrText>
      </w:r>
      <w:r w:rsidR="004745BC">
        <w:rPr>
          <w:rFonts w:eastAsia="Book Antiqua"/>
          <w:color w:val="000000"/>
        </w:rPr>
        <w:instrText> </w:instrText>
      </w:r>
      <w:r w:rsidR="004745BC">
        <w:rPr>
          <w:rFonts w:ascii="Book Antiqua" w:eastAsia="Book Antiqua" w:hAnsi="Book Antiqua" w:cs="Book Antiqua"/>
          <w:color w:val="000000"/>
        </w:rPr>
        <w:instrText>=</w:instrText>
      </w:r>
      <w:r w:rsidR="004745BC">
        <w:rPr>
          <w:rFonts w:eastAsia="Book Antiqua"/>
          <w:color w:val="000000"/>
        </w:rPr>
        <w:instrText> </w:instrText>
      </w:r>
      <w:r w:rsidR="004745BC">
        <w:rPr>
          <w:rFonts w:ascii="Book Antiqua" w:eastAsia="Book Antiqua" w:hAnsi="Book Antiqua" w:cs="Book Antiqua"/>
          <w:color w:val="000000"/>
        </w:rPr>
        <w:instrText xml:space="preserve">0.031). There was no correlation of age, gender, body mass index (BMI) and the FJS. No relevant floor- or ceiling effects occurred.\nCONCLUSIONS: This study found reduced joint awareness for BCR-TKA compared to a standard total knee arthroplasty. The score values of the BCR-group were equal to the UKA-group. Further prospective, randomized studies to investigate long-term survivorship of bicruciate-retaining implants are needed.\nLEVEL OF EVIDENCE: Level II.","container-title":"Archives of Orthopaedic and Trauma Surgery","DOI":"10.1007/s00402-017-2839-z","ISSN":"1434-3916","issue":"2","journalAbbreviation":"Arch Orthop Trauma Surg","language":"eng","note":"PMID: 29124363","page":"273-279","source":"PubMed","title":"Reduced joint-awareness in bicruciate-retaining total knee arthroplasty compared to cruciate-sacrificing total knee arthroplasty","volume":"138","author":[{"family":"Baumann","given":"Florian"},{"family":"Krutsch","given":"Werner"},{"family":"Worlicek","given":"Michael"},{"family":"Kerschbaum","given":"Maximilian"},{"family":"Zellner","given":"Johannes"},{"family":"Schmitz","given":"Paul"},{"family":"Nerlich","given":"Michael"},{"family":"Tibesku","given":"Carsten"}],"issued":{"date-parts":[["2018",2]]}}}],"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12,13,17–19,34</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FJS measures the patient’s ability to forget the joint in everyday life, which is seen as ultimate goal resulting in maximum patient satisfaction</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rPr>
        <w:fldChar w:fldCharType="begin"/>
      </w:r>
      <w:r w:rsidR="004745BC">
        <w:rPr>
          <w:rFonts w:ascii="Book Antiqua" w:eastAsia="Book Antiqua" w:hAnsi="Book Antiqua" w:cs="Book Antiqua"/>
          <w:color w:val="000000"/>
        </w:rPr>
        <w:instrText xml:space="preserve"> ADDIN ZOTERO_ITEM CSL_CITATION {"citationID":"TjvjhQaH","properties":{"formattedCitation":"\\super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4745BC">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4745BC">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This concept seems to be a valid construct not just post arthroplasty. </w:t>
      </w:r>
      <w:r w:rsidR="004E31FA">
        <w:rPr>
          <w:rFonts w:ascii="Book Antiqua" w:eastAsia="Book Antiqua" w:hAnsi="Book Antiqua" w:cs="Book Antiqua"/>
          <w:color w:val="000000"/>
        </w:rPr>
        <w:t>W</w:t>
      </w:r>
      <w:r>
        <w:rPr>
          <w:rFonts w:ascii="Book Antiqua" w:eastAsia="Book Antiqua" w:hAnsi="Book Antiqua" w:cs="Book Antiqua"/>
          <w:color w:val="000000"/>
        </w:rPr>
        <w:t>e found a mean FJS of 41.6 points</w:t>
      </w:r>
      <w:r w:rsidR="004E31FA" w:rsidRPr="004E31FA">
        <w:rPr>
          <w:rFonts w:ascii="Book Antiqua" w:eastAsia="Book Antiqua" w:hAnsi="Book Antiqua" w:cs="Book Antiqua"/>
          <w:color w:val="000000"/>
        </w:rPr>
        <w:t xml:space="preserve"> </w:t>
      </w:r>
      <w:r w:rsidR="004E31FA">
        <w:rPr>
          <w:rFonts w:ascii="Book Antiqua" w:eastAsia="Book Antiqua" w:hAnsi="Book Antiqua" w:cs="Book Antiqua"/>
          <w:color w:val="000000"/>
        </w:rPr>
        <w:t>in our patient population</w:t>
      </w:r>
      <w:r>
        <w:rPr>
          <w:rFonts w:ascii="Book Antiqua" w:eastAsia="Book Antiqua" w:hAnsi="Book Antiqua" w:cs="Book Antiqua"/>
          <w:color w:val="000000"/>
        </w:rPr>
        <w:t xml:space="preserve">. </w:t>
      </w:r>
      <w:r w:rsidR="004E31FA">
        <w:rPr>
          <w:rFonts w:ascii="Book Antiqua" w:eastAsia="Book Antiqua" w:hAnsi="Book Antiqua" w:cs="Book Antiqua"/>
          <w:color w:val="000000"/>
        </w:rPr>
        <w:t xml:space="preserve">Recently, </w:t>
      </w:r>
      <w:r>
        <w:rPr>
          <w:rFonts w:ascii="Book Antiqua" w:eastAsia="Book Antiqua" w:hAnsi="Book Antiqua" w:cs="Book Antiqua"/>
          <w:color w:val="000000"/>
        </w:rPr>
        <w:t xml:space="preserve">Baumann </w:t>
      </w:r>
      <w:r>
        <w:rPr>
          <w:rFonts w:ascii="Book Antiqua" w:eastAsia="Book Antiqua" w:hAnsi="Book Antiqua" w:cs="Book Antiqua"/>
          <w:i/>
          <w:iCs/>
          <w:color w:val="000000"/>
        </w:rPr>
        <w:t>et al</w:t>
      </w:r>
      <w:r w:rsidR="00562057">
        <w:rPr>
          <w:rFonts w:ascii="Book Antiqua" w:hAnsi="Book Antiqua" w:cs="Book Antiqua" w:hint="eastAsia"/>
          <w:color w:val="000000"/>
          <w:vertAlign w:val="superscript"/>
          <w:lang w:eastAsia="zh-CN"/>
        </w:rPr>
        <w:t>[</w:t>
      </w:r>
      <w:r w:rsidR="004745BC">
        <w:rPr>
          <w:rFonts w:ascii="Book Antiqua" w:eastAsia="Book Antiqua" w:hAnsi="Book Antiqua" w:cs="Book Antiqua"/>
          <w:color w:val="000000"/>
          <w:vertAlign w:val="superscript"/>
        </w:rPr>
        <w:fldChar w:fldCharType="begin"/>
      </w:r>
      <w:r w:rsidR="004745BC">
        <w:rPr>
          <w:rFonts w:ascii="Book Antiqua" w:eastAsia="Book Antiqua" w:hAnsi="Book Antiqua" w:cs="Book Antiqua"/>
          <w:color w:val="000000"/>
          <w:vertAlign w:val="superscript"/>
        </w:rPr>
        <w:instrText xml:space="preserve"> ADDIN ZOTERO_ITEM CSL_CITATION {"citationID":"bD2y9ywx","properties":{"formattedCitation":"\\super 34\\nosupersub{}","plainCitation":"34","noteIndex":0},"citationItems":[{"id":192,"uris":["http://zotero.org/users/local/QA4apqAk/items/DEBMM3HC"],"uri":["http://zotero.org/users/local/QA4apqAk/items/DEBMM3HC"],"itemData":{"id":192,"type":"article-journal","abstract":"BACKGROUND: Evaluating patient-reported outcomes (PRO) in early osteoarthritis (OA) of the knee is difficult. Established measurement tools are focused on one of the two major patient groups in knee surgery: young, highly active patients, or older patients with advanced degenerative OA of the knee. Joint awareness in everyday life is a crucial criterion in measuring PRO. The purpose of this study was to validate a German version of the \"Forgotten Joint Score\" (FJS) in patients after surgical treatment of tibial plateau fractures.\nMETHODS: In this prospective cohort study, clinical and radiological outcomes data were collected from patients after surgical treatment of tibial plateau fractures following a skiing accident. Functional outcome questionnaires were administered including the FJS, the Lysholm-Score, the Tegner-Activity Scale (TAS), the EuroQol-5D (EQ 5-D), and a subjective rating of change. The validation study was carried out according to the COSMIN checklist protocol. The KLS was used to measure the presence and severity of OA on knee radiographs, and correlation with the FJS was measured.\nRESULTS: Cronbach's alpha was .96 (95%-CI .92, .99) confirming good internal consistency. Test-retest reliability of the FJS was high with an ICC(67) =</w:instrText>
      </w:r>
      <w:r w:rsidR="004745BC">
        <w:rPr>
          <w:rFonts w:eastAsia="Book Antiqua"/>
          <w:color w:val="000000"/>
          <w:vertAlign w:val="superscript"/>
        </w:rPr>
        <w:instrText> </w:instrText>
      </w:r>
      <w:r w:rsidR="004745BC">
        <w:rPr>
          <w:rFonts w:ascii="Book Antiqua" w:eastAsia="Book Antiqua" w:hAnsi="Book Antiqua" w:cs="Book Antiqua"/>
          <w:color w:val="000000"/>
          <w:vertAlign w:val="superscript"/>
        </w:rPr>
        <w:instrText>.91 (95%-CI .85,.95). Furthermore, no relevant floor or ceiling effects were observed. FJS significantly differed in patients with different OA degrees (p =</w:instrText>
      </w:r>
      <w:r w:rsidR="004745BC">
        <w:rPr>
          <w:rFonts w:eastAsia="Book Antiqua"/>
          <w:color w:val="000000"/>
          <w:vertAlign w:val="superscript"/>
        </w:rPr>
        <w:instrText> </w:instrText>
      </w:r>
      <w:r w:rsidR="004745BC">
        <w:rPr>
          <w:rFonts w:ascii="Book Antiqua" w:eastAsia="Book Antiqua" w:hAnsi="Book Antiqua" w:cs="Book Antiqua"/>
          <w:color w:val="000000"/>
          <w:vertAlign w:val="superscript"/>
        </w:rPr>
        <w:instrText>.041). Symptomatic patients had significant lower FJS than asymptomatic patients (p &lt;</w:instrText>
      </w:r>
      <w:r w:rsidR="004745BC">
        <w:rPr>
          <w:rFonts w:eastAsia="Book Antiqua"/>
          <w:color w:val="000000"/>
          <w:vertAlign w:val="superscript"/>
        </w:rPr>
        <w:instrText> </w:instrText>
      </w:r>
      <w:r w:rsidR="004745BC">
        <w:rPr>
          <w:rFonts w:ascii="Book Antiqua" w:eastAsia="Book Antiqua" w:hAnsi="Book Antiqua" w:cs="Book Antiqua"/>
          <w:color w:val="000000"/>
          <w:vertAlign w:val="superscript"/>
        </w:rPr>
        <w:instrText xml:space="preserve">.001).\nCONCLUSIONS: This is the first study validating a disease-specific PRO, the FJS, in long-term outcomes after joint fracture. We demonstrated good psychometric properties and a significant correlation between the FJS and the radiologic degree of OA in patients with a history of tibial plateau fracture.\nTRIAL REGISTRATION: Clinical Trial Registry University of Regensburg Z-2015-0872-2 . Registered 01. October 2015.","container-title":"Health and Quality of Life Outcomes","DOI":"10.1186/s12955-017-0801-y","ISSN":"1477-7525","issue":"1","journalAbbreviation":"Health Qual Life Outcomes","language":"eng","note":"PMID: 29197416\nPMCID: PMC5712162","page":"233","source":"PubMed","title":"Joint awareness in posttraumatic osteoarthritis of the knee: validation of the forgotten joint score in long term condition after tibial plateau fracture","title-short":"Joint awareness in posttraumatic osteoarthritis of the knee","volume":"15","author":[{"family":"Baumann","given":"Florian"},{"family":"Weber","given":"Johannes"},{"family":"Mahr","given":"Daniel"},{"family":"Bäumlein","given":"Martin"},{"family":"Kerschbaum","given":"Maximilian"},{"family":"Müller","given":"Karolina"},{"family":"Rillmann","given":"Paavo"},{"family":"Nerlich","given":"Michael"},{"family":"Loibl","given":"Markus"}],"issued":{"date-parts":[["2017",12,2]]}}}],"schema":"https://github.com/citation-style-language/schema/raw/master/csl-citation.json"} </w:instrText>
      </w:r>
      <w:r w:rsidR="004745BC">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34</w:t>
      </w:r>
      <w:r w:rsidR="004745BC">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published </w:t>
      </w:r>
      <w:r w:rsidR="004E31FA">
        <w:rPr>
          <w:rFonts w:ascii="Book Antiqua" w:eastAsia="Book Antiqua" w:hAnsi="Book Antiqua" w:cs="Book Antiqua"/>
          <w:color w:val="000000"/>
        </w:rPr>
        <w:t xml:space="preserve">a </w:t>
      </w:r>
      <w:r>
        <w:rPr>
          <w:rFonts w:ascii="Book Antiqua" w:eastAsia="Book Antiqua" w:hAnsi="Book Antiqua" w:cs="Book Antiqua"/>
          <w:color w:val="000000"/>
        </w:rPr>
        <w:t xml:space="preserve">validation </w:t>
      </w:r>
      <w:r w:rsidR="004E31FA">
        <w:rPr>
          <w:rFonts w:ascii="Book Antiqua" w:eastAsia="Book Antiqua" w:hAnsi="Book Antiqua" w:cs="Book Antiqua"/>
          <w:color w:val="000000"/>
        </w:rPr>
        <w:t>study</w:t>
      </w:r>
      <w:r>
        <w:rPr>
          <w:rFonts w:ascii="Book Antiqua" w:eastAsia="Book Antiqua" w:hAnsi="Book Antiqua" w:cs="Book Antiqua"/>
          <w:color w:val="000000"/>
        </w:rPr>
        <w:t xml:space="preserve"> </w:t>
      </w:r>
      <w:r w:rsidR="004E31FA">
        <w:rPr>
          <w:rFonts w:ascii="Book Antiqua" w:eastAsia="Book Antiqua" w:hAnsi="Book Antiqua" w:cs="Book Antiqua"/>
          <w:color w:val="000000"/>
        </w:rPr>
        <w:t>on</w:t>
      </w:r>
      <w:r>
        <w:rPr>
          <w:rFonts w:ascii="Book Antiqua" w:eastAsia="Book Antiqua" w:hAnsi="Book Antiqua" w:cs="Book Antiqua"/>
          <w:color w:val="000000"/>
        </w:rPr>
        <w:t xml:space="preserve"> the FJS </w:t>
      </w:r>
      <w:r w:rsidR="004E31FA">
        <w:rPr>
          <w:rFonts w:ascii="Book Antiqua" w:eastAsia="Book Antiqua" w:hAnsi="Book Antiqua" w:cs="Book Antiqua"/>
          <w:color w:val="000000"/>
        </w:rPr>
        <w:t>in</w:t>
      </w:r>
      <w:r>
        <w:rPr>
          <w:rFonts w:ascii="Book Antiqua" w:eastAsia="Book Antiqua" w:hAnsi="Book Antiqua" w:cs="Book Antiqua"/>
          <w:color w:val="000000"/>
        </w:rPr>
        <w:t xml:space="preserve"> long-term results </w:t>
      </w:r>
      <w:r w:rsidR="004E31FA">
        <w:rPr>
          <w:rFonts w:ascii="Book Antiqua" w:eastAsia="Book Antiqua" w:hAnsi="Book Antiqua" w:cs="Book Antiqua"/>
          <w:color w:val="000000"/>
        </w:rPr>
        <w:t xml:space="preserve">of patients in a posttraumatic condition </w:t>
      </w:r>
      <w:r>
        <w:rPr>
          <w:rFonts w:ascii="Book Antiqua" w:eastAsia="Book Antiqua" w:hAnsi="Book Antiqua" w:cs="Book Antiqua"/>
          <w:color w:val="000000"/>
        </w:rPr>
        <w:t>after tibial head fracture in 77 skiers</w:t>
      </w:r>
      <w:r w:rsidR="004E31FA">
        <w:rPr>
          <w:rFonts w:ascii="Book Antiqua" w:eastAsia="Book Antiqua" w:hAnsi="Book Antiqua" w:cs="Book Antiqua"/>
          <w:color w:val="000000"/>
        </w:rPr>
        <w:t>. They found</w:t>
      </w:r>
      <w:r>
        <w:rPr>
          <w:rFonts w:ascii="Book Antiqua" w:eastAsia="Book Antiqua" w:hAnsi="Book Antiqua" w:cs="Book Antiqua"/>
          <w:color w:val="000000"/>
        </w:rPr>
        <w:t xml:space="preserve"> an increased joint awareness of 70.7 points in the FJS 9-13 years after injury. The mean score in the present study was 41 at first assessment indicating that the level of forgetting the joint after acetabular fracture is lower than in patients after tibial head fracture (70.7)</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{"citationID":"Qq2Y9bJ5","properties":{"formattedCitation":"\\super 13\\nosupersub{}","plainCitation":"13","noteIndex":0},"citationItems":[{"id":152,"uris":["http://zotero.org/users/local/QA4apqAk/items/3IYLPNKV"],"uri":["http://zotero.org/users/local/QA4apqAk/items/3IYLPNKV"],"itemData":{"id":152,"type":"article-journal","abstract":"PURPOSE: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13</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anterior cruciate ligament repair (70.1)</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{"citationID":"PVgqdLVM","properties":{"formattedCitation":"\\super 12\\nosupersub{}","plainCitation":"12","noteIndex":0},"citationItems":[{"id":150,"uris":["http://zotero.org/users/local/QA4apqAk/items/4HBY3YRL"],"uri":["http://zotero.org/users/local/QA4apqAk/items/4HBY3YRL"],"itemData":{"id":150,"type":"article-journal","abstract":"PURPOSE: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12</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or even total hip arthroplasty (59.8)</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{"citationID":"qKlIyvwR","properties":{"formattedCitation":"\\super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11</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We included patients of all age groups and operative and non-operative treatment. The distribution of our population’s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classification of acetabular fractures reflects also typical fracture patterns. Therefore, we assume generalizability for this type of injury.</w:t>
      </w:r>
    </w:p>
    <w:p w14:paraId="1615A0BC" w14:textId="77777777" w:rsidR="000C34E8" w:rsidRDefault="000C34E8" w:rsidP="000C34E8">
      <w:pPr>
        <w:spacing w:line="360" w:lineRule="auto"/>
        <w:jc w:val="both"/>
        <w:rPr>
          <w:rFonts w:ascii="Book Antiqua" w:hAnsi="Book Antiqua" w:cs="Book Antiqua"/>
          <w:b/>
          <w:bCs/>
          <w:color w:val="000000"/>
          <w:lang w:eastAsia="zh-CN"/>
        </w:rPr>
      </w:pPr>
    </w:p>
    <w:p w14:paraId="56C416D9" w14:textId="77777777" w:rsidR="00A77B3E" w:rsidRPr="000C34E8" w:rsidRDefault="00464B5F" w:rsidP="000C34E8">
      <w:pPr>
        <w:spacing w:line="360" w:lineRule="auto"/>
        <w:jc w:val="both"/>
        <w:rPr>
          <w:i/>
        </w:rPr>
      </w:pPr>
      <w:r w:rsidRPr="000C34E8">
        <w:rPr>
          <w:rFonts w:ascii="Book Antiqua" w:eastAsia="Book Antiqua" w:hAnsi="Book Antiqua" w:cs="Book Antiqua"/>
          <w:b/>
          <w:bCs/>
          <w:i/>
          <w:color w:val="000000"/>
        </w:rPr>
        <w:t xml:space="preserve">Validation </w:t>
      </w:r>
    </w:p>
    <w:p w14:paraId="3BAD78C5" w14:textId="534896F4" w:rsidR="00A77B3E" w:rsidRDefault="00464B5F">
      <w:pPr>
        <w:spacing w:line="360" w:lineRule="auto"/>
        <w:jc w:val="both"/>
      </w:pPr>
      <w:r>
        <w:rPr>
          <w:rFonts w:ascii="Book Antiqua" w:eastAsia="Book Antiqua" w:hAnsi="Book Antiqua" w:cs="Book Antiqua"/>
          <w:color w:val="000000"/>
        </w:rPr>
        <w:t>There is ongoing discussion about methodical standards in validation studies</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{"citationID":"v8yNC7NK","properties":{"formattedCitation":"\\super 15,16,35\\nosupersub{}","plainCitation":"15,16,35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W.","non-dropping-particle":"de"}],"issued":{"date-parts":[["2010",5]]}}},{"id":183,"uris":["http://zotero.org/users/local/QA4apqAk/items/33IPBC5M"],"uri":["http://zotero.org/users/local/QA4apqAk/items/33IPBC5M"],"itemData":{"id":183,"type":"article-journal","abstract":"PURPOSE: To utilize the 'Forgotten Joint' Score (FJS), a 12-item questionnaire analysing the ability to forget the joint, for comparing preoperative status in osteoarthritic patients scheduled for total hip arthroplasty (THA) or total knee arthroplasty (TKA). Higher scores represent a better result with a maximum of 100. The hypothesis of this study was that a preoperative difference in favour of hip arthritis could eventually explain why THA is cited more often as a forgotten joint than TKA.\nMETHODS: A prospective cohort study was conducted in 150 patients with either tricompartmental knee (n = 75) or hip osteoarthritis (n = 75). Patients completed FJS-12 scores preoperatively and 1 year postoperatively.\nRESULTS: A similar preoperative FJS-12 was observed for hip (22 (15)) and knee osteoarthritis (24 (17)) (n.s.). The postoperative FJS-12 score was significantly higher for THA (80 (24)) than for TKA (70 (27)) (p &lt; 0.05). High reliability after 6 weeks was observed for the preoperative FJS-12 test-retest reliability (ICC = 0.87) in TKA. A preoperative floor effect of 15 % in THA and 0 % in TKA was found as well as a postoperative ceiling effect of 33 % in THA and 9 % in TKA.\nCONCLUSIONS: The clinical relevance of utilizing the FJS-12 as an instrument to evaluate outcome is strongly proposed for knee arthroplasty. In general, one is not aware of a healthy joint during the ADL, and it can therefore be regarded as 'forgotten'. The preoperative FJS-12 Score is a powerful tool to provide patients with clearer insights into their positive evolution after surgery. The use of the FJS-12 in THA is a topic for further research, as this study found that floor and ceiling effects limit its usefulness in studies evaluating clinical outcome in this area.\nLEVEL OF EVIDENCE: II.","container-title":"Knee surgery, sports traumatology, arthroscopy: official journal of the ESSKA","DOI":"10.1007/s00167-015-3970-4","ISSN":"1433-7347","issue":"10","journalAbbreviation":"Knee Surg Sports Traumatol Arthrosc","language":"eng","note":"PMID: 26740088","page":"3346-3351","source":"PubMed","title":"Joint awareness in osteoarthritis of the hip and knee evaluated with the 'Forgotten Joint' Score before and after joint replacement","volume":"24","author":[{"family":"Thienpont","given":"E."},{"family":"Vanden Berghe","given":"A."},{"family":"Schwab","given":"P. E."},{"family":"Forthomme","given":"J. P."},{"family":"Cornu","given":"O."}],"issued":{"date-parts":[["2016",10]]}}}],"schema":"https://github.com/citation-style-language/schema/raw/master/csl-citation.json"}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15,16,35</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validation process in the present study was </w:t>
      </w:r>
      <w:r w:rsidR="007F7A58">
        <w:rPr>
          <w:rFonts w:ascii="Book Antiqua" w:eastAsia="Book Antiqua" w:hAnsi="Book Antiqua" w:cs="Book Antiqua"/>
          <w:color w:val="000000"/>
        </w:rPr>
        <w:t>processed</w:t>
      </w:r>
      <w:r>
        <w:rPr>
          <w:rFonts w:ascii="Book Antiqua" w:eastAsia="Book Antiqua" w:hAnsi="Book Antiqua" w:cs="Book Antiqua"/>
          <w:color w:val="000000"/>
        </w:rPr>
        <w:t xml:space="preserve"> </w:t>
      </w:r>
      <w:r w:rsidR="007F7A58">
        <w:rPr>
          <w:rFonts w:ascii="Book Antiqua" w:eastAsia="Book Antiqua" w:hAnsi="Book Antiqua" w:cs="Book Antiqua"/>
          <w:color w:val="000000"/>
        </w:rPr>
        <w:t xml:space="preserve">following </w:t>
      </w:r>
      <w:r>
        <w:rPr>
          <w:rFonts w:ascii="Book Antiqua" w:eastAsia="Book Antiqua" w:hAnsi="Book Antiqua" w:cs="Book Antiqua"/>
          <w:color w:val="000000"/>
        </w:rPr>
        <w:t xml:space="preserve">the COSMIN </w:t>
      </w:r>
      <w:r w:rsidR="007A7E3D">
        <w:rPr>
          <w:rFonts w:ascii="Book Antiqua" w:eastAsia="Book Antiqua" w:hAnsi="Book Antiqua" w:cs="Book Antiqua"/>
          <w:color w:val="000000"/>
        </w:rPr>
        <w:t>checklist</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{"citationID":"x7CJbmwF","properties":{"formattedCitation":"\\super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Along with the prospective multicenter design, the study meets high methodological standards with a level of evidence Ib. </w:t>
      </w:r>
    </w:p>
    <w:p w14:paraId="08FEF3AA" w14:textId="4E379D7A" w:rsidR="00A77B3E" w:rsidRDefault="00464B5F" w:rsidP="007A7E3D">
      <w:pPr>
        <w:spacing w:line="360" w:lineRule="auto"/>
        <w:ind w:firstLineChars="100" w:firstLine="240"/>
        <w:jc w:val="both"/>
      </w:pPr>
      <w:r>
        <w:rPr>
          <w:rFonts w:ascii="Book Antiqua" w:eastAsia="Book Antiqua" w:hAnsi="Book Antiqua" w:cs="Book Antiqua"/>
          <w:color w:val="000000"/>
        </w:rPr>
        <w:t>The FJS has been validated in English and has been adapted in French, Dutch, Danish, Japanese, and German language</w:t>
      </w:r>
      <w:r w:rsidR="00562057">
        <w:rPr>
          <w:rFonts w:ascii="Book Antiqua" w:hAnsi="Book Antiqua" w:cs="Book Antiqua" w:hint="eastAsia"/>
          <w:color w:val="000000"/>
          <w:vertAlign w:val="superscript"/>
          <w:lang w:eastAsia="zh-CN"/>
        </w:rPr>
        <w:t>[</w:t>
      </w:r>
      <w:r w:rsidR="009B7C4D">
        <w:rPr>
          <w:rFonts w:ascii="Book Antiqua" w:eastAsia="Book Antiqua" w:hAnsi="Book Antiqua" w:cs="Book Antiqua"/>
          <w:color w:val="000000"/>
        </w:rPr>
        <w:fldChar w:fldCharType="begin"/>
      </w:r>
      <w:r w:rsidR="009B7C4D">
        <w:rPr>
          <w:rFonts w:ascii="Book Antiqua" w:eastAsia="Book Antiqua" w:hAnsi="Book Antiqua" w:cs="Book Antiqua"/>
          <w:color w:val="000000"/>
        </w:rPr>
        <w:instrText xml:space="preserve"> ADDIN ZOTERO_ITEM CSL_CITATION {"citationID":"yMnbEfwn","properties":{"formattedCitation":"\\super 11,13,17,18,35,36\\nosupersub{}","plainCitation":"11,13,17,18,35,36","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183,"uris":["http://zotero.org/users/local/QA4apqAk/items/33IPBC5M"],"uri":["http://zotero.org/users/local/QA4apqAk/items/33IPBC5M"],"itemData":{"id":183,"type":"article-journal","abstract":"PURPOSE: To utilize the 'Forgotten Joint' Score (FJS), a 12-item questionnaire analysing the ability to forget the joint, for comparing preoperative status in osteoarthritic patients scheduled for total hip arthroplasty (THA) or total knee arthroplasty (TKA). Higher scores represent a better result with a maximum of 100. The hypothesis of this study was that a preoperative difference in favour of hip arthritis could eventually explain why THA is cited more often as a forgotten joint than TKA.\nMETHODS: A prospective cohort study was conducted in 150 patients with either tricompartmental knee (n = 75) or hip osteoarthritis (n = 75). Patients completed FJS-12 scores preoperatively and 1 year postoperatively.\nRESULTS: A similar preoperative FJS-12 was observed for hip (22 (15)) and knee osteoarthritis (24 (17)) (n.s.). The postoperative FJS-12 score was significantly higher for THA (80 (24)) than for TKA (70 (27)) (p &lt; 0.05). High reliability after 6 weeks was observed for the preoperative FJS-12 test-retest reliability (ICC = 0.87) in TKA. A preoperative floor effect of 15 % in THA and 0 % in TKA was found as well as a postoperative ceiling effect of 33 % in THA and 9 % in TKA.\nCONCLUSIONS: The clinical relevance of utilizing the FJS-12 as an instrument to evaluate outcome is strongly proposed for knee arthroplasty. In general, one is not aware of a healthy joint during the ADL, and it can therefore be regarded as 'forgotten'. The preoperative FJS-12 Score is a powerful tool to provide patients with clearer insights into their positive evolution after surgery. The use of the FJS-12 in THA is a topic for further research, as this study found that floor and ceiling effects limit its usefulness in studies evaluating clinical outcome in this area.\nLEVEL OF EVIDENCE: II.","container-title":"Knee surgery, sports traumatology, arthroscopy: official journal of the ESSKA","DOI":"10.1007/s00167-015-3970-4","ISSN":"1433-7347","issue":"10","journalAbbreviation":"Knee Surg Sports Traumatol Arthrosc","language":"eng","note":"PMID: 26740088","page":"3346-3351","source":"PubMed","title":"Joint awareness in osteoarthritis of the hip and knee evaluated with the 'Forgotten Joint' Score before and after joint replacement","volume":"24","author":[{"family":"Thienpont","given":"E."},{"family":"Vanden Berghe","given":"A."},{"family":"Schwab","given":"P. E."},{"family":"Forthomme","given":"J. P."},{"family":"Cornu","given":"O."}],"issued":{"date-parts":[["2016",10]]}}},{"id":185,"uris":["http://zotero.org/users/local/QA4apqAk/items/9JXB83FE"],"uri":["http://zotero.org/users/local/QA4apqAk/items/9JXB83FE"],"itemData":{"id":185,"type":"article-journal","abstract":"Background and purpose - When evaluating the outcome after total knee arthroplasty (TKA), increasing emphasis has been put on patient satisfaction and ability to perform activities of daily living. To address this, the forgotten joint score (FJS) for assessment of knee awareness has been developed. We investigated the validity and reliability of the FJS. Patients and methods - A Danish version of the FJS questionnaire was created according to internationally accepted standards. 360 participants who underwent primary TKA were invited to participate in the study. Of these, 315 were included in a validity study and 150 in a reliability study. Correlation between the Oxford knee score (OKS) and the FJS was examined and test-retest evaluation was performed. A ceiling effect was defined as participants reaching a score within 15% of the maximum achievable score. Results - The validity study revealed a strong correlation between the FJS and the OKS (intraclass correlation coefficient (ICC)</w:instrText>
      </w:r>
      <w:r w:rsidR="009B7C4D">
        <w:rPr>
          <w:rFonts w:eastAsia="Book Antiqua"/>
          <w:color w:val="000000"/>
        </w:rPr>
        <w:instrText> </w:instrText>
      </w:r>
      <w:r w:rsidR="009B7C4D">
        <w:rPr>
          <w:rFonts w:ascii="Book Antiqua" w:eastAsia="Book Antiqua" w:hAnsi="Book Antiqua" w:cs="Book Antiqua"/>
          <w:color w:val="000000"/>
        </w:rPr>
        <w:instrText>=</w:instrText>
      </w:r>
      <w:r w:rsidR="009B7C4D">
        <w:rPr>
          <w:rFonts w:eastAsia="Book Antiqua"/>
          <w:color w:val="000000"/>
        </w:rPr>
        <w:instrText> </w:instrText>
      </w:r>
      <w:r w:rsidR="009B7C4D">
        <w:rPr>
          <w:rFonts w:ascii="Book Antiqua" w:eastAsia="Book Antiqua" w:hAnsi="Book Antiqua" w:cs="Book Antiqua"/>
          <w:color w:val="000000"/>
        </w:rPr>
        <w:instrText xml:space="preserve">0.81, 95% CI: 0.77-0.85; p &lt; 0.001). The test-retest evaluation showed almost perfect reliability for the FJS total score (ICC = 0.91, 95% CI: 0.88-0.94) and substantial reliability or better for individual items of the FJS (ICC? 0.79). We found a high level of internal consistency (Cronbach's? = 0.96). The ceiling effect for the FJS was 16%, as compared to 37% for the OKS. Interpretation - The FJS showed good construct validity and test-retest reliability. It had a lower ceiling effect than the OKS. The FJS appears to be a promising tool for evaluation of small differences in knee performance in groups of patients with good clinical results after TKA.","container-title":"Acta Orthopaedica","DOI":"10.3109/17453674.2016.1156934","ISSN":"1745-3682","issue":"3","journalAbbreviation":"Acta Orthop","language":"eng","note":"PMID: 26937689\nPMCID: PMC4900097","page":"280-285","source":"PubMed","title":"Good validity and reliability of the forgotten joint score in evaluating the outcome of total knee arthroplasty","volume":"87","author":[{"family":"Thomsen","given":"Morten G."},{"family":"Latifi","given":"Roshan"},{"family":"Kallemose","given":"Thomas"},{"family":"Barfod","given":"Kristoffer W."},{"family":"Husted","given":"Henrik"},{"family":"Troelsen","given":"Anders"}],"issued":{"date-parts":[["2016",6]]}}}],"schema":"https://github.com/citation-style-language/schema/raw/master/csl-citation.json"} </w:instrText>
      </w:r>
      <w:r w:rsidR="009B7C4D">
        <w:rPr>
          <w:rFonts w:ascii="Book Antiqua" w:eastAsia="Book Antiqua" w:hAnsi="Book Antiqua" w:cs="Book Antiqua"/>
          <w:color w:val="000000"/>
        </w:rPr>
        <w:fldChar w:fldCharType="separate"/>
      </w:r>
      <w:r w:rsidR="00782942" w:rsidRPr="00782942">
        <w:rPr>
          <w:rFonts w:ascii="Book Antiqua" w:hAnsi="Book Antiqua"/>
          <w:vertAlign w:val="superscript"/>
        </w:rPr>
        <w:t>11,13,17,18,35,36</w:t>
      </w:r>
      <w:r w:rsidR="009B7C4D">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All </w:t>
      </w:r>
      <w:r w:rsidR="007F7A58">
        <w:rPr>
          <w:rFonts w:ascii="Book Antiqua" w:eastAsia="Book Antiqua" w:hAnsi="Book Antiqua" w:cs="Book Antiqua"/>
          <w:color w:val="000000"/>
        </w:rPr>
        <w:t xml:space="preserve">of these </w:t>
      </w:r>
      <w:r>
        <w:rPr>
          <w:rFonts w:ascii="Book Antiqua" w:eastAsia="Book Antiqua" w:hAnsi="Book Antiqua" w:cs="Book Antiqua"/>
          <w:color w:val="000000"/>
        </w:rPr>
        <w:t xml:space="preserve">publications </w:t>
      </w:r>
      <w:r w:rsidR="007F7A58">
        <w:rPr>
          <w:rFonts w:ascii="Book Antiqua" w:eastAsia="Book Antiqua" w:hAnsi="Book Antiqua" w:cs="Book Antiqua"/>
          <w:color w:val="000000"/>
        </w:rPr>
        <w:t>gave a positive rating on</w:t>
      </w:r>
      <w:r>
        <w:rPr>
          <w:rFonts w:ascii="Book Antiqua" w:eastAsia="Book Antiqua" w:hAnsi="Book Antiqua" w:cs="Book Antiqua"/>
          <w:color w:val="000000"/>
        </w:rPr>
        <w:t xml:space="preserve"> internal consistency wi</w:t>
      </w:r>
      <w:r w:rsidR="00C57A29">
        <w:rPr>
          <w:rFonts w:ascii="Book Antiqua" w:eastAsia="Book Antiqua" w:hAnsi="Book Antiqua" w:cs="Book Antiqua"/>
          <w:color w:val="000000"/>
        </w:rPr>
        <w:t>th a Cronbach’s alpha of 0.95-</w:t>
      </w:r>
      <w:r>
        <w:rPr>
          <w:rFonts w:ascii="Book Antiqua" w:eastAsia="Book Antiqua" w:hAnsi="Book Antiqua" w:cs="Book Antiqua"/>
          <w:color w:val="000000"/>
        </w:rPr>
        <w:t xml:space="preserve">0.97. </w:t>
      </w:r>
      <w:r w:rsidR="007F7A58">
        <w:rPr>
          <w:rFonts w:ascii="Book Antiqua" w:eastAsia="Book Antiqua" w:hAnsi="Book Antiqua" w:cs="Book Antiqua"/>
          <w:color w:val="000000"/>
        </w:rPr>
        <w:t>W</w:t>
      </w:r>
      <w:r>
        <w:rPr>
          <w:rFonts w:ascii="Book Antiqua" w:eastAsia="Book Antiqua" w:hAnsi="Book Antiqua" w:cs="Book Antiqua"/>
          <w:color w:val="000000"/>
        </w:rPr>
        <w:t xml:space="preserve">e </w:t>
      </w:r>
      <w:r w:rsidR="007F7A58">
        <w:rPr>
          <w:rFonts w:ascii="Book Antiqua" w:eastAsia="Book Antiqua" w:hAnsi="Book Antiqua" w:cs="Book Antiqua"/>
          <w:color w:val="000000"/>
        </w:rPr>
        <w:t>measured</w:t>
      </w:r>
      <w:r>
        <w:rPr>
          <w:rFonts w:ascii="Book Antiqua" w:eastAsia="Book Antiqua" w:hAnsi="Book Antiqua" w:cs="Book Antiqua"/>
          <w:color w:val="000000"/>
        </w:rPr>
        <w:t xml:space="preserve"> a Cronbach’s alpha of at least 0.95</w:t>
      </w:r>
      <w:r w:rsidR="007F7A58">
        <w:rPr>
          <w:rFonts w:ascii="Book Antiqua" w:eastAsia="Book Antiqua" w:hAnsi="Book Antiqua" w:cs="Book Antiqua"/>
          <w:color w:val="000000"/>
        </w:rPr>
        <w:t xml:space="preserve"> in our study</w:t>
      </w:r>
      <w:r>
        <w:rPr>
          <w:rFonts w:ascii="Book Antiqua" w:eastAsia="Book Antiqua" w:hAnsi="Book Antiqua" w:cs="Book Antiqua"/>
          <w:color w:val="000000"/>
        </w:rPr>
        <w:t xml:space="preserve">. According to </w:t>
      </w:r>
      <w:proofErr w:type="spellStart"/>
      <w:r>
        <w:rPr>
          <w:rFonts w:ascii="Book Antiqua" w:eastAsia="Book Antiqua" w:hAnsi="Book Antiqua" w:cs="Book Antiqua"/>
          <w:color w:val="000000"/>
        </w:rPr>
        <w:t>Terwee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{"citationID":"dUwhHOrJ","properties":{"formattedCitation":"\\super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15</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7F7A58">
        <w:rPr>
          <w:rFonts w:ascii="Book Antiqua" w:eastAsia="Book Antiqua" w:hAnsi="Book Antiqua" w:cs="Book Antiqua"/>
          <w:color w:val="000000"/>
        </w:rPr>
        <w:t>i</w:t>
      </w:r>
      <w:r>
        <w:rPr>
          <w:rFonts w:ascii="Book Antiqua" w:eastAsia="Book Antiqua" w:hAnsi="Book Antiqua" w:cs="Book Antiqua"/>
          <w:color w:val="000000"/>
        </w:rPr>
        <w:t>nternal consistency can be</w:t>
      </w:r>
      <w:r w:rsidR="007F7A58">
        <w:rPr>
          <w:rFonts w:ascii="Book Antiqua" w:eastAsia="Book Antiqua" w:hAnsi="Book Antiqua" w:cs="Book Antiqua"/>
          <w:color w:val="000000"/>
        </w:rPr>
        <w:t xml:space="preserve"> confirmed</w:t>
      </w:r>
      <w:r>
        <w:rPr>
          <w:rFonts w:ascii="Book Antiqua" w:eastAsia="Book Antiqua" w:hAnsi="Book Antiqua" w:cs="Book Antiqua"/>
          <w:color w:val="000000"/>
        </w:rPr>
        <w:t xml:space="preserve"> if Cronbach’s alpha is </w:t>
      </w:r>
      <w:r w:rsidR="007F7A58">
        <w:rPr>
          <w:rFonts w:ascii="Book Antiqua" w:eastAsia="Book Antiqua" w:hAnsi="Book Antiqua" w:cs="Book Antiqua"/>
          <w:color w:val="000000"/>
        </w:rPr>
        <w:t>greater than</w:t>
      </w:r>
      <w:r>
        <w:rPr>
          <w:rFonts w:ascii="Book Antiqua" w:eastAsia="Book Antiqua" w:hAnsi="Book Antiqua" w:cs="Book Antiqua"/>
          <w:color w:val="000000"/>
        </w:rPr>
        <w:t xml:space="preserve"> 0.70 and </w:t>
      </w:r>
      <w:r w:rsidR="007F7A58">
        <w:rPr>
          <w:rFonts w:ascii="Book Antiqua" w:eastAsia="Book Antiqua" w:hAnsi="Book Antiqua" w:cs="Book Antiqua"/>
          <w:color w:val="000000"/>
        </w:rPr>
        <w:t xml:space="preserve">below </w:t>
      </w:r>
      <w:r>
        <w:rPr>
          <w:rFonts w:ascii="Book Antiqua" w:eastAsia="Book Antiqua" w:hAnsi="Book Antiqua" w:cs="Book Antiqua"/>
          <w:color w:val="000000"/>
        </w:rPr>
        <w:t>0.95. Greater values reflect higher correlations among the items and might be an indication for a redundancy of two or more items</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{"citationID":"8j8oNT3D","properties":{"formattedCitation":"\\super 15\\nosupersub{}","plainCitation":"15","noteIndex":0},"citationItems":[{"id":154,"uris":["http://zotero.org/users/local/QA4apqAk/items/QLQF8CII"],"uri":["http://zotero.org/users/local/QA4apqAk/items/QLQF8CII"],"itemData":{"id":154,"type":"article-journal","abstract":"OBJECTIVES: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group.\nRESULTS: For each measurement property a criterion was defined for a positive, negative, or indeterminate rating, depending on the design, methods, and outcomes of the validation study.\nCONCLUSION: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properties.","container-title":"Journal of Clinical Epidemiology","DOI":"10.1016/j.jclinepi.2006.03.012","ISSN":"0895-4356","issue":"1","journalAbbreviation":"J Clin Epidemiol","language":"eng","note":"PMID: 17161752","page":"34-42","source":"PubMed","title":"Quality criteria were proposed for measurement properties of health status questionnaires","volume":"60","author":[{"family":"Terwee","given":"Caroline B."},{"family":"Bot","given":"Sandra D. M."},{"family":"Boer","given":"Michael R.","non-dropping-particle":"de"},{"family":"Windt","given":"Daniëlle A. W. M.","non-dropping-particle":"van der"},{"family":"Knol","given":"Dirk L."},{"family":"Dekker","given":"Joost"},{"family":"Bouter","given":"Lex M."},{"family":"Vet","given":"Henrica C. W.","non-dropping-particle":"de"}],"issued":{"date-parts":[["2007",1]]}}}],"schema":"https://github.com/citation-style-language/schema/raw/master/csl-citation.json"}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15</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Cronbach’s alpha is </w:t>
      </w:r>
      <w:r w:rsidR="007F7A58">
        <w:rPr>
          <w:rFonts w:ascii="Book Antiqua" w:eastAsia="Book Antiqua" w:hAnsi="Book Antiqua" w:cs="Book Antiqua"/>
          <w:color w:val="000000"/>
        </w:rPr>
        <w:t xml:space="preserve">also </w:t>
      </w:r>
      <w:r>
        <w:rPr>
          <w:rFonts w:ascii="Book Antiqua" w:eastAsia="Book Antiqua" w:hAnsi="Book Antiqua" w:cs="Book Antiqua"/>
          <w:color w:val="000000"/>
        </w:rPr>
        <w:t xml:space="preserve">dependent on the number </w:t>
      </w:r>
      <w:r w:rsidR="007F7A58">
        <w:rPr>
          <w:rFonts w:ascii="Book Antiqua" w:eastAsia="Book Antiqua" w:hAnsi="Book Antiqua" w:cs="Book Antiqua"/>
          <w:color w:val="000000"/>
        </w:rPr>
        <w:t>issues a questionnaire contains; h</w:t>
      </w:r>
      <w:r>
        <w:rPr>
          <w:rFonts w:ascii="Book Antiqua" w:eastAsia="Book Antiqua" w:hAnsi="Book Antiqua" w:cs="Book Antiqua"/>
          <w:color w:val="000000"/>
        </w:rPr>
        <w:t xml:space="preserve">igher values for scores with a higher number of items. </w:t>
      </w:r>
      <w:r w:rsidR="007F7A58">
        <w:rPr>
          <w:rFonts w:ascii="Book Antiqua" w:eastAsia="Book Antiqua" w:hAnsi="Book Antiqua" w:cs="Book Antiqua"/>
          <w:color w:val="000000"/>
        </w:rPr>
        <w:t>T</w:t>
      </w:r>
      <w:r>
        <w:rPr>
          <w:rFonts w:ascii="Book Antiqua" w:eastAsia="Book Antiqua" w:hAnsi="Book Antiqua" w:cs="Book Antiqua"/>
          <w:color w:val="000000"/>
        </w:rPr>
        <w:t xml:space="preserve">he FJS consists of only 12 items. </w:t>
      </w:r>
      <w:r w:rsidR="007F7A58">
        <w:rPr>
          <w:rFonts w:ascii="Book Antiqua" w:eastAsia="Book Antiqua" w:hAnsi="Book Antiqua" w:cs="Book Antiqua"/>
          <w:color w:val="000000"/>
        </w:rPr>
        <w:t xml:space="preserve">Therefore, it seems that </w:t>
      </w:r>
      <w:r>
        <w:rPr>
          <w:rFonts w:ascii="Book Antiqua" w:eastAsia="Book Antiqua" w:hAnsi="Book Antiqua" w:cs="Book Antiqua"/>
          <w:color w:val="000000"/>
        </w:rPr>
        <w:t xml:space="preserve">the concept of the FJS </w:t>
      </w:r>
      <w:r w:rsidR="007F7A58">
        <w:rPr>
          <w:rFonts w:ascii="Book Antiqua" w:eastAsia="Book Antiqua" w:hAnsi="Book Antiqua" w:cs="Book Antiqua"/>
          <w:color w:val="000000"/>
        </w:rPr>
        <w:t>with measurement</w:t>
      </w:r>
      <w:r>
        <w:rPr>
          <w:rFonts w:ascii="Book Antiqua" w:eastAsia="Book Antiqua" w:hAnsi="Book Antiqua" w:cs="Book Antiqua"/>
          <w:color w:val="000000"/>
        </w:rPr>
        <w:t xml:space="preserve"> of</w:t>
      </w:r>
      <w:r w:rsidR="007F7A58">
        <w:rPr>
          <w:rFonts w:ascii="Book Antiqua" w:eastAsia="Book Antiqua" w:hAnsi="Book Antiqua" w:cs="Book Antiqua"/>
          <w:color w:val="000000"/>
        </w:rPr>
        <w:t xml:space="preserve"> the joint</w:t>
      </w:r>
      <w:r>
        <w:rPr>
          <w:rFonts w:ascii="Book Antiqua" w:eastAsia="Book Antiqua" w:hAnsi="Book Antiqua" w:cs="Book Antiqua"/>
          <w:color w:val="000000"/>
        </w:rPr>
        <w:t xml:space="preserve"> awareness for every question</w:t>
      </w:r>
      <w:r w:rsidR="007F7A58">
        <w:rPr>
          <w:rFonts w:ascii="Book Antiqua" w:eastAsia="Book Antiqua" w:hAnsi="Book Antiqua" w:cs="Book Antiqua"/>
          <w:color w:val="000000"/>
        </w:rPr>
        <w:t xml:space="preserve"> could be the reason for a high level of internal consistency</w:t>
      </w:r>
      <w:r>
        <w:rPr>
          <w:rFonts w:ascii="Book Antiqua" w:eastAsia="Book Antiqua" w:hAnsi="Book Antiqua" w:cs="Book Antiqua"/>
          <w:color w:val="000000"/>
        </w:rPr>
        <w:t xml:space="preserve">. </w:t>
      </w:r>
    </w:p>
    <w:p w14:paraId="37D668EC" w14:textId="5E8B73EF" w:rsidR="00A77B3E" w:rsidRDefault="007F7A58" w:rsidP="00607F88">
      <w:pPr>
        <w:spacing w:line="360" w:lineRule="auto"/>
        <w:ind w:firstLineChars="100" w:firstLine="240"/>
        <w:jc w:val="both"/>
      </w:pPr>
      <w:r>
        <w:rPr>
          <w:rFonts w:ascii="Book Antiqua" w:eastAsia="Book Antiqua" w:hAnsi="Book Antiqua" w:cs="Book Antiqua"/>
          <w:color w:val="000000"/>
        </w:rPr>
        <w:t>Prior studies reported a t</w:t>
      </w:r>
      <w:r w:rsidR="00464B5F">
        <w:rPr>
          <w:rFonts w:ascii="Book Antiqua" w:eastAsia="Book Antiqua" w:hAnsi="Book Antiqua" w:cs="Book Antiqua"/>
          <w:color w:val="000000"/>
        </w:rPr>
        <w:t xml:space="preserve">est-retest reliability </w:t>
      </w:r>
      <w:r>
        <w:rPr>
          <w:rFonts w:ascii="Book Antiqua" w:eastAsia="Book Antiqua" w:hAnsi="Book Antiqua" w:cs="Book Antiqua"/>
          <w:color w:val="000000"/>
        </w:rPr>
        <w:t xml:space="preserve">of </w:t>
      </w:r>
      <w:r w:rsidR="00464B5F">
        <w:rPr>
          <w:rFonts w:ascii="Book Antiqua" w:eastAsia="Book Antiqua" w:hAnsi="Book Antiqua" w:cs="Book Antiqua"/>
          <w:color w:val="000000"/>
        </w:rPr>
        <w:t>the FJS between 0.80 and 0.97</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{"citationID":"LdBAagzY","properties":{"formattedCitation":"\\super 13,18,36\\nosupersub{}","plainCitation":"13,18,36","noteIndex":0},"citationItems":[{"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185,"uris":["http://zotero.org/users/local/QA4apqAk/items/9JXB83FE"],"uri":["http://zotero.org/users/local/QA4apqAk/items/9JXB83FE"],"itemData":{"id":185,"type":"article-journal","abstract":"Background and purpose - When evaluating the outcome after total knee arthroplasty (TKA), increasing emphasis has been put on patient satisfaction and ability to perform activities of daily living. To address this, the forgotten joint score (FJS) for assessment of knee awareness has been developed. We investigated the validity and reliability of the FJS. Patients and methods - A Danish version of the FJS questionnaire was created according to internationally accepted standards. 360 participants who underwent primary TKA were invited to participate in the study. Of these, 315 were included in a validity study and 150 in a reliability study. Correlation between the Oxford knee score (OKS) and the FJS was examined and test-retest evaluation was performed. A ceiling effect was defined as participants reaching a score within 15% of the maximum achievable score. Results - The validity study revealed a strong correlation between the FJS and the OKS (intraclass correlation coefficient (ICC)</w:instrText>
      </w:r>
      <w:r w:rsidR="00782942">
        <w:rPr>
          <w:rFonts w:eastAsia="Book Antiqua"/>
          <w:color w:val="000000"/>
          <w:vertAlign w:val="superscript"/>
        </w:rPr>
        <w:instrText> </w:instrText>
      </w:r>
      <w:r w:rsidR="00782942">
        <w:rPr>
          <w:rFonts w:ascii="Book Antiqua" w:eastAsia="Book Antiqua" w:hAnsi="Book Antiqua" w:cs="Book Antiqua"/>
          <w:color w:val="000000"/>
          <w:vertAlign w:val="superscript"/>
        </w:rPr>
        <w:instrText>=</w:instrText>
      </w:r>
      <w:r w:rsidR="00782942">
        <w:rPr>
          <w:rFonts w:eastAsia="Book Antiqua"/>
          <w:color w:val="000000"/>
          <w:vertAlign w:val="superscript"/>
        </w:rPr>
        <w:instrText> </w:instrText>
      </w:r>
      <w:r w:rsidR="00782942">
        <w:rPr>
          <w:rFonts w:ascii="Book Antiqua" w:eastAsia="Book Antiqua" w:hAnsi="Book Antiqua" w:cs="Book Antiqua"/>
          <w:color w:val="000000"/>
          <w:vertAlign w:val="superscript"/>
        </w:rPr>
        <w:instrText xml:space="preserve">0.81, 95% CI: 0.77-0.85; p &lt; 0.001). The test-retest evaluation showed almost perfect reliability for the FJS total score (ICC = 0.91, 95% CI: 0.88-0.94) and substantial reliability or better for individual items of the FJS (ICC? 0.79). We found a high level of internal consistency (Cronbach's? = 0.96). The ceiling effect for the FJS was 16%, as compared to 37% for the OKS. Interpretation - The FJS showed good construct validity and test-retest reliability. It had a lower ceiling effect than the OKS. The FJS appears to be a promising tool for evaluation of small differences in knee performance in groups of patients with good clinical results after TKA.","container-title":"Acta Orthopaedica","DOI":"10.3109/17453674.2016.1156934","ISSN":"1745-3682","issue":"3","journalAbbreviation":"Acta Orthop","language":"eng","note":"PMID: 26937689\nPMCID: PMC4900097","page":"280-285","source":"PubMed","title":"Good validity and reliability of the forgotten joint score in evaluating the outcome of total knee arthroplasty","volume":"87","author":[{"family":"Thomsen","given":"Morten G."},{"family":"Latifi","given":"Roshan"},{"family":"Kallemose","given":"Thomas"},{"family":"Barfod","given":"Kristoffer W."},{"family":"Husted","given":"Henrik"},{"family":"Troelsen","given":"Anders"}],"issued":{"date-parts":[["2016",6]]}}}],"schema":"https://github.com/citation-style-language/schema/raw/master/csl-citation.json"}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13,18,36</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sidR="00464B5F">
        <w:rPr>
          <w:rFonts w:ascii="Book Antiqua" w:eastAsia="Book Antiqua" w:hAnsi="Book Antiqua" w:cs="Book Antiqua"/>
          <w:color w:val="000000"/>
        </w:rPr>
        <w:t xml:space="preserve">. We </w:t>
      </w:r>
      <w:r>
        <w:rPr>
          <w:rFonts w:ascii="Book Antiqua" w:eastAsia="Book Antiqua" w:hAnsi="Book Antiqua" w:cs="Book Antiqua"/>
          <w:color w:val="000000"/>
        </w:rPr>
        <w:t>found</w:t>
      </w:r>
      <w:r w:rsidR="00464B5F">
        <w:rPr>
          <w:rFonts w:ascii="Book Antiqua" w:eastAsia="Book Antiqua" w:hAnsi="Book Antiqua" w:cs="Book Antiqua"/>
          <w:color w:val="000000"/>
        </w:rPr>
        <w:t xml:space="preserve"> perfect test-retest reliability with an ICC of 0.99. We intended to include also patients with a long-term result years after injury. In these cases, </w:t>
      </w:r>
      <w:r>
        <w:rPr>
          <w:rFonts w:ascii="Book Antiqua" w:eastAsia="Book Antiqua" w:hAnsi="Book Antiqua" w:cs="Book Antiqua"/>
          <w:color w:val="000000"/>
        </w:rPr>
        <w:t>we assumed a</w:t>
      </w:r>
      <w:r w:rsidR="00464B5F">
        <w:rPr>
          <w:rFonts w:ascii="Book Antiqua" w:eastAsia="Book Antiqua" w:hAnsi="Book Antiqua" w:cs="Book Antiqua"/>
          <w:color w:val="000000"/>
        </w:rPr>
        <w:t xml:space="preserve"> stable medical condition making the ICC robust. The long period of time between time points T1 and T2 in some cases leading to a SD of 71.4 days is a potential source of bias. However, the anchor-based method to include only patients with a subjective steady medical condition should lead to reliable results from a statistical point of view.</w:t>
      </w:r>
    </w:p>
    <w:p w14:paraId="3783E6FF" w14:textId="099FBE5F" w:rsidR="00A77B3E" w:rsidRDefault="007F7A58" w:rsidP="00017D1E">
      <w:pPr>
        <w:spacing w:line="360" w:lineRule="auto"/>
        <w:ind w:firstLineChars="100" w:firstLine="240"/>
        <w:jc w:val="both"/>
      </w:pPr>
      <w:r>
        <w:rPr>
          <w:rFonts w:ascii="Book Antiqua" w:eastAsia="Book Antiqua" w:hAnsi="Book Antiqua" w:cs="Book Antiqua"/>
          <w:color w:val="000000"/>
        </w:rPr>
        <w:t xml:space="preserve">We expected the </w:t>
      </w:r>
      <w:r w:rsidR="00464B5F">
        <w:rPr>
          <w:rFonts w:ascii="Book Antiqua" w:eastAsia="Book Antiqua" w:hAnsi="Book Antiqua" w:cs="Book Antiqua"/>
          <w:color w:val="000000"/>
        </w:rPr>
        <w:t xml:space="preserve">WOMAC-VAS, TAS, and EQ-5D-3L </w:t>
      </w:r>
      <w:r>
        <w:rPr>
          <w:rFonts w:ascii="Book Antiqua" w:eastAsia="Book Antiqua" w:hAnsi="Book Antiqua" w:cs="Book Antiqua"/>
          <w:color w:val="000000"/>
        </w:rPr>
        <w:t>to be</w:t>
      </w:r>
      <w:r w:rsidR="00464B5F">
        <w:rPr>
          <w:rFonts w:ascii="Book Antiqua" w:eastAsia="Book Antiqua" w:hAnsi="Book Antiqua" w:cs="Book Antiqua"/>
          <w:color w:val="000000"/>
        </w:rPr>
        <w:t xml:space="preserve"> appropriate for evaluation of construct validity, because the</w:t>
      </w:r>
      <w:r>
        <w:rPr>
          <w:rFonts w:ascii="Book Antiqua" w:eastAsia="Book Antiqua" w:hAnsi="Book Antiqua" w:cs="Book Antiqua"/>
          <w:color w:val="000000"/>
        </w:rPr>
        <w:t>se scores a</w:t>
      </w:r>
      <w:r w:rsidR="00464B5F">
        <w:rPr>
          <w:rFonts w:ascii="Book Antiqua" w:eastAsia="Book Antiqua" w:hAnsi="Book Antiqua" w:cs="Book Antiqua"/>
          <w:color w:val="000000"/>
        </w:rPr>
        <w:t xml:space="preserve">re widely used and </w:t>
      </w:r>
      <w:r>
        <w:rPr>
          <w:rFonts w:ascii="Book Antiqua" w:eastAsia="Book Antiqua" w:hAnsi="Book Antiqua" w:cs="Book Antiqua"/>
          <w:color w:val="000000"/>
        </w:rPr>
        <w:t xml:space="preserve">a </w:t>
      </w:r>
      <w:r w:rsidR="00464B5F">
        <w:rPr>
          <w:rFonts w:ascii="Book Antiqua" w:eastAsia="Book Antiqua" w:hAnsi="Book Antiqua" w:cs="Book Antiqua"/>
          <w:color w:val="000000"/>
        </w:rPr>
        <w:t xml:space="preserve">German language </w:t>
      </w:r>
      <w:r>
        <w:rPr>
          <w:rFonts w:ascii="Book Antiqua" w:eastAsia="Book Antiqua" w:hAnsi="Book Antiqua" w:cs="Book Antiqua"/>
          <w:color w:val="000000"/>
        </w:rPr>
        <w:t xml:space="preserve">version of all scores was validated </w:t>
      </w:r>
      <w:r w:rsidR="00464B5F">
        <w:rPr>
          <w:rFonts w:ascii="Book Antiqua" w:eastAsia="Book Antiqua" w:hAnsi="Book Antiqua" w:cs="Book Antiqua"/>
          <w:color w:val="000000"/>
        </w:rPr>
        <w:t>for sports related injuries and arthroplasty patients</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{"citationID":"AQwjBSKQ","properties":{"formattedCitation":"\\super 23,24,37\\nosupersub{}","plainCitation":"23,24,37","noteIndex":0},"citationItems":[{"id":170,"uris":["http://zotero.org/users/local/QA4apqAk/items/TNBW9MIE"],"uri":["http://zotero.org/users/local/QA4apqAk/items/TNBW9MIE"],"itemData":{"id":170,"type":"article-journal","abstract":"OBJECTIVE: The Lysholm score and the Tegner activity scale are widely used for assessing knee function and activity level after knee ligament injuries. This study aimed to asses validity and reliability of the German versions of the Lysholm score (Lysholm-G) and the Tegner activity scale (Tegner-G) in patients after total knee arthroplasty (TKA).\nMETHODS: Two patient groups (&lt;3 months postoperative; 3 to 12 months postoperative) and a healthy control group completed both questionnaires twice within 3 to 7 days. On the first occasion, the SF-12 questionnaire was also administered. The instruments' absolute and relative reliability, internal consistency, construct validity (discriminative validity and exploratory factor analysis), criterion validity, and floor/ceiling effects were determined.\nRESULTS: Both instruments showed acceptable relative reliability (Lysholm-G: ICC2,1 = 0.87; Tegner-G: ICC2,1 = 0.79), and the Lysholm-G had a Cronbach's alpha of 0.93. Kruskal-Wallis test and post-hoc Mann-Whitney U tests showed significant differences in both scores among the groups. Factor analysis of Lysholm-G yielded three factors that together explained 76% of the variance. Correlations between the Lysholm-G/Tegner-G and the physical component of the SF-12 were moderate (ρ = 0.60/0.59). Item analysis of the Lysholm-G revealed a low relative reliability for the item \"instability\" and low discriminative validity for the items \"locking\" and \"instability\".\nCONCLUSIONS: This study demonstrated acceptable psychometric performances for the Lysholm-G and the Tegner-G scales as outcome measures for patients with TKA. A short version of the Lysholm score without the \"locking\" and \"instability\" items might be more appropriate for TKA patients.","container-title":"Swiss Medical Weekly","DOI":"10.4414/smw.2014.13976","ISSN":"1424-3997","journalAbbreviation":"Swiss Med Wkly","language":"eng","note":"PMID: 24921654","page":"w13976","source":"PubMed","title":"Function and activity in patients with knee arthroplasty: validity and reliability of a German version of the Lysholm Score and the Tegner Activity Scale","title-short":"Function and activity in patients with knee arthroplasty","volume":"144","author":[{"family":"Swanenburg","given":"Jaap"},{"family":"Koch","given":"Peter P."},{"family":"Meier","given":"Nadja"},{"family":"Wirth","given":"Brigitte"}],"issued":{"date-parts":[["2014"]]}}},{"id":128,"uris":["http://zotero.org/users/local/QA4apqAk/items/MP9D5Y58"],"uri":["http://zotero.org/users/local/QA4apqAk/items/MP9D5Y58"],"itemData":{"id":128,"type":"article-journal","abstract":"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process.","container-title":"Annals of Medicine","DOI":"10.3109/07853890109002087","ISSN":"0785-3890","issue":"5","journalAbbreviation":"Ann Med","language":"eng","note":"PMID: 11491192","page":"337-343","source":"PubMed","title":"EQ-5D: a measure of health status from the EuroQol Group","title-short":"EQ-5D","volume":"33","author":[{"family":"Rabin","given":"R."},{"family":"Charro","given":"F.","non-dropping-particle":"de"}],"issued":{"date-parts":[["2001",7]]}}},{"id":188,"uris":["http://zotero.org/users/local/QA4apqAk/items/TKNKJZUR"],"uri":["http://zotero.org/users/local/QA4apqAk/items/TKNKJZUR"],"itemData":{"id":188,"type":"article-journal","abstract":"BACKGROUND: The Lysholm score is a questionnaire that assesses knee function after conservatively or operatively treated anterior cruciate ligament (ACL) injuries. Its original version is in English and consists of eight items (limping, support, locking, instability, pain, swelling, stair-climbing, squatting). The aim of this study was to translate the Lysholm score in the German language, to test discriminative validity and reliability of this German version and, thus, to provide a validated German version of the Lysholm score to be applied in further studies.\nMETHODS: The cross-cultural adaptation to the German language was performed according to recommended guidelines in the literature. Validity and reliability of the German version were tested in two patient groups in the acute (&lt; 3 months post incident/operation; n = 12) and late rehabilitation phase after ACL injury (3 - 12 months post incident/operation, n = 16), respectively as well as in a control group without any knee problems (n = 22). The subjects filled in the questionnaire twice within three days.\nRESULTS: With respect to validity, the control group (total score 96.8 ± 5.1 points) differed significantly from the total patient group (p &lt; 0.001) as well as from the patient group in the acute (75.3 ± 16.8 points) (p &lt; 0.001) and the late (82.7 ± 12.8 Punkte) (p &lt; 0.001) rehabilitation phase, respectively. Test-retest reliability of the total Lysholm score was good for the total patient group (intraclass correlation coefficient (ICC) = 0.82) as well as for the patients in the acute (ICC = 0.82) and in the late (ICC = 0.84) rehabilitation phase, respectively. The Cronbachs Alpha was 0.73.\nCONCLUSION: The psychometric properties of the German version of the Lysholm score are comparable to the English version. It is a valid and reliable instrument for the objective assessment of rehabilitation outcome after ACL injury at least in the German speaking part of Switzerland. Based on these first results, its application for further research projects in all German speaking countries is recommended.","container-title":"Sportverletzung Sportschaden: Organ Der Gesellschaft Fur Orthopadisch-Traumatologische Sportmedizin","DOI":"10.1055/s-0029-1245825","ISSN":"1439-1236","issue":"1","journalAbbreviation":"Sportverletz Sportschaden","language":"ger","note":"PMID: 21400391","page":"37-43","source":"PubMed","title":"[Development and evaluation of a German version of the Lysholm score for measuring outcome after anterior cruciate ligament injuries]","volume":"25","author":[{"family":"Wirth","given":"B."},{"family":"Liffert","given":"F."},{"family":"Bruin","given":"E. D.","non-dropping-particle":"de"}],"issued":{"date-parts":[["2011",3]]}}}],"schema":"https://github.com/citation-style-language/schema/raw/master/csl-citation.json"}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23,24,37</w:t>
      </w:r>
      <w:r w:rsidR="00782942">
        <w:rPr>
          <w:rFonts w:ascii="Book Antiqua" w:eastAsia="Book Antiqua" w:hAnsi="Book Antiqua" w:cs="Book Antiqua"/>
          <w:color w:val="000000"/>
        </w:rPr>
        <w:fldChar w:fldCharType="end"/>
      </w:r>
      <w:r w:rsidR="00562057">
        <w:rPr>
          <w:rFonts w:ascii="Book Antiqua" w:hAnsi="Book Antiqua" w:cs="Book Antiqua" w:hint="eastAsia"/>
          <w:color w:val="000000"/>
          <w:vertAlign w:val="superscript"/>
          <w:lang w:eastAsia="zh-CN"/>
        </w:rPr>
        <w:t>]</w:t>
      </w:r>
      <w:r w:rsidR="00464B5F">
        <w:rPr>
          <w:rFonts w:ascii="Book Antiqua" w:eastAsia="Book Antiqua" w:hAnsi="Book Antiqua" w:cs="Book Antiqua"/>
          <w:color w:val="000000"/>
        </w:rPr>
        <w:t>. We decided to use the WOMAC-VAS score as tool for evaluation of validity because it was used in the original publication of the FJS as well</w:t>
      </w:r>
      <w:r w:rsidR="00562057">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vertAlign w:val="superscript"/>
        </w:rPr>
        <w:fldChar w:fldCharType="begin"/>
      </w:r>
      <w:r w:rsidR="00782942">
        <w:rPr>
          <w:rFonts w:ascii="Book Antiqua" w:eastAsia="Book Antiqua" w:hAnsi="Book Antiqua" w:cs="Book Antiqua"/>
          <w:color w:val="000000"/>
          <w:vertAlign w:val="superscript"/>
        </w:rPr>
        <w:instrText xml:space="preserve"> ADDIN ZOTERO_ITEM CSL_CITATION {"citationID":"61xqB59q","properties":{"formattedCitation":"\\super 11\\nosupersub{}","plainCitation":"11","noteIndex":0},"citationItems":[{"id":148,"uris":["http://zotero.org/users/local/QA4apqAk/items/KLNLRI6Z"],"uri":["http://zotero.org/users/local/QA4apqAk/items/KLNLRI6Z"],"itemData":{"id":148,"type":"article-journal","abstract":"With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S."}],"issued":{"date-parts":[["2012",3]]}}}],"schema":"https://github.com/citation-style-language/schema/raw/master/csl-citation.json"} </w:instrText>
      </w:r>
      <w:r w:rsidR="00782942">
        <w:rPr>
          <w:rFonts w:ascii="Book Antiqua" w:eastAsia="Book Antiqua" w:hAnsi="Book Antiqua" w:cs="Book Antiqua"/>
          <w:color w:val="000000"/>
          <w:vertAlign w:val="superscript"/>
        </w:rPr>
        <w:fldChar w:fldCharType="separate"/>
      </w:r>
      <w:r w:rsidR="00782942" w:rsidRPr="00782942">
        <w:rPr>
          <w:rFonts w:ascii="Book Antiqua" w:hAnsi="Book Antiqua"/>
          <w:vertAlign w:val="superscript"/>
        </w:rPr>
        <w:t>11</w:t>
      </w:r>
      <w:r w:rsidR="00782942">
        <w:rPr>
          <w:rFonts w:ascii="Book Antiqua" w:eastAsia="Book Antiqua" w:hAnsi="Book Antiqua" w:cs="Book Antiqua"/>
          <w:color w:val="000000"/>
          <w:vertAlign w:val="superscript"/>
        </w:rPr>
        <w:fldChar w:fldCharType="end"/>
      </w:r>
      <w:r w:rsidR="00562057">
        <w:rPr>
          <w:rFonts w:ascii="Book Antiqua" w:hAnsi="Book Antiqua" w:cs="Book Antiqua" w:hint="eastAsia"/>
          <w:color w:val="000000"/>
          <w:vertAlign w:val="superscript"/>
          <w:lang w:eastAsia="zh-CN"/>
        </w:rPr>
        <w:t>]</w:t>
      </w:r>
      <w:r w:rsidR="00464B5F">
        <w:rPr>
          <w:rFonts w:ascii="Book Antiqua" w:eastAsia="Book Antiqua" w:hAnsi="Book Antiqua" w:cs="Book Antiqua"/>
          <w:color w:val="000000"/>
        </w:rPr>
        <w:t xml:space="preserve">. The FJS </w:t>
      </w:r>
      <w:r w:rsidR="00464B5F">
        <w:rPr>
          <w:rFonts w:ascii="Book Antiqua" w:eastAsia="Book Antiqua" w:hAnsi="Book Antiqua" w:cs="Book Antiqua"/>
          <w:color w:val="000000"/>
        </w:rPr>
        <w:lastRenderedPageBreak/>
        <w:t xml:space="preserve">showed good correlation to the total score of the WOMAC-VAS as well as to the WOMAC-VAS subscales. </w:t>
      </w:r>
    </w:p>
    <w:p w14:paraId="5A41A67E" w14:textId="77777777" w:rsidR="00A77B3E" w:rsidRDefault="00464B5F" w:rsidP="00017D1E">
      <w:pPr>
        <w:spacing w:line="360" w:lineRule="auto"/>
        <w:ind w:firstLineChars="100" w:firstLine="240"/>
        <w:jc w:val="both"/>
      </w:pPr>
      <w:r>
        <w:rPr>
          <w:rFonts w:ascii="Book Antiqua" w:eastAsia="Book Antiqua" w:hAnsi="Book Antiqua" w:cs="Book Antiqua"/>
          <w:color w:val="000000"/>
        </w:rPr>
        <w:t>To investigate if a risk factors for rapid-progressive joint degeneration like a residual joint surface step of more than 3</w:t>
      </w:r>
      <w:r w:rsidR="00017D1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might have an impact on patient-centered HR-QoL, we collected data from the initial CT scan in cases of conservative treatment and the post-operative CT scan in operatively treated patients. We expected that a complex fracture pattern or a residual articular step would lead to a lower level of forgetting the joint because of inflammation of the joint. However, we did not find any impact of the fracture pattern according to </w:t>
      </w:r>
      <w:proofErr w:type="spellStart"/>
      <w:r>
        <w:rPr>
          <w:rFonts w:ascii="Book Antiqua" w:eastAsia="Book Antiqua" w:hAnsi="Book Antiqua" w:cs="Book Antiqua"/>
          <w:color w:val="000000"/>
        </w:rPr>
        <w:t>Letournel</w:t>
      </w:r>
      <w:proofErr w:type="spellEnd"/>
      <w:r>
        <w:rPr>
          <w:rFonts w:ascii="Book Antiqua" w:eastAsia="Book Antiqua" w:hAnsi="Book Antiqua" w:cs="Book Antiqua"/>
          <w:color w:val="000000"/>
        </w:rPr>
        <w:t xml:space="preserve"> or an articular surface step of more than 3</w:t>
      </w:r>
      <w:r w:rsidR="0073122F">
        <w:rPr>
          <w:rFonts w:ascii="Book Antiqua" w:hAnsi="Book Antiqua" w:cs="Book Antiqua" w:hint="eastAsia"/>
          <w:color w:val="000000"/>
          <w:lang w:eastAsia="zh-CN"/>
        </w:rPr>
        <w:t xml:space="preserve"> </w:t>
      </w:r>
      <w:r>
        <w:rPr>
          <w:rFonts w:ascii="Book Antiqua" w:eastAsia="Book Antiqua" w:hAnsi="Book Antiqua" w:cs="Book Antiqua"/>
          <w:color w:val="000000"/>
        </w:rPr>
        <w:t>mm in the CT scan on the FJS at time of the validation study. This is probably due to the long period mean time between injury and mean follow-up of more than 5 years. It is likely that the patients with a clinically relevant joint step develop joint degeneration within the first two years after injury (</w:t>
      </w:r>
      <w:r>
        <w:rPr>
          <w:rFonts w:ascii="Book Antiqua" w:eastAsia="Book Antiqua" w:hAnsi="Book Antiqua" w:cs="Book Antiqua"/>
          <w:i/>
          <w:iCs/>
          <w:color w:val="000000"/>
        </w:rPr>
        <w:t>n</w:t>
      </w:r>
      <w:r>
        <w:rPr>
          <w:rFonts w:ascii="Book Antiqua" w:eastAsia="Book Antiqua" w:hAnsi="Book Antiqua" w:cs="Book Antiqua"/>
          <w:color w:val="000000"/>
        </w:rPr>
        <w:t xml:space="preserve"> = 4/100). The other patients with an initial articular step might have sustained a consolidation in functional joint kinetics to a sub-clinical degree. From our perspective, this is an interesting finding and is worth further investigating.</w:t>
      </w:r>
    </w:p>
    <w:p w14:paraId="239D1228" w14:textId="77777777" w:rsidR="00A77B3E" w:rsidRDefault="00464B5F" w:rsidP="002A155B">
      <w:pPr>
        <w:spacing w:line="360" w:lineRule="auto"/>
        <w:ind w:firstLineChars="100" w:firstLine="240"/>
        <w:jc w:val="both"/>
      </w:pPr>
      <w:r>
        <w:rPr>
          <w:rFonts w:ascii="Book Antiqua" w:eastAsia="Book Antiqua" w:hAnsi="Book Antiqua" w:cs="Book Antiqua"/>
          <w:color w:val="000000"/>
        </w:rPr>
        <w:t xml:space="preserve">However, we did find a difference between surgical and conservative management. Patients after conservative management reported higher levels in the FJS than surgically treated patients. We recommended conservative management with partial weight bearing only in cases with no dislocation of the fragments. We suspect that this reflects a potential selection bias for conservatively treated patients. </w:t>
      </w:r>
    </w:p>
    <w:p w14:paraId="5BCE4EF6" w14:textId="24B0BD48" w:rsidR="00A77B3E" w:rsidRDefault="00464B5F" w:rsidP="007D2163">
      <w:pPr>
        <w:spacing w:line="360" w:lineRule="auto"/>
        <w:ind w:firstLineChars="100" w:firstLine="240"/>
        <w:jc w:val="both"/>
      </w:pPr>
      <w:r>
        <w:rPr>
          <w:rFonts w:ascii="Book Antiqua" w:eastAsia="Book Antiqua" w:hAnsi="Book Antiqua" w:cs="Book Antiqua"/>
          <w:color w:val="000000"/>
        </w:rPr>
        <w:t>Another important issue for the use of PROMs for further prospective trials is responsiveness to change in medical condition. With a lack of gold standard, defining responsiveness is difficult. According to the COSMIN checklist, we assessed responsiveness in patients by Wilcoxon tests and ES</w:t>
      </w:r>
      <w:r w:rsidR="00183526">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{"citationID":"M5zgl150","properties":{"formattedCitation":"\\super 16\\nosupersub{}","plainCitation":"16","noteIndex":0},"citationItems":[{"id":157,"uris":["http://zotero.org/users/local/QA4apqAk/items/YGQHY79U"],"uri":["http://zotero.org/users/local/QA4apqAk/items/YGQHY79U"],"itemData":{"id":157,"type":"article-journal","abstract":"BACKGROUND: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checklist.\nMETHODS: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agree'.\nRESULTS: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assessed.\nCONCLUSIONS: The resulting COSMIN checklist could be useful when selecting a measurement instrument, peer-reviewing a manuscript, designing or reporting a study on measurement properties, or for educational purposes.","container-title":"Quality of Life Research: An International Journal of Quality of Life Aspects of Treatment, Care and Rehabilitation","DOI":"10.1007/s11136-010-9606-8","ISSN":"1573-2649","issue":"4","journalAbbreviation":"Qual Life Res","language":"eng","note":"PMID: 20169472\nPMCID: PMC2852520","page":"539-549","source":"PubMed","title":"The COSMIN checklist for assessing the methodological quality of studies on measurement properties of health status measurement instruments: an international Delphi study","title-short":"The COSMIN checklist for assessing the methodological quality of studies on measurement properties of health status measurement instruments","volume":"19","author":[{"family":"Mokkink","given":"Lidwine B."},{"family":"Terwee","given":"Caroline B."},{"family":"Patrick","given":"Donald L."},{"family":"Alonso","given":"Jordi"},{"family":"Stratford","given":"Paul W."},{"family":"Knol","given":"Dirk L."},{"family":"Bouter","given":"Lex M."},{"family":"Vet","given":"Henrica C. W.","non-dropping-particle":"de"}],"issued":{"date-parts":[["2010",5]]}}}],"schema":"https://github.com/citation-style-language/schema/raw/master/csl-citation.json"}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16</w:t>
      </w:r>
      <w:r w:rsidR="00782942">
        <w:rPr>
          <w:rFonts w:ascii="Book Antiqua" w:eastAsia="Book Antiqua" w:hAnsi="Book Antiqua" w:cs="Book Antiqua"/>
          <w:color w:val="000000"/>
        </w:rPr>
        <w:fldChar w:fldCharType="end"/>
      </w:r>
      <w:r w:rsidR="001835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FJS score has shown good responsiveness in post-arthroplasty conditions longer than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w:t>
      </w:r>
      <w:r w:rsidR="00183526">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{"citationID":"i3SqfL6k","properties":{"formattedCitation":"\\super 11,13,38\\nosupersub{}","plainCitation":"11,13,38","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S."}],"issued":{"date-parts":[["2012",3]]}}},{"id":152,"uris":["http://zotero.org/users/local/QA4apqAk/items/3IYLPNKV"],"uri":["http://zotero.org/users/local/QA4apqAk/items/3IYLPNKV"],"itemData":{"id":152,"type":"article-journal","abstract":"PURPOSE: Evaluation of further improvement in treatment of patients with osteoarthritis of the knee requires measurement tools with a high discriminatory power. In this context, joint awareness in everyday life is seen as crucial criterion. Purpose of this study was to adapt and validate a German version of the \"Forgotten Joint Score\" (FJS) according to the COSMIN checklist.\nMETHODS: We evaluated a German translation of the FJS for reliability, validity and responsiveness according to the COSMIN checklist. Therefore, patients with an artificial knee joint completed the G-FJS questionnaire twice at intervals of at least 2 weeks. In addition, the Knee Society Score, the Oxford Knee Score, the Tegner Activity Scale, a Visual Analogue Scale, the EuroQol-5D (EQ 5-D), and a subjective assessment of the limitations were recorded.\nRESULTS: Between June and December 2014, one hundred and five patients (average age 65.2 years) completed both questionnaires and were available for data analysis. Test-retest reliability of the FJS was high with an ICC = 0.80 (95 % CI 0.69, 0.90) and with a Cronbach's alpha of 0.95 (95 % CI 0.92, 0.99).\nCONCLUSIONS: The German translation of the FJS is a viable tool for the postoperative monitoring after arthroplasty of the knee. This is the first study providing data on test-retest reliability of the FJS. The FJS is a reliable and valid measurement tool for evaluation of patient rated outcome in patients with an artificial knee joint.\nLEVEL OF EVIDENCE: Validating cohort study, Level 1b.","container-title":"Archives of Orthopaedic and Trauma Surgery","DOI":"10.1007/s00402-015-2372-x","ISSN":"1434-3916","issue":"2","journalAbbreviation":"Arch Orthop Trauma Surg","language":"eng","note":"PMID: 26646846","page":"257-264","source":"PubMed","title":"Validation of the German Forgotten Joint Score (G-FJS) according to the COSMIN checklist: does a reduction in joint awareness indicate clinical improvement after arthroplasty of the knee?","title-short":"Validation of the German Forgotten Joint Score (G-FJS) according to the COSMIN checklist","volume":"136","author":[{"family":"Baumann","given":"Florian"},{"family":"Ernstberger","given":"Toni"},{"family":"Loibl","given":"Markus"},{"family":"Zeman","given":"Florian"},{"family":"Nerlich","given":"Michael"},{"family":"Tibesku","given":"Carsten"}],"issued":{"date-parts":[["2016",2]]}}},{"id":190,"uris":["http://zotero.org/users/local/QA4apqAk/items/FSQYJDKE"],"uri":["http://zotero.org/users/local/QA4apqAk/items/FSQYJDKE"],"itemData":{"id":190,"type":"article-journal","abstract":"BACKGROUND: The Forgotten Joint Score-12 (FJS-12) is a patient-reported outcome questionnaire of joint awareness in patients with hip and knee pathologies. To improve interpretability of values derived from this measure, we collected normative values for the US general population.\nMETHODS: A sample of 2000 participants, representative of US general population, was sought via an online panel. Quota sampling was used to obtain age-specific and sex-specific groups of 200 participants each. The FJS-12 is a 12-item questionnaire assessing the ability to forget the hip or knee joint during activities of daily living. To match US national census data from 2010, raking was used for determining data weights.\nRESULTS: Normative data for the FJS-12 could be established based on a data set from 2017 respondents (50.1% men; mean age, 54.0 years; 66.3% white/Caucasian). Median FJS-12 scores in the total sample were 75.0 points for knees and 87.5 points for hips. In the age-specific and sex-specific groups, the lowest median score for knees was 54.2 points (men aged 18-39 years) and the highest median was 97.0 (men aged above 70 years). Similarly, median scores for hips were lowest in men aged 18-39 years (60.9 points) and highest in men aged above 70 years (100 points).\nCONCLUSION: Normative values have been established for the FJS-12 for hips and knees in US general population. Age-specific and sex-specific differences require relying on normative values from the respective groups when interpreting FJS-12 data.","container-title":"The Journal of Arthroplasty","DOI":"10.1016/j.arth.2018.12.011","ISSN":"1532-8406","issue":"4","journalAbbreviation":"J Arthroplasty","language":"eng","note":"PMID: 30612834","page":"650-655","source":"PubMed","title":"Normative Values for the Forgotten Joint Score-12 for the US General Population","volume":"34","author":[{"family":"Giesinger","given":"Johannes M."},{"family":"Behrend","given":"Henrik"},{"family":"Hamilton","given":"David F."},{"family":"Kuster","given":"Markus S."},{"family":"Giesinger","given":"Karlmeinrad"}],"issued":{"date-parts":[["2019",4]]}}}],"schema":"https://github.com/citation-style-language/schema/raw/master/csl-citation.json"}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11,13,38</w:t>
      </w:r>
      <w:r w:rsidR="00782942">
        <w:rPr>
          <w:rFonts w:ascii="Book Antiqua" w:eastAsia="Book Antiqua" w:hAnsi="Book Antiqua" w:cs="Book Antiqua"/>
          <w:color w:val="000000"/>
        </w:rPr>
        <w:fldChar w:fldCharType="end"/>
      </w:r>
      <w:r w:rsidR="001835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 this study, patients indicating no change in function of the hip, FJS scores did not significantly differ, and the mean differences was with 1.1 below the SDC of 8.8. In patients indicating a change in medical condition of the hip, FJS scores significantly </w:t>
      </w:r>
      <w:r>
        <w:rPr>
          <w:rFonts w:ascii="Book Antiqua" w:eastAsia="Book Antiqua" w:hAnsi="Book Antiqua" w:cs="Book Antiqua"/>
          <w:color w:val="000000"/>
        </w:rPr>
        <w:lastRenderedPageBreak/>
        <w:t xml:space="preserve">differed between both assessments and the mean differences were above the computed SDC. Therefore, we could give a positive rating for responsiveness. </w:t>
      </w:r>
    </w:p>
    <w:p w14:paraId="14B829AF" w14:textId="750695F3" w:rsidR="00A77B3E" w:rsidRDefault="00464B5F" w:rsidP="00CE6FCF">
      <w:pPr>
        <w:spacing w:line="360" w:lineRule="auto"/>
        <w:ind w:firstLineChars="100" w:firstLine="240"/>
        <w:jc w:val="both"/>
      </w:pPr>
      <w:r>
        <w:rPr>
          <w:rFonts w:ascii="Book Antiqua" w:eastAsia="Book Antiqua" w:hAnsi="Book Antiqua" w:cs="Book Antiqua"/>
          <w:color w:val="000000"/>
        </w:rPr>
        <w:t>According to the guidelines of the original FJS publication in 2012, we refused to calculate the FJS if more than four items were missing. The overall proportion of missing items of the FJS was 4% at first assessment. Concordant to all prior studies on the FJS, there was no relevant floor- or ceiling effect</w:t>
      </w:r>
      <w:r w:rsidR="00183526">
        <w:rPr>
          <w:rFonts w:ascii="Book Antiqua" w:hAnsi="Book Antiqua" w:cs="Book Antiqua" w:hint="eastAsia"/>
          <w:color w:val="000000"/>
          <w:vertAlign w:val="superscript"/>
          <w:lang w:eastAsia="zh-CN"/>
        </w:rPr>
        <w:t>[</w:t>
      </w:r>
      <w:r w:rsidR="00782942">
        <w:rPr>
          <w:rFonts w:ascii="Book Antiqua" w:eastAsia="Book Antiqua" w:hAnsi="Book Antiqua" w:cs="Book Antiqua"/>
          <w:color w:val="000000"/>
        </w:rPr>
        <w:fldChar w:fldCharType="begin"/>
      </w:r>
      <w:r w:rsidR="00782942">
        <w:rPr>
          <w:rFonts w:ascii="Book Antiqua" w:eastAsia="Book Antiqua" w:hAnsi="Book Antiqua" w:cs="Book Antiqua"/>
          <w:color w:val="000000"/>
        </w:rPr>
        <w:instrText xml:space="preserve"> ADDIN ZOTERO_ITEM CSL_CITATION {"citationID":"wxu0UkQ0","properties":{"formattedCitation":"\\super 11,12,17,18,35,36,38\\nosupersub{}","plainCitation":"11,12,17,18,35,36,38","noteIndex":0},"citationItems":[{"id":148,"uris":["http://zotero.org/users/local/QA4apqAk/items/KLNLRI6Z"],"uri":["http://zotero.org/users/local/QA4apqAk/items/KLNLRI6Z"],"itemData":{"id":148,"type":"article-journal","abstract":"With improving patient outcome after joint arthroplasty, new assessment tools with increased discriminatory power especially in well-performing patients are desirable. The goal of the present study was to develop and validate a new score (\"Forgotten Joint Score,\" or FJS) introducing a new aspect of patient-reported outcome: the patient's ability to forget the artificial joint in everyday life. After a pilot study, the FJS was validated and showed high internal consistency (Cronbach α = .95). Ceiling effects were considerably lower for the FJS (9.2%) compared with the Western Ontario and McMaster Universities subscales (16.7%-46.7%). Known-group comparisons proved the FJS to be highly discriminative in a validation sample of 243 patients. The FJS not only reflects differences between \"good\" and \"bad\" but also between \"good,\" \"very good,\" and \"excellent\" outcomes. This concise score is appealing for its more adequate measurement range and because it measures the new, promising concept of the \"forgotten joint.\"","container-title":"The Journal of Arthroplasty","DOI":"10.1016/j.arth.2011.06.035","ISSN":"1532-8406","issue":"3","journalAbbreviation":"J Arthroplasty","language":"eng","note":"PMID: 22000572","page":"430-436.e1","source":"PubMed","title":"The \"forgotten joint\" as the ultimate goal in joint arthroplasty: validation of a new patient-reported outcome measure","title-short":"The \"forgotten joint\" as the ultimate goal in joint arthroplasty","volume":"27","author":[{"family":"Behrend","given":"Henrik"},{"family":"Giesinger","given":"Karlmeinrad"},{"family":"Giesinger","given":"Johannes M."},{"family":"Kuster","given":"Markus S."}],"issued":{"date-parts":[["2012",3]]}}},{"id":150,"uris":["http://zotero.org/users/local/QA4apqAk/items/4HBY3YRL"],"uri":["http://zotero.org/users/local/QA4apqAk/items/4HBY3YRL"],"itemData":{"id":150,"type":"article-journal","abstract":"PURPOSE: To measure joint awareness in patients who have undergone anterior cruciate ligament (ACL) reconstruction and to investigate medium- and long-term results of the procedure.\nMETHODS: All patients who had undergone ACL reconstruction with the same arthroscopic surgical technique at our institution between 2011 and 2014 (medium-term follow-up group (Group I)) or between 2000 and 2005 (long-term follow-up group (Group II)) were considered for inclusion in the study. A group of healthy controls were recruited to obtain reference values for the FJS-12 (Forgotten Joint Score-12). Propensity score matching was applied to improve comparability of patients and healthy controls in terms of sex and age.\nRESULTS: Fifty-eight patients of the Group I (mean follow-up 31.5 (SD13.4) months, range 12-54), 57 patients of the Group II (mean follow-up 139 (SD15.2) months, range 120-179), and the healthy control samples (100 individuals) were analysed. Significantly lower FJS-12 was found in both groups (Group I: 71.6 and Group II: 70.1), compared to the two matched control groups (88.1 and 90.0).\nCONCLUSIONS: The concept of joint awareness was successfully applied to evaluate medium- and long-term results of ACL reconstruction. The clinical relevance of this study is that it extends the construct of joint awareness as a patient-reported outcome parameter to ACL reconstruction surgery.\nLEVEL OF EVIDENCE: Level III.","container-title":"Knee surgery, sports traumatology, arthroscopy: official journal of the ESSKA","DOI":"10.1007/s00167-016-4357-x","ISSN":"1433-7347","issue":"5","journalAbbreviation":"Knee Surg Sports Traumatol Arthrosc","language":"eng","note":"PMID: 27761622","page":"1454-1460","source":"PubMed","title":"Joint awareness after ACL reconstruction: patient-reported outcomes measured with the Forgotten Joint Score-12","title-short":"Joint awareness after ACL reconstruction","volume":"25","author":[{"family":"Behrend","given":"Henrik"},{"family":"Zdravkovic","given":"Vilijam"},{"family":"Giesinger","given":"Johannes M."},{"family":"Giesinger","given":"Karlmeinrad"}],"issued":{"date-parts":[["2017",5]]}}},{"id":160,"uris":["http://zotero.org/users/local/QA4apqAk/items/DX3I42VT"],"uri":["http://zotero.org/users/local/QA4apqAk/items/DX3I42VT"],"itemData":{"id":160,"type":"article-journal","abstract":"PURPOSE: The Forgotten Joint Score-12 (FJS-12) is for patients to forget their artificial joint and is reportedly a useful patient-reported outcome tool for artificial joints. The purpose of this study was to determine whether the FJS-12 is as useful as the Western Ontario and McMaster Universities Osteoarthritis Index (WOMAC) or the Japanese Orthopaedic Association Hip Disease Evaluation Questionnaire (JHEQ) in Japan.\nMETHODS: All patients who visited our hospital's hip joint specialists following unilateral THA from August 2013 to July 2014 were evaluated. Medical staff members other than physicians administered three questionnaires. Items evaluated were (1) the reliability of the FJS-12 and (2) correlations between the FJS-12 and the total and subscale scores of the WOMAC or JHEQ.\nRESULTS: Of 130 patients, 22 were excluded. Cronbach's α coefficient was 0.97 for the FJS-12. The FJS-12 showed a significantly lower score than the WOMAC or JHEQ (p &lt; 0.01). The FJS-12 was moderately correlated with the total WOMAC score (r = 0.522) and its subscale scores for \"stiffness\" (r = 0.401) and \"function\" (r = 0.539) and was weakly correlated with the score for \"pain\" (r = 0.289). The FJS-12 was favorably correlated with the total JHEQ score (r = 0.686) and its subscale scores (r = 0.530-0.643).\nCONCLUSION: The FJS-12 was correlated with and showed reliability similar to that of the JHEQ and WOMAC. The FJS-12, which is not affected by culture or lifestyle, may be useful in Japan.","container-title":"European Journal of Orthopaedic Surgery &amp; Traumatology: Orthopedie Traumatologie","DOI":"10.1007/s00590-015-1660-z","ISSN":"1633-8065","issue":"7","journalAbbreviation":"Eur J Orthop Surg Traumatol","language":"eng","note":"PMID: 26148699","page":"1141-1145","source":"PubMed","title":"Validation study of the Forgotten Joint Score-12 as a universal patient-reported outcome measure","volume":"25","author":[{"family":"Matsumoto","given":"Mikio"},{"family":"Baba","given":"Tomonori"},{"family":"Homma","given":"Yasuhiro"},{"family":"Kobayashi","given":"Hideo"},{"family":"Ochi","given":"Hironori"},{"family":"Yuasa","given":"Takahito"},{"family":"Behrend","given":"Henrik"},{"family":"Kaneko","given":"Kazuo"}],"issued":{"date-parts":[["2015",10]]}}},{"id":162,"uris":["http://zotero.org/users/local/QA4apqAk/items/JHL5WRW9"],"uri":["http://zotero.org/users/local/QA4apqAk/items/JHL5WRW9"],"itemData":{"id":162,"type":"article-journal","abstract":"The aim of this study was to translate the Forgotten Joint Score (FJS) into the Dutch language. This -questionnaire was tested for internal consistency (Cronbach's alpha) and test-retest reliability (intraclass correlation coefficients (ICC)). 159 patients were included in this study; 74 with a total hip arthroplasty (THA) and 85 with a total knee arthroplasty (TKA). The FJS showed a high internal consistency (Cronbach's alpha=0.957; ICC=0.943). The FJS showed a significant correlation (r=0.751) with the WOMAC and low ceiling effects (3.1%). This study proved the Dutch FJS to be highly discriminative in patients treated with a THA or TKA. This makes the FJS a reliable patient related outcome measurement, measuring a new dimension in arthroplasty: the ability to forget an artificial joint in everyday life.","container-title":"Acta Orthopaedica Belgica","ISSN":"0001-6462","issue":"1","journalAbbreviation":"Acta Orthop Belg","language":"eng","note":"PMID: 26984663","page":"112-118","source":"PubMed","title":"The Dutch version of the Forgotten Joint Score: test-retesting reliability and validation","title-short":"The Dutch version of the Forgotten Joint Score","volume":"82","author":[{"family":"Shadid","given":"Marvan B."},{"family":"Vinken","given":"Nick S."},{"family":"Marting","given":"Louis N."},{"family":"Wolterbeek","given":"Nienke"}],"issued":{"date-parts":[["2016",3]]}}},{"id":183,"uris":["http://zotero.org/users/local/QA4apqAk/items/33IPBC5M"],"uri":["http://zotero.org/users/local/QA4apqAk/items/33IPBC5M"],"itemData":{"id":183,"type":"article-journal","abstract":"PURPOSE: To utilize the 'Forgotten Joint' Score (FJS), a 12-item questionnaire analysing the ability to forget the joint, for comparing preoperative status in osteoarthritic patients scheduled for total hip arthroplasty (THA) or total knee arthroplasty (TKA). Higher scores represent a better result with a maximum of 100. The hypothesis of this study was that a preoperative difference in favour of hip arthritis could eventually explain why THA is cited more often as a forgotten joint than TKA.\nMETHODS: A prospective cohort study was conducted in 150 patients with either tricompartmental knee (n = 75) or hip osteoarthritis (n = 75). Patients completed FJS-12 scores preoperatively and 1 year postoperatively.\nRESULTS: A similar preoperative FJS-12 was observed for hip (22 (15)) and knee osteoarthritis (24 (17)) (n.s.). The postoperative FJS-12 score was significantly higher for THA (80 (24)) than for TKA (70 (27)) (p &lt; 0.05). High reliability after 6 weeks was observed for the preoperative FJS-12 test-retest reliability (ICC = 0.87) in TKA. A preoperative floor effect of 15 % in THA and 0 % in TKA was found as well as a postoperative ceiling effect of 33 % in THA and 9 % in TKA.\nCONCLUSIONS: The clinical relevance of utilizing the FJS-12 as an instrument to evaluate outcome is strongly proposed for knee arthroplasty. In general, one is not aware of a healthy joint during the ADL, and it can therefore be regarded as 'forgotten'. The preoperative FJS-12 Score is a powerful tool to provide patients with clearer insights into their positive evolution after surgery. The use of the FJS-12 in THA is a topic for further research, as this study found that floor and ceiling effects limit its usefulness in studies evaluating clinical outcome in this area.\nLEVEL OF EVIDENCE: II.","container-title":"Knee surgery, sports traumatology, arthroscopy: official journal of the ESSKA","DOI":"10.1007/s00167-015-3970-4","ISSN":"1433-7347","issue":"10","journalAbbreviation":"Knee Surg Sports Traumatol Arthrosc","language":"eng","note":"PMID: 26740088","page":"3346-3351","source":"PubMed","title":"Joint awareness in osteoarthritis of the hip and knee evaluated with the 'Forgotten Joint' Score before and after joint replacement","volume":"24","author":[{"family":"Thienpont","given":"E."},{"family":"Vanden Berghe","given":"A."},{"family":"Schwab","given":"P. E."},{"family":"Forthomme","given":"J. P."},{"family":"Cornu","given":"O."}],"issued":{"date-parts":[["2016",10]]}}},{"id":185,"uris":["http://zotero.org/users/local/QA4apqAk/items/9JXB83FE"],"uri":["http://zotero.org/users/local/QA4apqAk/items/9JXB83FE"],"itemData":{"id":185,"type":"article-journal","abstract":"Background and purpose - When evaluating the outcome after total knee arthroplasty (TKA), increasing emphasis has been put on patient satisfaction and ability to perform activities of daily living. To address this, the forgotten joint score (FJS) for assessment of knee awareness has been developed. We investigated the validity and reliability of the FJS. Patients and methods - A Danish version of the FJS questionnaire was created according to internationally accepted standards. 360 participants who underwent primary TKA were invited to participate in the study. Of these, 315 were included in a validity study and 150 in a reliability study. Correlation between the Oxford knee score (OKS) and the FJS was examined and test-retest evaluation was performed. A ceiling effect was defined as participants reaching a score within 15% of the maximum achievable score. Results - The validity study revealed a strong correlation between the FJS and the OKS (intraclass correlation coefficient (ICC)</w:instrText>
      </w:r>
      <w:r w:rsidR="00782942">
        <w:rPr>
          <w:rFonts w:eastAsia="Book Antiqua"/>
          <w:color w:val="000000"/>
        </w:rPr>
        <w:instrText> </w:instrText>
      </w:r>
      <w:r w:rsidR="00782942">
        <w:rPr>
          <w:rFonts w:ascii="Book Antiqua" w:eastAsia="Book Antiqua" w:hAnsi="Book Antiqua" w:cs="Book Antiqua"/>
          <w:color w:val="000000"/>
        </w:rPr>
        <w:instrText>=</w:instrText>
      </w:r>
      <w:r w:rsidR="00782942">
        <w:rPr>
          <w:rFonts w:eastAsia="Book Antiqua"/>
          <w:color w:val="000000"/>
        </w:rPr>
        <w:instrText> </w:instrText>
      </w:r>
      <w:r w:rsidR="00782942">
        <w:rPr>
          <w:rFonts w:ascii="Book Antiqua" w:eastAsia="Book Antiqua" w:hAnsi="Book Antiqua" w:cs="Book Antiqua"/>
          <w:color w:val="000000"/>
        </w:rPr>
        <w:instrText xml:space="preserve">0.81, 95% CI: 0.77-0.85; p &lt; 0.001). The test-retest evaluation showed almost perfect reliability for the FJS total score (ICC = 0.91, 95% CI: 0.88-0.94) and substantial reliability or better for individual items of the FJS (ICC? 0.79). We found a high level of internal consistency (Cronbach's? = 0.96). The ceiling effect for the FJS was 16%, as compared to 37% for the OKS. Interpretation - The FJS showed good construct validity and test-retest reliability. It had a lower ceiling effect than the OKS. The FJS appears to be a promising tool for evaluation of small differences in knee performance in groups of patients with good clinical results after TKA.","container-title":"Acta Orthopaedica","DOI":"10.3109/17453674.2016.1156934","ISSN":"1745-3682","issue":"3","journalAbbreviation":"Acta Orthop","language":"eng","note":"PMID: 26937689\nPMCID: PMC4900097","page":"280-285","source":"PubMed","title":"Good validity and reliability of the forgotten joint score in evaluating the outcome of total knee arthroplasty","volume":"87","author":[{"family":"Thomsen","given":"Morten G."},{"family":"Latifi","given":"Roshan"},{"family":"Kallemose","given":"Thomas"},{"family":"Barfod","given":"Kristoffer W."},{"family":"Husted","given":"Henrik"},{"family":"Troelsen","given":"Anders"}],"issued":{"date-parts":[["2016",6]]}}},{"id":190,"uris":["http://zotero.org/users/local/QA4apqAk/items/FSQYJDKE"],"uri":["http://zotero.org/users/local/QA4apqAk/items/FSQYJDKE"],"itemData":{"id":190,"type":"article-journal","abstract":"BACKGROUND: The Forgotten Joint Score-12 (FJS-12) is a patient-reported outcome questionnaire of joint awareness in patients with hip and knee pathologies. To improve interpretability of values derived from this measure, we collected normative values for the US general population.\nMETHODS: A sample of 2000 participants, representative of US general population, was sought via an online panel. Quota sampling was used to obtain age-specific and sex-specific groups of 200 participants each. The FJS-12 is a 12-item questionnaire assessing the ability to forget the hip or knee joint during activities of daily living. To match US national census data from 2010, raking was used for determining data weights.\nRESULTS: Normative data for the FJS-12 could be established based on a data set from 2017 respondents (50.1% men; mean age, 54.0 years; 66.3% white/Caucasian). Median FJS-12 scores in the total sample were 75.0 points for knees and 87.5 points for hips. In the age-specific and sex-specific groups, the lowest median score for knees was 54.2 points (men aged 18-39 years) and the highest median was 97.0 (men aged above 70 years). Similarly, median scores for hips were lowest in men aged 18-39 years (60.9 points) and highest in men aged above 70 years (100 points).\nCONCLUSION: Normative values have been established for the FJS-12 for hips and knees in US general population. Age-specific and sex-specific differences require relying on normative values from the respective groups when interpreting FJS-12 data.","container-title":"The Journal of Arthroplasty","DOI":"10.1016/j.arth.2018.12.011","ISSN":"1532-8406","issue":"4","journalAbbreviation":"J Arthroplasty","language":"eng","note":"PMID: 30612834","page":"650-655","source":"PubMed","title":"Normative Values for the Forgotten Joint Score-12 for the US General Population","volume":"34","author":[{"family":"Giesinger","given":"Johannes M."},{"family":"Behrend","given":"Henrik"},{"family":"Hamilton","given":"David F."},{"family":"Kuster","given":"Markus S."},{"family":"Giesinger","given":"Karlmeinrad"}],"issued":{"date-parts":[["2019",4]]}}}],"schema":"https://github.com/citation-style-language/schema/raw/master/csl-citation.json"} </w:instrText>
      </w:r>
      <w:r w:rsidR="00782942">
        <w:rPr>
          <w:rFonts w:ascii="Book Antiqua" w:eastAsia="Book Antiqua" w:hAnsi="Book Antiqua" w:cs="Book Antiqua"/>
          <w:color w:val="000000"/>
        </w:rPr>
        <w:fldChar w:fldCharType="separate"/>
      </w:r>
      <w:r w:rsidR="00782942" w:rsidRPr="00782942">
        <w:rPr>
          <w:rFonts w:ascii="Book Antiqua" w:hAnsi="Book Antiqua"/>
          <w:vertAlign w:val="superscript"/>
        </w:rPr>
        <w:t>11,12,17,18,35,36,38</w:t>
      </w:r>
      <w:r w:rsidR="00782942">
        <w:rPr>
          <w:rFonts w:ascii="Book Antiqua" w:eastAsia="Book Antiqua" w:hAnsi="Book Antiqua" w:cs="Book Antiqua"/>
          <w:color w:val="000000"/>
        </w:rPr>
        <w:fldChar w:fldCharType="end"/>
      </w:r>
      <w:r w:rsidR="00183526">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7823CAC7" w14:textId="77777777" w:rsidR="0085413D" w:rsidRDefault="0085413D" w:rsidP="0085413D">
      <w:pPr>
        <w:spacing w:line="360" w:lineRule="auto"/>
        <w:jc w:val="both"/>
        <w:rPr>
          <w:rFonts w:ascii="Book Antiqua" w:hAnsi="Book Antiqua" w:cs="Book Antiqua"/>
          <w:b/>
          <w:bCs/>
          <w:color w:val="000000"/>
          <w:lang w:eastAsia="zh-CN"/>
        </w:rPr>
      </w:pPr>
    </w:p>
    <w:p w14:paraId="10273AF1" w14:textId="77777777" w:rsidR="00A77B3E" w:rsidRPr="0085413D" w:rsidRDefault="00464B5F" w:rsidP="0085413D">
      <w:pPr>
        <w:spacing w:line="360" w:lineRule="auto"/>
        <w:jc w:val="both"/>
        <w:rPr>
          <w:i/>
        </w:rPr>
      </w:pPr>
      <w:r w:rsidRPr="0085413D">
        <w:rPr>
          <w:rFonts w:ascii="Book Antiqua" w:eastAsia="Book Antiqua" w:hAnsi="Book Antiqua" w:cs="Book Antiqua"/>
          <w:b/>
          <w:bCs/>
          <w:i/>
          <w:color w:val="000000"/>
        </w:rPr>
        <w:t>Limitations</w:t>
      </w:r>
    </w:p>
    <w:p w14:paraId="4C0CF2C3" w14:textId="7FBBA3B7" w:rsidR="00A77B3E" w:rsidRDefault="00464B5F">
      <w:pPr>
        <w:spacing w:line="360" w:lineRule="auto"/>
        <w:jc w:val="both"/>
      </w:pPr>
      <w:r>
        <w:rPr>
          <w:rFonts w:ascii="Book Antiqua" w:eastAsia="Book Antiqua" w:hAnsi="Book Antiqua" w:cs="Book Antiqua"/>
          <w:color w:val="000000"/>
        </w:rPr>
        <w:t xml:space="preserve">The </w:t>
      </w:r>
      <w:r w:rsidR="00132E86">
        <w:rPr>
          <w:rFonts w:ascii="Book Antiqua" w:eastAsia="Book Antiqua" w:hAnsi="Book Antiqua" w:cs="Book Antiqua"/>
          <w:color w:val="000000"/>
        </w:rPr>
        <w:t>findings</w:t>
      </w:r>
      <w:r>
        <w:rPr>
          <w:rFonts w:ascii="Book Antiqua" w:eastAsia="Book Antiqua" w:hAnsi="Book Antiqua" w:cs="Book Antiqua"/>
          <w:color w:val="000000"/>
        </w:rPr>
        <w:t xml:space="preserve"> of this study have to be </w:t>
      </w:r>
      <w:r w:rsidR="00132E86">
        <w:rPr>
          <w:rFonts w:ascii="Book Antiqua" w:eastAsia="Book Antiqua" w:hAnsi="Book Antiqua" w:cs="Book Antiqua"/>
          <w:color w:val="000000"/>
        </w:rPr>
        <w:t>seen</w:t>
      </w:r>
      <w:r>
        <w:rPr>
          <w:rFonts w:ascii="Book Antiqua" w:eastAsia="Book Antiqua" w:hAnsi="Book Antiqua" w:cs="Book Antiqua"/>
          <w:color w:val="000000"/>
        </w:rPr>
        <w:t xml:space="preserve"> in the light of some limitations. First of all, the limited number of cases. Acetabular fractures are uncommon and treatment is concentrated to large trauma centers. We assume that our population can be seen as reference population for most centers, since our age distribution is relatively broad and we included conservatively and operatively treated patients to reflect clinical reality. Another limitation is that the time span between first and second evaluation showed quite some variability. Although we put major efforts on guidance of the patients to assure highest methodical quality, there is a natural variation in the recorded data. Finally, calculation of ICC was based on only 24 patients. This was the number of patients who indicated no relevant clinical change in medical condition of their hip joint between T1 and T2. Further studies are needed to confirm the results based on longitudinal data.</w:t>
      </w:r>
    </w:p>
    <w:bookmarkEnd w:id="81"/>
    <w:bookmarkEnd w:id="82"/>
    <w:p w14:paraId="0A8AD56A" w14:textId="77777777" w:rsidR="00A77B3E" w:rsidRDefault="00A77B3E">
      <w:pPr>
        <w:spacing w:line="360" w:lineRule="auto"/>
        <w:jc w:val="both"/>
      </w:pPr>
    </w:p>
    <w:p w14:paraId="0B29ED52" w14:textId="77777777" w:rsidR="00A77B3E" w:rsidRDefault="00464B5F">
      <w:pPr>
        <w:spacing w:line="360" w:lineRule="auto"/>
        <w:jc w:val="both"/>
      </w:pPr>
      <w:r>
        <w:rPr>
          <w:rFonts w:ascii="Book Antiqua" w:eastAsia="Book Antiqua" w:hAnsi="Book Antiqua" w:cs="Book Antiqua"/>
          <w:b/>
          <w:caps/>
          <w:color w:val="000000"/>
          <w:u w:val="single"/>
        </w:rPr>
        <w:t>CONCLUSION</w:t>
      </w:r>
    </w:p>
    <w:p w14:paraId="628223E6" w14:textId="21DCB574" w:rsidR="00A77B3E" w:rsidRDefault="00132E86">
      <w:pPr>
        <w:spacing w:line="360" w:lineRule="auto"/>
        <w:jc w:val="both"/>
      </w:pPr>
      <w:bookmarkStart w:id="83" w:name="OLE_LINK162"/>
      <w:bookmarkStart w:id="84" w:name="OLE_LINK163"/>
      <w:r>
        <w:rPr>
          <w:rFonts w:ascii="Book Antiqua" w:eastAsia="Book Antiqua" w:hAnsi="Book Antiqua" w:cs="Book Antiqua"/>
          <w:color w:val="000000"/>
        </w:rPr>
        <w:t>This is the first study validating FJS in fractures of the hip joint</w:t>
      </w:r>
      <w:r w:rsidRPr="004E31FA">
        <w:rPr>
          <w:rFonts w:ascii="Book Antiqua" w:eastAsia="Book Antiqua" w:hAnsi="Book Antiqua" w:cs="Book Antiqua"/>
          <w:color w:val="000000"/>
        </w:rPr>
        <w:t xml:space="preserve"> </w:t>
      </w:r>
      <w:r>
        <w:rPr>
          <w:rFonts w:ascii="Book Antiqua" w:eastAsia="Book Antiqua" w:hAnsi="Book Antiqua" w:cs="Book Antiqua"/>
          <w:color w:val="000000"/>
        </w:rPr>
        <w:t xml:space="preserve">according to the COSMIN checklist. </w:t>
      </w:r>
      <w:r w:rsidR="00464B5F">
        <w:rPr>
          <w:rFonts w:ascii="Book Antiqua" w:eastAsia="Book Antiqua" w:hAnsi="Book Antiqua" w:cs="Book Antiqua"/>
          <w:color w:val="000000"/>
        </w:rPr>
        <w:t xml:space="preserve">The FJS is a valid and reliable tool for evaluation of PRO in posttraumatic condition after acetabular fracture. With a Cronbach’s alpha of 0.95, internal consistency of the questionnaire was good. Test-retest reliability was excellent with an ICC of 0.99. Based on the anchor variable, the SDC indicating a real clinical improvement was 8.8 points in the FJS. We could confirm responsiveness of the FJS and </w:t>
      </w:r>
      <w:r w:rsidR="00464B5F">
        <w:rPr>
          <w:rFonts w:ascii="Book Antiqua" w:eastAsia="Book Antiqua" w:hAnsi="Book Antiqua" w:cs="Book Antiqua"/>
          <w:color w:val="000000"/>
        </w:rPr>
        <w:lastRenderedPageBreak/>
        <w:t>found no relevant floor- or ceiling effects. Clinicians are suggested to use the FJS for evaluation of PRO after fractures of the acetabulum.</w:t>
      </w:r>
    </w:p>
    <w:bookmarkEnd w:id="83"/>
    <w:bookmarkEnd w:id="84"/>
    <w:p w14:paraId="35A828D7" w14:textId="77777777" w:rsidR="00A77B3E" w:rsidRDefault="00A77B3E">
      <w:pPr>
        <w:spacing w:line="360" w:lineRule="auto"/>
        <w:jc w:val="both"/>
      </w:pPr>
    </w:p>
    <w:p w14:paraId="0F33845E" w14:textId="77777777" w:rsidR="00A77B3E" w:rsidRDefault="00464B5F">
      <w:pPr>
        <w:spacing w:line="360" w:lineRule="auto"/>
        <w:jc w:val="both"/>
      </w:pPr>
      <w:r>
        <w:rPr>
          <w:rFonts w:ascii="Book Antiqua" w:eastAsia="Book Antiqua" w:hAnsi="Book Antiqua" w:cs="Book Antiqua"/>
          <w:b/>
          <w:caps/>
          <w:color w:val="000000"/>
          <w:u w:val="single"/>
        </w:rPr>
        <w:t>ARTICLE HIGHLIGHTS</w:t>
      </w:r>
    </w:p>
    <w:p w14:paraId="4669CFD5" w14:textId="77777777" w:rsidR="00A77B3E" w:rsidRDefault="00464B5F">
      <w:pPr>
        <w:spacing w:line="360" w:lineRule="auto"/>
        <w:jc w:val="both"/>
      </w:pPr>
      <w:r>
        <w:rPr>
          <w:rFonts w:ascii="Book Antiqua" w:eastAsia="Book Antiqua" w:hAnsi="Book Antiqua" w:cs="Book Antiqua"/>
          <w:b/>
          <w:i/>
          <w:color w:val="000000"/>
        </w:rPr>
        <w:t>Research background</w:t>
      </w:r>
    </w:p>
    <w:p w14:paraId="6456F55E" w14:textId="77777777" w:rsidR="00A77B3E" w:rsidRDefault="00464B5F">
      <w:pPr>
        <w:spacing w:line="360" w:lineRule="auto"/>
        <w:jc w:val="both"/>
      </w:pPr>
      <w:bookmarkStart w:id="85" w:name="OLE_LINK164"/>
      <w:bookmarkStart w:id="86" w:name="OLE_LINK165"/>
      <w:r>
        <w:rPr>
          <w:rFonts w:ascii="Book Antiqua" w:eastAsia="Book Antiqua" w:hAnsi="Book Antiqua" w:cs="Book Antiqua"/>
          <w:color w:val="000000"/>
        </w:rPr>
        <w:t xml:space="preserve">Patient-reported </w:t>
      </w:r>
      <w:r w:rsidR="00F71478">
        <w:rPr>
          <w:rFonts w:ascii="Book Antiqua" w:eastAsia="Book Antiqua" w:hAnsi="Book Antiqua" w:cs="Book Antiqua"/>
          <w:color w:val="000000"/>
        </w:rPr>
        <w:t xml:space="preserve">outcome </w:t>
      </w:r>
      <w:r>
        <w:rPr>
          <w:rFonts w:ascii="Book Antiqua" w:eastAsia="Book Antiqua" w:hAnsi="Book Antiqua" w:cs="Book Antiqua"/>
          <w:color w:val="000000"/>
        </w:rPr>
        <w:t>(PRO) measurement is gaining more and more importance in clinical decision-making. Evaluation of psychometric properties of PRO tools is essential to assure validity.</w:t>
      </w:r>
    </w:p>
    <w:bookmarkEnd w:id="85"/>
    <w:bookmarkEnd w:id="86"/>
    <w:p w14:paraId="771012ED" w14:textId="77777777" w:rsidR="00A77B3E" w:rsidRDefault="00A77B3E">
      <w:pPr>
        <w:spacing w:line="360" w:lineRule="auto"/>
        <w:jc w:val="both"/>
      </w:pPr>
    </w:p>
    <w:p w14:paraId="3EB310FF" w14:textId="77777777" w:rsidR="00A77B3E" w:rsidRDefault="00464B5F">
      <w:pPr>
        <w:spacing w:line="360" w:lineRule="auto"/>
        <w:jc w:val="both"/>
      </w:pPr>
      <w:r>
        <w:rPr>
          <w:rFonts w:ascii="Book Antiqua" w:eastAsia="Book Antiqua" w:hAnsi="Book Antiqua" w:cs="Book Antiqua"/>
          <w:b/>
          <w:i/>
          <w:color w:val="000000"/>
        </w:rPr>
        <w:t>Research motivation</w:t>
      </w:r>
    </w:p>
    <w:p w14:paraId="769FED10" w14:textId="77777777" w:rsidR="00A77B3E" w:rsidRDefault="00464B5F">
      <w:pPr>
        <w:spacing w:line="360" w:lineRule="auto"/>
        <w:jc w:val="both"/>
      </w:pPr>
      <w:bookmarkStart w:id="87" w:name="OLE_LINK166"/>
      <w:bookmarkStart w:id="88" w:name="OLE_LINK167"/>
      <w:r>
        <w:rPr>
          <w:rFonts w:ascii="Book Antiqua" w:eastAsia="Book Antiqua" w:hAnsi="Book Antiqua" w:cs="Book Antiqua"/>
          <w:color w:val="000000"/>
        </w:rPr>
        <w:t>A fracture of the acetabulum is an uncommon but serious injury. Outcome evaluation tools in patients after acetabular fractures are outdated. However, research based on large registries are dependent on valid outcome tools to allow the comparability.</w:t>
      </w:r>
    </w:p>
    <w:bookmarkEnd w:id="87"/>
    <w:bookmarkEnd w:id="88"/>
    <w:p w14:paraId="70566443" w14:textId="77777777" w:rsidR="00A77B3E" w:rsidRDefault="00A77B3E">
      <w:pPr>
        <w:spacing w:line="360" w:lineRule="auto"/>
        <w:jc w:val="both"/>
      </w:pPr>
    </w:p>
    <w:p w14:paraId="3D515C72" w14:textId="77777777" w:rsidR="00A77B3E" w:rsidRDefault="00464B5F">
      <w:pPr>
        <w:spacing w:line="360" w:lineRule="auto"/>
        <w:jc w:val="both"/>
      </w:pPr>
      <w:r>
        <w:rPr>
          <w:rFonts w:ascii="Book Antiqua" w:eastAsia="Book Antiqua" w:hAnsi="Book Antiqua" w:cs="Book Antiqua"/>
          <w:b/>
          <w:i/>
          <w:color w:val="000000"/>
        </w:rPr>
        <w:t>Research objectives</w:t>
      </w:r>
    </w:p>
    <w:p w14:paraId="75544FDC" w14:textId="77777777" w:rsidR="00A77B3E" w:rsidRDefault="00464B5F">
      <w:pPr>
        <w:spacing w:line="360" w:lineRule="auto"/>
        <w:jc w:val="both"/>
      </w:pPr>
      <w:bookmarkStart w:id="89" w:name="OLE_LINK168"/>
      <w:bookmarkStart w:id="90" w:name="OLE_LINK169"/>
      <w:r>
        <w:rPr>
          <w:rFonts w:ascii="Book Antiqua" w:eastAsia="Book Antiqua" w:hAnsi="Book Antiqua" w:cs="Book Antiqua"/>
          <w:color w:val="000000"/>
        </w:rPr>
        <w:t xml:space="preserve">Aim of the study was to validate the Forgotten Joint Score (FJS) according the COSMIN checklist. The FJS is a novel PRO tool to disease-specific quality of life in </w:t>
      </w:r>
      <w:proofErr w:type="spellStart"/>
      <w:r>
        <w:rPr>
          <w:rFonts w:ascii="Book Antiqua" w:eastAsia="Book Antiqua" w:hAnsi="Book Antiqua" w:cs="Book Antiqua"/>
          <w:color w:val="000000"/>
        </w:rPr>
        <w:t>musculo</w:t>
      </w:r>
      <w:proofErr w:type="spellEnd"/>
      <w:r>
        <w:rPr>
          <w:rFonts w:ascii="Book Antiqua" w:eastAsia="Book Antiqua" w:hAnsi="Book Antiqua" w:cs="Book Antiqua"/>
          <w:color w:val="000000"/>
        </w:rPr>
        <w:t>-skeletal disorders. </w:t>
      </w:r>
    </w:p>
    <w:bookmarkEnd w:id="89"/>
    <w:bookmarkEnd w:id="90"/>
    <w:p w14:paraId="3E88B1F1" w14:textId="77777777" w:rsidR="00A77B3E" w:rsidRDefault="00A77B3E">
      <w:pPr>
        <w:spacing w:line="360" w:lineRule="auto"/>
        <w:jc w:val="both"/>
      </w:pPr>
    </w:p>
    <w:p w14:paraId="1D1F50AE" w14:textId="77777777" w:rsidR="00A77B3E" w:rsidRDefault="00464B5F">
      <w:pPr>
        <w:spacing w:line="360" w:lineRule="auto"/>
        <w:jc w:val="both"/>
      </w:pPr>
      <w:r>
        <w:rPr>
          <w:rFonts w:ascii="Book Antiqua" w:eastAsia="Book Antiqua" w:hAnsi="Book Antiqua" w:cs="Book Antiqua"/>
          <w:b/>
          <w:i/>
          <w:color w:val="000000"/>
        </w:rPr>
        <w:t>Research methods</w:t>
      </w:r>
    </w:p>
    <w:p w14:paraId="5566ECCA" w14:textId="77777777" w:rsidR="00A77B3E" w:rsidRDefault="00464B5F">
      <w:pPr>
        <w:spacing w:line="360" w:lineRule="auto"/>
        <w:jc w:val="both"/>
      </w:pPr>
      <w:bookmarkStart w:id="91" w:name="OLE_LINK170"/>
      <w:bookmarkStart w:id="92" w:name="OLE_LINK171"/>
      <w:r>
        <w:rPr>
          <w:rFonts w:ascii="Book Antiqua" w:eastAsia="Book Antiqua" w:hAnsi="Book Antiqua" w:cs="Book Antiqua"/>
          <w:color w:val="000000"/>
        </w:rPr>
        <w:t>The COSMIN checklist is a standard protocol to assure methodical quality of validation studies. The COSMIN checklist consists of ten items giving recommendations for design, conduction and interpretation of medical validation studies. Relevant characteristics are study design, content validity, structural validity, internal consi</w:t>
      </w:r>
      <w:r w:rsidR="00282155">
        <w:rPr>
          <w:rFonts w:ascii="Book Antiqua" w:eastAsia="Book Antiqua" w:hAnsi="Book Antiqua" w:cs="Book Antiqua"/>
          <w:color w:val="000000"/>
        </w:rPr>
        <w:t>stency, cross-cultural validity</w:t>
      </w:r>
      <w:r w:rsidR="00282155">
        <w:rPr>
          <w:rFonts w:ascii="Book Antiqua" w:hAnsi="Book Antiqua" w:cs="Book Antiqua" w:hint="eastAsia"/>
          <w:color w:val="000000"/>
          <w:lang w:eastAsia="zh-CN"/>
        </w:rPr>
        <w:t>/</w:t>
      </w:r>
      <w:r>
        <w:rPr>
          <w:rFonts w:ascii="Book Antiqua" w:eastAsia="Book Antiqua" w:hAnsi="Book Antiqua" w:cs="Book Antiqua"/>
          <w:color w:val="000000"/>
        </w:rPr>
        <w:t xml:space="preserve">measurement invariance, reliability, measurement error, criterion validity, hypotheses testing for construct validity, and responsiveness. </w:t>
      </w:r>
    </w:p>
    <w:bookmarkEnd w:id="91"/>
    <w:bookmarkEnd w:id="92"/>
    <w:p w14:paraId="6896E975" w14:textId="77777777" w:rsidR="00A77B3E" w:rsidRDefault="00A77B3E">
      <w:pPr>
        <w:spacing w:line="360" w:lineRule="auto"/>
        <w:jc w:val="both"/>
      </w:pPr>
    </w:p>
    <w:p w14:paraId="008712D0" w14:textId="77777777" w:rsidR="00A77B3E" w:rsidRDefault="00464B5F">
      <w:pPr>
        <w:spacing w:line="360" w:lineRule="auto"/>
        <w:jc w:val="both"/>
      </w:pPr>
      <w:r>
        <w:rPr>
          <w:rFonts w:ascii="Book Antiqua" w:eastAsia="Book Antiqua" w:hAnsi="Book Antiqua" w:cs="Book Antiqua"/>
          <w:b/>
          <w:i/>
          <w:color w:val="000000"/>
        </w:rPr>
        <w:t>Research results</w:t>
      </w:r>
    </w:p>
    <w:p w14:paraId="58E958DA" w14:textId="77777777" w:rsidR="00A77B3E" w:rsidRDefault="00464B5F">
      <w:pPr>
        <w:spacing w:line="360" w:lineRule="auto"/>
        <w:jc w:val="both"/>
      </w:pPr>
      <w:bookmarkStart w:id="93" w:name="OLE_LINK172"/>
      <w:bookmarkStart w:id="94" w:name="OLE_LINK173"/>
      <w:r>
        <w:rPr>
          <w:rFonts w:ascii="Book Antiqua" w:eastAsia="Book Antiqua" w:hAnsi="Book Antiqua" w:cs="Book Antiqua"/>
          <w:color w:val="000000"/>
        </w:rPr>
        <w:lastRenderedPageBreak/>
        <w:t xml:space="preserve">We found the FJS to be a valid and reliable tool for evaluation of PRO in posttraumatic condition after an acetabular fracture. With a Cronbach’s alpha of 0.95, internal consistency of the questionnaire was good. Test-retest reliability was excellent with an ICC of 0.99. Based on the anchor variable, the </w:t>
      </w:r>
      <w:r w:rsidR="0002555A" w:rsidRPr="0002555A">
        <w:rPr>
          <w:rFonts w:ascii="Book Antiqua" w:eastAsia="Book Antiqua" w:hAnsi="Book Antiqua" w:cs="Book Antiqua"/>
          <w:color w:val="000000"/>
        </w:rPr>
        <w:t>smallest detectable change</w:t>
      </w:r>
      <w:r>
        <w:rPr>
          <w:rFonts w:ascii="Book Antiqua" w:eastAsia="Book Antiqua" w:hAnsi="Book Antiqua" w:cs="Book Antiqua"/>
          <w:color w:val="000000"/>
        </w:rPr>
        <w:t xml:space="preserve"> indicating a real clinical improvement was 8.8 points in the FJS. We could confirm responsiveness of the FJS and found no relevant floor- or ceiling effects. </w:t>
      </w:r>
    </w:p>
    <w:bookmarkEnd w:id="93"/>
    <w:bookmarkEnd w:id="94"/>
    <w:p w14:paraId="7CB11ACE" w14:textId="77777777" w:rsidR="00A77B3E" w:rsidRDefault="00A77B3E">
      <w:pPr>
        <w:spacing w:line="360" w:lineRule="auto"/>
        <w:jc w:val="both"/>
      </w:pPr>
    </w:p>
    <w:p w14:paraId="315E3936" w14:textId="77777777" w:rsidR="00A77B3E" w:rsidRDefault="00464B5F">
      <w:pPr>
        <w:spacing w:line="360" w:lineRule="auto"/>
        <w:jc w:val="both"/>
      </w:pPr>
      <w:r>
        <w:rPr>
          <w:rFonts w:ascii="Book Antiqua" w:eastAsia="Book Antiqua" w:hAnsi="Book Antiqua" w:cs="Book Antiqua"/>
          <w:b/>
          <w:i/>
          <w:color w:val="000000"/>
        </w:rPr>
        <w:t>Research conclusions</w:t>
      </w:r>
    </w:p>
    <w:p w14:paraId="06C5A782" w14:textId="77777777" w:rsidR="00A77B3E" w:rsidRPr="00A31163" w:rsidRDefault="00464B5F">
      <w:pPr>
        <w:spacing w:line="360" w:lineRule="auto"/>
        <w:jc w:val="both"/>
        <w:rPr>
          <w:lang w:eastAsia="zh-CN"/>
        </w:rPr>
      </w:pPr>
      <w:bookmarkStart w:id="95" w:name="OLE_LINK174"/>
      <w:bookmarkStart w:id="96" w:name="OLE_LINK175"/>
      <w:r>
        <w:rPr>
          <w:rFonts w:ascii="Book Antiqua" w:eastAsia="Book Antiqua" w:hAnsi="Book Antiqua" w:cs="Book Antiqua"/>
          <w:color w:val="000000"/>
        </w:rPr>
        <w:t>Clinicians are suggested to use the FJS for evaluation of PRO after fractures of the acetabulum.</w:t>
      </w:r>
    </w:p>
    <w:bookmarkEnd w:id="95"/>
    <w:bookmarkEnd w:id="96"/>
    <w:p w14:paraId="67B7E65D" w14:textId="77777777" w:rsidR="00A77B3E" w:rsidRDefault="00A77B3E">
      <w:pPr>
        <w:spacing w:line="360" w:lineRule="auto"/>
        <w:jc w:val="both"/>
      </w:pPr>
    </w:p>
    <w:p w14:paraId="150D6A36" w14:textId="77777777" w:rsidR="00A77B3E" w:rsidRDefault="00464B5F">
      <w:pPr>
        <w:spacing w:line="360" w:lineRule="auto"/>
        <w:jc w:val="both"/>
      </w:pPr>
      <w:r>
        <w:rPr>
          <w:rFonts w:ascii="Book Antiqua" w:eastAsia="Book Antiqua" w:hAnsi="Book Antiqua" w:cs="Book Antiqua"/>
          <w:b/>
          <w:i/>
          <w:color w:val="000000"/>
        </w:rPr>
        <w:t>Research perspectives</w:t>
      </w:r>
    </w:p>
    <w:p w14:paraId="3EB046B9" w14:textId="77777777" w:rsidR="00A77B3E" w:rsidRDefault="00464B5F">
      <w:pPr>
        <w:spacing w:line="360" w:lineRule="auto"/>
        <w:jc w:val="both"/>
      </w:pPr>
      <w:bookmarkStart w:id="97" w:name="OLE_LINK176"/>
      <w:bookmarkStart w:id="98" w:name="OLE_LINK177"/>
      <w:r>
        <w:rPr>
          <w:rFonts w:ascii="Book Antiqua" w:eastAsia="Book Antiqua" w:hAnsi="Book Antiqua" w:cs="Book Antiqua"/>
          <w:color w:val="000000"/>
        </w:rPr>
        <w:t>Further studies are needed to confirm the study results, especially concerning longitudinal data. Based on the study results, the FJS can now be used for further clinical studies on post-traumatic conditions after fractures of the acetabulum.</w:t>
      </w:r>
    </w:p>
    <w:bookmarkEnd w:id="97"/>
    <w:bookmarkEnd w:id="98"/>
    <w:p w14:paraId="0B960E63" w14:textId="77777777" w:rsidR="00A77B3E" w:rsidRDefault="00A77B3E">
      <w:pPr>
        <w:spacing w:line="360" w:lineRule="auto"/>
        <w:jc w:val="both"/>
      </w:pPr>
    </w:p>
    <w:p w14:paraId="16B2A404" w14:textId="77777777" w:rsidR="00A77B3E" w:rsidRDefault="00464B5F">
      <w:pPr>
        <w:spacing w:line="360" w:lineRule="auto"/>
        <w:jc w:val="both"/>
      </w:pPr>
      <w:r>
        <w:rPr>
          <w:rFonts w:ascii="Book Antiqua" w:eastAsia="Book Antiqua" w:hAnsi="Book Antiqua" w:cs="Book Antiqua"/>
          <w:b/>
          <w:caps/>
          <w:color w:val="000000"/>
          <w:u w:val="single"/>
        </w:rPr>
        <w:t>ACKNOWLEDGEMENTS</w:t>
      </w:r>
    </w:p>
    <w:p w14:paraId="5E4ADBD5" w14:textId="77777777" w:rsidR="007C45B5" w:rsidRPr="007C45B5" w:rsidRDefault="00464B5F">
      <w:pPr>
        <w:spacing w:line="360" w:lineRule="auto"/>
        <w:jc w:val="both"/>
        <w:rPr>
          <w:rFonts w:ascii="Book Antiqua" w:hAnsi="Book Antiqua" w:cs="Book Antiqua"/>
          <w:color w:val="000000"/>
          <w:lang w:eastAsia="zh-CN"/>
        </w:rPr>
      </w:pPr>
      <w:bookmarkStart w:id="99" w:name="OLE_LINK178"/>
      <w:bookmarkStart w:id="100" w:name="OLE_LINK179"/>
      <w:r>
        <w:rPr>
          <w:rFonts w:ascii="Book Antiqua" w:eastAsia="Book Antiqua" w:hAnsi="Book Antiqua" w:cs="Book Antiqua"/>
          <w:color w:val="000000"/>
        </w:rPr>
        <w:t>We thank all participants for contributing to this study. The authors wish to thank the German Pelvic Multicenter Study Group (http://www.dgu-online.de) for their support in the conception of the study.</w:t>
      </w:r>
    </w:p>
    <w:bookmarkEnd w:id="99"/>
    <w:bookmarkEnd w:id="100"/>
    <w:p w14:paraId="78E064EC" w14:textId="77777777" w:rsidR="00A77B3E" w:rsidRDefault="00A77B3E">
      <w:pPr>
        <w:spacing w:line="360" w:lineRule="auto"/>
        <w:jc w:val="both"/>
      </w:pPr>
    </w:p>
    <w:p w14:paraId="538CBD2D" w14:textId="77777777" w:rsidR="00A77B3E" w:rsidRPr="00E608FE" w:rsidRDefault="00464B5F" w:rsidP="00E608FE">
      <w:pPr>
        <w:adjustRightInd w:val="0"/>
        <w:snapToGrid w:val="0"/>
        <w:spacing w:line="360" w:lineRule="auto"/>
        <w:jc w:val="both"/>
        <w:rPr>
          <w:rFonts w:ascii="Book Antiqua" w:hAnsi="Book Antiqua"/>
        </w:rPr>
      </w:pPr>
      <w:r w:rsidRPr="00E608FE">
        <w:rPr>
          <w:rFonts w:ascii="Book Antiqua" w:eastAsia="Book Antiqua" w:hAnsi="Book Antiqua" w:cs="Book Antiqua"/>
          <w:b/>
        </w:rPr>
        <w:t>REFERENCES</w:t>
      </w:r>
    </w:p>
    <w:p w14:paraId="6C3D9B2A"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bookmarkStart w:id="101" w:name="OLE_LINK180"/>
      <w:bookmarkStart w:id="102" w:name="OLE_LINK181"/>
      <w:bookmarkStart w:id="103" w:name="OLE_LINK182"/>
      <w:bookmarkStart w:id="104" w:name="OLE_LINK183"/>
      <w:r w:rsidRPr="00E608FE">
        <w:rPr>
          <w:rFonts w:ascii="Book Antiqua" w:hAnsi="Book Antiqua"/>
        </w:rPr>
        <w:t>1 </w:t>
      </w:r>
      <w:proofErr w:type="spellStart"/>
      <w:r w:rsidRPr="00E608FE">
        <w:rPr>
          <w:rFonts w:ascii="Book Antiqua" w:hAnsi="Book Antiqua"/>
          <w:b/>
          <w:bCs/>
        </w:rPr>
        <w:t>Briffa</w:t>
      </w:r>
      <w:proofErr w:type="spellEnd"/>
      <w:r w:rsidRPr="00E608FE">
        <w:rPr>
          <w:rFonts w:ascii="Book Antiqua" w:hAnsi="Book Antiqua"/>
          <w:b/>
          <w:bCs/>
        </w:rPr>
        <w:t xml:space="preserve"> N</w:t>
      </w:r>
      <w:r w:rsidRPr="00E608FE">
        <w:rPr>
          <w:rFonts w:ascii="Book Antiqua" w:hAnsi="Book Antiqua"/>
        </w:rPr>
        <w:t>, Pearce R, Hill AM, Bircher M. Outcomes of acetabular fracture fixation with ten years' follow-up. </w:t>
      </w:r>
      <w:r w:rsidRPr="00E608FE">
        <w:rPr>
          <w:rFonts w:ascii="Book Antiqua" w:hAnsi="Book Antiqua"/>
          <w:i/>
          <w:iCs/>
        </w:rPr>
        <w:t>J Bone Joint Surg Br</w:t>
      </w:r>
      <w:r w:rsidRPr="00E608FE">
        <w:rPr>
          <w:rFonts w:ascii="Book Antiqua" w:hAnsi="Book Antiqua"/>
        </w:rPr>
        <w:t> 2011; </w:t>
      </w:r>
      <w:r w:rsidRPr="00E608FE">
        <w:rPr>
          <w:rFonts w:ascii="Book Antiqua" w:hAnsi="Book Antiqua"/>
          <w:b/>
          <w:bCs/>
        </w:rPr>
        <w:t>93</w:t>
      </w:r>
      <w:r w:rsidRPr="00E608FE">
        <w:rPr>
          <w:rFonts w:ascii="Book Antiqua" w:hAnsi="Book Antiqua"/>
        </w:rPr>
        <w:t>: 229-236 [PMID: 21282764 DOI: 10.1302/0301-620X.93B2.24056]</w:t>
      </w:r>
    </w:p>
    <w:p w14:paraId="1276863C"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2 </w:t>
      </w:r>
      <w:proofErr w:type="spellStart"/>
      <w:r w:rsidRPr="00E608FE">
        <w:rPr>
          <w:rFonts w:ascii="Book Antiqua" w:hAnsi="Book Antiqua"/>
          <w:b/>
          <w:bCs/>
        </w:rPr>
        <w:t>Tannast</w:t>
      </w:r>
      <w:proofErr w:type="spellEnd"/>
      <w:r w:rsidRPr="00E608FE">
        <w:rPr>
          <w:rFonts w:ascii="Book Antiqua" w:hAnsi="Book Antiqua"/>
          <w:b/>
          <w:bCs/>
        </w:rPr>
        <w:t xml:space="preserve"> M</w:t>
      </w:r>
      <w:r w:rsidRPr="00E608FE">
        <w:rPr>
          <w:rFonts w:ascii="Book Antiqua" w:hAnsi="Book Antiqua"/>
        </w:rPr>
        <w:t xml:space="preserve">, </w:t>
      </w:r>
      <w:proofErr w:type="spellStart"/>
      <w:r w:rsidRPr="00E608FE">
        <w:rPr>
          <w:rFonts w:ascii="Book Antiqua" w:hAnsi="Book Antiqua"/>
        </w:rPr>
        <w:t>Najibi</w:t>
      </w:r>
      <w:proofErr w:type="spellEnd"/>
      <w:r w:rsidRPr="00E608FE">
        <w:rPr>
          <w:rFonts w:ascii="Book Antiqua" w:hAnsi="Book Antiqua"/>
        </w:rPr>
        <w:t xml:space="preserve"> S, Matta JM. Two to twenty-year survivorship of the hip in 810 patients with operatively treated acetabular fractures. </w:t>
      </w:r>
      <w:r w:rsidRPr="00E608FE">
        <w:rPr>
          <w:rFonts w:ascii="Book Antiqua" w:hAnsi="Book Antiqua"/>
          <w:i/>
          <w:iCs/>
        </w:rPr>
        <w:t>J Bone Joint Surg Am</w:t>
      </w:r>
      <w:r w:rsidRPr="00E608FE">
        <w:rPr>
          <w:rFonts w:ascii="Book Antiqua" w:hAnsi="Book Antiqua"/>
        </w:rPr>
        <w:t> 2012; </w:t>
      </w:r>
      <w:r w:rsidRPr="00E608FE">
        <w:rPr>
          <w:rFonts w:ascii="Book Antiqua" w:hAnsi="Book Antiqua"/>
          <w:b/>
          <w:bCs/>
        </w:rPr>
        <w:t>94</w:t>
      </w:r>
      <w:r w:rsidRPr="00E608FE">
        <w:rPr>
          <w:rFonts w:ascii="Book Antiqua" w:hAnsi="Book Antiqua"/>
        </w:rPr>
        <w:t>: 1559-1567 [PMID: 22992846 DOI: 10.2106/JBJS.K.00444]</w:t>
      </w:r>
    </w:p>
    <w:p w14:paraId="68085588"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lastRenderedPageBreak/>
        <w:t>3 </w:t>
      </w:r>
      <w:proofErr w:type="spellStart"/>
      <w:r w:rsidRPr="00E608FE">
        <w:rPr>
          <w:rFonts w:ascii="Book Antiqua" w:hAnsi="Book Antiqua"/>
          <w:b/>
          <w:bCs/>
        </w:rPr>
        <w:t>Piazzolla</w:t>
      </w:r>
      <w:proofErr w:type="spellEnd"/>
      <w:r w:rsidRPr="00E608FE">
        <w:rPr>
          <w:rFonts w:ascii="Book Antiqua" w:hAnsi="Book Antiqua"/>
          <w:b/>
          <w:bCs/>
        </w:rPr>
        <w:t xml:space="preserve"> A</w:t>
      </w:r>
      <w:r w:rsidRPr="00E608FE">
        <w:rPr>
          <w:rFonts w:ascii="Book Antiqua" w:hAnsi="Book Antiqua"/>
        </w:rPr>
        <w:t xml:space="preserve">, </w:t>
      </w:r>
      <w:proofErr w:type="spellStart"/>
      <w:r w:rsidRPr="00E608FE">
        <w:rPr>
          <w:rFonts w:ascii="Book Antiqua" w:hAnsi="Book Antiqua"/>
        </w:rPr>
        <w:t>Baglioni</w:t>
      </w:r>
      <w:proofErr w:type="spellEnd"/>
      <w:r w:rsidRPr="00E608FE">
        <w:rPr>
          <w:rFonts w:ascii="Book Antiqua" w:hAnsi="Book Antiqua"/>
        </w:rPr>
        <w:t xml:space="preserve"> M, </w:t>
      </w:r>
      <w:proofErr w:type="spellStart"/>
      <w:r w:rsidRPr="00E608FE">
        <w:rPr>
          <w:rFonts w:ascii="Book Antiqua" w:hAnsi="Book Antiqua"/>
        </w:rPr>
        <w:t>Solarino</w:t>
      </w:r>
      <w:proofErr w:type="spellEnd"/>
      <w:r w:rsidRPr="00E608FE">
        <w:rPr>
          <w:rFonts w:ascii="Book Antiqua" w:hAnsi="Book Antiqua"/>
        </w:rPr>
        <w:t xml:space="preserve"> G, Vicenti G, </w:t>
      </w:r>
      <w:proofErr w:type="spellStart"/>
      <w:r w:rsidRPr="00E608FE">
        <w:rPr>
          <w:rFonts w:ascii="Book Antiqua" w:hAnsi="Book Antiqua"/>
        </w:rPr>
        <w:t>Panella</w:t>
      </w:r>
      <w:proofErr w:type="spellEnd"/>
      <w:r w:rsidRPr="00E608FE">
        <w:rPr>
          <w:rFonts w:ascii="Book Antiqua" w:hAnsi="Book Antiqua"/>
        </w:rPr>
        <w:t xml:space="preserve"> A, Moretti B. Acetabular fractures: Is it possible to regain the same patient's related quality of life before trauma? </w:t>
      </w:r>
      <w:r w:rsidRPr="00E608FE">
        <w:rPr>
          <w:rFonts w:ascii="Book Antiqua" w:hAnsi="Book Antiqua"/>
          <w:i/>
          <w:iCs/>
        </w:rPr>
        <w:t>Injury</w:t>
      </w:r>
      <w:r w:rsidRPr="00E608FE">
        <w:rPr>
          <w:rFonts w:ascii="Book Antiqua" w:hAnsi="Book Antiqua"/>
        </w:rPr>
        <w:t> 2018; </w:t>
      </w:r>
      <w:r w:rsidRPr="00E608FE">
        <w:rPr>
          <w:rFonts w:ascii="Book Antiqua" w:hAnsi="Book Antiqua"/>
          <w:b/>
          <w:bCs/>
        </w:rPr>
        <w:t>49 Suppl 3</w:t>
      </w:r>
      <w:r w:rsidRPr="00E608FE">
        <w:rPr>
          <w:rFonts w:ascii="Book Antiqua" w:hAnsi="Book Antiqua"/>
        </w:rPr>
        <w:t>: S74-S76 [PMID: 30415672 DOI: 10.1016/j.injury.2018.10.004]</w:t>
      </w:r>
    </w:p>
    <w:p w14:paraId="22C622EA"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4 </w:t>
      </w:r>
      <w:r w:rsidRPr="00E608FE">
        <w:rPr>
          <w:rFonts w:ascii="Book Antiqua" w:hAnsi="Book Antiqua"/>
          <w:b/>
          <w:bCs/>
        </w:rPr>
        <w:t>Busch A</w:t>
      </w:r>
      <w:r w:rsidRPr="00E608FE">
        <w:rPr>
          <w:rFonts w:ascii="Book Antiqua" w:hAnsi="Book Antiqua"/>
        </w:rPr>
        <w:t xml:space="preserve">, </w:t>
      </w:r>
      <w:proofErr w:type="spellStart"/>
      <w:r w:rsidRPr="00E608FE">
        <w:rPr>
          <w:rFonts w:ascii="Book Antiqua" w:hAnsi="Book Antiqua"/>
        </w:rPr>
        <w:t>Stöckle</w:t>
      </w:r>
      <w:proofErr w:type="spellEnd"/>
      <w:r w:rsidRPr="00E608FE">
        <w:rPr>
          <w:rFonts w:ascii="Book Antiqua" w:hAnsi="Book Antiqua"/>
        </w:rPr>
        <w:t xml:space="preserve"> U, Schreiner A, de </w:t>
      </w:r>
      <w:proofErr w:type="spellStart"/>
      <w:r w:rsidRPr="00E608FE">
        <w:rPr>
          <w:rFonts w:ascii="Book Antiqua" w:hAnsi="Book Antiqua"/>
        </w:rPr>
        <w:t>Zwaart</w:t>
      </w:r>
      <w:proofErr w:type="spellEnd"/>
      <w:r w:rsidRPr="00E608FE">
        <w:rPr>
          <w:rFonts w:ascii="Book Antiqua" w:hAnsi="Book Antiqua"/>
        </w:rPr>
        <w:t xml:space="preserve"> P, </w:t>
      </w:r>
      <w:proofErr w:type="spellStart"/>
      <w:r w:rsidRPr="00E608FE">
        <w:rPr>
          <w:rFonts w:ascii="Book Antiqua" w:hAnsi="Book Antiqua"/>
        </w:rPr>
        <w:t>Schäffler</w:t>
      </w:r>
      <w:proofErr w:type="spellEnd"/>
      <w:r w:rsidRPr="00E608FE">
        <w:rPr>
          <w:rFonts w:ascii="Book Antiqua" w:hAnsi="Book Antiqua"/>
        </w:rPr>
        <w:t xml:space="preserve"> A, Ochs BG. Total hip arthroplasty following acetabular fracture: a clinical and radiographic outcome analysis of 67 patients. </w:t>
      </w:r>
      <w:r w:rsidRPr="00E608FE">
        <w:rPr>
          <w:rFonts w:ascii="Book Antiqua" w:hAnsi="Book Antiqua"/>
          <w:i/>
          <w:iCs/>
        </w:rPr>
        <w:t xml:space="preserve">Arch </w:t>
      </w:r>
      <w:proofErr w:type="spellStart"/>
      <w:r w:rsidRPr="00E608FE">
        <w:rPr>
          <w:rFonts w:ascii="Book Antiqua" w:hAnsi="Book Antiqua"/>
          <w:i/>
          <w:iCs/>
        </w:rPr>
        <w:t>Orthop</w:t>
      </w:r>
      <w:proofErr w:type="spellEnd"/>
      <w:r w:rsidRPr="00E608FE">
        <w:rPr>
          <w:rFonts w:ascii="Book Antiqua" w:hAnsi="Book Antiqua"/>
          <w:i/>
          <w:iCs/>
        </w:rPr>
        <w:t xml:space="preserve"> Trauma </w:t>
      </w:r>
      <w:proofErr w:type="spellStart"/>
      <w:r w:rsidRPr="00E608FE">
        <w:rPr>
          <w:rFonts w:ascii="Book Antiqua" w:hAnsi="Book Antiqua"/>
          <w:i/>
          <w:iCs/>
        </w:rPr>
        <w:t>Surg</w:t>
      </w:r>
      <w:proofErr w:type="spellEnd"/>
      <w:r w:rsidRPr="00E608FE">
        <w:rPr>
          <w:rFonts w:ascii="Book Antiqua" w:hAnsi="Book Antiqua"/>
        </w:rPr>
        <w:t> 2020; </w:t>
      </w:r>
      <w:r w:rsidRPr="00E608FE">
        <w:rPr>
          <w:rFonts w:ascii="Book Antiqua" w:hAnsi="Book Antiqua"/>
          <w:b/>
          <w:bCs/>
        </w:rPr>
        <w:t>140</w:t>
      </w:r>
      <w:r w:rsidRPr="00E608FE">
        <w:rPr>
          <w:rFonts w:ascii="Book Antiqua" w:hAnsi="Book Antiqua"/>
        </w:rPr>
        <w:t>: 331-341 [PMID: 31501930 DOI: 10.1007/s00402-019-03272-x]</w:t>
      </w:r>
    </w:p>
    <w:p w14:paraId="2636430D"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5 </w:t>
      </w:r>
      <w:proofErr w:type="spellStart"/>
      <w:r w:rsidRPr="00E608FE">
        <w:rPr>
          <w:rFonts w:ascii="Book Antiqua" w:hAnsi="Book Antiqua"/>
          <w:b/>
          <w:bCs/>
        </w:rPr>
        <w:t>Meena</w:t>
      </w:r>
      <w:proofErr w:type="spellEnd"/>
      <w:r w:rsidRPr="00E608FE">
        <w:rPr>
          <w:rFonts w:ascii="Book Antiqua" w:hAnsi="Book Antiqua"/>
          <w:b/>
          <w:bCs/>
        </w:rPr>
        <w:t xml:space="preserve"> UK</w:t>
      </w:r>
      <w:r w:rsidRPr="00E608FE">
        <w:rPr>
          <w:rFonts w:ascii="Book Antiqua" w:hAnsi="Book Antiqua"/>
        </w:rPr>
        <w:t xml:space="preserve">, </w:t>
      </w:r>
      <w:proofErr w:type="spellStart"/>
      <w:r w:rsidRPr="00E608FE">
        <w:rPr>
          <w:rFonts w:ascii="Book Antiqua" w:hAnsi="Book Antiqua"/>
        </w:rPr>
        <w:t>Tripathy</w:t>
      </w:r>
      <w:proofErr w:type="spellEnd"/>
      <w:r w:rsidRPr="00E608FE">
        <w:rPr>
          <w:rFonts w:ascii="Book Antiqua" w:hAnsi="Book Antiqua"/>
        </w:rPr>
        <w:t xml:space="preserve"> SK, Sen RK, Aggarwal S, Behera P. Predictors of postoperative outcome for acetabular fractures.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Traumatol</w:t>
      </w:r>
      <w:proofErr w:type="spellEnd"/>
      <w:r w:rsidRPr="00E608FE">
        <w:rPr>
          <w:rFonts w:ascii="Book Antiqua" w:hAnsi="Book Antiqua"/>
          <w:i/>
          <w:iCs/>
        </w:rPr>
        <w:t xml:space="preserve"> </w:t>
      </w:r>
      <w:proofErr w:type="spellStart"/>
      <w:r w:rsidRPr="00E608FE">
        <w:rPr>
          <w:rFonts w:ascii="Book Antiqua" w:hAnsi="Book Antiqua"/>
          <w:i/>
          <w:iCs/>
        </w:rPr>
        <w:t>Surg</w:t>
      </w:r>
      <w:proofErr w:type="spellEnd"/>
      <w:r w:rsidRPr="00E608FE">
        <w:rPr>
          <w:rFonts w:ascii="Book Antiqua" w:hAnsi="Book Antiqua"/>
          <w:i/>
          <w:iCs/>
        </w:rPr>
        <w:t xml:space="preserve"> Res</w:t>
      </w:r>
      <w:r w:rsidRPr="00E608FE">
        <w:rPr>
          <w:rFonts w:ascii="Book Antiqua" w:hAnsi="Book Antiqua"/>
        </w:rPr>
        <w:t> 2013; </w:t>
      </w:r>
      <w:r w:rsidRPr="00E608FE">
        <w:rPr>
          <w:rFonts w:ascii="Book Antiqua" w:hAnsi="Book Antiqua"/>
          <w:b/>
          <w:bCs/>
        </w:rPr>
        <w:t>99</w:t>
      </w:r>
      <w:r w:rsidRPr="00E608FE">
        <w:rPr>
          <w:rFonts w:ascii="Book Antiqua" w:hAnsi="Book Antiqua"/>
        </w:rPr>
        <w:t>: 929-935 [PMID: 24183746 DOI: 10.1016/j.otsr.2013.09.004]</w:t>
      </w:r>
    </w:p>
    <w:p w14:paraId="0AB70D9C"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6 </w:t>
      </w:r>
      <w:proofErr w:type="spellStart"/>
      <w:r w:rsidRPr="00E608FE">
        <w:rPr>
          <w:rFonts w:ascii="Book Antiqua" w:hAnsi="Book Antiqua"/>
          <w:b/>
          <w:bCs/>
        </w:rPr>
        <w:t>Giannoudis</w:t>
      </w:r>
      <w:proofErr w:type="spellEnd"/>
      <w:r w:rsidRPr="00E608FE">
        <w:rPr>
          <w:rFonts w:ascii="Book Antiqua" w:hAnsi="Book Antiqua"/>
          <w:b/>
          <w:bCs/>
        </w:rPr>
        <w:t xml:space="preserve"> PV</w:t>
      </w:r>
      <w:r w:rsidRPr="00E608FE">
        <w:rPr>
          <w:rFonts w:ascii="Book Antiqua" w:hAnsi="Book Antiqua"/>
        </w:rPr>
        <w:t xml:space="preserve">, </w:t>
      </w:r>
      <w:proofErr w:type="spellStart"/>
      <w:r w:rsidRPr="00E608FE">
        <w:rPr>
          <w:rFonts w:ascii="Book Antiqua" w:hAnsi="Book Antiqua"/>
        </w:rPr>
        <w:t>Grotz</w:t>
      </w:r>
      <w:proofErr w:type="spellEnd"/>
      <w:r w:rsidRPr="00E608FE">
        <w:rPr>
          <w:rFonts w:ascii="Book Antiqua" w:hAnsi="Book Antiqua"/>
        </w:rPr>
        <w:t xml:space="preserve"> MR, </w:t>
      </w:r>
      <w:proofErr w:type="spellStart"/>
      <w:r w:rsidRPr="00E608FE">
        <w:rPr>
          <w:rFonts w:ascii="Book Antiqua" w:hAnsi="Book Antiqua"/>
        </w:rPr>
        <w:t>Papakostidis</w:t>
      </w:r>
      <w:proofErr w:type="spellEnd"/>
      <w:r w:rsidRPr="00E608FE">
        <w:rPr>
          <w:rFonts w:ascii="Book Antiqua" w:hAnsi="Book Antiqua"/>
        </w:rPr>
        <w:t xml:space="preserve"> C, </w:t>
      </w:r>
      <w:proofErr w:type="spellStart"/>
      <w:r w:rsidRPr="00E608FE">
        <w:rPr>
          <w:rFonts w:ascii="Book Antiqua" w:hAnsi="Book Antiqua"/>
        </w:rPr>
        <w:t>Dinopoulos</w:t>
      </w:r>
      <w:proofErr w:type="spellEnd"/>
      <w:r w:rsidRPr="00E608FE">
        <w:rPr>
          <w:rFonts w:ascii="Book Antiqua" w:hAnsi="Book Antiqua"/>
        </w:rPr>
        <w:t xml:space="preserve"> H. Operative treatment of displaced fractures of the acetabulum. A meta-analysis. </w:t>
      </w:r>
      <w:r w:rsidRPr="00E608FE">
        <w:rPr>
          <w:rFonts w:ascii="Book Antiqua" w:hAnsi="Book Antiqua"/>
          <w:i/>
          <w:iCs/>
        </w:rPr>
        <w:t>J Bone Joint Surg Br</w:t>
      </w:r>
      <w:r w:rsidRPr="00E608FE">
        <w:rPr>
          <w:rFonts w:ascii="Book Antiqua" w:hAnsi="Book Antiqua"/>
        </w:rPr>
        <w:t> 2005; </w:t>
      </w:r>
      <w:r w:rsidRPr="00E608FE">
        <w:rPr>
          <w:rFonts w:ascii="Book Antiqua" w:hAnsi="Book Antiqua"/>
          <w:b/>
          <w:bCs/>
        </w:rPr>
        <w:t>87</w:t>
      </w:r>
      <w:r w:rsidRPr="00E608FE">
        <w:rPr>
          <w:rFonts w:ascii="Book Antiqua" w:hAnsi="Book Antiqua"/>
        </w:rPr>
        <w:t>: 2-9 [PMID: 15686228 DOI: 10.1302/0301-620X.87B1.15605]</w:t>
      </w:r>
    </w:p>
    <w:p w14:paraId="2B91E2E1"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7 </w:t>
      </w:r>
      <w:proofErr w:type="spellStart"/>
      <w:r w:rsidRPr="00E608FE">
        <w:rPr>
          <w:rFonts w:ascii="Book Antiqua" w:hAnsi="Book Antiqua"/>
          <w:b/>
          <w:bCs/>
        </w:rPr>
        <w:t>García</w:t>
      </w:r>
      <w:proofErr w:type="spellEnd"/>
      <w:r w:rsidRPr="00E608FE">
        <w:rPr>
          <w:rFonts w:ascii="Book Antiqua" w:hAnsi="Book Antiqua"/>
          <w:b/>
          <w:bCs/>
        </w:rPr>
        <w:t>-Rey E</w:t>
      </w:r>
      <w:r w:rsidRPr="00E608FE">
        <w:rPr>
          <w:rFonts w:ascii="Book Antiqua" w:hAnsi="Book Antiqua"/>
        </w:rPr>
        <w:t xml:space="preserve">, </w:t>
      </w:r>
      <w:proofErr w:type="spellStart"/>
      <w:r w:rsidRPr="00E608FE">
        <w:rPr>
          <w:rFonts w:ascii="Book Antiqua" w:hAnsi="Book Antiqua"/>
        </w:rPr>
        <w:t>Sirianni</w:t>
      </w:r>
      <w:proofErr w:type="spellEnd"/>
      <w:r w:rsidRPr="00E608FE">
        <w:rPr>
          <w:rFonts w:ascii="Book Antiqua" w:hAnsi="Book Antiqua"/>
        </w:rPr>
        <w:t xml:space="preserve"> R, </w:t>
      </w:r>
      <w:proofErr w:type="spellStart"/>
      <w:r w:rsidRPr="00E608FE">
        <w:rPr>
          <w:rFonts w:ascii="Book Antiqua" w:hAnsi="Book Antiqua"/>
        </w:rPr>
        <w:t>García-Cimbrelo</w:t>
      </w:r>
      <w:proofErr w:type="spellEnd"/>
      <w:r w:rsidRPr="00E608FE">
        <w:rPr>
          <w:rFonts w:ascii="Book Antiqua" w:hAnsi="Book Antiqua"/>
        </w:rPr>
        <w:t xml:space="preserve"> E, </w:t>
      </w:r>
      <w:proofErr w:type="spellStart"/>
      <w:r w:rsidRPr="00E608FE">
        <w:rPr>
          <w:rFonts w:ascii="Book Antiqua" w:hAnsi="Book Antiqua"/>
        </w:rPr>
        <w:t>Sedel</w:t>
      </w:r>
      <w:proofErr w:type="spellEnd"/>
      <w:r w:rsidRPr="00E608FE">
        <w:rPr>
          <w:rFonts w:ascii="Book Antiqua" w:hAnsi="Book Antiqua"/>
        </w:rPr>
        <w:t xml:space="preserve"> L. Total hip arthroplasty after acetabular fracture: does initial treatment make any difference to the outcome? A 5- to 23-year follow-up with clinical and radiological analysis. </w:t>
      </w:r>
      <w:r w:rsidRPr="00E608FE">
        <w:rPr>
          <w:rFonts w:ascii="Book Antiqua" w:hAnsi="Book Antiqua"/>
          <w:i/>
          <w:iCs/>
        </w:rPr>
        <w:t>Hip Int</w:t>
      </w:r>
      <w:r w:rsidRPr="00E608FE">
        <w:rPr>
          <w:rFonts w:ascii="Book Antiqua" w:hAnsi="Book Antiqua"/>
        </w:rPr>
        <w:t> 2020; </w:t>
      </w:r>
      <w:r w:rsidRPr="00E608FE">
        <w:rPr>
          <w:rFonts w:ascii="Book Antiqua" w:hAnsi="Book Antiqua"/>
          <w:b/>
          <w:bCs/>
        </w:rPr>
        <w:t>30</w:t>
      </w:r>
      <w:r w:rsidRPr="00E608FE">
        <w:rPr>
          <w:rFonts w:ascii="Book Antiqua" w:hAnsi="Book Antiqua"/>
        </w:rPr>
        <w:t>: 339-346 [PMID: 30912452 DOI: 10.1177/1120700019836413]</w:t>
      </w:r>
    </w:p>
    <w:p w14:paraId="16B996FA"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8 </w:t>
      </w:r>
      <w:r w:rsidRPr="00E608FE">
        <w:rPr>
          <w:rFonts w:ascii="Book Antiqua" w:hAnsi="Book Antiqua"/>
          <w:b/>
          <w:bCs/>
        </w:rPr>
        <w:t>Matta JM</w:t>
      </w:r>
      <w:r w:rsidRPr="00E608FE">
        <w:rPr>
          <w:rFonts w:ascii="Book Antiqua" w:hAnsi="Book Antiqua"/>
        </w:rPr>
        <w:t>. Fractures of the acetabulum: accuracy of reduction and clinical results in patients managed operatively within three weeks after the injury. </w:t>
      </w:r>
      <w:r w:rsidRPr="00E608FE">
        <w:rPr>
          <w:rFonts w:ascii="Book Antiqua" w:hAnsi="Book Antiqua"/>
          <w:i/>
          <w:iCs/>
        </w:rPr>
        <w:t>J Bone Joint Surg Am</w:t>
      </w:r>
      <w:r w:rsidRPr="00E608FE">
        <w:rPr>
          <w:rFonts w:ascii="Book Antiqua" w:hAnsi="Book Antiqua"/>
        </w:rPr>
        <w:t> 1996; </w:t>
      </w:r>
      <w:r w:rsidRPr="00E608FE">
        <w:rPr>
          <w:rFonts w:ascii="Book Antiqua" w:hAnsi="Book Antiqua"/>
          <w:b/>
          <w:bCs/>
        </w:rPr>
        <w:t>78</w:t>
      </w:r>
      <w:r w:rsidRPr="00E608FE">
        <w:rPr>
          <w:rFonts w:ascii="Book Antiqua" w:hAnsi="Book Antiqua"/>
        </w:rPr>
        <w:t>: 1632-1645 [PMID: 8934477 DOI: 10.2106/00004623-199611000-00002]</w:t>
      </w:r>
    </w:p>
    <w:p w14:paraId="68E1A200"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9 </w:t>
      </w:r>
      <w:r w:rsidRPr="00E608FE">
        <w:rPr>
          <w:rFonts w:ascii="Book Antiqua" w:hAnsi="Book Antiqua"/>
          <w:b/>
          <w:bCs/>
        </w:rPr>
        <w:t>Verbeek DO</w:t>
      </w:r>
      <w:r w:rsidRPr="00E608FE">
        <w:rPr>
          <w:rFonts w:ascii="Book Antiqua" w:hAnsi="Book Antiqua"/>
        </w:rPr>
        <w:t xml:space="preserve">, van der List JP, Tissue CM, </w:t>
      </w:r>
      <w:proofErr w:type="spellStart"/>
      <w:r w:rsidRPr="00E608FE">
        <w:rPr>
          <w:rFonts w:ascii="Book Antiqua" w:hAnsi="Book Antiqua"/>
        </w:rPr>
        <w:t>Helfet</w:t>
      </w:r>
      <w:proofErr w:type="spellEnd"/>
      <w:r w:rsidRPr="00E608FE">
        <w:rPr>
          <w:rFonts w:ascii="Book Antiqua" w:hAnsi="Book Antiqua"/>
        </w:rPr>
        <w:t xml:space="preserve"> DL. Predictors for Long-Term Hip Survivorship Following Acetabular Fracture Surgery: Importance of Gap Compared with Step Displacement. </w:t>
      </w:r>
      <w:r w:rsidRPr="00E608FE">
        <w:rPr>
          <w:rFonts w:ascii="Book Antiqua" w:hAnsi="Book Antiqua"/>
          <w:i/>
          <w:iCs/>
        </w:rPr>
        <w:t>J Bone Joint Surg Am</w:t>
      </w:r>
      <w:r w:rsidRPr="00E608FE">
        <w:rPr>
          <w:rFonts w:ascii="Book Antiqua" w:hAnsi="Book Antiqua"/>
        </w:rPr>
        <w:t> 2018; </w:t>
      </w:r>
      <w:r w:rsidRPr="00E608FE">
        <w:rPr>
          <w:rFonts w:ascii="Book Antiqua" w:hAnsi="Book Antiqua"/>
          <w:b/>
          <w:bCs/>
        </w:rPr>
        <w:t>100</w:t>
      </w:r>
      <w:r w:rsidRPr="00E608FE">
        <w:rPr>
          <w:rFonts w:ascii="Book Antiqua" w:hAnsi="Book Antiqua"/>
        </w:rPr>
        <w:t>: 922-929 [PMID: 29870442 DOI: 10.2106/JBJS.17.00692]</w:t>
      </w:r>
    </w:p>
    <w:p w14:paraId="3310C825" w14:textId="03EECFF5" w:rsidR="00E608FE" w:rsidRPr="00E608FE" w:rsidRDefault="0021127B"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232D25">
        <w:rPr>
          <w:rFonts w:ascii="Book Antiqua" w:hAnsi="Book Antiqua"/>
        </w:rPr>
        <w:t>10</w:t>
      </w:r>
      <w:r w:rsidR="00E608FE" w:rsidRPr="00232D25">
        <w:rPr>
          <w:rFonts w:ascii="Book Antiqua" w:hAnsi="Book Antiqua"/>
        </w:rPr>
        <w:t xml:space="preserve"> </w:t>
      </w:r>
      <w:proofErr w:type="spellStart"/>
      <w:r w:rsidR="00232D25" w:rsidRPr="00232D25">
        <w:rPr>
          <w:rFonts w:ascii="Book Antiqua" w:hAnsi="Book Antiqua"/>
          <w:b/>
        </w:rPr>
        <w:t>d'Aubigné</w:t>
      </w:r>
      <w:proofErr w:type="spellEnd"/>
      <w:r w:rsidR="00232D25" w:rsidRPr="00232D25">
        <w:rPr>
          <w:rFonts w:ascii="Book Antiqua" w:hAnsi="Book Antiqua"/>
          <w:b/>
        </w:rPr>
        <w:t xml:space="preserve"> RM</w:t>
      </w:r>
      <w:r w:rsidR="00232D25" w:rsidRPr="00232D25">
        <w:rPr>
          <w:rFonts w:ascii="Book Antiqua" w:hAnsi="Book Antiqua"/>
        </w:rPr>
        <w:t xml:space="preserve">, </w:t>
      </w:r>
      <w:proofErr w:type="spellStart"/>
      <w:r w:rsidR="00232D25" w:rsidRPr="00232D25">
        <w:rPr>
          <w:rFonts w:ascii="Book Antiqua" w:hAnsi="Book Antiqua"/>
        </w:rPr>
        <w:t>Postel</w:t>
      </w:r>
      <w:proofErr w:type="spellEnd"/>
      <w:r w:rsidR="00232D25" w:rsidRPr="00232D25">
        <w:rPr>
          <w:rFonts w:ascii="Book Antiqua" w:hAnsi="Book Antiqua"/>
        </w:rPr>
        <w:t xml:space="preserve"> M. The classic: functional results of hip arthroplasty with acrylic prosthesis. 1954. </w:t>
      </w:r>
      <w:proofErr w:type="spellStart"/>
      <w:r w:rsidR="00232D25" w:rsidRPr="00232D25">
        <w:rPr>
          <w:rFonts w:ascii="Book Antiqua" w:hAnsi="Book Antiqua"/>
          <w:i/>
        </w:rPr>
        <w:t>Clin</w:t>
      </w:r>
      <w:proofErr w:type="spellEnd"/>
      <w:r w:rsidR="00232D25" w:rsidRPr="00232D25">
        <w:rPr>
          <w:rFonts w:ascii="Book Antiqua" w:hAnsi="Book Antiqua"/>
          <w:i/>
        </w:rPr>
        <w:t xml:space="preserve"> </w:t>
      </w:r>
      <w:proofErr w:type="spellStart"/>
      <w:r w:rsidR="00232D25" w:rsidRPr="00232D25">
        <w:rPr>
          <w:rFonts w:ascii="Book Antiqua" w:hAnsi="Book Antiqua"/>
          <w:i/>
        </w:rPr>
        <w:t>Orthop</w:t>
      </w:r>
      <w:proofErr w:type="spellEnd"/>
      <w:r w:rsidR="00232D25" w:rsidRPr="00232D25">
        <w:rPr>
          <w:rFonts w:ascii="Book Antiqua" w:hAnsi="Book Antiqua"/>
          <w:i/>
        </w:rPr>
        <w:t xml:space="preserve"> </w:t>
      </w:r>
      <w:proofErr w:type="spellStart"/>
      <w:r w:rsidR="00232D25" w:rsidRPr="00232D25">
        <w:rPr>
          <w:rFonts w:ascii="Book Antiqua" w:hAnsi="Book Antiqua"/>
          <w:i/>
        </w:rPr>
        <w:t>Relat</w:t>
      </w:r>
      <w:proofErr w:type="spellEnd"/>
      <w:r w:rsidR="00232D25" w:rsidRPr="00232D25">
        <w:rPr>
          <w:rFonts w:ascii="Book Antiqua" w:hAnsi="Book Antiqua"/>
          <w:i/>
        </w:rPr>
        <w:t xml:space="preserve"> Res</w:t>
      </w:r>
      <w:r w:rsidR="00232D25" w:rsidRPr="00232D25">
        <w:rPr>
          <w:rFonts w:ascii="Book Antiqua" w:hAnsi="Book Antiqua"/>
        </w:rPr>
        <w:t xml:space="preserve"> 2009; </w:t>
      </w:r>
      <w:r w:rsidR="00232D25" w:rsidRPr="00232D25">
        <w:rPr>
          <w:rFonts w:ascii="Book Antiqua" w:hAnsi="Book Antiqua"/>
          <w:b/>
        </w:rPr>
        <w:t>467</w:t>
      </w:r>
      <w:r w:rsidR="00232D25" w:rsidRPr="00232D25">
        <w:rPr>
          <w:rFonts w:ascii="Book Antiqua" w:hAnsi="Book Antiqua"/>
        </w:rPr>
        <w:t>:</w:t>
      </w:r>
      <w:r w:rsidR="00232D25">
        <w:rPr>
          <w:rFonts w:ascii="Book Antiqua" w:hAnsi="Book Antiqua"/>
        </w:rPr>
        <w:t xml:space="preserve"> </w:t>
      </w:r>
      <w:r w:rsidR="00232D25" w:rsidRPr="00232D25">
        <w:rPr>
          <w:rFonts w:ascii="Book Antiqua" w:hAnsi="Book Antiqua"/>
        </w:rPr>
        <w:t>7-27</w:t>
      </w:r>
      <w:r w:rsidR="00232D25">
        <w:rPr>
          <w:rFonts w:ascii="Book Antiqua" w:hAnsi="Book Antiqua"/>
        </w:rPr>
        <w:t xml:space="preserve"> [</w:t>
      </w:r>
      <w:r w:rsidR="00232D25" w:rsidRPr="00232D25">
        <w:rPr>
          <w:rFonts w:ascii="Book Antiqua" w:hAnsi="Book Antiqua"/>
        </w:rPr>
        <w:t>PMID: 18941852</w:t>
      </w:r>
      <w:r w:rsidR="00232D25">
        <w:rPr>
          <w:rFonts w:ascii="Book Antiqua" w:hAnsi="Book Antiqua"/>
        </w:rPr>
        <w:t xml:space="preserve"> </w:t>
      </w:r>
      <w:r w:rsidR="00232D25" w:rsidRPr="00232D25">
        <w:rPr>
          <w:rFonts w:ascii="Book Antiqua" w:hAnsi="Book Antiqua"/>
          <w:caps/>
        </w:rPr>
        <w:t>doi:</w:t>
      </w:r>
      <w:r w:rsidR="00232D25">
        <w:rPr>
          <w:rFonts w:ascii="Book Antiqua" w:hAnsi="Book Antiqua"/>
        </w:rPr>
        <w:t xml:space="preserve"> </w:t>
      </w:r>
      <w:r w:rsidR="00232D25" w:rsidRPr="00232D25">
        <w:rPr>
          <w:rFonts w:ascii="Book Antiqua" w:hAnsi="Book Antiqua"/>
        </w:rPr>
        <w:t>10.1007/s11999-008-0572-1</w:t>
      </w:r>
      <w:r w:rsidR="005412C7">
        <w:rPr>
          <w:rFonts w:ascii="Book Antiqua" w:hAnsi="Book Antiqua"/>
        </w:rPr>
        <w:t>]</w:t>
      </w:r>
    </w:p>
    <w:p w14:paraId="25DB0DBB"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541E7B">
        <w:rPr>
          <w:rFonts w:ascii="Book Antiqua" w:hAnsi="Book Antiqua"/>
          <w:lang w:val="de-DE"/>
        </w:rPr>
        <w:lastRenderedPageBreak/>
        <w:t>11 </w:t>
      </w:r>
      <w:r w:rsidRPr="00541E7B">
        <w:rPr>
          <w:rFonts w:ascii="Book Antiqua" w:hAnsi="Book Antiqua"/>
          <w:b/>
          <w:bCs/>
          <w:lang w:val="de-DE"/>
        </w:rPr>
        <w:t>Behrend H</w:t>
      </w:r>
      <w:r w:rsidRPr="00541E7B">
        <w:rPr>
          <w:rFonts w:ascii="Book Antiqua" w:hAnsi="Book Antiqua"/>
          <w:lang w:val="de-DE"/>
        </w:rPr>
        <w:t xml:space="preserve">, Giesinger K, Giesinger JM, Kuster MS. </w:t>
      </w:r>
      <w:r w:rsidRPr="00E608FE">
        <w:rPr>
          <w:rFonts w:ascii="Book Antiqua" w:hAnsi="Book Antiqua"/>
        </w:rPr>
        <w:t>The "forgotten joint" as the ultimate goal in joint arthroplasty: validation of a new patient-reported outcome measure. </w:t>
      </w:r>
      <w:r w:rsidRPr="00E608FE">
        <w:rPr>
          <w:rFonts w:ascii="Book Antiqua" w:hAnsi="Book Antiqua"/>
          <w:i/>
          <w:iCs/>
        </w:rPr>
        <w:t>J Arthroplasty</w:t>
      </w:r>
      <w:r w:rsidRPr="00E608FE">
        <w:rPr>
          <w:rFonts w:ascii="Book Antiqua" w:hAnsi="Book Antiqua"/>
        </w:rPr>
        <w:t> 2012; </w:t>
      </w:r>
      <w:r w:rsidRPr="00E608FE">
        <w:rPr>
          <w:rFonts w:ascii="Book Antiqua" w:hAnsi="Book Antiqua"/>
          <w:b/>
          <w:bCs/>
        </w:rPr>
        <w:t>27</w:t>
      </w:r>
      <w:r w:rsidRPr="00E608FE">
        <w:rPr>
          <w:rFonts w:ascii="Book Antiqua" w:hAnsi="Book Antiqua"/>
        </w:rPr>
        <w:t>: 430-436.e1 [PMID: 22000572 DOI: 10.1016/j.arth.2011.06.035]</w:t>
      </w:r>
    </w:p>
    <w:p w14:paraId="5FAA940D"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12 </w:t>
      </w:r>
      <w:proofErr w:type="spellStart"/>
      <w:r w:rsidRPr="00E608FE">
        <w:rPr>
          <w:rFonts w:ascii="Book Antiqua" w:hAnsi="Book Antiqua"/>
          <w:b/>
          <w:bCs/>
        </w:rPr>
        <w:t>Behrend</w:t>
      </w:r>
      <w:proofErr w:type="spellEnd"/>
      <w:r w:rsidRPr="00E608FE">
        <w:rPr>
          <w:rFonts w:ascii="Book Antiqua" w:hAnsi="Book Antiqua"/>
          <w:b/>
          <w:bCs/>
        </w:rPr>
        <w:t xml:space="preserve"> H</w:t>
      </w:r>
      <w:r w:rsidRPr="00E608FE">
        <w:rPr>
          <w:rFonts w:ascii="Book Antiqua" w:hAnsi="Book Antiqua"/>
        </w:rPr>
        <w:t xml:space="preserve">, </w:t>
      </w:r>
      <w:proofErr w:type="spellStart"/>
      <w:r w:rsidRPr="00E608FE">
        <w:rPr>
          <w:rFonts w:ascii="Book Antiqua" w:hAnsi="Book Antiqua"/>
        </w:rPr>
        <w:t>Zdravkovic</w:t>
      </w:r>
      <w:proofErr w:type="spellEnd"/>
      <w:r w:rsidRPr="00E608FE">
        <w:rPr>
          <w:rFonts w:ascii="Book Antiqua" w:hAnsi="Book Antiqua"/>
        </w:rPr>
        <w:t xml:space="preserve"> V, </w:t>
      </w:r>
      <w:proofErr w:type="spellStart"/>
      <w:r w:rsidRPr="00E608FE">
        <w:rPr>
          <w:rFonts w:ascii="Book Antiqua" w:hAnsi="Book Antiqua"/>
        </w:rPr>
        <w:t>Giesinger</w:t>
      </w:r>
      <w:proofErr w:type="spellEnd"/>
      <w:r w:rsidRPr="00E608FE">
        <w:rPr>
          <w:rFonts w:ascii="Book Antiqua" w:hAnsi="Book Antiqua"/>
        </w:rPr>
        <w:t xml:space="preserve"> JM, </w:t>
      </w:r>
      <w:proofErr w:type="spellStart"/>
      <w:r w:rsidRPr="00E608FE">
        <w:rPr>
          <w:rFonts w:ascii="Book Antiqua" w:hAnsi="Book Antiqua"/>
        </w:rPr>
        <w:t>Giesinger</w:t>
      </w:r>
      <w:proofErr w:type="spellEnd"/>
      <w:r w:rsidRPr="00E608FE">
        <w:rPr>
          <w:rFonts w:ascii="Book Antiqua" w:hAnsi="Book Antiqua"/>
        </w:rPr>
        <w:t xml:space="preserve"> K. Joint awareness after ACL reconstruction: patient-reported outcomes measured with the Forgotten Joint Score-12. </w:t>
      </w:r>
      <w:r w:rsidRPr="00E608FE">
        <w:rPr>
          <w:rFonts w:ascii="Book Antiqua" w:hAnsi="Book Antiqua"/>
          <w:i/>
          <w:iCs/>
        </w:rPr>
        <w:t xml:space="preserve">Knee </w:t>
      </w:r>
      <w:proofErr w:type="spellStart"/>
      <w:r w:rsidRPr="00E608FE">
        <w:rPr>
          <w:rFonts w:ascii="Book Antiqua" w:hAnsi="Book Antiqua"/>
          <w:i/>
          <w:iCs/>
        </w:rPr>
        <w:t>Surg</w:t>
      </w:r>
      <w:proofErr w:type="spellEnd"/>
      <w:r w:rsidRPr="00E608FE">
        <w:rPr>
          <w:rFonts w:ascii="Book Antiqua" w:hAnsi="Book Antiqua"/>
          <w:i/>
          <w:iCs/>
        </w:rPr>
        <w:t xml:space="preserve"> Sports </w:t>
      </w:r>
      <w:proofErr w:type="spellStart"/>
      <w:r w:rsidRPr="00E608FE">
        <w:rPr>
          <w:rFonts w:ascii="Book Antiqua" w:hAnsi="Book Antiqua"/>
          <w:i/>
          <w:iCs/>
        </w:rPr>
        <w:t>Traumatol</w:t>
      </w:r>
      <w:proofErr w:type="spellEnd"/>
      <w:r w:rsidRPr="00E608FE">
        <w:rPr>
          <w:rFonts w:ascii="Book Antiqua" w:hAnsi="Book Antiqua"/>
          <w:i/>
          <w:iCs/>
        </w:rPr>
        <w:t xml:space="preserve"> </w:t>
      </w:r>
      <w:proofErr w:type="spellStart"/>
      <w:r w:rsidRPr="00E608FE">
        <w:rPr>
          <w:rFonts w:ascii="Book Antiqua" w:hAnsi="Book Antiqua"/>
          <w:i/>
          <w:iCs/>
        </w:rPr>
        <w:t>Arthrosc</w:t>
      </w:r>
      <w:proofErr w:type="spellEnd"/>
      <w:r w:rsidRPr="00E608FE">
        <w:rPr>
          <w:rFonts w:ascii="Book Antiqua" w:hAnsi="Book Antiqua"/>
        </w:rPr>
        <w:t> 2017; </w:t>
      </w:r>
      <w:r w:rsidRPr="00E608FE">
        <w:rPr>
          <w:rFonts w:ascii="Book Antiqua" w:hAnsi="Book Antiqua"/>
          <w:b/>
          <w:bCs/>
        </w:rPr>
        <w:t>25</w:t>
      </w:r>
      <w:r w:rsidRPr="00E608FE">
        <w:rPr>
          <w:rFonts w:ascii="Book Antiqua" w:hAnsi="Book Antiqua"/>
        </w:rPr>
        <w:t>: 1454-1460 [PMID: 27761622 DOI: 10.1007/s00167-016-4357-x]</w:t>
      </w:r>
    </w:p>
    <w:p w14:paraId="2DFE9DC0"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13 </w:t>
      </w:r>
      <w:r w:rsidRPr="00E608FE">
        <w:rPr>
          <w:rFonts w:ascii="Book Antiqua" w:hAnsi="Book Antiqua"/>
          <w:b/>
          <w:bCs/>
        </w:rPr>
        <w:t>Baumann F</w:t>
      </w:r>
      <w:r w:rsidRPr="00E608FE">
        <w:rPr>
          <w:rFonts w:ascii="Book Antiqua" w:hAnsi="Book Antiqua"/>
        </w:rPr>
        <w:t xml:space="preserve">, </w:t>
      </w:r>
      <w:proofErr w:type="spellStart"/>
      <w:r w:rsidRPr="00E608FE">
        <w:rPr>
          <w:rFonts w:ascii="Book Antiqua" w:hAnsi="Book Antiqua"/>
        </w:rPr>
        <w:t>Ernstberger</w:t>
      </w:r>
      <w:proofErr w:type="spellEnd"/>
      <w:r w:rsidRPr="00E608FE">
        <w:rPr>
          <w:rFonts w:ascii="Book Antiqua" w:hAnsi="Book Antiqua"/>
        </w:rPr>
        <w:t xml:space="preserve"> T, </w:t>
      </w:r>
      <w:proofErr w:type="spellStart"/>
      <w:r w:rsidRPr="00E608FE">
        <w:rPr>
          <w:rFonts w:ascii="Book Antiqua" w:hAnsi="Book Antiqua"/>
        </w:rPr>
        <w:t>Loibl</w:t>
      </w:r>
      <w:proofErr w:type="spellEnd"/>
      <w:r w:rsidRPr="00E608FE">
        <w:rPr>
          <w:rFonts w:ascii="Book Antiqua" w:hAnsi="Book Antiqua"/>
        </w:rPr>
        <w:t xml:space="preserve"> M, </w:t>
      </w:r>
      <w:proofErr w:type="spellStart"/>
      <w:r w:rsidRPr="00E608FE">
        <w:rPr>
          <w:rFonts w:ascii="Book Antiqua" w:hAnsi="Book Antiqua"/>
        </w:rPr>
        <w:t>Zeman</w:t>
      </w:r>
      <w:proofErr w:type="spellEnd"/>
      <w:r w:rsidRPr="00E608FE">
        <w:rPr>
          <w:rFonts w:ascii="Book Antiqua" w:hAnsi="Book Antiqua"/>
        </w:rPr>
        <w:t xml:space="preserve"> F,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Tibesku</w:t>
      </w:r>
      <w:proofErr w:type="spellEnd"/>
      <w:r w:rsidRPr="00E608FE">
        <w:rPr>
          <w:rFonts w:ascii="Book Antiqua" w:hAnsi="Book Antiqua"/>
        </w:rPr>
        <w:t xml:space="preserve"> C. Validation of the German Forgotten Joint Score (G-FJS) according to the COSMIN checklist: does a reduction in joint awareness indicate clinical improvement after arthroplasty of the knee? </w:t>
      </w:r>
      <w:r w:rsidRPr="00E608FE">
        <w:rPr>
          <w:rFonts w:ascii="Book Antiqua" w:hAnsi="Book Antiqua"/>
          <w:i/>
          <w:iCs/>
        </w:rPr>
        <w:t xml:space="preserve">Arch </w:t>
      </w:r>
      <w:proofErr w:type="spellStart"/>
      <w:r w:rsidRPr="00E608FE">
        <w:rPr>
          <w:rFonts w:ascii="Book Antiqua" w:hAnsi="Book Antiqua"/>
          <w:i/>
          <w:iCs/>
        </w:rPr>
        <w:t>Orthop</w:t>
      </w:r>
      <w:proofErr w:type="spellEnd"/>
      <w:r w:rsidRPr="00E608FE">
        <w:rPr>
          <w:rFonts w:ascii="Book Antiqua" w:hAnsi="Book Antiqua"/>
          <w:i/>
          <w:iCs/>
        </w:rPr>
        <w:t xml:space="preserve"> Trauma </w:t>
      </w:r>
      <w:proofErr w:type="spellStart"/>
      <w:r w:rsidRPr="00E608FE">
        <w:rPr>
          <w:rFonts w:ascii="Book Antiqua" w:hAnsi="Book Antiqua"/>
          <w:i/>
          <w:iCs/>
        </w:rPr>
        <w:t>Surg</w:t>
      </w:r>
      <w:proofErr w:type="spellEnd"/>
      <w:r w:rsidRPr="00E608FE">
        <w:rPr>
          <w:rFonts w:ascii="Book Antiqua" w:hAnsi="Book Antiqua"/>
        </w:rPr>
        <w:t> 2016; </w:t>
      </w:r>
      <w:r w:rsidRPr="00E608FE">
        <w:rPr>
          <w:rFonts w:ascii="Book Antiqua" w:hAnsi="Book Antiqua"/>
          <w:b/>
          <w:bCs/>
        </w:rPr>
        <w:t>136</w:t>
      </w:r>
      <w:r w:rsidRPr="00E608FE">
        <w:rPr>
          <w:rFonts w:ascii="Book Antiqua" w:hAnsi="Book Antiqua"/>
        </w:rPr>
        <w:t>: 257-264 [PMID: 26646846 DOI: 10.1007/s00402-015-2372-x]</w:t>
      </w:r>
    </w:p>
    <w:p w14:paraId="1BF69F3A"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14 </w:t>
      </w:r>
      <w:r w:rsidRPr="00E608FE">
        <w:rPr>
          <w:rFonts w:ascii="Book Antiqua" w:hAnsi="Book Antiqua"/>
          <w:b/>
          <w:bCs/>
        </w:rPr>
        <w:t>Baumann F</w:t>
      </w:r>
      <w:r w:rsidRPr="00E608FE">
        <w:rPr>
          <w:rFonts w:ascii="Book Antiqua" w:hAnsi="Book Antiqua"/>
        </w:rPr>
        <w:t xml:space="preserve">, Schmitz P, </w:t>
      </w:r>
      <w:proofErr w:type="spellStart"/>
      <w:r w:rsidRPr="00E608FE">
        <w:rPr>
          <w:rFonts w:ascii="Book Antiqua" w:hAnsi="Book Antiqua"/>
        </w:rPr>
        <w:t>Mahr</w:t>
      </w:r>
      <w:proofErr w:type="spellEnd"/>
      <w:r w:rsidRPr="00E608FE">
        <w:rPr>
          <w:rFonts w:ascii="Book Antiqua" w:hAnsi="Book Antiqua"/>
        </w:rPr>
        <w:t xml:space="preserve"> D, </w:t>
      </w:r>
      <w:proofErr w:type="spellStart"/>
      <w:r w:rsidRPr="00E608FE">
        <w:rPr>
          <w:rFonts w:ascii="Book Antiqua" w:hAnsi="Book Antiqua"/>
        </w:rPr>
        <w:t>Kerschbaum</w:t>
      </w:r>
      <w:proofErr w:type="spellEnd"/>
      <w:r w:rsidRPr="00E608FE">
        <w:rPr>
          <w:rFonts w:ascii="Book Antiqua" w:hAnsi="Book Antiqua"/>
        </w:rPr>
        <w:t xml:space="preserve"> M, </w:t>
      </w:r>
      <w:proofErr w:type="spellStart"/>
      <w:r w:rsidRPr="00E608FE">
        <w:rPr>
          <w:rFonts w:ascii="Book Antiqua" w:hAnsi="Book Antiqua"/>
        </w:rPr>
        <w:t>Gänsslen</w:t>
      </w:r>
      <w:proofErr w:type="spellEnd"/>
      <w:r w:rsidRPr="00E608FE">
        <w:rPr>
          <w:rFonts w:ascii="Book Antiqua" w:hAnsi="Book Antiqua"/>
        </w:rPr>
        <w:t xml:space="preserve"> A,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Worlicek</w:t>
      </w:r>
      <w:proofErr w:type="spellEnd"/>
      <w:r w:rsidRPr="00E608FE">
        <w:rPr>
          <w:rFonts w:ascii="Book Antiqua" w:hAnsi="Book Antiqua"/>
        </w:rPr>
        <w:t xml:space="preserve"> M. A guideline for placement of an infra-acetabular screw based on anatomic landmarks via an intra-pelvic approach. </w:t>
      </w:r>
      <w:r w:rsidRPr="00E608FE">
        <w:rPr>
          <w:rFonts w:ascii="Book Antiqua" w:hAnsi="Book Antiqua"/>
          <w:i/>
          <w:iCs/>
        </w:rPr>
        <w:t xml:space="preserve">J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Surg</w:t>
      </w:r>
      <w:proofErr w:type="spellEnd"/>
      <w:r w:rsidRPr="00E608FE">
        <w:rPr>
          <w:rFonts w:ascii="Book Antiqua" w:hAnsi="Book Antiqua"/>
          <w:i/>
          <w:iCs/>
        </w:rPr>
        <w:t xml:space="preserve"> Res</w:t>
      </w:r>
      <w:r w:rsidRPr="00E608FE">
        <w:rPr>
          <w:rFonts w:ascii="Book Antiqua" w:hAnsi="Book Antiqua"/>
        </w:rPr>
        <w:t> 2018; </w:t>
      </w:r>
      <w:r w:rsidRPr="00E608FE">
        <w:rPr>
          <w:rFonts w:ascii="Book Antiqua" w:hAnsi="Book Antiqua"/>
          <w:b/>
          <w:bCs/>
        </w:rPr>
        <w:t>13</w:t>
      </w:r>
      <w:r w:rsidRPr="00E608FE">
        <w:rPr>
          <w:rFonts w:ascii="Book Antiqua" w:hAnsi="Book Antiqua"/>
        </w:rPr>
        <w:t>: 77 [PMID: 29631637 DOI: 10.1186/s13018-018-0786-1]</w:t>
      </w:r>
    </w:p>
    <w:p w14:paraId="5F472AB1"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15 </w:t>
      </w:r>
      <w:proofErr w:type="spellStart"/>
      <w:r w:rsidRPr="00E608FE">
        <w:rPr>
          <w:rFonts w:ascii="Book Antiqua" w:hAnsi="Book Antiqua"/>
          <w:b/>
          <w:bCs/>
        </w:rPr>
        <w:t>Terwee</w:t>
      </w:r>
      <w:proofErr w:type="spellEnd"/>
      <w:r w:rsidRPr="00E608FE">
        <w:rPr>
          <w:rFonts w:ascii="Book Antiqua" w:hAnsi="Book Antiqua"/>
          <w:b/>
          <w:bCs/>
        </w:rPr>
        <w:t xml:space="preserve"> CB</w:t>
      </w:r>
      <w:r w:rsidRPr="00E608FE">
        <w:rPr>
          <w:rFonts w:ascii="Book Antiqua" w:hAnsi="Book Antiqua"/>
        </w:rPr>
        <w:t xml:space="preserve">, Bot SD, de Boer MR, van der </w:t>
      </w:r>
      <w:proofErr w:type="spellStart"/>
      <w:r w:rsidRPr="00E608FE">
        <w:rPr>
          <w:rFonts w:ascii="Book Antiqua" w:hAnsi="Book Antiqua"/>
        </w:rPr>
        <w:t>Windt</w:t>
      </w:r>
      <w:proofErr w:type="spellEnd"/>
      <w:r w:rsidRPr="00E608FE">
        <w:rPr>
          <w:rFonts w:ascii="Book Antiqua" w:hAnsi="Book Antiqua"/>
        </w:rPr>
        <w:t xml:space="preserve"> DA, </w:t>
      </w:r>
      <w:proofErr w:type="spellStart"/>
      <w:r w:rsidRPr="00E608FE">
        <w:rPr>
          <w:rFonts w:ascii="Book Antiqua" w:hAnsi="Book Antiqua"/>
        </w:rPr>
        <w:t>Knol</w:t>
      </w:r>
      <w:proofErr w:type="spellEnd"/>
      <w:r w:rsidRPr="00E608FE">
        <w:rPr>
          <w:rFonts w:ascii="Book Antiqua" w:hAnsi="Book Antiqua"/>
        </w:rPr>
        <w:t xml:space="preserve"> DL, Dekker J, </w:t>
      </w:r>
      <w:proofErr w:type="spellStart"/>
      <w:r w:rsidRPr="00E608FE">
        <w:rPr>
          <w:rFonts w:ascii="Book Antiqua" w:hAnsi="Book Antiqua"/>
        </w:rPr>
        <w:t>Bouter</w:t>
      </w:r>
      <w:proofErr w:type="spellEnd"/>
      <w:r w:rsidRPr="00E608FE">
        <w:rPr>
          <w:rFonts w:ascii="Book Antiqua" w:hAnsi="Book Antiqua"/>
        </w:rPr>
        <w:t xml:space="preserve"> LM, de Vet HC. Quality criteria were proposed for measurement properties of health status questionnaires. </w:t>
      </w:r>
      <w:r w:rsidRPr="00E608FE">
        <w:rPr>
          <w:rFonts w:ascii="Book Antiqua" w:hAnsi="Book Antiqua"/>
          <w:i/>
          <w:iCs/>
        </w:rPr>
        <w:t>J Clin Epidemiol</w:t>
      </w:r>
      <w:r w:rsidRPr="00E608FE">
        <w:rPr>
          <w:rFonts w:ascii="Book Antiqua" w:hAnsi="Book Antiqua"/>
        </w:rPr>
        <w:t> 2007; </w:t>
      </w:r>
      <w:r w:rsidRPr="00E608FE">
        <w:rPr>
          <w:rFonts w:ascii="Book Antiqua" w:hAnsi="Book Antiqua"/>
          <w:b/>
          <w:bCs/>
        </w:rPr>
        <w:t>60</w:t>
      </w:r>
      <w:r w:rsidRPr="00E608FE">
        <w:rPr>
          <w:rFonts w:ascii="Book Antiqua" w:hAnsi="Book Antiqua"/>
        </w:rPr>
        <w:t>: 34-42 [PMID: 17161752 DOI: 10.1016/j.jclinepi.2006.03.012]</w:t>
      </w:r>
    </w:p>
    <w:p w14:paraId="483DB219"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16 </w:t>
      </w:r>
      <w:proofErr w:type="spellStart"/>
      <w:r w:rsidRPr="00E608FE">
        <w:rPr>
          <w:rFonts w:ascii="Book Antiqua" w:hAnsi="Book Antiqua"/>
          <w:b/>
          <w:bCs/>
        </w:rPr>
        <w:t>Mokkink</w:t>
      </w:r>
      <w:proofErr w:type="spellEnd"/>
      <w:r w:rsidRPr="00E608FE">
        <w:rPr>
          <w:rFonts w:ascii="Book Antiqua" w:hAnsi="Book Antiqua"/>
          <w:b/>
          <w:bCs/>
        </w:rPr>
        <w:t xml:space="preserve"> LB</w:t>
      </w:r>
      <w:r w:rsidRPr="00E608FE">
        <w:rPr>
          <w:rFonts w:ascii="Book Antiqua" w:hAnsi="Book Antiqua"/>
        </w:rPr>
        <w:t xml:space="preserve">, </w:t>
      </w:r>
      <w:proofErr w:type="spellStart"/>
      <w:r w:rsidRPr="00E608FE">
        <w:rPr>
          <w:rFonts w:ascii="Book Antiqua" w:hAnsi="Book Antiqua"/>
        </w:rPr>
        <w:t>Terwee</w:t>
      </w:r>
      <w:proofErr w:type="spellEnd"/>
      <w:r w:rsidRPr="00E608FE">
        <w:rPr>
          <w:rFonts w:ascii="Book Antiqua" w:hAnsi="Book Antiqua"/>
        </w:rPr>
        <w:t xml:space="preserve"> CB, Patrick DL, Alonso J, Stratford PW, </w:t>
      </w:r>
      <w:proofErr w:type="spellStart"/>
      <w:r w:rsidRPr="00E608FE">
        <w:rPr>
          <w:rFonts w:ascii="Book Antiqua" w:hAnsi="Book Antiqua"/>
        </w:rPr>
        <w:t>Knol</w:t>
      </w:r>
      <w:proofErr w:type="spellEnd"/>
      <w:r w:rsidRPr="00E608FE">
        <w:rPr>
          <w:rFonts w:ascii="Book Antiqua" w:hAnsi="Book Antiqua"/>
        </w:rPr>
        <w:t xml:space="preserve"> DL, </w:t>
      </w:r>
      <w:proofErr w:type="spellStart"/>
      <w:r w:rsidRPr="00E608FE">
        <w:rPr>
          <w:rFonts w:ascii="Book Antiqua" w:hAnsi="Book Antiqua"/>
        </w:rPr>
        <w:t>Bouter</w:t>
      </w:r>
      <w:proofErr w:type="spellEnd"/>
      <w:r w:rsidRPr="00E608FE">
        <w:rPr>
          <w:rFonts w:ascii="Book Antiqua" w:hAnsi="Book Antiqua"/>
        </w:rPr>
        <w:t xml:space="preserve"> LM, de Vet HC. The COSMIN checklist for assessing the methodological quality of studies on measurement properties of health status measurement instruments: an international Delphi study. </w:t>
      </w:r>
      <w:r w:rsidRPr="00E608FE">
        <w:rPr>
          <w:rFonts w:ascii="Book Antiqua" w:hAnsi="Book Antiqua"/>
          <w:i/>
          <w:iCs/>
        </w:rPr>
        <w:t>Qual Life Res</w:t>
      </w:r>
      <w:r w:rsidRPr="00E608FE">
        <w:rPr>
          <w:rFonts w:ascii="Book Antiqua" w:hAnsi="Book Antiqua"/>
        </w:rPr>
        <w:t> 2010; </w:t>
      </w:r>
      <w:r w:rsidRPr="00E608FE">
        <w:rPr>
          <w:rFonts w:ascii="Book Antiqua" w:hAnsi="Book Antiqua"/>
          <w:b/>
          <w:bCs/>
        </w:rPr>
        <w:t>19</w:t>
      </w:r>
      <w:r w:rsidRPr="00E608FE">
        <w:rPr>
          <w:rFonts w:ascii="Book Antiqua" w:hAnsi="Book Antiqua"/>
        </w:rPr>
        <w:t>: 539-549 [PMID: 20169472 DOI: 10.1007/s11136-010-9606-8]</w:t>
      </w:r>
    </w:p>
    <w:p w14:paraId="01E65535"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17 </w:t>
      </w:r>
      <w:r w:rsidRPr="00E608FE">
        <w:rPr>
          <w:rFonts w:ascii="Book Antiqua" w:hAnsi="Book Antiqua"/>
          <w:b/>
          <w:bCs/>
        </w:rPr>
        <w:t>Matsumoto M</w:t>
      </w:r>
      <w:r w:rsidRPr="00E608FE">
        <w:rPr>
          <w:rFonts w:ascii="Book Antiqua" w:hAnsi="Book Antiqua"/>
        </w:rPr>
        <w:t>, Baba T, Homma Y, Kobayashi H, Ochi H, Yuasa T, Behrend H, Kaneko K. Validation study of the Forgotten Joint Score-12 as a universal patient-</w:t>
      </w:r>
      <w:r w:rsidRPr="00E608FE">
        <w:rPr>
          <w:rFonts w:ascii="Book Antiqua" w:hAnsi="Book Antiqua"/>
        </w:rPr>
        <w:lastRenderedPageBreak/>
        <w:t>reported outcome measure. </w:t>
      </w:r>
      <w:proofErr w:type="spellStart"/>
      <w:r w:rsidRPr="00E608FE">
        <w:rPr>
          <w:rFonts w:ascii="Book Antiqua" w:hAnsi="Book Antiqua"/>
          <w:i/>
          <w:iCs/>
        </w:rPr>
        <w:t>Eur</w:t>
      </w:r>
      <w:proofErr w:type="spellEnd"/>
      <w:r w:rsidRPr="00E608FE">
        <w:rPr>
          <w:rFonts w:ascii="Book Antiqua" w:hAnsi="Book Antiqua"/>
          <w:i/>
          <w:iCs/>
        </w:rPr>
        <w:t xml:space="preserve"> J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Surg</w:t>
      </w:r>
      <w:proofErr w:type="spellEnd"/>
      <w:r w:rsidRPr="00E608FE">
        <w:rPr>
          <w:rFonts w:ascii="Book Antiqua" w:hAnsi="Book Antiqua"/>
          <w:i/>
          <w:iCs/>
        </w:rPr>
        <w:t xml:space="preserve"> </w:t>
      </w:r>
      <w:proofErr w:type="spellStart"/>
      <w:r w:rsidRPr="00E608FE">
        <w:rPr>
          <w:rFonts w:ascii="Book Antiqua" w:hAnsi="Book Antiqua"/>
          <w:i/>
          <w:iCs/>
        </w:rPr>
        <w:t>Traumatol</w:t>
      </w:r>
      <w:proofErr w:type="spellEnd"/>
      <w:r w:rsidRPr="00E608FE">
        <w:rPr>
          <w:rFonts w:ascii="Book Antiqua" w:hAnsi="Book Antiqua"/>
        </w:rPr>
        <w:t> 2015; </w:t>
      </w:r>
      <w:r w:rsidRPr="00E608FE">
        <w:rPr>
          <w:rFonts w:ascii="Book Antiqua" w:hAnsi="Book Antiqua"/>
          <w:b/>
          <w:bCs/>
        </w:rPr>
        <w:t>25</w:t>
      </w:r>
      <w:r w:rsidRPr="00E608FE">
        <w:rPr>
          <w:rFonts w:ascii="Book Antiqua" w:hAnsi="Book Antiqua"/>
        </w:rPr>
        <w:t>: 1141-1145 [PMID: 26148699 DOI: 10.1007/s00590-015-1660-z]</w:t>
      </w:r>
    </w:p>
    <w:p w14:paraId="7C5F89D9"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18 </w:t>
      </w:r>
      <w:proofErr w:type="spellStart"/>
      <w:r w:rsidRPr="00E608FE">
        <w:rPr>
          <w:rFonts w:ascii="Book Antiqua" w:hAnsi="Book Antiqua"/>
          <w:b/>
          <w:bCs/>
        </w:rPr>
        <w:t>Shadid</w:t>
      </w:r>
      <w:proofErr w:type="spellEnd"/>
      <w:r w:rsidRPr="00E608FE">
        <w:rPr>
          <w:rFonts w:ascii="Book Antiqua" w:hAnsi="Book Antiqua"/>
          <w:b/>
          <w:bCs/>
        </w:rPr>
        <w:t xml:space="preserve"> MB</w:t>
      </w:r>
      <w:r w:rsidRPr="00E608FE">
        <w:rPr>
          <w:rFonts w:ascii="Book Antiqua" w:hAnsi="Book Antiqua"/>
        </w:rPr>
        <w:t xml:space="preserve">, </w:t>
      </w:r>
      <w:proofErr w:type="spellStart"/>
      <w:r w:rsidRPr="00E608FE">
        <w:rPr>
          <w:rFonts w:ascii="Book Antiqua" w:hAnsi="Book Antiqua"/>
        </w:rPr>
        <w:t>Vinken</w:t>
      </w:r>
      <w:proofErr w:type="spellEnd"/>
      <w:r w:rsidRPr="00E608FE">
        <w:rPr>
          <w:rFonts w:ascii="Book Antiqua" w:hAnsi="Book Antiqua"/>
        </w:rPr>
        <w:t xml:space="preserve"> NS, </w:t>
      </w:r>
      <w:proofErr w:type="spellStart"/>
      <w:r w:rsidRPr="00E608FE">
        <w:rPr>
          <w:rFonts w:ascii="Book Antiqua" w:hAnsi="Book Antiqua"/>
        </w:rPr>
        <w:t>Marting</w:t>
      </w:r>
      <w:proofErr w:type="spellEnd"/>
      <w:r w:rsidRPr="00E608FE">
        <w:rPr>
          <w:rFonts w:ascii="Book Antiqua" w:hAnsi="Book Antiqua"/>
        </w:rPr>
        <w:t xml:space="preserve"> LN, </w:t>
      </w:r>
      <w:proofErr w:type="spellStart"/>
      <w:r w:rsidRPr="00E608FE">
        <w:rPr>
          <w:rFonts w:ascii="Book Antiqua" w:hAnsi="Book Antiqua"/>
        </w:rPr>
        <w:t>Wolterbeek</w:t>
      </w:r>
      <w:proofErr w:type="spellEnd"/>
      <w:r w:rsidRPr="00E608FE">
        <w:rPr>
          <w:rFonts w:ascii="Book Antiqua" w:hAnsi="Book Antiqua"/>
        </w:rPr>
        <w:t xml:space="preserve"> N. The Dutch version of the Forgotten Joint Score: test-retesting reliability and validation. </w:t>
      </w:r>
      <w:proofErr w:type="spellStart"/>
      <w:r w:rsidRPr="00E608FE">
        <w:rPr>
          <w:rFonts w:ascii="Book Antiqua" w:hAnsi="Book Antiqua"/>
          <w:i/>
          <w:iCs/>
        </w:rPr>
        <w:t>Acta</w:t>
      </w:r>
      <w:proofErr w:type="spellEnd"/>
      <w:r w:rsidRPr="00E608FE">
        <w:rPr>
          <w:rFonts w:ascii="Book Antiqua" w:hAnsi="Book Antiqua"/>
          <w:i/>
          <w:iCs/>
        </w:rPr>
        <w:t xml:space="preserve">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Belg</w:t>
      </w:r>
      <w:proofErr w:type="spellEnd"/>
      <w:r w:rsidRPr="00E608FE">
        <w:rPr>
          <w:rFonts w:ascii="Book Antiqua" w:hAnsi="Book Antiqua"/>
        </w:rPr>
        <w:t> 2016; </w:t>
      </w:r>
      <w:r w:rsidRPr="00E608FE">
        <w:rPr>
          <w:rFonts w:ascii="Book Antiqua" w:hAnsi="Book Antiqua"/>
          <w:b/>
          <w:bCs/>
        </w:rPr>
        <w:t>82</w:t>
      </w:r>
      <w:r w:rsidRPr="00E608FE">
        <w:rPr>
          <w:rFonts w:ascii="Book Antiqua" w:hAnsi="Book Antiqua"/>
        </w:rPr>
        <w:t>: 112-118 [PMID: 26984663]</w:t>
      </w:r>
    </w:p>
    <w:p w14:paraId="7838417E"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19 </w:t>
      </w:r>
      <w:r w:rsidRPr="00E608FE">
        <w:rPr>
          <w:rFonts w:ascii="Book Antiqua" w:hAnsi="Book Antiqua"/>
          <w:b/>
          <w:bCs/>
        </w:rPr>
        <w:t>Baumann F</w:t>
      </w:r>
      <w:r w:rsidRPr="00E608FE">
        <w:rPr>
          <w:rFonts w:ascii="Book Antiqua" w:hAnsi="Book Antiqua"/>
        </w:rPr>
        <w:t xml:space="preserve">, </w:t>
      </w:r>
      <w:proofErr w:type="spellStart"/>
      <w:r w:rsidRPr="00E608FE">
        <w:rPr>
          <w:rFonts w:ascii="Book Antiqua" w:hAnsi="Book Antiqua"/>
        </w:rPr>
        <w:t>Krutsch</w:t>
      </w:r>
      <w:proofErr w:type="spellEnd"/>
      <w:r w:rsidRPr="00E608FE">
        <w:rPr>
          <w:rFonts w:ascii="Book Antiqua" w:hAnsi="Book Antiqua"/>
        </w:rPr>
        <w:t xml:space="preserve"> W, </w:t>
      </w:r>
      <w:proofErr w:type="spellStart"/>
      <w:r w:rsidRPr="00E608FE">
        <w:rPr>
          <w:rFonts w:ascii="Book Antiqua" w:hAnsi="Book Antiqua"/>
        </w:rPr>
        <w:t>Worlicek</w:t>
      </w:r>
      <w:proofErr w:type="spellEnd"/>
      <w:r w:rsidRPr="00E608FE">
        <w:rPr>
          <w:rFonts w:ascii="Book Antiqua" w:hAnsi="Book Antiqua"/>
        </w:rPr>
        <w:t xml:space="preserve"> M, </w:t>
      </w:r>
      <w:proofErr w:type="spellStart"/>
      <w:r w:rsidRPr="00E608FE">
        <w:rPr>
          <w:rFonts w:ascii="Book Antiqua" w:hAnsi="Book Antiqua"/>
        </w:rPr>
        <w:t>Kerschbaum</w:t>
      </w:r>
      <w:proofErr w:type="spellEnd"/>
      <w:r w:rsidRPr="00E608FE">
        <w:rPr>
          <w:rFonts w:ascii="Book Antiqua" w:hAnsi="Book Antiqua"/>
        </w:rPr>
        <w:t xml:space="preserve"> M, </w:t>
      </w:r>
      <w:proofErr w:type="spellStart"/>
      <w:r w:rsidRPr="00E608FE">
        <w:rPr>
          <w:rFonts w:ascii="Book Antiqua" w:hAnsi="Book Antiqua"/>
        </w:rPr>
        <w:t>Zellner</w:t>
      </w:r>
      <w:proofErr w:type="spellEnd"/>
      <w:r w:rsidRPr="00E608FE">
        <w:rPr>
          <w:rFonts w:ascii="Book Antiqua" w:hAnsi="Book Antiqua"/>
        </w:rPr>
        <w:t xml:space="preserve"> J, Schmitz P,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Tibesku</w:t>
      </w:r>
      <w:proofErr w:type="spellEnd"/>
      <w:r w:rsidRPr="00E608FE">
        <w:rPr>
          <w:rFonts w:ascii="Book Antiqua" w:hAnsi="Book Antiqua"/>
        </w:rPr>
        <w:t xml:space="preserve"> C. Reduced joint-awareness in </w:t>
      </w:r>
      <w:proofErr w:type="spellStart"/>
      <w:r w:rsidRPr="00E608FE">
        <w:rPr>
          <w:rFonts w:ascii="Book Antiqua" w:hAnsi="Book Antiqua"/>
        </w:rPr>
        <w:t>bicruciate</w:t>
      </w:r>
      <w:proofErr w:type="spellEnd"/>
      <w:r w:rsidRPr="00E608FE">
        <w:rPr>
          <w:rFonts w:ascii="Book Antiqua" w:hAnsi="Book Antiqua"/>
        </w:rPr>
        <w:t>-retaining total knee arthroplasty compared to cruciate-sacrificing total knee arthroplasty. </w:t>
      </w:r>
      <w:r w:rsidRPr="00E608FE">
        <w:rPr>
          <w:rFonts w:ascii="Book Antiqua" w:hAnsi="Book Antiqua"/>
          <w:i/>
          <w:iCs/>
        </w:rPr>
        <w:t xml:space="preserve">Arch </w:t>
      </w:r>
      <w:proofErr w:type="spellStart"/>
      <w:r w:rsidRPr="00E608FE">
        <w:rPr>
          <w:rFonts w:ascii="Book Antiqua" w:hAnsi="Book Antiqua"/>
          <w:i/>
          <w:iCs/>
        </w:rPr>
        <w:t>Orthop</w:t>
      </w:r>
      <w:proofErr w:type="spellEnd"/>
      <w:r w:rsidRPr="00E608FE">
        <w:rPr>
          <w:rFonts w:ascii="Book Antiqua" w:hAnsi="Book Antiqua"/>
          <w:i/>
          <w:iCs/>
        </w:rPr>
        <w:t xml:space="preserve"> Trauma </w:t>
      </w:r>
      <w:proofErr w:type="spellStart"/>
      <w:r w:rsidRPr="00E608FE">
        <w:rPr>
          <w:rFonts w:ascii="Book Antiqua" w:hAnsi="Book Antiqua"/>
          <w:i/>
          <w:iCs/>
        </w:rPr>
        <w:t>Surg</w:t>
      </w:r>
      <w:proofErr w:type="spellEnd"/>
      <w:r w:rsidRPr="00E608FE">
        <w:rPr>
          <w:rFonts w:ascii="Book Antiqua" w:hAnsi="Book Antiqua"/>
        </w:rPr>
        <w:t> 2018; </w:t>
      </w:r>
      <w:r w:rsidRPr="00E608FE">
        <w:rPr>
          <w:rFonts w:ascii="Book Antiqua" w:hAnsi="Book Antiqua"/>
          <w:b/>
          <w:bCs/>
        </w:rPr>
        <w:t>138</w:t>
      </w:r>
      <w:r w:rsidRPr="00E608FE">
        <w:rPr>
          <w:rFonts w:ascii="Book Antiqua" w:hAnsi="Book Antiqua"/>
        </w:rPr>
        <w:t>: 273-279 [PMID: 29124363 DOI: 10.1007/s00402-017-2839-z]</w:t>
      </w:r>
    </w:p>
    <w:p w14:paraId="213572B1"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20 </w:t>
      </w:r>
      <w:r w:rsidRPr="00E608FE">
        <w:rPr>
          <w:rFonts w:ascii="Book Antiqua" w:hAnsi="Book Antiqua"/>
          <w:b/>
          <w:bCs/>
        </w:rPr>
        <w:t>Bellamy N</w:t>
      </w:r>
      <w:r w:rsidRPr="00E608FE">
        <w:rPr>
          <w:rFonts w:ascii="Book Antiqua" w:hAnsi="Book Antiqua"/>
        </w:rPr>
        <w:t>, Buchanan WW, Goldsmith CH, Campbell J, Stitt LW. Validation study of WOMAC: a health status instrument for measuring clinically important patient relevant outcomes to antirheumatic drug therapy in patients with osteoarthritis of the hip or knee. </w:t>
      </w:r>
      <w:r w:rsidRPr="00E608FE">
        <w:rPr>
          <w:rFonts w:ascii="Book Antiqua" w:hAnsi="Book Antiqua"/>
          <w:i/>
          <w:iCs/>
        </w:rPr>
        <w:t xml:space="preserve">J </w:t>
      </w:r>
      <w:proofErr w:type="spellStart"/>
      <w:r w:rsidRPr="00E608FE">
        <w:rPr>
          <w:rFonts w:ascii="Book Antiqua" w:hAnsi="Book Antiqua"/>
          <w:i/>
          <w:iCs/>
        </w:rPr>
        <w:t>Rheumatol</w:t>
      </w:r>
      <w:proofErr w:type="spellEnd"/>
      <w:r w:rsidRPr="00E608FE">
        <w:rPr>
          <w:rFonts w:ascii="Book Antiqua" w:hAnsi="Book Antiqua"/>
        </w:rPr>
        <w:t> 1988; </w:t>
      </w:r>
      <w:r w:rsidRPr="00E608FE">
        <w:rPr>
          <w:rFonts w:ascii="Book Antiqua" w:hAnsi="Book Antiqua"/>
          <w:b/>
          <w:bCs/>
        </w:rPr>
        <w:t>15</w:t>
      </w:r>
      <w:r w:rsidRPr="00E608FE">
        <w:rPr>
          <w:rFonts w:ascii="Book Antiqua" w:hAnsi="Book Antiqua"/>
        </w:rPr>
        <w:t>: 1833-1840 [PMID: 3068365]</w:t>
      </w:r>
    </w:p>
    <w:p w14:paraId="1A7DA3C7"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21 </w:t>
      </w:r>
      <w:r w:rsidRPr="00E608FE">
        <w:rPr>
          <w:rFonts w:ascii="Book Antiqua" w:hAnsi="Book Antiqua"/>
          <w:b/>
          <w:bCs/>
        </w:rPr>
        <w:t>Stucki G</w:t>
      </w:r>
      <w:r w:rsidRPr="00E608FE">
        <w:rPr>
          <w:rFonts w:ascii="Book Antiqua" w:hAnsi="Book Antiqua"/>
        </w:rPr>
        <w:t>, Meier D, Stucki S, Michel BA, Tyndall AG, Dick W, Theiler R. [Evaluation of a German version of WOMAC (Western Ontario and McMaster Universities) Arthrosis Index]. </w:t>
      </w:r>
      <w:r w:rsidRPr="00E608FE">
        <w:rPr>
          <w:rFonts w:ascii="Book Antiqua" w:hAnsi="Book Antiqua"/>
          <w:i/>
          <w:iCs/>
        </w:rPr>
        <w:t xml:space="preserve">Z </w:t>
      </w:r>
      <w:proofErr w:type="spellStart"/>
      <w:r w:rsidRPr="00E608FE">
        <w:rPr>
          <w:rFonts w:ascii="Book Antiqua" w:hAnsi="Book Antiqua"/>
          <w:i/>
          <w:iCs/>
        </w:rPr>
        <w:t>Rheumatol</w:t>
      </w:r>
      <w:proofErr w:type="spellEnd"/>
      <w:r w:rsidRPr="00E608FE">
        <w:rPr>
          <w:rFonts w:ascii="Book Antiqua" w:hAnsi="Book Antiqua"/>
        </w:rPr>
        <w:t> 1996; </w:t>
      </w:r>
      <w:r w:rsidRPr="00E608FE">
        <w:rPr>
          <w:rFonts w:ascii="Book Antiqua" w:hAnsi="Book Antiqua"/>
          <w:b/>
          <w:bCs/>
        </w:rPr>
        <w:t>55</w:t>
      </w:r>
      <w:r w:rsidRPr="00E608FE">
        <w:rPr>
          <w:rFonts w:ascii="Book Antiqua" w:hAnsi="Book Antiqua"/>
        </w:rPr>
        <w:t>: 40-49 [PMID: 8868149]</w:t>
      </w:r>
    </w:p>
    <w:p w14:paraId="6100DAF7"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22 </w:t>
      </w:r>
      <w:proofErr w:type="spellStart"/>
      <w:r w:rsidRPr="00E608FE">
        <w:rPr>
          <w:rFonts w:ascii="Book Antiqua" w:hAnsi="Book Antiqua"/>
          <w:b/>
          <w:bCs/>
        </w:rPr>
        <w:t>Tegner</w:t>
      </w:r>
      <w:proofErr w:type="spellEnd"/>
      <w:r w:rsidRPr="00E608FE">
        <w:rPr>
          <w:rFonts w:ascii="Book Antiqua" w:hAnsi="Book Antiqua"/>
          <w:b/>
          <w:bCs/>
        </w:rPr>
        <w:t xml:space="preserve"> Y</w:t>
      </w:r>
      <w:r w:rsidRPr="00E608FE">
        <w:rPr>
          <w:rFonts w:ascii="Book Antiqua" w:hAnsi="Book Antiqua"/>
        </w:rPr>
        <w:t xml:space="preserve">, </w:t>
      </w:r>
      <w:proofErr w:type="spellStart"/>
      <w:r w:rsidRPr="00E608FE">
        <w:rPr>
          <w:rFonts w:ascii="Book Antiqua" w:hAnsi="Book Antiqua"/>
        </w:rPr>
        <w:t>Lysholm</w:t>
      </w:r>
      <w:proofErr w:type="spellEnd"/>
      <w:r w:rsidRPr="00E608FE">
        <w:rPr>
          <w:rFonts w:ascii="Book Antiqua" w:hAnsi="Book Antiqua"/>
        </w:rPr>
        <w:t xml:space="preserve"> J. Rating systems in the evaluation of knee ligament injuries. </w:t>
      </w:r>
      <w:proofErr w:type="spellStart"/>
      <w:r w:rsidRPr="00E608FE">
        <w:rPr>
          <w:rFonts w:ascii="Book Antiqua" w:hAnsi="Book Antiqua"/>
          <w:i/>
          <w:iCs/>
        </w:rPr>
        <w:t>Clin</w:t>
      </w:r>
      <w:proofErr w:type="spellEnd"/>
      <w:r w:rsidRPr="00E608FE">
        <w:rPr>
          <w:rFonts w:ascii="Book Antiqua" w:hAnsi="Book Antiqua"/>
          <w:i/>
          <w:iCs/>
        </w:rPr>
        <w:t xml:space="preserve">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Relat</w:t>
      </w:r>
      <w:proofErr w:type="spellEnd"/>
      <w:r w:rsidRPr="00E608FE">
        <w:rPr>
          <w:rFonts w:ascii="Book Antiqua" w:hAnsi="Book Antiqua"/>
          <w:i/>
          <w:iCs/>
        </w:rPr>
        <w:t xml:space="preserve"> Res</w:t>
      </w:r>
      <w:r w:rsidRPr="00E608FE">
        <w:rPr>
          <w:rFonts w:ascii="Book Antiqua" w:hAnsi="Book Antiqua"/>
        </w:rPr>
        <w:t> 1985: 43-49 [PMID: 4028566 DOI: 10.1097/00003086-198509000-00007]</w:t>
      </w:r>
    </w:p>
    <w:p w14:paraId="78DD0F1E"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23 </w:t>
      </w:r>
      <w:proofErr w:type="spellStart"/>
      <w:r w:rsidRPr="00E608FE">
        <w:rPr>
          <w:rFonts w:ascii="Book Antiqua" w:hAnsi="Book Antiqua"/>
          <w:b/>
          <w:bCs/>
        </w:rPr>
        <w:t>Swanenburg</w:t>
      </w:r>
      <w:proofErr w:type="spellEnd"/>
      <w:r w:rsidRPr="00E608FE">
        <w:rPr>
          <w:rFonts w:ascii="Book Antiqua" w:hAnsi="Book Antiqua"/>
          <w:b/>
          <w:bCs/>
        </w:rPr>
        <w:t xml:space="preserve"> J</w:t>
      </w:r>
      <w:r w:rsidRPr="00E608FE">
        <w:rPr>
          <w:rFonts w:ascii="Book Antiqua" w:hAnsi="Book Antiqua"/>
        </w:rPr>
        <w:t xml:space="preserve">, Koch PP, Meier N, Wirth B. Function and activity in patients with knee arthroplasty: validity and reliability of a German version of the </w:t>
      </w:r>
      <w:proofErr w:type="spellStart"/>
      <w:r w:rsidRPr="00E608FE">
        <w:rPr>
          <w:rFonts w:ascii="Book Antiqua" w:hAnsi="Book Antiqua"/>
        </w:rPr>
        <w:t>Lysholm</w:t>
      </w:r>
      <w:proofErr w:type="spellEnd"/>
      <w:r w:rsidRPr="00E608FE">
        <w:rPr>
          <w:rFonts w:ascii="Book Antiqua" w:hAnsi="Book Antiqua"/>
        </w:rPr>
        <w:t xml:space="preserve"> Score and the </w:t>
      </w:r>
      <w:proofErr w:type="spellStart"/>
      <w:r w:rsidRPr="00E608FE">
        <w:rPr>
          <w:rFonts w:ascii="Book Antiqua" w:hAnsi="Book Antiqua"/>
        </w:rPr>
        <w:t>Tegner</w:t>
      </w:r>
      <w:proofErr w:type="spellEnd"/>
      <w:r w:rsidRPr="00E608FE">
        <w:rPr>
          <w:rFonts w:ascii="Book Antiqua" w:hAnsi="Book Antiqua"/>
        </w:rPr>
        <w:t xml:space="preserve"> Activity Scale. </w:t>
      </w:r>
      <w:r w:rsidRPr="00E608FE">
        <w:rPr>
          <w:rFonts w:ascii="Book Antiqua" w:hAnsi="Book Antiqua"/>
          <w:i/>
          <w:iCs/>
        </w:rPr>
        <w:t xml:space="preserve">Swiss Med </w:t>
      </w:r>
      <w:proofErr w:type="spellStart"/>
      <w:r w:rsidRPr="00E608FE">
        <w:rPr>
          <w:rFonts w:ascii="Book Antiqua" w:hAnsi="Book Antiqua"/>
          <w:i/>
          <w:iCs/>
        </w:rPr>
        <w:t>Wkly</w:t>
      </w:r>
      <w:proofErr w:type="spellEnd"/>
      <w:r w:rsidRPr="00E608FE">
        <w:rPr>
          <w:rFonts w:ascii="Book Antiqua" w:hAnsi="Book Antiqua"/>
        </w:rPr>
        <w:t> 2014; </w:t>
      </w:r>
      <w:r w:rsidRPr="00E608FE">
        <w:rPr>
          <w:rFonts w:ascii="Book Antiqua" w:hAnsi="Book Antiqua"/>
          <w:b/>
          <w:bCs/>
        </w:rPr>
        <w:t>144</w:t>
      </w:r>
      <w:r w:rsidRPr="00E608FE">
        <w:rPr>
          <w:rFonts w:ascii="Book Antiqua" w:hAnsi="Book Antiqua"/>
        </w:rPr>
        <w:t>: w13976 [PMID: 24921654 DOI: 10.4414/smw.2014.13976]</w:t>
      </w:r>
    </w:p>
    <w:p w14:paraId="5399E67C"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24 </w:t>
      </w:r>
      <w:r w:rsidRPr="00E608FE">
        <w:rPr>
          <w:rFonts w:ascii="Book Antiqua" w:hAnsi="Book Antiqua"/>
          <w:b/>
          <w:bCs/>
        </w:rPr>
        <w:t>Rabin R</w:t>
      </w:r>
      <w:r w:rsidRPr="00E608FE">
        <w:rPr>
          <w:rFonts w:ascii="Book Antiqua" w:hAnsi="Book Antiqua"/>
        </w:rPr>
        <w:t xml:space="preserve">, de Charro F. EQ-5D: a measure of health status from the </w:t>
      </w:r>
      <w:proofErr w:type="spellStart"/>
      <w:r w:rsidRPr="00E608FE">
        <w:rPr>
          <w:rFonts w:ascii="Book Antiqua" w:hAnsi="Book Antiqua"/>
        </w:rPr>
        <w:t>EuroQol</w:t>
      </w:r>
      <w:proofErr w:type="spellEnd"/>
      <w:r w:rsidRPr="00E608FE">
        <w:rPr>
          <w:rFonts w:ascii="Book Antiqua" w:hAnsi="Book Antiqua"/>
        </w:rPr>
        <w:t xml:space="preserve"> Group. </w:t>
      </w:r>
      <w:r w:rsidRPr="00E608FE">
        <w:rPr>
          <w:rFonts w:ascii="Book Antiqua" w:hAnsi="Book Antiqua"/>
          <w:i/>
          <w:iCs/>
        </w:rPr>
        <w:t>Ann Med</w:t>
      </w:r>
      <w:r w:rsidRPr="00E608FE">
        <w:rPr>
          <w:rFonts w:ascii="Book Antiqua" w:hAnsi="Book Antiqua"/>
        </w:rPr>
        <w:t> 2001; </w:t>
      </w:r>
      <w:r w:rsidRPr="00E608FE">
        <w:rPr>
          <w:rFonts w:ascii="Book Antiqua" w:hAnsi="Book Antiqua"/>
          <w:b/>
          <w:bCs/>
        </w:rPr>
        <w:t>33</w:t>
      </w:r>
      <w:r w:rsidRPr="00E608FE">
        <w:rPr>
          <w:rFonts w:ascii="Book Antiqua" w:hAnsi="Book Antiqua"/>
        </w:rPr>
        <w:t>: 337-343 [PMID: 11491192 DOI: 10.3109/07853890109002087]</w:t>
      </w:r>
    </w:p>
    <w:p w14:paraId="522C1529"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541E7B">
        <w:rPr>
          <w:rFonts w:ascii="Book Antiqua" w:hAnsi="Book Antiqua"/>
          <w:lang w:val="de-DE"/>
        </w:rPr>
        <w:t>25 </w:t>
      </w:r>
      <w:r w:rsidRPr="00541E7B">
        <w:rPr>
          <w:rFonts w:ascii="Book Antiqua" w:hAnsi="Book Antiqua"/>
          <w:b/>
          <w:bCs/>
          <w:lang w:val="de-DE"/>
        </w:rPr>
        <w:t>Greiner W</w:t>
      </w:r>
      <w:r w:rsidRPr="00541E7B">
        <w:rPr>
          <w:rFonts w:ascii="Book Antiqua" w:hAnsi="Book Antiqua"/>
          <w:lang w:val="de-DE"/>
        </w:rPr>
        <w:t xml:space="preserve">, Claes C, Busschbach JJ, von der Schulenburg JM. </w:t>
      </w:r>
      <w:r w:rsidRPr="00E608FE">
        <w:rPr>
          <w:rFonts w:ascii="Book Antiqua" w:hAnsi="Book Antiqua"/>
        </w:rPr>
        <w:t xml:space="preserve">Validating the EQ-5D with time </w:t>
      </w:r>
      <w:proofErr w:type="spellStart"/>
      <w:r w:rsidRPr="00E608FE">
        <w:rPr>
          <w:rFonts w:ascii="Book Antiqua" w:hAnsi="Book Antiqua"/>
        </w:rPr>
        <w:t>trade off</w:t>
      </w:r>
      <w:proofErr w:type="spellEnd"/>
      <w:r w:rsidRPr="00E608FE">
        <w:rPr>
          <w:rFonts w:ascii="Book Antiqua" w:hAnsi="Book Antiqua"/>
        </w:rPr>
        <w:t xml:space="preserve"> for the German population. </w:t>
      </w:r>
      <w:r w:rsidRPr="00E608FE">
        <w:rPr>
          <w:rFonts w:ascii="Book Antiqua" w:hAnsi="Book Antiqua"/>
          <w:i/>
          <w:iCs/>
        </w:rPr>
        <w:t>Eur J Health Econ</w:t>
      </w:r>
      <w:r w:rsidRPr="00E608FE">
        <w:rPr>
          <w:rFonts w:ascii="Book Antiqua" w:hAnsi="Book Antiqua"/>
        </w:rPr>
        <w:t> 2005; </w:t>
      </w:r>
      <w:r w:rsidRPr="00E608FE">
        <w:rPr>
          <w:rFonts w:ascii="Book Antiqua" w:hAnsi="Book Antiqua"/>
          <w:b/>
          <w:bCs/>
        </w:rPr>
        <w:t>6</w:t>
      </w:r>
      <w:r w:rsidRPr="00E608FE">
        <w:rPr>
          <w:rFonts w:ascii="Book Antiqua" w:hAnsi="Book Antiqua"/>
        </w:rPr>
        <w:t>: 124-130 [PMID: 19787848 DOI: 10.1007/s10198-004-0264-z]</w:t>
      </w:r>
    </w:p>
    <w:p w14:paraId="0034B83D"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lastRenderedPageBreak/>
        <w:t>26 </w:t>
      </w:r>
      <w:r w:rsidRPr="00E608FE">
        <w:rPr>
          <w:rFonts w:ascii="Book Antiqua" w:hAnsi="Book Antiqua"/>
          <w:b/>
          <w:bCs/>
        </w:rPr>
        <w:t>Mears DC</w:t>
      </w:r>
      <w:r w:rsidRPr="00E608FE">
        <w:rPr>
          <w:rFonts w:ascii="Book Antiqua" w:hAnsi="Book Antiqua"/>
        </w:rPr>
        <w:t xml:space="preserve">, </w:t>
      </w:r>
      <w:proofErr w:type="spellStart"/>
      <w:r w:rsidRPr="00E608FE">
        <w:rPr>
          <w:rFonts w:ascii="Book Antiqua" w:hAnsi="Book Antiqua"/>
        </w:rPr>
        <w:t>Velyvis</w:t>
      </w:r>
      <w:proofErr w:type="spellEnd"/>
      <w:r w:rsidRPr="00E608FE">
        <w:rPr>
          <w:rFonts w:ascii="Book Antiqua" w:hAnsi="Book Antiqua"/>
        </w:rPr>
        <w:t xml:space="preserve"> JH, Chang CP. Displaced acetabular fractures managed operatively: indicators of outcome. </w:t>
      </w:r>
      <w:proofErr w:type="spellStart"/>
      <w:r w:rsidRPr="00E608FE">
        <w:rPr>
          <w:rFonts w:ascii="Book Antiqua" w:hAnsi="Book Antiqua"/>
          <w:i/>
          <w:iCs/>
        </w:rPr>
        <w:t>Clin</w:t>
      </w:r>
      <w:proofErr w:type="spellEnd"/>
      <w:r w:rsidRPr="00E608FE">
        <w:rPr>
          <w:rFonts w:ascii="Book Antiqua" w:hAnsi="Book Antiqua"/>
          <w:i/>
          <w:iCs/>
        </w:rPr>
        <w:t xml:space="preserve">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Relat</w:t>
      </w:r>
      <w:proofErr w:type="spellEnd"/>
      <w:r w:rsidRPr="00E608FE">
        <w:rPr>
          <w:rFonts w:ascii="Book Antiqua" w:hAnsi="Book Antiqua"/>
          <w:i/>
          <w:iCs/>
        </w:rPr>
        <w:t xml:space="preserve"> Res</w:t>
      </w:r>
      <w:r w:rsidRPr="00E608FE">
        <w:rPr>
          <w:rFonts w:ascii="Book Antiqua" w:hAnsi="Book Antiqua"/>
        </w:rPr>
        <w:t> 2003: 173-186 [PMID: 12567145 DOI: 10.1097/00003086-200302000-00026]</w:t>
      </w:r>
    </w:p>
    <w:p w14:paraId="018CB6AF"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27 </w:t>
      </w:r>
      <w:r w:rsidRPr="00E608FE">
        <w:rPr>
          <w:rFonts w:ascii="Book Antiqua" w:hAnsi="Book Antiqua"/>
          <w:b/>
          <w:bCs/>
        </w:rPr>
        <w:t>Baker G</w:t>
      </w:r>
      <w:r w:rsidRPr="00E608FE">
        <w:rPr>
          <w:rFonts w:ascii="Book Antiqua" w:hAnsi="Book Antiqua"/>
        </w:rPr>
        <w:t>, McMahon SE, Warnock M, Johnston A, Cusick LA. Outcomes of conservatively managed complex acetabular fractures in the frail and elderly one year post injury. </w:t>
      </w:r>
      <w:r w:rsidRPr="00E608FE">
        <w:rPr>
          <w:rFonts w:ascii="Book Antiqua" w:hAnsi="Book Antiqua"/>
          <w:i/>
          <w:iCs/>
        </w:rPr>
        <w:t>Injury</w:t>
      </w:r>
      <w:r w:rsidRPr="00E608FE">
        <w:rPr>
          <w:rFonts w:ascii="Book Antiqua" w:hAnsi="Book Antiqua"/>
        </w:rPr>
        <w:t> 2020; </w:t>
      </w:r>
      <w:r w:rsidRPr="00E608FE">
        <w:rPr>
          <w:rFonts w:ascii="Book Antiqua" w:hAnsi="Book Antiqua"/>
          <w:b/>
          <w:bCs/>
        </w:rPr>
        <w:t>51</w:t>
      </w:r>
      <w:r w:rsidRPr="00E608FE">
        <w:rPr>
          <w:rFonts w:ascii="Book Antiqua" w:hAnsi="Book Antiqua"/>
        </w:rPr>
        <w:t>: 347-351 [PMID: 31843199 DOI: 10.1016/j.injury.2019.12.008]</w:t>
      </w:r>
    </w:p>
    <w:p w14:paraId="0E4905BC"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28 </w:t>
      </w:r>
      <w:r w:rsidRPr="00E608FE">
        <w:rPr>
          <w:rFonts w:ascii="Book Antiqua" w:hAnsi="Book Antiqua"/>
          <w:b/>
          <w:bCs/>
        </w:rPr>
        <w:t>de Palma L</w:t>
      </w:r>
      <w:r w:rsidRPr="00E608FE">
        <w:rPr>
          <w:rFonts w:ascii="Book Antiqua" w:hAnsi="Book Antiqua"/>
        </w:rPr>
        <w:t xml:space="preserve">, </w:t>
      </w:r>
      <w:proofErr w:type="spellStart"/>
      <w:r w:rsidRPr="00E608FE">
        <w:rPr>
          <w:rFonts w:ascii="Book Antiqua" w:hAnsi="Book Antiqua"/>
        </w:rPr>
        <w:t>Santucci</w:t>
      </w:r>
      <w:proofErr w:type="spellEnd"/>
      <w:r w:rsidRPr="00E608FE">
        <w:rPr>
          <w:rFonts w:ascii="Book Antiqua" w:hAnsi="Book Antiqua"/>
        </w:rPr>
        <w:t xml:space="preserve"> A, </w:t>
      </w:r>
      <w:proofErr w:type="spellStart"/>
      <w:r w:rsidRPr="00E608FE">
        <w:rPr>
          <w:rFonts w:ascii="Book Antiqua" w:hAnsi="Book Antiqua"/>
        </w:rPr>
        <w:t>Verdenelli</w:t>
      </w:r>
      <w:proofErr w:type="spellEnd"/>
      <w:r w:rsidRPr="00E608FE">
        <w:rPr>
          <w:rFonts w:ascii="Book Antiqua" w:hAnsi="Book Antiqua"/>
        </w:rPr>
        <w:t xml:space="preserve"> A, Bugatti MG, </w:t>
      </w:r>
      <w:proofErr w:type="spellStart"/>
      <w:r w:rsidRPr="00E608FE">
        <w:rPr>
          <w:rFonts w:ascii="Book Antiqua" w:hAnsi="Book Antiqua"/>
        </w:rPr>
        <w:t>Meco</w:t>
      </w:r>
      <w:proofErr w:type="spellEnd"/>
      <w:r w:rsidRPr="00E608FE">
        <w:rPr>
          <w:rFonts w:ascii="Book Antiqua" w:hAnsi="Book Antiqua"/>
        </w:rPr>
        <w:t xml:space="preserve"> L, </w:t>
      </w:r>
      <w:proofErr w:type="spellStart"/>
      <w:r w:rsidRPr="00E608FE">
        <w:rPr>
          <w:rFonts w:ascii="Book Antiqua" w:hAnsi="Book Antiqua"/>
        </w:rPr>
        <w:t>Marinelli</w:t>
      </w:r>
      <w:proofErr w:type="spellEnd"/>
      <w:r w:rsidRPr="00E608FE">
        <w:rPr>
          <w:rFonts w:ascii="Book Antiqua" w:hAnsi="Book Antiqua"/>
        </w:rPr>
        <w:t xml:space="preserve"> M. Outcome of unstable isolated fractures of the posterior acetabular wall associated with hip dislocation. </w:t>
      </w:r>
      <w:proofErr w:type="spellStart"/>
      <w:r w:rsidRPr="00E608FE">
        <w:rPr>
          <w:rFonts w:ascii="Book Antiqua" w:hAnsi="Book Antiqua"/>
          <w:i/>
          <w:iCs/>
        </w:rPr>
        <w:t>Eur</w:t>
      </w:r>
      <w:proofErr w:type="spellEnd"/>
      <w:r w:rsidRPr="00E608FE">
        <w:rPr>
          <w:rFonts w:ascii="Book Antiqua" w:hAnsi="Book Antiqua"/>
          <w:i/>
          <w:iCs/>
        </w:rPr>
        <w:t xml:space="preserve"> J </w:t>
      </w:r>
      <w:proofErr w:type="spellStart"/>
      <w:r w:rsidRPr="00E608FE">
        <w:rPr>
          <w:rFonts w:ascii="Book Antiqua" w:hAnsi="Book Antiqua"/>
          <w:i/>
          <w:iCs/>
        </w:rPr>
        <w:t>Orthop</w:t>
      </w:r>
      <w:proofErr w:type="spellEnd"/>
      <w:r w:rsidRPr="00E608FE">
        <w:rPr>
          <w:rFonts w:ascii="Book Antiqua" w:hAnsi="Book Antiqua"/>
          <w:i/>
          <w:iCs/>
        </w:rPr>
        <w:t xml:space="preserve"> </w:t>
      </w:r>
      <w:proofErr w:type="spellStart"/>
      <w:r w:rsidRPr="00E608FE">
        <w:rPr>
          <w:rFonts w:ascii="Book Antiqua" w:hAnsi="Book Antiqua"/>
          <w:i/>
          <w:iCs/>
        </w:rPr>
        <w:t>Surg</w:t>
      </w:r>
      <w:proofErr w:type="spellEnd"/>
      <w:r w:rsidRPr="00E608FE">
        <w:rPr>
          <w:rFonts w:ascii="Book Antiqua" w:hAnsi="Book Antiqua"/>
          <w:i/>
          <w:iCs/>
        </w:rPr>
        <w:t xml:space="preserve"> </w:t>
      </w:r>
      <w:proofErr w:type="spellStart"/>
      <w:r w:rsidRPr="00E608FE">
        <w:rPr>
          <w:rFonts w:ascii="Book Antiqua" w:hAnsi="Book Antiqua"/>
          <w:i/>
          <w:iCs/>
        </w:rPr>
        <w:t>Traumatol</w:t>
      </w:r>
      <w:proofErr w:type="spellEnd"/>
      <w:r w:rsidRPr="00E608FE">
        <w:rPr>
          <w:rFonts w:ascii="Book Antiqua" w:hAnsi="Book Antiqua"/>
        </w:rPr>
        <w:t> 2014; </w:t>
      </w:r>
      <w:r w:rsidRPr="00E608FE">
        <w:rPr>
          <w:rFonts w:ascii="Book Antiqua" w:hAnsi="Book Antiqua"/>
          <w:b/>
          <w:bCs/>
        </w:rPr>
        <w:t>24</w:t>
      </w:r>
      <w:r w:rsidRPr="00E608FE">
        <w:rPr>
          <w:rFonts w:ascii="Book Antiqua" w:hAnsi="Book Antiqua"/>
        </w:rPr>
        <w:t>: 341-346 [PMID: 23467885 DOI: 10.1007/s00590-013-1200-7]</w:t>
      </w:r>
    </w:p>
    <w:p w14:paraId="226DBAF4"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29 </w:t>
      </w:r>
      <w:r w:rsidRPr="00E608FE">
        <w:rPr>
          <w:rFonts w:ascii="Book Antiqua" w:hAnsi="Book Antiqua"/>
          <w:b/>
          <w:bCs/>
        </w:rPr>
        <w:t>Wenzel L</w:t>
      </w:r>
      <w:r w:rsidRPr="00E608FE">
        <w:rPr>
          <w:rFonts w:ascii="Book Antiqua" w:hAnsi="Book Antiqua"/>
        </w:rPr>
        <w:t xml:space="preserve">, von </w:t>
      </w:r>
      <w:proofErr w:type="spellStart"/>
      <w:r w:rsidRPr="00E608FE">
        <w:rPr>
          <w:rFonts w:ascii="Book Antiqua" w:hAnsi="Book Antiqua"/>
        </w:rPr>
        <w:t>Rüden</w:t>
      </w:r>
      <w:proofErr w:type="spellEnd"/>
      <w:r w:rsidRPr="00E608FE">
        <w:rPr>
          <w:rFonts w:ascii="Book Antiqua" w:hAnsi="Book Antiqua"/>
        </w:rPr>
        <w:t xml:space="preserve"> C, </w:t>
      </w:r>
      <w:proofErr w:type="spellStart"/>
      <w:r w:rsidRPr="00E608FE">
        <w:rPr>
          <w:rFonts w:ascii="Book Antiqua" w:hAnsi="Book Antiqua"/>
        </w:rPr>
        <w:t>Thannheimer</w:t>
      </w:r>
      <w:proofErr w:type="spellEnd"/>
      <w:r w:rsidRPr="00E608FE">
        <w:rPr>
          <w:rFonts w:ascii="Book Antiqua" w:hAnsi="Book Antiqua"/>
        </w:rPr>
        <w:t xml:space="preserve"> A, Becker J, Brand A, </w:t>
      </w:r>
      <w:proofErr w:type="spellStart"/>
      <w:r w:rsidRPr="00E608FE">
        <w:rPr>
          <w:rFonts w:ascii="Book Antiqua" w:hAnsi="Book Antiqua"/>
        </w:rPr>
        <w:t>Augat</w:t>
      </w:r>
      <w:proofErr w:type="spellEnd"/>
      <w:r w:rsidRPr="00E608FE">
        <w:rPr>
          <w:rFonts w:ascii="Book Antiqua" w:hAnsi="Book Antiqua"/>
        </w:rPr>
        <w:t xml:space="preserve"> P, Perl M. The </w:t>
      </w:r>
      <w:proofErr w:type="spellStart"/>
      <w:r w:rsidRPr="00E608FE">
        <w:rPr>
          <w:rFonts w:ascii="Book Antiqua" w:hAnsi="Book Antiqua"/>
        </w:rPr>
        <w:t>Pararectus</w:t>
      </w:r>
      <w:proofErr w:type="spellEnd"/>
      <w:r w:rsidRPr="00E608FE">
        <w:rPr>
          <w:rFonts w:ascii="Book Antiqua" w:hAnsi="Book Antiqua"/>
        </w:rPr>
        <w:t xml:space="preserve"> Approach in Acetabular Surgery: Radiological and Clinical Outcome. </w:t>
      </w:r>
      <w:r w:rsidRPr="00E608FE">
        <w:rPr>
          <w:rFonts w:ascii="Book Antiqua" w:hAnsi="Book Antiqua"/>
          <w:i/>
          <w:iCs/>
        </w:rPr>
        <w:t xml:space="preserve">J </w:t>
      </w:r>
      <w:proofErr w:type="spellStart"/>
      <w:r w:rsidRPr="00E608FE">
        <w:rPr>
          <w:rFonts w:ascii="Book Antiqua" w:hAnsi="Book Antiqua"/>
          <w:i/>
          <w:iCs/>
        </w:rPr>
        <w:t>Orthop</w:t>
      </w:r>
      <w:proofErr w:type="spellEnd"/>
      <w:r w:rsidRPr="00E608FE">
        <w:rPr>
          <w:rFonts w:ascii="Book Antiqua" w:hAnsi="Book Antiqua"/>
          <w:i/>
          <w:iCs/>
        </w:rPr>
        <w:t xml:space="preserve"> Trauma</w:t>
      </w:r>
      <w:r w:rsidRPr="00E608FE">
        <w:rPr>
          <w:rFonts w:ascii="Book Antiqua" w:hAnsi="Book Antiqua"/>
        </w:rPr>
        <w:t> 2020; </w:t>
      </w:r>
      <w:r w:rsidRPr="00E608FE">
        <w:rPr>
          <w:rFonts w:ascii="Book Antiqua" w:hAnsi="Book Antiqua"/>
          <w:b/>
          <w:bCs/>
        </w:rPr>
        <w:t>34</w:t>
      </w:r>
      <w:r w:rsidRPr="00E608FE">
        <w:rPr>
          <w:rFonts w:ascii="Book Antiqua" w:hAnsi="Book Antiqua"/>
        </w:rPr>
        <w:t>: 82-88 [PMID: 31714471 DOI: 10.1097/BOT.0000000000001636]</w:t>
      </w:r>
    </w:p>
    <w:p w14:paraId="66A9DD88"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30 </w:t>
      </w:r>
      <w:r w:rsidRPr="00E608FE">
        <w:rPr>
          <w:rFonts w:ascii="Book Antiqua" w:hAnsi="Book Antiqua"/>
          <w:b/>
          <w:bCs/>
        </w:rPr>
        <w:t>LETOURNEL E</w:t>
      </w:r>
      <w:r w:rsidRPr="00E608FE">
        <w:rPr>
          <w:rFonts w:ascii="Book Antiqua" w:hAnsi="Book Antiqua"/>
        </w:rPr>
        <w:t>. [Fractures of the cotyloid cavity, study of a series of 75 cases]. </w:t>
      </w:r>
      <w:r w:rsidRPr="00E608FE">
        <w:rPr>
          <w:rFonts w:ascii="Book Antiqua" w:hAnsi="Book Antiqua"/>
          <w:i/>
          <w:iCs/>
        </w:rPr>
        <w:t xml:space="preserve">J </w:t>
      </w:r>
      <w:proofErr w:type="spellStart"/>
      <w:r w:rsidRPr="00E608FE">
        <w:rPr>
          <w:rFonts w:ascii="Book Antiqua" w:hAnsi="Book Antiqua"/>
          <w:i/>
          <w:iCs/>
        </w:rPr>
        <w:t>Chir</w:t>
      </w:r>
      <w:proofErr w:type="spellEnd"/>
      <w:r w:rsidRPr="00E608FE">
        <w:rPr>
          <w:rFonts w:ascii="Book Antiqua" w:hAnsi="Book Antiqua"/>
          <w:i/>
          <w:iCs/>
        </w:rPr>
        <w:t xml:space="preserve"> (Paris)</w:t>
      </w:r>
      <w:r w:rsidRPr="00E608FE">
        <w:rPr>
          <w:rFonts w:ascii="Book Antiqua" w:hAnsi="Book Antiqua"/>
        </w:rPr>
        <w:t> 1961; </w:t>
      </w:r>
      <w:r w:rsidRPr="00E608FE">
        <w:rPr>
          <w:rFonts w:ascii="Book Antiqua" w:hAnsi="Book Antiqua"/>
          <w:b/>
          <w:bCs/>
        </w:rPr>
        <w:t>82</w:t>
      </w:r>
      <w:r w:rsidRPr="00E608FE">
        <w:rPr>
          <w:rFonts w:ascii="Book Antiqua" w:hAnsi="Book Antiqua"/>
        </w:rPr>
        <w:t>: 47-87 [PMID: 13761246]</w:t>
      </w:r>
    </w:p>
    <w:p w14:paraId="1DA4A1C5"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31 </w:t>
      </w:r>
      <w:r w:rsidRPr="00E608FE">
        <w:rPr>
          <w:rFonts w:ascii="Book Antiqua" w:hAnsi="Book Antiqua"/>
          <w:b/>
          <w:bCs/>
        </w:rPr>
        <w:t>Nicholson JA</w:t>
      </w:r>
      <w:r w:rsidRPr="00E608FE">
        <w:rPr>
          <w:rFonts w:ascii="Book Antiqua" w:hAnsi="Book Antiqua"/>
        </w:rPr>
        <w:t>, Scott CEH, Annan J, Ahmed I, Keating JF. Native hip dislocation at acetabular fracture predicts poor long-term outcome. </w:t>
      </w:r>
      <w:r w:rsidRPr="00E608FE">
        <w:rPr>
          <w:rFonts w:ascii="Book Antiqua" w:hAnsi="Book Antiqua"/>
          <w:i/>
          <w:iCs/>
        </w:rPr>
        <w:t>Injury</w:t>
      </w:r>
      <w:r w:rsidRPr="00E608FE">
        <w:rPr>
          <w:rFonts w:ascii="Book Antiqua" w:hAnsi="Book Antiqua"/>
        </w:rPr>
        <w:t> 2018; </w:t>
      </w:r>
      <w:r w:rsidRPr="00E608FE">
        <w:rPr>
          <w:rFonts w:ascii="Book Antiqua" w:hAnsi="Book Antiqua"/>
          <w:b/>
          <w:bCs/>
        </w:rPr>
        <w:t>49</w:t>
      </w:r>
      <w:r w:rsidRPr="00E608FE">
        <w:rPr>
          <w:rFonts w:ascii="Book Antiqua" w:hAnsi="Book Antiqua"/>
        </w:rPr>
        <w:t>: 1841-1847 [PMID: 30100247 DOI: 10.1016/j.injury.2018.07.032]</w:t>
      </w:r>
    </w:p>
    <w:p w14:paraId="4FDEC39B"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32 </w:t>
      </w:r>
      <w:r w:rsidRPr="00E608FE">
        <w:rPr>
          <w:rFonts w:ascii="Book Antiqua" w:hAnsi="Book Antiqua"/>
          <w:b/>
          <w:bCs/>
        </w:rPr>
        <w:t>Ochs BG</w:t>
      </w:r>
      <w:r w:rsidRPr="00E608FE">
        <w:rPr>
          <w:rFonts w:ascii="Book Antiqua" w:hAnsi="Book Antiqua"/>
        </w:rPr>
        <w:t xml:space="preserve">, </w:t>
      </w:r>
      <w:proofErr w:type="spellStart"/>
      <w:r w:rsidRPr="00E608FE">
        <w:rPr>
          <w:rFonts w:ascii="Book Antiqua" w:hAnsi="Book Antiqua"/>
        </w:rPr>
        <w:t>Marintschev</w:t>
      </w:r>
      <w:proofErr w:type="spellEnd"/>
      <w:r w:rsidRPr="00E608FE">
        <w:rPr>
          <w:rFonts w:ascii="Book Antiqua" w:hAnsi="Book Antiqua"/>
        </w:rPr>
        <w:t xml:space="preserve"> I, Hoyer H, </w:t>
      </w:r>
      <w:proofErr w:type="spellStart"/>
      <w:r w:rsidRPr="00E608FE">
        <w:rPr>
          <w:rFonts w:ascii="Book Antiqua" w:hAnsi="Book Antiqua"/>
        </w:rPr>
        <w:t>Rolauffs</w:t>
      </w:r>
      <w:proofErr w:type="spellEnd"/>
      <w:r w:rsidRPr="00E608FE">
        <w:rPr>
          <w:rFonts w:ascii="Book Antiqua" w:hAnsi="Book Antiqua"/>
        </w:rPr>
        <w:t xml:space="preserve"> B, </w:t>
      </w:r>
      <w:proofErr w:type="spellStart"/>
      <w:r w:rsidRPr="00E608FE">
        <w:rPr>
          <w:rFonts w:ascii="Book Antiqua" w:hAnsi="Book Antiqua"/>
        </w:rPr>
        <w:t>Culemann</w:t>
      </w:r>
      <w:proofErr w:type="spellEnd"/>
      <w:r w:rsidRPr="00E608FE">
        <w:rPr>
          <w:rFonts w:ascii="Book Antiqua" w:hAnsi="Book Antiqua"/>
        </w:rPr>
        <w:t xml:space="preserve"> U, </w:t>
      </w:r>
      <w:proofErr w:type="spellStart"/>
      <w:r w:rsidRPr="00E608FE">
        <w:rPr>
          <w:rFonts w:ascii="Book Antiqua" w:hAnsi="Book Antiqua"/>
        </w:rPr>
        <w:t>Pohlemann</w:t>
      </w:r>
      <w:proofErr w:type="spellEnd"/>
      <w:r w:rsidRPr="00E608FE">
        <w:rPr>
          <w:rFonts w:ascii="Book Antiqua" w:hAnsi="Book Antiqua"/>
        </w:rPr>
        <w:t xml:space="preserve"> T, </w:t>
      </w:r>
      <w:proofErr w:type="spellStart"/>
      <w:r w:rsidRPr="00E608FE">
        <w:rPr>
          <w:rFonts w:ascii="Book Antiqua" w:hAnsi="Book Antiqua"/>
        </w:rPr>
        <w:t>Stuby</w:t>
      </w:r>
      <w:proofErr w:type="spellEnd"/>
      <w:r w:rsidRPr="00E608FE">
        <w:rPr>
          <w:rFonts w:ascii="Book Antiqua" w:hAnsi="Book Antiqua"/>
        </w:rPr>
        <w:t xml:space="preserve"> FM. Changes in the treatment of acetabular fractures over 15 years: Analysis of 1266 cases treated by the German Pelvic </w:t>
      </w:r>
      <w:proofErr w:type="spellStart"/>
      <w:r w:rsidRPr="00E608FE">
        <w:rPr>
          <w:rFonts w:ascii="Book Antiqua" w:hAnsi="Book Antiqua"/>
        </w:rPr>
        <w:t>Multicentre</w:t>
      </w:r>
      <w:proofErr w:type="spellEnd"/>
      <w:r w:rsidRPr="00E608FE">
        <w:rPr>
          <w:rFonts w:ascii="Book Antiqua" w:hAnsi="Book Antiqua"/>
        </w:rPr>
        <w:t xml:space="preserve"> Study Group (DAO/DGU). </w:t>
      </w:r>
      <w:r w:rsidRPr="00E608FE">
        <w:rPr>
          <w:rFonts w:ascii="Book Antiqua" w:hAnsi="Book Antiqua"/>
          <w:i/>
          <w:iCs/>
        </w:rPr>
        <w:t>Injury</w:t>
      </w:r>
      <w:r w:rsidRPr="00E608FE">
        <w:rPr>
          <w:rFonts w:ascii="Book Antiqua" w:hAnsi="Book Antiqua"/>
        </w:rPr>
        <w:t> 2010; </w:t>
      </w:r>
      <w:r w:rsidRPr="00E608FE">
        <w:rPr>
          <w:rFonts w:ascii="Book Antiqua" w:hAnsi="Book Antiqua"/>
          <w:b/>
          <w:bCs/>
        </w:rPr>
        <w:t>41</w:t>
      </w:r>
      <w:r w:rsidRPr="00E608FE">
        <w:rPr>
          <w:rFonts w:ascii="Book Antiqua" w:hAnsi="Book Antiqua"/>
        </w:rPr>
        <w:t>: 839-851 [PMID: 20451195 DOI: 10.1016/j.injury.2010.04.010]</w:t>
      </w:r>
    </w:p>
    <w:p w14:paraId="3002DE43"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33 </w:t>
      </w:r>
      <w:proofErr w:type="spellStart"/>
      <w:r w:rsidRPr="00E608FE">
        <w:rPr>
          <w:rFonts w:ascii="Book Antiqua" w:hAnsi="Book Antiqua"/>
          <w:b/>
          <w:bCs/>
        </w:rPr>
        <w:t>Herath</w:t>
      </w:r>
      <w:proofErr w:type="spellEnd"/>
      <w:r w:rsidRPr="00E608FE">
        <w:rPr>
          <w:rFonts w:ascii="Book Antiqua" w:hAnsi="Book Antiqua"/>
          <w:b/>
          <w:bCs/>
        </w:rPr>
        <w:t xml:space="preserve"> SC</w:t>
      </w:r>
      <w:r w:rsidRPr="00E608FE">
        <w:rPr>
          <w:rFonts w:ascii="Book Antiqua" w:hAnsi="Book Antiqua"/>
        </w:rPr>
        <w:t xml:space="preserve">, Pott H, </w:t>
      </w:r>
      <w:proofErr w:type="spellStart"/>
      <w:r w:rsidRPr="00E608FE">
        <w:rPr>
          <w:rFonts w:ascii="Book Antiqua" w:hAnsi="Book Antiqua"/>
        </w:rPr>
        <w:t>Rollmann</w:t>
      </w:r>
      <w:proofErr w:type="spellEnd"/>
      <w:r w:rsidRPr="00E608FE">
        <w:rPr>
          <w:rFonts w:ascii="Book Antiqua" w:hAnsi="Book Antiqua"/>
        </w:rPr>
        <w:t xml:space="preserve"> MFR, Braun BJ, Holstein JH, </w:t>
      </w:r>
      <w:proofErr w:type="spellStart"/>
      <w:r w:rsidRPr="00E608FE">
        <w:rPr>
          <w:rFonts w:ascii="Book Antiqua" w:hAnsi="Book Antiqua"/>
        </w:rPr>
        <w:t>Höch</w:t>
      </w:r>
      <w:proofErr w:type="spellEnd"/>
      <w:r w:rsidRPr="00E608FE">
        <w:rPr>
          <w:rFonts w:ascii="Book Antiqua" w:hAnsi="Book Antiqua"/>
        </w:rPr>
        <w:t xml:space="preserve"> A, </w:t>
      </w:r>
      <w:proofErr w:type="spellStart"/>
      <w:r w:rsidRPr="00E608FE">
        <w:rPr>
          <w:rFonts w:ascii="Book Antiqua" w:hAnsi="Book Antiqua"/>
        </w:rPr>
        <w:t>Stuby</w:t>
      </w:r>
      <w:proofErr w:type="spellEnd"/>
      <w:r w:rsidRPr="00E608FE">
        <w:rPr>
          <w:rFonts w:ascii="Book Antiqua" w:hAnsi="Book Antiqua"/>
        </w:rPr>
        <w:t xml:space="preserve"> FM, </w:t>
      </w:r>
      <w:proofErr w:type="spellStart"/>
      <w:r w:rsidRPr="00E608FE">
        <w:rPr>
          <w:rFonts w:ascii="Book Antiqua" w:hAnsi="Book Antiqua"/>
        </w:rPr>
        <w:t>Pohlemann</w:t>
      </w:r>
      <w:proofErr w:type="spellEnd"/>
      <w:r w:rsidRPr="00E608FE">
        <w:rPr>
          <w:rFonts w:ascii="Book Antiqua" w:hAnsi="Book Antiqua"/>
        </w:rPr>
        <w:t xml:space="preserve"> T. Geriatric Acetabular Surgery: </w:t>
      </w:r>
      <w:proofErr w:type="spellStart"/>
      <w:r w:rsidRPr="00E608FE">
        <w:rPr>
          <w:rFonts w:ascii="Book Antiqua" w:hAnsi="Book Antiqua"/>
        </w:rPr>
        <w:t>Letournel's</w:t>
      </w:r>
      <w:proofErr w:type="spellEnd"/>
      <w:r w:rsidRPr="00E608FE">
        <w:rPr>
          <w:rFonts w:ascii="Book Antiqua" w:hAnsi="Book Antiqua"/>
        </w:rPr>
        <w:t xml:space="preserve"> Contraindications Then and Now-Data </w:t>
      </w:r>
      <w:proofErr w:type="gramStart"/>
      <w:r w:rsidRPr="00E608FE">
        <w:rPr>
          <w:rFonts w:ascii="Book Antiqua" w:hAnsi="Book Antiqua"/>
        </w:rPr>
        <w:t>From</w:t>
      </w:r>
      <w:proofErr w:type="gramEnd"/>
      <w:r w:rsidRPr="00E608FE">
        <w:rPr>
          <w:rFonts w:ascii="Book Antiqua" w:hAnsi="Book Antiqua"/>
        </w:rPr>
        <w:t xml:space="preserve"> the German Pelvic Registry. </w:t>
      </w:r>
      <w:r w:rsidRPr="00E608FE">
        <w:rPr>
          <w:rFonts w:ascii="Book Antiqua" w:hAnsi="Book Antiqua"/>
          <w:i/>
          <w:iCs/>
        </w:rPr>
        <w:t xml:space="preserve">J </w:t>
      </w:r>
      <w:proofErr w:type="spellStart"/>
      <w:r w:rsidRPr="00E608FE">
        <w:rPr>
          <w:rFonts w:ascii="Book Antiqua" w:hAnsi="Book Antiqua"/>
          <w:i/>
          <w:iCs/>
        </w:rPr>
        <w:t>Orthop</w:t>
      </w:r>
      <w:proofErr w:type="spellEnd"/>
      <w:r w:rsidRPr="00E608FE">
        <w:rPr>
          <w:rFonts w:ascii="Book Antiqua" w:hAnsi="Book Antiqua"/>
          <w:i/>
          <w:iCs/>
        </w:rPr>
        <w:t xml:space="preserve"> Trauma</w:t>
      </w:r>
      <w:r w:rsidRPr="00E608FE">
        <w:rPr>
          <w:rFonts w:ascii="Book Antiqua" w:hAnsi="Book Antiqua"/>
        </w:rPr>
        <w:t> 2019; </w:t>
      </w:r>
      <w:r w:rsidRPr="00E608FE">
        <w:rPr>
          <w:rFonts w:ascii="Book Antiqua" w:hAnsi="Book Antiqua"/>
          <w:b/>
          <w:bCs/>
        </w:rPr>
        <w:t xml:space="preserve">33 </w:t>
      </w:r>
      <w:proofErr w:type="spellStart"/>
      <w:r w:rsidRPr="00E608FE">
        <w:rPr>
          <w:rFonts w:ascii="Book Antiqua" w:hAnsi="Book Antiqua"/>
          <w:b/>
          <w:bCs/>
        </w:rPr>
        <w:t>Suppl</w:t>
      </w:r>
      <w:proofErr w:type="spellEnd"/>
      <w:r w:rsidRPr="00E608FE">
        <w:rPr>
          <w:rFonts w:ascii="Book Antiqua" w:hAnsi="Book Antiqua"/>
          <w:b/>
          <w:bCs/>
        </w:rPr>
        <w:t xml:space="preserve"> 2</w:t>
      </w:r>
      <w:r w:rsidRPr="00E608FE">
        <w:rPr>
          <w:rFonts w:ascii="Book Antiqua" w:hAnsi="Book Antiqua"/>
        </w:rPr>
        <w:t>: S8-S13 [PMID: 30688853 DOI: 10.1097/BOT.0000000000001406]</w:t>
      </w:r>
    </w:p>
    <w:p w14:paraId="791578B8"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34 </w:t>
      </w:r>
      <w:r w:rsidRPr="00E608FE">
        <w:rPr>
          <w:rFonts w:ascii="Book Antiqua" w:hAnsi="Book Antiqua"/>
          <w:b/>
          <w:bCs/>
        </w:rPr>
        <w:t>Baumann F</w:t>
      </w:r>
      <w:r w:rsidRPr="00E608FE">
        <w:rPr>
          <w:rFonts w:ascii="Book Antiqua" w:hAnsi="Book Antiqua"/>
        </w:rPr>
        <w:t xml:space="preserve">, Weber J, </w:t>
      </w:r>
      <w:proofErr w:type="spellStart"/>
      <w:r w:rsidRPr="00E608FE">
        <w:rPr>
          <w:rFonts w:ascii="Book Antiqua" w:hAnsi="Book Antiqua"/>
        </w:rPr>
        <w:t>Mahr</w:t>
      </w:r>
      <w:proofErr w:type="spellEnd"/>
      <w:r w:rsidRPr="00E608FE">
        <w:rPr>
          <w:rFonts w:ascii="Book Antiqua" w:hAnsi="Book Antiqua"/>
        </w:rPr>
        <w:t xml:space="preserve"> D, </w:t>
      </w:r>
      <w:proofErr w:type="spellStart"/>
      <w:r w:rsidRPr="00E608FE">
        <w:rPr>
          <w:rFonts w:ascii="Book Antiqua" w:hAnsi="Book Antiqua"/>
        </w:rPr>
        <w:t>Bäumlein</w:t>
      </w:r>
      <w:proofErr w:type="spellEnd"/>
      <w:r w:rsidRPr="00E608FE">
        <w:rPr>
          <w:rFonts w:ascii="Book Antiqua" w:hAnsi="Book Antiqua"/>
        </w:rPr>
        <w:t xml:space="preserve"> M, </w:t>
      </w:r>
      <w:proofErr w:type="spellStart"/>
      <w:r w:rsidRPr="00E608FE">
        <w:rPr>
          <w:rFonts w:ascii="Book Antiqua" w:hAnsi="Book Antiqua"/>
        </w:rPr>
        <w:t>Kerschbaum</w:t>
      </w:r>
      <w:proofErr w:type="spellEnd"/>
      <w:r w:rsidRPr="00E608FE">
        <w:rPr>
          <w:rFonts w:ascii="Book Antiqua" w:hAnsi="Book Antiqua"/>
        </w:rPr>
        <w:t xml:space="preserve"> M, Müller K, </w:t>
      </w:r>
      <w:proofErr w:type="spellStart"/>
      <w:r w:rsidRPr="00E608FE">
        <w:rPr>
          <w:rFonts w:ascii="Book Antiqua" w:hAnsi="Book Antiqua"/>
        </w:rPr>
        <w:t>Rillmann</w:t>
      </w:r>
      <w:proofErr w:type="spellEnd"/>
      <w:r w:rsidRPr="00E608FE">
        <w:rPr>
          <w:rFonts w:ascii="Book Antiqua" w:hAnsi="Book Antiqua"/>
        </w:rPr>
        <w:t xml:space="preserve"> P, </w:t>
      </w:r>
      <w:proofErr w:type="spellStart"/>
      <w:r w:rsidRPr="00E608FE">
        <w:rPr>
          <w:rFonts w:ascii="Book Antiqua" w:hAnsi="Book Antiqua"/>
        </w:rPr>
        <w:t>Nerlich</w:t>
      </w:r>
      <w:proofErr w:type="spellEnd"/>
      <w:r w:rsidRPr="00E608FE">
        <w:rPr>
          <w:rFonts w:ascii="Book Antiqua" w:hAnsi="Book Antiqua"/>
        </w:rPr>
        <w:t xml:space="preserve"> M, </w:t>
      </w:r>
      <w:proofErr w:type="spellStart"/>
      <w:r w:rsidRPr="00E608FE">
        <w:rPr>
          <w:rFonts w:ascii="Book Antiqua" w:hAnsi="Book Antiqua"/>
        </w:rPr>
        <w:t>Loibl</w:t>
      </w:r>
      <w:proofErr w:type="spellEnd"/>
      <w:r w:rsidRPr="00E608FE">
        <w:rPr>
          <w:rFonts w:ascii="Book Antiqua" w:hAnsi="Book Antiqua"/>
        </w:rPr>
        <w:t xml:space="preserve"> M. Joint awareness in posttraumatic osteoarthritis of the knee: validation of the forgotten joint score in long term condition after tibial plateau </w:t>
      </w:r>
      <w:r w:rsidRPr="00E608FE">
        <w:rPr>
          <w:rFonts w:ascii="Book Antiqua" w:hAnsi="Book Antiqua"/>
        </w:rPr>
        <w:lastRenderedPageBreak/>
        <w:t>fracture. </w:t>
      </w:r>
      <w:r w:rsidRPr="00E608FE">
        <w:rPr>
          <w:rFonts w:ascii="Book Antiqua" w:hAnsi="Book Antiqua"/>
          <w:i/>
          <w:iCs/>
        </w:rPr>
        <w:t>Health Qual Life Outcomes</w:t>
      </w:r>
      <w:r w:rsidRPr="00E608FE">
        <w:rPr>
          <w:rFonts w:ascii="Book Antiqua" w:hAnsi="Book Antiqua"/>
        </w:rPr>
        <w:t> 2017; </w:t>
      </w:r>
      <w:r w:rsidRPr="00E608FE">
        <w:rPr>
          <w:rFonts w:ascii="Book Antiqua" w:hAnsi="Book Antiqua"/>
          <w:b/>
          <w:bCs/>
        </w:rPr>
        <w:t>15</w:t>
      </w:r>
      <w:r w:rsidRPr="00E608FE">
        <w:rPr>
          <w:rFonts w:ascii="Book Antiqua" w:hAnsi="Book Antiqua"/>
        </w:rPr>
        <w:t>: 233 [PMID: 29197416 DOI: 10.1186/s12955-017-0801-y]</w:t>
      </w:r>
    </w:p>
    <w:p w14:paraId="47C51684"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35 </w:t>
      </w:r>
      <w:proofErr w:type="spellStart"/>
      <w:r w:rsidRPr="00E608FE">
        <w:rPr>
          <w:rFonts w:ascii="Book Antiqua" w:hAnsi="Book Antiqua"/>
          <w:b/>
          <w:bCs/>
        </w:rPr>
        <w:t>Thienpont</w:t>
      </w:r>
      <w:proofErr w:type="spellEnd"/>
      <w:r w:rsidRPr="00E608FE">
        <w:rPr>
          <w:rFonts w:ascii="Book Antiqua" w:hAnsi="Book Antiqua"/>
          <w:b/>
          <w:bCs/>
        </w:rPr>
        <w:t xml:space="preserve"> E</w:t>
      </w:r>
      <w:r w:rsidRPr="00E608FE">
        <w:rPr>
          <w:rFonts w:ascii="Book Antiqua" w:hAnsi="Book Antiqua"/>
        </w:rPr>
        <w:t xml:space="preserve">, </w:t>
      </w:r>
      <w:proofErr w:type="spellStart"/>
      <w:r w:rsidRPr="00E608FE">
        <w:rPr>
          <w:rFonts w:ascii="Book Antiqua" w:hAnsi="Book Antiqua"/>
        </w:rPr>
        <w:t>Vanden</w:t>
      </w:r>
      <w:proofErr w:type="spellEnd"/>
      <w:r w:rsidRPr="00E608FE">
        <w:rPr>
          <w:rFonts w:ascii="Book Antiqua" w:hAnsi="Book Antiqua"/>
        </w:rPr>
        <w:t xml:space="preserve"> </w:t>
      </w:r>
      <w:proofErr w:type="spellStart"/>
      <w:r w:rsidRPr="00E608FE">
        <w:rPr>
          <w:rFonts w:ascii="Book Antiqua" w:hAnsi="Book Antiqua"/>
        </w:rPr>
        <w:t>Berghe</w:t>
      </w:r>
      <w:proofErr w:type="spellEnd"/>
      <w:r w:rsidRPr="00E608FE">
        <w:rPr>
          <w:rFonts w:ascii="Book Antiqua" w:hAnsi="Book Antiqua"/>
        </w:rPr>
        <w:t xml:space="preserve"> A, Schwab PE, </w:t>
      </w:r>
      <w:proofErr w:type="spellStart"/>
      <w:r w:rsidRPr="00E608FE">
        <w:rPr>
          <w:rFonts w:ascii="Book Antiqua" w:hAnsi="Book Antiqua"/>
        </w:rPr>
        <w:t>Forthomme</w:t>
      </w:r>
      <w:proofErr w:type="spellEnd"/>
      <w:r w:rsidRPr="00E608FE">
        <w:rPr>
          <w:rFonts w:ascii="Book Antiqua" w:hAnsi="Book Antiqua"/>
        </w:rPr>
        <w:t xml:space="preserve"> JP, </w:t>
      </w:r>
      <w:proofErr w:type="spellStart"/>
      <w:r w:rsidRPr="00E608FE">
        <w:rPr>
          <w:rFonts w:ascii="Book Antiqua" w:hAnsi="Book Antiqua"/>
        </w:rPr>
        <w:t>Cornu</w:t>
      </w:r>
      <w:proofErr w:type="spellEnd"/>
      <w:r w:rsidRPr="00E608FE">
        <w:rPr>
          <w:rFonts w:ascii="Book Antiqua" w:hAnsi="Book Antiqua"/>
        </w:rPr>
        <w:t xml:space="preserve"> O. Joint awareness in osteoarthritis of the hip and knee evaluated with the 'Forgotten Joint' Score before and after joint replacement. </w:t>
      </w:r>
      <w:r w:rsidRPr="00E608FE">
        <w:rPr>
          <w:rFonts w:ascii="Book Antiqua" w:hAnsi="Book Antiqua"/>
          <w:i/>
          <w:iCs/>
        </w:rPr>
        <w:t xml:space="preserve">Knee </w:t>
      </w:r>
      <w:proofErr w:type="spellStart"/>
      <w:r w:rsidRPr="00E608FE">
        <w:rPr>
          <w:rFonts w:ascii="Book Antiqua" w:hAnsi="Book Antiqua"/>
          <w:i/>
          <w:iCs/>
        </w:rPr>
        <w:t>Surg</w:t>
      </w:r>
      <w:proofErr w:type="spellEnd"/>
      <w:r w:rsidRPr="00E608FE">
        <w:rPr>
          <w:rFonts w:ascii="Book Antiqua" w:hAnsi="Book Antiqua"/>
          <w:i/>
          <w:iCs/>
        </w:rPr>
        <w:t xml:space="preserve"> Sports </w:t>
      </w:r>
      <w:proofErr w:type="spellStart"/>
      <w:r w:rsidRPr="00E608FE">
        <w:rPr>
          <w:rFonts w:ascii="Book Antiqua" w:hAnsi="Book Antiqua"/>
          <w:i/>
          <w:iCs/>
        </w:rPr>
        <w:t>Traumatol</w:t>
      </w:r>
      <w:proofErr w:type="spellEnd"/>
      <w:r w:rsidRPr="00E608FE">
        <w:rPr>
          <w:rFonts w:ascii="Book Antiqua" w:hAnsi="Book Antiqua"/>
          <w:i/>
          <w:iCs/>
        </w:rPr>
        <w:t xml:space="preserve"> </w:t>
      </w:r>
      <w:proofErr w:type="spellStart"/>
      <w:r w:rsidRPr="00E608FE">
        <w:rPr>
          <w:rFonts w:ascii="Book Antiqua" w:hAnsi="Book Antiqua"/>
          <w:i/>
          <w:iCs/>
        </w:rPr>
        <w:t>Arthrosc</w:t>
      </w:r>
      <w:proofErr w:type="spellEnd"/>
      <w:r w:rsidRPr="00E608FE">
        <w:rPr>
          <w:rFonts w:ascii="Book Antiqua" w:hAnsi="Book Antiqua"/>
        </w:rPr>
        <w:t> 2016; </w:t>
      </w:r>
      <w:r w:rsidRPr="00E608FE">
        <w:rPr>
          <w:rFonts w:ascii="Book Antiqua" w:hAnsi="Book Antiqua"/>
          <w:b/>
          <w:bCs/>
        </w:rPr>
        <w:t>24</w:t>
      </w:r>
      <w:r w:rsidRPr="00E608FE">
        <w:rPr>
          <w:rFonts w:ascii="Book Antiqua" w:hAnsi="Book Antiqua"/>
        </w:rPr>
        <w:t>: 3346-3351 [PMID: 26740088 DOI: 10.1007/s00167-015-3970-4]</w:t>
      </w:r>
    </w:p>
    <w:p w14:paraId="6EFDA08A"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36 </w:t>
      </w:r>
      <w:r w:rsidRPr="00E608FE">
        <w:rPr>
          <w:rFonts w:ascii="Book Antiqua" w:hAnsi="Book Antiqua"/>
          <w:b/>
          <w:bCs/>
        </w:rPr>
        <w:t>Thomsen MG</w:t>
      </w:r>
      <w:r w:rsidRPr="00E608FE">
        <w:rPr>
          <w:rFonts w:ascii="Book Antiqua" w:hAnsi="Book Antiqua"/>
        </w:rPr>
        <w:t xml:space="preserve">, </w:t>
      </w:r>
      <w:proofErr w:type="spellStart"/>
      <w:r w:rsidRPr="00E608FE">
        <w:rPr>
          <w:rFonts w:ascii="Book Antiqua" w:hAnsi="Book Antiqua"/>
        </w:rPr>
        <w:t>Latifi</w:t>
      </w:r>
      <w:proofErr w:type="spellEnd"/>
      <w:r w:rsidRPr="00E608FE">
        <w:rPr>
          <w:rFonts w:ascii="Book Antiqua" w:hAnsi="Book Antiqua"/>
        </w:rPr>
        <w:t xml:space="preserve"> R, </w:t>
      </w:r>
      <w:proofErr w:type="spellStart"/>
      <w:r w:rsidRPr="00E608FE">
        <w:rPr>
          <w:rFonts w:ascii="Book Antiqua" w:hAnsi="Book Antiqua"/>
        </w:rPr>
        <w:t>Kallemose</w:t>
      </w:r>
      <w:proofErr w:type="spellEnd"/>
      <w:r w:rsidRPr="00E608FE">
        <w:rPr>
          <w:rFonts w:ascii="Book Antiqua" w:hAnsi="Book Antiqua"/>
        </w:rPr>
        <w:t xml:space="preserve"> T, </w:t>
      </w:r>
      <w:proofErr w:type="spellStart"/>
      <w:r w:rsidRPr="00E608FE">
        <w:rPr>
          <w:rFonts w:ascii="Book Antiqua" w:hAnsi="Book Antiqua"/>
        </w:rPr>
        <w:t>Barfod</w:t>
      </w:r>
      <w:proofErr w:type="spellEnd"/>
      <w:r w:rsidRPr="00E608FE">
        <w:rPr>
          <w:rFonts w:ascii="Book Antiqua" w:hAnsi="Book Antiqua"/>
        </w:rPr>
        <w:t xml:space="preserve"> KW, Husted H, </w:t>
      </w:r>
      <w:proofErr w:type="spellStart"/>
      <w:r w:rsidRPr="00E608FE">
        <w:rPr>
          <w:rFonts w:ascii="Book Antiqua" w:hAnsi="Book Antiqua"/>
        </w:rPr>
        <w:t>Troelsen</w:t>
      </w:r>
      <w:proofErr w:type="spellEnd"/>
      <w:r w:rsidRPr="00E608FE">
        <w:rPr>
          <w:rFonts w:ascii="Book Antiqua" w:hAnsi="Book Antiqua"/>
        </w:rPr>
        <w:t xml:space="preserve"> A. Good validity and reliability of the forgotten joint score in evaluating the outcome of total knee arthroplasty. </w:t>
      </w:r>
      <w:proofErr w:type="spellStart"/>
      <w:r w:rsidRPr="00E608FE">
        <w:rPr>
          <w:rFonts w:ascii="Book Antiqua" w:hAnsi="Book Antiqua"/>
          <w:i/>
          <w:iCs/>
        </w:rPr>
        <w:t>Acta</w:t>
      </w:r>
      <w:proofErr w:type="spellEnd"/>
      <w:r w:rsidRPr="00E608FE">
        <w:rPr>
          <w:rFonts w:ascii="Book Antiqua" w:hAnsi="Book Antiqua"/>
          <w:i/>
          <w:iCs/>
        </w:rPr>
        <w:t xml:space="preserve"> </w:t>
      </w:r>
      <w:proofErr w:type="spellStart"/>
      <w:r w:rsidRPr="00E608FE">
        <w:rPr>
          <w:rFonts w:ascii="Book Antiqua" w:hAnsi="Book Antiqua"/>
          <w:i/>
          <w:iCs/>
        </w:rPr>
        <w:t>Orthop</w:t>
      </w:r>
      <w:proofErr w:type="spellEnd"/>
      <w:r w:rsidRPr="00E608FE">
        <w:rPr>
          <w:rFonts w:ascii="Book Antiqua" w:hAnsi="Book Antiqua"/>
        </w:rPr>
        <w:t> 2016; </w:t>
      </w:r>
      <w:r w:rsidRPr="00E608FE">
        <w:rPr>
          <w:rFonts w:ascii="Book Antiqua" w:hAnsi="Book Antiqua"/>
          <w:b/>
          <w:bCs/>
        </w:rPr>
        <w:t>87</w:t>
      </w:r>
      <w:r w:rsidRPr="00E608FE">
        <w:rPr>
          <w:rFonts w:ascii="Book Antiqua" w:hAnsi="Book Antiqua"/>
        </w:rPr>
        <w:t>: 280-285 [PMID: 26937689 DOI: 10.3109/17453674.2016.1156934]</w:t>
      </w:r>
    </w:p>
    <w:p w14:paraId="1304BF21"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37 </w:t>
      </w:r>
      <w:r w:rsidRPr="00E608FE">
        <w:rPr>
          <w:rFonts w:ascii="Book Antiqua" w:hAnsi="Book Antiqua"/>
          <w:b/>
          <w:bCs/>
        </w:rPr>
        <w:t>Wirth B</w:t>
      </w:r>
      <w:r w:rsidRPr="00E608FE">
        <w:rPr>
          <w:rFonts w:ascii="Book Antiqua" w:hAnsi="Book Antiqua"/>
        </w:rPr>
        <w:t xml:space="preserve">, </w:t>
      </w:r>
      <w:proofErr w:type="spellStart"/>
      <w:r w:rsidRPr="00E608FE">
        <w:rPr>
          <w:rFonts w:ascii="Book Antiqua" w:hAnsi="Book Antiqua"/>
        </w:rPr>
        <w:t>Liffert</w:t>
      </w:r>
      <w:proofErr w:type="spellEnd"/>
      <w:r w:rsidRPr="00E608FE">
        <w:rPr>
          <w:rFonts w:ascii="Book Antiqua" w:hAnsi="Book Antiqua"/>
        </w:rPr>
        <w:t xml:space="preserve"> F, de Bruin ED. [Development and evaluation of a German version of the </w:t>
      </w:r>
      <w:proofErr w:type="spellStart"/>
      <w:r w:rsidRPr="00E608FE">
        <w:rPr>
          <w:rFonts w:ascii="Book Antiqua" w:hAnsi="Book Antiqua"/>
        </w:rPr>
        <w:t>Lysholm</w:t>
      </w:r>
      <w:proofErr w:type="spellEnd"/>
      <w:r w:rsidRPr="00E608FE">
        <w:rPr>
          <w:rFonts w:ascii="Book Antiqua" w:hAnsi="Book Antiqua"/>
        </w:rPr>
        <w:t xml:space="preserve"> score for measuring outcome after anterior cruciate ligament injuries]. </w:t>
      </w:r>
      <w:proofErr w:type="spellStart"/>
      <w:r w:rsidRPr="00E608FE">
        <w:rPr>
          <w:rFonts w:ascii="Book Antiqua" w:hAnsi="Book Antiqua"/>
          <w:i/>
          <w:iCs/>
        </w:rPr>
        <w:t>Sportverletz</w:t>
      </w:r>
      <w:proofErr w:type="spellEnd"/>
      <w:r w:rsidRPr="00E608FE">
        <w:rPr>
          <w:rFonts w:ascii="Book Antiqua" w:hAnsi="Book Antiqua"/>
          <w:i/>
          <w:iCs/>
        </w:rPr>
        <w:t xml:space="preserve"> </w:t>
      </w:r>
      <w:proofErr w:type="spellStart"/>
      <w:r w:rsidRPr="00E608FE">
        <w:rPr>
          <w:rFonts w:ascii="Book Antiqua" w:hAnsi="Book Antiqua"/>
          <w:i/>
          <w:iCs/>
        </w:rPr>
        <w:t>Sportschaden</w:t>
      </w:r>
      <w:proofErr w:type="spellEnd"/>
      <w:r w:rsidRPr="00E608FE">
        <w:rPr>
          <w:rFonts w:ascii="Book Antiqua" w:hAnsi="Book Antiqua"/>
        </w:rPr>
        <w:t> 2011; </w:t>
      </w:r>
      <w:r w:rsidRPr="00E608FE">
        <w:rPr>
          <w:rFonts w:ascii="Book Antiqua" w:hAnsi="Book Antiqua"/>
          <w:b/>
          <w:bCs/>
        </w:rPr>
        <w:t>25</w:t>
      </w:r>
      <w:r w:rsidRPr="00E608FE">
        <w:rPr>
          <w:rFonts w:ascii="Book Antiqua" w:hAnsi="Book Antiqua"/>
        </w:rPr>
        <w:t>: 37-43 [PMID: 21400391 DOI: 10.1055/s-0029-1245825]</w:t>
      </w:r>
    </w:p>
    <w:p w14:paraId="3825052B" w14:textId="77777777" w:rsidR="00E608FE" w:rsidRPr="00E608FE" w:rsidRDefault="00E608FE" w:rsidP="00E608FE">
      <w:pPr>
        <w:pStyle w:val="ab"/>
        <w:shd w:val="clear" w:color="auto" w:fill="FFFFFF"/>
        <w:adjustRightInd w:val="0"/>
        <w:snapToGrid w:val="0"/>
        <w:spacing w:before="0" w:beforeAutospacing="0" w:after="0" w:afterAutospacing="0" w:line="360" w:lineRule="auto"/>
        <w:jc w:val="both"/>
        <w:rPr>
          <w:rFonts w:ascii="Book Antiqua" w:hAnsi="Book Antiqua"/>
        </w:rPr>
      </w:pPr>
      <w:r w:rsidRPr="00E608FE">
        <w:rPr>
          <w:rFonts w:ascii="Book Antiqua" w:hAnsi="Book Antiqua"/>
        </w:rPr>
        <w:t>38 </w:t>
      </w:r>
      <w:proofErr w:type="spellStart"/>
      <w:r w:rsidRPr="00E608FE">
        <w:rPr>
          <w:rFonts w:ascii="Book Antiqua" w:hAnsi="Book Antiqua"/>
          <w:b/>
          <w:bCs/>
        </w:rPr>
        <w:t>Giesinger</w:t>
      </w:r>
      <w:proofErr w:type="spellEnd"/>
      <w:r w:rsidRPr="00E608FE">
        <w:rPr>
          <w:rFonts w:ascii="Book Antiqua" w:hAnsi="Book Antiqua"/>
          <w:b/>
          <w:bCs/>
        </w:rPr>
        <w:t xml:space="preserve"> JM</w:t>
      </w:r>
      <w:r w:rsidRPr="00E608FE">
        <w:rPr>
          <w:rFonts w:ascii="Book Antiqua" w:hAnsi="Book Antiqua"/>
        </w:rPr>
        <w:t xml:space="preserve">, </w:t>
      </w:r>
      <w:proofErr w:type="spellStart"/>
      <w:r w:rsidRPr="00E608FE">
        <w:rPr>
          <w:rFonts w:ascii="Book Antiqua" w:hAnsi="Book Antiqua"/>
        </w:rPr>
        <w:t>Behrend</w:t>
      </w:r>
      <w:proofErr w:type="spellEnd"/>
      <w:r w:rsidRPr="00E608FE">
        <w:rPr>
          <w:rFonts w:ascii="Book Antiqua" w:hAnsi="Book Antiqua"/>
        </w:rPr>
        <w:t xml:space="preserve"> H, Hamilton DF, </w:t>
      </w:r>
      <w:proofErr w:type="spellStart"/>
      <w:r w:rsidRPr="00E608FE">
        <w:rPr>
          <w:rFonts w:ascii="Book Antiqua" w:hAnsi="Book Antiqua"/>
        </w:rPr>
        <w:t>Kuster</w:t>
      </w:r>
      <w:proofErr w:type="spellEnd"/>
      <w:r w:rsidRPr="00E608FE">
        <w:rPr>
          <w:rFonts w:ascii="Book Antiqua" w:hAnsi="Book Antiqua"/>
        </w:rPr>
        <w:t xml:space="preserve"> MS, </w:t>
      </w:r>
      <w:proofErr w:type="spellStart"/>
      <w:r w:rsidRPr="00E608FE">
        <w:rPr>
          <w:rFonts w:ascii="Book Antiqua" w:hAnsi="Book Antiqua"/>
        </w:rPr>
        <w:t>Giesinger</w:t>
      </w:r>
      <w:proofErr w:type="spellEnd"/>
      <w:r w:rsidRPr="00E608FE">
        <w:rPr>
          <w:rFonts w:ascii="Book Antiqua" w:hAnsi="Book Antiqua"/>
        </w:rPr>
        <w:t xml:space="preserve"> K. Normative Values for the Forgotten Joint Score-12 for the US General Population. </w:t>
      </w:r>
      <w:r w:rsidRPr="00E608FE">
        <w:rPr>
          <w:rFonts w:ascii="Book Antiqua" w:hAnsi="Book Antiqua"/>
          <w:i/>
          <w:iCs/>
        </w:rPr>
        <w:t>J Arthroplasty</w:t>
      </w:r>
      <w:r w:rsidRPr="00E608FE">
        <w:rPr>
          <w:rFonts w:ascii="Book Antiqua" w:hAnsi="Book Antiqua"/>
        </w:rPr>
        <w:t> 2019; </w:t>
      </w:r>
      <w:r w:rsidRPr="00E608FE">
        <w:rPr>
          <w:rFonts w:ascii="Book Antiqua" w:hAnsi="Book Antiqua"/>
          <w:b/>
          <w:bCs/>
        </w:rPr>
        <w:t>34</w:t>
      </w:r>
      <w:r w:rsidRPr="00E608FE">
        <w:rPr>
          <w:rFonts w:ascii="Book Antiqua" w:hAnsi="Book Antiqua"/>
        </w:rPr>
        <w:t>: 650-655 [PMID: 30612834 DOI: 10.1016/j.arth.2018.12.011]</w:t>
      </w:r>
    </w:p>
    <w:bookmarkEnd w:id="101"/>
    <w:bookmarkEnd w:id="102"/>
    <w:bookmarkEnd w:id="103"/>
    <w:bookmarkEnd w:id="104"/>
    <w:p w14:paraId="5C8A0BED" w14:textId="54020318" w:rsidR="00782942" w:rsidRPr="004C743A" w:rsidRDefault="00782942" w:rsidP="00E608FE">
      <w:pPr>
        <w:pStyle w:val="aa"/>
        <w:ind w:left="0" w:firstLine="0"/>
        <w:rPr>
          <w:rFonts w:ascii="Book Antiqua" w:hAnsi="Book Antiqua"/>
          <w:lang w:eastAsia="zh-CN"/>
        </w:rPr>
      </w:pPr>
    </w:p>
    <w:p w14:paraId="36F85824" w14:textId="77777777" w:rsidR="00A77B3E" w:rsidRPr="004C743A" w:rsidRDefault="00A77B3E" w:rsidP="004C743A">
      <w:pPr>
        <w:adjustRightInd w:val="0"/>
        <w:snapToGrid w:val="0"/>
        <w:spacing w:line="360" w:lineRule="auto"/>
        <w:jc w:val="both"/>
        <w:rPr>
          <w:rFonts w:ascii="Book Antiqua" w:hAnsi="Book Antiqua"/>
        </w:rPr>
        <w:sectPr w:rsidR="00A77B3E" w:rsidRPr="004C743A">
          <w:pgSz w:w="12240" w:h="15840"/>
          <w:pgMar w:top="1440" w:right="1440" w:bottom="1440" w:left="1440" w:header="720" w:footer="720" w:gutter="0"/>
          <w:cols w:space="720"/>
          <w:docGrid w:linePitch="360"/>
        </w:sectPr>
      </w:pPr>
    </w:p>
    <w:p w14:paraId="705A3D22" w14:textId="77777777" w:rsidR="00A77B3E" w:rsidRDefault="00464B5F">
      <w:pPr>
        <w:spacing w:line="360" w:lineRule="auto"/>
        <w:jc w:val="both"/>
      </w:pPr>
      <w:r>
        <w:rPr>
          <w:rFonts w:ascii="Book Antiqua" w:eastAsia="Book Antiqua" w:hAnsi="Book Antiqua" w:cs="Book Antiqua"/>
          <w:b/>
          <w:color w:val="000000"/>
        </w:rPr>
        <w:lastRenderedPageBreak/>
        <w:t>Footnotes</w:t>
      </w:r>
    </w:p>
    <w:p w14:paraId="50E83C4F" w14:textId="607800BF" w:rsidR="00A77B3E" w:rsidRDefault="00464B5F">
      <w:pPr>
        <w:spacing w:line="360" w:lineRule="auto"/>
        <w:jc w:val="both"/>
      </w:pPr>
      <w:r>
        <w:rPr>
          <w:rFonts w:ascii="Book Antiqua" w:eastAsia="Book Antiqua" w:hAnsi="Book Antiqua" w:cs="Book Antiqua"/>
          <w:b/>
          <w:bCs/>
          <w:color w:val="000000"/>
          <w:szCs w:val="22"/>
        </w:rPr>
        <w:t xml:space="preserve">Institutional review board statement: </w:t>
      </w:r>
      <w:bookmarkStart w:id="105" w:name="OLE_LINK184"/>
      <w:bookmarkStart w:id="106" w:name="OLE_LINK185"/>
      <w:r>
        <w:rPr>
          <w:rFonts w:ascii="Book Antiqua" w:eastAsia="Book Antiqua" w:hAnsi="Book Antiqua" w:cs="Book Antiqua"/>
          <w:color w:val="000000"/>
        </w:rPr>
        <w:t xml:space="preserve">This study was carried out in accordance with the Declaration of Helsinki and approved by the ethics committee at the University of Regensburg in December 2015 (Institutional Review Board Number 15-101-0241). We obtained written informed consent from all study participants. </w:t>
      </w:r>
    </w:p>
    <w:bookmarkEnd w:id="105"/>
    <w:bookmarkEnd w:id="106"/>
    <w:p w14:paraId="785E7F62" w14:textId="77777777" w:rsidR="00A77B3E" w:rsidRDefault="00A77B3E">
      <w:pPr>
        <w:spacing w:line="360" w:lineRule="auto"/>
        <w:jc w:val="both"/>
      </w:pPr>
    </w:p>
    <w:p w14:paraId="5C49C6E4" w14:textId="54ED739D" w:rsidR="00A77B3E" w:rsidRDefault="00464B5F">
      <w:pPr>
        <w:spacing w:line="360" w:lineRule="auto"/>
        <w:jc w:val="both"/>
      </w:pPr>
      <w:r>
        <w:rPr>
          <w:rFonts w:ascii="Book Antiqua" w:eastAsia="Book Antiqua" w:hAnsi="Book Antiqua" w:cs="Book Antiqua"/>
          <w:b/>
          <w:bCs/>
          <w:color w:val="000000"/>
          <w:szCs w:val="22"/>
        </w:rPr>
        <w:t xml:space="preserve">Clinical trial registration statement: </w:t>
      </w:r>
      <w:bookmarkStart w:id="107" w:name="OLE_LINK186"/>
      <w:r>
        <w:rPr>
          <w:rFonts w:ascii="Book Antiqua" w:eastAsia="Book Antiqua" w:hAnsi="Book Antiqua" w:cs="Book Antiqua"/>
          <w:color w:val="000000"/>
        </w:rPr>
        <w:t>Center for Clinical Studies Registry at University of Regensburg. Registered 01 October 2014, Trial registration number: Z-2014-0389-10</w:t>
      </w:r>
      <w:r w:rsidR="002156C0">
        <w:rPr>
          <w:rFonts w:ascii="Book Antiqua" w:hAnsi="Book Antiqua" w:cs="Book Antiqua" w:hint="eastAsia"/>
          <w:color w:val="000000"/>
          <w:lang w:eastAsia="zh-CN"/>
        </w:rPr>
        <w:t>.</w:t>
      </w:r>
      <w:r>
        <w:rPr>
          <w:rFonts w:ascii="Book Antiqua" w:eastAsia="Book Antiqua" w:hAnsi="Book Antiqua" w:cs="Book Antiqua"/>
          <w:color w:val="000000"/>
        </w:rPr>
        <w:t xml:space="preserve"> </w:t>
      </w:r>
    </w:p>
    <w:bookmarkEnd w:id="107"/>
    <w:p w14:paraId="155FEF13" w14:textId="77777777" w:rsidR="00A77B3E" w:rsidRDefault="00A77B3E">
      <w:pPr>
        <w:spacing w:line="360" w:lineRule="auto"/>
        <w:jc w:val="both"/>
      </w:pPr>
    </w:p>
    <w:p w14:paraId="1C636201" w14:textId="76C18284" w:rsidR="00A77B3E" w:rsidRDefault="00464B5F">
      <w:pPr>
        <w:spacing w:line="360" w:lineRule="auto"/>
        <w:jc w:val="both"/>
      </w:pPr>
      <w:r>
        <w:rPr>
          <w:rFonts w:ascii="Book Antiqua" w:eastAsia="Book Antiqua" w:hAnsi="Book Antiqua" w:cs="Book Antiqua"/>
          <w:b/>
          <w:bCs/>
          <w:color w:val="000000"/>
          <w:szCs w:val="22"/>
        </w:rPr>
        <w:t xml:space="preserve">Informed consent statement: </w:t>
      </w:r>
      <w:bookmarkStart w:id="108" w:name="OLE_LINK187"/>
      <w:bookmarkStart w:id="109" w:name="OLE_LINK188"/>
      <w:r>
        <w:rPr>
          <w:rFonts w:ascii="Book Antiqua" w:eastAsia="Book Antiqua" w:hAnsi="Book Antiqua" w:cs="Book Antiqua"/>
          <w:color w:val="000000"/>
        </w:rPr>
        <w:t xml:space="preserve">We obtained consent for publication from all study participants. </w:t>
      </w:r>
    </w:p>
    <w:bookmarkEnd w:id="108"/>
    <w:bookmarkEnd w:id="109"/>
    <w:p w14:paraId="2BB37963" w14:textId="77777777" w:rsidR="00A77B3E" w:rsidRDefault="00A77B3E">
      <w:pPr>
        <w:spacing w:line="360" w:lineRule="auto"/>
        <w:jc w:val="both"/>
      </w:pPr>
    </w:p>
    <w:p w14:paraId="1F448736" w14:textId="77777777" w:rsidR="00A77B3E" w:rsidRDefault="00464B5F">
      <w:pPr>
        <w:spacing w:line="360" w:lineRule="auto"/>
        <w:jc w:val="both"/>
      </w:pPr>
      <w:r>
        <w:rPr>
          <w:rFonts w:ascii="Book Antiqua" w:eastAsia="Book Antiqua" w:hAnsi="Book Antiqua" w:cs="Book Antiqua"/>
          <w:b/>
          <w:bCs/>
          <w:color w:val="000000"/>
          <w:szCs w:val="22"/>
        </w:rPr>
        <w:t xml:space="preserve">Conflict-of-interest statement: </w:t>
      </w:r>
      <w:bookmarkStart w:id="110" w:name="OLE_LINK189"/>
      <w:bookmarkStart w:id="111" w:name="OLE_LINK190"/>
      <w:r>
        <w:rPr>
          <w:rFonts w:ascii="Book Antiqua" w:eastAsia="Book Antiqua" w:hAnsi="Book Antiqua" w:cs="Book Antiqua"/>
          <w:color w:val="000000"/>
        </w:rPr>
        <w:t>The authors declare that there is no conflict of interest.</w:t>
      </w:r>
    </w:p>
    <w:bookmarkEnd w:id="110"/>
    <w:bookmarkEnd w:id="111"/>
    <w:p w14:paraId="2303D798" w14:textId="77777777" w:rsidR="00A77B3E" w:rsidRDefault="00A77B3E">
      <w:pPr>
        <w:spacing w:line="360" w:lineRule="auto"/>
        <w:jc w:val="both"/>
      </w:pPr>
    </w:p>
    <w:p w14:paraId="6572A5CD" w14:textId="77777777" w:rsidR="00A77B3E" w:rsidRDefault="00464B5F">
      <w:pPr>
        <w:spacing w:line="360" w:lineRule="auto"/>
        <w:jc w:val="both"/>
      </w:pPr>
      <w:r>
        <w:rPr>
          <w:rFonts w:ascii="Book Antiqua" w:eastAsia="Book Antiqua" w:hAnsi="Book Antiqua" w:cs="Book Antiqua"/>
          <w:b/>
          <w:bCs/>
          <w:color w:val="000000"/>
          <w:szCs w:val="22"/>
        </w:rPr>
        <w:t xml:space="preserve">Data sharing statement: </w:t>
      </w:r>
      <w:bookmarkStart w:id="112" w:name="OLE_LINK191"/>
      <w:bookmarkStart w:id="113" w:name="OLE_LINK192"/>
      <w:r>
        <w:rPr>
          <w:rFonts w:ascii="Book Antiqua" w:eastAsia="Book Antiqua" w:hAnsi="Book Antiqua" w:cs="Book Antiqua"/>
          <w:color w:val="000000"/>
        </w:rPr>
        <w:t>The datasets used and analyzed during the current study are available from the corresponding author on reasonable request.</w:t>
      </w:r>
      <w:bookmarkEnd w:id="112"/>
      <w:bookmarkEnd w:id="113"/>
    </w:p>
    <w:p w14:paraId="7A4FA387" w14:textId="77777777" w:rsidR="00A77B3E" w:rsidRDefault="00A77B3E">
      <w:pPr>
        <w:spacing w:line="360" w:lineRule="auto"/>
        <w:jc w:val="both"/>
      </w:pPr>
    </w:p>
    <w:p w14:paraId="5C416E1F" w14:textId="77777777" w:rsidR="00A77B3E" w:rsidRDefault="00464B5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2A93AC" w14:textId="77777777" w:rsidR="00A77B3E" w:rsidRDefault="00A77B3E">
      <w:pPr>
        <w:spacing w:line="360" w:lineRule="auto"/>
        <w:jc w:val="both"/>
      </w:pPr>
    </w:p>
    <w:p w14:paraId="5D70035A" w14:textId="77777777" w:rsidR="00A77B3E" w:rsidRDefault="00464B5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E0A3E">
        <w:rPr>
          <w:rFonts w:ascii="Book Antiqua" w:eastAsia="Book Antiqua" w:hAnsi="Book Antiqua" w:cs="Book Antiqua"/>
          <w:color w:val="000000"/>
        </w:rPr>
        <w:t>manuscript</w:t>
      </w:r>
    </w:p>
    <w:p w14:paraId="2D3D73AE" w14:textId="77777777" w:rsidR="00A77B3E" w:rsidRDefault="00A77B3E">
      <w:pPr>
        <w:spacing w:line="360" w:lineRule="auto"/>
        <w:jc w:val="both"/>
      </w:pPr>
    </w:p>
    <w:p w14:paraId="298BA7D7" w14:textId="77777777" w:rsidR="00A77B3E" w:rsidRDefault="00464B5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16, 2020</w:t>
      </w:r>
    </w:p>
    <w:p w14:paraId="6DB29D79" w14:textId="77777777" w:rsidR="00A77B3E" w:rsidRDefault="00464B5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2020</w:t>
      </w:r>
    </w:p>
    <w:p w14:paraId="785017E6" w14:textId="4DB889A1" w:rsidR="00A77B3E" w:rsidRDefault="00464B5F">
      <w:pPr>
        <w:spacing w:line="360" w:lineRule="auto"/>
        <w:jc w:val="both"/>
      </w:pPr>
      <w:r>
        <w:rPr>
          <w:rFonts w:ascii="Book Antiqua" w:eastAsia="Book Antiqua" w:hAnsi="Book Antiqua" w:cs="Book Antiqua"/>
          <w:b/>
          <w:color w:val="000000"/>
        </w:rPr>
        <w:lastRenderedPageBreak/>
        <w:t xml:space="preserve">Article in press: </w:t>
      </w:r>
      <w:r w:rsidR="00893FDF" w:rsidRPr="00FF2A2C">
        <w:rPr>
          <w:rFonts w:ascii="Book Antiqua" w:eastAsia="Book Antiqua" w:hAnsi="Book Antiqua" w:cs="Book Antiqua"/>
          <w:color w:val="000000"/>
        </w:rPr>
        <w:t>January 21, 2021</w:t>
      </w:r>
    </w:p>
    <w:p w14:paraId="33B1D6F4" w14:textId="77777777" w:rsidR="00A77B3E" w:rsidRDefault="00A77B3E">
      <w:pPr>
        <w:spacing w:line="360" w:lineRule="auto"/>
        <w:jc w:val="both"/>
      </w:pPr>
    </w:p>
    <w:p w14:paraId="489026FB" w14:textId="77777777" w:rsidR="00A77B3E" w:rsidRDefault="00464B5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5D344AF1" w14:textId="77777777" w:rsidR="00A77B3E" w:rsidRDefault="00464B5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3A2BDEA3" w14:textId="77777777" w:rsidR="00A77B3E" w:rsidRDefault="00464B5F">
      <w:pPr>
        <w:spacing w:line="360" w:lineRule="auto"/>
        <w:jc w:val="both"/>
      </w:pPr>
      <w:r>
        <w:rPr>
          <w:rFonts w:ascii="Book Antiqua" w:eastAsia="Book Antiqua" w:hAnsi="Book Antiqua" w:cs="Book Antiqua"/>
          <w:b/>
          <w:color w:val="000000"/>
        </w:rPr>
        <w:t>Peer-review report’s scientific quality classification</w:t>
      </w:r>
    </w:p>
    <w:p w14:paraId="4008D9F3" w14:textId="77777777" w:rsidR="00A77B3E" w:rsidRDefault="00464B5F">
      <w:pPr>
        <w:spacing w:line="360" w:lineRule="auto"/>
        <w:jc w:val="both"/>
      </w:pPr>
      <w:r>
        <w:rPr>
          <w:rFonts w:ascii="Book Antiqua" w:eastAsia="Book Antiqua" w:hAnsi="Book Antiqua" w:cs="Book Antiqua"/>
          <w:color w:val="000000"/>
        </w:rPr>
        <w:t>Grade A (Excellent): 0</w:t>
      </w:r>
    </w:p>
    <w:p w14:paraId="2E9E04BD" w14:textId="3184DAD2" w:rsidR="00A77B3E" w:rsidRDefault="00464B5F">
      <w:pPr>
        <w:spacing w:line="360" w:lineRule="auto"/>
        <w:jc w:val="both"/>
      </w:pPr>
      <w:r>
        <w:rPr>
          <w:rFonts w:ascii="Book Antiqua" w:eastAsia="Book Antiqua" w:hAnsi="Book Antiqua" w:cs="Book Antiqua"/>
          <w:color w:val="000000"/>
        </w:rPr>
        <w:t xml:space="preserve">Grade B (Very good): </w:t>
      </w:r>
      <w:r w:rsidR="004A03B6">
        <w:rPr>
          <w:rFonts w:ascii="Book Antiqua" w:eastAsia="Book Antiqua" w:hAnsi="Book Antiqua" w:cs="Book Antiqua"/>
          <w:color w:val="000000"/>
        </w:rPr>
        <w:t>B</w:t>
      </w:r>
    </w:p>
    <w:p w14:paraId="7F2888BE" w14:textId="77777777" w:rsidR="00A77B3E" w:rsidRDefault="00464B5F">
      <w:pPr>
        <w:spacing w:line="360" w:lineRule="auto"/>
        <w:jc w:val="both"/>
      </w:pPr>
      <w:r>
        <w:rPr>
          <w:rFonts w:ascii="Book Antiqua" w:eastAsia="Book Antiqua" w:hAnsi="Book Antiqua" w:cs="Book Antiqua"/>
          <w:color w:val="000000"/>
        </w:rPr>
        <w:t>Grade C (Good): C</w:t>
      </w:r>
    </w:p>
    <w:p w14:paraId="5112E92B" w14:textId="77777777" w:rsidR="00A77B3E" w:rsidRDefault="00464B5F">
      <w:pPr>
        <w:spacing w:line="360" w:lineRule="auto"/>
        <w:jc w:val="both"/>
      </w:pPr>
      <w:r>
        <w:rPr>
          <w:rFonts w:ascii="Book Antiqua" w:eastAsia="Book Antiqua" w:hAnsi="Book Antiqua" w:cs="Book Antiqua"/>
          <w:color w:val="000000"/>
        </w:rPr>
        <w:t>Grade D (Fair): D</w:t>
      </w:r>
    </w:p>
    <w:p w14:paraId="5D87F21B" w14:textId="77777777" w:rsidR="00A77B3E" w:rsidRDefault="00464B5F">
      <w:pPr>
        <w:spacing w:line="360" w:lineRule="auto"/>
        <w:jc w:val="both"/>
      </w:pPr>
      <w:r>
        <w:rPr>
          <w:rFonts w:ascii="Book Antiqua" w:eastAsia="Book Antiqua" w:hAnsi="Book Antiqua" w:cs="Book Antiqua"/>
          <w:color w:val="000000"/>
        </w:rPr>
        <w:t>Grade E (Poor): 0</w:t>
      </w:r>
    </w:p>
    <w:p w14:paraId="435FEDB2" w14:textId="77777777" w:rsidR="00A77B3E" w:rsidRDefault="00A77B3E">
      <w:pPr>
        <w:spacing w:line="360" w:lineRule="auto"/>
        <w:jc w:val="both"/>
      </w:pPr>
    </w:p>
    <w:p w14:paraId="522E911E" w14:textId="46B13EB5" w:rsidR="00A77B3E" w:rsidRDefault="00464B5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YL, von </w:t>
      </w:r>
      <w:proofErr w:type="spellStart"/>
      <w:r>
        <w:rPr>
          <w:rFonts w:ascii="Book Antiqua" w:eastAsia="Book Antiqua" w:hAnsi="Book Antiqua" w:cs="Book Antiqua"/>
          <w:color w:val="000000"/>
        </w:rPr>
        <w:t>Engelhardt</w:t>
      </w:r>
      <w:proofErr w:type="spellEnd"/>
      <w:r>
        <w:rPr>
          <w:rFonts w:ascii="Book Antiqua" w:eastAsia="Book Antiqua" w:hAnsi="Book Antiqua" w:cs="Book Antiqua"/>
          <w:color w:val="000000"/>
        </w:rPr>
        <w:t xml:space="preserve"> LV</w:t>
      </w:r>
      <w:r>
        <w:rPr>
          <w:rFonts w:ascii="Book Antiqua" w:eastAsia="Book Antiqua" w:hAnsi="Book Antiqua" w:cs="Book Antiqua"/>
          <w:b/>
          <w:color w:val="000000"/>
        </w:rPr>
        <w:t xml:space="preserve"> S-Editor: </w:t>
      </w:r>
      <w:r w:rsidR="007206F5">
        <w:rPr>
          <w:rFonts w:ascii="Book Antiqua" w:hAnsi="Book Antiqua" w:cs="Book Antiqua" w:hint="eastAsia"/>
          <w:color w:val="000000"/>
          <w:lang w:eastAsia="zh-CN"/>
        </w:rPr>
        <w:t>Zhang H</w:t>
      </w:r>
      <w:r w:rsidR="007206F5">
        <w:rPr>
          <w:rFonts w:ascii="Book Antiqua" w:eastAsia="Book Antiqua" w:hAnsi="Book Antiqua" w:cs="Book Antiqua"/>
          <w:b/>
          <w:color w:val="000000"/>
        </w:rPr>
        <w:t xml:space="preserve"> L-Editor:</w:t>
      </w:r>
      <w:r w:rsidR="00893FDF">
        <w:rPr>
          <w:rFonts w:ascii="Book Antiqua" w:hAnsi="Book Antiqua" w:cs="Book Antiqua" w:hint="eastAsia"/>
          <w:b/>
          <w:color w:val="000000"/>
          <w:lang w:eastAsia="zh-CN"/>
        </w:rPr>
        <w:t xml:space="preserve"> </w:t>
      </w:r>
      <w:r w:rsidR="00893FDF" w:rsidRPr="00893FDF">
        <w:rPr>
          <w:rFonts w:ascii="Book Antiqua" w:hAnsi="Book Antiqua" w:cs="Book Antiqua" w:hint="eastAsia"/>
          <w:color w:val="000000"/>
          <w:lang w:eastAsia="zh-CN"/>
        </w:rPr>
        <w:t>A</w:t>
      </w:r>
      <w:r w:rsidR="00893FDF">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893FDF" w:rsidRPr="00893FDF">
        <w:rPr>
          <w:rFonts w:ascii="Book Antiqua" w:eastAsia="Book Antiqua" w:hAnsi="Book Antiqua" w:cs="Book Antiqua"/>
          <w:color w:val="000000"/>
        </w:rPr>
        <w:t>Xing YX</w:t>
      </w:r>
    </w:p>
    <w:p w14:paraId="5F82025D" w14:textId="77777777" w:rsidR="00A77B3E" w:rsidRDefault="00464B5F">
      <w:pPr>
        <w:spacing w:line="360" w:lineRule="auto"/>
        <w:jc w:val="both"/>
      </w:pPr>
      <w:r>
        <w:rPr>
          <w:rFonts w:ascii="Book Antiqua" w:eastAsia="Book Antiqua" w:hAnsi="Book Antiqua" w:cs="Book Antiqua"/>
          <w:b/>
          <w:color w:val="000000"/>
        </w:rPr>
        <w:lastRenderedPageBreak/>
        <w:t>Figure Legends</w:t>
      </w:r>
    </w:p>
    <w:p w14:paraId="19A19B28" w14:textId="77777777" w:rsidR="0069323A" w:rsidRDefault="0069323A">
      <w:pPr>
        <w:spacing w:line="360" w:lineRule="auto"/>
        <w:jc w:val="both"/>
        <w:rPr>
          <w:rFonts w:ascii="Book Antiqua" w:hAnsi="Book Antiqua" w:cs="Book Antiqua"/>
          <w:b/>
          <w:color w:val="000000"/>
          <w:szCs w:val="22"/>
          <w:lang w:eastAsia="zh-CN"/>
        </w:rPr>
      </w:pPr>
      <w:r>
        <w:rPr>
          <w:rFonts w:ascii="Book Antiqua" w:hAnsi="Book Antiqua" w:cs="Book Antiqua"/>
          <w:b/>
          <w:noProof/>
          <w:color w:val="000000"/>
          <w:szCs w:val="22"/>
          <w:lang w:eastAsia="zh-CN"/>
        </w:rPr>
        <w:drawing>
          <wp:inline distT="0" distB="0" distL="0" distR="0" wp14:anchorId="74CBFAAE" wp14:editId="505CD288">
            <wp:extent cx="4791710" cy="5126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710" cy="5126990"/>
                    </a:xfrm>
                    <a:prstGeom prst="rect">
                      <a:avLst/>
                    </a:prstGeom>
                    <a:noFill/>
                  </pic:spPr>
                </pic:pic>
              </a:graphicData>
            </a:graphic>
          </wp:inline>
        </w:drawing>
      </w:r>
    </w:p>
    <w:p w14:paraId="67C9FA30" w14:textId="77777777" w:rsidR="00A77B3E" w:rsidRPr="00334011" w:rsidRDefault="00334011">
      <w:pPr>
        <w:spacing w:line="360" w:lineRule="auto"/>
        <w:jc w:val="both"/>
        <w:rPr>
          <w:b/>
          <w:lang w:eastAsia="zh-CN"/>
        </w:rPr>
      </w:pPr>
      <w:bookmarkStart w:id="114" w:name="OLE_LINK193"/>
      <w:bookmarkStart w:id="115" w:name="OLE_LINK194"/>
      <w:r w:rsidRPr="00334011">
        <w:rPr>
          <w:rFonts w:ascii="Book Antiqua" w:eastAsia="Book Antiqua" w:hAnsi="Book Antiqua" w:cs="Book Antiqua"/>
          <w:b/>
          <w:color w:val="000000"/>
          <w:szCs w:val="22"/>
        </w:rPr>
        <w:t>Figure 1</w:t>
      </w:r>
      <w:r w:rsidR="00464B5F" w:rsidRPr="00334011">
        <w:rPr>
          <w:rFonts w:ascii="Book Antiqua" w:eastAsia="Book Antiqua" w:hAnsi="Book Antiqua" w:cs="Book Antiqua"/>
          <w:b/>
          <w:color w:val="000000"/>
          <w:szCs w:val="22"/>
        </w:rPr>
        <w:t xml:space="preserve"> Patient flow-chart of study population</w:t>
      </w:r>
      <w:r w:rsidRPr="00334011">
        <w:rPr>
          <w:rFonts w:ascii="Book Antiqua" w:hAnsi="Book Antiqua" w:cs="Book Antiqua" w:hint="eastAsia"/>
          <w:b/>
          <w:color w:val="000000"/>
          <w:szCs w:val="22"/>
          <w:lang w:eastAsia="zh-CN"/>
        </w:rPr>
        <w:t>.</w:t>
      </w:r>
    </w:p>
    <w:bookmarkEnd w:id="114"/>
    <w:bookmarkEnd w:id="115"/>
    <w:p w14:paraId="4A8FE72B" w14:textId="77777777" w:rsidR="0069323A" w:rsidRDefault="00334011">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r w:rsidR="0069323A">
        <w:rPr>
          <w:rFonts w:ascii="Book Antiqua" w:eastAsia="Book Antiqua" w:hAnsi="Book Antiqua" w:cs="Book Antiqua"/>
          <w:noProof/>
          <w:color w:val="000000"/>
          <w:szCs w:val="22"/>
          <w:lang w:eastAsia="zh-CN"/>
        </w:rPr>
        <w:lastRenderedPageBreak/>
        <w:drawing>
          <wp:inline distT="0" distB="0" distL="0" distR="0" wp14:anchorId="140585D9" wp14:editId="32EC9286">
            <wp:extent cx="5924550" cy="3960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7241" cy="3961944"/>
                    </a:xfrm>
                    <a:prstGeom prst="rect">
                      <a:avLst/>
                    </a:prstGeom>
                    <a:noFill/>
                  </pic:spPr>
                </pic:pic>
              </a:graphicData>
            </a:graphic>
          </wp:inline>
        </w:drawing>
      </w:r>
    </w:p>
    <w:p w14:paraId="0DA42D66" w14:textId="77777777" w:rsidR="00983E22" w:rsidRDefault="00334011">
      <w:pPr>
        <w:spacing w:line="360" w:lineRule="auto"/>
        <w:jc w:val="both"/>
        <w:rPr>
          <w:rFonts w:ascii="Book Antiqua" w:hAnsi="Book Antiqua" w:cs="Book Antiqua"/>
          <w:b/>
          <w:color w:val="000000"/>
          <w:szCs w:val="22"/>
          <w:lang w:eastAsia="zh-CN"/>
        </w:rPr>
      </w:pPr>
      <w:bookmarkStart w:id="116" w:name="OLE_LINK195"/>
      <w:bookmarkStart w:id="117" w:name="OLE_LINK196"/>
      <w:r w:rsidRPr="00334011">
        <w:rPr>
          <w:rFonts w:ascii="Book Antiqua" w:eastAsia="Book Antiqua" w:hAnsi="Book Antiqua" w:cs="Book Antiqua"/>
          <w:b/>
          <w:color w:val="000000"/>
          <w:szCs w:val="22"/>
        </w:rPr>
        <w:t>Figure 2</w:t>
      </w:r>
      <w:r w:rsidR="00464B5F" w:rsidRPr="00334011">
        <w:rPr>
          <w:rFonts w:ascii="Book Antiqua" w:eastAsia="Book Antiqua" w:hAnsi="Book Antiqua" w:cs="Book Antiqua"/>
          <w:b/>
          <w:color w:val="000000"/>
          <w:szCs w:val="22"/>
        </w:rPr>
        <w:t xml:space="preserve"> Initial </w:t>
      </w:r>
      <w:r w:rsidR="00464B5F" w:rsidRPr="00FB04F5">
        <w:rPr>
          <w:rFonts w:ascii="Book Antiqua" w:eastAsia="Book Antiqua" w:hAnsi="Book Antiqua" w:cs="Book Antiqua"/>
          <w:b/>
          <w:caps/>
          <w:color w:val="000000"/>
          <w:szCs w:val="22"/>
        </w:rPr>
        <w:t>x</w:t>
      </w:r>
      <w:r w:rsidR="00464B5F" w:rsidRPr="00334011">
        <w:rPr>
          <w:rFonts w:ascii="Book Antiqua" w:eastAsia="Book Antiqua" w:hAnsi="Book Antiqua" w:cs="Book Antiqua"/>
          <w:b/>
          <w:color w:val="000000"/>
          <w:szCs w:val="22"/>
        </w:rPr>
        <w:t xml:space="preserve">-rays of a patient with a both column fracture of the right acetabulum and follow-up </w:t>
      </w:r>
      <w:r w:rsidR="00464B5F" w:rsidRPr="005C6870">
        <w:rPr>
          <w:rFonts w:ascii="Book Antiqua" w:eastAsia="Book Antiqua" w:hAnsi="Book Antiqua" w:cs="Book Antiqua"/>
          <w:b/>
          <w:caps/>
          <w:color w:val="000000"/>
          <w:szCs w:val="22"/>
        </w:rPr>
        <w:t>x</w:t>
      </w:r>
      <w:r w:rsidR="00464B5F" w:rsidRPr="00334011">
        <w:rPr>
          <w:rFonts w:ascii="Book Antiqua" w:eastAsia="Book Antiqua" w:hAnsi="Book Antiqua" w:cs="Book Antiqua"/>
          <w:b/>
          <w:color w:val="000000"/>
          <w:szCs w:val="22"/>
        </w:rPr>
        <w:t>-rays 3.6 years after injury</w:t>
      </w:r>
      <w:r w:rsidRPr="00334011">
        <w:rPr>
          <w:rFonts w:ascii="Book Antiqua" w:hAnsi="Book Antiqua" w:cs="Book Antiqua" w:hint="eastAsia"/>
          <w:b/>
          <w:color w:val="000000"/>
          <w:szCs w:val="22"/>
          <w:lang w:eastAsia="zh-CN"/>
        </w:rPr>
        <w:t>.</w:t>
      </w:r>
    </w:p>
    <w:bookmarkEnd w:id="116"/>
    <w:bookmarkEnd w:id="117"/>
    <w:p w14:paraId="6E6E4E2F" w14:textId="77777777" w:rsidR="00983E22" w:rsidRPr="005B0BA9" w:rsidRDefault="00983E22" w:rsidP="00CF74AD">
      <w:pPr>
        <w:adjustRightInd w:val="0"/>
        <w:snapToGrid w:val="0"/>
        <w:spacing w:line="360" w:lineRule="auto"/>
        <w:jc w:val="both"/>
        <w:rPr>
          <w:rFonts w:ascii="Book Antiqua" w:eastAsia="宋体" w:hAnsi="Book Antiqua"/>
          <w:b/>
        </w:rPr>
      </w:pPr>
      <w:r>
        <w:rPr>
          <w:rFonts w:ascii="Book Antiqua" w:hAnsi="Book Antiqua" w:cs="Book Antiqua"/>
          <w:b/>
          <w:color w:val="000000"/>
          <w:szCs w:val="22"/>
          <w:lang w:eastAsia="zh-CN"/>
        </w:rPr>
        <w:br w:type="page"/>
      </w:r>
      <w:r w:rsidRPr="005B0BA9">
        <w:rPr>
          <w:rFonts w:ascii="Book Antiqua" w:eastAsia="宋体" w:hAnsi="Book Antiqua"/>
          <w:b/>
        </w:rPr>
        <w:lastRenderedPageBreak/>
        <w:t>Table 1 Patient characteristics at initial assessment (T1)</w:t>
      </w:r>
    </w:p>
    <w:tbl>
      <w:tblPr>
        <w:tblW w:w="9290" w:type="dxa"/>
        <w:tblBorders>
          <w:top w:val="single" w:sz="4" w:space="0" w:color="000000"/>
          <w:bottom w:val="single" w:sz="4" w:space="0" w:color="000000"/>
        </w:tblBorders>
        <w:tblCellMar>
          <w:left w:w="10" w:type="dxa"/>
          <w:right w:w="10" w:type="dxa"/>
        </w:tblCellMar>
        <w:tblLook w:val="04A0" w:firstRow="1" w:lastRow="0" w:firstColumn="1" w:lastColumn="0" w:noHBand="0" w:noVBand="1"/>
      </w:tblPr>
      <w:tblGrid>
        <w:gridCol w:w="5064"/>
        <w:gridCol w:w="4226"/>
      </w:tblGrid>
      <w:tr w:rsidR="00983E22" w:rsidRPr="00110F62" w14:paraId="4D087363" w14:textId="77777777" w:rsidTr="005C6870">
        <w:trPr>
          <w:trHeight w:val="387"/>
        </w:trPr>
        <w:tc>
          <w:tcPr>
            <w:tcW w:w="5064" w:type="dxa"/>
            <w:tcBorders>
              <w:top w:val="single" w:sz="4" w:space="0" w:color="000000"/>
              <w:bottom w:val="single" w:sz="4" w:space="0" w:color="000000"/>
            </w:tcBorders>
            <w:shd w:val="clear" w:color="auto" w:fill="auto"/>
            <w:tcMar>
              <w:top w:w="0" w:type="dxa"/>
              <w:left w:w="108" w:type="dxa"/>
              <w:bottom w:w="0" w:type="dxa"/>
              <w:right w:w="108" w:type="dxa"/>
            </w:tcMar>
          </w:tcPr>
          <w:p w14:paraId="18BA60C1" w14:textId="77777777" w:rsidR="00983E22" w:rsidRPr="00110F62" w:rsidRDefault="005B0BA9" w:rsidP="00CF74AD">
            <w:pPr>
              <w:autoSpaceDE w:val="0"/>
              <w:adjustRightInd w:val="0"/>
              <w:snapToGrid w:val="0"/>
              <w:spacing w:line="360" w:lineRule="auto"/>
              <w:jc w:val="both"/>
              <w:rPr>
                <w:rFonts w:ascii="Book Antiqua" w:eastAsia="宋体" w:hAnsi="Book Antiqua"/>
                <w:b/>
                <w:lang w:val="en-GB"/>
              </w:rPr>
            </w:pPr>
            <w:r w:rsidRPr="00110F62">
              <w:rPr>
                <w:rFonts w:ascii="Book Antiqua" w:eastAsia="宋体" w:hAnsi="Book Antiqua"/>
                <w:b/>
                <w:i/>
                <w:lang w:val="en-GB"/>
              </w:rPr>
              <w:t>n</w:t>
            </w:r>
            <w:r w:rsidRPr="00110F62">
              <w:rPr>
                <w:rFonts w:ascii="Book Antiqua" w:eastAsia="宋体" w:hAnsi="Book Antiqua" w:hint="eastAsia"/>
                <w:b/>
                <w:lang w:val="en-GB" w:eastAsia="zh-CN"/>
              </w:rPr>
              <w:t xml:space="preserve"> </w:t>
            </w:r>
            <w:r w:rsidR="00983E22" w:rsidRPr="00110F62">
              <w:rPr>
                <w:rFonts w:ascii="Book Antiqua" w:eastAsia="宋体" w:hAnsi="Book Antiqua"/>
                <w:b/>
                <w:lang w:val="en-GB"/>
              </w:rPr>
              <w:t>=</w:t>
            </w:r>
            <w:r w:rsidRPr="00110F62">
              <w:rPr>
                <w:rFonts w:ascii="Book Antiqua" w:eastAsia="宋体" w:hAnsi="Book Antiqua" w:hint="eastAsia"/>
                <w:b/>
                <w:lang w:val="en-GB" w:eastAsia="zh-CN"/>
              </w:rPr>
              <w:t xml:space="preserve"> </w:t>
            </w:r>
            <w:r w:rsidR="00983E22" w:rsidRPr="00110F62">
              <w:rPr>
                <w:rFonts w:ascii="Book Antiqua" w:eastAsia="宋体" w:hAnsi="Book Antiqua"/>
                <w:b/>
                <w:lang w:val="en-GB"/>
              </w:rPr>
              <w:t>100</w:t>
            </w:r>
          </w:p>
        </w:tc>
        <w:tc>
          <w:tcPr>
            <w:tcW w:w="4226" w:type="dxa"/>
            <w:tcBorders>
              <w:top w:val="single" w:sz="4" w:space="0" w:color="000000"/>
              <w:bottom w:val="single" w:sz="4" w:space="0" w:color="000000"/>
            </w:tcBorders>
            <w:shd w:val="clear" w:color="auto" w:fill="auto"/>
            <w:tcMar>
              <w:top w:w="0" w:type="dxa"/>
              <w:left w:w="108" w:type="dxa"/>
              <w:bottom w:w="0" w:type="dxa"/>
              <w:right w:w="108" w:type="dxa"/>
            </w:tcMar>
          </w:tcPr>
          <w:p w14:paraId="411E935F" w14:textId="77777777" w:rsidR="00983E22" w:rsidRPr="00110F62" w:rsidRDefault="00983E22" w:rsidP="00CF74AD">
            <w:pPr>
              <w:autoSpaceDE w:val="0"/>
              <w:adjustRightInd w:val="0"/>
              <w:snapToGrid w:val="0"/>
              <w:spacing w:line="360" w:lineRule="auto"/>
              <w:jc w:val="both"/>
              <w:rPr>
                <w:rFonts w:ascii="Book Antiqua" w:eastAsia="宋体" w:hAnsi="Book Antiqua"/>
                <w:b/>
                <w:lang w:val="en-GB"/>
              </w:rPr>
            </w:pPr>
            <w:r w:rsidRPr="00110F62">
              <w:rPr>
                <w:rFonts w:ascii="Book Antiqua" w:eastAsia="宋体" w:hAnsi="Book Antiqua"/>
                <w:b/>
                <w:lang w:val="en-GB"/>
              </w:rPr>
              <w:t>Total</w:t>
            </w:r>
          </w:p>
        </w:tc>
      </w:tr>
      <w:tr w:rsidR="00983E22" w:rsidRPr="00983E22" w14:paraId="4BCE5364" w14:textId="77777777" w:rsidTr="005C6870">
        <w:trPr>
          <w:trHeight w:val="410"/>
        </w:trPr>
        <w:tc>
          <w:tcPr>
            <w:tcW w:w="5064" w:type="dxa"/>
            <w:tcBorders>
              <w:top w:val="single" w:sz="4" w:space="0" w:color="000000"/>
            </w:tcBorders>
            <w:shd w:val="clear" w:color="auto" w:fill="auto"/>
            <w:tcMar>
              <w:top w:w="0" w:type="dxa"/>
              <w:left w:w="108" w:type="dxa"/>
              <w:bottom w:w="0" w:type="dxa"/>
              <w:right w:w="108" w:type="dxa"/>
            </w:tcMar>
          </w:tcPr>
          <w:p w14:paraId="583F6891"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Sex</w:t>
            </w:r>
          </w:p>
        </w:tc>
        <w:tc>
          <w:tcPr>
            <w:tcW w:w="4226" w:type="dxa"/>
            <w:tcBorders>
              <w:top w:val="single" w:sz="4" w:space="0" w:color="000000"/>
            </w:tcBorders>
            <w:shd w:val="clear" w:color="auto" w:fill="auto"/>
            <w:tcMar>
              <w:top w:w="0" w:type="dxa"/>
              <w:left w:w="108" w:type="dxa"/>
              <w:bottom w:w="0" w:type="dxa"/>
              <w:right w:w="108" w:type="dxa"/>
            </w:tcMar>
          </w:tcPr>
          <w:p w14:paraId="139B6715"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21 female</w:t>
            </w:r>
            <w:r w:rsidR="007F6FF8">
              <w:rPr>
                <w:rFonts w:ascii="Book Antiqua" w:eastAsia="宋体" w:hAnsi="Book Antiqua"/>
                <w:lang w:val="en-GB"/>
              </w:rPr>
              <w:t>/</w:t>
            </w:r>
            <w:r w:rsidRPr="00983E22">
              <w:rPr>
                <w:rFonts w:ascii="Book Antiqua" w:eastAsia="宋体" w:hAnsi="Book Antiqua"/>
                <w:lang w:val="en-GB"/>
              </w:rPr>
              <w:t>79 male</w:t>
            </w:r>
          </w:p>
        </w:tc>
      </w:tr>
      <w:tr w:rsidR="00983E22" w:rsidRPr="00983E22" w14:paraId="7D7A917D" w14:textId="77777777" w:rsidTr="005C6870">
        <w:trPr>
          <w:trHeight w:val="410"/>
        </w:trPr>
        <w:tc>
          <w:tcPr>
            <w:tcW w:w="5064" w:type="dxa"/>
            <w:shd w:val="clear" w:color="auto" w:fill="auto"/>
            <w:tcMar>
              <w:top w:w="0" w:type="dxa"/>
              <w:left w:w="108" w:type="dxa"/>
              <w:bottom w:w="0" w:type="dxa"/>
              <w:right w:w="108" w:type="dxa"/>
            </w:tcMar>
          </w:tcPr>
          <w:p w14:paraId="4561F719"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Mean age at follow up T1</w:t>
            </w:r>
          </w:p>
        </w:tc>
        <w:tc>
          <w:tcPr>
            <w:tcW w:w="4226" w:type="dxa"/>
            <w:shd w:val="clear" w:color="auto" w:fill="auto"/>
            <w:tcMar>
              <w:top w:w="0" w:type="dxa"/>
              <w:left w:w="108" w:type="dxa"/>
              <w:bottom w:w="0" w:type="dxa"/>
              <w:right w:w="108" w:type="dxa"/>
            </w:tcMar>
          </w:tcPr>
          <w:p w14:paraId="5A5156C4" w14:textId="77777777" w:rsidR="00983E22" w:rsidRPr="00983E22" w:rsidRDefault="005B0BA9" w:rsidP="00CF74AD">
            <w:pPr>
              <w:autoSpaceDE w:val="0"/>
              <w:adjustRightInd w:val="0"/>
              <w:snapToGrid w:val="0"/>
              <w:spacing w:line="360" w:lineRule="auto"/>
              <w:jc w:val="both"/>
              <w:rPr>
                <w:rFonts w:ascii="Book Antiqua" w:eastAsia="宋体" w:hAnsi="Book Antiqua"/>
                <w:lang w:eastAsia="zh-CN"/>
              </w:rPr>
            </w:pPr>
            <w:r>
              <w:rPr>
                <w:rFonts w:ascii="Book Antiqua" w:eastAsia="宋体" w:hAnsi="Book Antiqua"/>
              </w:rPr>
              <w:t xml:space="preserve">57.9 ± 17.6 </w:t>
            </w:r>
            <w:proofErr w:type="spellStart"/>
            <w:r>
              <w:rPr>
                <w:rFonts w:ascii="Book Antiqua" w:eastAsia="宋体" w:hAnsi="Book Antiqua"/>
              </w:rPr>
              <w:t>y</w:t>
            </w:r>
            <w:r w:rsidR="00983E22" w:rsidRPr="00983E22">
              <w:rPr>
                <w:rFonts w:ascii="Book Antiqua" w:eastAsia="宋体" w:hAnsi="Book Antiqua"/>
              </w:rPr>
              <w:t>r</w:t>
            </w:r>
            <w:proofErr w:type="spellEnd"/>
          </w:p>
        </w:tc>
      </w:tr>
      <w:tr w:rsidR="00983E22" w:rsidRPr="00983E22" w14:paraId="24E09E44" w14:textId="77777777" w:rsidTr="005C6870">
        <w:trPr>
          <w:trHeight w:val="398"/>
        </w:trPr>
        <w:tc>
          <w:tcPr>
            <w:tcW w:w="5064" w:type="dxa"/>
            <w:shd w:val="clear" w:color="auto" w:fill="auto"/>
            <w:tcMar>
              <w:top w:w="0" w:type="dxa"/>
              <w:left w:w="108" w:type="dxa"/>
              <w:bottom w:w="0" w:type="dxa"/>
              <w:right w:w="108" w:type="dxa"/>
            </w:tcMar>
          </w:tcPr>
          <w:p w14:paraId="622C6504"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Intra-articular step</w:t>
            </w:r>
          </w:p>
        </w:tc>
        <w:tc>
          <w:tcPr>
            <w:tcW w:w="4226" w:type="dxa"/>
            <w:shd w:val="clear" w:color="auto" w:fill="auto"/>
            <w:tcMar>
              <w:top w:w="0" w:type="dxa"/>
              <w:left w:w="108" w:type="dxa"/>
              <w:bottom w:w="0" w:type="dxa"/>
              <w:right w:w="108" w:type="dxa"/>
            </w:tcMar>
          </w:tcPr>
          <w:p w14:paraId="5C2C26FD"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54 &gt;</w:t>
            </w:r>
            <w:r w:rsidR="005B0BA9">
              <w:rPr>
                <w:rFonts w:ascii="Book Antiqua" w:eastAsia="宋体" w:hAnsi="Book Antiqua" w:hint="eastAsia"/>
                <w:lang w:eastAsia="zh-CN"/>
              </w:rPr>
              <w:t xml:space="preserve"> </w:t>
            </w:r>
            <w:r w:rsidRPr="00983E22">
              <w:rPr>
                <w:rFonts w:ascii="Book Antiqua" w:eastAsia="宋体" w:hAnsi="Book Antiqua"/>
              </w:rPr>
              <w:t>3</w:t>
            </w:r>
            <w:r w:rsidR="005B0BA9">
              <w:rPr>
                <w:rFonts w:ascii="Book Antiqua" w:eastAsia="宋体" w:hAnsi="Book Antiqua" w:hint="eastAsia"/>
                <w:lang w:eastAsia="zh-CN"/>
              </w:rPr>
              <w:t xml:space="preserve"> </w:t>
            </w:r>
            <w:r w:rsidR="007F6FF8">
              <w:rPr>
                <w:rFonts w:ascii="Book Antiqua" w:eastAsia="宋体" w:hAnsi="Book Antiqua"/>
              </w:rPr>
              <w:t>mm/</w:t>
            </w:r>
            <w:r w:rsidRPr="00983E22">
              <w:rPr>
                <w:rFonts w:ascii="Book Antiqua" w:eastAsia="宋体" w:hAnsi="Book Antiqua"/>
              </w:rPr>
              <w:t>46 &lt;</w:t>
            </w:r>
            <w:r w:rsidR="005B0BA9">
              <w:rPr>
                <w:rFonts w:ascii="Book Antiqua" w:eastAsia="宋体" w:hAnsi="Book Antiqua" w:hint="eastAsia"/>
                <w:lang w:eastAsia="zh-CN"/>
              </w:rPr>
              <w:t xml:space="preserve"> </w:t>
            </w:r>
            <w:r w:rsidRPr="00983E22">
              <w:rPr>
                <w:rFonts w:ascii="Book Antiqua" w:eastAsia="宋体" w:hAnsi="Book Antiqua"/>
              </w:rPr>
              <w:t>3</w:t>
            </w:r>
            <w:r w:rsidR="005B0BA9">
              <w:rPr>
                <w:rFonts w:ascii="Book Antiqua" w:eastAsia="宋体" w:hAnsi="Book Antiqua" w:hint="eastAsia"/>
                <w:lang w:eastAsia="zh-CN"/>
              </w:rPr>
              <w:t xml:space="preserve"> </w:t>
            </w:r>
            <w:r w:rsidRPr="00983E22">
              <w:rPr>
                <w:rFonts w:ascii="Book Antiqua" w:eastAsia="宋体" w:hAnsi="Book Antiqua"/>
              </w:rPr>
              <w:t>mm</w:t>
            </w:r>
          </w:p>
        </w:tc>
      </w:tr>
      <w:tr w:rsidR="00983E22" w:rsidRPr="00983E22" w14:paraId="48766636" w14:textId="77777777" w:rsidTr="005C6870">
        <w:trPr>
          <w:trHeight w:val="70"/>
        </w:trPr>
        <w:tc>
          <w:tcPr>
            <w:tcW w:w="5064" w:type="dxa"/>
            <w:shd w:val="clear" w:color="auto" w:fill="auto"/>
            <w:tcMar>
              <w:top w:w="0" w:type="dxa"/>
              <w:left w:w="108" w:type="dxa"/>
              <w:bottom w:w="0" w:type="dxa"/>
              <w:right w:w="108" w:type="dxa"/>
            </w:tcMar>
          </w:tcPr>
          <w:p w14:paraId="58244ED3"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Treatment</w:t>
            </w:r>
          </w:p>
        </w:tc>
        <w:tc>
          <w:tcPr>
            <w:tcW w:w="4226" w:type="dxa"/>
            <w:shd w:val="clear" w:color="auto" w:fill="auto"/>
            <w:tcMar>
              <w:top w:w="0" w:type="dxa"/>
              <w:left w:w="108" w:type="dxa"/>
              <w:bottom w:w="0" w:type="dxa"/>
              <w:right w:w="108" w:type="dxa"/>
            </w:tcMar>
          </w:tcPr>
          <w:p w14:paraId="03F0D05E" w14:textId="77777777" w:rsidR="00983E22" w:rsidRPr="00983E22" w:rsidRDefault="005B0BA9" w:rsidP="00CF74AD">
            <w:pPr>
              <w:autoSpaceDE w:val="0"/>
              <w:adjustRightInd w:val="0"/>
              <w:snapToGrid w:val="0"/>
              <w:spacing w:line="360" w:lineRule="auto"/>
              <w:jc w:val="both"/>
              <w:rPr>
                <w:rFonts w:ascii="Book Antiqua" w:eastAsia="宋体" w:hAnsi="Book Antiqua"/>
              </w:rPr>
            </w:pPr>
            <w:r>
              <w:rPr>
                <w:rFonts w:ascii="Book Antiqua" w:eastAsia="宋体" w:hAnsi="Book Antiqua"/>
              </w:rPr>
              <w:t>78 operative/</w:t>
            </w:r>
            <w:r w:rsidR="00983E22" w:rsidRPr="00983E22">
              <w:rPr>
                <w:rFonts w:ascii="Book Antiqua" w:eastAsia="宋体" w:hAnsi="Book Antiqua"/>
              </w:rPr>
              <w:t>22 conservative</w:t>
            </w:r>
          </w:p>
        </w:tc>
      </w:tr>
      <w:tr w:rsidR="00983E22" w:rsidRPr="00983E22" w14:paraId="3F769DCB" w14:textId="77777777" w:rsidTr="005C6870">
        <w:trPr>
          <w:trHeight w:val="293"/>
        </w:trPr>
        <w:tc>
          <w:tcPr>
            <w:tcW w:w="5064" w:type="dxa"/>
            <w:shd w:val="clear" w:color="auto" w:fill="auto"/>
            <w:tcMar>
              <w:top w:w="0" w:type="dxa"/>
              <w:left w:w="108" w:type="dxa"/>
              <w:bottom w:w="0" w:type="dxa"/>
              <w:right w:w="108" w:type="dxa"/>
            </w:tcMar>
          </w:tcPr>
          <w:p w14:paraId="013C0B13"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Approach (open reduction only)</w:t>
            </w:r>
          </w:p>
        </w:tc>
        <w:tc>
          <w:tcPr>
            <w:tcW w:w="4226" w:type="dxa"/>
            <w:shd w:val="clear" w:color="auto" w:fill="auto"/>
            <w:tcMar>
              <w:top w:w="0" w:type="dxa"/>
              <w:left w:w="108" w:type="dxa"/>
              <w:bottom w:w="0" w:type="dxa"/>
              <w:right w:w="108" w:type="dxa"/>
            </w:tcMar>
          </w:tcPr>
          <w:p w14:paraId="77818921" w14:textId="77777777" w:rsidR="00983E22" w:rsidRPr="00983E22" w:rsidRDefault="005B0BA9" w:rsidP="00CF74AD">
            <w:pPr>
              <w:autoSpaceDE w:val="0"/>
              <w:adjustRightInd w:val="0"/>
              <w:snapToGrid w:val="0"/>
              <w:spacing w:line="360" w:lineRule="auto"/>
              <w:jc w:val="both"/>
              <w:rPr>
                <w:rFonts w:ascii="Book Antiqua" w:eastAsia="宋体" w:hAnsi="Book Antiqua"/>
              </w:rPr>
            </w:pPr>
            <w:r>
              <w:rPr>
                <w:rFonts w:ascii="Book Antiqua" w:eastAsia="宋体" w:hAnsi="Book Antiqua"/>
              </w:rPr>
              <w:t>37 anterior/</w:t>
            </w:r>
            <w:r w:rsidR="00983E22" w:rsidRPr="00983E22">
              <w:rPr>
                <w:rFonts w:ascii="Book Antiqua" w:eastAsia="宋体" w:hAnsi="Book Antiqua"/>
              </w:rPr>
              <w:t>18 posterior</w:t>
            </w:r>
          </w:p>
        </w:tc>
      </w:tr>
      <w:tr w:rsidR="00983E22" w:rsidRPr="00983E22" w14:paraId="144D95FC" w14:textId="77777777" w:rsidTr="005C6870">
        <w:trPr>
          <w:trHeight w:val="410"/>
        </w:trPr>
        <w:tc>
          <w:tcPr>
            <w:tcW w:w="5064" w:type="dxa"/>
            <w:shd w:val="clear" w:color="auto" w:fill="auto"/>
            <w:tcMar>
              <w:top w:w="0" w:type="dxa"/>
              <w:left w:w="108" w:type="dxa"/>
              <w:bottom w:w="0" w:type="dxa"/>
              <w:right w:w="108" w:type="dxa"/>
            </w:tcMar>
          </w:tcPr>
          <w:p w14:paraId="44903BDA"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FJS</w:t>
            </w:r>
          </w:p>
        </w:tc>
        <w:tc>
          <w:tcPr>
            <w:tcW w:w="4226" w:type="dxa"/>
            <w:shd w:val="clear" w:color="auto" w:fill="auto"/>
            <w:tcMar>
              <w:top w:w="0" w:type="dxa"/>
              <w:left w:w="108" w:type="dxa"/>
              <w:bottom w:w="0" w:type="dxa"/>
              <w:right w:w="108" w:type="dxa"/>
            </w:tcMar>
          </w:tcPr>
          <w:p w14:paraId="6C55027E" w14:textId="77777777" w:rsidR="00983E22" w:rsidRPr="00983E22" w:rsidRDefault="005B0BA9" w:rsidP="00CF74AD">
            <w:pPr>
              <w:autoSpaceDE w:val="0"/>
              <w:adjustRightInd w:val="0"/>
              <w:snapToGrid w:val="0"/>
              <w:spacing w:line="360" w:lineRule="auto"/>
              <w:jc w:val="both"/>
              <w:rPr>
                <w:rFonts w:ascii="Book Antiqua" w:eastAsia="宋体" w:hAnsi="Book Antiqua"/>
                <w:lang w:val="en-GB" w:eastAsia="zh-CN"/>
              </w:rPr>
            </w:pPr>
            <w:r>
              <w:rPr>
                <w:rFonts w:ascii="Book Antiqua" w:eastAsia="宋体" w:hAnsi="Book Antiqua"/>
                <w:lang w:val="en-GB"/>
              </w:rPr>
              <w:t xml:space="preserve">41.4 </w:t>
            </w:r>
            <w:r w:rsidR="00983E22" w:rsidRPr="00983E22">
              <w:rPr>
                <w:rFonts w:ascii="Book Antiqua" w:eastAsia="宋体" w:hAnsi="Book Antiqua"/>
                <w:lang w:val="en-GB"/>
              </w:rPr>
              <w:t>±</w:t>
            </w:r>
            <w:r>
              <w:rPr>
                <w:rFonts w:ascii="Book Antiqua" w:eastAsia="宋体" w:hAnsi="Book Antiqua" w:hint="eastAsia"/>
                <w:lang w:val="en-GB" w:eastAsia="zh-CN"/>
              </w:rPr>
              <w:t xml:space="preserve"> </w:t>
            </w:r>
            <w:r w:rsidR="00983E22" w:rsidRPr="00983E22">
              <w:rPr>
                <w:rFonts w:ascii="Book Antiqua" w:eastAsia="宋体" w:hAnsi="Book Antiqua"/>
                <w:lang w:val="en-GB"/>
              </w:rPr>
              <w:t>29.7</w:t>
            </w:r>
          </w:p>
        </w:tc>
      </w:tr>
      <w:tr w:rsidR="00983E22" w:rsidRPr="00983E22" w14:paraId="0B07F14E" w14:textId="77777777" w:rsidTr="005C6870">
        <w:trPr>
          <w:trHeight w:val="410"/>
        </w:trPr>
        <w:tc>
          <w:tcPr>
            <w:tcW w:w="5064" w:type="dxa"/>
            <w:shd w:val="clear" w:color="auto" w:fill="auto"/>
            <w:tcMar>
              <w:top w:w="0" w:type="dxa"/>
              <w:left w:w="108" w:type="dxa"/>
              <w:bottom w:w="0" w:type="dxa"/>
              <w:right w:w="108" w:type="dxa"/>
            </w:tcMar>
          </w:tcPr>
          <w:p w14:paraId="7F7FA1E9" w14:textId="38ED9946" w:rsidR="00983E22" w:rsidRPr="00983E22" w:rsidRDefault="00983E22" w:rsidP="00CF74AD">
            <w:pPr>
              <w:autoSpaceDE w:val="0"/>
              <w:adjustRightInd w:val="0"/>
              <w:snapToGrid w:val="0"/>
              <w:spacing w:line="360" w:lineRule="auto"/>
              <w:jc w:val="both"/>
              <w:rPr>
                <w:rFonts w:ascii="Book Antiqua" w:eastAsia="宋体" w:hAnsi="Book Antiqua"/>
                <w:lang w:val="en-GB"/>
              </w:rPr>
            </w:pPr>
            <w:bookmarkStart w:id="118" w:name="OLE_LINK31"/>
            <w:bookmarkStart w:id="119" w:name="OLE_LINK32"/>
            <w:r w:rsidRPr="00983E22">
              <w:rPr>
                <w:rFonts w:ascii="Book Antiqua" w:eastAsia="宋体" w:hAnsi="Book Antiqua"/>
                <w:lang w:val="en-GB"/>
              </w:rPr>
              <w:t>WOMAC-VAS</w:t>
            </w:r>
            <w:bookmarkEnd w:id="118"/>
            <w:bookmarkEnd w:id="119"/>
          </w:p>
        </w:tc>
        <w:tc>
          <w:tcPr>
            <w:tcW w:w="4226" w:type="dxa"/>
            <w:shd w:val="clear" w:color="auto" w:fill="auto"/>
            <w:tcMar>
              <w:top w:w="0" w:type="dxa"/>
              <w:left w:w="108" w:type="dxa"/>
              <w:bottom w:w="0" w:type="dxa"/>
              <w:right w:w="108" w:type="dxa"/>
            </w:tcMar>
          </w:tcPr>
          <w:p w14:paraId="5E735EC7" w14:textId="77777777" w:rsidR="00983E22" w:rsidRPr="00983E22" w:rsidRDefault="005B0BA9" w:rsidP="00CF74AD">
            <w:pPr>
              <w:autoSpaceDE w:val="0"/>
              <w:adjustRightInd w:val="0"/>
              <w:snapToGrid w:val="0"/>
              <w:spacing w:line="360" w:lineRule="auto"/>
              <w:jc w:val="both"/>
              <w:rPr>
                <w:rFonts w:ascii="Book Antiqua" w:eastAsia="宋体" w:hAnsi="Book Antiqua"/>
                <w:lang w:val="en-GB" w:eastAsia="zh-CN"/>
              </w:rPr>
            </w:pPr>
            <w:r>
              <w:rPr>
                <w:rFonts w:ascii="Book Antiqua" w:eastAsia="宋体" w:hAnsi="Book Antiqua"/>
                <w:lang w:val="en-GB"/>
              </w:rPr>
              <w:t xml:space="preserve">60.6 </w:t>
            </w:r>
            <w:r w:rsidR="00983E22" w:rsidRPr="00983E22">
              <w:rPr>
                <w:rFonts w:ascii="Book Antiqua" w:eastAsia="宋体" w:hAnsi="Book Antiqua"/>
                <w:lang w:val="en-GB"/>
              </w:rPr>
              <w:t>±</w:t>
            </w:r>
            <w:r>
              <w:rPr>
                <w:rFonts w:ascii="Book Antiqua" w:eastAsia="宋体" w:hAnsi="Book Antiqua" w:hint="eastAsia"/>
                <w:lang w:val="en-GB" w:eastAsia="zh-CN"/>
              </w:rPr>
              <w:t xml:space="preserve"> </w:t>
            </w:r>
            <w:r w:rsidR="00983E22" w:rsidRPr="00983E22">
              <w:rPr>
                <w:rFonts w:ascii="Book Antiqua" w:eastAsia="宋体" w:hAnsi="Book Antiqua"/>
                <w:lang w:val="en-GB"/>
              </w:rPr>
              <w:t>63.3</w:t>
            </w:r>
          </w:p>
        </w:tc>
      </w:tr>
      <w:tr w:rsidR="00983E22" w:rsidRPr="00983E22" w14:paraId="4F873A9D" w14:textId="77777777" w:rsidTr="005C6870">
        <w:trPr>
          <w:trHeight w:val="398"/>
        </w:trPr>
        <w:tc>
          <w:tcPr>
            <w:tcW w:w="5064" w:type="dxa"/>
            <w:shd w:val="clear" w:color="auto" w:fill="auto"/>
            <w:tcMar>
              <w:top w:w="0" w:type="dxa"/>
              <w:left w:w="108" w:type="dxa"/>
              <w:bottom w:w="0" w:type="dxa"/>
              <w:right w:w="108" w:type="dxa"/>
            </w:tcMar>
          </w:tcPr>
          <w:p w14:paraId="4AC0FE39" w14:textId="542767C4" w:rsidR="00983E22" w:rsidRPr="00983E22" w:rsidRDefault="00983E22" w:rsidP="00CF74AD">
            <w:pPr>
              <w:autoSpaceDE w:val="0"/>
              <w:adjustRightInd w:val="0"/>
              <w:snapToGrid w:val="0"/>
              <w:spacing w:line="360" w:lineRule="auto"/>
              <w:jc w:val="both"/>
              <w:rPr>
                <w:rFonts w:ascii="Book Antiqua" w:eastAsia="宋体" w:hAnsi="Book Antiqua"/>
                <w:lang w:val="en-GB"/>
              </w:rPr>
            </w:pPr>
            <w:bookmarkStart w:id="120" w:name="OLE_LINK33"/>
            <w:r w:rsidRPr="00983E22">
              <w:rPr>
                <w:rFonts w:ascii="Book Antiqua" w:eastAsia="宋体" w:hAnsi="Book Antiqua"/>
                <w:lang w:val="en-GB"/>
              </w:rPr>
              <w:t>EQ-5D</w:t>
            </w:r>
            <w:bookmarkEnd w:id="120"/>
            <w:r w:rsidRPr="00983E22">
              <w:rPr>
                <w:rFonts w:ascii="Book Antiqua" w:eastAsia="宋体" w:hAnsi="Book Antiqua"/>
                <w:lang w:val="en-GB"/>
              </w:rPr>
              <w:t xml:space="preserve"> Index</w:t>
            </w:r>
          </w:p>
        </w:tc>
        <w:tc>
          <w:tcPr>
            <w:tcW w:w="4226" w:type="dxa"/>
            <w:shd w:val="clear" w:color="auto" w:fill="auto"/>
            <w:tcMar>
              <w:top w:w="0" w:type="dxa"/>
              <w:left w:w="108" w:type="dxa"/>
              <w:bottom w:w="0" w:type="dxa"/>
              <w:right w:w="108" w:type="dxa"/>
            </w:tcMar>
          </w:tcPr>
          <w:p w14:paraId="68E5B615"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eastAsia="zh-CN"/>
              </w:rPr>
            </w:pPr>
            <w:r w:rsidRPr="00983E22">
              <w:rPr>
                <w:rFonts w:ascii="Book Antiqua" w:eastAsia="宋体" w:hAnsi="Book Antiqua"/>
                <w:lang w:val="en-GB"/>
              </w:rPr>
              <w:t>0.90 ±</w:t>
            </w:r>
            <w:r w:rsidR="005B0BA9">
              <w:rPr>
                <w:rFonts w:ascii="Book Antiqua" w:eastAsia="宋体" w:hAnsi="Book Antiqua" w:hint="eastAsia"/>
                <w:lang w:val="en-GB" w:eastAsia="zh-CN"/>
              </w:rPr>
              <w:t xml:space="preserve"> </w:t>
            </w:r>
            <w:r w:rsidRPr="00983E22">
              <w:rPr>
                <w:rFonts w:ascii="Book Antiqua" w:eastAsia="宋体" w:hAnsi="Book Antiqua"/>
                <w:lang w:val="en-GB"/>
              </w:rPr>
              <w:t>0.09</w:t>
            </w:r>
          </w:p>
        </w:tc>
      </w:tr>
      <w:tr w:rsidR="00983E22" w:rsidRPr="00983E22" w14:paraId="5FB46DD2" w14:textId="77777777" w:rsidTr="005C6870">
        <w:trPr>
          <w:trHeight w:val="410"/>
        </w:trPr>
        <w:tc>
          <w:tcPr>
            <w:tcW w:w="5064" w:type="dxa"/>
            <w:shd w:val="clear" w:color="auto" w:fill="auto"/>
            <w:tcMar>
              <w:top w:w="0" w:type="dxa"/>
              <w:left w:w="108" w:type="dxa"/>
              <w:bottom w:w="0" w:type="dxa"/>
              <w:right w:w="108" w:type="dxa"/>
            </w:tcMar>
          </w:tcPr>
          <w:p w14:paraId="11E083F6"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 xml:space="preserve">EQ-5D </w:t>
            </w:r>
            <w:bookmarkStart w:id="121" w:name="OLE_LINK34"/>
            <w:bookmarkStart w:id="122" w:name="OLE_LINK35"/>
            <w:r w:rsidRPr="00983E22">
              <w:rPr>
                <w:rFonts w:ascii="Book Antiqua" w:eastAsia="宋体" w:hAnsi="Book Antiqua"/>
                <w:lang w:val="en-GB"/>
              </w:rPr>
              <w:t>VAS</w:t>
            </w:r>
            <w:bookmarkEnd w:id="121"/>
            <w:bookmarkEnd w:id="122"/>
          </w:p>
        </w:tc>
        <w:tc>
          <w:tcPr>
            <w:tcW w:w="4226" w:type="dxa"/>
            <w:shd w:val="clear" w:color="auto" w:fill="auto"/>
            <w:tcMar>
              <w:top w:w="0" w:type="dxa"/>
              <w:left w:w="108" w:type="dxa"/>
              <w:bottom w:w="0" w:type="dxa"/>
              <w:right w:w="108" w:type="dxa"/>
            </w:tcMar>
          </w:tcPr>
          <w:p w14:paraId="6D332F8F" w14:textId="77777777" w:rsidR="00983E22" w:rsidRPr="00983E22" w:rsidRDefault="005B0BA9" w:rsidP="00CF74AD">
            <w:pPr>
              <w:autoSpaceDE w:val="0"/>
              <w:adjustRightInd w:val="0"/>
              <w:snapToGrid w:val="0"/>
              <w:spacing w:line="360" w:lineRule="auto"/>
              <w:jc w:val="both"/>
              <w:rPr>
                <w:rFonts w:ascii="Book Antiqua" w:eastAsia="宋体" w:hAnsi="Book Antiqua"/>
                <w:lang w:val="en-GB" w:eastAsia="zh-CN"/>
              </w:rPr>
            </w:pPr>
            <w:r>
              <w:rPr>
                <w:rFonts w:ascii="Book Antiqua" w:eastAsia="宋体" w:hAnsi="Book Antiqua"/>
                <w:lang w:val="en-GB"/>
              </w:rPr>
              <w:t xml:space="preserve">67.8 </w:t>
            </w:r>
            <w:r w:rsidR="00983E22" w:rsidRPr="00983E22">
              <w:rPr>
                <w:rFonts w:ascii="Book Antiqua" w:eastAsia="宋体" w:hAnsi="Book Antiqua"/>
                <w:lang w:val="en-GB"/>
              </w:rPr>
              <w:t>±</w:t>
            </w:r>
            <w:r>
              <w:rPr>
                <w:rFonts w:ascii="Book Antiqua" w:eastAsia="宋体" w:hAnsi="Book Antiqua" w:hint="eastAsia"/>
                <w:lang w:val="en-GB" w:eastAsia="zh-CN"/>
              </w:rPr>
              <w:t xml:space="preserve"> </w:t>
            </w:r>
            <w:r w:rsidR="00983E22" w:rsidRPr="00983E22">
              <w:rPr>
                <w:rFonts w:ascii="Book Antiqua" w:eastAsia="宋体" w:hAnsi="Book Antiqua"/>
                <w:lang w:val="en-GB"/>
              </w:rPr>
              <w:t>23.0</w:t>
            </w:r>
          </w:p>
        </w:tc>
      </w:tr>
      <w:tr w:rsidR="005B0BA9" w:rsidRPr="00983E22" w14:paraId="1C1CCEF1" w14:textId="77777777" w:rsidTr="005C6870">
        <w:trPr>
          <w:trHeight w:val="421"/>
        </w:trPr>
        <w:tc>
          <w:tcPr>
            <w:tcW w:w="5064" w:type="dxa"/>
            <w:shd w:val="clear" w:color="auto" w:fill="auto"/>
            <w:tcMar>
              <w:top w:w="0" w:type="dxa"/>
              <w:left w:w="108" w:type="dxa"/>
              <w:bottom w:w="0" w:type="dxa"/>
              <w:right w:w="108" w:type="dxa"/>
            </w:tcMar>
          </w:tcPr>
          <w:p w14:paraId="27E5E848" w14:textId="3E895DC0" w:rsidR="00983E22" w:rsidRPr="00983E22" w:rsidRDefault="00983E22" w:rsidP="00CF74AD">
            <w:pPr>
              <w:autoSpaceDE w:val="0"/>
              <w:adjustRightInd w:val="0"/>
              <w:snapToGrid w:val="0"/>
              <w:spacing w:line="360" w:lineRule="auto"/>
              <w:jc w:val="both"/>
              <w:rPr>
                <w:rFonts w:ascii="Book Antiqua" w:eastAsia="宋体" w:hAnsi="Book Antiqua"/>
                <w:lang w:val="en-GB"/>
              </w:rPr>
            </w:pPr>
            <w:bookmarkStart w:id="123" w:name="OLE_LINK36"/>
            <w:r w:rsidRPr="00983E22">
              <w:rPr>
                <w:rFonts w:ascii="Book Antiqua" w:eastAsia="宋体" w:hAnsi="Book Antiqua"/>
                <w:lang w:val="en-GB"/>
              </w:rPr>
              <w:t>TAS</w:t>
            </w:r>
            <w:bookmarkEnd w:id="123"/>
          </w:p>
        </w:tc>
        <w:tc>
          <w:tcPr>
            <w:tcW w:w="4226" w:type="dxa"/>
            <w:shd w:val="clear" w:color="auto" w:fill="auto"/>
            <w:tcMar>
              <w:top w:w="0" w:type="dxa"/>
              <w:left w:w="108" w:type="dxa"/>
              <w:bottom w:w="0" w:type="dxa"/>
              <w:right w:w="108" w:type="dxa"/>
            </w:tcMar>
          </w:tcPr>
          <w:p w14:paraId="3A0CE793" w14:textId="77777777" w:rsidR="00983E22" w:rsidRPr="00983E22" w:rsidRDefault="005B0BA9" w:rsidP="00CF74AD">
            <w:pPr>
              <w:autoSpaceDE w:val="0"/>
              <w:adjustRightInd w:val="0"/>
              <w:snapToGrid w:val="0"/>
              <w:spacing w:line="360" w:lineRule="auto"/>
              <w:jc w:val="both"/>
              <w:rPr>
                <w:rFonts w:ascii="Book Antiqua" w:eastAsia="宋体" w:hAnsi="Book Antiqua"/>
                <w:lang w:val="en-GB" w:eastAsia="zh-CN"/>
              </w:rPr>
            </w:pPr>
            <w:r>
              <w:rPr>
                <w:rFonts w:ascii="Book Antiqua" w:eastAsia="宋体" w:hAnsi="Book Antiqua"/>
                <w:lang w:val="en-GB"/>
              </w:rPr>
              <w:t xml:space="preserve">3.6 </w:t>
            </w:r>
            <w:r w:rsidR="00983E22" w:rsidRPr="00983E22">
              <w:rPr>
                <w:rFonts w:ascii="Book Antiqua" w:eastAsia="宋体" w:hAnsi="Book Antiqua"/>
                <w:lang w:val="en-GB"/>
              </w:rPr>
              <w:t>±</w:t>
            </w:r>
            <w:r>
              <w:rPr>
                <w:rFonts w:ascii="Book Antiqua" w:eastAsia="宋体" w:hAnsi="Book Antiqua" w:hint="eastAsia"/>
                <w:lang w:val="en-GB" w:eastAsia="zh-CN"/>
              </w:rPr>
              <w:t xml:space="preserve"> </w:t>
            </w:r>
            <w:r w:rsidR="00983E22" w:rsidRPr="00983E22">
              <w:rPr>
                <w:rFonts w:ascii="Book Antiqua" w:eastAsia="宋体" w:hAnsi="Book Antiqua"/>
                <w:lang w:val="en-GB"/>
              </w:rPr>
              <w:t>1.8</w:t>
            </w:r>
          </w:p>
        </w:tc>
      </w:tr>
    </w:tbl>
    <w:p w14:paraId="183BB38B" w14:textId="77777777" w:rsidR="00983E22" w:rsidRPr="00983E22" w:rsidRDefault="00615C9C" w:rsidP="00CF74AD">
      <w:pPr>
        <w:adjustRightInd w:val="0"/>
        <w:snapToGrid w:val="0"/>
        <w:spacing w:line="360" w:lineRule="auto"/>
        <w:jc w:val="both"/>
        <w:rPr>
          <w:rFonts w:ascii="Book Antiqua" w:eastAsia="宋体" w:hAnsi="Book Antiqua"/>
          <w:b/>
          <w:lang w:eastAsia="zh-CN"/>
        </w:rPr>
      </w:pPr>
      <w:bookmarkStart w:id="124" w:name="OLE_LINK44"/>
      <w:bookmarkStart w:id="125" w:name="OLE_LINK45"/>
      <w:r>
        <w:rPr>
          <w:rFonts w:ascii="Book Antiqua" w:eastAsia="宋体" w:hAnsi="Book Antiqua" w:hint="eastAsia"/>
          <w:lang w:eastAsia="zh-CN"/>
        </w:rPr>
        <w:t xml:space="preserve">FJS: </w:t>
      </w:r>
      <w:r>
        <w:rPr>
          <w:rFonts w:ascii="Book Antiqua" w:eastAsia="Book Antiqua" w:hAnsi="Book Antiqua" w:cs="Book Antiqua"/>
          <w:color w:val="000000"/>
        </w:rPr>
        <w:t>Forgotten Joint Score</w:t>
      </w:r>
      <w:r>
        <w:rPr>
          <w:rFonts w:ascii="Book Antiqua" w:eastAsia="宋体" w:hAnsi="Book Antiqua" w:hint="eastAsia"/>
          <w:lang w:eastAsia="zh-CN"/>
        </w:rPr>
        <w:t>;</w:t>
      </w:r>
      <w:r w:rsidRPr="00615C9C">
        <w:rPr>
          <w:rFonts w:ascii="Book Antiqua" w:eastAsia="宋体" w:hAnsi="Book Antiqua"/>
          <w:lang w:val="en-GB"/>
        </w:rPr>
        <w:t xml:space="preserve"> </w:t>
      </w:r>
      <w:r w:rsidRPr="00983E22">
        <w:rPr>
          <w:rFonts w:ascii="Book Antiqua" w:eastAsia="宋体" w:hAnsi="Book Antiqua"/>
          <w:lang w:val="en-GB"/>
        </w:rPr>
        <w:t>WOMAC-VAS</w:t>
      </w:r>
      <w:r>
        <w:rPr>
          <w:rFonts w:ascii="Book Antiqua" w:eastAsia="宋体" w:hAnsi="Book Antiqua" w:hint="eastAsia"/>
          <w:lang w:val="en-GB" w:eastAsia="zh-CN"/>
        </w:rPr>
        <w:t xml:space="preserve">: </w:t>
      </w:r>
      <w:r>
        <w:rPr>
          <w:rFonts w:ascii="Book Antiqua" w:eastAsia="Book Antiqua" w:hAnsi="Book Antiqua" w:cs="Book Antiqua"/>
          <w:color w:val="000000"/>
        </w:rPr>
        <w:t>Western Ontario and McMaster Universities Osteoarthritis Index-</w:t>
      </w:r>
      <w:bookmarkStart w:id="126" w:name="OLE_LINK46"/>
      <w:bookmarkStart w:id="127" w:name="OLE_LINK47"/>
      <w:r>
        <w:rPr>
          <w:rFonts w:ascii="Book Antiqua" w:eastAsia="Book Antiqua" w:hAnsi="Book Antiqua" w:cs="Book Antiqua"/>
          <w:color w:val="000000"/>
        </w:rPr>
        <w:t>Visual Analog Scale</w:t>
      </w:r>
      <w:bookmarkEnd w:id="126"/>
      <w:bookmarkEnd w:id="127"/>
      <w:r>
        <w:rPr>
          <w:rFonts w:ascii="Book Antiqua" w:eastAsia="宋体" w:hAnsi="Book Antiqua" w:hint="eastAsia"/>
          <w:lang w:val="en-GB" w:eastAsia="zh-CN"/>
        </w:rPr>
        <w:t xml:space="preserve">; </w:t>
      </w:r>
      <w:r w:rsidRPr="00983E22">
        <w:rPr>
          <w:rFonts w:ascii="Book Antiqua" w:eastAsia="宋体" w:hAnsi="Book Antiqua"/>
          <w:lang w:val="en-GB"/>
        </w:rPr>
        <w:t>EQ-5D</w:t>
      </w:r>
      <w:r>
        <w:rPr>
          <w:rFonts w:ascii="Book Antiqua" w:eastAsia="宋体" w:hAnsi="Book Antiqua" w:hint="eastAsia"/>
          <w:lang w:val="en-GB" w:eastAsia="zh-CN"/>
        </w:rPr>
        <w:t xml:space="preserve">: </w:t>
      </w:r>
      <w:r>
        <w:rPr>
          <w:rFonts w:ascii="Book Antiqua" w:eastAsia="Book Antiqua" w:hAnsi="Book Antiqua" w:cs="Book Antiqua"/>
          <w:color w:val="000000"/>
        </w:rPr>
        <w:t>EuroQol-5D</w:t>
      </w:r>
      <w:r>
        <w:rPr>
          <w:rFonts w:ascii="Book Antiqua" w:eastAsia="宋体" w:hAnsi="Book Antiqua" w:hint="eastAsia"/>
          <w:lang w:val="en-GB" w:eastAsia="zh-CN"/>
        </w:rPr>
        <w:t xml:space="preserve">; </w:t>
      </w:r>
      <w:r w:rsidRPr="00983E22">
        <w:rPr>
          <w:rFonts w:ascii="Book Antiqua" w:eastAsia="宋体" w:hAnsi="Book Antiqua"/>
          <w:lang w:val="en-GB"/>
        </w:rPr>
        <w:t>TAS</w:t>
      </w:r>
      <w:r>
        <w:rPr>
          <w:rFonts w:ascii="Book Antiqua" w:eastAsia="宋体" w:hAnsi="Book Antiqua" w:hint="eastAsia"/>
          <w:lang w:val="en-GB" w:eastAsia="zh-CN"/>
        </w:rPr>
        <w:t xml:space="preserv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r>
        <w:rPr>
          <w:rFonts w:ascii="Book Antiqua" w:eastAsia="宋体" w:hAnsi="Book Antiqua" w:hint="eastAsia"/>
          <w:lang w:val="en-GB" w:eastAsia="zh-CN"/>
        </w:rPr>
        <w:t>.</w:t>
      </w:r>
    </w:p>
    <w:bookmarkEnd w:id="124"/>
    <w:bookmarkEnd w:id="125"/>
    <w:p w14:paraId="4563939E" w14:textId="77777777" w:rsidR="00983E22" w:rsidRPr="00983E22" w:rsidRDefault="00983E22" w:rsidP="00CF74AD">
      <w:pPr>
        <w:adjustRightInd w:val="0"/>
        <w:snapToGrid w:val="0"/>
        <w:spacing w:line="360" w:lineRule="auto"/>
        <w:jc w:val="both"/>
        <w:rPr>
          <w:rFonts w:ascii="Book Antiqua" w:eastAsia="宋体" w:hAnsi="Book Antiqua"/>
        </w:rPr>
      </w:pPr>
    </w:p>
    <w:p w14:paraId="1822F01D" w14:textId="77777777" w:rsidR="00983E22" w:rsidRPr="00983E22" w:rsidRDefault="00983E22" w:rsidP="00CF74AD">
      <w:pPr>
        <w:adjustRightInd w:val="0"/>
        <w:snapToGrid w:val="0"/>
        <w:spacing w:line="360" w:lineRule="auto"/>
        <w:jc w:val="both"/>
        <w:rPr>
          <w:rFonts w:ascii="Book Antiqua" w:eastAsia="宋体" w:hAnsi="Book Antiqua"/>
          <w:b/>
        </w:rPr>
      </w:pPr>
      <w:r w:rsidRPr="00CF74AD">
        <w:rPr>
          <w:rFonts w:ascii="Book Antiqua" w:eastAsia="宋体" w:hAnsi="Book Antiqua"/>
        </w:rPr>
        <w:br w:type="page"/>
      </w:r>
      <w:r w:rsidRPr="00160354">
        <w:rPr>
          <w:rFonts w:ascii="Book Antiqua" w:eastAsia="宋体" w:hAnsi="Book Antiqua"/>
          <w:b/>
        </w:rPr>
        <w:lastRenderedPageBreak/>
        <w:t>Table 2</w:t>
      </w:r>
      <w:r w:rsidRPr="00983E22">
        <w:rPr>
          <w:rFonts w:ascii="Book Antiqua" w:eastAsia="宋体" w:hAnsi="Book Antiqua"/>
          <w:b/>
        </w:rPr>
        <w:t xml:space="preserve"> Detailed data on correlation of functional scores indicating a positive rating for convergent validity (</w:t>
      </w:r>
      <w:r w:rsidRPr="00983E22">
        <w:rPr>
          <w:rFonts w:ascii="Book Antiqua" w:eastAsia="宋体" w:hAnsi="Book Antiqua"/>
          <w:b/>
          <w:i/>
        </w:rPr>
        <w:t>r</w:t>
      </w:r>
      <w:r w:rsidR="00DC105A" w:rsidRPr="00160354">
        <w:rPr>
          <w:rFonts w:ascii="Book Antiqua" w:eastAsia="宋体" w:hAnsi="Book Antiqua" w:hint="eastAsia"/>
          <w:b/>
          <w:lang w:eastAsia="zh-CN"/>
        </w:rPr>
        <w:t xml:space="preserve"> </w:t>
      </w:r>
      <w:r w:rsidRPr="00983E22">
        <w:rPr>
          <w:rFonts w:ascii="Book Antiqua" w:eastAsia="宋体" w:hAnsi="Book Antiqua"/>
          <w:b/>
        </w:rPr>
        <w:t>=</w:t>
      </w:r>
      <w:r w:rsidRPr="00983E22">
        <w:rPr>
          <w:rFonts w:ascii="Book Antiqua" w:eastAsia="宋体" w:hAnsi="Book Antiqua" w:cs="Arial"/>
          <w:b/>
          <w:lang w:val="en-GB"/>
        </w:rPr>
        <w:t xml:space="preserve"> Spearmen’s rank correlation coefficient) level of significance </w:t>
      </w:r>
      <w:r w:rsidR="00160354" w:rsidRPr="00160354">
        <w:rPr>
          <w:rFonts w:ascii="Book Antiqua" w:eastAsia="宋体" w:hAnsi="Book Antiqua" w:cs="Arial"/>
          <w:b/>
          <w:i/>
          <w:lang w:val="en-GB"/>
        </w:rPr>
        <w:t>P</w:t>
      </w:r>
      <w:r w:rsidR="00160354" w:rsidRPr="00160354">
        <w:rPr>
          <w:rFonts w:ascii="Book Antiqua" w:eastAsia="宋体" w:hAnsi="Book Antiqua" w:cs="Arial" w:hint="eastAsia"/>
          <w:b/>
          <w:lang w:val="en-GB" w:eastAsia="zh-CN"/>
        </w:rPr>
        <w:t xml:space="preserve"> </w:t>
      </w:r>
      <w:r w:rsidRPr="00983E22">
        <w:rPr>
          <w:rFonts w:ascii="Book Antiqua" w:eastAsia="宋体" w:hAnsi="Book Antiqua" w:cs="Arial"/>
          <w:b/>
          <w:lang w:val="en-GB"/>
        </w:rPr>
        <w:t>&lt;</w:t>
      </w:r>
      <w:r w:rsidR="00160354" w:rsidRPr="00160354">
        <w:rPr>
          <w:rFonts w:ascii="Book Antiqua" w:eastAsia="宋体" w:hAnsi="Book Antiqua" w:cs="Arial" w:hint="eastAsia"/>
          <w:b/>
          <w:lang w:val="en-GB" w:eastAsia="zh-CN"/>
        </w:rPr>
        <w:t xml:space="preserve"> </w:t>
      </w:r>
      <w:r w:rsidRPr="00983E22">
        <w:rPr>
          <w:rFonts w:ascii="Book Antiqua" w:eastAsia="宋体" w:hAnsi="Book Antiqua" w:cs="Arial"/>
          <w:b/>
          <w:lang w:val="en-GB"/>
        </w:rPr>
        <w:t>0.05</w:t>
      </w:r>
    </w:p>
    <w:tbl>
      <w:tblPr>
        <w:tblW w:w="9080" w:type="dxa"/>
        <w:tblBorders>
          <w:top w:val="single" w:sz="8" w:space="0" w:color="000000" w:themeColor="text1"/>
          <w:bottom w:val="single" w:sz="8" w:space="0" w:color="000000" w:themeColor="text1"/>
        </w:tblBorders>
        <w:tblLayout w:type="fixed"/>
        <w:tblCellMar>
          <w:left w:w="0" w:type="dxa"/>
          <w:right w:w="0" w:type="dxa"/>
        </w:tblCellMar>
        <w:tblLook w:val="0000" w:firstRow="0" w:lastRow="0" w:firstColumn="0" w:lastColumn="0" w:noHBand="0" w:noVBand="0"/>
      </w:tblPr>
      <w:tblGrid>
        <w:gridCol w:w="1057"/>
        <w:gridCol w:w="999"/>
        <w:gridCol w:w="1112"/>
        <w:gridCol w:w="1209"/>
        <w:gridCol w:w="1412"/>
        <w:gridCol w:w="1176"/>
        <w:gridCol w:w="1176"/>
        <w:gridCol w:w="939"/>
      </w:tblGrid>
      <w:tr w:rsidR="00983E22" w:rsidRPr="00983E22" w14:paraId="3476D859" w14:textId="77777777" w:rsidTr="00CF38F2">
        <w:trPr>
          <w:cantSplit/>
          <w:trHeight w:val="437"/>
        </w:trPr>
        <w:tc>
          <w:tcPr>
            <w:tcW w:w="1057" w:type="dxa"/>
            <w:tcBorders>
              <w:top w:val="single" w:sz="8" w:space="0" w:color="000000" w:themeColor="text1"/>
              <w:bottom w:val="single" w:sz="8" w:space="0" w:color="000000" w:themeColor="text1"/>
            </w:tcBorders>
            <w:shd w:val="clear" w:color="auto" w:fill="FFFFFF"/>
            <w:vAlign w:val="bottom"/>
          </w:tcPr>
          <w:p w14:paraId="0F62489A" w14:textId="77777777" w:rsidR="00983E22" w:rsidRPr="00983E22" w:rsidRDefault="00983E22" w:rsidP="00CF74AD">
            <w:pPr>
              <w:autoSpaceDE w:val="0"/>
              <w:adjustRightInd w:val="0"/>
              <w:snapToGrid w:val="0"/>
              <w:spacing w:line="360" w:lineRule="auto"/>
              <w:jc w:val="both"/>
              <w:rPr>
                <w:rFonts w:ascii="Book Antiqua" w:eastAsia="宋体" w:hAnsi="Book Antiqua"/>
                <w:b/>
                <w:lang w:val="en-GB"/>
              </w:rPr>
            </w:pPr>
            <w:r w:rsidRPr="00983E22">
              <w:rPr>
                <w:rFonts w:ascii="Book Antiqua" w:eastAsia="宋体" w:hAnsi="Book Antiqua"/>
                <w:b/>
                <w:lang w:val="en-GB"/>
              </w:rPr>
              <w:t>FJS</w:t>
            </w:r>
          </w:p>
        </w:tc>
        <w:tc>
          <w:tcPr>
            <w:tcW w:w="999" w:type="dxa"/>
            <w:tcBorders>
              <w:top w:val="single" w:sz="8" w:space="0" w:color="000000" w:themeColor="text1"/>
              <w:bottom w:val="single" w:sz="8" w:space="0" w:color="000000" w:themeColor="text1"/>
            </w:tcBorders>
            <w:shd w:val="clear" w:color="auto" w:fill="FFFFFF"/>
            <w:vAlign w:val="bottom"/>
          </w:tcPr>
          <w:p w14:paraId="4887FB09" w14:textId="77777777" w:rsidR="00983E22" w:rsidRPr="00983E22" w:rsidRDefault="00983E22" w:rsidP="00CF74AD">
            <w:pPr>
              <w:autoSpaceDE w:val="0"/>
              <w:adjustRightInd w:val="0"/>
              <w:snapToGrid w:val="0"/>
              <w:spacing w:line="360" w:lineRule="auto"/>
              <w:jc w:val="both"/>
              <w:rPr>
                <w:rFonts w:ascii="Book Antiqua" w:eastAsia="宋体" w:hAnsi="Book Antiqua"/>
                <w:b/>
                <w:lang w:val="en-GB"/>
              </w:rPr>
            </w:pPr>
            <w:r w:rsidRPr="00983E22">
              <w:rPr>
                <w:rFonts w:ascii="Book Antiqua" w:eastAsia="宋体" w:hAnsi="Book Antiqua"/>
                <w:b/>
              </w:rPr>
              <w:t>WOM I</w:t>
            </w:r>
          </w:p>
        </w:tc>
        <w:tc>
          <w:tcPr>
            <w:tcW w:w="1112" w:type="dxa"/>
            <w:tcBorders>
              <w:top w:val="single" w:sz="8" w:space="0" w:color="000000" w:themeColor="text1"/>
              <w:bottom w:val="single" w:sz="8" w:space="0" w:color="000000" w:themeColor="text1"/>
            </w:tcBorders>
            <w:shd w:val="clear" w:color="auto" w:fill="FFFFFF"/>
            <w:vAlign w:val="bottom"/>
          </w:tcPr>
          <w:p w14:paraId="23B65FDD" w14:textId="77777777" w:rsidR="00983E22" w:rsidRPr="00983E22" w:rsidRDefault="00983E22" w:rsidP="00CF74AD">
            <w:pPr>
              <w:autoSpaceDE w:val="0"/>
              <w:adjustRightInd w:val="0"/>
              <w:snapToGrid w:val="0"/>
              <w:spacing w:line="360" w:lineRule="auto"/>
              <w:jc w:val="both"/>
              <w:rPr>
                <w:rFonts w:ascii="Book Antiqua" w:eastAsia="宋体" w:hAnsi="Book Antiqua"/>
                <w:b/>
                <w:lang w:val="en-GB"/>
              </w:rPr>
            </w:pPr>
            <w:r w:rsidRPr="00983E22">
              <w:rPr>
                <w:rFonts w:ascii="Book Antiqua" w:eastAsia="宋体" w:hAnsi="Book Antiqua"/>
                <w:b/>
              </w:rPr>
              <w:t>WOM II</w:t>
            </w:r>
          </w:p>
        </w:tc>
        <w:tc>
          <w:tcPr>
            <w:tcW w:w="1209" w:type="dxa"/>
            <w:tcBorders>
              <w:top w:val="single" w:sz="8" w:space="0" w:color="000000" w:themeColor="text1"/>
              <w:bottom w:val="single" w:sz="8" w:space="0" w:color="000000" w:themeColor="text1"/>
            </w:tcBorders>
            <w:shd w:val="clear" w:color="auto" w:fill="FFFFFF"/>
            <w:vAlign w:val="bottom"/>
          </w:tcPr>
          <w:p w14:paraId="268861BA" w14:textId="77777777" w:rsidR="00983E22" w:rsidRPr="00983E22" w:rsidRDefault="00983E22" w:rsidP="00CF74AD">
            <w:pPr>
              <w:autoSpaceDE w:val="0"/>
              <w:adjustRightInd w:val="0"/>
              <w:snapToGrid w:val="0"/>
              <w:spacing w:line="360" w:lineRule="auto"/>
              <w:jc w:val="both"/>
              <w:rPr>
                <w:rFonts w:ascii="Book Antiqua" w:eastAsia="宋体" w:hAnsi="Book Antiqua"/>
                <w:b/>
                <w:lang w:val="en-GB"/>
              </w:rPr>
            </w:pPr>
            <w:r w:rsidRPr="00983E22">
              <w:rPr>
                <w:rFonts w:ascii="Book Antiqua" w:eastAsia="宋体" w:hAnsi="Book Antiqua"/>
                <w:b/>
              </w:rPr>
              <w:t>WOM III</w:t>
            </w:r>
          </w:p>
        </w:tc>
        <w:tc>
          <w:tcPr>
            <w:tcW w:w="1412" w:type="dxa"/>
            <w:tcBorders>
              <w:top w:val="single" w:sz="8" w:space="0" w:color="000000" w:themeColor="text1"/>
              <w:bottom w:val="single" w:sz="8" w:space="0" w:color="000000" w:themeColor="text1"/>
            </w:tcBorders>
            <w:shd w:val="clear" w:color="auto" w:fill="FFFFFF"/>
            <w:vAlign w:val="bottom"/>
          </w:tcPr>
          <w:p w14:paraId="5919D823" w14:textId="77777777" w:rsidR="00983E22" w:rsidRPr="00983E22" w:rsidRDefault="00983E22" w:rsidP="00C75424">
            <w:pPr>
              <w:autoSpaceDE w:val="0"/>
              <w:adjustRightInd w:val="0"/>
              <w:snapToGrid w:val="0"/>
              <w:spacing w:line="360" w:lineRule="auto"/>
              <w:jc w:val="both"/>
              <w:rPr>
                <w:rFonts w:ascii="Book Antiqua" w:eastAsia="宋体" w:hAnsi="Book Antiqua"/>
                <w:b/>
                <w:lang w:val="en-GB"/>
              </w:rPr>
            </w:pPr>
            <w:r w:rsidRPr="00983E22">
              <w:rPr>
                <w:rFonts w:ascii="Book Antiqua" w:eastAsia="宋体" w:hAnsi="Book Antiqua"/>
                <w:b/>
              </w:rPr>
              <w:t xml:space="preserve">WOM </w:t>
            </w:r>
            <w:r w:rsidR="00C75424">
              <w:rPr>
                <w:rFonts w:ascii="Book Antiqua" w:eastAsia="宋体" w:hAnsi="Book Antiqua"/>
                <w:b/>
              </w:rPr>
              <w:t>total</w:t>
            </w:r>
          </w:p>
        </w:tc>
        <w:tc>
          <w:tcPr>
            <w:tcW w:w="1176" w:type="dxa"/>
            <w:tcBorders>
              <w:top w:val="single" w:sz="8" w:space="0" w:color="000000" w:themeColor="text1"/>
              <w:bottom w:val="single" w:sz="8" w:space="0" w:color="000000" w:themeColor="text1"/>
            </w:tcBorders>
            <w:shd w:val="clear" w:color="auto" w:fill="FFFFFF"/>
            <w:vAlign w:val="bottom"/>
          </w:tcPr>
          <w:p w14:paraId="4F85A010" w14:textId="77777777" w:rsidR="00983E22" w:rsidRPr="00983E22" w:rsidRDefault="00983E22" w:rsidP="00CF74AD">
            <w:pPr>
              <w:autoSpaceDE w:val="0"/>
              <w:adjustRightInd w:val="0"/>
              <w:snapToGrid w:val="0"/>
              <w:spacing w:line="360" w:lineRule="auto"/>
              <w:jc w:val="both"/>
              <w:rPr>
                <w:rFonts w:ascii="Book Antiqua" w:eastAsia="宋体" w:hAnsi="Book Antiqua"/>
                <w:b/>
                <w:lang w:val="en-GB"/>
              </w:rPr>
            </w:pPr>
            <w:r w:rsidRPr="00983E22">
              <w:rPr>
                <w:rFonts w:ascii="Book Antiqua" w:eastAsia="宋体" w:hAnsi="Book Antiqua"/>
                <w:b/>
              </w:rPr>
              <w:t>EQ Index</w:t>
            </w:r>
          </w:p>
        </w:tc>
        <w:tc>
          <w:tcPr>
            <w:tcW w:w="1176" w:type="dxa"/>
            <w:tcBorders>
              <w:top w:val="single" w:sz="8" w:space="0" w:color="000000" w:themeColor="text1"/>
              <w:bottom w:val="single" w:sz="8" w:space="0" w:color="000000" w:themeColor="text1"/>
            </w:tcBorders>
            <w:shd w:val="clear" w:color="auto" w:fill="FFFFFF"/>
            <w:vAlign w:val="bottom"/>
          </w:tcPr>
          <w:p w14:paraId="545A6E7D" w14:textId="77777777" w:rsidR="00983E22" w:rsidRPr="00983E22" w:rsidRDefault="00983E22" w:rsidP="00CF74AD">
            <w:pPr>
              <w:autoSpaceDE w:val="0"/>
              <w:adjustRightInd w:val="0"/>
              <w:snapToGrid w:val="0"/>
              <w:spacing w:line="360" w:lineRule="auto"/>
              <w:jc w:val="both"/>
              <w:rPr>
                <w:rFonts w:ascii="Book Antiqua" w:eastAsia="宋体" w:hAnsi="Book Antiqua"/>
                <w:b/>
              </w:rPr>
            </w:pPr>
            <w:r w:rsidRPr="00983E22">
              <w:rPr>
                <w:rFonts w:ascii="Book Antiqua" w:eastAsia="宋体" w:hAnsi="Book Antiqua"/>
                <w:b/>
              </w:rPr>
              <w:t>EQ VAS</w:t>
            </w:r>
          </w:p>
        </w:tc>
        <w:tc>
          <w:tcPr>
            <w:tcW w:w="939" w:type="dxa"/>
            <w:tcBorders>
              <w:top w:val="single" w:sz="8" w:space="0" w:color="000000" w:themeColor="text1"/>
              <w:bottom w:val="single" w:sz="8" w:space="0" w:color="000000" w:themeColor="text1"/>
            </w:tcBorders>
            <w:shd w:val="clear" w:color="auto" w:fill="FFFFFF"/>
            <w:vAlign w:val="bottom"/>
          </w:tcPr>
          <w:p w14:paraId="2C4D81BC" w14:textId="77777777" w:rsidR="00983E22" w:rsidRPr="00983E22" w:rsidRDefault="00983E22" w:rsidP="00CF74AD">
            <w:pPr>
              <w:autoSpaceDE w:val="0"/>
              <w:adjustRightInd w:val="0"/>
              <w:snapToGrid w:val="0"/>
              <w:spacing w:line="360" w:lineRule="auto"/>
              <w:jc w:val="both"/>
              <w:rPr>
                <w:rFonts w:ascii="Book Antiqua" w:eastAsia="宋体" w:hAnsi="Book Antiqua"/>
                <w:b/>
              </w:rPr>
            </w:pPr>
            <w:r w:rsidRPr="00983E22">
              <w:rPr>
                <w:rFonts w:ascii="Book Antiqua" w:eastAsia="宋体" w:hAnsi="Book Antiqua"/>
                <w:b/>
              </w:rPr>
              <w:t>TAS</w:t>
            </w:r>
          </w:p>
        </w:tc>
      </w:tr>
      <w:tr w:rsidR="00983E22" w:rsidRPr="00983E22" w14:paraId="1F26004F" w14:textId="77777777" w:rsidTr="00CF38F2">
        <w:trPr>
          <w:cantSplit/>
          <w:trHeight w:val="463"/>
        </w:trPr>
        <w:tc>
          <w:tcPr>
            <w:tcW w:w="1057" w:type="dxa"/>
            <w:tcBorders>
              <w:top w:val="single" w:sz="8" w:space="0" w:color="000000" w:themeColor="text1"/>
            </w:tcBorders>
            <w:shd w:val="clear" w:color="auto" w:fill="auto"/>
          </w:tcPr>
          <w:p w14:paraId="4E569A02" w14:textId="77777777" w:rsidR="00983E22" w:rsidRPr="00983E22" w:rsidRDefault="00983E22" w:rsidP="00CF74AD">
            <w:pPr>
              <w:autoSpaceDE w:val="0"/>
              <w:adjustRightInd w:val="0"/>
              <w:snapToGrid w:val="0"/>
              <w:spacing w:line="360" w:lineRule="auto"/>
              <w:jc w:val="both"/>
              <w:rPr>
                <w:rFonts w:ascii="Book Antiqua" w:eastAsia="宋体" w:hAnsi="Book Antiqua"/>
                <w:i/>
              </w:rPr>
            </w:pPr>
            <w:r w:rsidRPr="00983E22">
              <w:rPr>
                <w:rFonts w:ascii="Book Antiqua" w:eastAsia="宋体" w:hAnsi="Book Antiqua"/>
                <w:i/>
              </w:rPr>
              <w:t>r</w:t>
            </w:r>
          </w:p>
        </w:tc>
        <w:tc>
          <w:tcPr>
            <w:tcW w:w="999" w:type="dxa"/>
            <w:tcBorders>
              <w:top w:val="single" w:sz="8" w:space="0" w:color="000000" w:themeColor="text1"/>
            </w:tcBorders>
            <w:shd w:val="clear" w:color="auto" w:fill="FFFFFF"/>
          </w:tcPr>
          <w:p w14:paraId="6B5F2A19"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w:t>
            </w:r>
            <w:r w:rsidR="00772D41">
              <w:rPr>
                <w:rFonts w:ascii="Book Antiqua" w:eastAsia="宋体" w:hAnsi="Book Antiqua" w:hint="eastAsia"/>
                <w:lang w:eastAsia="zh-CN"/>
              </w:rPr>
              <w:t>0</w:t>
            </w:r>
            <w:r w:rsidRPr="00983E22">
              <w:rPr>
                <w:rFonts w:ascii="Book Antiqua" w:eastAsia="宋体" w:hAnsi="Book Antiqua"/>
              </w:rPr>
              <w:t>.69</w:t>
            </w:r>
          </w:p>
        </w:tc>
        <w:tc>
          <w:tcPr>
            <w:tcW w:w="1112" w:type="dxa"/>
            <w:tcBorders>
              <w:top w:val="single" w:sz="8" w:space="0" w:color="000000" w:themeColor="text1"/>
            </w:tcBorders>
            <w:shd w:val="clear" w:color="auto" w:fill="FFFFFF"/>
          </w:tcPr>
          <w:p w14:paraId="3CDEE616"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w:t>
            </w:r>
            <w:r w:rsidR="00772D41">
              <w:rPr>
                <w:rFonts w:ascii="Book Antiqua" w:eastAsia="宋体" w:hAnsi="Book Antiqua" w:hint="eastAsia"/>
                <w:lang w:eastAsia="zh-CN"/>
              </w:rPr>
              <w:t>0</w:t>
            </w:r>
            <w:r w:rsidRPr="00983E22">
              <w:rPr>
                <w:rFonts w:ascii="Book Antiqua" w:eastAsia="宋体" w:hAnsi="Book Antiqua"/>
              </w:rPr>
              <w:t>.68</w:t>
            </w:r>
          </w:p>
        </w:tc>
        <w:tc>
          <w:tcPr>
            <w:tcW w:w="1209" w:type="dxa"/>
            <w:tcBorders>
              <w:top w:val="single" w:sz="8" w:space="0" w:color="000000" w:themeColor="text1"/>
            </w:tcBorders>
            <w:shd w:val="clear" w:color="auto" w:fill="FFFFFF"/>
          </w:tcPr>
          <w:p w14:paraId="4E2DAE23"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w:t>
            </w:r>
            <w:r w:rsidR="00772D41">
              <w:rPr>
                <w:rFonts w:ascii="Book Antiqua" w:eastAsia="宋体" w:hAnsi="Book Antiqua" w:hint="eastAsia"/>
                <w:lang w:eastAsia="zh-CN"/>
              </w:rPr>
              <w:t>0</w:t>
            </w:r>
            <w:r w:rsidRPr="00983E22">
              <w:rPr>
                <w:rFonts w:ascii="Book Antiqua" w:eastAsia="宋体" w:hAnsi="Book Antiqua"/>
              </w:rPr>
              <w:t>.70</w:t>
            </w:r>
          </w:p>
        </w:tc>
        <w:tc>
          <w:tcPr>
            <w:tcW w:w="1412" w:type="dxa"/>
            <w:tcBorders>
              <w:top w:val="single" w:sz="8" w:space="0" w:color="000000" w:themeColor="text1"/>
            </w:tcBorders>
            <w:shd w:val="clear" w:color="auto" w:fill="FFFFFF"/>
          </w:tcPr>
          <w:p w14:paraId="497E4DE1"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w:t>
            </w:r>
            <w:r w:rsidR="00772D41">
              <w:rPr>
                <w:rFonts w:ascii="Book Antiqua" w:eastAsia="宋体" w:hAnsi="Book Antiqua" w:hint="eastAsia"/>
                <w:lang w:eastAsia="zh-CN"/>
              </w:rPr>
              <w:t>0</w:t>
            </w:r>
            <w:r w:rsidRPr="00983E22">
              <w:rPr>
                <w:rFonts w:ascii="Book Antiqua" w:eastAsia="宋体" w:hAnsi="Book Antiqua"/>
              </w:rPr>
              <w:t>.73</w:t>
            </w:r>
          </w:p>
        </w:tc>
        <w:tc>
          <w:tcPr>
            <w:tcW w:w="1176" w:type="dxa"/>
            <w:tcBorders>
              <w:top w:val="single" w:sz="8" w:space="0" w:color="000000" w:themeColor="text1"/>
            </w:tcBorders>
            <w:shd w:val="clear" w:color="auto" w:fill="FFFFFF"/>
          </w:tcPr>
          <w:p w14:paraId="0D7E906D" w14:textId="77777777" w:rsidR="00983E22" w:rsidRPr="00983E22" w:rsidRDefault="00772D41" w:rsidP="00CF74AD">
            <w:pPr>
              <w:autoSpaceDE w:val="0"/>
              <w:adjustRightInd w:val="0"/>
              <w:snapToGrid w:val="0"/>
              <w:spacing w:line="360" w:lineRule="auto"/>
              <w:jc w:val="both"/>
              <w:rPr>
                <w:rFonts w:ascii="Book Antiqua" w:eastAsia="宋体" w:hAnsi="Book Antiqua"/>
              </w:rPr>
            </w:pPr>
            <w:r>
              <w:rPr>
                <w:rFonts w:ascii="Book Antiqua" w:eastAsia="宋体" w:hAnsi="Book Antiqua" w:hint="eastAsia"/>
                <w:lang w:eastAsia="zh-CN"/>
              </w:rPr>
              <w:t>0</w:t>
            </w:r>
            <w:r w:rsidR="00983E22" w:rsidRPr="00983E22">
              <w:rPr>
                <w:rFonts w:ascii="Book Antiqua" w:eastAsia="宋体" w:hAnsi="Book Antiqua"/>
              </w:rPr>
              <w:t>.72</w:t>
            </w:r>
          </w:p>
        </w:tc>
        <w:tc>
          <w:tcPr>
            <w:tcW w:w="1176" w:type="dxa"/>
            <w:tcBorders>
              <w:top w:val="single" w:sz="8" w:space="0" w:color="000000" w:themeColor="text1"/>
            </w:tcBorders>
            <w:shd w:val="clear" w:color="auto" w:fill="FFFFFF"/>
          </w:tcPr>
          <w:p w14:paraId="4B77575A" w14:textId="77777777" w:rsidR="00983E22" w:rsidRPr="00983E22" w:rsidRDefault="00772D41" w:rsidP="00CF74AD">
            <w:pPr>
              <w:autoSpaceDE w:val="0"/>
              <w:adjustRightInd w:val="0"/>
              <w:snapToGrid w:val="0"/>
              <w:spacing w:line="360" w:lineRule="auto"/>
              <w:jc w:val="both"/>
              <w:rPr>
                <w:rFonts w:ascii="Book Antiqua" w:eastAsia="宋体" w:hAnsi="Book Antiqua"/>
              </w:rPr>
            </w:pPr>
            <w:r>
              <w:rPr>
                <w:rFonts w:ascii="Book Antiqua" w:eastAsia="宋体" w:hAnsi="Book Antiqua" w:hint="eastAsia"/>
                <w:lang w:eastAsia="zh-CN"/>
              </w:rPr>
              <w:t>0</w:t>
            </w:r>
            <w:r w:rsidR="00983E22" w:rsidRPr="00983E22">
              <w:rPr>
                <w:rFonts w:ascii="Book Antiqua" w:eastAsia="宋体" w:hAnsi="Book Antiqua"/>
              </w:rPr>
              <w:t>.60</w:t>
            </w:r>
          </w:p>
        </w:tc>
        <w:tc>
          <w:tcPr>
            <w:tcW w:w="939" w:type="dxa"/>
            <w:tcBorders>
              <w:top w:val="single" w:sz="8" w:space="0" w:color="000000" w:themeColor="text1"/>
            </w:tcBorders>
            <w:shd w:val="clear" w:color="auto" w:fill="FFFFFF"/>
          </w:tcPr>
          <w:p w14:paraId="3C5EE28D" w14:textId="77777777" w:rsidR="00983E22" w:rsidRPr="00983E22" w:rsidRDefault="00772D41" w:rsidP="00CF74AD">
            <w:pPr>
              <w:autoSpaceDE w:val="0"/>
              <w:adjustRightInd w:val="0"/>
              <w:snapToGrid w:val="0"/>
              <w:spacing w:line="360" w:lineRule="auto"/>
              <w:jc w:val="both"/>
              <w:rPr>
                <w:rFonts w:ascii="Book Antiqua" w:eastAsia="宋体" w:hAnsi="Book Antiqua"/>
              </w:rPr>
            </w:pPr>
            <w:r>
              <w:rPr>
                <w:rFonts w:ascii="Book Antiqua" w:eastAsia="宋体" w:hAnsi="Book Antiqua" w:hint="eastAsia"/>
                <w:lang w:eastAsia="zh-CN"/>
              </w:rPr>
              <w:t>0</w:t>
            </w:r>
            <w:r w:rsidR="00983E22" w:rsidRPr="00983E22">
              <w:rPr>
                <w:rFonts w:ascii="Book Antiqua" w:eastAsia="宋体" w:hAnsi="Book Antiqua"/>
              </w:rPr>
              <w:t>.56</w:t>
            </w:r>
          </w:p>
        </w:tc>
      </w:tr>
      <w:tr w:rsidR="00983E22" w:rsidRPr="00983E22" w14:paraId="7713DDCC" w14:textId="77777777" w:rsidTr="00CF38F2">
        <w:trPr>
          <w:cantSplit/>
          <w:trHeight w:val="450"/>
        </w:trPr>
        <w:tc>
          <w:tcPr>
            <w:tcW w:w="1057" w:type="dxa"/>
            <w:shd w:val="clear" w:color="auto" w:fill="auto"/>
          </w:tcPr>
          <w:p w14:paraId="0FE69C50" w14:textId="22C9B5D7" w:rsidR="00983E22" w:rsidRPr="00983E22" w:rsidRDefault="00110F62" w:rsidP="00CF74AD">
            <w:pPr>
              <w:autoSpaceDE w:val="0"/>
              <w:adjustRightInd w:val="0"/>
              <w:snapToGrid w:val="0"/>
              <w:spacing w:line="360" w:lineRule="auto"/>
              <w:jc w:val="both"/>
              <w:rPr>
                <w:rFonts w:ascii="Book Antiqua" w:eastAsia="宋体" w:hAnsi="Book Antiqua"/>
              </w:rPr>
            </w:pPr>
            <w:r w:rsidRPr="00110F62">
              <w:rPr>
                <w:rFonts w:ascii="Book Antiqua" w:eastAsia="宋体" w:hAnsi="Book Antiqua"/>
                <w:i/>
              </w:rPr>
              <w:t>P</w:t>
            </w:r>
            <w:r w:rsidRPr="00983E22">
              <w:rPr>
                <w:rFonts w:ascii="Book Antiqua" w:eastAsia="宋体" w:hAnsi="Book Antiqua"/>
              </w:rPr>
              <w:t xml:space="preserve"> </w:t>
            </w:r>
            <w:r w:rsidR="00983E22" w:rsidRPr="00983E22">
              <w:rPr>
                <w:rFonts w:ascii="Book Antiqua" w:eastAsia="宋体" w:hAnsi="Book Antiqua"/>
              </w:rPr>
              <w:t>value</w:t>
            </w:r>
          </w:p>
        </w:tc>
        <w:tc>
          <w:tcPr>
            <w:tcW w:w="999" w:type="dxa"/>
            <w:shd w:val="clear" w:color="auto" w:fill="FFFFFF"/>
          </w:tcPr>
          <w:p w14:paraId="1D0752BA"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 xml:space="preserve">&lt; </w:t>
            </w:r>
            <w:r w:rsidR="00C15699">
              <w:rPr>
                <w:rFonts w:ascii="Book Antiqua" w:eastAsia="宋体" w:hAnsi="Book Antiqua" w:hint="eastAsia"/>
                <w:lang w:eastAsia="zh-CN"/>
              </w:rPr>
              <w:t>0</w:t>
            </w:r>
            <w:r w:rsidRPr="00983E22">
              <w:rPr>
                <w:rFonts w:ascii="Book Antiqua" w:eastAsia="宋体" w:hAnsi="Book Antiqua"/>
              </w:rPr>
              <w:t>.001</w:t>
            </w:r>
          </w:p>
        </w:tc>
        <w:tc>
          <w:tcPr>
            <w:tcW w:w="1112" w:type="dxa"/>
            <w:shd w:val="clear" w:color="auto" w:fill="FFFFFF"/>
          </w:tcPr>
          <w:p w14:paraId="3CFD5CBF"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&lt;</w:t>
            </w:r>
            <w:r w:rsidR="00C15699">
              <w:rPr>
                <w:rFonts w:ascii="Book Antiqua" w:eastAsia="宋体" w:hAnsi="Book Antiqua" w:hint="eastAsia"/>
                <w:lang w:eastAsia="zh-CN"/>
              </w:rPr>
              <w:t xml:space="preserve"> 0</w:t>
            </w:r>
            <w:r w:rsidRPr="00983E22">
              <w:rPr>
                <w:rFonts w:ascii="Book Antiqua" w:eastAsia="宋体" w:hAnsi="Book Antiqua"/>
              </w:rPr>
              <w:t>.001</w:t>
            </w:r>
          </w:p>
        </w:tc>
        <w:tc>
          <w:tcPr>
            <w:tcW w:w="1209" w:type="dxa"/>
            <w:shd w:val="clear" w:color="auto" w:fill="FFFFFF"/>
          </w:tcPr>
          <w:p w14:paraId="5EDBE78C"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&lt;</w:t>
            </w:r>
            <w:r w:rsidR="00C15699">
              <w:rPr>
                <w:rFonts w:ascii="Book Antiqua" w:eastAsia="宋体" w:hAnsi="Book Antiqua" w:hint="eastAsia"/>
                <w:lang w:eastAsia="zh-CN"/>
              </w:rPr>
              <w:t xml:space="preserve"> 0</w:t>
            </w:r>
            <w:r w:rsidRPr="00983E22">
              <w:rPr>
                <w:rFonts w:ascii="Book Antiqua" w:eastAsia="宋体" w:hAnsi="Book Antiqua"/>
              </w:rPr>
              <w:t>.001</w:t>
            </w:r>
          </w:p>
        </w:tc>
        <w:tc>
          <w:tcPr>
            <w:tcW w:w="1412" w:type="dxa"/>
            <w:shd w:val="clear" w:color="auto" w:fill="FFFFFF"/>
          </w:tcPr>
          <w:p w14:paraId="354ECFBC"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&lt;</w:t>
            </w:r>
            <w:r w:rsidR="00C15699">
              <w:rPr>
                <w:rFonts w:ascii="Book Antiqua" w:eastAsia="宋体" w:hAnsi="Book Antiqua" w:hint="eastAsia"/>
                <w:lang w:eastAsia="zh-CN"/>
              </w:rPr>
              <w:t xml:space="preserve"> 0</w:t>
            </w:r>
            <w:r w:rsidRPr="00983E22">
              <w:rPr>
                <w:rFonts w:ascii="Book Antiqua" w:eastAsia="宋体" w:hAnsi="Book Antiqua"/>
              </w:rPr>
              <w:t>.001</w:t>
            </w:r>
          </w:p>
        </w:tc>
        <w:tc>
          <w:tcPr>
            <w:tcW w:w="1176" w:type="dxa"/>
            <w:shd w:val="clear" w:color="auto" w:fill="FFFFFF"/>
          </w:tcPr>
          <w:p w14:paraId="2B842C06"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&lt;</w:t>
            </w:r>
            <w:r w:rsidR="00C15699">
              <w:rPr>
                <w:rFonts w:ascii="Book Antiqua" w:eastAsia="宋体" w:hAnsi="Book Antiqua" w:hint="eastAsia"/>
                <w:lang w:eastAsia="zh-CN"/>
              </w:rPr>
              <w:t xml:space="preserve"> 0</w:t>
            </w:r>
            <w:r w:rsidRPr="00983E22">
              <w:rPr>
                <w:rFonts w:ascii="Book Antiqua" w:eastAsia="宋体" w:hAnsi="Book Antiqua"/>
              </w:rPr>
              <w:t>.001</w:t>
            </w:r>
          </w:p>
        </w:tc>
        <w:tc>
          <w:tcPr>
            <w:tcW w:w="1176" w:type="dxa"/>
            <w:shd w:val="clear" w:color="auto" w:fill="FFFFFF"/>
          </w:tcPr>
          <w:p w14:paraId="0899BC06"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&lt;</w:t>
            </w:r>
            <w:r w:rsidR="00C15699">
              <w:rPr>
                <w:rFonts w:ascii="Book Antiqua" w:eastAsia="宋体" w:hAnsi="Book Antiqua" w:hint="eastAsia"/>
                <w:lang w:eastAsia="zh-CN"/>
              </w:rPr>
              <w:t xml:space="preserve"> 0</w:t>
            </w:r>
            <w:r w:rsidRPr="00983E22">
              <w:rPr>
                <w:rFonts w:ascii="Book Antiqua" w:eastAsia="宋体" w:hAnsi="Book Antiqua"/>
              </w:rPr>
              <w:t>.001</w:t>
            </w:r>
          </w:p>
        </w:tc>
        <w:tc>
          <w:tcPr>
            <w:tcW w:w="939" w:type="dxa"/>
            <w:shd w:val="clear" w:color="auto" w:fill="FFFFFF"/>
          </w:tcPr>
          <w:p w14:paraId="0CCEDD7E"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&lt;</w:t>
            </w:r>
            <w:r w:rsidR="00C15699">
              <w:rPr>
                <w:rFonts w:ascii="Book Antiqua" w:eastAsia="宋体" w:hAnsi="Book Antiqua" w:hint="eastAsia"/>
                <w:lang w:eastAsia="zh-CN"/>
              </w:rPr>
              <w:t xml:space="preserve"> 0</w:t>
            </w:r>
            <w:r w:rsidRPr="00983E22">
              <w:rPr>
                <w:rFonts w:ascii="Book Antiqua" w:eastAsia="宋体" w:hAnsi="Book Antiqua"/>
              </w:rPr>
              <w:t>.001</w:t>
            </w:r>
          </w:p>
        </w:tc>
      </w:tr>
      <w:tr w:rsidR="00983E22" w:rsidRPr="00983E22" w14:paraId="552D94E3" w14:textId="77777777" w:rsidTr="00CF38F2">
        <w:trPr>
          <w:cantSplit/>
          <w:trHeight w:val="463"/>
        </w:trPr>
        <w:tc>
          <w:tcPr>
            <w:tcW w:w="1057" w:type="dxa"/>
            <w:shd w:val="clear" w:color="auto" w:fill="auto"/>
          </w:tcPr>
          <w:p w14:paraId="5030CFB2" w14:textId="77777777" w:rsidR="00983E22" w:rsidRPr="00983E22" w:rsidRDefault="00983E22" w:rsidP="00CF74AD">
            <w:pPr>
              <w:autoSpaceDE w:val="0"/>
              <w:adjustRightInd w:val="0"/>
              <w:snapToGrid w:val="0"/>
              <w:spacing w:line="360" w:lineRule="auto"/>
              <w:jc w:val="both"/>
              <w:rPr>
                <w:rFonts w:ascii="Book Antiqua" w:eastAsia="宋体" w:hAnsi="Book Antiqua"/>
                <w:i/>
              </w:rPr>
            </w:pPr>
            <w:r w:rsidRPr="00983E22">
              <w:rPr>
                <w:rFonts w:ascii="Book Antiqua" w:eastAsia="宋体" w:hAnsi="Book Antiqua"/>
                <w:i/>
              </w:rPr>
              <w:t>n</w:t>
            </w:r>
          </w:p>
        </w:tc>
        <w:tc>
          <w:tcPr>
            <w:tcW w:w="999" w:type="dxa"/>
            <w:shd w:val="clear" w:color="auto" w:fill="FFFFFF"/>
          </w:tcPr>
          <w:p w14:paraId="7B9CD1C7"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96</w:t>
            </w:r>
          </w:p>
        </w:tc>
        <w:tc>
          <w:tcPr>
            <w:tcW w:w="1112" w:type="dxa"/>
            <w:shd w:val="clear" w:color="auto" w:fill="FFFFFF"/>
          </w:tcPr>
          <w:p w14:paraId="4A28B1A2"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96</w:t>
            </w:r>
          </w:p>
        </w:tc>
        <w:tc>
          <w:tcPr>
            <w:tcW w:w="1209" w:type="dxa"/>
            <w:shd w:val="clear" w:color="auto" w:fill="FFFFFF"/>
          </w:tcPr>
          <w:p w14:paraId="163374E3"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96</w:t>
            </w:r>
          </w:p>
        </w:tc>
        <w:tc>
          <w:tcPr>
            <w:tcW w:w="1412" w:type="dxa"/>
            <w:shd w:val="clear" w:color="auto" w:fill="FFFFFF"/>
          </w:tcPr>
          <w:p w14:paraId="4F17E48F"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96</w:t>
            </w:r>
          </w:p>
        </w:tc>
        <w:tc>
          <w:tcPr>
            <w:tcW w:w="1176" w:type="dxa"/>
            <w:shd w:val="clear" w:color="auto" w:fill="FFFFFF"/>
          </w:tcPr>
          <w:p w14:paraId="62A80F59"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96</w:t>
            </w:r>
          </w:p>
        </w:tc>
        <w:tc>
          <w:tcPr>
            <w:tcW w:w="1176" w:type="dxa"/>
            <w:shd w:val="clear" w:color="auto" w:fill="FFFFFF"/>
          </w:tcPr>
          <w:p w14:paraId="6461BB85"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95</w:t>
            </w:r>
          </w:p>
        </w:tc>
        <w:tc>
          <w:tcPr>
            <w:tcW w:w="939" w:type="dxa"/>
            <w:shd w:val="clear" w:color="auto" w:fill="FFFFFF"/>
          </w:tcPr>
          <w:p w14:paraId="1463D6A1" w14:textId="77777777" w:rsidR="00983E22" w:rsidRPr="00983E22" w:rsidRDefault="00983E22" w:rsidP="00CF74AD">
            <w:pPr>
              <w:autoSpaceDE w:val="0"/>
              <w:adjustRightInd w:val="0"/>
              <w:snapToGrid w:val="0"/>
              <w:spacing w:line="360" w:lineRule="auto"/>
              <w:jc w:val="both"/>
              <w:rPr>
                <w:rFonts w:ascii="Book Antiqua" w:eastAsia="宋体" w:hAnsi="Book Antiqua"/>
              </w:rPr>
            </w:pPr>
            <w:r w:rsidRPr="00983E22">
              <w:rPr>
                <w:rFonts w:ascii="Book Antiqua" w:eastAsia="宋体" w:hAnsi="Book Antiqua"/>
              </w:rPr>
              <w:t>94</w:t>
            </w:r>
          </w:p>
        </w:tc>
      </w:tr>
    </w:tbl>
    <w:p w14:paraId="50B59D5C" w14:textId="77777777" w:rsidR="00FA1AB7" w:rsidRPr="00983E22" w:rsidRDefault="00FA1AB7" w:rsidP="00FA1AB7">
      <w:pPr>
        <w:adjustRightInd w:val="0"/>
        <w:snapToGrid w:val="0"/>
        <w:spacing w:line="360" w:lineRule="auto"/>
        <w:jc w:val="both"/>
        <w:rPr>
          <w:rFonts w:ascii="Book Antiqua" w:eastAsia="宋体" w:hAnsi="Book Antiqua"/>
          <w:b/>
          <w:lang w:eastAsia="zh-CN"/>
        </w:rPr>
      </w:pPr>
      <w:bookmarkStart w:id="128" w:name="OLE_LINK54"/>
      <w:bookmarkStart w:id="129" w:name="OLE_LINK55"/>
      <w:r>
        <w:rPr>
          <w:rFonts w:ascii="Book Antiqua" w:eastAsia="宋体" w:hAnsi="Book Antiqua" w:hint="eastAsia"/>
          <w:lang w:eastAsia="zh-CN"/>
        </w:rPr>
        <w:t xml:space="preserve">FJS: </w:t>
      </w:r>
      <w:bookmarkStart w:id="130" w:name="OLE_LINK50"/>
      <w:bookmarkStart w:id="131" w:name="OLE_LINK51"/>
      <w:r>
        <w:rPr>
          <w:rFonts w:ascii="Book Antiqua" w:eastAsia="Book Antiqua" w:hAnsi="Book Antiqua" w:cs="Book Antiqua"/>
          <w:color w:val="000000"/>
        </w:rPr>
        <w:t>Forgotten Joint Score</w:t>
      </w:r>
      <w:bookmarkEnd w:id="128"/>
      <w:bookmarkEnd w:id="129"/>
      <w:bookmarkEnd w:id="130"/>
      <w:bookmarkEnd w:id="131"/>
      <w:r>
        <w:rPr>
          <w:rFonts w:ascii="Book Antiqua" w:eastAsia="宋体" w:hAnsi="Book Antiqua" w:hint="eastAsia"/>
          <w:lang w:eastAsia="zh-CN"/>
        </w:rPr>
        <w:t>;</w:t>
      </w:r>
      <w:r w:rsidRPr="00615C9C">
        <w:rPr>
          <w:rFonts w:ascii="Book Antiqua" w:eastAsia="宋体" w:hAnsi="Book Antiqua"/>
          <w:lang w:val="en-GB"/>
        </w:rPr>
        <w:t xml:space="preserve"> </w:t>
      </w:r>
      <w:bookmarkStart w:id="132" w:name="OLE_LINK48"/>
      <w:bookmarkStart w:id="133" w:name="OLE_LINK49"/>
      <w:r w:rsidR="00C75424" w:rsidRPr="00983E22">
        <w:rPr>
          <w:rFonts w:ascii="Book Antiqua" w:eastAsia="宋体" w:hAnsi="Book Antiqua"/>
          <w:lang w:val="en-GB"/>
        </w:rPr>
        <w:t>WOM</w:t>
      </w:r>
      <w:r w:rsidR="00C75424">
        <w:rPr>
          <w:rFonts w:ascii="Book Antiqua" w:eastAsia="宋体" w:hAnsi="Book Antiqua"/>
          <w:lang w:val="en-GB"/>
        </w:rPr>
        <w:t xml:space="preserve">: </w:t>
      </w:r>
      <w:bookmarkEnd w:id="132"/>
      <w:bookmarkEnd w:id="133"/>
      <w:r w:rsidR="00C75424">
        <w:rPr>
          <w:rFonts w:ascii="Book Antiqua" w:eastAsia="Book Antiqua" w:hAnsi="Book Antiqua" w:cs="Book Antiqua"/>
          <w:color w:val="000000"/>
        </w:rPr>
        <w:t>Western Ontario and McMaster Universities Osteoarthritis Score</w:t>
      </w:r>
      <w:r>
        <w:rPr>
          <w:rFonts w:ascii="Book Antiqua" w:eastAsia="宋体" w:hAnsi="Book Antiqua" w:hint="eastAsia"/>
          <w:lang w:val="en-GB" w:eastAsia="zh-CN"/>
        </w:rPr>
        <w:t xml:space="preserve">; </w:t>
      </w:r>
      <w:r w:rsidRPr="00983E22">
        <w:rPr>
          <w:rFonts w:ascii="Book Antiqua" w:eastAsia="宋体" w:hAnsi="Book Antiqua"/>
          <w:lang w:val="en-GB"/>
        </w:rPr>
        <w:t>EQ</w:t>
      </w:r>
      <w:r>
        <w:rPr>
          <w:rFonts w:ascii="Book Antiqua" w:eastAsia="宋体" w:hAnsi="Book Antiqua" w:hint="eastAsia"/>
          <w:lang w:val="en-GB" w:eastAsia="zh-CN"/>
        </w:rPr>
        <w:t xml:space="preserve">: </w:t>
      </w:r>
      <w:r>
        <w:rPr>
          <w:rFonts w:ascii="Book Antiqua" w:eastAsia="Book Antiqua" w:hAnsi="Book Antiqua" w:cs="Book Antiqua"/>
          <w:color w:val="000000"/>
        </w:rPr>
        <w:t>EuroQol</w:t>
      </w:r>
      <w:r w:rsidR="00C75424">
        <w:rPr>
          <w:rFonts w:ascii="Book Antiqua" w:eastAsia="Book Antiqua" w:hAnsi="Book Antiqua" w:cs="Book Antiqua"/>
          <w:color w:val="000000"/>
        </w:rPr>
        <w:t>-5D</w:t>
      </w:r>
      <w:r>
        <w:rPr>
          <w:rFonts w:ascii="Book Antiqua" w:eastAsia="宋体" w:hAnsi="Book Antiqua" w:hint="eastAsia"/>
          <w:lang w:val="en-GB" w:eastAsia="zh-CN"/>
        </w:rPr>
        <w:t xml:space="preserve">; VAS: </w:t>
      </w:r>
      <w:r>
        <w:rPr>
          <w:rFonts w:ascii="Book Antiqua" w:eastAsia="Book Antiqua" w:hAnsi="Book Antiqua" w:cs="Book Antiqua"/>
          <w:color w:val="000000"/>
        </w:rPr>
        <w:t>Visual Analog Scale</w:t>
      </w:r>
      <w:r>
        <w:rPr>
          <w:rFonts w:ascii="Book Antiqua" w:eastAsia="宋体" w:hAnsi="Book Antiqua" w:hint="eastAsia"/>
          <w:lang w:val="en-GB" w:eastAsia="zh-CN"/>
        </w:rPr>
        <w:t xml:space="preserve">; </w:t>
      </w:r>
      <w:r w:rsidRPr="00983E22">
        <w:rPr>
          <w:rFonts w:ascii="Book Antiqua" w:eastAsia="宋体" w:hAnsi="Book Antiqua"/>
          <w:lang w:val="en-GB"/>
        </w:rPr>
        <w:t>TAS</w:t>
      </w:r>
      <w:r>
        <w:rPr>
          <w:rFonts w:ascii="Book Antiqua" w:eastAsia="宋体" w:hAnsi="Book Antiqua" w:hint="eastAsia"/>
          <w:lang w:val="en-GB" w:eastAsia="zh-CN"/>
        </w:rPr>
        <w:t xml:space="preserve">: </w:t>
      </w:r>
      <w:proofErr w:type="spellStart"/>
      <w:r>
        <w:rPr>
          <w:rFonts w:ascii="Book Antiqua" w:eastAsia="Book Antiqua" w:hAnsi="Book Antiqua" w:cs="Book Antiqua"/>
          <w:color w:val="000000"/>
        </w:rPr>
        <w:t>Tegner</w:t>
      </w:r>
      <w:proofErr w:type="spellEnd"/>
      <w:r>
        <w:rPr>
          <w:rFonts w:ascii="Book Antiqua" w:eastAsia="Book Antiqua" w:hAnsi="Book Antiqua" w:cs="Book Antiqua"/>
          <w:color w:val="000000"/>
        </w:rPr>
        <w:t xml:space="preserve"> Activity Scale</w:t>
      </w:r>
      <w:r>
        <w:rPr>
          <w:rFonts w:ascii="Book Antiqua" w:eastAsia="宋体" w:hAnsi="Book Antiqua" w:hint="eastAsia"/>
          <w:lang w:val="en-GB" w:eastAsia="zh-CN"/>
        </w:rPr>
        <w:t>.</w:t>
      </w:r>
    </w:p>
    <w:p w14:paraId="6262A48B" w14:textId="77777777" w:rsidR="00983E22" w:rsidRPr="00983E22" w:rsidRDefault="00983E22" w:rsidP="00CF74AD">
      <w:pPr>
        <w:adjustRightInd w:val="0"/>
        <w:snapToGrid w:val="0"/>
        <w:spacing w:line="360" w:lineRule="auto"/>
        <w:jc w:val="both"/>
        <w:rPr>
          <w:rFonts w:ascii="Book Antiqua" w:eastAsia="宋体" w:hAnsi="Book Antiqua"/>
        </w:rPr>
      </w:pPr>
    </w:p>
    <w:p w14:paraId="7D4F4554" w14:textId="77777777" w:rsidR="00983E22" w:rsidRPr="00983E22" w:rsidRDefault="00983E22" w:rsidP="00CF74AD">
      <w:pPr>
        <w:adjustRightInd w:val="0"/>
        <w:snapToGrid w:val="0"/>
        <w:spacing w:line="360" w:lineRule="auto"/>
        <w:jc w:val="both"/>
        <w:rPr>
          <w:rFonts w:ascii="Book Antiqua" w:eastAsia="宋体" w:hAnsi="Book Antiqua"/>
          <w:b/>
        </w:rPr>
      </w:pPr>
      <w:r w:rsidRPr="00CF74AD">
        <w:rPr>
          <w:rFonts w:ascii="Book Antiqua" w:eastAsia="宋体" w:hAnsi="Book Antiqua"/>
        </w:rPr>
        <w:br w:type="page"/>
      </w:r>
      <w:r w:rsidRPr="009D1312">
        <w:rPr>
          <w:rFonts w:ascii="Book Antiqua" w:eastAsia="宋体" w:hAnsi="Book Antiqua"/>
          <w:b/>
        </w:rPr>
        <w:lastRenderedPageBreak/>
        <w:t>Table 3</w:t>
      </w:r>
      <w:r w:rsidRPr="00983E22">
        <w:rPr>
          <w:rFonts w:ascii="Book Antiqua" w:eastAsia="宋体" w:hAnsi="Book Antiqua"/>
          <w:b/>
        </w:rPr>
        <w:t xml:space="preserve"> Responsiveness of the </w:t>
      </w:r>
      <w:r w:rsidR="009D1312" w:rsidRPr="009D1312">
        <w:rPr>
          <w:rFonts w:ascii="Book Antiqua" w:eastAsia="宋体" w:hAnsi="Book Antiqua"/>
          <w:b/>
        </w:rPr>
        <w:t xml:space="preserve">Forgotten Joint Score </w:t>
      </w:r>
      <w:r w:rsidRPr="00983E22">
        <w:rPr>
          <w:rFonts w:ascii="Book Antiqua" w:eastAsia="宋体" w:hAnsi="Book Antiqua"/>
          <w:b/>
        </w:rPr>
        <w:t>based on the subjective rating of change</w:t>
      </w:r>
    </w:p>
    <w:tbl>
      <w:tblPr>
        <w:tblW w:w="10774" w:type="dxa"/>
        <w:tblInd w:w="-318" w:type="dxa"/>
        <w:tblBorders>
          <w:top w:val="single" w:sz="4" w:space="0" w:color="000000"/>
          <w:bottom w:val="single" w:sz="4" w:space="0" w:color="000000"/>
        </w:tblBorders>
        <w:tblLayout w:type="fixed"/>
        <w:tblCellMar>
          <w:left w:w="10" w:type="dxa"/>
          <w:right w:w="10" w:type="dxa"/>
        </w:tblCellMar>
        <w:tblLook w:val="04A0" w:firstRow="1" w:lastRow="0" w:firstColumn="1" w:lastColumn="0" w:noHBand="0" w:noVBand="1"/>
      </w:tblPr>
      <w:tblGrid>
        <w:gridCol w:w="2552"/>
        <w:gridCol w:w="458"/>
        <w:gridCol w:w="709"/>
        <w:gridCol w:w="695"/>
        <w:gridCol w:w="709"/>
        <w:gridCol w:w="665"/>
        <w:gridCol w:w="740"/>
        <w:gridCol w:w="1332"/>
        <w:gridCol w:w="788"/>
        <w:gridCol w:w="691"/>
        <w:gridCol w:w="740"/>
        <w:gridCol w:w="695"/>
      </w:tblGrid>
      <w:tr w:rsidR="00193AA7" w:rsidRPr="00983E22" w14:paraId="745318DB" w14:textId="77777777" w:rsidTr="00DC0D53">
        <w:trPr>
          <w:trHeight w:val="420"/>
        </w:trPr>
        <w:tc>
          <w:tcPr>
            <w:tcW w:w="2552" w:type="dxa"/>
            <w:vMerge w:val="restart"/>
            <w:tcBorders>
              <w:top w:val="single" w:sz="4" w:space="0" w:color="000000"/>
            </w:tcBorders>
            <w:shd w:val="clear" w:color="auto" w:fill="auto"/>
            <w:tcMar>
              <w:top w:w="0" w:type="dxa"/>
              <w:left w:w="108" w:type="dxa"/>
              <w:bottom w:w="0" w:type="dxa"/>
              <w:right w:w="108" w:type="dxa"/>
            </w:tcMar>
          </w:tcPr>
          <w:p w14:paraId="6523A9BD" w14:textId="77777777" w:rsidR="00193AA7" w:rsidRPr="00983E22" w:rsidRDefault="00193AA7" w:rsidP="00CF74AD">
            <w:pPr>
              <w:autoSpaceDE w:val="0"/>
              <w:adjustRightInd w:val="0"/>
              <w:snapToGrid w:val="0"/>
              <w:spacing w:line="360" w:lineRule="auto"/>
              <w:jc w:val="both"/>
              <w:rPr>
                <w:rFonts w:ascii="Book Antiqua" w:eastAsia="宋体" w:hAnsi="Book Antiqua"/>
                <w:b/>
                <w:lang w:val="en-GB"/>
              </w:rPr>
            </w:pPr>
          </w:p>
        </w:tc>
        <w:tc>
          <w:tcPr>
            <w:tcW w:w="458" w:type="dxa"/>
            <w:vMerge w:val="restart"/>
            <w:tcBorders>
              <w:top w:val="single" w:sz="4" w:space="0" w:color="000000"/>
            </w:tcBorders>
            <w:shd w:val="clear" w:color="auto" w:fill="auto"/>
            <w:tcMar>
              <w:top w:w="0" w:type="dxa"/>
              <w:left w:w="108" w:type="dxa"/>
              <w:bottom w:w="0" w:type="dxa"/>
              <w:right w:w="108" w:type="dxa"/>
            </w:tcMar>
          </w:tcPr>
          <w:p w14:paraId="2433AC2D" w14:textId="5CD0277E"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i/>
                <w:lang w:val="en-GB"/>
              </w:rPr>
              <w:t>n</w:t>
            </w:r>
          </w:p>
        </w:tc>
        <w:tc>
          <w:tcPr>
            <w:tcW w:w="140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6D60FF21"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FJS first assessment</w:t>
            </w:r>
          </w:p>
        </w:tc>
        <w:tc>
          <w:tcPr>
            <w:tcW w:w="137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3D288B73"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FJS second assessment</w:t>
            </w:r>
          </w:p>
        </w:tc>
        <w:tc>
          <w:tcPr>
            <w:tcW w:w="2072"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577A9B5C"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Difference FJS first-second assessment</w:t>
            </w:r>
          </w:p>
        </w:tc>
        <w:tc>
          <w:tcPr>
            <w:tcW w:w="788" w:type="dxa"/>
            <w:vMerge w:val="restart"/>
            <w:tcBorders>
              <w:top w:val="single" w:sz="4" w:space="0" w:color="000000"/>
            </w:tcBorders>
            <w:shd w:val="clear" w:color="auto" w:fill="auto"/>
            <w:tcMar>
              <w:top w:w="0" w:type="dxa"/>
              <w:left w:w="108" w:type="dxa"/>
              <w:bottom w:w="0" w:type="dxa"/>
              <w:right w:w="108" w:type="dxa"/>
            </w:tcMar>
          </w:tcPr>
          <w:p w14:paraId="15A6F76F" w14:textId="1BFA26FB"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i/>
                <w:lang w:val="en-GB"/>
              </w:rPr>
              <w:t>P</w:t>
            </w:r>
            <w:r w:rsidRPr="00193AA7">
              <w:rPr>
                <w:rFonts w:ascii="Book Antiqua" w:eastAsia="宋体" w:hAnsi="Book Antiqua"/>
                <w:b/>
                <w:lang w:val="en-GB"/>
              </w:rPr>
              <w:t xml:space="preserve"> value</w:t>
            </w:r>
          </w:p>
        </w:tc>
        <w:tc>
          <w:tcPr>
            <w:tcW w:w="691" w:type="dxa"/>
            <w:vMerge w:val="restart"/>
            <w:tcBorders>
              <w:top w:val="single" w:sz="4" w:space="0" w:color="000000"/>
            </w:tcBorders>
            <w:shd w:val="clear" w:color="auto" w:fill="auto"/>
            <w:tcMar>
              <w:top w:w="0" w:type="dxa"/>
              <w:left w:w="108" w:type="dxa"/>
              <w:bottom w:w="0" w:type="dxa"/>
              <w:right w:w="108" w:type="dxa"/>
            </w:tcMar>
          </w:tcPr>
          <w:p w14:paraId="416F1D17" w14:textId="2E86D8DD"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SEM</w:t>
            </w:r>
          </w:p>
        </w:tc>
        <w:tc>
          <w:tcPr>
            <w:tcW w:w="740" w:type="dxa"/>
            <w:vMerge w:val="restart"/>
            <w:tcBorders>
              <w:top w:val="single" w:sz="4" w:space="0" w:color="000000"/>
            </w:tcBorders>
            <w:shd w:val="clear" w:color="auto" w:fill="auto"/>
            <w:tcMar>
              <w:top w:w="0" w:type="dxa"/>
              <w:left w:w="108" w:type="dxa"/>
              <w:bottom w:w="0" w:type="dxa"/>
              <w:right w:w="108" w:type="dxa"/>
            </w:tcMar>
          </w:tcPr>
          <w:p w14:paraId="5EBBC4EF" w14:textId="0D105053"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SDC</w:t>
            </w:r>
          </w:p>
        </w:tc>
        <w:tc>
          <w:tcPr>
            <w:tcW w:w="695" w:type="dxa"/>
            <w:vMerge w:val="restart"/>
            <w:tcBorders>
              <w:top w:val="single" w:sz="4" w:space="0" w:color="000000"/>
            </w:tcBorders>
            <w:shd w:val="clear" w:color="auto" w:fill="auto"/>
            <w:tcMar>
              <w:top w:w="0" w:type="dxa"/>
              <w:left w:w="108" w:type="dxa"/>
              <w:bottom w:w="0" w:type="dxa"/>
              <w:right w:w="108" w:type="dxa"/>
            </w:tcMar>
          </w:tcPr>
          <w:p w14:paraId="647EECE6" w14:textId="37EEB068"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ES</w:t>
            </w:r>
          </w:p>
        </w:tc>
      </w:tr>
      <w:tr w:rsidR="00193AA7" w:rsidRPr="00983E22" w14:paraId="7E76BA7D" w14:textId="77777777" w:rsidTr="00DC0D53">
        <w:trPr>
          <w:trHeight w:val="422"/>
        </w:trPr>
        <w:tc>
          <w:tcPr>
            <w:tcW w:w="2552" w:type="dxa"/>
            <w:vMerge/>
            <w:tcBorders>
              <w:bottom w:val="single" w:sz="4" w:space="0" w:color="000000"/>
            </w:tcBorders>
            <w:shd w:val="clear" w:color="auto" w:fill="auto"/>
            <w:tcMar>
              <w:top w:w="0" w:type="dxa"/>
              <w:left w:w="108" w:type="dxa"/>
              <w:bottom w:w="0" w:type="dxa"/>
              <w:right w:w="108" w:type="dxa"/>
            </w:tcMar>
          </w:tcPr>
          <w:p w14:paraId="32ED7994" w14:textId="77777777" w:rsidR="00193AA7" w:rsidRPr="00983E22" w:rsidRDefault="00193AA7" w:rsidP="00CF74AD">
            <w:pPr>
              <w:autoSpaceDE w:val="0"/>
              <w:adjustRightInd w:val="0"/>
              <w:snapToGrid w:val="0"/>
              <w:spacing w:line="360" w:lineRule="auto"/>
              <w:jc w:val="both"/>
              <w:rPr>
                <w:rFonts w:ascii="Book Antiqua" w:eastAsia="宋体" w:hAnsi="Book Antiqua"/>
                <w:lang w:val="en-GB"/>
              </w:rPr>
            </w:pPr>
          </w:p>
        </w:tc>
        <w:tc>
          <w:tcPr>
            <w:tcW w:w="458" w:type="dxa"/>
            <w:vMerge/>
            <w:tcBorders>
              <w:bottom w:val="single" w:sz="4" w:space="0" w:color="000000"/>
            </w:tcBorders>
            <w:shd w:val="clear" w:color="auto" w:fill="auto"/>
            <w:tcMar>
              <w:top w:w="0" w:type="dxa"/>
              <w:left w:w="108" w:type="dxa"/>
              <w:bottom w:w="0" w:type="dxa"/>
              <w:right w:w="108" w:type="dxa"/>
            </w:tcMar>
            <w:vAlign w:val="center"/>
          </w:tcPr>
          <w:p w14:paraId="5B5DEB85" w14:textId="61E301FD" w:rsidR="00193AA7" w:rsidRPr="00A71B55" w:rsidRDefault="00193AA7" w:rsidP="00CF74AD">
            <w:pPr>
              <w:autoSpaceDE w:val="0"/>
              <w:adjustRightInd w:val="0"/>
              <w:snapToGrid w:val="0"/>
              <w:spacing w:line="360" w:lineRule="auto"/>
              <w:jc w:val="both"/>
              <w:rPr>
                <w:rFonts w:ascii="Book Antiqua" w:eastAsia="宋体" w:hAnsi="Book Antiqua"/>
                <w:i/>
                <w:lang w:val="en-GB"/>
              </w:rPr>
            </w:pPr>
          </w:p>
        </w:tc>
        <w:tc>
          <w:tcPr>
            <w:tcW w:w="709"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3D213578"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m</w:t>
            </w:r>
          </w:p>
        </w:tc>
        <w:tc>
          <w:tcPr>
            <w:tcW w:w="695"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3E0D0281" w14:textId="2F4D5156" w:rsidR="00193AA7" w:rsidRPr="00193AA7" w:rsidRDefault="00193AA7" w:rsidP="00CF74AD">
            <w:pPr>
              <w:autoSpaceDE w:val="0"/>
              <w:adjustRightInd w:val="0"/>
              <w:snapToGrid w:val="0"/>
              <w:spacing w:line="360" w:lineRule="auto"/>
              <w:jc w:val="both"/>
              <w:rPr>
                <w:rFonts w:ascii="Book Antiqua" w:eastAsia="宋体" w:hAnsi="Book Antiqua"/>
                <w:b/>
                <w:lang w:val="en-GB" w:eastAsia="zh-CN"/>
              </w:rPr>
            </w:pPr>
            <w:r w:rsidRPr="00193AA7">
              <w:rPr>
                <w:rFonts w:ascii="Book Antiqua" w:eastAsia="宋体" w:hAnsi="Book Antiqua" w:hint="eastAsia"/>
                <w:b/>
                <w:lang w:val="en-GB" w:eastAsia="zh-CN"/>
              </w:rPr>
              <w:t>SD</w:t>
            </w:r>
          </w:p>
        </w:tc>
        <w:tc>
          <w:tcPr>
            <w:tcW w:w="709"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1425D466"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m</w:t>
            </w:r>
          </w:p>
        </w:tc>
        <w:tc>
          <w:tcPr>
            <w:tcW w:w="665"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0A52161D" w14:textId="2796AEC0" w:rsidR="00193AA7" w:rsidRPr="00193AA7" w:rsidRDefault="00193AA7" w:rsidP="00CF74AD">
            <w:pPr>
              <w:autoSpaceDE w:val="0"/>
              <w:adjustRightInd w:val="0"/>
              <w:snapToGrid w:val="0"/>
              <w:spacing w:line="360" w:lineRule="auto"/>
              <w:jc w:val="both"/>
              <w:rPr>
                <w:rFonts w:ascii="Book Antiqua" w:eastAsia="宋体" w:hAnsi="Book Antiqua"/>
                <w:b/>
                <w:lang w:val="en-GB" w:eastAsia="zh-CN"/>
              </w:rPr>
            </w:pPr>
            <w:r w:rsidRPr="00193AA7">
              <w:rPr>
                <w:rFonts w:ascii="Book Antiqua" w:eastAsia="宋体" w:hAnsi="Book Antiqua" w:hint="eastAsia"/>
                <w:b/>
                <w:lang w:val="en-GB" w:eastAsia="zh-CN"/>
              </w:rPr>
              <w:t>SD</w:t>
            </w:r>
          </w:p>
        </w:tc>
        <w:tc>
          <w:tcPr>
            <w:tcW w:w="740"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0A270DD6"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m</w:t>
            </w:r>
          </w:p>
        </w:tc>
        <w:tc>
          <w:tcPr>
            <w:tcW w:w="1332" w:type="dxa"/>
            <w:tcBorders>
              <w:top w:val="single" w:sz="4" w:space="0" w:color="000000"/>
              <w:bottom w:val="single" w:sz="8" w:space="0" w:color="000000" w:themeColor="text1"/>
            </w:tcBorders>
            <w:shd w:val="clear" w:color="auto" w:fill="auto"/>
            <w:tcMar>
              <w:top w:w="0" w:type="dxa"/>
              <w:left w:w="108" w:type="dxa"/>
              <w:bottom w:w="0" w:type="dxa"/>
              <w:right w:w="108" w:type="dxa"/>
            </w:tcMar>
            <w:vAlign w:val="center"/>
          </w:tcPr>
          <w:p w14:paraId="174A802B" w14:textId="77777777" w:rsidR="00193AA7" w:rsidRPr="00193AA7" w:rsidRDefault="00193AA7" w:rsidP="00CF74AD">
            <w:pPr>
              <w:autoSpaceDE w:val="0"/>
              <w:adjustRightInd w:val="0"/>
              <w:snapToGrid w:val="0"/>
              <w:spacing w:line="360" w:lineRule="auto"/>
              <w:jc w:val="both"/>
              <w:rPr>
                <w:rFonts w:ascii="Book Antiqua" w:eastAsia="宋体" w:hAnsi="Book Antiqua"/>
                <w:b/>
                <w:lang w:val="en-GB"/>
              </w:rPr>
            </w:pPr>
            <w:r w:rsidRPr="00193AA7">
              <w:rPr>
                <w:rFonts w:ascii="Book Antiqua" w:eastAsia="宋体" w:hAnsi="Book Antiqua"/>
                <w:b/>
                <w:lang w:val="en-GB"/>
              </w:rPr>
              <w:t>95%CI</w:t>
            </w:r>
          </w:p>
        </w:tc>
        <w:tc>
          <w:tcPr>
            <w:tcW w:w="788" w:type="dxa"/>
            <w:vMerge/>
            <w:tcBorders>
              <w:bottom w:val="single" w:sz="8" w:space="0" w:color="000000" w:themeColor="text1"/>
            </w:tcBorders>
            <w:shd w:val="clear" w:color="auto" w:fill="auto"/>
            <w:tcMar>
              <w:top w:w="0" w:type="dxa"/>
              <w:left w:w="108" w:type="dxa"/>
              <w:bottom w:w="0" w:type="dxa"/>
              <w:right w:w="108" w:type="dxa"/>
            </w:tcMar>
            <w:vAlign w:val="center"/>
          </w:tcPr>
          <w:p w14:paraId="2023B8A8" w14:textId="34A0E83C" w:rsidR="00193AA7" w:rsidRPr="00193AA7" w:rsidRDefault="00193AA7" w:rsidP="00CF74AD">
            <w:pPr>
              <w:autoSpaceDE w:val="0"/>
              <w:adjustRightInd w:val="0"/>
              <w:snapToGrid w:val="0"/>
              <w:spacing w:line="360" w:lineRule="auto"/>
              <w:jc w:val="both"/>
              <w:rPr>
                <w:rFonts w:ascii="Book Antiqua" w:eastAsia="宋体" w:hAnsi="Book Antiqua"/>
                <w:b/>
                <w:lang w:val="en-GB"/>
              </w:rPr>
            </w:pPr>
          </w:p>
        </w:tc>
        <w:tc>
          <w:tcPr>
            <w:tcW w:w="691" w:type="dxa"/>
            <w:vMerge/>
            <w:tcBorders>
              <w:bottom w:val="single" w:sz="8" w:space="0" w:color="000000" w:themeColor="text1"/>
            </w:tcBorders>
            <w:shd w:val="clear" w:color="auto" w:fill="auto"/>
            <w:tcMar>
              <w:top w:w="0" w:type="dxa"/>
              <w:left w:w="108" w:type="dxa"/>
              <w:bottom w:w="0" w:type="dxa"/>
              <w:right w:w="108" w:type="dxa"/>
            </w:tcMar>
            <w:vAlign w:val="center"/>
          </w:tcPr>
          <w:p w14:paraId="156FC001" w14:textId="0450E5A7" w:rsidR="00193AA7" w:rsidRPr="00193AA7" w:rsidRDefault="00193AA7" w:rsidP="00CF74AD">
            <w:pPr>
              <w:autoSpaceDE w:val="0"/>
              <w:adjustRightInd w:val="0"/>
              <w:snapToGrid w:val="0"/>
              <w:spacing w:line="360" w:lineRule="auto"/>
              <w:jc w:val="both"/>
              <w:rPr>
                <w:rFonts w:ascii="Book Antiqua" w:eastAsia="宋体" w:hAnsi="Book Antiqua"/>
                <w:b/>
                <w:lang w:val="en-GB"/>
              </w:rPr>
            </w:pPr>
          </w:p>
        </w:tc>
        <w:tc>
          <w:tcPr>
            <w:tcW w:w="740" w:type="dxa"/>
            <w:vMerge/>
            <w:tcBorders>
              <w:bottom w:val="single" w:sz="8" w:space="0" w:color="000000" w:themeColor="text1"/>
            </w:tcBorders>
            <w:shd w:val="clear" w:color="auto" w:fill="auto"/>
            <w:tcMar>
              <w:top w:w="0" w:type="dxa"/>
              <w:left w:w="108" w:type="dxa"/>
              <w:bottom w:w="0" w:type="dxa"/>
              <w:right w:w="108" w:type="dxa"/>
            </w:tcMar>
            <w:vAlign w:val="center"/>
          </w:tcPr>
          <w:p w14:paraId="7B2597F6" w14:textId="42212835" w:rsidR="00193AA7" w:rsidRPr="00193AA7" w:rsidRDefault="00193AA7" w:rsidP="00CF74AD">
            <w:pPr>
              <w:autoSpaceDE w:val="0"/>
              <w:adjustRightInd w:val="0"/>
              <w:snapToGrid w:val="0"/>
              <w:spacing w:line="360" w:lineRule="auto"/>
              <w:jc w:val="both"/>
              <w:rPr>
                <w:rFonts w:ascii="Book Antiqua" w:eastAsia="宋体" w:hAnsi="Book Antiqua"/>
                <w:b/>
                <w:lang w:val="en-GB"/>
              </w:rPr>
            </w:pPr>
          </w:p>
        </w:tc>
        <w:tc>
          <w:tcPr>
            <w:tcW w:w="695" w:type="dxa"/>
            <w:vMerge/>
            <w:tcBorders>
              <w:bottom w:val="single" w:sz="8" w:space="0" w:color="000000" w:themeColor="text1"/>
            </w:tcBorders>
            <w:shd w:val="clear" w:color="auto" w:fill="auto"/>
            <w:tcMar>
              <w:top w:w="0" w:type="dxa"/>
              <w:left w:w="108" w:type="dxa"/>
              <w:bottom w:w="0" w:type="dxa"/>
              <w:right w:w="108" w:type="dxa"/>
            </w:tcMar>
            <w:vAlign w:val="center"/>
          </w:tcPr>
          <w:p w14:paraId="6C43C202" w14:textId="5D343C00" w:rsidR="00193AA7" w:rsidRPr="00193AA7" w:rsidRDefault="00193AA7" w:rsidP="00CF74AD">
            <w:pPr>
              <w:autoSpaceDE w:val="0"/>
              <w:adjustRightInd w:val="0"/>
              <w:snapToGrid w:val="0"/>
              <w:spacing w:line="360" w:lineRule="auto"/>
              <w:jc w:val="both"/>
              <w:rPr>
                <w:rFonts w:ascii="Book Antiqua" w:eastAsia="宋体" w:hAnsi="Book Antiqua"/>
                <w:b/>
                <w:lang w:val="en-GB"/>
              </w:rPr>
            </w:pPr>
          </w:p>
        </w:tc>
      </w:tr>
      <w:tr w:rsidR="00983E22" w:rsidRPr="00983E22" w14:paraId="6BE798D0" w14:textId="77777777" w:rsidTr="00DC0D53">
        <w:trPr>
          <w:trHeight w:val="321"/>
        </w:trPr>
        <w:tc>
          <w:tcPr>
            <w:tcW w:w="2552" w:type="dxa"/>
            <w:tcBorders>
              <w:top w:val="single" w:sz="4" w:space="0" w:color="000000"/>
            </w:tcBorders>
            <w:shd w:val="clear" w:color="auto" w:fill="auto"/>
            <w:tcMar>
              <w:top w:w="0" w:type="dxa"/>
              <w:left w:w="108" w:type="dxa"/>
              <w:bottom w:w="0" w:type="dxa"/>
              <w:right w:w="108" w:type="dxa"/>
            </w:tcMar>
          </w:tcPr>
          <w:p w14:paraId="2BDD3FAD"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Function improved</w:t>
            </w:r>
          </w:p>
        </w:tc>
        <w:tc>
          <w:tcPr>
            <w:tcW w:w="458" w:type="dxa"/>
            <w:tcBorders>
              <w:top w:val="single" w:sz="4" w:space="0" w:color="000000"/>
            </w:tcBorders>
            <w:shd w:val="clear" w:color="auto" w:fill="auto"/>
            <w:tcMar>
              <w:top w:w="0" w:type="dxa"/>
              <w:left w:w="108" w:type="dxa"/>
              <w:bottom w:w="0" w:type="dxa"/>
              <w:right w:w="108" w:type="dxa"/>
            </w:tcMar>
            <w:vAlign w:val="center"/>
          </w:tcPr>
          <w:p w14:paraId="61E0A9D6"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21</w:t>
            </w:r>
          </w:p>
        </w:tc>
        <w:tc>
          <w:tcPr>
            <w:tcW w:w="709" w:type="dxa"/>
            <w:tcBorders>
              <w:top w:val="single" w:sz="8" w:space="0" w:color="000000" w:themeColor="text1"/>
            </w:tcBorders>
            <w:shd w:val="clear" w:color="auto" w:fill="auto"/>
            <w:tcMar>
              <w:top w:w="0" w:type="dxa"/>
              <w:left w:w="108" w:type="dxa"/>
              <w:bottom w:w="0" w:type="dxa"/>
              <w:right w:w="108" w:type="dxa"/>
            </w:tcMar>
            <w:vAlign w:val="center"/>
          </w:tcPr>
          <w:p w14:paraId="02E0565B"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46.9</w:t>
            </w:r>
          </w:p>
        </w:tc>
        <w:tc>
          <w:tcPr>
            <w:tcW w:w="695" w:type="dxa"/>
            <w:tcBorders>
              <w:top w:val="single" w:sz="8" w:space="0" w:color="000000" w:themeColor="text1"/>
            </w:tcBorders>
            <w:shd w:val="clear" w:color="auto" w:fill="auto"/>
            <w:tcMar>
              <w:top w:w="0" w:type="dxa"/>
              <w:left w:w="108" w:type="dxa"/>
              <w:bottom w:w="0" w:type="dxa"/>
              <w:right w:w="108" w:type="dxa"/>
            </w:tcMar>
            <w:vAlign w:val="center"/>
          </w:tcPr>
          <w:p w14:paraId="735D8BD7"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34.1</w:t>
            </w:r>
          </w:p>
        </w:tc>
        <w:tc>
          <w:tcPr>
            <w:tcW w:w="709" w:type="dxa"/>
            <w:tcBorders>
              <w:top w:val="single" w:sz="8" w:space="0" w:color="000000" w:themeColor="text1"/>
            </w:tcBorders>
            <w:shd w:val="clear" w:color="auto" w:fill="auto"/>
            <w:tcMar>
              <w:top w:w="0" w:type="dxa"/>
              <w:left w:w="108" w:type="dxa"/>
              <w:bottom w:w="0" w:type="dxa"/>
              <w:right w:w="108" w:type="dxa"/>
            </w:tcMar>
            <w:vAlign w:val="center"/>
          </w:tcPr>
          <w:p w14:paraId="66CAAC72"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56.2</w:t>
            </w:r>
          </w:p>
        </w:tc>
        <w:tc>
          <w:tcPr>
            <w:tcW w:w="665" w:type="dxa"/>
            <w:tcBorders>
              <w:top w:val="single" w:sz="8" w:space="0" w:color="000000" w:themeColor="text1"/>
            </w:tcBorders>
            <w:shd w:val="clear" w:color="auto" w:fill="auto"/>
            <w:tcMar>
              <w:top w:w="0" w:type="dxa"/>
              <w:left w:w="108" w:type="dxa"/>
              <w:bottom w:w="0" w:type="dxa"/>
              <w:right w:w="108" w:type="dxa"/>
            </w:tcMar>
            <w:vAlign w:val="center"/>
          </w:tcPr>
          <w:p w14:paraId="08466D34"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34.9</w:t>
            </w:r>
          </w:p>
        </w:tc>
        <w:tc>
          <w:tcPr>
            <w:tcW w:w="740" w:type="dxa"/>
            <w:tcBorders>
              <w:top w:val="single" w:sz="8" w:space="0" w:color="000000" w:themeColor="text1"/>
            </w:tcBorders>
            <w:shd w:val="clear" w:color="auto" w:fill="auto"/>
            <w:tcMar>
              <w:top w:w="0" w:type="dxa"/>
              <w:left w:w="108" w:type="dxa"/>
              <w:bottom w:w="0" w:type="dxa"/>
              <w:right w:w="108" w:type="dxa"/>
            </w:tcMar>
            <w:vAlign w:val="center"/>
          </w:tcPr>
          <w:p w14:paraId="10D82AED"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-9.4</w:t>
            </w:r>
          </w:p>
        </w:tc>
        <w:tc>
          <w:tcPr>
            <w:tcW w:w="1332" w:type="dxa"/>
            <w:tcBorders>
              <w:top w:val="single" w:sz="8" w:space="0" w:color="000000" w:themeColor="text1"/>
            </w:tcBorders>
            <w:shd w:val="clear" w:color="auto" w:fill="auto"/>
            <w:tcMar>
              <w:top w:w="0" w:type="dxa"/>
              <w:left w:w="108" w:type="dxa"/>
              <w:bottom w:w="0" w:type="dxa"/>
              <w:right w:w="108" w:type="dxa"/>
            </w:tcMar>
            <w:vAlign w:val="center"/>
          </w:tcPr>
          <w:p w14:paraId="4FF38111" w14:textId="77777777" w:rsidR="00983E22" w:rsidRPr="00983E22" w:rsidRDefault="00A30C33" w:rsidP="00CF74AD">
            <w:pPr>
              <w:autoSpaceDE w:val="0"/>
              <w:adjustRightInd w:val="0"/>
              <w:snapToGrid w:val="0"/>
              <w:spacing w:line="360" w:lineRule="auto"/>
              <w:jc w:val="both"/>
              <w:rPr>
                <w:rFonts w:ascii="Book Antiqua" w:eastAsia="宋体" w:hAnsi="Book Antiqua"/>
                <w:lang w:val="en-GB" w:eastAsia="zh-CN"/>
              </w:rPr>
            </w:pPr>
            <w:r>
              <w:rPr>
                <w:rFonts w:ascii="Book Antiqua" w:eastAsia="宋体" w:hAnsi="Book Antiqua"/>
                <w:lang w:val="en-GB"/>
              </w:rPr>
              <w:t>-13.6–</w:t>
            </w:r>
            <w:r>
              <w:rPr>
                <w:rFonts w:ascii="Book Antiqua" w:eastAsia="宋体" w:hAnsi="Book Antiqua" w:hint="eastAsia"/>
                <w:lang w:val="en-GB" w:eastAsia="zh-CN"/>
              </w:rPr>
              <w:t>(</w:t>
            </w:r>
            <w:r w:rsidR="00983E22" w:rsidRPr="00983E22">
              <w:rPr>
                <w:rFonts w:ascii="Book Antiqua" w:eastAsia="宋体" w:hAnsi="Book Antiqua"/>
                <w:lang w:val="en-GB"/>
              </w:rPr>
              <w:t>-5.1</w:t>
            </w:r>
            <w:r>
              <w:rPr>
                <w:rFonts w:ascii="Book Antiqua" w:eastAsia="宋体" w:hAnsi="Book Antiqua" w:hint="eastAsia"/>
                <w:lang w:val="en-GB" w:eastAsia="zh-CN"/>
              </w:rPr>
              <w:t>)</w:t>
            </w:r>
          </w:p>
        </w:tc>
        <w:tc>
          <w:tcPr>
            <w:tcW w:w="788" w:type="dxa"/>
            <w:tcBorders>
              <w:top w:val="single" w:sz="8" w:space="0" w:color="000000" w:themeColor="text1"/>
            </w:tcBorders>
            <w:shd w:val="clear" w:color="auto" w:fill="auto"/>
            <w:tcMar>
              <w:top w:w="0" w:type="dxa"/>
              <w:left w:w="108" w:type="dxa"/>
              <w:bottom w:w="0" w:type="dxa"/>
              <w:right w:w="108" w:type="dxa"/>
            </w:tcMar>
            <w:vAlign w:val="center"/>
          </w:tcPr>
          <w:p w14:paraId="4BAB4124" w14:textId="77777777" w:rsidR="00983E22" w:rsidRPr="00983E22" w:rsidRDefault="00D64790"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hint="eastAsia"/>
                <w:lang w:val="en-GB" w:eastAsia="zh-CN"/>
              </w:rPr>
              <w:t>0</w:t>
            </w:r>
            <w:r w:rsidR="00983E22" w:rsidRPr="00983E22">
              <w:rPr>
                <w:rFonts w:ascii="Book Antiqua" w:eastAsia="宋体" w:hAnsi="Book Antiqua"/>
                <w:lang w:val="en-GB"/>
              </w:rPr>
              <w:t>.001</w:t>
            </w:r>
          </w:p>
        </w:tc>
        <w:tc>
          <w:tcPr>
            <w:tcW w:w="691" w:type="dxa"/>
            <w:tcBorders>
              <w:top w:val="single" w:sz="8" w:space="0" w:color="000000" w:themeColor="text1"/>
            </w:tcBorders>
            <w:shd w:val="clear" w:color="auto" w:fill="auto"/>
            <w:tcMar>
              <w:top w:w="0" w:type="dxa"/>
              <w:left w:w="108" w:type="dxa"/>
              <w:bottom w:w="0" w:type="dxa"/>
              <w:right w:w="108" w:type="dxa"/>
            </w:tcMar>
            <w:vAlign w:val="center"/>
          </w:tcPr>
          <w:p w14:paraId="03EEE55D"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p>
        </w:tc>
        <w:tc>
          <w:tcPr>
            <w:tcW w:w="740" w:type="dxa"/>
            <w:tcBorders>
              <w:top w:val="single" w:sz="8" w:space="0" w:color="000000" w:themeColor="text1"/>
            </w:tcBorders>
            <w:shd w:val="clear" w:color="auto" w:fill="auto"/>
            <w:tcMar>
              <w:top w:w="0" w:type="dxa"/>
              <w:left w:w="108" w:type="dxa"/>
              <w:bottom w:w="0" w:type="dxa"/>
              <w:right w:w="108" w:type="dxa"/>
            </w:tcMar>
            <w:vAlign w:val="center"/>
          </w:tcPr>
          <w:p w14:paraId="7EE1C7BF"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p>
        </w:tc>
        <w:tc>
          <w:tcPr>
            <w:tcW w:w="695" w:type="dxa"/>
            <w:tcBorders>
              <w:top w:val="single" w:sz="8" w:space="0" w:color="000000" w:themeColor="text1"/>
            </w:tcBorders>
            <w:shd w:val="clear" w:color="auto" w:fill="auto"/>
            <w:tcMar>
              <w:top w:w="0" w:type="dxa"/>
              <w:left w:w="108" w:type="dxa"/>
              <w:bottom w:w="0" w:type="dxa"/>
              <w:right w:w="108" w:type="dxa"/>
            </w:tcMar>
            <w:vAlign w:val="center"/>
          </w:tcPr>
          <w:p w14:paraId="36B8D59C" w14:textId="77777777" w:rsidR="00983E22" w:rsidRPr="00983E22" w:rsidRDefault="00D64790"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hint="eastAsia"/>
                <w:lang w:val="en-GB" w:eastAsia="zh-CN"/>
              </w:rPr>
              <w:t>0</w:t>
            </w:r>
            <w:r w:rsidR="00983E22" w:rsidRPr="00983E22">
              <w:rPr>
                <w:rFonts w:ascii="Book Antiqua" w:eastAsia="宋体" w:hAnsi="Book Antiqua"/>
                <w:lang w:val="en-GB"/>
              </w:rPr>
              <w:t>.28</w:t>
            </w:r>
          </w:p>
        </w:tc>
      </w:tr>
      <w:tr w:rsidR="00983E22" w:rsidRPr="00983E22" w14:paraId="05E5D0AF" w14:textId="77777777" w:rsidTr="00F56AF9">
        <w:trPr>
          <w:trHeight w:val="141"/>
        </w:trPr>
        <w:tc>
          <w:tcPr>
            <w:tcW w:w="2552" w:type="dxa"/>
            <w:shd w:val="clear" w:color="auto" w:fill="auto"/>
            <w:tcMar>
              <w:top w:w="0" w:type="dxa"/>
              <w:left w:w="108" w:type="dxa"/>
              <w:bottom w:w="0" w:type="dxa"/>
              <w:right w:w="108" w:type="dxa"/>
            </w:tcMar>
          </w:tcPr>
          <w:p w14:paraId="2EDE46EB"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Function unchanged</w:t>
            </w:r>
          </w:p>
        </w:tc>
        <w:tc>
          <w:tcPr>
            <w:tcW w:w="458" w:type="dxa"/>
            <w:shd w:val="clear" w:color="auto" w:fill="auto"/>
            <w:tcMar>
              <w:top w:w="0" w:type="dxa"/>
              <w:left w:w="108" w:type="dxa"/>
              <w:bottom w:w="0" w:type="dxa"/>
              <w:right w:w="108" w:type="dxa"/>
            </w:tcMar>
            <w:vAlign w:val="center"/>
          </w:tcPr>
          <w:p w14:paraId="205379D1"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24</w:t>
            </w:r>
          </w:p>
        </w:tc>
        <w:tc>
          <w:tcPr>
            <w:tcW w:w="709" w:type="dxa"/>
            <w:shd w:val="clear" w:color="auto" w:fill="auto"/>
            <w:tcMar>
              <w:top w:w="0" w:type="dxa"/>
              <w:left w:w="108" w:type="dxa"/>
              <w:bottom w:w="0" w:type="dxa"/>
              <w:right w:w="108" w:type="dxa"/>
            </w:tcMar>
            <w:vAlign w:val="center"/>
          </w:tcPr>
          <w:p w14:paraId="3D75159A"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43.8</w:t>
            </w:r>
          </w:p>
        </w:tc>
        <w:tc>
          <w:tcPr>
            <w:tcW w:w="695" w:type="dxa"/>
            <w:shd w:val="clear" w:color="auto" w:fill="auto"/>
            <w:tcMar>
              <w:top w:w="0" w:type="dxa"/>
              <w:left w:w="108" w:type="dxa"/>
              <w:bottom w:w="0" w:type="dxa"/>
              <w:right w:w="108" w:type="dxa"/>
            </w:tcMar>
            <w:vAlign w:val="center"/>
          </w:tcPr>
          <w:p w14:paraId="4FCA8425"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31.6</w:t>
            </w:r>
          </w:p>
        </w:tc>
        <w:tc>
          <w:tcPr>
            <w:tcW w:w="709" w:type="dxa"/>
            <w:shd w:val="clear" w:color="auto" w:fill="auto"/>
            <w:tcMar>
              <w:top w:w="0" w:type="dxa"/>
              <w:left w:w="108" w:type="dxa"/>
              <w:bottom w:w="0" w:type="dxa"/>
              <w:right w:w="108" w:type="dxa"/>
            </w:tcMar>
            <w:vAlign w:val="center"/>
          </w:tcPr>
          <w:p w14:paraId="273C590F"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42.7</w:t>
            </w:r>
          </w:p>
        </w:tc>
        <w:tc>
          <w:tcPr>
            <w:tcW w:w="665" w:type="dxa"/>
            <w:shd w:val="clear" w:color="auto" w:fill="auto"/>
            <w:tcMar>
              <w:top w:w="0" w:type="dxa"/>
              <w:left w:w="108" w:type="dxa"/>
              <w:bottom w:w="0" w:type="dxa"/>
              <w:right w:w="108" w:type="dxa"/>
            </w:tcMar>
            <w:vAlign w:val="center"/>
          </w:tcPr>
          <w:p w14:paraId="51315137"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32.6</w:t>
            </w:r>
          </w:p>
        </w:tc>
        <w:tc>
          <w:tcPr>
            <w:tcW w:w="740" w:type="dxa"/>
            <w:shd w:val="clear" w:color="auto" w:fill="auto"/>
            <w:tcMar>
              <w:top w:w="0" w:type="dxa"/>
              <w:left w:w="108" w:type="dxa"/>
              <w:bottom w:w="0" w:type="dxa"/>
              <w:right w:w="108" w:type="dxa"/>
            </w:tcMar>
            <w:vAlign w:val="center"/>
          </w:tcPr>
          <w:p w14:paraId="6C0590BB"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1.1</w:t>
            </w:r>
          </w:p>
        </w:tc>
        <w:tc>
          <w:tcPr>
            <w:tcW w:w="1332" w:type="dxa"/>
            <w:shd w:val="clear" w:color="auto" w:fill="auto"/>
            <w:tcMar>
              <w:top w:w="0" w:type="dxa"/>
              <w:left w:w="108" w:type="dxa"/>
              <w:bottom w:w="0" w:type="dxa"/>
              <w:right w:w="108" w:type="dxa"/>
            </w:tcMar>
            <w:vAlign w:val="center"/>
          </w:tcPr>
          <w:p w14:paraId="2C8E4966" w14:textId="77777777" w:rsidR="00983E22" w:rsidRPr="00983E22" w:rsidRDefault="00A30C33"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lang w:val="en-GB"/>
              </w:rPr>
              <w:t>-1.9–</w:t>
            </w:r>
            <w:r w:rsidR="00983E22" w:rsidRPr="00983E22">
              <w:rPr>
                <w:rFonts w:ascii="Book Antiqua" w:eastAsia="宋体" w:hAnsi="Book Antiqua"/>
                <w:lang w:val="en-GB"/>
              </w:rPr>
              <w:t>4.1</w:t>
            </w:r>
          </w:p>
        </w:tc>
        <w:tc>
          <w:tcPr>
            <w:tcW w:w="788" w:type="dxa"/>
            <w:shd w:val="clear" w:color="auto" w:fill="auto"/>
            <w:tcMar>
              <w:top w:w="0" w:type="dxa"/>
              <w:left w:w="108" w:type="dxa"/>
              <w:bottom w:w="0" w:type="dxa"/>
              <w:right w:w="108" w:type="dxa"/>
            </w:tcMar>
            <w:vAlign w:val="center"/>
          </w:tcPr>
          <w:p w14:paraId="69A2A472" w14:textId="77777777" w:rsidR="00983E22" w:rsidRPr="00983E22" w:rsidRDefault="00D64790"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hint="eastAsia"/>
                <w:lang w:val="en-GB" w:eastAsia="zh-CN"/>
              </w:rPr>
              <w:t>0</w:t>
            </w:r>
            <w:r w:rsidR="00983E22" w:rsidRPr="00983E22">
              <w:rPr>
                <w:rFonts w:ascii="Book Antiqua" w:eastAsia="宋体" w:hAnsi="Book Antiqua"/>
                <w:lang w:val="en-GB"/>
              </w:rPr>
              <w:t>.743</w:t>
            </w:r>
          </w:p>
        </w:tc>
        <w:tc>
          <w:tcPr>
            <w:tcW w:w="691" w:type="dxa"/>
            <w:shd w:val="clear" w:color="auto" w:fill="auto"/>
            <w:tcMar>
              <w:top w:w="0" w:type="dxa"/>
              <w:left w:w="108" w:type="dxa"/>
              <w:bottom w:w="0" w:type="dxa"/>
              <w:right w:w="108" w:type="dxa"/>
            </w:tcMar>
            <w:vAlign w:val="center"/>
          </w:tcPr>
          <w:p w14:paraId="1F8B93D1"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3.2</w:t>
            </w:r>
          </w:p>
        </w:tc>
        <w:tc>
          <w:tcPr>
            <w:tcW w:w="740" w:type="dxa"/>
            <w:shd w:val="clear" w:color="auto" w:fill="auto"/>
            <w:tcMar>
              <w:top w:w="0" w:type="dxa"/>
              <w:left w:w="108" w:type="dxa"/>
              <w:bottom w:w="0" w:type="dxa"/>
              <w:right w:w="108" w:type="dxa"/>
            </w:tcMar>
            <w:vAlign w:val="center"/>
          </w:tcPr>
          <w:p w14:paraId="48B269B4"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8.8</w:t>
            </w:r>
          </w:p>
        </w:tc>
        <w:tc>
          <w:tcPr>
            <w:tcW w:w="695" w:type="dxa"/>
            <w:shd w:val="clear" w:color="auto" w:fill="auto"/>
            <w:tcMar>
              <w:top w:w="0" w:type="dxa"/>
              <w:left w:w="108" w:type="dxa"/>
              <w:bottom w:w="0" w:type="dxa"/>
              <w:right w:w="108" w:type="dxa"/>
            </w:tcMar>
            <w:vAlign w:val="center"/>
          </w:tcPr>
          <w:p w14:paraId="7F8E01BE" w14:textId="77777777" w:rsidR="00983E22" w:rsidRPr="00983E22" w:rsidRDefault="00D64790"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hint="eastAsia"/>
                <w:lang w:val="en-GB" w:eastAsia="zh-CN"/>
              </w:rPr>
              <w:t>0</w:t>
            </w:r>
            <w:r w:rsidR="00983E22" w:rsidRPr="00983E22">
              <w:rPr>
                <w:rFonts w:ascii="Book Antiqua" w:eastAsia="宋体" w:hAnsi="Book Antiqua"/>
                <w:lang w:val="en-GB"/>
              </w:rPr>
              <w:t>.03</w:t>
            </w:r>
          </w:p>
        </w:tc>
      </w:tr>
      <w:tr w:rsidR="004D3DDC" w:rsidRPr="00983E22" w14:paraId="2437DF38" w14:textId="77777777" w:rsidTr="00DC0D53">
        <w:trPr>
          <w:trHeight w:val="74"/>
        </w:trPr>
        <w:tc>
          <w:tcPr>
            <w:tcW w:w="2552" w:type="dxa"/>
            <w:shd w:val="clear" w:color="auto" w:fill="auto"/>
            <w:tcMar>
              <w:top w:w="0" w:type="dxa"/>
              <w:left w:w="108" w:type="dxa"/>
              <w:bottom w:w="0" w:type="dxa"/>
              <w:right w:w="108" w:type="dxa"/>
            </w:tcMar>
          </w:tcPr>
          <w:p w14:paraId="5C838A63"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Function worsened</w:t>
            </w:r>
          </w:p>
        </w:tc>
        <w:tc>
          <w:tcPr>
            <w:tcW w:w="458" w:type="dxa"/>
            <w:shd w:val="clear" w:color="auto" w:fill="auto"/>
            <w:tcMar>
              <w:top w:w="0" w:type="dxa"/>
              <w:left w:w="108" w:type="dxa"/>
              <w:bottom w:w="0" w:type="dxa"/>
              <w:right w:w="108" w:type="dxa"/>
            </w:tcMar>
            <w:vAlign w:val="center"/>
          </w:tcPr>
          <w:p w14:paraId="3D60D660"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10</w:t>
            </w:r>
          </w:p>
        </w:tc>
        <w:tc>
          <w:tcPr>
            <w:tcW w:w="709" w:type="dxa"/>
            <w:shd w:val="clear" w:color="auto" w:fill="auto"/>
            <w:tcMar>
              <w:top w:w="0" w:type="dxa"/>
              <w:left w:w="108" w:type="dxa"/>
              <w:bottom w:w="0" w:type="dxa"/>
              <w:right w:w="108" w:type="dxa"/>
            </w:tcMar>
            <w:vAlign w:val="center"/>
          </w:tcPr>
          <w:p w14:paraId="470CF59E"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37.7</w:t>
            </w:r>
          </w:p>
        </w:tc>
        <w:tc>
          <w:tcPr>
            <w:tcW w:w="695" w:type="dxa"/>
            <w:shd w:val="clear" w:color="auto" w:fill="auto"/>
            <w:tcMar>
              <w:top w:w="0" w:type="dxa"/>
              <w:left w:w="108" w:type="dxa"/>
              <w:bottom w:w="0" w:type="dxa"/>
              <w:right w:w="108" w:type="dxa"/>
            </w:tcMar>
            <w:vAlign w:val="center"/>
          </w:tcPr>
          <w:p w14:paraId="573798F2"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29.0</w:t>
            </w:r>
          </w:p>
        </w:tc>
        <w:tc>
          <w:tcPr>
            <w:tcW w:w="709" w:type="dxa"/>
            <w:shd w:val="clear" w:color="auto" w:fill="auto"/>
            <w:tcMar>
              <w:top w:w="0" w:type="dxa"/>
              <w:left w:w="108" w:type="dxa"/>
              <w:bottom w:w="0" w:type="dxa"/>
              <w:right w:w="108" w:type="dxa"/>
            </w:tcMar>
            <w:vAlign w:val="center"/>
          </w:tcPr>
          <w:p w14:paraId="0AF360FF"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20.2</w:t>
            </w:r>
          </w:p>
        </w:tc>
        <w:tc>
          <w:tcPr>
            <w:tcW w:w="665" w:type="dxa"/>
            <w:shd w:val="clear" w:color="auto" w:fill="auto"/>
            <w:tcMar>
              <w:top w:w="0" w:type="dxa"/>
              <w:left w:w="108" w:type="dxa"/>
              <w:bottom w:w="0" w:type="dxa"/>
              <w:right w:w="108" w:type="dxa"/>
            </w:tcMar>
            <w:vAlign w:val="center"/>
          </w:tcPr>
          <w:p w14:paraId="35DCCB63"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13.1</w:t>
            </w:r>
          </w:p>
        </w:tc>
        <w:tc>
          <w:tcPr>
            <w:tcW w:w="740" w:type="dxa"/>
            <w:shd w:val="clear" w:color="auto" w:fill="auto"/>
            <w:tcMar>
              <w:top w:w="0" w:type="dxa"/>
              <w:left w:w="108" w:type="dxa"/>
              <w:bottom w:w="0" w:type="dxa"/>
              <w:right w:w="108" w:type="dxa"/>
            </w:tcMar>
            <w:vAlign w:val="center"/>
          </w:tcPr>
          <w:p w14:paraId="72736A01"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r w:rsidRPr="00983E22">
              <w:rPr>
                <w:rFonts w:ascii="Book Antiqua" w:eastAsia="宋体" w:hAnsi="Book Antiqua"/>
                <w:lang w:val="en-GB"/>
              </w:rPr>
              <w:t>17.1</w:t>
            </w:r>
          </w:p>
        </w:tc>
        <w:tc>
          <w:tcPr>
            <w:tcW w:w="1332" w:type="dxa"/>
            <w:shd w:val="clear" w:color="auto" w:fill="auto"/>
            <w:tcMar>
              <w:top w:w="0" w:type="dxa"/>
              <w:left w:w="108" w:type="dxa"/>
              <w:bottom w:w="0" w:type="dxa"/>
              <w:right w:w="108" w:type="dxa"/>
            </w:tcMar>
            <w:vAlign w:val="center"/>
          </w:tcPr>
          <w:p w14:paraId="50B6AEC9" w14:textId="77777777" w:rsidR="00983E22" w:rsidRPr="00983E22" w:rsidRDefault="00A30C33"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lang w:val="en-GB"/>
              </w:rPr>
              <w:t>0.7</w:t>
            </w:r>
            <w:bookmarkStart w:id="134" w:name="OLE_LINK52"/>
            <w:bookmarkStart w:id="135" w:name="OLE_LINK53"/>
            <w:r>
              <w:rPr>
                <w:rFonts w:ascii="Book Antiqua" w:eastAsia="宋体" w:hAnsi="Book Antiqua"/>
                <w:lang w:val="en-GB"/>
              </w:rPr>
              <w:t>–</w:t>
            </w:r>
            <w:bookmarkEnd w:id="134"/>
            <w:bookmarkEnd w:id="135"/>
            <w:r w:rsidR="00983E22" w:rsidRPr="00983E22">
              <w:rPr>
                <w:rFonts w:ascii="Book Antiqua" w:eastAsia="宋体" w:hAnsi="Book Antiqua"/>
                <w:lang w:val="en-GB"/>
              </w:rPr>
              <w:t>33.4</w:t>
            </w:r>
          </w:p>
        </w:tc>
        <w:tc>
          <w:tcPr>
            <w:tcW w:w="788" w:type="dxa"/>
            <w:shd w:val="clear" w:color="auto" w:fill="auto"/>
            <w:tcMar>
              <w:top w:w="0" w:type="dxa"/>
              <w:left w:w="108" w:type="dxa"/>
              <w:bottom w:w="0" w:type="dxa"/>
              <w:right w:w="108" w:type="dxa"/>
            </w:tcMar>
            <w:vAlign w:val="center"/>
          </w:tcPr>
          <w:p w14:paraId="0B5C29C4" w14:textId="77777777" w:rsidR="00983E22" w:rsidRPr="00983E22" w:rsidRDefault="00D64790"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hint="eastAsia"/>
                <w:lang w:val="en-GB" w:eastAsia="zh-CN"/>
              </w:rPr>
              <w:t>0</w:t>
            </w:r>
            <w:r w:rsidR="00983E22" w:rsidRPr="00983E22">
              <w:rPr>
                <w:rFonts w:ascii="Book Antiqua" w:eastAsia="宋体" w:hAnsi="Book Antiqua"/>
                <w:lang w:val="en-GB"/>
              </w:rPr>
              <w:t>.016</w:t>
            </w:r>
          </w:p>
        </w:tc>
        <w:tc>
          <w:tcPr>
            <w:tcW w:w="691" w:type="dxa"/>
            <w:shd w:val="clear" w:color="auto" w:fill="auto"/>
            <w:tcMar>
              <w:top w:w="0" w:type="dxa"/>
              <w:left w:w="108" w:type="dxa"/>
              <w:bottom w:w="0" w:type="dxa"/>
              <w:right w:w="108" w:type="dxa"/>
            </w:tcMar>
            <w:vAlign w:val="center"/>
          </w:tcPr>
          <w:p w14:paraId="69BB0863"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p>
        </w:tc>
        <w:tc>
          <w:tcPr>
            <w:tcW w:w="740" w:type="dxa"/>
            <w:shd w:val="clear" w:color="auto" w:fill="auto"/>
            <w:tcMar>
              <w:top w:w="0" w:type="dxa"/>
              <w:left w:w="108" w:type="dxa"/>
              <w:bottom w:w="0" w:type="dxa"/>
              <w:right w:w="108" w:type="dxa"/>
            </w:tcMar>
            <w:vAlign w:val="center"/>
          </w:tcPr>
          <w:p w14:paraId="473DA30B" w14:textId="77777777" w:rsidR="00983E22" w:rsidRPr="00983E22" w:rsidRDefault="00983E22" w:rsidP="00CF74AD">
            <w:pPr>
              <w:autoSpaceDE w:val="0"/>
              <w:adjustRightInd w:val="0"/>
              <w:snapToGrid w:val="0"/>
              <w:spacing w:line="360" w:lineRule="auto"/>
              <w:jc w:val="both"/>
              <w:rPr>
                <w:rFonts w:ascii="Book Antiqua" w:eastAsia="宋体" w:hAnsi="Book Antiqua"/>
                <w:lang w:val="en-GB"/>
              </w:rPr>
            </w:pPr>
          </w:p>
        </w:tc>
        <w:tc>
          <w:tcPr>
            <w:tcW w:w="695" w:type="dxa"/>
            <w:shd w:val="clear" w:color="auto" w:fill="auto"/>
            <w:tcMar>
              <w:top w:w="0" w:type="dxa"/>
              <w:left w:w="108" w:type="dxa"/>
              <w:bottom w:w="0" w:type="dxa"/>
              <w:right w:w="108" w:type="dxa"/>
            </w:tcMar>
            <w:vAlign w:val="center"/>
          </w:tcPr>
          <w:p w14:paraId="22A4B81C" w14:textId="77777777" w:rsidR="00983E22" w:rsidRPr="00983E22" w:rsidRDefault="00D64790" w:rsidP="00CF74AD">
            <w:pPr>
              <w:autoSpaceDE w:val="0"/>
              <w:adjustRightInd w:val="0"/>
              <w:snapToGrid w:val="0"/>
              <w:spacing w:line="360" w:lineRule="auto"/>
              <w:jc w:val="both"/>
              <w:rPr>
                <w:rFonts w:ascii="Book Antiqua" w:eastAsia="宋体" w:hAnsi="Book Antiqua"/>
                <w:lang w:val="en-GB"/>
              </w:rPr>
            </w:pPr>
            <w:r>
              <w:rPr>
                <w:rFonts w:ascii="Book Antiqua" w:eastAsia="宋体" w:hAnsi="Book Antiqua" w:hint="eastAsia"/>
                <w:lang w:val="en-GB" w:eastAsia="zh-CN"/>
              </w:rPr>
              <w:t>0</w:t>
            </w:r>
            <w:r w:rsidR="00983E22" w:rsidRPr="00983E22">
              <w:rPr>
                <w:rFonts w:ascii="Book Antiqua" w:eastAsia="宋体" w:hAnsi="Book Antiqua"/>
                <w:lang w:val="en-GB"/>
              </w:rPr>
              <w:t>.59</w:t>
            </w:r>
          </w:p>
        </w:tc>
      </w:tr>
    </w:tbl>
    <w:p w14:paraId="24AF513B" w14:textId="18B74F29" w:rsidR="00A164D8" w:rsidRDefault="00D736C6" w:rsidP="00CF74AD">
      <w:pPr>
        <w:adjustRightInd w:val="0"/>
        <w:snapToGrid w:val="0"/>
        <w:spacing w:line="360" w:lineRule="auto"/>
        <w:jc w:val="both"/>
        <w:rPr>
          <w:rFonts w:ascii="Book Antiqua" w:hAnsi="Book Antiqua" w:cs="Book Antiqua"/>
          <w:color w:val="000000"/>
          <w:lang w:eastAsia="zh-CN"/>
        </w:rPr>
      </w:pPr>
      <w:r>
        <w:rPr>
          <w:rFonts w:ascii="Book Antiqua" w:eastAsia="宋体" w:hAnsi="Book Antiqua" w:hint="eastAsia"/>
          <w:lang w:eastAsia="zh-CN"/>
        </w:rPr>
        <w:t xml:space="preserve">FJS: </w:t>
      </w:r>
      <w:r>
        <w:rPr>
          <w:rFonts w:ascii="Book Antiqua" w:eastAsia="Book Antiqua" w:hAnsi="Book Antiqua" w:cs="Book Antiqua"/>
          <w:color w:val="000000"/>
        </w:rPr>
        <w:t>Forgotten Joint Score</w:t>
      </w:r>
      <w:r>
        <w:rPr>
          <w:rFonts w:ascii="Book Antiqua" w:hAnsi="Book Antiqua" w:cs="Book Antiqua" w:hint="eastAsia"/>
          <w:color w:val="000000"/>
          <w:lang w:eastAsia="zh-CN"/>
        </w:rPr>
        <w:t xml:space="preserve">; </w:t>
      </w:r>
      <w:bookmarkStart w:id="136" w:name="OLE_LINK56"/>
      <w:bookmarkStart w:id="137" w:name="OLE_LINK57"/>
      <w:r>
        <w:rPr>
          <w:rFonts w:ascii="Book Antiqua" w:hAnsi="Book Antiqua" w:cs="Book Antiqua" w:hint="eastAsia"/>
          <w:color w:val="000000"/>
          <w:lang w:eastAsia="zh-CN"/>
        </w:rPr>
        <w:t>SEM</w:t>
      </w:r>
      <w:bookmarkEnd w:id="136"/>
      <w:bookmarkEnd w:id="137"/>
      <w:r>
        <w:rPr>
          <w:rFonts w:ascii="Book Antiqua" w:hAnsi="Book Antiqua" w:cs="Book Antiqua" w:hint="eastAsia"/>
          <w:color w:val="000000"/>
          <w:lang w:eastAsia="zh-CN"/>
        </w:rPr>
        <w:t>: S</w:t>
      </w:r>
      <w:r>
        <w:rPr>
          <w:rFonts w:ascii="Book Antiqua" w:eastAsia="Book Antiqua" w:hAnsi="Book Antiqua" w:cs="Book Antiqua"/>
          <w:color w:val="000000"/>
        </w:rPr>
        <w:t>tandard error of measurement</w:t>
      </w:r>
      <w:r>
        <w:rPr>
          <w:rFonts w:ascii="Book Antiqua" w:hAnsi="Book Antiqua" w:cs="Book Antiqua" w:hint="eastAsia"/>
          <w:color w:val="000000"/>
          <w:lang w:eastAsia="zh-CN"/>
        </w:rPr>
        <w:t>; SDC: S</w:t>
      </w:r>
      <w:r>
        <w:rPr>
          <w:rFonts w:ascii="Book Antiqua" w:eastAsia="Book Antiqua" w:hAnsi="Book Antiqua" w:cs="Book Antiqua"/>
          <w:color w:val="000000"/>
        </w:rPr>
        <w:t>mallest detectable change</w:t>
      </w:r>
      <w:r>
        <w:rPr>
          <w:rFonts w:ascii="Book Antiqua" w:hAnsi="Book Antiqua" w:cs="Book Antiqua" w:hint="eastAsia"/>
          <w:color w:val="000000"/>
          <w:lang w:eastAsia="zh-CN"/>
        </w:rPr>
        <w:t>; ES: E</w:t>
      </w:r>
      <w:r>
        <w:rPr>
          <w:rFonts w:ascii="Book Antiqua" w:eastAsia="Book Antiqua" w:hAnsi="Book Antiqua" w:cs="Book Antiqua"/>
          <w:color w:val="000000"/>
        </w:rPr>
        <w:t>ffect size</w:t>
      </w:r>
      <w:r>
        <w:rPr>
          <w:rFonts w:ascii="Book Antiqua" w:hAnsi="Book Antiqua" w:cs="Book Antiqua" w:hint="eastAsia"/>
          <w:color w:val="000000"/>
          <w:lang w:eastAsia="zh-CN"/>
        </w:rPr>
        <w:t>.</w:t>
      </w:r>
    </w:p>
    <w:p w14:paraId="4B6485AD" w14:textId="77777777" w:rsidR="00A164D8" w:rsidRDefault="00A164D8">
      <w:pPr>
        <w:rPr>
          <w:rFonts w:ascii="Book Antiqua" w:hAnsi="Book Antiqua" w:cs="Book Antiqua"/>
          <w:color w:val="000000"/>
          <w:lang w:eastAsia="zh-CN"/>
        </w:rPr>
      </w:pPr>
      <w:r>
        <w:rPr>
          <w:rFonts w:ascii="Book Antiqua" w:hAnsi="Book Antiqua" w:cs="Book Antiqua"/>
          <w:color w:val="000000"/>
          <w:lang w:eastAsia="zh-CN"/>
        </w:rPr>
        <w:br w:type="page"/>
      </w:r>
    </w:p>
    <w:p w14:paraId="539EB36E" w14:textId="5475F771" w:rsidR="00A164D8" w:rsidRDefault="00A164D8" w:rsidP="00A164D8">
      <w:pPr>
        <w:jc w:val="center"/>
        <w:rPr>
          <w:rFonts w:ascii="Book Antiqua" w:hAnsi="Book Antiqua"/>
        </w:rPr>
      </w:pPr>
      <w:r>
        <w:rPr>
          <w:rFonts w:ascii="Book Antiqua" w:hAnsi="Book Antiqua"/>
          <w:noProof/>
          <w:lang w:eastAsia="zh-CN"/>
        </w:rPr>
        <w:lastRenderedPageBreak/>
        <w:drawing>
          <wp:inline distT="0" distB="0" distL="0" distR="0" wp14:anchorId="614997CD" wp14:editId="5EB4ADA2">
            <wp:extent cx="2499360" cy="1442720"/>
            <wp:effectExtent l="0" t="0" r="0" b="508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2720"/>
                    </a:xfrm>
                    <a:prstGeom prst="rect">
                      <a:avLst/>
                    </a:prstGeom>
                    <a:noFill/>
                    <a:ln>
                      <a:noFill/>
                    </a:ln>
                  </pic:spPr>
                </pic:pic>
              </a:graphicData>
            </a:graphic>
          </wp:inline>
        </w:drawing>
      </w:r>
    </w:p>
    <w:p w14:paraId="0A566186" w14:textId="77777777" w:rsidR="00A164D8" w:rsidRDefault="00A164D8" w:rsidP="00A164D8">
      <w:pPr>
        <w:jc w:val="center"/>
        <w:rPr>
          <w:rFonts w:ascii="Book Antiqua" w:hAnsi="Book Antiqua"/>
        </w:rPr>
      </w:pPr>
    </w:p>
    <w:p w14:paraId="2EE80E00" w14:textId="77777777" w:rsidR="00A164D8" w:rsidRDefault="00A164D8" w:rsidP="00A164D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76DD1F2" w14:textId="77777777" w:rsidR="00A164D8" w:rsidRDefault="00A164D8" w:rsidP="00A164D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1BF060" w14:textId="77777777" w:rsidR="00A164D8" w:rsidRDefault="00A164D8" w:rsidP="00A164D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E18D4F" w14:textId="77777777" w:rsidR="00A164D8" w:rsidRDefault="00A164D8" w:rsidP="00A164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F6E1E5" w14:textId="77777777" w:rsidR="00A164D8" w:rsidRDefault="00A164D8" w:rsidP="00A164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644F1FF" w14:textId="77777777" w:rsidR="00A164D8" w:rsidRDefault="00A164D8" w:rsidP="00A164D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E049B62" w14:textId="77777777" w:rsidR="00A164D8" w:rsidRDefault="00A164D8" w:rsidP="00A164D8">
      <w:pPr>
        <w:jc w:val="center"/>
        <w:rPr>
          <w:rFonts w:ascii="Book Antiqua" w:hAnsi="Book Antiqua"/>
        </w:rPr>
      </w:pPr>
    </w:p>
    <w:p w14:paraId="61C9A69D" w14:textId="77777777" w:rsidR="00A164D8" w:rsidRDefault="00A164D8" w:rsidP="00A164D8">
      <w:pPr>
        <w:jc w:val="center"/>
        <w:rPr>
          <w:rFonts w:ascii="Book Antiqua" w:hAnsi="Book Antiqua"/>
        </w:rPr>
      </w:pPr>
    </w:p>
    <w:p w14:paraId="1009AEBA" w14:textId="77777777" w:rsidR="00A164D8" w:rsidRDefault="00A164D8" w:rsidP="00A164D8">
      <w:pPr>
        <w:jc w:val="center"/>
        <w:rPr>
          <w:rFonts w:ascii="Book Antiqua" w:hAnsi="Book Antiqua"/>
        </w:rPr>
      </w:pPr>
    </w:p>
    <w:p w14:paraId="5E80D94E" w14:textId="2C174BD4" w:rsidR="00A164D8" w:rsidRDefault="00A164D8" w:rsidP="00A164D8">
      <w:pPr>
        <w:jc w:val="center"/>
        <w:rPr>
          <w:rFonts w:ascii="Book Antiqua" w:hAnsi="Book Antiqua"/>
        </w:rPr>
      </w:pPr>
      <w:r>
        <w:rPr>
          <w:rFonts w:ascii="Book Antiqua" w:hAnsi="Book Antiqua"/>
          <w:noProof/>
          <w:lang w:eastAsia="zh-CN"/>
        </w:rPr>
        <w:drawing>
          <wp:inline distT="0" distB="0" distL="0" distR="0" wp14:anchorId="5F517913" wp14:editId="32E591CE">
            <wp:extent cx="1447800" cy="1442720"/>
            <wp:effectExtent l="0" t="0" r="0" b="508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2720"/>
                    </a:xfrm>
                    <a:prstGeom prst="rect">
                      <a:avLst/>
                    </a:prstGeom>
                    <a:noFill/>
                    <a:ln>
                      <a:noFill/>
                    </a:ln>
                  </pic:spPr>
                </pic:pic>
              </a:graphicData>
            </a:graphic>
          </wp:inline>
        </w:drawing>
      </w:r>
    </w:p>
    <w:p w14:paraId="101D66F9" w14:textId="77777777" w:rsidR="00A164D8" w:rsidRDefault="00A164D8" w:rsidP="00A164D8">
      <w:pPr>
        <w:jc w:val="center"/>
        <w:rPr>
          <w:rFonts w:ascii="Book Antiqua" w:hAnsi="Book Antiqua"/>
        </w:rPr>
      </w:pPr>
    </w:p>
    <w:p w14:paraId="53040592" w14:textId="77777777" w:rsidR="00A164D8" w:rsidRDefault="00A164D8" w:rsidP="00A164D8">
      <w:pPr>
        <w:jc w:val="center"/>
        <w:rPr>
          <w:rFonts w:ascii="Book Antiqua" w:hAnsi="Book Antiqua"/>
        </w:rPr>
      </w:pPr>
    </w:p>
    <w:p w14:paraId="5C5684D5" w14:textId="77777777" w:rsidR="00A164D8" w:rsidRDefault="00A164D8" w:rsidP="00A164D8">
      <w:pPr>
        <w:jc w:val="center"/>
        <w:rPr>
          <w:rFonts w:ascii="Book Antiqua" w:hAnsi="Book Antiqua"/>
        </w:rPr>
      </w:pPr>
    </w:p>
    <w:p w14:paraId="7E32D490" w14:textId="77777777" w:rsidR="00A164D8" w:rsidRDefault="00A164D8" w:rsidP="00A164D8">
      <w:pPr>
        <w:jc w:val="center"/>
        <w:rPr>
          <w:rFonts w:ascii="Book Antiqua" w:hAnsi="Book Antiqua"/>
        </w:rPr>
      </w:pPr>
    </w:p>
    <w:p w14:paraId="7F119BCF" w14:textId="77777777" w:rsidR="00A164D8" w:rsidRDefault="00A164D8" w:rsidP="00A164D8">
      <w:pPr>
        <w:jc w:val="center"/>
        <w:rPr>
          <w:rFonts w:ascii="Book Antiqua" w:hAnsi="Book Antiqua"/>
        </w:rPr>
      </w:pPr>
    </w:p>
    <w:p w14:paraId="61934C02" w14:textId="77777777" w:rsidR="00A164D8" w:rsidRDefault="00A164D8" w:rsidP="00A164D8">
      <w:pPr>
        <w:jc w:val="right"/>
        <w:rPr>
          <w:rFonts w:ascii="Book Antiqua" w:hAnsi="Book Antiqua"/>
          <w:color w:val="000000" w:themeColor="text1"/>
        </w:rPr>
      </w:pPr>
    </w:p>
    <w:p w14:paraId="6AD7D3A6" w14:textId="77777777" w:rsidR="00A164D8" w:rsidRDefault="00A164D8" w:rsidP="00A164D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4DF68DC" w14:textId="77777777" w:rsidR="00A164D8" w:rsidRDefault="00A164D8" w:rsidP="00A164D8">
      <w:pPr>
        <w:snapToGrid w:val="0"/>
        <w:spacing w:line="360" w:lineRule="auto"/>
        <w:rPr>
          <w:rFonts w:asciiTheme="minorEastAsia" w:hAnsiTheme="minorEastAsia"/>
          <w:b/>
        </w:rPr>
      </w:pPr>
    </w:p>
    <w:p w14:paraId="53024253" w14:textId="77777777" w:rsidR="00A77B3E" w:rsidRPr="00A164D8" w:rsidRDefault="00A77B3E" w:rsidP="00CF74AD">
      <w:pPr>
        <w:adjustRightInd w:val="0"/>
        <w:snapToGrid w:val="0"/>
        <w:spacing w:line="360" w:lineRule="auto"/>
        <w:jc w:val="both"/>
        <w:rPr>
          <w:rFonts w:ascii="Book Antiqua" w:hAnsi="Book Antiqua"/>
          <w:lang w:eastAsia="zh-CN"/>
        </w:rPr>
      </w:pPr>
      <w:bookmarkStart w:id="138" w:name="_GoBack"/>
      <w:bookmarkEnd w:id="138"/>
    </w:p>
    <w:sectPr w:rsidR="00A77B3E" w:rsidRPr="00A164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FF56A" w14:textId="77777777" w:rsidR="00431EBE" w:rsidRDefault="00431EBE" w:rsidP="00990143">
      <w:r>
        <w:separator/>
      </w:r>
    </w:p>
  </w:endnote>
  <w:endnote w:type="continuationSeparator" w:id="0">
    <w:p w14:paraId="0C3B06EC" w14:textId="77777777" w:rsidR="00431EBE" w:rsidRDefault="00431EBE" w:rsidP="00990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979669"/>
      <w:docPartObj>
        <w:docPartGallery w:val="Page Numbers (Bottom of Page)"/>
        <w:docPartUnique/>
      </w:docPartObj>
    </w:sdtPr>
    <w:sdtEndPr/>
    <w:sdtContent>
      <w:sdt>
        <w:sdtPr>
          <w:id w:val="860082579"/>
          <w:docPartObj>
            <w:docPartGallery w:val="Page Numbers (Top of Page)"/>
            <w:docPartUnique/>
          </w:docPartObj>
        </w:sdtPr>
        <w:sdtEndPr/>
        <w:sdtContent>
          <w:p w14:paraId="1E43BF28" w14:textId="0182E7DD" w:rsidR="000135DE" w:rsidRDefault="000135D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164D8">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164D8">
              <w:rPr>
                <w:b/>
                <w:bCs/>
                <w:noProof/>
              </w:rPr>
              <w:t>33</w:t>
            </w:r>
            <w:r>
              <w:rPr>
                <w:b/>
                <w:bCs/>
                <w:sz w:val="24"/>
                <w:szCs w:val="24"/>
              </w:rPr>
              <w:fldChar w:fldCharType="end"/>
            </w:r>
          </w:p>
        </w:sdtContent>
      </w:sdt>
    </w:sdtContent>
  </w:sdt>
  <w:p w14:paraId="2500C6E3" w14:textId="77777777" w:rsidR="00541E7B" w:rsidRDefault="00541E7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5043C" w14:textId="77777777" w:rsidR="00431EBE" w:rsidRDefault="00431EBE" w:rsidP="00990143">
      <w:r>
        <w:separator/>
      </w:r>
    </w:p>
  </w:footnote>
  <w:footnote w:type="continuationSeparator" w:id="0">
    <w:p w14:paraId="2C9361D7" w14:textId="77777777" w:rsidR="00431EBE" w:rsidRDefault="00431EBE" w:rsidP="009901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5DE"/>
    <w:rsid w:val="00017D1E"/>
    <w:rsid w:val="0002555A"/>
    <w:rsid w:val="000543CF"/>
    <w:rsid w:val="00064FE1"/>
    <w:rsid w:val="00082D08"/>
    <w:rsid w:val="00084D94"/>
    <w:rsid w:val="00094E99"/>
    <w:rsid w:val="000A610A"/>
    <w:rsid w:val="000C34E8"/>
    <w:rsid w:val="000E34B4"/>
    <w:rsid w:val="00100035"/>
    <w:rsid w:val="00110F62"/>
    <w:rsid w:val="001152FD"/>
    <w:rsid w:val="00127F2D"/>
    <w:rsid w:val="00132E86"/>
    <w:rsid w:val="00135651"/>
    <w:rsid w:val="00145257"/>
    <w:rsid w:val="00160354"/>
    <w:rsid w:val="001650B0"/>
    <w:rsid w:val="00183526"/>
    <w:rsid w:val="00193AA7"/>
    <w:rsid w:val="00195906"/>
    <w:rsid w:val="001A507C"/>
    <w:rsid w:val="001B2086"/>
    <w:rsid w:val="001F6556"/>
    <w:rsid w:val="0020427F"/>
    <w:rsid w:val="0021127B"/>
    <w:rsid w:val="002156C0"/>
    <w:rsid w:val="00232D25"/>
    <w:rsid w:val="00250D54"/>
    <w:rsid w:val="00254CF6"/>
    <w:rsid w:val="00282155"/>
    <w:rsid w:val="00287430"/>
    <w:rsid w:val="002A155B"/>
    <w:rsid w:val="00304C96"/>
    <w:rsid w:val="00334011"/>
    <w:rsid w:val="00353BAF"/>
    <w:rsid w:val="00412D13"/>
    <w:rsid w:val="004141CA"/>
    <w:rsid w:val="004165A8"/>
    <w:rsid w:val="00431EBE"/>
    <w:rsid w:val="00435E9E"/>
    <w:rsid w:val="00464B5F"/>
    <w:rsid w:val="004745BC"/>
    <w:rsid w:val="0048212C"/>
    <w:rsid w:val="00492BC2"/>
    <w:rsid w:val="004957C5"/>
    <w:rsid w:val="004A03B6"/>
    <w:rsid w:val="004B5FA7"/>
    <w:rsid w:val="004C743A"/>
    <w:rsid w:val="004D002F"/>
    <w:rsid w:val="004D3DDC"/>
    <w:rsid w:val="004E31FA"/>
    <w:rsid w:val="004E4A61"/>
    <w:rsid w:val="00530579"/>
    <w:rsid w:val="005412C7"/>
    <w:rsid w:val="00541E7B"/>
    <w:rsid w:val="00555322"/>
    <w:rsid w:val="00562057"/>
    <w:rsid w:val="005B0BA9"/>
    <w:rsid w:val="005B2232"/>
    <w:rsid w:val="005C101F"/>
    <w:rsid w:val="005C641E"/>
    <w:rsid w:val="005C6870"/>
    <w:rsid w:val="005E175C"/>
    <w:rsid w:val="00607F88"/>
    <w:rsid w:val="006141FE"/>
    <w:rsid w:val="00615C9C"/>
    <w:rsid w:val="00643871"/>
    <w:rsid w:val="006556FD"/>
    <w:rsid w:val="0067141E"/>
    <w:rsid w:val="0069323A"/>
    <w:rsid w:val="006A5201"/>
    <w:rsid w:val="006D0ECF"/>
    <w:rsid w:val="006F1FA4"/>
    <w:rsid w:val="007206F5"/>
    <w:rsid w:val="00724FA7"/>
    <w:rsid w:val="0073122F"/>
    <w:rsid w:val="007357D1"/>
    <w:rsid w:val="00772D41"/>
    <w:rsid w:val="00781E67"/>
    <w:rsid w:val="00782942"/>
    <w:rsid w:val="007846EB"/>
    <w:rsid w:val="007A7E3D"/>
    <w:rsid w:val="007C45B5"/>
    <w:rsid w:val="007D2163"/>
    <w:rsid w:val="007E3BC7"/>
    <w:rsid w:val="007F6FF8"/>
    <w:rsid w:val="007F7829"/>
    <w:rsid w:val="007F7A58"/>
    <w:rsid w:val="00804DA7"/>
    <w:rsid w:val="0085413D"/>
    <w:rsid w:val="008543EB"/>
    <w:rsid w:val="00867967"/>
    <w:rsid w:val="0087141A"/>
    <w:rsid w:val="00893FDF"/>
    <w:rsid w:val="008976B1"/>
    <w:rsid w:val="008A37A4"/>
    <w:rsid w:val="008E2C50"/>
    <w:rsid w:val="008E787A"/>
    <w:rsid w:val="008F006D"/>
    <w:rsid w:val="00933E5D"/>
    <w:rsid w:val="00983E22"/>
    <w:rsid w:val="00990143"/>
    <w:rsid w:val="0099789E"/>
    <w:rsid w:val="009B7C4D"/>
    <w:rsid w:val="009D1312"/>
    <w:rsid w:val="009D1AC0"/>
    <w:rsid w:val="009D76CB"/>
    <w:rsid w:val="009E1132"/>
    <w:rsid w:val="009E3452"/>
    <w:rsid w:val="009E3489"/>
    <w:rsid w:val="00A118F2"/>
    <w:rsid w:val="00A12DC0"/>
    <w:rsid w:val="00A164D8"/>
    <w:rsid w:val="00A23F47"/>
    <w:rsid w:val="00A30C33"/>
    <w:rsid w:val="00A31163"/>
    <w:rsid w:val="00A44E46"/>
    <w:rsid w:val="00A57436"/>
    <w:rsid w:val="00A61A15"/>
    <w:rsid w:val="00A67462"/>
    <w:rsid w:val="00A71B55"/>
    <w:rsid w:val="00A77B3E"/>
    <w:rsid w:val="00AC1D0C"/>
    <w:rsid w:val="00AF1F5A"/>
    <w:rsid w:val="00B37232"/>
    <w:rsid w:val="00B41ACB"/>
    <w:rsid w:val="00B71A33"/>
    <w:rsid w:val="00B71FEE"/>
    <w:rsid w:val="00B73C03"/>
    <w:rsid w:val="00BA7231"/>
    <w:rsid w:val="00BC00CA"/>
    <w:rsid w:val="00BD48F6"/>
    <w:rsid w:val="00C11DE1"/>
    <w:rsid w:val="00C15699"/>
    <w:rsid w:val="00C518A1"/>
    <w:rsid w:val="00C57A29"/>
    <w:rsid w:val="00C70155"/>
    <w:rsid w:val="00C71EFC"/>
    <w:rsid w:val="00C75424"/>
    <w:rsid w:val="00C94A70"/>
    <w:rsid w:val="00CA2A55"/>
    <w:rsid w:val="00CC79CF"/>
    <w:rsid w:val="00CD52F6"/>
    <w:rsid w:val="00CE0A3E"/>
    <w:rsid w:val="00CE6FCF"/>
    <w:rsid w:val="00CF38F2"/>
    <w:rsid w:val="00CF6F2A"/>
    <w:rsid w:val="00CF74AD"/>
    <w:rsid w:val="00D4186B"/>
    <w:rsid w:val="00D52E34"/>
    <w:rsid w:val="00D64790"/>
    <w:rsid w:val="00D736C6"/>
    <w:rsid w:val="00D97289"/>
    <w:rsid w:val="00DB7373"/>
    <w:rsid w:val="00DC0D53"/>
    <w:rsid w:val="00DC105A"/>
    <w:rsid w:val="00DE14D4"/>
    <w:rsid w:val="00E0409D"/>
    <w:rsid w:val="00E40D1D"/>
    <w:rsid w:val="00E51F25"/>
    <w:rsid w:val="00E608FE"/>
    <w:rsid w:val="00E6447F"/>
    <w:rsid w:val="00E66E4D"/>
    <w:rsid w:val="00E84DA7"/>
    <w:rsid w:val="00EA3D2B"/>
    <w:rsid w:val="00EC1D11"/>
    <w:rsid w:val="00EC3966"/>
    <w:rsid w:val="00EE6D7A"/>
    <w:rsid w:val="00F15ACA"/>
    <w:rsid w:val="00F56AF9"/>
    <w:rsid w:val="00F71478"/>
    <w:rsid w:val="00F82478"/>
    <w:rsid w:val="00FA1AB7"/>
    <w:rsid w:val="00FA383D"/>
    <w:rsid w:val="00FA4F45"/>
    <w:rsid w:val="00FB04F5"/>
    <w:rsid w:val="00FF2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B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901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90143"/>
    <w:rPr>
      <w:sz w:val="18"/>
      <w:szCs w:val="18"/>
    </w:rPr>
  </w:style>
  <w:style w:type="paragraph" w:styleId="a4">
    <w:name w:val="footer"/>
    <w:basedOn w:val="a"/>
    <w:link w:val="Char0"/>
    <w:uiPriority w:val="99"/>
    <w:rsid w:val="00990143"/>
    <w:pPr>
      <w:tabs>
        <w:tab w:val="center" w:pos="4153"/>
        <w:tab w:val="right" w:pos="8306"/>
      </w:tabs>
      <w:snapToGrid w:val="0"/>
    </w:pPr>
    <w:rPr>
      <w:sz w:val="18"/>
      <w:szCs w:val="18"/>
    </w:rPr>
  </w:style>
  <w:style w:type="character" w:customStyle="1" w:styleId="Char0">
    <w:name w:val="页脚 Char"/>
    <w:basedOn w:val="a0"/>
    <w:link w:val="a4"/>
    <w:uiPriority w:val="99"/>
    <w:rsid w:val="00990143"/>
    <w:rPr>
      <w:sz w:val="18"/>
      <w:szCs w:val="18"/>
    </w:rPr>
  </w:style>
  <w:style w:type="paragraph" w:styleId="a5">
    <w:name w:val="Balloon Text"/>
    <w:basedOn w:val="a"/>
    <w:link w:val="Char1"/>
    <w:rsid w:val="00CC79CF"/>
    <w:rPr>
      <w:sz w:val="18"/>
      <w:szCs w:val="18"/>
    </w:rPr>
  </w:style>
  <w:style w:type="character" w:customStyle="1" w:styleId="Char1">
    <w:name w:val="批注框文本 Char"/>
    <w:basedOn w:val="a0"/>
    <w:link w:val="a5"/>
    <w:rsid w:val="00CC79CF"/>
    <w:rPr>
      <w:sz w:val="18"/>
      <w:szCs w:val="18"/>
    </w:rPr>
  </w:style>
  <w:style w:type="character" w:styleId="a6">
    <w:name w:val="annotation reference"/>
    <w:basedOn w:val="a0"/>
    <w:rsid w:val="001F6556"/>
    <w:rPr>
      <w:sz w:val="21"/>
      <w:szCs w:val="21"/>
    </w:rPr>
  </w:style>
  <w:style w:type="paragraph" w:styleId="a7">
    <w:name w:val="annotation text"/>
    <w:basedOn w:val="a"/>
    <w:link w:val="Char2"/>
    <w:rsid w:val="001F6556"/>
  </w:style>
  <w:style w:type="character" w:customStyle="1" w:styleId="Char2">
    <w:name w:val="批注文字 Char"/>
    <w:basedOn w:val="a0"/>
    <w:link w:val="a7"/>
    <w:rsid w:val="001F6556"/>
    <w:rPr>
      <w:sz w:val="24"/>
      <w:szCs w:val="24"/>
    </w:rPr>
  </w:style>
  <w:style w:type="paragraph" w:styleId="a8">
    <w:name w:val="annotation subject"/>
    <w:basedOn w:val="a7"/>
    <w:next w:val="a7"/>
    <w:link w:val="Char3"/>
    <w:rsid w:val="001F6556"/>
    <w:rPr>
      <w:b/>
      <w:bCs/>
    </w:rPr>
  </w:style>
  <w:style w:type="character" w:customStyle="1" w:styleId="Char3">
    <w:name w:val="批注主题 Char"/>
    <w:basedOn w:val="Char2"/>
    <w:link w:val="a8"/>
    <w:rsid w:val="001F6556"/>
    <w:rPr>
      <w:b/>
      <w:bCs/>
      <w:sz w:val="24"/>
      <w:szCs w:val="24"/>
    </w:rPr>
  </w:style>
  <w:style w:type="paragraph" w:styleId="a9">
    <w:name w:val="Revision"/>
    <w:hidden/>
    <w:uiPriority w:val="99"/>
    <w:semiHidden/>
    <w:rsid w:val="00C75424"/>
    <w:rPr>
      <w:sz w:val="24"/>
      <w:szCs w:val="24"/>
    </w:rPr>
  </w:style>
  <w:style w:type="paragraph" w:styleId="aa">
    <w:name w:val="Bibliography"/>
    <w:basedOn w:val="a"/>
    <w:next w:val="a"/>
    <w:uiPriority w:val="37"/>
    <w:unhideWhenUsed/>
    <w:rsid w:val="00FA4F45"/>
    <w:pPr>
      <w:tabs>
        <w:tab w:val="left" w:pos="504"/>
      </w:tabs>
      <w:spacing w:after="240"/>
      <w:ind w:left="504" w:hanging="504"/>
    </w:pPr>
  </w:style>
  <w:style w:type="paragraph" w:styleId="ab">
    <w:name w:val="Normal (Web)"/>
    <w:basedOn w:val="a"/>
    <w:uiPriority w:val="99"/>
    <w:semiHidden/>
    <w:unhideWhenUsed/>
    <w:rsid w:val="00E608FE"/>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901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90143"/>
    <w:rPr>
      <w:sz w:val="18"/>
      <w:szCs w:val="18"/>
    </w:rPr>
  </w:style>
  <w:style w:type="paragraph" w:styleId="a4">
    <w:name w:val="footer"/>
    <w:basedOn w:val="a"/>
    <w:link w:val="Char0"/>
    <w:uiPriority w:val="99"/>
    <w:rsid w:val="00990143"/>
    <w:pPr>
      <w:tabs>
        <w:tab w:val="center" w:pos="4153"/>
        <w:tab w:val="right" w:pos="8306"/>
      </w:tabs>
      <w:snapToGrid w:val="0"/>
    </w:pPr>
    <w:rPr>
      <w:sz w:val="18"/>
      <w:szCs w:val="18"/>
    </w:rPr>
  </w:style>
  <w:style w:type="character" w:customStyle="1" w:styleId="Char0">
    <w:name w:val="页脚 Char"/>
    <w:basedOn w:val="a0"/>
    <w:link w:val="a4"/>
    <w:uiPriority w:val="99"/>
    <w:rsid w:val="00990143"/>
    <w:rPr>
      <w:sz w:val="18"/>
      <w:szCs w:val="18"/>
    </w:rPr>
  </w:style>
  <w:style w:type="paragraph" w:styleId="a5">
    <w:name w:val="Balloon Text"/>
    <w:basedOn w:val="a"/>
    <w:link w:val="Char1"/>
    <w:rsid w:val="00CC79CF"/>
    <w:rPr>
      <w:sz w:val="18"/>
      <w:szCs w:val="18"/>
    </w:rPr>
  </w:style>
  <w:style w:type="character" w:customStyle="1" w:styleId="Char1">
    <w:name w:val="批注框文本 Char"/>
    <w:basedOn w:val="a0"/>
    <w:link w:val="a5"/>
    <w:rsid w:val="00CC79CF"/>
    <w:rPr>
      <w:sz w:val="18"/>
      <w:szCs w:val="18"/>
    </w:rPr>
  </w:style>
  <w:style w:type="character" w:styleId="a6">
    <w:name w:val="annotation reference"/>
    <w:basedOn w:val="a0"/>
    <w:rsid w:val="001F6556"/>
    <w:rPr>
      <w:sz w:val="21"/>
      <w:szCs w:val="21"/>
    </w:rPr>
  </w:style>
  <w:style w:type="paragraph" w:styleId="a7">
    <w:name w:val="annotation text"/>
    <w:basedOn w:val="a"/>
    <w:link w:val="Char2"/>
    <w:rsid w:val="001F6556"/>
  </w:style>
  <w:style w:type="character" w:customStyle="1" w:styleId="Char2">
    <w:name w:val="批注文字 Char"/>
    <w:basedOn w:val="a0"/>
    <w:link w:val="a7"/>
    <w:rsid w:val="001F6556"/>
    <w:rPr>
      <w:sz w:val="24"/>
      <w:szCs w:val="24"/>
    </w:rPr>
  </w:style>
  <w:style w:type="paragraph" w:styleId="a8">
    <w:name w:val="annotation subject"/>
    <w:basedOn w:val="a7"/>
    <w:next w:val="a7"/>
    <w:link w:val="Char3"/>
    <w:rsid w:val="001F6556"/>
    <w:rPr>
      <w:b/>
      <w:bCs/>
    </w:rPr>
  </w:style>
  <w:style w:type="character" w:customStyle="1" w:styleId="Char3">
    <w:name w:val="批注主题 Char"/>
    <w:basedOn w:val="Char2"/>
    <w:link w:val="a8"/>
    <w:rsid w:val="001F6556"/>
    <w:rPr>
      <w:b/>
      <w:bCs/>
      <w:sz w:val="24"/>
      <w:szCs w:val="24"/>
    </w:rPr>
  </w:style>
  <w:style w:type="paragraph" w:styleId="a9">
    <w:name w:val="Revision"/>
    <w:hidden/>
    <w:uiPriority w:val="99"/>
    <w:semiHidden/>
    <w:rsid w:val="00C75424"/>
    <w:rPr>
      <w:sz w:val="24"/>
      <w:szCs w:val="24"/>
    </w:rPr>
  </w:style>
  <w:style w:type="paragraph" w:styleId="aa">
    <w:name w:val="Bibliography"/>
    <w:basedOn w:val="a"/>
    <w:next w:val="a"/>
    <w:uiPriority w:val="37"/>
    <w:unhideWhenUsed/>
    <w:rsid w:val="00FA4F45"/>
    <w:pPr>
      <w:tabs>
        <w:tab w:val="left" w:pos="504"/>
      </w:tabs>
      <w:spacing w:after="240"/>
      <w:ind w:left="504" w:hanging="504"/>
    </w:pPr>
  </w:style>
  <w:style w:type="paragraph" w:styleId="ab">
    <w:name w:val="Normal (Web)"/>
    <w:basedOn w:val="a"/>
    <w:uiPriority w:val="99"/>
    <w:semiHidden/>
    <w:unhideWhenUsed/>
    <w:rsid w:val="00E608FE"/>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90451">
      <w:bodyDiv w:val="1"/>
      <w:marLeft w:val="0"/>
      <w:marRight w:val="0"/>
      <w:marTop w:val="0"/>
      <w:marBottom w:val="0"/>
      <w:divBdr>
        <w:top w:val="none" w:sz="0" w:space="0" w:color="auto"/>
        <w:left w:val="none" w:sz="0" w:space="0" w:color="auto"/>
        <w:bottom w:val="none" w:sz="0" w:space="0" w:color="auto"/>
        <w:right w:val="none" w:sz="0" w:space="0" w:color="auto"/>
      </w:divBdr>
    </w:div>
    <w:div w:id="357893019">
      <w:bodyDiv w:val="1"/>
      <w:marLeft w:val="0"/>
      <w:marRight w:val="0"/>
      <w:marTop w:val="0"/>
      <w:marBottom w:val="0"/>
      <w:divBdr>
        <w:top w:val="none" w:sz="0" w:space="0" w:color="auto"/>
        <w:left w:val="none" w:sz="0" w:space="0" w:color="auto"/>
        <w:bottom w:val="none" w:sz="0" w:space="0" w:color="auto"/>
        <w:right w:val="none" w:sz="0" w:space="0" w:color="auto"/>
      </w:divBdr>
    </w:div>
    <w:div w:id="558638436">
      <w:bodyDiv w:val="1"/>
      <w:marLeft w:val="0"/>
      <w:marRight w:val="0"/>
      <w:marTop w:val="0"/>
      <w:marBottom w:val="0"/>
      <w:divBdr>
        <w:top w:val="none" w:sz="0" w:space="0" w:color="auto"/>
        <w:left w:val="none" w:sz="0" w:space="0" w:color="auto"/>
        <w:bottom w:val="none" w:sz="0" w:space="0" w:color="auto"/>
        <w:right w:val="none" w:sz="0" w:space="0" w:color="auto"/>
      </w:divBdr>
    </w:div>
    <w:div w:id="1062486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55780</Words>
  <Characters>317948</Characters>
  <Application>Microsoft Office Word</Application>
  <DocSecurity>0</DocSecurity>
  <Lines>2649</Lines>
  <Paragraphs>745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5</cp:revision>
  <cp:lastPrinted>2021-01-05T16:04:00Z</cp:lastPrinted>
  <dcterms:created xsi:type="dcterms:W3CDTF">2021-01-21T22:25:00Z</dcterms:created>
  <dcterms:modified xsi:type="dcterms:W3CDTF">2021-02-03T08:17:00Z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zotero-version="5.0.91"&gt;&lt;session id="shgFCwZz"/&gt;&lt;style id="http://www.zotero.org/styles/national-library-of-medicine-grant-proposals" hasBibliography="1" bibliographyStyleHasBeenSet="1"/&gt;&lt;prefs&gt;&lt;pref name="fieldType" value="Field"/&gt;</vt:lpwstr>
  </property>
  <property fmtid="{D5CDD505-2E9C-101B-9397-08002B2CF9AE}" pid="3" name="ZOTERO_PREF_2">
    <vt:lpwstr>&lt;/prefs&gt;&lt;/data&gt;</vt:lpwstr>
  </property>
</Properties>
</file>