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 xml:space="preserve">Name of Journal: </w:t>
      </w:r>
      <w:r w:rsidRPr="008B4DC9">
        <w:rPr>
          <w:rFonts w:ascii="Book Antiqua" w:eastAsia="Book Antiqua" w:hAnsi="Book Antiqua" w:cs="Book Antiqua"/>
          <w:i/>
          <w:color w:val="000000"/>
        </w:rPr>
        <w:t>World Journal of Gastroenterology</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 xml:space="preserve">Manuscript NO: </w:t>
      </w:r>
      <w:r w:rsidRPr="008B4DC9">
        <w:rPr>
          <w:rFonts w:ascii="Book Antiqua" w:eastAsia="Book Antiqua" w:hAnsi="Book Antiqua" w:cs="Book Antiqua"/>
          <w:color w:val="000000"/>
        </w:rPr>
        <w:t>59859</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 xml:space="preserve">Manuscript Type: </w:t>
      </w:r>
      <w:r w:rsidRPr="008B4DC9">
        <w:rPr>
          <w:rFonts w:ascii="Book Antiqua" w:eastAsia="Book Antiqua" w:hAnsi="Book Antiqua" w:cs="Book Antiqua"/>
          <w:color w:val="000000"/>
        </w:rPr>
        <w:t>CASE REPORT</w:t>
      </w:r>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eastAsia="Book Antiqua" w:hAnsi="Book Antiqua" w:cs="Book Antiqua"/>
          <w:b/>
          <w:color w:val="000000"/>
        </w:rPr>
      </w:pPr>
      <w:bookmarkStart w:id="0" w:name="OLE_LINK3"/>
      <w:bookmarkStart w:id="1" w:name="OLE_LINK4"/>
      <w:r w:rsidRPr="008B4DC9">
        <w:rPr>
          <w:rFonts w:ascii="Book Antiqua" w:eastAsia="Book Antiqua" w:hAnsi="Book Antiqua" w:cs="Book Antiqua"/>
          <w:b/>
          <w:color w:val="000000"/>
        </w:rPr>
        <w:t xml:space="preserve">Primary </w:t>
      </w:r>
      <w:r w:rsidR="00686A94" w:rsidRPr="008B4DC9">
        <w:rPr>
          <w:rFonts w:ascii="Book Antiqua" w:eastAsia="Book Antiqua" w:hAnsi="Book Antiqua" w:cs="Book Antiqua"/>
          <w:b/>
          <w:color w:val="000000"/>
        </w:rPr>
        <w:t>intestinal lymphangiectasia in an adult patient</w:t>
      </w:r>
      <w:r w:rsidR="00686A94" w:rsidRPr="008B4DC9">
        <w:rPr>
          <w:rFonts w:ascii="Book Antiqua" w:hAnsi="Book Antiqua" w:cs="Book Antiqua"/>
          <w:b/>
          <w:color w:val="000000"/>
          <w:lang w:eastAsia="zh-CN"/>
        </w:rPr>
        <w:t xml:space="preserve">: A </w:t>
      </w:r>
      <w:r w:rsidR="00686A94" w:rsidRPr="008B4DC9">
        <w:rPr>
          <w:rFonts w:ascii="Book Antiqua" w:eastAsia="Book Antiqua" w:hAnsi="Book Antiqua" w:cs="Book Antiqua"/>
          <w:b/>
          <w:color w:val="000000"/>
        </w:rPr>
        <w:t xml:space="preserve">case report </w:t>
      </w:r>
      <w:r w:rsidRPr="008B4DC9">
        <w:rPr>
          <w:rFonts w:ascii="Book Antiqua" w:eastAsia="Book Antiqua" w:hAnsi="Book Antiqua" w:cs="Book Antiqua"/>
          <w:b/>
          <w:color w:val="000000"/>
        </w:rPr>
        <w:t xml:space="preserve">and review of </w:t>
      </w:r>
      <w:r w:rsidR="00686A94" w:rsidRPr="008B4DC9">
        <w:rPr>
          <w:rFonts w:ascii="Book Antiqua" w:eastAsia="Book Antiqua" w:hAnsi="Book Antiqua" w:cs="Book Antiqua"/>
          <w:b/>
          <w:color w:val="000000"/>
        </w:rPr>
        <w:t>literature</w:t>
      </w:r>
    </w:p>
    <w:bookmarkEnd w:id="0"/>
    <w:bookmarkEnd w:id="1"/>
    <w:p w:rsidR="00686A94" w:rsidRPr="008B4DC9" w:rsidRDefault="00686A94" w:rsidP="008B4DC9">
      <w:pPr>
        <w:snapToGrid w:val="0"/>
        <w:spacing w:line="360" w:lineRule="auto"/>
        <w:jc w:val="both"/>
        <w:rPr>
          <w:rFonts w:ascii="Book Antiqua" w:hAnsi="Book Antiqua"/>
        </w:rPr>
      </w:pPr>
    </w:p>
    <w:p w:rsidR="00A77B3E" w:rsidRPr="008B4DC9" w:rsidRDefault="00686A94" w:rsidP="008B4DC9">
      <w:pPr>
        <w:snapToGrid w:val="0"/>
        <w:spacing w:line="360" w:lineRule="auto"/>
        <w:jc w:val="both"/>
        <w:rPr>
          <w:rFonts w:ascii="Book Antiqua" w:hAnsi="Book Antiqua"/>
        </w:rPr>
      </w:pPr>
      <w:r w:rsidRPr="008B4DC9">
        <w:rPr>
          <w:rFonts w:ascii="Book Antiqua" w:eastAsia="Book Antiqua" w:hAnsi="Book Antiqua" w:cs="Book Antiqua"/>
          <w:color w:val="000000"/>
        </w:rPr>
        <w:t xml:space="preserve">Huber R </w:t>
      </w:r>
      <w:r w:rsidRPr="008B4DC9">
        <w:rPr>
          <w:rFonts w:ascii="Book Antiqua" w:eastAsia="Book Antiqua" w:hAnsi="Book Antiqua" w:cs="Book Antiqua"/>
          <w:i/>
          <w:color w:val="000000"/>
        </w:rPr>
        <w:t>et al</w:t>
      </w:r>
      <w:r w:rsidRPr="008B4DC9">
        <w:rPr>
          <w:rFonts w:ascii="Book Antiqua" w:eastAsia="Book Antiqua" w:hAnsi="Book Antiqua" w:cs="Book Antiqua"/>
          <w:color w:val="000000"/>
        </w:rPr>
        <w:t xml:space="preserve">. </w:t>
      </w:r>
      <w:bookmarkStart w:id="2" w:name="OLE_LINK11"/>
      <w:bookmarkStart w:id="3" w:name="OLE_LINK12"/>
      <w:bookmarkStart w:id="4" w:name="OLE_LINK5"/>
      <w:r w:rsidR="00072B3F" w:rsidRPr="008B4DC9">
        <w:rPr>
          <w:rFonts w:ascii="Book Antiqua" w:eastAsia="Book Antiqua" w:hAnsi="Book Antiqua" w:cs="Book Antiqua"/>
          <w:color w:val="000000"/>
        </w:rPr>
        <w:t xml:space="preserve">Primary </w:t>
      </w:r>
      <w:r w:rsidRPr="008B4DC9">
        <w:rPr>
          <w:rFonts w:ascii="Book Antiqua" w:eastAsia="Book Antiqua" w:hAnsi="Book Antiqua" w:cs="Book Antiqua"/>
          <w:color w:val="000000"/>
        </w:rPr>
        <w:t>intestinal lymphangiectasia</w:t>
      </w:r>
      <w:bookmarkEnd w:id="2"/>
      <w:bookmarkEnd w:id="3"/>
      <w:bookmarkEnd w:id="4"/>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color w:val="000000"/>
        </w:rPr>
        <w:t xml:space="preserve">Rudolf </w:t>
      </w:r>
      <w:bookmarkStart w:id="5" w:name="OLE_LINK1"/>
      <w:bookmarkStart w:id="6" w:name="OLE_LINK2"/>
      <w:r w:rsidRPr="008B4DC9">
        <w:rPr>
          <w:rFonts w:ascii="Book Antiqua" w:eastAsia="Book Antiqua" w:hAnsi="Book Antiqua" w:cs="Book Antiqua"/>
          <w:color w:val="000000"/>
        </w:rPr>
        <w:t>Huber</w:t>
      </w:r>
      <w:bookmarkEnd w:id="5"/>
      <w:bookmarkEnd w:id="6"/>
      <w:r w:rsidRPr="008B4DC9">
        <w:rPr>
          <w:rFonts w:ascii="Book Antiqua" w:eastAsia="Book Antiqua" w:hAnsi="Book Antiqua" w:cs="Book Antiqua"/>
          <w:color w:val="000000"/>
        </w:rPr>
        <w:t>, Georg Semmler, Alexander Mayr, Felix Offner, Christian Datz</w:t>
      </w:r>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Rudolf Huber, Georg Semmler, Alexander Mayr, Christian Datz, </w:t>
      </w:r>
      <w:r w:rsidRPr="008B4DC9">
        <w:rPr>
          <w:rFonts w:ascii="Book Antiqua" w:eastAsia="Book Antiqua" w:hAnsi="Book Antiqua" w:cs="Book Antiqua"/>
          <w:color w:val="000000"/>
        </w:rPr>
        <w:t>Department of Internal Medicine, General Hospital Oberndorf, Teaching Hospital of the Paracelsus Medical University Salzburg, Oberndorf 5110, Austria</w:t>
      </w:r>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Felix Offner, </w:t>
      </w:r>
      <w:r w:rsidRPr="008B4DC9">
        <w:rPr>
          <w:rFonts w:ascii="Book Antiqua" w:eastAsia="Book Antiqua" w:hAnsi="Book Antiqua" w:cs="Book Antiqua"/>
          <w:color w:val="000000"/>
        </w:rPr>
        <w:t>Department of Pathology, General Hospital Feldkirch, Feldkirch 6800, Austria</w:t>
      </w:r>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eastAsia="Book Antiqua" w:hAnsi="Book Antiqua" w:cs="Book Antiqua"/>
          <w:color w:val="000000"/>
        </w:rPr>
      </w:pPr>
      <w:r w:rsidRPr="008B4DC9">
        <w:rPr>
          <w:rFonts w:ascii="Book Antiqua" w:eastAsia="Book Antiqua" w:hAnsi="Book Antiqua" w:cs="Book Antiqua"/>
          <w:b/>
          <w:bCs/>
          <w:color w:val="000000"/>
        </w:rPr>
        <w:t xml:space="preserve">Author contributions: </w:t>
      </w:r>
      <w:bookmarkStart w:id="7" w:name="OLE_LINK6"/>
      <w:bookmarkStart w:id="8" w:name="OLE_LINK7"/>
      <w:r w:rsidR="00686A94" w:rsidRPr="008B4DC9">
        <w:rPr>
          <w:rFonts w:ascii="Book Antiqua" w:eastAsia="Book Antiqua" w:hAnsi="Book Antiqua" w:cs="Book Antiqua"/>
          <w:color w:val="000000"/>
        </w:rPr>
        <w:t xml:space="preserve">Huber R, Mayr </w:t>
      </w:r>
      <w:r w:rsidR="002B6174" w:rsidRPr="008B4DC9">
        <w:rPr>
          <w:rFonts w:ascii="Book Antiqua" w:eastAsia="Book Antiqua" w:hAnsi="Book Antiqua" w:cs="Book Antiqua"/>
          <w:color w:val="000000"/>
        </w:rPr>
        <w:t xml:space="preserve">A, </w:t>
      </w:r>
      <w:r w:rsidR="00686A94" w:rsidRPr="008B4DC9">
        <w:rPr>
          <w:rFonts w:ascii="Book Antiqua" w:eastAsia="Book Antiqua" w:hAnsi="Book Antiqua" w:cs="Book Antiqua"/>
          <w:color w:val="000000"/>
        </w:rPr>
        <w:t>Datz C</w:t>
      </w:r>
      <w:r w:rsidR="002B6174" w:rsidRPr="008B4DC9">
        <w:rPr>
          <w:rFonts w:ascii="Book Antiqua" w:eastAsia="Book Antiqua" w:hAnsi="Book Antiqua" w:cs="Book Antiqua"/>
          <w:color w:val="000000"/>
        </w:rPr>
        <w:t xml:space="preserve"> and Offner F</w:t>
      </w:r>
      <w:r w:rsidR="00686A94" w:rsidRPr="008B4DC9">
        <w:rPr>
          <w:rFonts w:ascii="Book Antiqua" w:eastAsia="Book Antiqua" w:hAnsi="Book Antiqua" w:cs="Book Antiqua"/>
          <w:color w:val="000000"/>
        </w:rPr>
        <w:t xml:space="preserve"> </w:t>
      </w:r>
      <w:r w:rsidR="002B6174" w:rsidRPr="008B4DC9">
        <w:rPr>
          <w:rFonts w:ascii="Book Antiqua" w:eastAsia="Book Antiqua" w:hAnsi="Book Antiqua" w:cs="Book Antiqua"/>
          <w:color w:val="000000"/>
        </w:rPr>
        <w:t xml:space="preserve">contributed to patient </w:t>
      </w:r>
      <w:r w:rsidR="00686A94" w:rsidRPr="008B4DC9">
        <w:rPr>
          <w:rFonts w:ascii="Book Antiqua" w:eastAsia="Book Antiqua" w:hAnsi="Book Antiqua" w:cs="Book Antiqua"/>
          <w:color w:val="000000"/>
        </w:rPr>
        <w:t>management</w:t>
      </w:r>
      <w:r w:rsidR="00656CF1" w:rsidRPr="008B4DC9">
        <w:rPr>
          <w:rFonts w:ascii="Book Antiqua" w:eastAsia="Book Antiqua" w:hAnsi="Book Antiqua" w:cs="Book Antiqua"/>
          <w:color w:val="000000"/>
        </w:rPr>
        <w:t xml:space="preserve"> and</w:t>
      </w:r>
      <w:r w:rsidR="002B6174" w:rsidRPr="008B4DC9">
        <w:rPr>
          <w:rFonts w:ascii="Book Antiqua" w:eastAsia="Book Antiqua" w:hAnsi="Book Antiqua" w:cs="Book Antiqua"/>
          <w:color w:val="000000"/>
        </w:rPr>
        <w:t xml:space="preserve"> histological evaluation;</w:t>
      </w:r>
      <w:r w:rsidRPr="008B4DC9">
        <w:rPr>
          <w:rFonts w:ascii="Book Antiqua" w:eastAsia="Book Antiqua" w:hAnsi="Book Antiqua" w:cs="Book Antiqua"/>
          <w:color w:val="000000"/>
        </w:rPr>
        <w:t xml:space="preserve"> </w:t>
      </w:r>
      <w:r w:rsidR="002B6174" w:rsidRPr="008B4DC9">
        <w:rPr>
          <w:rFonts w:ascii="Book Antiqua" w:eastAsia="Book Antiqua" w:hAnsi="Book Antiqua" w:cs="Book Antiqua"/>
          <w:color w:val="000000"/>
        </w:rPr>
        <w:t>Huber R, Semmler G and Datz C contributed to</w:t>
      </w:r>
      <w:r w:rsidR="002B6174" w:rsidRPr="008B4DC9">
        <w:rPr>
          <w:rFonts w:ascii="Book Antiqua" w:hAnsi="Book Antiqua" w:cs="Book Antiqua"/>
          <w:color w:val="000000"/>
          <w:lang w:eastAsia="zh-CN"/>
        </w:rPr>
        <w:t xml:space="preserve"> </w:t>
      </w:r>
      <w:r w:rsidRPr="008B4DC9">
        <w:rPr>
          <w:rFonts w:ascii="Book Antiqua" w:eastAsia="Book Antiqua" w:hAnsi="Book Antiqua" w:cs="Book Antiqua"/>
          <w:color w:val="000000"/>
        </w:rPr>
        <w:t>literature review</w:t>
      </w:r>
      <w:r w:rsidR="002B6174" w:rsidRPr="008B4DC9">
        <w:rPr>
          <w:rFonts w:ascii="Book Antiqua" w:hAnsi="Book Antiqua" w:cs="Book Antiqua"/>
          <w:color w:val="000000"/>
          <w:lang w:eastAsia="zh-CN"/>
        </w:rPr>
        <w:t xml:space="preserve"> and </w:t>
      </w:r>
      <w:r w:rsidR="002B6174" w:rsidRPr="008B4DC9">
        <w:rPr>
          <w:rFonts w:ascii="Book Antiqua" w:eastAsia="Book Antiqua" w:hAnsi="Book Antiqua" w:cs="Book Antiqua"/>
          <w:color w:val="000000"/>
        </w:rPr>
        <w:t>drafting of the manuscript.</w:t>
      </w:r>
      <w:r w:rsidRPr="008B4DC9">
        <w:rPr>
          <w:rFonts w:ascii="Book Antiqua" w:eastAsia="Book Antiqua" w:hAnsi="Book Antiqua" w:cs="Book Antiqua"/>
          <w:color w:val="000000"/>
        </w:rPr>
        <w:t xml:space="preserve"> </w:t>
      </w:r>
      <w:r w:rsidR="002B6174" w:rsidRPr="008B4DC9">
        <w:rPr>
          <w:rFonts w:ascii="Book Antiqua" w:eastAsia="Book Antiqua" w:hAnsi="Book Antiqua" w:cs="Book Antiqua"/>
          <w:color w:val="000000"/>
        </w:rPr>
        <w:t xml:space="preserve">All authors </w:t>
      </w:r>
      <w:r w:rsidR="00656CF1" w:rsidRPr="008B4DC9">
        <w:rPr>
          <w:rFonts w:ascii="Book Antiqua" w:eastAsia="Book Antiqua" w:hAnsi="Book Antiqua" w:cs="Book Antiqua"/>
          <w:color w:val="000000"/>
        </w:rPr>
        <w:t>contributed to</w:t>
      </w:r>
      <w:r w:rsidRPr="008B4DC9">
        <w:rPr>
          <w:rFonts w:ascii="Book Antiqua" w:eastAsia="Book Antiqua" w:hAnsi="Book Antiqua" w:cs="Book Antiqua"/>
          <w:color w:val="000000"/>
        </w:rPr>
        <w:t xml:space="preserve"> revision for </w:t>
      </w:r>
      <w:r w:rsidR="002B6174" w:rsidRPr="008B4DC9">
        <w:rPr>
          <w:rFonts w:ascii="Book Antiqua" w:eastAsia="Book Antiqua" w:hAnsi="Book Antiqua" w:cs="Book Antiqua"/>
          <w:color w:val="000000"/>
        </w:rPr>
        <w:t>important intellectual content</w:t>
      </w:r>
      <w:r w:rsidR="00656CF1" w:rsidRPr="008B4DC9">
        <w:rPr>
          <w:rFonts w:ascii="Book Antiqua" w:eastAsia="Book Antiqua" w:hAnsi="Book Antiqua" w:cs="Book Antiqua"/>
          <w:color w:val="000000"/>
        </w:rPr>
        <w:t xml:space="preserve"> and approved the final version of the manuscript</w:t>
      </w:r>
      <w:r w:rsidRPr="008B4DC9">
        <w:rPr>
          <w:rFonts w:ascii="Book Antiqua" w:eastAsia="Book Antiqua" w:hAnsi="Book Antiqua" w:cs="Book Antiqua"/>
          <w:color w:val="000000"/>
        </w:rPr>
        <w:t>.</w:t>
      </w:r>
    </w:p>
    <w:bookmarkEnd w:id="7"/>
    <w:bookmarkEnd w:id="8"/>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Corresponding author: Christian Datz, MD, Professor, </w:t>
      </w:r>
      <w:r w:rsidRPr="008B4DC9">
        <w:rPr>
          <w:rFonts w:ascii="Book Antiqua" w:eastAsia="Book Antiqua" w:hAnsi="Book Antiqua" w:cs="Book Antiqua"/>
          <w:color w:val="000000"/>
        </w:rPr>
        <w:t>Department of Internal Medicine, General Hospital Oberndorf, Teaching Hospital of the Paracelsus Medical University Salzburg, Paracelsusstraße 37, Oberndorf 5110, Austria. c.datz@kh-oberndorf.at</w:t>
      </w:r>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lastRenderedPageBreak/>
        <w:t xml:space="preserve">Received: </w:t>
      </w:r>
      <w:r w:rsidRPr="008B4DC9">
        <w:rPr>
          <w:rFonts w:ascii="Book Antiqua" w:eastAsia="Book Antiqua" w:hAnsi="Book Antiqua" w:cs="Book Antiqua"/>
          <w:color w:val="000000"/>
        </w:rPr>
        <w:t>October 2, 2020</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Revised: </w:t>
      </w:r>
      <w:r w:rsidRPr="008B4DC9">
        <w:rPr>
          <w:rFonts w:ascii="Book Antiqua" w:eastAsia="Book Antiqua" w:hAnsi="Book Antiqua" w:cs="Book Antiqua"/>
          <w:color w:val="000000"/>
        </w:rPr>
        <w:t>November 29, 2020</w:t>
      </w:r>
    </w:p>
    <w:p w:rsidR="00A77B3E" w:rsidRPr="00F53EEE" w:rsidRDefault="00072B3F" w:rsidP="008B4DC9">
      <w:pPr>
        <w:snapToGrid w:val="0"/>
        <w:spacing w:line="360" w:lineRule="auto"/>
        <w:jc w:val="both"/>
        <w:rPr>
          <w:rFonts w:ascii="Book Antiqua" w:eastAsia="Book Antiqua" w:hAnsi="Book Antiqua" w:cs="Book Antiqua"/>
          <w:color w:val="000000"/>
        </w:rPr>
      </w:pPr>
      <w:r w:rsidRPr="008B4DC9">
        <w:rPr>
          <w:rFonts w:ascii="Book Antiqua" w:eastAsia="Book Antiqua" w:hAnsi="Book Antiqua" w:cs="Book Antiqua"/>
          <w:b/>
          <w:bCs/>
          <w:color w:val="000000"/>
        </w:rPr>
        <w:t xml:space="preserve">Accepted: </w:t>
      </w:r>
      <w:r w:rsidR="00F53EEE" w:rsidRPr="00F53EEE">
        <w:rPr>
          <w:rFonts w:ascii="Book Antiqua" w:eastAsia="Book Antiqua" w:hAnsi="Book Antiqua" w:cs="Book Antiqua" w:hint="eastAsia"/>
          <w:color w:val="000000"/>
        </w:rPr>
        <w:t>December 6, 2020</w:t>
      </w:r>
    </w:p>
    <w:p w:rsidR="00A77B3E" w:rsidRPr="000E67E3" w:rsidRDefault="00072B3F" w:rsidP="008B4DC9">
      <w:pPr>
        <w:snapToGrid w:val="0"/>
        <w:spacing w:line="360" w:lineRule="auto"/>
        <w:jc w:val="both"/>
        <w:rPr>
          <w:rFonts w:ascii="Book Antiqua" w:hAnsi="Book Antiqua"/>
          <w:lang w:eastAsia="zh-CN"/>
        </w:rPr>
      </w:pPr>
      <w:r w:rsidRPr="008B4DC9">
        <w:rPr>
          <w:rFonts w:ascii="Book Antiqua" w:eastAsia="Book Antiqua" w:hAnsi="Book Antiqua" w:cs="Book Antiqua"/>
          <w:b/>
          <w:bCs/>
          <w:color w:val="000000"/>
        </w:rPr>
        <w:t>Published online:</w:t>
      </w:r>
      <w:r w:rsidRPr="000E67E3">
        <w:rPr>
          <w:rFonts w:ascii="Book Antiqua" w:eastAsia="Book Antiqua" w:hAnsi="Book Antiqua" w:cs="Book Antiqua"/>
          <w:bCs/>
          <w:color w:val="000000"/>
        </w:rPr>
        <w:t xml:space="preserve"> </w:t>
      </w:r>
      <w:r w:rsidR="000E67E3" w:rsidRPr="000E67E3">
        <w:rPr>
          <w:rFonts w:ascii="Book Antiqua" w:eastAsia="Book Antiqua" w:hAnsi="Book Antiqua" w:cs="Book Antiqua"/>
          <w:bCs/>
          <w:color w:val="000000"/>
        </w:rPr>
        <w:t>December 2</w:t>
      </w:r>
      <w:r w:rsidR="007F567F">
        <w:rPr>
          <w:rFonts w:ascii="Book Antiqua" w:hAnsi="Book Antiqua" w:cs="Book Antiqua" w:hint="eastAsia"/>
          <w:bCs/>
          <w:color w:val="000000"/>
          <w:lang w:eastAsia="zh-CN"/>
        </w:rPr>
        <w:t>8</w:t>
      </w:r>
      <w:r w:rsidR="000E67E3" w:rsidRPr="000E67E3">
        <w:rPr>
          <w:rFonts w:ascii="Book Antiqua" w:hAnsi="Book Antiqua" w:cs="Book Antiqua" w:hint="eastAsia"/>
          <w:bCs/>
          <w:color w:val="000000"/>
          <w:lang w:eastAsia="zh-CN"/>
        </w:rPr>
        <w:t>, 2020</w:t>
      </w:r>
    </w:p>
    <w:p w:rsidR="00A77B3E" w:rsidRPr="008B4DC9" w:rsidRDefault="00A77B3E" w:rsidP="008B4DC9">
      <w:pPr>
        <w:snapToGrid w:val="0"/>
        <w:spacing w:line="360" w:lineRule="auto"/>
        <w:jc w:val="both"/>
        <w:rPr>
          <w:rFonts w:ascii="Book Antiqua" w:hAnsi="Book Antiqua"/>
        </w:rPr>
        <w:sectPr w:rsidR="00A77B3E" w:rsidRPr="008B4DC9" w:rsidSect="00527911">
          <w:footerReference w:type="default" r:id="rId7"/>
          <w:pgSz w:w="12240" w:h="15840"/>
          <w:pgMar w:top="1440" w:right="1800" w:bottom="1440" w:left="1800" w:header="720" w:footer="720" w:gutter="0"/>
          <w:cols w:space="720"/>
          <w:docGrid w:linePitch="360"/>
        </w:sect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Abstract</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color w:val="000000"/>
        </w:rPr>
        <w:t>BACKGROUND</w:t>
      </w:r>
    </w:p>
    <w:p w:rsidR="00A77B3E" w:rsidRPr="008B4DC9" w:rsidRDefault="00072B3F" w:rsidP="008B4DC9">
      <w:pPr>
        <w:snapToGrid w:val="0"/>
        <w:spacing w:line="360" w:lineRule="auto"/>
        <w:jc w:val="both"/>
        <w:rPr>
          <w:rFonts w:ascii="Book Antiqua" w:eastAsia="Book Antiqua" w:hAnsi="Book Antiqua" w:cs="Book Antiqua"/>
          <w:color w:val="000000"/>
        </w:rPr>
      </w:pPr>
      <w:bookmarkStart w:id="9" w:name="OLE_LINK17"/>
      <w:bookmarkStart w:id="10" w:name="OLE_LINK18"/>
      <w:r w:rsidRPr="008B4DC9">
        <w:rPr>
          <w:rFonts w:ascii="Book Antiqua" w:eastAsia="Book Antiqua" w:hAnsi="Book Antiqua" w:cs="Book Antiqua"/>
          <w:color w:val="000000"/>
        </w:rPr>
        <w:t>Primary intestinal lymphangiectasia (PIL), first described in 1961, is a rare disorder of unknown etiology resulting in protein-losing enteropathy. The disease is characterized by dilatation and leakage of intestinal lymph vessels leading to hypoalbuminemia, hypogammaglobulinemia, and lymphopenia. Since the severity and location of lymph vessels being affected can vary considerably, the range of associated symptoms is wide from mild lower-limb edema to generalized edema, abdominal and/or pleural effusion, and recurrent diarrhea, among others. Although usually developing in early childhood, we present the case of a 34-year-old woman with PIL. Moreover, we performed a literature review systematically assessing clinical presentation, and provide a practical approach to facilitate diagnosis and therapy of PIL in adults.</w:t>
      </w:r>
    </w:p>
    <w:bookmarkEnd w:id="9"/>
    <w:bookmarkEnd w:id="10"/>
    <w:p w:rsidR="00A77B3E" w:rsidRPr="008B4DC9" w:rsidRDefault="00A77B3E" w:rsidP="008B4DC9">
      <w:pPr>
        <w:snapToGrid w:val="0"/>
        <w:spacing w:line="360" w:lineRule="auto"/>
        <w:jc w:val="both"/>
        <w:rPr>
          <w:rFonts w:ascii="Book Antiqua" w:eastAsia="Book Antiqua" w:hAnsi="Book Antiqua" w:cs="Book Antiqua"/>
          <w:color w:val="000000"/>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color w:val="000000"/>
        </w:rPr>
        <w:t>CASE SUMMARY</w:t>
      </w:r>
    </w:p>
    <w:p w:rsidR="00A77B3E" w:rsidRPr="008B4DC9" w:rsidRDefault="00072B3F" w:rsidP="008B4DC9">
      <w:pPr>
        <w:snapToGrid w:val="0"/>
        <w:spacing w:line="360" w:lineRule="auto"/>
        <w:jc w:val="both"/>
        <w:rPr>
          <w:rFonts w:ascii="Book Antiqua" w:hAnsi="Book Antiqua"/>
        </w:rPr>
      </w:pPr>
      <w:bookmarkStart w:id="11" w:name="OLE_LINK19"/>
      <w:bookmarkStart w:id="12" w:name="OLE_LINK20"/>
      <w:r w:rsidRPr="008B4DC9">
        <w:rPr>
          <w:rFonts w:ascii="Book Antiqua" w:eastAsia="Book Antiqua" w:hAnsi="Book Antiqua" w:cs="Book Antiqua"/>
          <w:color w:val="000000"/>
        </w:rPr>
        <w:t xml:space="preserve">Our patient presented with unspecific symptoms of abdominal discomfort, fatigue, nausea, and recurrent edema of the lower limbs. Interestingly, a striking collinearity of clinical symptoms with female hormone status was evident. Additionally, polyglobulia, hypoalbuminemia, hypogammaglobulinemia, and transient lymphocytopenia were evident. Due to suspicion of a bone marrow disease, an extensive diagnostic investigation was carried out excluding secondary causes of polyglobulinemia and hypoalbuminemia. The diagnosis of primary intestinal lymphangiectasia was established after 22 wk by histological analysis of biopsy samples obtained </w:t>
      </w:r>
      <w:r w:rsidRPr="008B4DC9">
        <w:rPr>
          <w:rFonts w:ascii="Book Antiqua" w:eastAsia="Book Antiqua" w:hAnsi="Book Antiqua" w:cs="Book Antiqua"/>
          <w:i/>
          <w:iCs/>
          <w:color w:val="000000"/>
        </w:rPr>
        <w:t>via</w:t>
      </w:r>
      <w:r w:rsidRPr="008B4DC9">
        <w:rPr>
          <w:rFonts w:ascii="Book Antiqua" w:eastAsia="Book Antiqua" w:hAnsi="Book Antiqua" w:cs="Book Antiqua"/>
          <w:color w:val="000000"/>
        </w:rPr>
        <w:t xml:space="preserve"> enteroscopy. Consecutively, the patient was put on a high-protein and low-fat diet with medium-chain triglycerides supplementation leading to significant improvement of clinical symptoms until 2 years of follow-up.</w:t>
      </w:r>
    </w:p>
    <w:bookmarkEnd w:id="11"/>
    <w:bookmarkEnd w:id="12"/>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color w:val="000000"/>
        </w:rPr>
        <w:t>CONCLUSION</w:t>
      </w:r>
    </w:p>
    <w:p w:rsidR="00A77B3E" w:rsidRPr="008B4DC9" w:rsidRDefault="00072B3F" w:rsidP="008B4DC9">
      <w:pPr>
        <w:snapToGrid w:val="0"/>
        <w:spacing w:line="360" w:lineRule="auto"/>
        <w:jc w:val="both"/>
        <w:rPr>
          <w:rFonts w:ascii="Book Antiqua" w:eastAsia="Book Antiqua" w:hAnsi="Book Antiqua" w:cs="Book Antiqua"/>
          <w:color w:val="000000"/>
        </w:rPr>
      </w:pPr>
      <w:bookmarkStart w:id="13" w:name="OLE_LINK21"/>
      <w:bookmarkStart w:id="14" w:name="OLE_LINK22"/>
      <w:r w:rsidRPr="008B4DC9">
        <w:rPr>
          <w:rFonts w:ascii="Book Antiqua" w:eastAsia="Book Antiqua" w:hAnsi="Book Antiqua" w:cs="Book Antiqua"/>
          <w:color w:val="000000"/>
        </w:rPr>
        <w:t>PIL can be the reason for cryptogenic hypoalbuminemia, hypogamma</w:t>
      </w:r>
      <w:r w:rsidR="000F57ED">
        <w:rPr>
          <w:rFonts w:ascii="Book Antiqua" w:hAnsi="Book Antiqua" w:cs="Book Antiqua" w:hint="eastAsia"/>
          <w:color w:val="000000"/>
          <w:lang w:eastAsia="zh-CN"/>
        </w:rPr>
        <w:t>-</w:t>
      </w:r>
      <w:r w:rsidRPr="008B4DC9">
        <w:rPr>
          <w:rFonts w:ascii="Book Antiqua" w:eastAsia="Book Antiqua" w:hAnsi="Book Antiqua" w:cs="Book Antiqua"/>
          <w:color w:val="000000"/>
        </w:rPr>
        <w:t>globulinemia,</w:t>
      </w:r>
      <w:r w:rsidR="00843BE8">
        <w:rPr>
          <w:rFonts w:ascii="Book Antiqua" w:eastAsia="Book Antiqua" w:hAnsi="Book Antiqua" w:cs="Book Antiqua"/>
          <w:color w:val="000000"/>
        </w:rPr>
        <w:t xml:space="preserve"> </w:t>
      </w:r>
      <w:r w:rsidRPr="008B4DC9">
        <w:rPr>
          <w:rFonts w:ascii="Book Antiqua" w:eastAsia="Book Antiqua" w:hAnsi="Book Antiqua" w:cs="Book Antiqua"/>
          <w:color w:val="000000"/>
        </w:rPr>
        <w:t>and lymphopenia in adulthood. Due to difficulty in correct diagnosis, treatment initiation is often delayed despite being effective and well-tolerated. This leads to a significant disease burden in affected patients. PIL is increasingly been recognized in adults since the majority of case reports were published within the last 10 years, pointing toward</w:t>
      </w:r>
      <w:r w:rsidR="00656CF1" w:rsidRPr="008B4DC9">
        <w:rPr>
          <w:rFonts w:ascii="Book Antiqua" w:eastAsia="Book Antiqua" w:hAnsi="Book Antiqua" w:cs="Book Antiqua"/>
          <w:color w:val="000000"/>
        </w:rPr>
        <w:t>s</w:t>
      </w:r>
      <w:r w:rsidRPr="008B4DC9">
        <w:rPr>
          <w:rFonts w:ascii="Book Antiqua" w:eastAsia="Book Antiqua" w:hAnsi="Book Antiqua" w:cs="Book Antiqua"/>
          <w:color w:val="000000"/>
        </w:rPr>
        <w:t xml:space="preserve"> an underestimation of the true prevalence. The association with female hormone status warrants further investigation.</w:t>
      </w:r>
    </w:p>
    <w:bookmarkEnd w:id="13"/>
    <w:bookmarkEnd w:id="14"/>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Key Words: </w:t>
      </w:r>
      <w:bookmarkStart w:id="15" w:name="OLE_LINK8"/>
      <w:bookmarkStart w:id="16" w:name="OLE_LINK14"/>
      <w:r w:rsidRPr="008B4DC9">
        <w:rPr>
          <w:rFonts w:ascii="Book Antiqua" w:eastAsia="Book Antiqua" w:hAnsi="Book Antiqua" w:cs="Book Antiqua"/>
          <w:color w:val="000000"/>
        </w:rPr>
        <w:t>Prim</w:t>
      </w:r>
      <w:r w:rsidR="00533EBE" w:rsidRPr="008B4DC9">
        <w:rPr>
          <w:rFonts w:ascii="Book Antiqua" w:eastAsia="Book Antiqua" w:hAnsi="Book Antiqua" w:cs="Book Antiqua"/>
          <w:color w:val="000000"/>
        </w:rPr>
        <w:t>ary intestinal lymphangiectasia</w:t>
      </w:r>
      <w:r w:rsidRPr="008B4DC9">
        <w:rPr>
          <w:rFonts w:ascii="Book Antiqua" w:eastAsia="Book Antiqua" w:hAnsi="Book Antiqua" w:cs="Book Antiqua"/>
          <w:color w:val="000000"/>
        </w:rPr>
        <w:t xml:space="preserve">; </w:t>
      </w:r>
      <w:bookmarkStart w:id="17" w:name="OLE_LINK13"/>
      <w:r w:rsidRPr="008B4DC9">
        <w:rPr>
          <w:rFonts w:ascii="Book Antiqua" w:eastAsia="Book Antiqua" w:hAnsi="Book Antiqua" w:cs="Book Antiqua"/>
          <w:color w:val="000000"/>
        </w:rPr>
        <w:t>Waldmann´s disease</w:t>
      </w:r>
      <w:bookmarkEnd w:id="17"/>
      <w:r w:rsidR="00533EBE" w:rsidRPr="008B4DC9">
        <w:rPr>
          <w:rFonts w:ascii="Book Antiqua" w:eastAsia="Book Antiqua" w:hAnsi="Book Antiqua" w:cs="Book Antiqua"/>
          <w:color w:val="000000"/>
        </w:rPr>
        <w:t xml:space="preserve">; Protein losing </w:t>
      </w:r>
      <w:r w:rsidR="00DC7622" w:rsidRPr="008B4DC9">
        <w:rPr>
          <w:rFonts w:ascii="Book Antiqua" w:eastAsia="Book Antiqua" w:hAnsi="Book Antiqua" w:cs="Book Antiqua"/>
          <w:color w:val="000000"/>
        </w:rPr>
        <w:t>enteropath</w:t>
      </w:r>
      <w:r w:rsidR="00DC7622">
        <w:rPr>
          <w:rFonts w:ascii="Book Antiqua" w:eastAsia="Book Antiqua" w:hAnsi="Book Antiqua" w:cs="Book Antiqua"/>
          <w:color w:val="000000"/>
        </w:rPr>
        <w:t>y</w:t>
      </w:r>
      <w:r w:rsidRPr="008B4DC9">
        <w:rPr>
          <w:rFonts w:ascii="Book Antiqua" w:eastAsia="Book Antiqua" w:hAnsi="Book Antiqua" w:cs="Book Antiqua"/>
          <w:color w:val="000000"/>
        </w:rPr>
        <w:t>; Hypoproteinemia</w:t>
      </w:r>
      <w:r w:rsidR="00825120" w:rsidRPr="008B4DC9">
        <w:rPr>
          <w:rFonts w:ascii="Book Antiqua" w:eastAsia="Book Antiqua" w:hAnsi="Book Antiqua" w:cs="Book Antiqua"/>
          <w:color w:val="000000"/>
        </w:rPr>
        <w:t>; Case report</w:t>
      </w:r>
    </w:p>
    <w:bookmarkEnd w:id="15"/>
    <w:bookmarkEnd w:id="16"/>
    <w:p w:rsidR="00A77B3E" w:rsidRPr="008B4DC9" w:rsidRDefault="00A77B3E" w:rsidP="008B4DC9">
      <w:pPr>
        <w:snapToGrid w:val="0"/>
        <w:spacing w:line="360" w:lineRule="auto"/>
        <w:jc w:val="both"/>
        <w:rPr>
          <w:rFonts w:ascii="Book Antiqua" w:hAnsi="Book Antiqua"/>
        </w:rPr>
      </w:pPr>
    </w:p>
    <w:p w:rsidR="003E400C" w:rsidRDefault="003E400C" w:rsidP="008B4DC9">
      <w:pPr>
        <w:snapToGrid w:val="0"/>
        <w:spacing w:line="360" w:lineRule="auto"/>
        <w:jc w:val="both"/>
        <w:rPr>
          <w:rFonts w:ascii="Book Antiqua" w:hAnsi="Book Antiqua" w:cs="Book Antiqua"/>
          <w:color w:val="000000"/>
          <w:lang w:eastAsia="zh-CN"/>
        </w:rPr>
      </w:pPr>
      <w:r w:rsidRPr="003E400C">
        <w:rPr>
          <w:rFonts w:ascii="Book Antiqua" w:hAnsi="Book Antiqua" w:cs="Book Antiqua" w:hint="eastAsia"/>
          <w:b/>
          <w:color w:val="000000"/>
          <w:lang w:eastAsia="zh-CN"/>
        </w:rPr>
        <w:t xml:space="preserve">Citation: </w:t>
      </w:r>
      <w:r w:rsidR="00072B3F" w:rsidRPr="008B4DC9">
        <w:rPr>
          <w:rFonts w:ascii="Book Antiqua" w:eastAsia="Book Antiqua" w:hAnsi="Book Antiqua" w:cs="Book Antiqua"/>
          <w:color w:val="000000"/>
        </w:rPr>
        <w:t xml:space="preserve">Huber R, Semmler G, Mayr A, Offner F, Datz C. </w:t>
      </w:r>
      <w:r w:rsidR="002B6174" w:rsidRPr="008B4DC9">
        <w:rPr>
          <w:rFonts w:ascii="Book Antiqua" w:eastAsia="Book Antiqua" w:hAnsi="Book Antiqua" w:cs="Book Antiqua"/>
          <w:color w:val="000000"/>
        </w:rPr>
        <w:t>Primary intestinal lymphangiectasia in an adult patient</w:t>
      </w:r>
      <w:r w:rsidR="002B6174" w:rsidRPr="008B4DC9">
        <w:rPr>
          <w:rFonts w:ascii="Book Antiqua" w:hAnsi="Book Antiqua" w:cs="Book Antiqua"/>
          <w:color w:val="000000"/>
          <w:lang w:eastAsia="zh-CN"/>
        </w:rPr>
        <w:t xml:space="preserve">: A </w:t>
      </w:r>
      <w:r w:rsidR="002B6174" w:rsidRPr="008B4DC9">
        <w:rPr>
          <w:rFonts w:ascii="Book Antiqua" w:eastAsia="Book Antiqua" w:hAnsi="Book Antiqua" w:cs="Book Antiqua"/>
          <w:color w:val="000000"/>
        </w:rPr>
        <w:t>case report and review of literature.</w:t>
      </w:r>
      <w:r w:rsidR="002B6174" w:rsidRPr="008B4DC9">
        <w:rPr>
          <w:rFonts w:ascii="Book Antiqua" w:hAnsi="Book Antiqua" w:cs="Book Antiqua"/>
          <w:color w:val="000000"/>
          <w:lang w:eastAsia="zh-CN"/>
        </w:rPr>
        <w:t xml:space="preserve"> </w:t>
      </w:r>
      <w:r w:rsidR="00072B3F" w:rsidRPr="008B4DC9">
        <w:rPr>
          <w:rFonts w:ascii="Book Antiqua" w:eastAsia="Book Antiqua" w:hAnsi="Book Antiqua" w:cs="Book Antiqua"/>
          <w:i/>
          <w:iCs/>
          <w:color w:val="000000"/>
        </w:rPr>
        <w:t>World J Gastroenterol</w:t>
      </w:r>
      <w:r w:rsidR="00072B3F" w:rsidRPr="008B4DC9">
        <w:rPr>
          <w:rFonts w:ascii="Book Antiqua" w:eastAsia="Book Antiqua" w:hAnsi="Book Antiqua" w:cs="Book Antiqua"/>
          <w:color w:val="000000"/>
        </w:rPr>
        <w:t xml:space="preserve"> 2020; </w:t>
      </w:r>
      <w:r w:rsidR="000E67E3" w:rsidRPr="000E67E3">
        <w:rPr>
          <w:rFonts w:ascii="Book Antiqua" w:eastAsia="Book Antiqua" w:hAnsi="Book Antiqua" w:cs="Book Antiqua"/>
          <w:color w:val="000000"/>
        </w:rPr>
        <w:t>26(</w:t>
      </w:r>
      <w:r w:rsidR="000E67E3">
        <w:rPr>
          <w:rFonts w:ascii="Book Antiqua" w:hAnsi="Book Antiqua" w:cs="Book Antiqua" w:hint="eastAsia"/>
          <w:color w:val="000000"/>
          <w:lang w:eastAsia="zh-CN"/>
        </w:rPr>
        <w:t>4</w:t>
      </w:r>
      <w:r w:rsidR="007F567F">
        <w:rPr>
          <w:rFonts w:ascii="Book Antiqua" w:hAnsi="Book Antiqua" w:cs="Book Antiqua" w:hint="eastAsia"/>
          <w:color w:val="000000"/>
          <w:lang w:eastAsia="zh-CN"/>
        </w:rPr>
        <w:t>8</w:t>
      </w:r>
      <w:r w:rsidR="000E67E3" w:rsidRPr="000E67E3">
        <w:rPr>
          <w:rFonts w:ascii="Book Antiqua" w:eastAsia="Book Antiqua" w:hAnsi="Book Antiqua" w:cs="Book Antiqua"/>
          <w:color w:val="000000"/>
        </w:rPr>
        <w:t xml:space="preserve">): </w:t>
      </w:r>
      <w:r w:rsidR="00F91E9A" w:rsidRPr="00F91E9A">
        <w:rPr>
          <w:rFonts w:ascii="Book Antiqua" w:eastAsia="Book Antiqua" w:hAnsi="Book Antiqua" w:cs="Book Antiqua"/>
          <w:color w:val="000000"/>
        </w:rPr>
        <w:t>7707-7718</w:t>
      </w:r>
      <w:r w:rsidR="000E67E3" w:rsidRPr="000E67E3">
        <w:rPr>
          <w:rFonts w:ascii="Book Antiqua" w:eastAsia="Book Antiqua" w:hAnsi="Book Antiqua" w:cs="Book Antiqua"/>
          <w:color w:val="000000"/>
        </w:rPr>
        <w:t xml:space="preserve"> </w:t>
      </w:r>
    </w:p>
    <w:p w:rsidR="003E400C" w:rsidRDefault="000E67E3" w:rsidP="008B4DC9">
      <w:pPr>
        <w:snapToGrid w:val="0"/>
        <w:spacing w:line="360" w:lineRule="auto"/>
        <w:jc w:val="both"/>
        <w:rPr>
          <w:rFonts w:ascii="Book Antiqua" w:hAnsi="Book Antiqua" w:cs="Book Antiqua"/>
          <w:color w:val="000000"/>
          <w:lang w:eastAsia="zh-CN"/>
        </w:rPr>
      </w:pPr>
      <w:r w:rsidRPr="003E400C">
        <w:rPr>
          <w:rFonts w:ascii="Book Antiqua" w:eastAsia="Book Antiqua" w:hAnsi="Book Antiqua" w:cs="Book Antiqua"/>
          <w:b/>
          <w:color w:val="000000"/>
        </w:rPr>
        <w:t>URL:</w:t>
      </w:r>
      <w:r w:rsidRPr="000E67E3">
        <w:rPr>
          <w:rFonts w:ascii="Book Antiqua" w:eastAsia="Book Antiqua" w:hAnsi="Book Antiqua" w:cs="Book Antiqua"/>
          <w:color w:val="000000"/>
        </w:rPr>
        <w:t xml:space="preserve"> https://www.wjgnet.com/1007-9327/full/v26/i</w:t>
      </w:r>
      <w:r>
        <w:rPr>
          <w:rFonts w:ascii="Book Antiqua" w:hAnsi="Book Antiqua" w:cs="Book Antiqua" w:hint="eastAsia"/>
          <w:color w:val="000000"/>
          <w:lang w:eastAsia="zh-CN"/>
        </w:rPr>
        <w:t>4</w:t>
      </w:r>
      <w:r w:rsidR="007F567F">
        <w:rPr>
          <w:rFonts w:ascii="Book Antiqua" w:hAnsi="Book Antiqua" w:cs="Book Antiqua" w:hint="eastAsia"/>
          <w:color w:val="000000"/>
          <w:lang w:eastAsia="zh-CN"/>
        </w:rPr>
        <w:t>8</w:t>
      </w:r>
      <w:r w:rsidRPr="000E67E3">
        <w:rPr>
          <w:rFonts w:ascii="Book Antiqua" w:eastAsia="Book Antiqua" w:hAnsi="Book Antiqua" w:cs="Book Antiqua"/>
          <w:color w:val="000000"/>
        </w:rPr>
        <w:t>/</w:t>
      </w:r>
      <w:r w:rsidR="00F91E9A">
        <w:rPr>
          <w:rFonts w:ascii="Book Antiqua" w:hAnsi="Book Antiqua" w:cs="Book Antiqua" w:hint="eastAsia"/>
          <w:color w:val="000000"/>
          <w:lang w:eastAsia="zh-CN"/>
        </w:rPr>
        <w:t>7707</w:t>
      </w:r>
      <w:r w:rsidRPr="000E67E3">
        <w:rPr>
          <w:rFonts w:ascii="Book Antiqua" w:eastAsia="Book Antiqua" w:hAnsi="Book Antiqua" w:cs="Book Antiqua"/>
          <w:color w:val="000000"/>
        </w:rPr>
        <w:t xml:space="preserve">.htm </w:t>
      </w:r>
    </w:p>
    <w:p w:rsidR="00A77B3E" w:rsidRPr="00D342A9" w:rsidRDefault="000E67E3" w:rsidP="008B4DC9">
      <w:pPr>
        <w:snapToGrid w:val="0"/>
        <w:spacing w:line="360" w:lineRule="auto"/>
        <w:jc w:val="both"/>
        <w:rPr>
          <w:rFonts w:ascii="Book Antiqua" w:hAnsi="Book Antiqua" w:cs="Book Antiqua"/>
          <w:color w:val="000000"/>
          <w:lang w:eastAsia="zh-CN"/>
        </w:rPr>
      </w:pPr>
      <w:r w:rsidRPr="003E400C">
        <w:rPr>
          <w:rFonts w:ascii="Book Antiqua" w:eastAsia="Book Antiqua" w:hAnsi="Book Antiqua" w:cs="Book Antiqua"/>
          <w:b/>
          <w:color w:val="000000"/>
        </w:rPr>
        <w:t>DOI:</w:t>
      </w:r>
      <w:r w:rsidRPr="000E67E3">
        <w:rPr>
          <w:rFonts w:ascii="Book Antiqua" w:eastAsia="Book Antiqua" w:hAnsi="Book Antiqua" w:cs="Book Antiqua"/>
          <w:color w:val="000000"/>
        </w:rPr>
        <w:t xml:space="preserve"> https://dx.doi.org/10.3748/wjg.v26.i</w:t>
      </w:r>
      <w:r>
        <w:rPr>
          <w:rFonts w:ascii="Book Antiqua" w:hAnsi="Book Antiqua" w:cs="Book Antiqua" w:hint="eastAsia"/>
          <w:color w:val="000000"/>
          <w:lang w:eastAsia="zh-CN"/>
        </w:rPr>
        <w:t>4</w:t>
      </w:r>
      <w:r w:rsidR="007F567F">
        <w:rPr>
          <w:rFonts w:ascii="Book Antiqua" w:hAnsi="Book Antiqua" w:cs="Book Antiqua" w:hint="eastAsia"/>
          <w:color w:val="000000"/>
          <w:lang w:eastAsia="zh-CN"/>
        </w:rPr>
        <w:t>8</w:t>
      </w:r>
      <w:bookmarkStart w:id="18" w:name="_GoBack"/>
      <w:bookmarkEnd w:id="18"/>
      <w:r w:rsidRPr="000E67E3">
        <w:rPr>
          <w:rFonts w:ascii="Book Antiqua" w:eastAsia="Book Antiqua" w:hAnsi="Book Antiqua" w:cs="Book Antiqua"/>
          <w:color w:val="000000"/>
        </w:rPr>
        <w:t>.</w:t>
      </w:r>
      <w:r w:rsidR="00D342A9">
        <w:rPr>
          <w:rFonts w:ascii="Book Antiqua" w:hAnsi="Book Antiqua" w:cs="Book Antiqua" w:hint="eastAsia"/>
          <w:color w:val="000000"/>
          <w:lang w:eastAsia="zh-CN"/>
        </w:rPr>
        <w:t>7707</w:t>
      </w:r>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Core Tip: </w:t>
      </w:r>
      <w:bookmarkStart w:id="19" w:name="OLE_LINK15"/>
      <w:bookmarkStart w:id="20" w:name="OLE_LINK16"/>
      <w:r w:rsidRPr="008B4DC9">
        <w:rPr>
          <w:rFonts w:ascii="Book Antiqua" w:eastAsia="Book Antiqua" w:hAnsi="Book Antiqua" w:cs="Book Antiqua"/>
          <w:color w:val="000000"/>
        </w:rPr>
        <w:t xml:space="preserve">Although Primary intestinal lymphangiectasia usually develops in early childhood, we present the case of a 34-year-old woman. We observed a striking collinearity with female hormone status in our patient, presenting a potential area of future research. Moreover, we performed a literature review of all published case reports so far and systematically assessed clinical presentation to provide a practical approach to facilitate diagnosis and therapy of </w:t>
      </w:r>
      <w:r w:rsidR="002B6174" w:rsidRPr="008B4DC9">
        <w:rPr>
          <w:rFonts w:ascii="Book Antiqua" w:eastAsia="Book Antiqua" w:hAnsi="Book Antiqua" w:cs="Book Antiqua"/>
          <w:color w:val="000000"/>
        </w:rPr>
        <w:t>primary intestinal lymphangiectasia</w:t>
      </w:r>
      <w:r w:rsidRPr="008B4DC9">
        <w:rPr>
          <w:rFonts w:ascii="Book Antiqua" w:eastAsia="Book Antiqua" w:hAnsi="Book Antiqua" w:cs="Book Antiqua"/>
          <w:color w:val="000000"/>
        </w:rPr>
        <w:t xml:space="preserve"> in adults for the first time.</w:t>
      </w:r>
    </w:p>
    <w:bookmarkEnd w:id="19"/>
    <w:bookmarkEnd w:id="20"/>
    <w:p w:rsidR="00A77B3E" w:rsidRPr="008B4DC9" w:rsidRDefault="002B6174" w:rsidP="008B4DC9">
      <w:pPr>
        <w:snapToGrid w:val="0"/>
        <w:spacing w:line="360" w:lineRule="auto"/>
        <w:jc w:val="both"/>
        <w:rPr>
          <w:rFonts w:ascii="Book Antiqua" w:hAnsi="Book Antiqua"/>
        </w:rPr>
      </w:pPr>
      <w:r w:rsidRPr="008B4DC9">
        <w:rPr>
          <w:rFonts w:ascii="Book Antiqua" w:hAnsi="Book Antiqua"/>
        </w:rPr>
        <w:br w:type="page"/>
      </w:r>
      <w:r w:rsidR="00072B3F" w:rsidRPr="008B4DC9">
        <w:rPr>
          <w:rFonts w:ascii="Book Antiqua" w:eastAsia="Book Antiqua" w:hAnsi="Book Antiqua" w:cs="Book Antiqua"/>
          <w:b/>
          <w:caps/>
          <w:color w:val="000000"/>
          <w:u w:val="single"/>
        </w:rPr>
        <w:t>INTRODUCTION</w:t>
      </w:r>
    </w:p>
    <w:p w:rsidR="00A77B3E" w:rsidRPr="008B4DC9" w:rsidRDefault="00072B3F" w:rsidP="008B4DC9">
      <w:pPr>
        <w:snapToGrid w:val="0"/>
        <w:spacing w:line="360" w:lineRule="auto"/>
        <w:jc w:val="both"/>
        <w:rPr>
          <w:rFonts w:ascii="Book Antiqua" w:hAnsi="Book Antiqua"/>
        </w:rPr>
      </w:pPr>
      <w:bookmarkStart w:id="21" w:name="OLE_LINK23"/>
      <w:bookmarkStart w:id="22" w:name="OLE_LINK24"/>
      <w:r w:rsidRPr="008B4DC9">
        <w:rPr>
          <w:rFonts w:ascii="Book Antiqua" w:eastAsia="Book Antiqua" w:hAnsi="Book Antiqua" w:cs="Book Antiqua"/>
          <w:color w:val="000000"/>
        </w:rPr>
        <w:t>Primary intestinal lymphangiectasia (PIL) has been first described by Waldmann</w:t>
      </w:r>
      <w:r w:rsidR="002B6174" w:rsidRPr="008B4DC9">
        <w:rPr>
          <w:rFonts w:ascii="Book Antiqua" w:eastAsia="Book Antiqua" w:hAnsi="Book Antiqua" w:cs="Book Antiqua"/>
          <w:color w:val="000000"/>
        </w:rPr>
        <w:t xml:space="preserve"> </w:t>
      </w:r>
      <w:r w:rsidR="002B6174" w:rsidRPr="008B4DC9">
        <w:rPr>
          <w:rFonts w:ascii="Book Antiqua" w:eastAsia="Book Antiqua" w:hAnsi="Book Antiqua" w:cs="Book Antiqua"/>
          <w:i/>
          <w:color w:val="000000"/>
        </w:rPr>
        <w:t>et al</w:t>
      </w:r>
      <w:r w:rsidR="002B6174" w:rsidRPr="008B4DC9">
        <w:rPr>
          <w:rFonts w:ascii="Book Antiqua" w:eastAsia="Book Antiqua" w:hAnsi="Book Antiqua" w:cs="Book Antiqua"/>
          <w:color w:val="000000"/>
          <w:vertAlign w:val="superscript"/>
        </w:rPr>
        <w:t>[1]</w:t>
      </w:r>
      <w:r w:rsidRPr="008B4DC9">
        <w:rPr>
          <w:rFonts w:ascii="Book Antiqua" w:eastAsia="Book Antiqua" w:hAnsi="Book Antiqua" w:cs="Book Antiqua"/>
          <w:color w:val="000000"/>
        </w:rPr>
        <w:t xml:space="preserve"> in 1961 as a rare disorder of intestinal lymphangiectasia that results in protein-losing enteropathy (PLE)</w:t>
      </w:r>
      <w:r w:rsidRPr="008B4DC9">
        <w:rPr>
          <w:rFonts w:ascii="Book Antiqua" w:eastAsia="Book Antiqua" w:hAnsi="Book Antiqua" w:cs="Book Antiqua"/>
          <w:color w:val="000000"/>
          <w:vertAlign w:val="superscript"/>
        </w:rPr>
        <w:t>[1]</w:t>
      </w:r>
      <w:r w:rsidRPr="008B4DC9">
        <w:rPr>
          <w:rFonts w:ascii="Book Antiqua" w:eastAsia="Book Antiqua" w:hAnsi="Book Antiqua" w:cs="Book Antiqua"/>
          <w:color w:val="000000"/>
        </w:rPr>
        <w:t>. PIL is caused by a diffuse or localized dilatation and/or rupture of intestinal lymphatic vessels in the mucosa, submucosa, or subserosa due to high pressure in lymphatic vessels</w:t>
      </w:r>
      <w:r w:rsidRPr="008B4DC9">
        <w:rPr>
          <w:rFonts w:ascii="Book Antiqua" w:eastAsia="Book Antiqua" w:hAnsi="Book Antiqua" w:cs="Book Antiqua"/>
          <w:color w:val="000000"/>
          <w:vertAlign w:val="superscript"/>
        </w:rPr>
        <w:t>[2]</w:t>
      </w:r>
      <w:r w:rsidRPr="008B4DC9">
        <w:rPr>
          <w:rFonts w:ascii="Book Antiqua" w:eastAsia="Book Antiqua" w:hAnsi="Book Antiqua" w:cs="Book Antiqua"/>
          <w:color w:val="000000"/>
        </w:rPr>
        <w:t>. Importantly, prevalence and etiology are yet unknown. However, genetic associations are been discussed since the diagnosis is generally established in childhood with very rare cases in adults</w:t>
      </w:r>
      <w:r w:rsidRPr="008B4DC9">
        <w:rPr>
          <w:rFonts w:ascii="Book Antiqua" w:eastAsia="Book Antiqua" w:hAnsi="Book Antiqua" w:cs="Book Antiqua"/>
          <w:color w:val="000000"/>
          <w:vertAlign w:val="superscript"/>
        </w:rPr>
        <w:t>[3]</w:t>
      </w:r>
      <w:r w:rsidRPr="008B4DC9">
        <w:rPr>
          <w:rFonts w:ascii="Book Antiqua" w:eastAsia="Book Antiqua" w:hAnsi="Book Antiqua" w:cs="Book Antiqua"/>
          <w:color w:val="000000"/>
        </w:rPr>
        <w:t>.</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Symptoms largely relate to the severity of lymph loss and consecutive loss of proteins resulting in hypoproteinemia, lymphopenia, and decreased serum levels of immunoglobulins. Among others, these symptoms include pitt</w:t>
      </w:r>
      <w:r w:rsidR="002B6174" w:rsidRPr="008B4DC9">
        <w:rPr>
          <w:rFonts w:ascii="Book Antiqua" w:eastAsia="Book Antiqua" w:hAnsi="Book Antiqua" w:cs="Book Antiqua"/>
          <w:color w:val="000000"/>
        </w:rPr>
        <w:t xml:space="preserve">ing edemas of the lower limbs, </w:t>
      </w:r>
      <w:r w:rsidRPr="008B4DC9">
        <w:rPr>
          <w:rFonts w:ascii="Book Antiqua" w:eastAsia="Book Antiqua" w:hAnsi="Book Antiqua" w:cs="Book Antiqua"/>
          <w:color w:val="000000"/>
        </w:rPr>
        <w:t>generalized edema, as well as pleural, epicardial, or often chylous abdominal effusion</w:t>
      </w:r>
      <w:r w:rsidRPr="008B4DC9">
        <w:rPr>
          <w:rFonts w:ascii="Book Antiqua" w:eastAsia="Book Antiqua" w:hAnsi="Book Antiqua" w:cs="Book Antiqua"/>
          <w:color w:val="000000"/>
          <w:vertAlign w:val="superscript"/>
        </w:rPr>
        <w:t>[4]</w:t>
      </w:r>
      <w:r w:rsidRPr="008B4DC9">
        <w:rPr>
          <w:rFonts w:ascii="Book Antiqua" w:eastAsia="Book Antiqua" w:hAnsi="Book Antiqua" w:cs="Book Antiqua"/>
          <w:color w:val="000000"/>
        </w:rPr>
        <w:t>. Here, we present the case of PIL in a 34-year-old female patient, together with a literature review of all case reports on PIL in adulthood (using the terms “Primary intestinal lymphangiectasia” and “Waldman’s disease”), focusing on clinical presentation, and providing a diagnostic and therapeutic overview for clinicians to enhance recognition and facilitate diagnosis.</w:t>
      </w:r>
    </w:p>
    <w:bookmarkEnd w:id="21"/>
    <w:bookmarkEnd w:id="22"/>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aps/>
          <w:color w:val="000000"/>
          <w:u w:val="single"/>
        </w:rPr>
        <w:t>CASE PRESENTATION</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i/>
          <w:color w:val="000000"/>
        </w:rPr>
        <w:t>Chief complaints</w:t>
      </w:r>
    </w:p>
    <w:p w:rsidR="00A77B3E" w:rsidRPr="008B4DC9" w:rsidRDefault="00072B3F" w:rsidP="008B4DC9">
      <w:pPr>
        <w:snapToGrid w:val="0"/>
        <w:spacing w:line="360" w:lineRule="auto"/>
        <w:jc w:val="both"/>
        <w:rPr>
          <w:rFonts w:ascii="Book Antiqua" w:hAnsi="Book Antiqua"/>
        </w:rPr>
      </w:pPr>
      <w:bookmarkStart w:id="23" w:name="OLE_LINK25"/>
      <w:bookmarkStart w:id="24" w:name="OLE_LINK26"/>
      <w:r w:rsidRPr="008B4DC9">
        <w:rPr>
          <w:rFonts w:ascii="Book Antiqua" w:eastAsia="Book Antiqua" w:hAnsi="Book Antiqua" w:cs="Book Antiqua"/>
          <w:color w:val="000000"/>
        </w:rPr>
        <w:t>In October 2018, a 34-year-old woman presented with recurring nausea independent of food intake, episodes of abdominal discomfort, fatigue, occasional episodes of diarrhea as well as a feeling of increased susceptibility to opportunistic infections.</w:t>
      </w:r>
    </w:p>
    <w:bookmarkEnd w:id="23"/>
    <w:bookmarkEnd w:id="24"/>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i/>
          <w:color w:val="000000"/>
        </w:rPr>
        <w:t>History of present illness</w:t>
      </w:r>
    </w:p>
    <w:p w:rsidR="00A77B3E" w:rsidRPr="008B4DC9" w:rsidRDefault="00072B3F" w:rsidP="008B4DC9">
      <w:pPr>
        <w:snapToGrid w:val="0"/>
        <w:spacing w:line="360" w:lineRule="auto"/>
        <w:jc w:val="both"/>
        <w:rPr>
          <w:rFonts w:ascii="Book Antiqua" w:hAnsi="Book Antiqua"/>
        </w:rPr>
      </w:pPr>
      <w:bookmarkStart w:id="25" w:name="OLE_LINK27"/>
      <w:bookmarkStart w:id="26" w:name="OLE_LINK28"/>
      <w:r w:rsidRPr="008B4DC9">
        <w:rPr>
          <w:rFonts w:ascii="Book Antiqua" w:eastAsia="Book Antiqua" w:hAnsi="Book Antiqua" w:cs="Book Antiqua"/>
          <w:color w:val="000000"/>
        </w:rPr>
        <w:t>After the end of pregnancy earlier this year, she reported on more frequently observed limb edema. The other medical history including comorbidities and drug intake were unremarkable.</w:t>
      </w:r>
    </w:p>
    <w:bookmarkEnd w:id="25"/>
    <w:bookmarkEnd w:id="26"/>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i/>
          <w:color w:val="000000"/>
        </w:rPr>
        <w:t>History of past illness</w:t>
      </w:r>
    </w:p>
    <w:p w:rsidR="00A77B3E" w:rsidRPr="008B4DC9" w:rsidRDefault="00072B3F" w:rsidP="008B4DC9">
      <w:pPr>
        <w:snapToGrid w:val="0"/>
        <w:spacing w:line="360" w:lineRule="auto"/>
        <w:jc w:val="both"/>
        <w:rPr>
          <w:rFonts w:ascii="Book Antiqua" w:eastAsia="Book Antiqua" w:hAnsi="Book Antiqua" w:cs="Book Antiqua"/>
          <w:color w:val="000000"/>
        </w:rPr>
      </w:pPr>
      <w:bookmarkStart w:id="27" w:name="OLE_LINK29"/>
      <w:bookmarkStart w:id="28" w:name="OLE_LINK30"/>
      <w:r w:rsidRPr="008B4DC9">
        <w:rPr>
          <w:rFonts w:ascii="Book Antiqua" w:eastAsia="Book Antiqua" w:hAnsi="Book Antiqua" w:cs="Book Antiqua"/>
          <w:color w:val="000000"/>
        </w:rPr>
        <w:t xml:space="preserve">Interestingly, temporary facial edema were occasionally reported already during childhood starting at the age of 12. After puberty, pronounced edema of the lower limbs, recurring nausea and fatigue were continuously reported, but vanished when using oral contraceptives or during pregnancy. </w:t>
      </w:r>
    </w:p>
    <w:p w:rsidR="00A77B3E" w:rsidRPr="008B4DC9" w:rsidRDefault="00A77B3E" w:rsidP="008B4DC9">
      <w:pPr>
        <w:snapToGrid w:val="0"/>
        <w:spacing w:line="360" w:lineRule="auto"/>
        <w:jc w:val="both"/>
        <w:rPr>
          <w:rFonts w:ascii="Book Antiqua" w:eastAsia="Book Antiqua" w:hAnsi="Book Antiqua" w:cs="Book Antiqua"/>
          <w:color w:val="000000"/>
        </w:rPr>
      </w:pPr>
    </w:p>
    <w:bookmarkEnd w:id="27"/>
    <w:bookmarkEnd w:id="28"/>
    <w:p w:rsidR="00A77B3E" w:rsidRPr="008B4DC9" w:rsidRDefault="00072B3F" w:rsidP="008B4DC9">
      <w:pPr>
        <w:snapToGrid w:val="0"/>
        <w:spacing w:line="360" w:lineRule="auto"/>
        <w:jc w:val="both"/>
        <w:rPr>
          <w:rFonts w:ascii="Book Antiqua" w:eastAsia="Book Antiqua" w:hAnsi="Book Antiqua" w:cs="Book Antiqua"/>
          <w:b/>
          <w:i/>
          <w:color w:val="000000"/>
        </w:rPr>
      </w:pPr>
      <w:r w:rsidRPr="008B4DC9">
        <w:rPr>
          <w:rFonts w:ascii="Book Antiqua" w:eastAsia="Book Antiqua" w:hAnsi="Book Antiqua" w:cs="Book Antiqua"/>
          <w:b/>
          <w:i/>
          <w:color w:val="000000"/>
        </w:rPr>
        <w:t>Physical examination</w:t>
      </w:r>
    </w:p>
    <w:p w:rsidR="00A77B3E" w:rsidRPr="008B4DC9" w:rsidRDefault="00072B3F" w:rsidP="008B4DC9">
      <w:pPr>
        <w:snapToGrid w:val="0"/>
        <w:spacing w:line="360" w:lineRule="auto"/>
        <w:jc w:val="both"/>
        <w:rPr>
          <w:rFonts w:ascii="Book Antiqua" w:eastAsia="Book Antiqua" w:hAnsi="Book Antiqua" w:cs="Book Antiqua"/>
          <w:color w:val="000000"/>
        </w:rPr>
      </w:pPr>
      <w:bookmarkStart w:id="29" w:name="OLE_LINK31"/>
      <w:bookmarkStart w:id="30" w:name="OLE_LINK32"/>
      <w:r w:rsidRPr="008B4DC9">
        <w:rPr>
          <w:rFonts w:ascii="Book Antiqua" w:eastAsia="Book Antiqua" w:hAnsi="Book Antiqua" w:cs="Book Antiqua"/>
          <w:color w:val="000000"/>
        </w:rPr>
        <w:t xml:space="preserve">The physical examination at the initial contact did not reveal any abnormalities. Especially, no edema of the upper or lower limb were observed and weight was stable with a </w:t>
      </w:r>
      <w:r w:rsidR="002B6174" w:rsidRPr="008B4DC9">
        <w:rPr>
          <w:rFonts w:ascii="Book Antiqua" w:eastAsia="Book Antiqua" w:hAnsi="Book Antiqua" w:cs="Book Antiqua"/>
          <w:color w:val="000000"/>
        </w:rPr>
        <w:t xml:space="preserve">body mass index </w:t>
      </w:r>
      <w:r w:rsidRPr="008B4DC9">
        <w:rPr>
          <w:rFonts w:ascii="Book Antiqua" w:eastAsia="Book Antiqua" w:hAnsi="Book Antiqua" w:cs="Book Antiqua"/>
          <w:color w:val="000000"/>
        </w:rPr>
        <w:t>of 18.3</w:t>
      </w:r>
      <w:r w:rsidR="002B6174"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kg/m².</w:t>
      </w:r>
      <w:r w:rsidR="002B6174" w:rsidRPr="008B4DC9">
        <w:rPr>
          <w:rFonts w:ascii="Book Antiqua" w:eastAsia="Book Antiqua" w:hAnsi="Book Antiqua" w:cs="Book Antiqua"/>
          <w:color w:val="000000"/>
        </w:rPr>
        <w:t> </w:t>
      </w:r>
    </w:p>
    <w:bookmarkEnd w:id="29"/>
    <w:bookmarkEnd w:id="30"/>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i/>
          <w:color w:val="000000"/>
        </w:rPr>
        <w:t>Laboratory examinations</w:t>
      </w:r>
    </w:p>
    <w:p w:rsidR="00A77B3E" w:rsidRPr="008B4DC9" w:rsidRDefault="00072B3F" w:rsidP="008B4DC9">
      <w:pPr>
        <w:snapToGrid w:val="0"/>
        <w:spacing w:line="360" w:lineRule="auto"/>
        <w:jc w:val="both"/>
        <w:rPr>
          <w:rFonts w:ascii="Book Antiqua" w:hAnsi="Book Antiqua"/>
        </w:rPr>
      </w:pPr>
      <w:bookmarkStart w:id="31" w:name="OLE_LINK33"/>
      <w:bookmarkStart w:id="32" w:name="OLE_LINK34"/>
      <w:r w:rsidRPr="008B4DC9">
        <w:rPr>
          <w:rFonts w:ascii="Book Antiqua" w:eastAsia="Book Antiqua" w:hAnsi="Book Antiqua" w:cs="Book Antiqua"/>
          <w:color w:val="000000"/>
        </w:rPr>
        <w:t>During several routine blood tests</w:t>
      </w:r>
      <w:r w:rsidR="002B6174" w:rsidRPr="008B4DC9">
        <w:rPr>
          <w:rFonts w:ascii="Book Antiqua" w:eastAsia="Book Antiqua" w:hAnsi="Book Antiqua" w:cs="Book Antiqua"/>
          <w:color w:val="000000"/>
        </w:rPr>
        <w:t xml:space="preserve"> after pregnancy, polyglobulia [</w:t>
      </w:r>
      <w:r w:rsidRPr="008B4DC9">
        <w:rPr>
          <w:rFonts w:ascii="Book Antiqua" w:eastAsia="Book Antiqua" w:hAnsi="Book Antiqua" w:cs="Book Antiqua"/>
          <w:color w:val="000000"/>
        </w:rPr>
        <w:t>hemoglobin 17.4</w:t>
      </w:r>
      <w:r w:rsidR="002B6174" w:rsidRPr="008B4DC9">
        <w:rPr>
          <w:rFonts w:ascii="Book Antiqua" w:eastAsia="Book Antiqua" w:hAnsi="Book Antiqua" w:cs="Book Antiqua"/>
          <w:color w:val="000000"/>
        </w:rPr>
        <w:t xml:space="preserve"> g/dL (</w:t>
      </w:r>
      <w:r w:rsidRPr="008B4DC9">
        <w:rPr>
          <w:rFonts w:ascii="Book Antiqua" w:eastAsia="Book Antiqua" w:hAnsi="Book Antiqua" w:cs="Book Antiqua"/>
          <w:color w:val="000000"/>
        </w:rPr>
        <w:t>normal range: 12.3-15.3</w:t>
      </w:r>
      <w:r w:rsidR="002B6174" w:rsidRPr="008B4DC9">
        <w:rPr>
          <w:rFonts w:ascii="Book Antiqua" w:eastAsia="Book Antiqua" w:hAnsi="Book Antiqua" w:cs="Book Antiqua"/>
          <w:color w:val="000000"/>
        </w:rPr>
        <w:t xml:space="preserve"> g/dL)</w:t>
      </w:r>
      <w:r w:rsidRPr="008B4DC9">
        <w:rPr>
          <w:rFonts w:ascii="Book Antiqua" w:eastAsia="Book Antiqua" w:hAnsi="Book Antiqua" w:cs="Book Antiqua"/>
          <w:color w:val="000000"/>
        </w:rPr>
        <w:t>, blood count</w:t>
      </w:r>
      <w:r w:rsidR="002B6174" w:rsidRPr="008B4DC9">
        <w:rPr>
          <w:rFonts w:ascii="Book Antiqua" w:eastAsia="Book Antiqua" w:hAnsi="Book Antiqua" w:cs="Book Antiqua"/>
          <w:color w:val="000000"/>
        </w:rPr>
        <w:t xml:space="preserve"> 5.82 (normal range: 3.60-5.00</w:t>
      </w:r>
      <w:r w:rsidR="008F7906" w:rsidRPr="008B4DC9">
        <w:rPr>
          <w:rFonts w:ascii="Book Antiqua" w:eastAsia="Book Antiqua" w:hAnsi="Book Antiqua" w:cs="Book Antiqua"/>
          <w:color w:val="000000"/>
        </w:rPr>
        <w:t>)</w:t>
      </w:r>
      <w:r w:rsidR="002B6174" w:rsidRPr="008B4DC9">
        <w:rPr>
          <w:rFonts w:ascii="Book Antiqua" w:eastAsia="Book Antiqua" w:hAnsi="Book Antiqua" w:cs="Book Antiqua"/>
          <w:color w:val="000000"/>
        </w:rPr>
        <w:t>]</w:t>
      </w:r>
      <w:r w:rsidRPr="008B4DC9">
        <w:rPr>
          <w:rFonts w:ascii="Book Antiqua" w:eastAsia="Book Antiqua" w:hAnsi="Book Antiqua" w:cs="Book Antiqua"/>
          <w:color w:val="000000"/>
        </w:rPr>
        <w:t>, normal leukocyte count (4.48, normal range: 4.40-11.30) with diminished lymphocyte count (14.6%, normal range: 19.3</w:t>
      </w:r>
      <w:r w:rsidR="008F7906" w:rsidRPr="008B4DC9">
        <w:rPr>
          <w:rFonts w:ascii="Book Antiqua" w:eastAsia="Book Antiqua" w:hAnsi="Book Antiqua" w:cs="Book Antiqua"/>
          <w:color w:val="000000"/>
        </w:rPr>
        <w:t>%</w:t>
      </w:r>
      <w:r w:rsidRPr="008B4DC9">
        <w:rPr>
          <w:rFonts w:ascii="Book Antiqua" w:eastAsia="Book Antiqua" w:hAnsi="Book Antiqua" w:cs="Book Antiqua"/>
          <w:color w:val="000000"/>
        </w:rPr>
        <w:t>-51.7%) following differential blood count, and reduced total serum protein (4.9</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g/dL, normal range: 6.2-8.2</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g/dL) with hypoalbuminemia (2.8</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g/dL, normal range: 3.4-5.0</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g/dL) were observed. Additionally, quantitative immunoglobulin analysis displayed hypogammaglobulinemia of 7.3% (normal range: 11.1</w:t>
      </w:r>
      <w:r w:rsidR="008F7906" w:rsidRPr="008B4DC9">
        <w:rPr>
          <w:rFonts w:ascii="Book Antiqua" w:eastAsia="Book Antiqua" w:hAnsi="Book Antiqua" w:cs="Book Antiqua"/>
          <w:color w:val="000000"/>
        </w:rPr>
        <w:t>%</w:t>
      </w:r>
      <w:r w:rsidRPr="008B4DC9">
        <w:rPr>
          <w:rFonts w:ascii="Book Antiqua" w:eastAsia="Book Antiqua" w:hAnsi="Book Antiqua" w:cs="Book Antiqua"/>
          <w:color w:val="000000"/>
        </w:rPr>
        <w:t>-18.8%) with a pronounced deficiency of the IgG class (268</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mg/dL, normal range: 700-1600</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mg/dL), moderate deficiency of IgA class (54</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mg/dL (normal range: 70-500</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mg/dL), and reduced IgG-1 and IgG-2 subclasses (193</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mg/dL, normal range: 405-1011</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mg/dL; 93</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mg/dL, normal range: 169-786</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mg/dL). Additionally, the CD4:</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 xml:space="preserve">CD8 T-cell ratio was </w:t>
      </w:r>
      <w:r w:rsidR="008F7906" w:rsidRPr="008B4DC9">
        <w:rPr>
          <w:rFonts w:ascii="Book Antiqua" w:eastAsia="Book Antiqua" w:hAnsi="Book Antiqua" w:cs="Book Antiqua"/>
          <w:color w:val="000000"/>
        </w:rPr>
        <w:t>reduced [0.9 (normal range: 1.0–3.6)</w:t>
      </w:r>
      <w:r w:rsidRPr="008B4DC9">
        <w:rPr>
          <w:rFonts w:ascii="Book Antiqua" w:eastAsia="Book Antiqua" w:hAnsi="Book Antiqua" w:cs="Book Antiqua"/>
          <w:color w:val="000000"/>
        </w:rPr>
        <w:t xml:space="preserve"> and kappa and lambd</w:t>
      </w:r>
      <w:r w:rsidR="008F7906" w:rsidRPr="008B4DC9">
        <w:rPr>
          <w:rFonts w:ascii="Book Antiqua" w:eastAsia="Book Antiqua" w:hAnsi="Book Antiqua" w:cs="Book Antiqua"/>
          <w:color w:val="000000"/>
        </w:rPr>
        <w:t>a light-chains were diminished [</w:t>
      </w:r>
      <w:r w:rsidRPr="008B4DC9">
        <w:rPr>
          <w:rFonts w:ascii="Book Antiqua" w:eastAsia="Book Antiqua" w:hAnsi="Book Antiqua" w:cs="Book Antiqua"/>
          <w:color w:val="000000"/>
        </w:rPr>
        <w:t>75</w:t>
      </w:r>
      <w:r w:rsidR="008F7906" w:rsidRPr="008B4DC9">
        <w:rPr>
          <w:rFonts w:ascii="Book Antiqua" w:eastAsia="Book Antiqua" w:hAnsi="Book Antiqua" w:cs="Book Antiqua"/>
          <w:color w:val="000000"/>
        </w:rPr>
        <w:t xml:space="preserve"> mg/dL (</w:t>
      </w:r>
      <w:r w:rsidRPr="008B4DC9">
        <w:rPr>
          <w:rFonts w:ascii="Book Antiqua" w:eastAsia="Book Antiqua" w:hAnsi="Book Antiqua" w:cs="Book Antiqua"/>
          <w:color w:val="000000"/>
        </w:rPr>
        <w:t>normal range: 173-383</w:t>
      </w:r>
      <w:r w:rsidR="008F7906" w:rsidRPr="008B4DC9">
        <w:rPr>
          <w:rFonts w:ascii="Book Antiqua" w:eastAsia="Book Antiqua" w:hAnsi="Book Antiqua" w:cs="Book Antiqua"/>
          <w:color w:val="000000"/>
        </w:rPr>
        <w:t xml:space="preserve"> mg/dL)</w:t>
      </w:r>
      <w:r w:rsidRPr="008B4DC9">
        <w:rPr>
          <w:rFonts w:ascii="Book Antiqua" w:eastAsia="Book Antiqua" w:hAnsi="Book Antiqua" w:cs="Book Antiqua"/>
          <w:color w:val="000000"/>
        </w:rPr>
        <w:t>, 46</w:t>
      </w:r>
      <w:r w:rsidR="008F7906" w:rsidRPr="008B4DC9">
        <w:rPr>
          <w:rFonts w:ascii="Book Antiqua" w:eastAsia="Book Antiqua" w:hAnsi="Book Antiqua" w:cs="Book Antiqua"/>
          <w:color w:val="000000"/>
        </w:rPr>
        <w:t xml:space="preserve"> mg/dL (</w:t>
      </w:r>
      <w:r w:rsidRPr="008B4DC9">
        <w:rPr>
          <w:rFonts w:ascii="Book Antiqua" w:eastAsia="Book Antiqua" w:hAnsi="Book Antiqua" w:cs="Book Antiqua"/>
          <w:color w:val="000000"/>
        </w:rPr>
        <w:t>normal range: 81-192</w:t>
      </w:r>
      <w:r w:rsidR="008F7906" w:rsidRPr="008B4DC9">
        <w:rPr>
          <w:rFonts w:ascii="Book Antiqua" w:eastAsia="Book Antiqua" w:hAnsi="Book Antiqua" w:cs="Book Antiqua"/>
          <w:color w:val="000000"/>
        </w:rPr>
        <w:t xml:space="preserve"> mg/dL)]</w:t>
      </w:r>
      <w:r w:rsidRPr="008B4DC9">
        <w:rPr>
          <w:rFonts w:ascii="Book Antiqua" w:eastAsia="Book Antiqua" w:hAnsi="Book Antiqua" w:cs="Book Antiqua"/>
          <w:color w:val="000000"/>
        </w:rPr>
        <w:t>. The urinary sediment showed no proteinuria and no signs of renal, hepatic, pancreatic, or cardiac disease. Since the laboratory constellation pointed towards a cellular and humoral immune defect, exhaustive investigations were started. Negative results for JAK2 mutations (JAK2-exon 12 sequencing and JAK2-mutation V617F) and negative BCR/ABL ratio ruled out polycythemia vera. Additionally, bone marrow analysis neither showed myeloid neoplasia nor infiltration by lymphoma, and ß2-microglobulin was within the normal range ruling out a hematogenous disease. Autoantibody screening and virus serology including hepatitis viridae, cytomegalovirus, Epstein-Bar virus, and human immunodeficiency virus were negative, and pancreatic insufficiency was excluded.</w:t>
      </w:r>
    </w:p>
    <w:bookmarkEnd w:id="31"/>
    <w:bookmarkEnd w:id="32"/>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i/>
          <w:color w:val="000000"/>
        </w:rPr>
        <w:t>Imaging examinations</w:t>
      </w:r>
    </w:p>
    <w:p w:rsidR="00A77B3E" w:rsidRPr="008B4DC9" w:rsidRDefault="00072B3F" w:rsidP="008B4DC9">
      <w:pPr>
        <w:snapToGrid w:val="0"/>
        <w:spacing w:line="360" w:lineRule="auto"/>
        <w:jc w:val="both"/>
        <w:rPr>
          <w:rFonts w:ascii="Book Antiqua" w:hAnsi="Book Antiqua"/>
        </w:rPr>
      </w:pPr>
      <w:bookmarkStart w:id="33" w:name="OLE_LINK35"/>
      <w:bookmarkStart w:id="34" w:name="OLE_LINK36"/>
      <w:r w:rsidRPr="008B4DC9">
        <w:rPr>
          <w:rFonts w:ascii="Book Antiqua" w:eastAsia="Book Antiqua" w:hAnsi="Book Antiqua" w:cs="Book Antiqua"/>
          <w:color w:val="000000"/>
        </w:rPr>
        <w:t xml:space="preserve">Incidentally, abdominopelvic computerized tomography (CT) showed a thickened wall of the </w:t>
      </w:r>
      <w:r w:rsidR="008F7906" w:rsidRPr="008B4DC9">
        <w:rPr>
          <w:rFonts w:ascii="Book Antiqua" w:eastAsia="Book Antiqua" w:hAnsi="Book Antiqua" w:cs="Book Antiqua"/>
          <w:color w:val="000000"/>
        </w:rPr>
        <w:t xml:space="preserve">ileum </w:t>
      </w:r>
      <w:r w:rsidRPr="008B4DC9">
        <w:rPr>
          <w:rFonts w:ascii="Book Antiqua" w:eastAsia="Book Antiqua" w:hAnsi="Book Antiqua" w:cs="Book Antiqua"/>
          <w:color w:val="000000"/>
        </w:rPr>
        <w:t xml:space="preserve">and </w:t>
      </w:r>
      <w:r w:rsidR="008F7906" w:rsidRPr="008B4DC9">
        <w:rPr>
          <w:rFonts w:ascii="Book Antiqua" w:eastAsia="Book Antiqua" w:hAnsi="Book Antiqua" w:cs="Book Antiqua"/>
          <w:color w:val="000000"/>
        </w:rPr>
        <w:t xml:space="preserve">jejunum </w:t>
      </w:r>
      <w:r w:rsidRPr="008B4DC9">
        <w:rPr>
          <w:rFonts w:ascii="Book Antiqua" w:eastAsia="Book Antiqua" w:hAnsi="Book Antiqua" w:cs="Book Antiqua"/>
          <w:color w:val="000000"/>
        </w:rPr>
        <w:t>with enlarged mesenteric lymph nodes up to 32</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mm localized in the lower abdomen. Therefore, an ileocolonoscopy with exploration of &gt;</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8</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 xml:space="preserve">cm of the </w:t>
      </w:r>
      <w:r w:rsidR="008F7906" w:rsidRPr="008B4DC9">
        <w:rPr>
          <w:rFonts w:ascii="Book Antiqua" w:eastAsia="Book Antiqua" w:hAnsi="Book Antiqua" w:cs="Book Antiqua"/>
          <w:color w:val="000000"/>
        </w:rPr>
        <w:t xml:space="preserve">ileum </w:t>
      </w:r>
      <w:r w:rsidRPr="008B4DC9">
        <w:rPr>
          <w:rFonts w:ascii="Book Antiqua" w:eastAsia="Book Antiqua" w:hAnsi="Book Antiqua" w:cs="Book Antiqua"/>
          <w:color w:val="000000"/>
        </w:rPr>
        <w:t xml:space="preserve">was performed showing a normal result. After CT-findings were confirmed on </w:t>
      </w:r>
      <w:r w:rsidR="008F7906" w:rsidRPr="008B4DC9">
        <w:rPr>
          <w:rFonts w:ascii="Book Antiqua" w:eastAsia="Book Antiqua" w:hAnsi="Book Antiqua" w:cs="Book Antiqua"/>
          <w:color w:val="000000"/>
        </w:rPr>
        <w:t>magnetic resonance imaging</w:t>
      </w:r>
      <w:r w:rsidRPr="008B4DC9">
        <w:rPr>
          <w:rFonts w:ascii="Book Antiqua" w:eastAsia="Book Antiqua" w:hAnsi="Book Antiqua" w:cs="Book Antiqua"/>
          <w:color w:val="000000"/>
        </w:rPr>
        <w:t xml:space="preserve">, a gastroduodenoscopy with standard intubation to the mid-descending duodenum revealed creamy white spots of the duodenal mucosa, suggesting lymphedema (Figure 1A). However, the histological evaluation did not show evidence for dilated lymph vessels or PIL, giardiasis, celiac disease, Whipple disease, or intestinal bowel disease, which was </w:t>
      </w:r>
      <w:r w:rsidR="00DC7622">
        <w:rPr>
          <w:rFonts w:ascii="Book Antiqua" w:eastAsia="Book Antiqua" w:hAnsi="Book Antiqua" w:cs="Book Antiqua"/>
          <w:color w:val="000000"/>
        </w:rPr>
        <w:t xml:space="preserve">additionally </w:t>
      </w:r>
      <w:r w:rsidRPr="008B4DC9">
        <w:rPr>
          <w:rFonts w:ascii="Book Antiqua" w:eastAsia="Book Antiqua" w:hAnsi="Book Antiqua" w:cs="Book Antiqua"/>
          <w:color w:val="000000"/>
        </w:rPr>
        <w:t xml:space="preserve">excluded </w:t>
      </w:r>
      <w:r w:rsidR="00DC7622">
        <w:rPr>
          <w:rFonts w:ascii="Book Antiqua" w:eastAsia="Book Antiqua" w:hAnsi="Book Antiqua" w:cs="Book Antiqua"/>
          <w:color w:val="000000"/>
        </w:rPr>
        <w:t>by</w:t>
      </w:r>
      <w:r w:rsidR="00DC7622"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 xml:space="preserve">normal calprotectin levels. Following </w:t>
      </w:r>
      <w:r w:rsidR="00DC7622">
        <w:rPr>
          <w:rFonts w:ascii="Book Antiqua" w:eastAsia="Book Antiqua" w:hAnsi="Book Antiqua" w:cs="Book Antiqua"/>
          <w:color w:val="000000"/>
        </w:rPr>
        <w:t xml:space="preserve">video </w:t>
      </w:r>
      <w:r w:rsidRPr="008B4DC9">
        <w:rPr>
          <w:rFonts w:ascii="Book Antiqua" w:eastAsia="Book Antiqua" w:hAnsi="Book Antiqua" w:cs="Book Antiqua"/>
          <w:color w:val="000000"/>
        </w:rPr>
        <w:t>capsule endoscopy that showed a snowflake appearance of the mucosa (Figure 1B), double-balloon enteroscopy exploring approximately 70</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 xml:space="preserve">cm of the jejunum verified mucosal lesions compatible with lymphangiectasia macroscopically (Figure 1C). </w:t>
      </w:r>
    </w:p>
    <w:bookmarkEnd w:id="33"/>
    <w:bookmarkEnd w:id="34"/>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aps/>
          <w:color w:val="000000"/>
          <w:u w:val="single"/>
        </w:rPr>
        <w:t>FINAL DIAGNOSIS</w:t>
      </w:r>
    </w:p>
    <w:p w:rsidR="00A77B3E" w:rsidRPr="008B4DC9" w:rsidRDefault="00072B3F" w:rsidP="008B4DC9">
      <w:pPr>
        <w:snapToGrid w:val="0"/>
        <w:spacing w:line="360" w:lineRule="auto"/>
        <w:jc w:val="both"/>
        <w:rPr>
          <w:rFonts w:ascii="Book Antiqua" w:hAnsi="Book Antiqua"/>
        </w:rPr>
      </w:pPr>
      <w:bookmarkStart w:id="35" w:name="OLE_LINK37"/>
      <w:bookmarkStart w:id="36" w:name="OLE_LINK38"/>
      <w:r w:rsidRPr="008B4DC9">
        <w:rPr>
          <w:rFonts w:ascii="Book Antiqua" w:eastAsia="Book Antiqua" w:hAnsi="Book Antiqua" w:cs="Book Antiqua"/>
          <w:color w:val="000000"/>
        </w:rPr>
        <w:t xml:space="preserve">Finally, PIL was confirmed on histological and immunohistological analyses from </w:t>
      </w:r>
      <w:r w:rsidR="008F7906" w:rsidRPr="008B4DC9">
        <w:rPr>
          <w:rFonts w:ascii="Book Antiqua" w:eastAsia="Book Antiqua" w:hAnsi="Book Antiqua" w:cs="Book Antiqua"/>
          <w:color w:val="000000"/>
        </w:rPr>
        <w:t xml:space="preserve">jejunal biopsies (Figures 2 and </w:t>
      </w:r>
      <w:r w:rsidRPr="008B4DC9">
        <w:rPr>
          <w:rFonts w:ascii="Book Antiqua" w:eastAsia="Book Antiqua" w:hAnsi="Book Antiqua" w:cs="Book Antiqua"/>
          <w:color w:val="000000"/>
        </w:rPr>
        <w:t>3).</w:t>
      </w:r>
    </w:p>
    <w:bookmarkEnd w:id="35"/>
    <w:bookmarkEnd w:id="36"/>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aps/>
          <w:color w:val="000000"/>
          <w:u w:val="single"/>
        </w:rPr>
        <w:t>TREATMENT</w:t>
      </w:r>
    </w:p>
    <w:p w:rsidR="00A77B3E" w:rsidRPr="008B4DC9" w:rsidRDefault="00072B3F" w:rsidP="008B4DC9">
      <w:pPr>
        <w:snapToGrid w:val="0"/>
        <w:spacing w:line="360" w:lineRule="auto"/>
        <w:jc w:val="both"/>
        <w:rPr>
          <w:rFonts w:ascii="Book Antiqua" w:eastAsia="Book Antiqua" w:hAnsi="Book Antiqua" w:cs="Book Antiqua"/>
          <w:color w:val="000000"/>
        </w:rPr>
      </w:pPr>
      <w:bookmarkStart w:id="37" w:name="OLE_LINK39"/>
      <w:bookmarkStart w:id="38" w:name="OLE_LINK40"/>
      <w:r w:rsidRPr="008B4DC9">
        <w:rPr>
          <w:rFonts w:ascii="Book Antiqua" w:eastAsia="Book Antiqua" w:hAnsi="Book Antiqua" w:cs="Book Antiqua"/>
          <w:color w:val="000000"/>
        </w:rPr>
        <w:t>After putting the patient on a medium-chain triglyceride (MCT) diet rich in protein, the clinical condition of the patient significantly improved within 4 wk.</w:t>
      </w:r>
    </w:p>
    <w:bookmarkEnd w:id="37"/>
    <w:bookmarkEnd w:id="38"/>
    <w:p w:rsidR="00A77B3E" w:rsidRPr="008B4DC9" w:rsidRDefault="00A77B3E" w:rsidP="008B4DC9">
      <w:pPr>
        <w:snapToGrid w:val="0"/>
        <w:spacing w:line="360" w:lineRule="auto"/>
        <w:jc w:val="both"/>
        <w:rPr>
          <w:rFonts w:ascii="Book Antiqua" w:eastAsia="Book Antiqua" w:hAnsi="Book Antiqua" w:cs="Book Antiqua"/>
          <w:color w:val="000000"/>
        </w:rPr>
      </w:pPr>
    </w:p>
    <w:p w:rsidR="00A77B3E" w:rsidRPr="008B4DC9" w:rsidRDefault="00072B3F" w:rsidP="008B4DC9">
      <w:pPr>
        <w:snapToGrid w:val="0"/>
        <w:spacing w:line="360" w:lineRule="auto"/>
        <w:jc w:val="both"/>
        <w:rPr>
          <w:rFonts w:ascii="Book Antiqua" w:eastAsia="Book Antiqua" w:hAnsi="Book Antiqua" w:cs="Book Antiqua"/>
          <w:b/>
          <w:color w:val="000000"/>
          <w:u w:val="single"/>
        </w:rPr>
      </w:pPr>
      <w:r w:rsidRPr="008B4DC9">
        <w:rPr>
          <w:rFonts w:ascii="Book Antiqua" w:eastAsia="Book Antiqua" w:hAnsi="Book Antiqua" w:cs="Book Antiqua"/>
          <w:b/>
          <w:color w:val="000000"/>
          <w:u w:val="single"/>
        </w:rPr>
        <w:t>OUTCOME AND FOLLOW-UP</w:t>
      </w:r>
    </w:p>
    <w:p w:rsidR="00A77B3E" w:rsidRPr="008B4DC9" w:rsidRDefault="00072B3F" w:rsidP="008B4DC9">
      <w:pPr>
        <w:snapToGrid w:val="0"/>
        <w:spacing w:line="360" w:lineRule="auto"/>
        <w:jc w:val="both"/>
        <w:rPr>
          <w:rFonts w:ascii="Book Antiqua" w:eastAsia="Book Antiqua" w:hAnsi="Book Antiqua" w:cs="Book Antiqua"/>
          <w:color w:val="000000"/>
        </w:rPr>
      </w:pPr>
      <w:bookmarkStart w:id="39" w:name="OLE_LINK41"/>
      <w:bookmarkStart w:id="40" w:name="OLE_LINK42"/>
      <w:r w:rsidRPr="008B4DC9">
        <w:rPr>
          <w:rFonts w:ascii="Book Antiqua" w:eastAsia="Book Antiqua" w:hAnsi="Book Antiqua" w:cs="Book Antiqua"/>
          <w:color w:val="000000"/>
        </w:rPr>
        <w:t>Until 2 years after diagnosis, mild lower limb edema were only observed between the end of breastfeeding period and a second pregnancy, and abdominal discomfort, fatigue and nausea significantly improved. Laboratory improvemen</w:t>
      </w:r>
      <w:r w:rsidR="00656CF1" w:rsidRPr="008B4DC9">
        <w:rPr>
          <w:rFonts w:ascii="Book Antiqua" w:eastAsia="Book Antiqua" w:hAnsi="Book Antiqua" w:cs="Book Antiqua"/>
          <w:color w:val="000000"/>
        </w:rPr>
        <w:t>t</w:t>
      </w:r>
      <w:r w:rsidRPr="008B4DC9">
        <w:rPr>
          <w:rFonts w:ascii="Book Antiqua" w:eastAsia="Book Antiqua" w:hAnsi="Book Antiqua" w:cs="Book Antiqua"/>
          <w:color w:val="000000"/>
        </w:rPr>
        <w:t xml:space="preserve"> was characterized by increase in total serum protein, albumin, and quantitative immunoglobulin levels.</w:t>
      </w:r>
    </w:p>
    <w:bookmarkEnd w:id="39"/>
    <w:bookmarkEnd w:id="40"/>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aps/>
          <w:color w:val="000000"/>
          <w:u w:val="single"/>
        </w:rPr>
        <w:t>DISCUSSION</w:t>
      </w:r>
    </w:p>
    <w:p w:rsidR="00A77B3E" w:rsidRPr="008B4DC9" w:rsidRDefault="00072B3F" w:rsidP="008B4DC9">
      <w:pPr>
        <w:snapToGrid w:val="0"/>
        <w:spacing w:line="360" w:lineRule="auto"/>
        <w:jc w:val="both"/>
        <w:rPr>
          <w:rFonts w:ascii="Book Antiqua" w:hAnsi="Book Antiqua"/>
        </w:rPr>
      </w:pPr>
      <w:bookmarkStart w:id="41" w:name="OLE_LINK43"/>
      <w:bookmarkStart w:id="42" w:name="OLE_LINK44"/>
      <w:r w:rsidRPr="008B4DC9">
        <w:rPr>
          <w:rFonts w:ascii="Book Antiqua" w:eastAsia="Book Antiqua" w:hAnsi="Book Antiqua" w:cs="Book Antiqua"/>
          <w:color w:val="000000"/>
        </w:rPr>
        <w:t>Due to the rarity of this disease, the worldwide incidence of PIL in humans is unknown</w:t>
      </w:r>
      <w:r w:rsidRPr="008B4DC9">
        <w:rPr>
          <w:rFonts w:ascii="Book Antiqua" w:eastAsia="Book Antiqua" w:hAnsi="Book Antiqua" w:cs="Book Antiqua"/>
          <w:color w:val="000000"/>
          <w:vertAlign w:val="superscript"/>
        </w:rPr>
        <w:t>[3]</w:t>
      </w:r>
      <w:r w:rsidRPr="008B4DC9">
        <w:rPr>
          <w:rFonts w:ascii="Book Antiqua" w:eastAsia="Book Antiqua" w:hAnsi="Book Antiqua" w:cs="Book Antiqua"/>
          <w:color w:val="000000"/>
        </w:rPr>
        <w:t>. However, a genetic predisposition is been discussed since if mostly affects children below 3 years of age</w:t>
      </w:r>
      <w:r w:rsidRPr="008B4DC9">
        <w:rPr>
          <w:rFonts w:ascii="Book Antiqua" w:eastAsia="Book Antiqua" w:hAnsi="Book Antiqua" w:cs="Book Antiqua"/>
          <w:color w:val="000000"/>
          <w:vertAlign w:val="superscript"/>
        </w:rPr>
        <w:t>[5]</w:t>
      </w:r>
      <w:r w:rsidRPr="008B4DC9">
        <w:rPr>
          <w:rFonts w:ascii="Book Antiqua" w:eastAsia="Book Antiqua" w:hAnsi="Book Antiqua" w:cs="Book Antiqua"/>
          <w:color w:val="000000"/>
        </w:rPr>
        <w:t>. This is supported by familial forms of specific syndromes that have been associated with PIL, including the yellow-nail syndrome, von Recklinghausen’s disease, Turner, Noonan, Klippel-Trenaunay or Hennekam syndrome</w:t>
      </w:r>
      <w:r w:rsidR="008F7906" w:rsidRPr="008B4DC9">
        <w:rPr>
          <w:rFonts w:ascii="Book Antiqua" w:eastAsia="Book Antiqua" w:hAnsi="Book Antiqua" w:cs="Book Antiqua"/>
          <w:color w:val="000000"/>
          <w:vertAlign w:val="superscript"/>
        </w:rPr>
        <w:t>[3,6,</w:t>
      </w:r>
      <w:r w:rsidRPr="008B4DC9">
        <w:rPr>
          <w:rFonts w:ascii="Book Antiqua" w:eastAsia="Book Antiqua" w:hAnsi="Book Antiqua" w:cs="Book Antiqua"/>
          <w:color w:val="000000"/>
          <w:vertAlign w:val="superscript"/>
        </w:rPr>
        <w:t>7]</w:t>
      </w:r>
      <w:r w:rsidRPr="008B4DC9">
        <w:rPr>
          <w:rFonts w:ascii="Book Antiqua" w:eastAsia="Book Antiqua" w:hAnsi="Book Antiqua" w:cs="Book Antiqua"/>
          <w:color w:val="000000"/>
        </w:rPr>
        <w:t>. Nevertheless, cases in adult patients exist. We performed a literature review and could identify 49 cases from 46 case reports of PIL in adults in which the onset of symptoms occurred after the 18</w:t>
      </w:r>
      <w:r w:rsidRPr="008B4DC9">
        <w:rPr>
          <w:rFonts w:ascii="Book Antiqua" w:eastAsia="Book Antiqua" w:hAnsi="Book Antiqua" w:cs="Book Antiqua"/>
          <w:color w:val="000000"/>
          <w:vertAlign w:val="superscript"/>
        </w:rPr>
        <w:t>th</w:t>
      </w:r>
      <w:r w:rsidRPr="008B4DC9">
        <w:rPr>
          <w:rFonts w:ascii="Book Antiqua" w:eastAsia="Book Antiqua" w:hAnsi="Book Antiqua" w:cs="Book Antiqua"/>
          <w:color w:val="000000"/>
        </w:rPr>
        <w:t xml:space="preserve"> birthday (</w:t>
      </w:r>
      <w:r w:rsidR="00834D8D" w:rsidRPr="008B4DC9">
        <w:rPr>
          <w:rFonts w:ascii="Book Antiqua" w:eastAsia="Book Antiqua" w:hAnsi="Book Antiqua" w:cs="Book Antiqua"/>
          <w:color w:val="000000"/>
        </w:rPr>
        <w:t xml:space="preserve">Table 1, </w:t>
      </w:r>
      <w:r w:rsidRPr="008B4DC9">
        <w:rPr>
          <w:rFonts w:ascii="Book Antiqua" w:eastAsia="Book Antiqua" w:hAnsi="Book Antiqua" w:cs="Book Antiqua"/>
          <w:color w:val="000000"/>
        </w:rPr>
        <w:t>Supplementary Table 1</w:t>
      </w:r>
      <w:r w:rsidRPr="008B4DC9">
        <w:rPr>
          <w:rFonts w:ascii="Book Antiqua" w:eastAsia="Book Antiqua" w:hAnsi="Book Antiqua" w:cs="Book Antiqua"/>
          <w:color w:val="000000"/>
          <w:vertAlign w:val="superscript"/>
        </w:rPr>
        <w:t>[8-53]</w:t>
      </w:r>
      <w:r w:rsidRPr="008B4DC9">
        <w:rPr>
          <w:rFonts w:ascii="Book Antiqua" w:eastAsia="Book Antiqua" w:hAnsi="Book Antiqua" w:cs="Book Antiqua"/>
          <w:color w:val="000000"/>
        </w:rPr>
        <w:t>). Notably, 27/46 (58.7%) were published since 2010, indicating that this entity is increasingly been recognized and the prevalence might be underestimated. Median age at diagnosis was 43 (range: 20-83) years while median time from onset of symptoms to final diagnosis was 3 (range: 0-40) years, highlighting the difficulty in the correct diagnosis of this entity. Although a literature review of PIL cases existed reporting a mean age of 13.3 years at symptom onset and 8.5 years until diagnosis, it has to be pointed out that 75% of cases in this review included patients with symptom onset before 20 years of age</w:t>
      </w:r>
      <w:r w:rsidRPr="008B4DC9">
        <w:rPr>
          <w:rFonts w:ascii="Book Antiqua" w:eastAsia="Book Antiqua" w:hAnsi="Book Antiqua" w:cs="Book Antiqua"/>
          <w:color w:val="000000"/>
          <w:vertAlign w:val="superscript"/>
        </w:rPr>
        <w:t>[54]</w:t>
      </w:r>
      <w:r w:rsidRPr="008B4DC9">
        <w:rPr>
          <w:rFonts w:ascii="Book Antiqua" w:eastAsia="Book Antiqua" w:hAnsi="Book Antiqua" w:cs="Book Antiqua"/>
          <w:color w:val="000000"/>
        </w:rPr>
        <w:t xml:space="preserve">. In terms of gender distribution, 22 male (44.9%) and 27 female (55.1%) cases were reported. </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Our case describes a 34-year-old female being diagnosed with PIL around 22 years after the first occurrence of edema, and 22 wk after the first contact at our institution. She presented with nausea, abdominal discomfort, diarrhea, and bilateral limb edemas. From 48 patients reporting on symptoms in the literature, 40 patients (83.3%) reported the presence of any peripheral/generalized edema while only 2 patients did not present with edema and 6 case reports did not report on this symptom. The majority (</w:t>
      </w:r>
      <w:r w:rsidRPr="008B4DC9">
        <w:rPr>
          <w:rFonts w:ascii="Book Antiqua" w:eastAsia="Book Antiqua" w:hAnsi="Book Antiqua" w:cs="Book Antiqua"/>
          <w:i/>
          <w:iCs/>
          <w:color w:val="000000"/>
        </w:rPr>
        <w:t>n</w:t>
      </w:r>
      <w:r w:rsidRPr="008B4DC9">
        <w:rPr>
          <w:rFonts w:ascii="Book Antiqua" w:eastAsia="Book Antiqua" w:hAnsi="Book Antiqua" w:cs="Book Antiqua"/>
          <w:color w:val="000000"/>
        </w:rPr>
        <w:t xml:space="preserve"> = 27, 56.3%) only reported bilateral edema of the lower limb. 9/48 patients (18.8%) presented with abdominal pain, 13 patients (27.1%) presented with (chylous) ascites, 10 patients (20.8%) with pleural, and 4 patients (8.3%) with pericardial effusion. Diarrhea was present in 20/48 patients (41.7%). Other rare unspecific symptoms include changes in weight, nausea, general weakness, pallor, and gastrointestinal bleeding. These findings go in line with a former literature review of 84 PIL cases (including predominantly children), reporting limb edema, diarrhea, ascites, and lymphedema in 78%, 62%, 41%, and 22% respectively</w:t>
      </w:r>
      <w:r w:rsidRPr="008B4DC9">
        <w:rPr>
          <w:rFonts w:ascii="Book Antiqua" w:eastAsia="Book Antiqua" w:hAnsi="Book Antiqua" w:cs="Book Antiqua"/>
          <w:color w:val="000000"/>
          <w:vertAlign w:val="superscript"/>
        </w:rPr>
        <w:t>[54]</w:t>
      </w:r>
      <w:r w:rsidRPr="008B4DC9">
        <w:rPr>
          <w:rFonts w:ascii="Book Antiqua" w:eastAsia="Book Antiqua" w:hAnsi="Book Antiqua" w:cs="Book Antiqua"/>
          <w:color w:val="000000"/>
        </w:rPr>
        <w:t>. These symptoms and their varying extent can largely be explained as a consequence of lymphatic/protein and subsequently watery loss due to lower oncotic pressure in interstitial fluid.</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The fact that pregnancy and oral contraception led to the vanishing of edemas in our patient is indeed surprising as this has not yet been reported. Of note, symptoms completely resolved when taking oral contraceptives and r</w:t>
      </w:r>
      <w:r w:rsidR="009E2F7A" w:rsidRPr="008B4DC9">
        <w:rPr>
          <w:rFonts w:ascii="Book Antiqua" w:eastAsia="Book Antiqua" w:hAnsi="Book Antiqua" w:cs="Book Antiqua"/>
          <w:color w:val="000000"/>
        </w:rPr>
        <w:t>e-appeared during pill-free days</w:t>
      </w:r>
      <w:r w:rsidRPr="008B4DC9">
        <w:rPr>
          <w:rFonts w:ascii="Book Antiqua" w:eastAsia="Book Antiqua" w:hAnsi="Book Antiqua" w:cs="Book Antiqua"/>
          <w:color w:val="000000"/>
        </w:rPr>
        <w:t xml:space="preserve"> in</w:t>
      </w:r>
      <w:r w:rsidR="009E2F7A"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 xml:space="preserve">between. One may hypothesize that differences in estradiol might influence the severity of lymphedema: Morfoisse </w:t>
      </w:r>
      <w:r w:rsidRPr="008B4DC9">
        <w:rPr>
          <w:rFonts w:ascii="Book Antiqua" w:eastAsia="Book Antiqua" w:hAnsi="Book Antiqua" w:cs="Book Antiqua"/>
          <w:i/>
          <w:iCs/>
          <w:color w:val="000000"/>
        </w:rPr>
        <w:t>et al</w:t>
      </w:r>
      <w:r w:rsidRPr="008B4DC9">
        <w:rPr>
          <w:rFonts w:ascii="Book Antiqua" w:eastAsia="Book Antiqua" w:hAnsi="Book Antiqua" w:cs="Book Antiqua"/>
          <w:color w:val="000000"/>
          <w:vertAlign w:val="superscript"/>
        </w:rPr>
        <w:t>[55]</w:t>
      </w:r>
      <w:r w:rsidRPr="008B4DC9">
        <w:rPr>
          <w:rFonts w:ascii="Book Antiqua" w:eastAsia="Book Antiqua" w:hAnsi="Book Antiqua" w:cs="Book Antiqua"/>
          <w:color w:val="000000"/>
        </w:rPr>
        <w:t>, who explored the role of estrogens on lymphatic endothelial cells, found that estradiol is protective</w:t>
      </w:r>
      <w:r w:rsidR="00DC7622">
        <w:rPr>
          <w:rFonts w:ascii="Book Antiqua" w:eastAsia="Book Antiqua" w:hAnsi="Book Antiqua" w:cs="Book Antiqua"/>
          <w:color w:val="000000"/>
        </w:rPr>
        <w:t xml:space="preserve"> of</w:t>
      </w:r>
      <w:r w:rsidRPr="008B4DC9">
        <w:rPr>
          <w:rFonts w:ascii="Book Antiqua" w:eastAsia="Book Antiqua" w:hAnsi="Book Antiqua" w:cs="Book Antiqua"/>
          <w:color w:val="000000"/>
        </w:rPr>
        <w:t xml:space="preserve"> lymphedema, and blockage of the estrogen receptor is associated with stronger lymphatic leakage. However, this was only shown in an animal model of secondary lymphedema, and no other studies providing further evidence on this mechanism are available.</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 xml:space="preserve">Among the most frequently observed laboratory findings in literature were anemia in 16 patients (33.3%), lymphocytopenia in 30 (62.5%), hypoproteinemia in 26 (54.2%), and hypoalbuminemia and hypogammaglobulinemia/reduced serum IgG level in 35 (72.9%) while no patients specifically reported the absence of </w:t>
      </w:r>
      <w:r w:rsidR="00656CF1" w:rsidRPr="008B4DC9">
        <w:rPr>
          <w:rFonts w:ascii="Book Antiqua" w:eastAsia="Book Antiqua" w:hAnsi="Book Antiqua" w:cs="Book Antiqua"/>
          <w:color w:val="000000"/>
        </w:rPr>
        <w:t xml:space="preserve">the latter </w:t>
      </w:r>
      <w:r w:rsidRPr="008B4DC9">
        <w:rPr>
          <w:rFonts w:ascii="Book Antiqua" w:eastAsia="Book Antiqua" w:hAnsi="Book Antiqua" w:cs="Book Antiqua"/>
          <w:color w:val="000000"/>
        </w:rPr>
        <w:t xml:space="preserve">two laboratory findings. However, these numbers might be underestimated since not all case reports reported on these features. 12 patients (25.0%) specifically reported reduced serum levels of calcium and 5 patients (10.4%) reduced levels of magnesium, leading to occasional muscle seizures in several patients. Other findings include hypoglobulinemia with reduced numbers of IgM, IgA, and IgG, and reduced numbers of CD3+ and CD4+ cells. Profound hypoproteinemia, hypoalbuminemia, and hypogammaglobulinemia and reduced CD4:CD8 ratio could also be confirmed in our patient. However, lymphocytopenia was only transient and leucocyte count </w:t>
      </w:r>
      <w:r w:rsidR="00DC7622">
        <w:rPr>
          <w:rFonts w:ascii="Book Antiqua" w:eastAsia="Book Antiqua" w:hAnsi="Book Antiqua" w:cs="Book Antiqua"/>
          <w:color w:val="000000"/>
        </w:rPr>
        <w:t xml:space="preserve">was </w:t>
      </w:r>
      <w:r w:rsidRPr="008B4DC9">
        <w:rPr>
          <w:rFonts w:ascii="Book Antiqua" w:eastAsia="Book Antiqua" w:hAnsi="Book Antiqua" w:cs="Book Antiqua"/>
          <w:color w:val="000000"/>
        </w:rPr>
        <w:t>within the normal range indicating that these parameters might be very unspecific and significantly influenced by temporary inflammatory processes in the body. This is especially true since an increased susceptibility to opportunistic infections based on lymphocytopenia and hypogammaglobulinemia could be present. This was reported in our patient, 2 case reports of adult patients with additional 2 patients suffering from cryptococcal meningitis at initial presentation, and 3 case reports of children</w:t>
      </w:r>
      <w:r w:rsidRPr="008B4DC9">
        <w:rPr>
          <w:rFonts w:ascii="Book Antiqua" w:eastAsia="Book Antiqua" w:hAnsi="Book Antiqua" w:cs="Book Antiqua"/>
          <w:color w:val="000000"/>
          <w:vertAlign w:val="superscript"/>
        </w:rPr>
        <w:t>[5]</w:t>
      </w:r>
      <w:r w:rsidRPr="008B4DC9">
        <w:rPr>
          <w:rFonts w:ascii="Book Antiqua" w:eastAsia="Book Antiqua" w:hAnsi="Book Antiqua" w:cs="Book Antiqua"/>
          <w:color w:val="000000"/>
        </w:rPr>
        <w:t>. This humoral and cellular immunodeficiency is assumed to be due to a lymphatic loss of B- and T- lymphocytes. Interestingly, 4 patients in the literature report an extensive presence of warts, probably representing the end-stage of acquired immunodeficiency.</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 xml:space="preserve">Notably, fecal α1-antitrypsin levels or α1-antitrypsin-clearance seem to be a good indicator for the presence of PLE/PIL in these patients with positive results in all patients who reported on this </w:t>
      </w:r>
      <w:r w:rsidR="00DC7622">
        <w:rPr>
          <w:rFonts w:ascii="Book Antiqua" w:eastAsia="Book Antiqua" w:hAnsi="Book Antiqua" w:cs="Book Antiqua"/>
          <w:color w:val="000000"/>
        </w:rPr>
        <w:t xml:space="preserve">feature </w:t>
      </w:r>
      <w:r w:rsidRPr="008B4DC9">
        <w:rPr>
          <w:rFonts w:ascii="Book Antiqua" w:eastAsia="Book Antiqua" w:hAnsi="Book Antiqua" w:cs="Book Antiqua"/>
          <w:color w:val="000000"/>
        </w:rPr>
        <w:t xml:space="preserve">(10/48, 20.8%). Since α1-antitrypsin is resistant to degradation by digestive enzymes, it </w:t>
      </w:r>
      <w:r w:rsidR="00DC7622" w:rsidRPr="008B4DC9">
        <w:rPr>
          <w:rFonts w:ascii="Book Antiqua" w:eastAsia="Book Antiqua" w:hAnsi="Book Antiqua" w:cs="Book Antiqua"/>
          <w:color w:val="000000"/>
        </w:rPr>
        <w:t>indicate</w:t>
      </w:r>
      <w:r w:rsidR="00DC7622">
        <w:rPr>
          <w:rFonts w:ascii="Book Antiqua" w:eastAsia="Book Antiqua" w:hAnsi="Book Antiqua" w:cs="Book Antiqua"/>
          <w:color w:val="000000"/>
        </w:rPr>
        <w:t>s</w:t>
      </w:r>
      <w:r w:rsidR="00DC7622"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the presence of blood proteins in the intestinal tract</w:t>
      </w:r>
      <w:r w:rsidRPr="008B4DC9">
        <w:rPr>
          <w:rFonts w:ascii="Book Antiqua" w:eastAsia="Book Antiqua" w:hAnsi="Book Antiqua" w:cs="Book Antiqua"/>
          <w:color w:val="000000"/>
          <w:vertAlign w:val="superscript"/>
        </w:rPr>
        <w:t>[56]</w:t>
      </w:r>
      <w:r w:rsidRPr="008B4DC9">
        <w:rPr>
          <w:rFonts w:ascii="Book Antiqua" w:eastAsia="Book Antiqua" w:hAnsi="Book Antiqua" w:cs="Book Antiqua"/>
          <w:color w:val="000000"/>
        </w:rPr>
        <w:t>.</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Because of persistently diminished IgG and IgA, an abdominal/pelvic CT scan was performed to rule out lymphoma or thymoma in our patient. This incidentally revealed a thickened wall in the jejunum and ileum with enlarged lymph nodes. Interestingly – when looking into the literature – 11/27 of patients (40.7%) undergoing a CT scan reported abnormalities in the small bowel wall while 8/27 (29.6%) had a completely normal result. However, other imaging modalities such as lymphangioscintigraphy or technetium-labeled human serum albumin (99TmTc-HSA) scintigraphy might be of higher accuracy pointing towards the diagnosis of PIL, demonstrating abnormal lymphatic, or protein leakage.</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 xml:space="preserve">When comparing endoscopic findings in these patients, 21/35 (60.0%) gastroduodenoscopies performed in symptomatic PIL patients revealed an endoscopic view suggestive for PIL with </w:t>
      </w:r>
      <w:r w:rsidR="008F7906" w:rsidRPr="008B4DC9">
        <w:rPr>
          <w:rFonts w:ascii="Book Antiqua" w:eastAsia="Book Antiqua" w:hAnsi="Book Antiqua" w:cs="Book Antiqua"/>
          <w:color w:val="000000"/>
        </w:rPr>
        <w:t>“</w:t>
      </w:r>
      <w:r w:rsidRPr="008B4DC9">
        <w:rPr>
          <w:rFonts w:ascii="Book Antiqua" w:eastAsia="Book Antiqua" w:hAnsi="Book Antiqua" w:cs="Book Antiqua"/>
          <w:color w:val="000000"/>
        </w:rPr>
        <w:t>snowflake appearance</w:t>
      </w:r>
      <w:r w:rsidR="008F7906" w:rsidRPr="008B4DC9">
        <w:rPr>
          <w:rFonts w:ascii="Book Antiqua" w:eastAsia="Book Antiqua" w:hAnsi="Book Antiqua" w:cs="Book Antiqua"/>
          <w:color w:val="000000"/>
        </w:rPr>
        <w:t>”</w:t>
      </w:r>
      <w:r w:rsidRPr="008B4DC9">
        <w:rPr>
          <w:rFonts w:ascii="Book Antiqua" w:eastAsia="Book Antiqua" w:hAnsi="Book Antiqua" w:cs="Book Antiqua"/>
          <w:color w:val="000000"/>
        </w:rPr>
        <w:t xml:space="preserve"> of the duodenal mucosa indicating lymphatic dilations while in 2 patients the diagnosis could be made histologically despite normal macroscopic appearance. On the contrary, ileocolonoscopy was inferior with only 5/21 (23.8%) showing characteristic features in the terminal ileum that led to the diagnosis. However, it has to be mentioned that considering the improvement in technology, this rate might be underestimated due to the large number of studies </w:t>
      </w:r>
      <w:r w:rsidR="00DC7622">
        <w:rPr>
          <w:rFonts w:ascii="Book Antiqua" w:eastAsia="Book Antiqua" w:hAnsi="Book Antiqua" w:cs="Book Antiqua"/>
          <w:color w:val="000000"/>
        </w:rPr>
        <w:t xml:space="preserve">performed </w:t>
      </w:r>
      <w:r w:rsidRPr="008B4DC9">
        <w:rPr>
          <w:rFonts w:ascii="Book Antiqua" w:eastAsia="Book Antiqua" w:hAnsi="Book Antiqua" w:cs="Book Antiqua"/>
          <w:color w:val="000000"/>
        </w:rPr>
        <w:t>&gt;</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10</w:t>
      </w:r>
      <w:r w:rsidR="008F7906"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years ago. Enteroscopy, which was performed in 14 patients including our patient to establish the diagnosis, is highly sensitive and should be regarded as the gold-standard for dia</w:t>
      </w:r>
      <w:r w:rsidR="008F7906" w:rsidRPr="008B4DC9">
        <w:rPr>
          <w:rFonts w:ascii="Book Antiqua" w:eastAsia="Book Antiqua" w:hAnsi="Book Antiqua" w:cs="Book Antiqua"/>
          <w:color w:val="000000"/>
        </w:rPr>
        <w:t>gnosis. Video capsule endoscopy</w:t>
      </w:r>
      <w:r w:rsidRPr="008B4DC9">
        <w:rPr>
          <w:rFonts w:ascii="Book Antiqua" w:eastAsia="Book Antiqua" w:hAnsi="Book Antiqua" w:cs="Book Antiqua"/>
          <w:color w:val="000000"/>
        </w:rPr>
        <w:t xml:space="preserve"> could be used to help with diagnosis, being similarly sensitive to detect lymphedema in the small bowel.</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In our case, although a gastroduodenoscopy was performed showing an endoscopic snowflake appearance of the duodenal mucosa indicating lymphatic dilations, the histological report was normal. To our opinion, two possible explanations exist for this phenomenon: On the one hand, the dila</w:t>
      </w:r>
      <w:r w:rsidR="008F7906" w:rsidRPr="008B4DC9">
        <w:rPr>
          <w:rFonts w:ascii="Book Antiqua" w:eastAsia="Book Antiqua" w:hAnsi="Book Antiqua" w:cs="Book Antiqua"/>
          <w:color w:val="000000"/>
        </w:rPr>
        <w:t xml:space="preserve">ted lymphatic endothelial cells </w:t>
      </w:r>
      <w:r w:rsidRPr="008B4DC9">
        <w:rPr>
          <w:rFonts w:ascii="Book Antiqua" w:eastAsia="Book Antiqua" w:hAnsi="Book Antiqua" w:cs="Book Antiqua"/>
          <w:color w:val="000000"/>
        </w:rPr>
        <w:t xml:space="preserve">can be distributed in different locations in the intestine to a different extent, hence the histology specimens might not show dilated </w:t>
      </w:r>
      <w:r w:rsidR="008F7906" w:rsidRPr="008B4DC9">
        <w:rPr>
          <w:rFonts w:ascii="Book Antiqua" w:eastAsia="Book Antiqua" w:hAnsi="Book Antiqua" w:cs="Book Antiqua"/>
          <w:color w:val="000000"/>
        </w:rPr>
        <w:t>lymphatic endothelial cells</w:t>
      </w:r>
      <w:r w:rsidRPr="008B4DC9">
        <w:rPr>
          <w:rFonts w:ascii="Book Antiqua" w:eastAsia="Book Antiqua" w:hAnsi="Book Antiqua" w:cs="Book Antiqua"/>
          <w:color w:val="000000"/>
        </w:rPr>
        <w:t xml:space="preserve"> despite endoscopic and macroscopic appearance. On the other hand, the lack of experience of pathologists with this entity could result in an insufficient evaluation of the histological specimens and delay of diagnosis, as this was the case in our patient. </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 xml:space="preserve">Lifelong adherence to a diet rich in protein with substitution of MCT remains the cornerstone in the therapy of PIL. Because MCTs are directly absorbed into the portal venous system bypassing the lymphatic system, they can be used to overcome chronic malnutrition. The need for dietary control in people appears to be permanent because clinical and biochemical findings seem to reappear after low-fat dietary </w:t>
      </w:r>
      <w:r w:rsidR="00656CF1" w:rsidRPr="008B4DC9">
        <w:rPr>
          <w:rFonts w:ascii="Book Antiqua" w:eastAsia="Book Antiqua" w:hAnsi="Book Antiqua" w:cs="Book Antiqua"/>
          <w:color w:val="000000"/>
        </w:rPr>
        <w:t>withdrawal</w:t>
      </w:r>
      <w:r w:rsidRPr="008B4DC9">
        <w:rPr>
          <w:rFonts w:ascii="Book Antiqua" w:eastAsia="Book Antiqua" w:hAnsi="Book Antiqua" w:cs="Book Antiqua"/>
          <w:color w:val="000000"/>
        </w:rPr>
        <w:t xml:space="preserve">. 16/26 patients (61.5%) receiving MCT alone reported </w:t>
      </w:r>
      <w:r w:rsidR="00DC7622">
        <w:rPr>
          <w:rFonts w:ascii="Book Antiqua" w:eastAsia="Book Antiqua" w:hAnsi="Book Antiqua" w:cs="Book Antiqua"/>
          <w:color w:val="000000"/>
        </w:rPr>
        <w:t xml:space="preserve">significant </w:t>
      </w:r>
      <w:r w:rsidRPr="008B4DC9">
        <w:rPr>
          <w:rFonts w:ascii="Book Antiqua" w:eastAsia="Book Antiqua" w:hAnsi="Book Antiqua" w:cs="Book Antiqua"/>
          <w:color w:val="000000"/>
        </w:rPr>
        <w:t>improvement in symptoms while 2 patients reported only moderate improvement. Octreotide can be regarded as the preferred treatment in patients in whom dietary changes fail to achieve significant improvement. Octreotide is a long-acting somatostatin analogue that suppresses gastrointestinal motility and hormone secretion in the pituitary gland, pancreas, and intestine. Although the mechanism of action of octreotide in diminishing protein loss through the gastrointestinal tract is unclear, theorized mechanisms of octreotide’s action in PIL include decreased intestinal fat absorption, inhibition of gastrointestinal vasoactive peptides, and stimulation of the autonomic nervous system</w:t>
      </w:r>
      <w:r w:rsidRPr="008B4DC9">
        <w:rPr>
          <w:rFonts w:ascii="Book Antiqua" w:eastAsia="Book Antiqua" w:hAnsi="Book Antiqua" w:cs="Book Antiqua"/>
          <w:color w:val="000000"/>
          <w:vertAlign w:val="superscript"/>
        </w:rPr>
        <w:t>[57-59]</w:t>
      </w:r>
      <w:r w:rsidRPr="008B4DC9">
        <w:rPr>
          <w:rFonts w:ascii="Book Antiqua" w:eastAsia="Book Antiqua" w:hAnsi="Book Antiqua" w:cs="Book Antiqua"/>
          <w:color w:val="000000"/>
        </w:rPr>
        <w:t>. Octreotide i</w:t>
      </w:r>
      <w:r w:rsidR="008F7906" w:rsidRPr="008B4DC9">
        <w:rPr>
          <w:rFonts w:ascii="Book Antiqua" w:eastAsia="Book Antiqua" w:hAnsi="Book Antiqua" w:cs="Book Antiqua"/>
          <w:color w:val="000000"/>
        </w:rPr>
        <w:t>s usually given at doses of 150-</w:t>
      </w:r>
      <w:r w:rsidRPr="008B4DC9">
        <w:rPr>
          <w:rFonts w:ascii="Book Antiqua" w:eastAsia="Book Antiqua" w:hAnsi="Book Antiqua" w:cs="Book Antiqua"/>
          <w:color w:val="000000"/>
        </w:rPr>
        <w:t>200 µg subcutaneously twice daily</w:t>
      </w:r>
      <w:r w:rsidRPr="008B4DC9">
        <w:rPr>
          <w:rFonts w:ascii="Book Antiqua" w:eastAsia="Book Antiqua" w:hAnsi="Book Antiqua" w:cs="Book Antiqua"/>
          <w:color w:val="000000"/>
          <w:vertAlign w:val="superscript"/>
        </w:rPr>
        <w:t>[14]</w:t>
      </w:r>
      <w:r w:rsidRPr="008B4DC9">
        <w:rPr>
          <w:rFonts w:ascii="Book Antiqua" w:eastAsia="Book Antiqua" w:hAnsi="Book Antiqua" w:cs="Book Antiqua"/>
          <w:color w:val="000000"/>
        </w:rPr>
        <w:t>. From all 29 cases that reported efficacy of therapy, oc</w:t>
      </w:r>
      <w:r w:rsidR="00656CF1" w:rsidRPr="008B4DC9">
        <w:rPr>
          <w:rFonts w:ascii="Book Antiqua" w:eastAsia="Book Antiqua" w:hAnsi="Book Antiqua" w:cs="Book Antiqua"/>
          <w:color w:val="000000"/>
        </w:rPr>
        <w:t>t</w:t>
      </w:r>
      <w:r w:rsidRPr="008B4DC9">
        <w:rPr>
          <w:rFonts w:ascii="Book Antiqua" w:eastAsia="Book Antiqua" w:hAnsi="Book Antiqua" w:cs="Book Antiqua"/>
          <w:color w:val="000000"/>
        </w:rPr>
        <w:t xml:space="preserve">reotide was added to MCT in 6 patients and started as initial treatment in one patient, with 2 patients having an insufficient response and 2 patients report in recurrence of symptoms after discontinuation of octreotide with otherwise good response. Other medical therapeutic options include propranolol, which is thought to downregulate the RAF mitogen-activated protein kinase signaling pathway with reduced expression of VEGF, and everolimus, which is an mTOR inhibitor. mTOR is a serine/threonine kinase, representing a key enzyme for numerous cellular processes including angiogenesis and cell growth. Ozeki </w:t>
      </w:r>
      <w:r w:rsidRPr="008B4DC9">
        <w:rPr>
          <w:rFonts w:ascii="Book Antiqua" w:eastAsia="Book Antiqua" w:hAnsi="Book Antiqua" w:cs="Book Antiqua"/>
          <w:i/>
          <w:iCs/>
          <w:color w:val="000000"/>
        </w:rPr>
        <w:t>et al</w:t>
      </w:r>
      <w:r w:rsidRPr="008B4DC9">
        <w:rPr>
          <w:rFonts w:ascii="Book Antiqua" w:eastAsia="Book Antiqua" w:hAnsi="Book Antiqua" w:cs="Book Antiqua"/>
          <w:color w:val="000000"/>
          <w:vertAlign w:val="superscript"/>
        </w:rPr>
        <w:t>[60]</w:t>
      </w:r>
      <w:r w:rsidRPr="008B4DC9">
        <w:rPr>
          <w:rFonts w:ascii="Book Antiqua" w:eastAsia="Book Antiqua" w:hAnsi="Book Antiqua" w:cs="Book Antiqua"/>
          <w:color w:val="000000"/>
        </w:rPr>
        <w:t xml:space="preserve"> found significant mTOR expression in tissues affected b</w:t>
      </w:r>
      <w:r w:rsidR="008F7906" w:rsidRPr="008B4DC9">
        <w:rPr>
          <w:rFonts w:ascii="Book Antiqua" w:eastAsia="Book Antiqua" w:hAnsi="Book Antiqua" w:cs="Book Antiqua"/>
          <w:color w:val="000000"/>
        </w:rPr>
        <w:t>y PIL and applied everolimus (1.</w:t>
      </w:r>
      <w:r w:rsidRPr="008B4DC9">
        <w:rPr>
          <w:rFonts w:ascii="Book Antiqua" w:eastAsia="Book Antiqua" w:hAnsi="Book Antiqua" w:cs="Book Antiqua"/>
          <w:color w:val="000000"/>
        </w:rPr>
        <w:t>6 mg/m²/day) as a treatment of PIL improving diarrhea and hypoproteinemia. However, no case report on an adult patient with PIL exists using these two substances. Surgical resection seems to be the last option both for diagnosis and therapy of PIL. In 6/49 patients, diagnosis of PIL was established after surgical resection, however in most cases without performing an enteroscopy before. All 7 patients that reported surgical resection as the form of treatment – sometimes after the failure of conservative therapy – described improvement of the clinical condition after surgery. However, long-term follow-up does not exist in these patients.</w:t>
      </w:r>
    </w:p>
    <w:p w:rsidR="00A77B3E" w:rsidRPr="008B4DC9" w:rsidRDefault="00072B3F" w:rsidP="008B4DC9">
      <w:pPr>
        <w:snapToGrid w:val="0"/>
        <w:spacing w:line="360" w:lineRule="auto"/>
        <w:ind w:firstLineChars="100" w:firstLine="240"/>
        <w:jc w:val="both"/>
        <w:rPr>
          <w:rFonts w:ascii="Book Antiqua" w:hAnsi="Book Antiqua"/>
        </w:rPr>
      </w:pPr>
      <w:r w:rsidRPr="008B4DC9">
        <w:rPr>
          <w:rFonts w:ascii="Book Antiqua" w:eastAsia="Book Antiqua" w:hAnsi="Book Antiqua" w:cs="Book Antiqua"/>
          <w:color w:val="000000"/>
        </w:rPr>
        <w:t xml:space="preserve">Nevertheless, long-term follow-up is needed since lymphoma have been described as long-term complications in patients with PIL. Laharie </w:t>
      </w:r>
      <w:r w:rsidRPr="008B4DC9">
        <w:rPr>
          <w:rFonts w:ascii="Book Antiqua" w:eastAsia="Book Antiqua" w:hAnsi="Book Antiqua" w:cs="Book Antiqua"/>
          <w:i/>
          <w:iCs/>
          <w:color w:val="000000"/>
        </w:rPr>
        <w:t>et al</w:t>
      </w:r>
      <w:r w:rsidRPr="008B4DC9">
        <w:rPr>
          <w:rFonts w:ascii="Book Antiqua" w:eastAsia="Book Antiqua" w:hAnsi="Book Antiqua" w:cs="Book Antiqua"/>
          <w:color w:val="000000"/>
          <w:vertAlign w:val="superscript"/>
        </w:rPr>
        <w:t>[40]</w:t>
      </w:r>
      <w:r w:rsidRPr="008B4DC9">
        <w:rPr>
          <w:rFonts w:ascii="Book Antiqua" w:eastAsia="Book Antiqua" w:hAnsi="Book Antiqua" w:cs="Book Antiqua"/>
          <w:color w:val="000000"/>
        </w:rPr>
        <w:t xml:space="preserve"> reported on 12 cases of lymphoma after PIL, which was adopted for the present case report and completed by literature review of additional cases until 2020</w:t>
      </w:r>
      <w:r w:rsidRPr="008B4DC9">
        <w:rPr>
          <w:rFonts w:ascii="Book Antiqua" w:eastAsia="Book Antiqua" w:hAnsi="Book Antiqua" w:cs="Book Antiqua"/>
          <w:color w:val="000000"/>
          <w:vertAlign w:val="superscript"/>
        </w:rPr>
        <w:t>[61]</w:t>
      </w:r>
      <w:r w:rsidRPr="008B4DC9">
        <w:rPr>
          <w:rFonts w:ascii="Book Antiqua" w:eastAsia="Book Antiqua" w:hAnsi="Book Antiqua" w:cs="Book Antiqua"/>
          <w:color w:val="000000"/>
        </w:rPr>
        <w:t xml:space="preserve">. So far, 13 cases have been published with lymphoma occurring after a median of 14 years (range: 0-39) after PIL diagnosis (Supplementary Table 2). </w:t>
      </w:r>
    </w:p>
    <w:bookmarkEnd w:id="41"/>
    <w:bookmarkEnd w:id="42"/>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aps/>
          <w:color w:val="000000"/>
          <w:u w:val="single"/>
        </w:rPr>
        <w:t>CONCLUSION</w:t>
      </w:r>
    </w:p>
    <w:p w:rsidR="00A77B3E" w:rsidRPr="008B4DC9" w:rsidRDefault="00072B3F" w:rsidP="008B4DC9">
      <w:pPr>
        <w:snapToGrid w:val="0"/>
        <w:spacing w:line="360" w:lineRule="auto"/>
        <w:jc w:val="both"/>
        <w:rPr>
          <w:rFonts w:ascii="Book Antiqua" w:hAnsi="Book Antiqua"/>
        </w:rPr>
      </w:pPr>
      <w:bookmarkStart w:id="43" w:name="OLE_LINK45"/>
      <w:bookmarkStart w:id="44" w:name="OLE_LINK46"/>
      <w:r w:rsidRPr="008B4DC9">
        <w:rPr>
          <w:rFonts w:ascii="Book Antiqua" w:eastAsia="Book Antiqua" w:hAnsi="Book Antiqua" w:cs="Book Antiqua"/>
          <w:color w:val="000000"/>
        </w:rPr>
        <w:t xml:space="preserve">In conclusion, PIL can be a rare cause of PLE in adults. Unspecific symptoms and a wide range of clinical manifestations can significantly hamper establishing the definite diagnosis, leading to a </w:t>
      </w:r>
      <w:r w:rsidR="00FA0E94" w:rsidRPr="008B4DC9">
        <w:rPr>
          <w:rFonts w:ascii="Book Antiqua" w:eastAsia="Book Antiqua" w:hAnsi="Book Antiqua" w:cs="Book Antiqua"/>
          <w:color w:val="000000"/>
        </w:rPr>
        <w:t>“</w:t>
      </w:r>
      <w:r w:rsidRPr="008B4DC9">
        <w:rPr>
          <w:rFonts w:ascii="Book Antiqua" w:eastAsia="Book Antiqua" w:hAnsi="Book Antiqua" w:cs="Book Antiqua"/>
          <w:color w:val="000000"/>
        </w:rPr>
        <w:t>diagnostic roller coaster</w:t>
      </w:r>
      <w:r w:rsidR="00FA0E94" w:rsidRPr="008B4DC9">
        <w:rPr>
          <w:rFonts w:ascii="Book Antiqua" w:eastAsia="Book Antiqua" w:hAnsi="Book Antiqua" w:cs="Book Antiqua"/>
          <w:color w:val="000000"/>
        </w:rPr>
        <w:t>”</w:t>
      </w:r>
      <w:r w:rsidRPr="008B4DC9">
        <w:rPr>
          <w:rFonts w:ascii="Book Antiqua" w:eastAsia="Book Antiqua" w:hAnsi="Book Antiqua" w:cs="Book Antiqua"/>
          <w:color w:val="000000"/>
        </w:rPr>
        <w:t xml:space="preserve"> for the individual patient. Despite good treatment options, low recognition of this entity leads to significant morbidity in these patients. Following review of published case reports, we present a practical overview of symptoms, laboratory findings, the accuracy of diagnostic modalities, and a potential treatment approach to facilitate diagnosis, and management of these patients. Finally, we highlight the striking collinearity with female hormone status in our patient, presenting a potential area of future research</w:t>
      </w:r>
      <w:r w:rsidR="009E2F7A" w:rsidRPr="008B4DC9">
        <w:rPr>
          <w:rFonts w:ascii="Book Antiqua" w:eastAsia="Book Antiqua" w:hAnsi="Book Antiqua" w:cs="Book Antiqua"/>
          <w:color w:val="000000"/>
        </w:rPr>
        <w:t xml:space="preserve"> (Figure 4)</w:t>
      </w:r>
      <w:r w:rsidRPr="008B4DC9">
        <w:rPr>
          <w:rFonts w:ascii="Book Antiqua" w:eastAsia="Book Antiqua" w:hAnsi="Book Antiqua" w:cs="Book Antiqua"/>
          <w:color w:val="000000"/>
        </w:rPr>
        <w:t>.</w:t>
      </w:r>
    </w:p>
    <w:bookmarkEnd w:id="43"/>
    <w:bookmarkEnd w:id="44"/>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REFERENCES</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 </w:t>
      </w:r>
      <w:r w:rsidRPr="008B4DC9">
        <w:rPr>
          <w:rFonts w:ascii="Book Antiqua" w:hAnsi="Book Antiqua"/>
          <w:b/>
          <w:bCs/>
        </w:rPr>
        <w:t>Waldmann TA</w:t>
      </w:r>
      <w:r w:rsidRPr="008B4DC9">
        <w:rPr>
          <w:rFonts w:ascii="Book Antiqua" w:hAnsi="Book Antiqua"/>
        </w:rPr>
        <w:t xml:space="preserve">, Steinfeld JL, Dutcher TF, Davidson JD, Gordon RS Jr. The role of the gastrointestinal system in "idiopathic hypoproteinemia". </w:t>
      </w:r>
      <w:r w:rsidRPr="008B4DC9">
        <w:rPr>
          <w:rFonts w:ascii="Book Antiqua" w:hAnsi="Book Antiqua"/>
          <w:i/>
          <w:iCs/>
        </w:rPr>
        <w:t>Gastroenterology</w:t>
      </w:r>
      <w:r w:rsidRPr="008B4DC9">
        <w:rPr>
          <w:rFonts w:ascii="Book Antiqua" w:hAnsi="Book Antiqua"/>
        </w:rPr>
        <w:t xml:space="preserve"> 1961; </w:t>
      </w:r>
      <w:r w:rsidRPr="008B4DC9">
        <w:rPr>
          <w:rFonts w:ascii="Book Antiqua" w:hAnsi="Book Antiqua"/>
          <w:b/>
          <w:bCs/>
        </w:rPr>
        <w:t>41</w:t>
      </w:r>
      <w:r w:rsidRPr="008B4DC9">
        <w:rPr>
          <w:rFonts w:ascii="Book Antiqua" w:hAnsi="Book Antiqua"/>
        </w:rPr>
        <w:t>: 197-207 [PMID: 13782654</w:t>
      </w:r>
      <w:r w:rsidR="00BB7159">
        <w:rPr>
          <w:rFonts w:ascii="Book Antiqua" w:hAnsi="Book Antiqua" w:hint="eastAsia"/>
          <w:lang w:eastAsia="zh-CN"/>
        </w:rPr>
        <w:t xml:space="preserve"> DOI: </w:t>
      </w:r>
      <w:r w:rsidR="00BB7159" w:rsidRPr="00BB7159">
        <w:rPr>
          <w:rFonts w:ascii="Book Antiqua" w:hAnsi="Book Antiqua"/>
          <w:lang w:eastAsia="zh-CN"/>
        </w:rPr>
        <w:t>10.1016/S0016-5085(19)35130-3</w:t>
      </w:r>
      <w:r w:rsidRPr="008B4DC9">
        <w:rPr>
          <w:rFonts w:ascii="Book Antiqua" w:hAnsi="Book Antiqua"/>
        </w:rPr>
        <w:t>]</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2 </w:t>
      </w:r>
      <w:r w:rsidRPr="008B4DC9">
        <w:rPr>
          <w:rFonts w:ascii="Book Antiqua" w:hAnsi="Book Antiqua"/>
          <w:b/>
          <w:bCs/>
        </w:rPr>
        <w:t>Levitt DG</w:t>
      </w:r>
      <w:r w:rsidRPr="008B4DC9">
        <w:rPr>
          <w:rFonts w:ascii="Book Antiqua" w:hAnsi="Book Antiqua"/>
        </w:rPr>
        <w:t xml:space="preserve">, Levitt MD. Protein losing enteropathy: comprehensive review of the mechanistic association with clinical and subclinical disease states. </w:t>
      </w:r>
      <w:r w:rsidRPr="008B4DC9">
        <w:rPr>
          <w:rFonts w:ascii="Book Antiqua" w:hAnsi="Book Antiqua"/>
          <w:i/>
          <w:iCs/>
        </w:rPr>
        <w:t>Clin Exp Gastroenterol</w:t>
      </w:r>
      <w:r w:rsidRPr="008B4DC9">
        <w:rPr>
          <w:rFonts w:ascii="Book Antiqua" w:hAnsi="Book Antiqua"/>
        </w:rPr>
        <w:t xml:space="preserve"> 2017; </w:t>
      </w:r>
      <w:r w:rsidRPr="008B4DC9">
        <w:rPr>
          <w:rFonts w:ascii="Book Antiqua" w:hAnsi="Book Antiqua"/>
          <w:b/>
          <w:bCs/>
        </w:rPr>
        <w:t>10</w:t>
      </w:r>
      <w:r w:rsidRPr="008B4DC9">
        <w:rPr>
          <w:rFonts w:ascii="Book Antiqua" w:hAnsi="Book Antiqua"/>
        </w:rPr>
        <w:t>: 147-168 [PMID: 28761367 DOI: 10.2147/CEG.S136803]</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3 </w:t>
      </w:r>
      <w:r w:rsidRPr="008B4DC9">
        <w:rPr>
          <w:rFonts w:ascii="Book Antiqua" w:hAnsi="Book Antiqua"/>
          <w:b/>
          <w:bCs/>
        </w:rPr>
        <w:t>Vignes S</w:t>
      </w:r>
      <w:r w:rsidRPr="008B4DC9">
        <w:rPr>
          <w:rFonts w:ascii="Book Antiqua" w:hAnsi="Book Antiqua"/>
        </w:rPr>
        <w:t xml:space="preserve">, Bellanger J. Primary intestinal lymphangiectasia (Waldmann's disease). </w:t>
      </w:r>
      <w:r w:rsidRPr="008B4DC9">
        <w:rPr>
          <w:rFonts w:ascii="Book Antiqua" w:hAnsi="Book Antiqua"/>
          <w:i/>
          <w:iCs/>
        </w:rPr>
        <w:t>Orphanet J Rare Dis</w:t>
      </w:r>
      <w:r w:rsidRPr="008B4DC9">
        <w:rPr>
          <w:rFonts w:ascii="Book Antiqua" w:hAnsi="Book Antiqua"/>
        </w:rPr>
        <w:t xml:space="preserve"> 2008; </w:t>
      </w:r>
      <w:r w:rsidRPr="008B4DC9">
        <w:rPr>
          <w:rFonts w:ascii="Book Antiqua" w:hAnsi="Book Antiqua"/>
          <w:b/>
          <w:bCs/>
        </w:rPr>
        <w:t>3</w:t>
      </w:r>
      <w:r w:rsidRPr="008B4DC9">
        <w:rPr>
          <w:rFonts w:ascii="Book Antiqua" w:hAnsi="Book Antiqua"/>
        </w:rPr>
        <w:t>: 5 [PMID: 18294365 DOI: 10.1186/1750-1172-3-5]</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 </w:t>
      </w:r>
      <w:r w:rsidRPr="008B4DC9">
        <w:rPr>
          <w:rFonts w:ascii="Book Antiqua" w:hAnsi="Book Antiqua"/>
          <w:b/>
          <w:bCs/>
        </w:rPr>
        <w:t>Freeman HJ</w:t>
      </w:r>
      <w:r w:rsidRPr="008B4DC9">
        <w:rPr>
          <w:rFonts w:ascii="Book Antiqua" w:hAnsi="Book Antiqua"/>
        </w:rPr>
        <w:t xml:space="preserve">, Nimmo M. Intestinal lymphangiectasia in adults. </w:t>
      </w:r>
      <w:r w:rsidRPr="008B4DC9">
        <w:rPr>
          <w:rFonts w:ascii="Book Antiqua" w:hAnsi="Book Antiqua"/>
          <w:i/>
          <w:iCs/>
        </w:rPr>
        <w:t>World J Gastrointest Oncol</w:t>
      </w:r>
      <w:r w:rsidRPr="008B4DC9">
        <w:rPr>
          <w:rFonts w:ascii="Book Antiqua" w:hAnsi="Book Antiqua"/>
        </w:rPr>
        <w:t xml:space="preserve"> 2011; </w:t>
      </w:r>
      <w:r w:rsidRPr="008B4DC9">
        <w:rPr>
          <w:rFonts w:ascii="Book Antiqua" w:hAnsi="Book Antiqua"/>
          <w:b/>
          <w:bCs/>
        </w:rPr>
        <w:t>3</w:t>
      </w:r>
      <w:r w:rsidRPr="008B4DC9">
        <w:rPr>
          <w:rFonts w:ascii="Book Antiqua" w:hAnsi="Book Antiqua"/>
        </w:rPr>
        <w:t>: 19-23 [PMID: 21364842 DOI: 10.4251/wjgo.v3.i2.19]</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 </w:t>
      </w:r>
      <w:r w:rsidRPr="008B4DC9">
        <w:rPr>
          <w:rFonts w:ascii="Book Antiqua" w:hAnsi="Book Antiqua"/>
          <w:b/>
          <w:bCs/>
        </w:rPr>
        <w:t>Lopez RN</w:t>
      </w:r>
      <w:r w:rsidRPr="008B4DC9">
        <w:rPr>
          <w:rFonts w:ascii="Book Antiqua" w:hAnsi="Book Antiqua"/>
        </w:rPr>
        <w:t xml:space="preserve">, Day AS. Primary intestinal lymphangiectasia in children: A review. </w:t>
      </w:r>
      <w:r w:rsidRPr="008B4DC9">
        <w:rPr>
          <w:rFonts w:ascii="Book Antiqua" w:hAnsi="Book Antiqua"/>
          <w:i/>
          <w:iCs/>
        </w:rPr>
        <w:t>J Paediatr Child Health</w:t>
      </w:r>
      <w:r w:rsidRPr="008B4DC9">
        <w:rPr>
          <w:rFonts w:ascii="Book Antiqua" w:hAnsi="Book Antiqua"/>
        </w:rPr>
        <w:t xml:space="preserve"> 2020; </w:t>
      </w:r>
      <w:r w:rsidRPr="008B4DC9">
        <w:rPr>
          <w:rFonts w:ascii="Book Antiqua" w:hAnsi="Book Antiqua"/>
          <w:b/>
          <w:bCs/>
        </w:rPr>
        <w:t>56</w:t>
      </w:r>
      <w:r w:rsidRPr="008B4DC9">
        <w:rPr>
          <w:rFonts w:ascii="Book Antiqua" w:hAnsi="Book Antiqua"/>
        </w:rPr>
        <w:t>: 1719-1723 [PMID: 32463559 DOI: 10.1111/jpc.14837]</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6 </w:t>
      </w:r>
      <w:r w:rsidRPr="008B4DC9">
        <w:rPr>
          <w:rFonts w:ascii="Book Antiqua" w:hAnsi="Book Antiqua"/>
          <w:b/>
          <w:bCs/>
        </w:rPr>
        <w:t>Samman PD,</w:t>
      </w:r>
      <w:r w:rsidRPr="008B4DC9">
        <w:rPr>
          <w:rFonts w:ascii="Book Antiqua" w:hAnsi="Book Antiqua"/>
        </w:rPr>
        <w:t xml:space="preserve"> White WF. The “Yellow Nail” Syndrome. </w:t>
      </w:r>
      <w:r w:rsidRPr="008B4DC9">
        <w:rPr>
          <w:rFonts w:ascii="Book Antiqua" w:hAnsi="Book Antiqua"/>
          <w:i/>
        </w:rPr>
        <w:t>Brit</w:t>
      </w:r>
      <w:r w:rsidR="00FF52C7">
        <w:rPr>
          <w:rFonts w:ascii="Book Antiqua" w:hAnsi="Book Antiqua"/>
          <w:i/>
        </w:rPr>
        <w:t xml:space="preserve"> </w:t>
      </w:r>
      <w:r w:rsidRPr="008B4DC9">
        <w:rPr>
          <w:rFonts w:ascii="Book Antiqua" w:hAnsi="Book Antiqua"/>
          <w:i/>
        </w:rPr>
        <w:t>J</w:t>
      </w:r>
      <w:r w:rsidR="00FF52C7">
        <w:rPr>
          <w:rFonts w:ascii="Book Antiqua" w:hAnsi="Book Antiqua"/>
          <w:i/>
        </w:rPr>
        <w:t xml:space="preserve"> </w:t>
      </w:r>
      <w:r w:rsidRPr="008B4DC9">
        <w:rPr>
          <w:rFonts w:ascii="Book Antiqua" w:hAnsi="Book Antiqua"/>
          <w:i/>
        </w:rPr>
        <w:t>Dermatol</w:t>
      </w:r>
      <w:r w:rsidR="00FF52C7">
        <w:rPr>
          <w:rFonts w:ascii="Book Antiqua" w:hAnsi="Book Antiqua"/>
          <w:i/>
        </w:rPr>
        <w:t xml:space="preserve"> </w:t>
      </w:r>
      <w:r w:rsidRPr="008B4DC9">
        <w:rPr>
          <w:rFonts w:ascii="Book Antiqua" w:hAnsi="Book Antiqua"/>
        </w:rPr>
        <w:t>1964;</w:t>
      </w:r>
      <w:r w:rsidRPr="008B4DC9">
        <w:rPr>
          <w:rFonts w:ascii="Book Antiqua" w:hAnsi="Book Antiqua"/>
          <w:b/>
        </w:rPr>
        <w:t xml:space="preserve"> 76</w:t>
      </w:r>
      <w:r w:rsidRPr="00E10211">
        <w:rPr>
          <w:rFonts w:ascii="Book Antiqua" w:hAnsi="Book Antiqua"/>
        </w:rPr>
        <w:t xml:space="preserve">: </w:t>
      </w:r>
      <w:r w:rsidRPr="008B4DC9">
        <w:rPr>
          <w:rFonts w:ascii="Book Antiqua" w:hAnsi="Book Antiqua"/>
        </w:rPr>
        <w:t>153-157 [DOI: 10.1111/j.1365-2133.1964.tb14499.x]</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lang w:val="de-AT"/>
        </w:rPr>
        <w:t xml:space="preserve">7 </w:t>
      </w:r>
      <w:r w:rsidRPr="008B4DC9">
        <w:rPr>
          <w:rFonts w:ascii="Book Antiqua" w:hAnsi="Book Antiqua"/>
          <w:b/>
          <w:bCs/>
          <w:lang w:val="de-AT"/>
        </w:rPr>
        <w:t>Hennekam RCM</w:t>
      </w:r>
      <w:r w:rsidRPr="00B05384">
        <w:rPr>
          <w:rFonts w:ascii="Book Antiqua" w:hAnsi="Book Antiqua"/>
          <w:bCs/>
          <w:lang w:val="de-AT"/>
        </w:rPr>
        <w:t>,</w:t>
      </w:r>
      <w:r w:rsidRPr="008B4DC9">
        <w:rPr>
          <w:rFonts w:ascii="Book Antiqua" w:hAnsi="Book Antiqua"/>
          <w:lang w:val="de-AT"/>
        </w:rPr>
        <w:t xml:space="preserve"> Geerdink RA, Hamel BCJ, Hennekam FAM, Kraus P, Rammeloo JA, Tillemans AAW. </w:t>
      </w:r>
      <w:r w:rsidRPr="008B4DC9">
        <w:rPr>
          <w:rFonts w:ascii="Book Antiqua" w:hAnsi="Book Antiqua"/>
        </w:rPr>
        <w:t xml:space="preserve">Autosomal recessive intestinal lymphangiectasia and lymphedema, with facial anomalies and mental retardation. </w:t>
      </w:r>
      <w:r w:rsidRPr="008B4DC9">
        <w:rPr>
          <w:rFonts w:ascii="Book Antiqua" w:hAnsi="Book Antiqua"/>
          <w:i/>
        </w:rPr>
        <w:t>Am</w:t>
      </w:r>
      <w:r w:rsidR="007D520A">
        <w:rPr>
          <w:rFonts w:ascii="Book Antiqua" w:hAnsi="Book Antiqua"/>
          <w:i/>
        </w:rPr>
        <w:t xml:space="preserve"> </w:t>
      </w:r>
      <w:r w:rsidRPr="008B4DC9">
        <w:rPr>
          <w:rFonts w:ascii="Book Antiqua" w:hAnsi="Book Antiqua"/>
          <w:i/>
        </w:rPr>
        <w:t>J</w:t>
      </w:r>
      <w:r w:rsidR="007D520A">
        <w:rPr>
          <w:rFonts w:ascii="Book Antiqua" w:hAnsi="Book Antiqua"/>
          <w:i/>
        </w:rPr>
        <w:t xml:space="preserve"> </w:t>
      </w:r>
      <w:r w:rsidRPr="008B4DC9">
        <w:rPr>
          <w:rFonts w:ascii="Book Antiqua" w:hAnsi="Book Antiqua"/>
          <w:i/>
        </w:rPr>
        <w:t>Med</w:t>
      </w:r>
      <w:r w:rsidR="007D520A">
        <w:rPr>
          <w:rFonts w:ascii="Book Antiqua" w:hAnsi="Book Antiqua"/>
          <w:i/>
        </w:rPr>
        <w:t xml:space="preserve"> </w:t>
      </w:r>
      <w:r w:rsidRPr="008B4DC9">
        <w:rPr>
          <w:rFonts w:ascii="Book Antiqua" w:hAnsi="Book Antiqua"/>
          <w:i/>
        </w:rPr>
        <w:t>Genet</w:t>
      </w:r>
      <w:r w:rsidR="007D520A">
        <w:rPr>
          <w:rFonts w:ascii="Book Antiqua" w:hAnsi="Book Antiqua"/>
          <w:i/>
        </w:rPr>
        <w:t xml:space="preserve"> </w:t>
      </w:r>
      <w:r w:rsidRPr="008B4DC9">
        <w:rPr>
          <w:rFonts w:ascii="Book Antiqua" w:hAnsi="Book Antiqua"/>
        </w:rPr>
        <w:t xml:space="preserve">1989; </w:t>
      </w:r>
      <w:r w:rsidRPr="008B4DC9">
        <w:rPr>
          <w:rFonts w:ascii="Book Antiqua" w:hAnsi="Book Antiqua"/>
          <w:b/>
        </w:rPr>
        <w:t>34</w:t>
      </w:r>
      <w:r w:rsidRPr="00E10211">
        <w:rPr>
          <w:rFonts w:ascii="Book Antiqua" w:hAnsi="Book Antiqua"/>
        </w:rPr>
        <w:t xml:space="preserve">: </w:t>
      </w:r>
      <w:r w:rsidRPr="008B4DC9">
        <w:rPr>
          <w:rFonts w:ascii="Book Antiqua" w:hAnsi="Book Antiqua"/>
        </w:rPr>
        <w:t>593-600 [</w:t>
      </w:r>
      <w:r w:rsidR="00416AD1" w:rsidRPr="00416AD1">
        <w:rPr>
          <w:rFonts w:ascii="Book Antiqua" w:hAnsi="Book Antiqua"/>
        </w:rPr>
        <w:t>PMID: 2624276 DOI: 10.1002/ajmg.1320340429</w:t>
      </w:r>
      <w:r w:rsidRPr="008B4DC9">
        <w:rPr>
          <w:rFonts w:ascii="Book Antiqua" w:hAnsi="Book Antiqua"/>
        </w:rPr>
        <w:t>]</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8 </w:t>
      </w:r>
      <w:r w:rsidRPr="008B4DC9">
        <w:rPr>
          <w:rFonts w:ascii="Book Antiqua" w:hAnsi="Book Antiqua"/>
          <w:b/>
          <w:bCs/>
        </w:rPr>
        <w:t>Singh AK</w:t>
      </w:r>
      <w:r w:rsidRPr="008B4DC9">
        <w:rPr>
          <w:rFonts w:ascii="Book Antiqua" w:hAnsi="Book Antiqua"/>
        </w:rPr>
        <w:t xml:space="preserve">, Zameer A, Sood R, Verma S, Samanta J, Bal A, Sinha SK, Kochhar R. Chronic diarrhea with white colon: Primary Intestinal lymphangiectasia. </w:t>
      </w:r>
      <w:r w:rsidRPr="008B4DC9">
        <w:rPr>
          <w:rFonts w:ascii="Book Antiqua" w:hAnsi="Book Antiqua"/>
          <w:i/>
          <w:iCs/>
        </w:rPr>
        <w:t>QJM</w:t>
      </w:r>
      <w:r w:rsidRPr="008B4DC9">
        <w:rPr>
          <w:rFonts w:ascii="Book Antiqua" w:hAnsi="Book Antiqua"/>
        </w:rPr>
        <w:t xml:space="preserve"> 2020 [PMID: 32330275 DOI: 10.1093/qjmed/hcaa139]</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9 </w:t>
      </w:r>
      <w:r w:rsidRPr="008B4DC9">
        <w:rPr>
          <w:rFonts w:ascii="Book Antiqua" w:hAnsi="Book Antiqua"/>
          <w:b/>
          <w:bCs/>
        </w:rPr>
        <w:t>Crutzen B</w:t>
      </w:r>
      <w:r w:rsidRPr="008B4DC9">
        <w:rPr>
          <w:rFonts w:ascii="Book Antiqua" w:hAnsi="Book Antiqua"/>
        </w:rPr>
        <w:t xml:space="preserve">, Poncelet PA. Protein-Losing Enteropathy in Primary Lymphangiectasia. </w:t>
      </w:r>
      <w:r w:rsidRPr="008B4DC9">
        <w:rPr>
          <w:rFonts w:ascii="Book Antiqua" w:hAnsi="Book Antiqua"/>
          <w:i/>
          <w:iCs/>
        </w:rPr>
        <w:t>J Belg Soc Radiol</w:t>
      </w:r>
      <w:r w:rsidRPr="008B4DC9">
        <w:rPr>
          <w:rFonts w:ascii="Book Antiqua" w:hAnsi="Book Antiqua"/>
        </w:rPr>
        <w:t xml:space="preserve"> 2020; </w:t>
      </w:r>
      <w:r w:rsidRPr="008B4DC9">
        <w:rPr>
          <w:rFonts w:ascii="Book Antiqua" w:hAnsi="Book Antiqua"/>
          <w:b/>
          <w:bCs/>
        </w:rPr>
        <w:t>104</w:t>
      </w:r>
      <w:r w:rsidRPr="008B4DC9">
        <w:rPr>
          <w:rFonts w:ascii="Book Antiqua" w:hAnsi="Book Antiqua"/>
        </w:rPr>
        <w:t>: 34 [PMID: 32676544 DOI: 10.5334/jbsr.2136]</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10 </w:t>
      </w:r>
      <w:r w:rsidRPr="008B4DC9">
        <w:rPr>
          <w:rFonts w:ascii="Book Antiqua" w:hAnsi="Book Antiqua"/>
          <w:b/>
          <w:bCs/>
        </w:rPr>
        <w:t>Tseng YJ</w:t>
      </w:r>
      <w:r w:rsidRPr="008B4DC9">
        <w:rPr>
          <w:rFonts w:ascii="Book Antiqua" w:hAnsi="Book Antiqua"/>
        </w:rPr>
        <w:t xml:space="preserve">, Ding WQ, Luo ZG. Protein-losing enteropathy and primary intestinal lymphangiectasia. </w:t>
      </w:r>
      <w:r w:rsidRPr="008B4DC9">
        <w:rPr>
          <w:rFonts w:ascii="Book Antiqua" w:hAnsi="Book Antiqua"/>
          <w:i/>
          <w:iCs/>
        </w:rPr>
        <w:t>QJM</w:t>
      </w:r>
      <w:r w:rsidRPr="008B4DC9">
        <w:rPr>
          <w:rFonts w:ascii="Book Antiqua" w:hAnsi="Book Antiqua"/>
        </w:rPr>
        <w:t xml:space="preserve"> 2020; </w:t>
      </w:r>
      <w:r w:rsidRPr="008B4DC9">
        <w:rPr>
          <w:rFonts w:ascii="Book Antiqua" w:hAnsi="Book Antiqua"/>
          <w:b/>
          <w:bCs/>
        </w:rPr>
        <w:t>113</w:t>
      </w:r>
      <w:r w:rsidRPr="008B4DC9">
        <w:rPr>
          <w:rFonts w:ascii="Book Antiqua" w:hAnsi="Book Antiqua"/>
        </w:rPr>
        <w:t>: 224-225 [PMID: 31309229 DOI: 10.1093/qjmed/hcz177]</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11 </w:t>
      </w:r>
      <w:r w:rsidRPr="008B4DC9">
        <w:rPr>
          <w:rFonts w:ascii="Book Antiqua" w:hAnsi="Book Antiqua"/>
          <w:b/>
          <w:bCs/>
        </w:rPr>
        <w:t>Tominaga K</w:t>
      </w:r>
      <w:r w:rsidRPr="00117C0B">
        <w:rPr>
          <w:rFonts w:ascii="Book Antiqua" w:hAnsi="Book Antiqua"/>
          <w:bCs/>
        </w:rPr>
        <w:t>,</w:t>
      </w:r>
      <w:r w:rsidRPr="008B4DC9">
        <w:rPr>
          <w:rFonts w:ascii="Book Antiqua" w:hAnsi="Book Antiqua"/>
        </w:rPr>
        <w:t xml:space="preserve"> Tsuchiya A, Kawata Y, Yokoyama J, Terai S. Novel Magnified Single-Balloon Enteroscopy Enables Observation of Jejunal White Spots Associated with Lymphangiectasia. </w:t>
      </w:r>
      <w:r w:rsidRPr="008B4DC9">
        <w:rPr>
          <w:rFonts w:ascii="Book Antiqua" w:hAnsi="Book Antiqua"/>
          <w:i/>
        </w:rPr>
        <w:t>Dig</w:t>
      </w:r>
      <w:r w:rsidR="00FF7044">
        <w:rPr>
          <w:rFonts w:ascii="Book Antiqua" w:hAnsi="Book Antiqua"/>
          <w:i/>
        </w:rPr>
        <w:t xml:space="preserve"> </w:t>
      </w:r>
      <w:r w:rsidRPr="008B4DC9">
        <w:rPr>
          <w:rFonts w:ascii="Book Antiqua" w:hAnsi="Book Antiqua"/>
          <w:i/>
        </w:rPr>
        <w:t>Dis</w:t>
      </w:r>
      <w:r w:rsidR="00043CC0">
        <w:rPr>
          <w:rFonts w:ascii="Book Antiqua" w:hAnsi="Book Antiqua"/>
          <w:i/>
        </w:rPr>
        <w:t xml:space="preserve"> </w:t>
      </w:r>
      <w:r w:rsidRPr="008B4DC9">
        <w:rPr>
          <w:rFonts w:ascii="Book Antiqua" w:hAnsi="Book Antiqua"/>
        </w:rPr>
        <w:t xml:space="preserve">2019; </w:t>
      </w:r>
      <w:r w:rsidRPr="008B4DC9">
        <w:rPr>
          <w:rFonts w:ascii="Book Antiqua" w:hAnsi="Book Antiqua"/>
          <w:b/>
        </w:rPr>
        <w:t>37</w:t>
      </w:r>
      <w:r w:rsidRPr="00043CC0">
        <w:rPr>
          <w:rFonts w:ascii="Book Antiqua" w:hAnsi="Book Antiqua"/>
        </w:rPr>
        <w:t xml:space="preserve">: </w:t>
      </w:r>
      <w:r w:rsidRPr="008B4DC9">
        <w:rPr>
          <w:rFonts w:ascii="Book Antiqua" w:hAnsi="Book Antiqua"/>
        </w:rPr>
        <w:t>170-174 [</w:t>
      </w:r>
      <w:r w:rsidR="00FF7044" w:rsidRPr="00FF7044">
        <w:rPr>
          <w:rFonts w:ascii="Book Antiqua" w:hAnsi="Book Antiqua"/>
        </w:rPr>
        <w:t>PMID: 30466073 DOI: 10.1159/000493578</w:t>
      </w:r>
      <w:r w:rsidRPr="008B4DC9">
        <w:rPr>
          <w:rFonts w:ascii="Book Antiqua" w:hAnsi="Book Antiqua"/>
        </w:rPr>
        <w:t>]</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12 </w:t>
      </w:r>
      <w:r w:rsidRPr="008B4DC9">
        <w:rPr>
          <w:rFonts w:ascii="Book Antiqua" w:hAnsi="Book Antiqua"/>
          <w:b/>
          <w:bCs/>
        </w:rPr>
        <w:t>Zafar Y</w:t>
      </w:r>
      <w:r w:rsidRPr="008B4DC9">
        <w:rPr>
          <w:rFonts w:ascii="Book Antiqua" w:hAnsi="Book Antiqua"/>
        </w:rPr>
        <w:t xml:space="preserve">, Gondi KT, Tamimi T, Colson J, Lankachandra K, El-Halawany H. Primary Intestinal Lymphangiectasia Causing Intussusception and Small Bowel Obstruction. </w:t>
      </w:r>
      <w:r w:rsidRPr="008B4DC9">
        <w:rPr>
          <w:rFonts w:ascii="Book Antiqua" w:hAnsi="Book Antiqua"/>
          <w:i/>
          <w:iCs/>
        </w:rPr>
        <w:t>ACG Case Rep J</w:t>
      </w:r>
      <w:r w:rsidRPr="008B4DC9">
        <w:rPr>
          <w:rFonts w:ascii="Book Antiqua" w:hAnsi="Book Antiqua"/>
        </w:rPr>
        <w:t xml:space="preserve"> 2019; </w:t>
      </w:r>
      <w:r w:rsidRPr="008B4DC9">
        <w:rPr>
          <w:rFonts w:ascii="Book Antiqua" w:hAnsi="Book Antiqua"/>
          <w:b/>
          <w:bCs/>
        </w:rPr>
        <w:t>6</w:t>
      </w:r>
      <w:r w:rsidRPr="008B4DC9">
        <w:rPr>
          <w:rFonts w:ascii="Book Antiqua" w:hAnsi="Book Antiqua"/>
        </w:rPr>
        <w:t>: e00233 [PMID: 31832461 DOI: 10.14309/crj.0000000000000233]</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13 </w:t>
      </w:r>
      <w:r w:rsidRPr="008B4DC9">
        <w:rPr>
          <w:rFonts w:ascii="Book Antiqua" w:hAnsi="Book Antiqua"/>
          <w:b/>
          <w:bCs/>
        </w:rPr>
        <w:t>Cappell MS</w:t>
      </w:r>
      <w:r w:rsidRPr="008B4DC9">
        <w:rPr>
          <w:rFonts w:ascii="Book Antiqua" w:hAnsi="Book Antiqua"/>
        </w:rPr>
        <w:t xml:space="preserve">, Edhi A, Amin M. Case report of primary intestinal lymphangiectasia diagnosed in an octogenarian by ileal intubation and by push enteroscopy after missed diagnosis by standard colonoscopy and EGD. </w:t>
      </w:r>
      <w:r w:rsidRPr="008B4DC9">
        <w:rPr>
          <w:rFonts w:ascii="Book Antiqua" w:hAnsi="Book Antiqua"/>
          <w:i/>
          <w:iCs/>
        </w:rPr>
        <w:t>Medicine (Baltimore)</w:t>
      </w:r>
      <w:r w:rsidRPr="008B4DC9">
        <w:rPr>
          <w:rFonts w:ascii="Book Antiqua" w:hAnsi="Book Antiqua"/>
        </w:rPr>
        <w:t xml:space="preserve"> 2018; </w:t>
      </w:r>
      <w:r w:rsidRPr="008B4DC9">
        <w:rPr>
          <w:rFonts w:ascii="Book Antiqua" w:hAnsi="Book Antiqua"/>
          <w:b/>
          <w:bCs/>
        </w:rPr>
        <w:t>97</w:t>
      </w:r>
      <w:r w:rsidRPr="008B4DC9">
        <w:rPr>
          <w:rFonts w:ascii="Book Antiqua" w:hAnsi="Book Antiqua"/>
        </w:rPr>
        <w:t>: e9649 [PMID: 29505002 DOI: 10.1097/MD.0000000000009649]</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14 </w:t>
      </w:r>
      <w:r w:rsidRPr="008B4DC9">
        <w:rPr>
          <w:rFonts w:ascii="Book Antiqua" w:hAnsi="Book Antiqua"/>
          <w:b/>
          <w:bCs/>
        </w:rPr>
        <w:t>Altın Z</w:t>
      </w:r>
      <w:r w:rsidRPr="008B4DC9">
        <w:rPr>
          <w:rFonts w:ascii="Book Antiqua" w:hAnsi="Book Antiqua"/>
        </w:rPr>
        <w:t xml:space="preserve">, Atabay Y, Özer S, Karakoyun M, Ekmekçi S, Yürekli EY, Akar H. Primary intestinal lymphangiectasia and a review of the current literature. </w:t>
      </w:r>
      <w:r w:rsidRPr="008B4DC9">
        <w:rPr>
          <w:rFonts w:ascii="Book Antiqua" w:hAnsi="Book Antiqua"/>
          <w:i/>
          <w:iCs/>
        </w:rPr>
        <w:t>Turk J Gastroenterol</w:t>
      </w:r>
      <w:r w:rsidRPr="008B4DC9">
        <w:rPr>
          <w:rFonts w:ascii="Book Antiqua" w:hAnsi="Book Antiqua"/>
        </w:rPr>
        <w:t xml:space="preserve"> 2018; </w:t>
      </w:r>
      <w:r w:rsidRPr="008B4DC9">
        <w:rPr>
          <w:rFonts w:ascii="Book Antiqua" w:hAnsi="Book Antiqua"/>
          <w:b/>
          <w:bCs/>
        </w:rPr>
        <w:t>29</w:t>
      </w:r>
      <w:r w:rsidRPr="008B4DC9">
        <w:rPr>
          <w:rFonts w:ascii="Book Antiqua" w:hAnsi="Book Antiqua"/>
        </w:rPr>
        <w:t>: 714-716 [PMID: 30381277 DOI: 10.5152/tjg.2018.18596]</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15 </w:t>
      </w:r>
      <w:r w:rsidRPr="008B4DC9">
        <w:rPr>
          <w:rFonts w:ascii="Book Antiqua" w:hAnsi="Book Antiqua"/>
          <w:b/>
          <w:bCs/>
        </w:rPr>
        <w:t>Martins CR</w:t>
      </w:r>
      <w:r w:rsidRPr="008B4DC9">
        <w:rPr>
          <w:rFonts w:ascii="Book Antiqua" w:hAnsi="Book Antiqua"/>
        </w:rPr>
        <w:t xml:space="preserve">, Gagnaire A, Rostain F, Lepage C. Waldmann's disease: a rare cause of protein losing enteropathy in an adult patient. </w:t>
      </w:r>
      <w:r w:rsidRPr="008B4DC9">
        <w:rPr>
          <w:rFonts w:ascii="Book Antiqua" w:hAnsi="Book Antiqua"/>
          <w:i/>
          <w:iCs/>
        </w:rPr>
        <w:t>Rev Esp Enferm Dig</w:t>
      </w:r>
      <w:r w:rsidRPr="008B4DC9">
        <w:rPr>
          <w:rFonts w:ascii="Book Antiqua" w:hAnsi="Book Antiqua"/>
        </w:rPr>
        <w:t xml:space="preserve"> 2017; </w:t>
      </w:r>
      <w:r w:rsidRPr="008B4DC9">
        <w:rPr>
          <w:rFonts w:ascii="Book Antiqua" w:hAnsi="Book Antiqua"/>
          <w:b/>
          <w:bCs/>
        </w:rPr>
        <w:t>109</w:t>
      </w:r>
      <w:r w:rsidRPr="008B4DC9">
        <w:rPr>
          <w:rFonts w:ascii="Book Antiqua" w:hAnsi="Book Antiqua"/>
        </w:rPr>
        <w:t>: 385-388 [PMID: 28376626 DOI: 10.17235/reed.2017.4593/2016]</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16 </w:t>
      </w:r>
      <w:r w:rsidRPr="008B4DC9">
        <w:rPr>
          <w:rFonts w:ascii="Book Antiqua" w:hAnsi="Book Antiqua"/>
          <w:b/>
          <w:bCs/>
        </w:rPr>
        <w:t>Lu J</w:t>
      </w:r>
      <w:r w:rsidRPr="008B4DC9">
        <w:rPr>
          <w:rFonts w:ascii="Book Antiqua" w:hAnsi="Book Antiqua"/>
        </w:rPr>
        <w:t xml:space="preserve">, Zhai H. Exacerbation of primary intestinal lymphangiectasia during late pregnancy and recovery after delivery: A case report and literature review. </w:t>
      </w:r>
      <w:r w:rsidRPr="008B4DC9">
        <w:rPr>
          <w:rFonts w:ascii="Book Antiqua" w:hAnsi="Book Antiqua"/>
          <w:i/>
          <w:iCs/>
        </w:rPr>
        <w:t>Medicine (Baltimore)</w:t>
      </w:r>
      <w:r w:rsidRPr="008B4DC9">
        <w:rPr>
          <w:rFonts w:ascii="Book Antiqua" w:hAnsi="Book Antiqua"/>
        </w:rPr>
        <w:t xml:space="preserve"> 2017; </w:t>
      </w:r>
      <w:r w:rsidRPr="008B4DC9">
        <w:rPr>
          <w:rFonts w:ascii="Book Antiqua" w:hAnsi="Book Antiqua"/>
          <w:b/>
          <w:bCs/>
        </w:rPr>
        <w:t>96</w:t>
      </w:r>
      <w:r w:rsidRPr="008B4DC9">
        <w:rPr>
          <w:rFonts w:ascii="Book Antiqua" w:hAnsi="Book Antiqua"/>
        </w:rPr>
        <w:t>: e7928 [PMID: 28858117 DOI: 10.1097/MD.0000000000007928]</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17 </w:t>
      </w:r>
      <w:r w:rsidRPr="008B4DC9">
        <w:rPr>
          <w:rFonts w:ascii="Book Antiqua" w:hAnsi="Book Antiqua"/>
          <w:b/>
          <w:bCs/>
        </w:rPr>
        <w:t>Huber X</w:t>
      </w:r>
      <w:r w:rsidRPr="008B4DC9">
        <w:rPr>
          <w:rFonts w:ascii="Book Antiqua" w:hAnsi="Book Antiqua"/>
        </w:rPr>
        <w:t xml:space="preserve">, Degen L, Muenst S, Trendelenburg M. Primary intestinal lymphangiectasia in an elderly female patient: A case report on a rare cause of secondary immunodeficiency. </w:t>
      </w:r>
      <w:r w:rsidRPr="008B4DC9">
        <w:rPr>
          <w:rFonts w:ascii="Book Antiqua" w:hAnsi="Book Antiqua"/>
          <w:i/>
          <w:iCs/>
        </w:rPr>
        <w:t>Medicine (Baltimore)</w:t>
      </w:r>
      <w:r w:rsidRPr="008B4DC9">
        <w:rPr>
          <w:rFonts w:ascii="Book Antiqua" w:hAnsi="Book Antiqua"/>
        </w:rPr>
        <w:t xml:space="preserve"> 2017; </w:t>
      </w:r>
      <w:r w:rsidRPr="008B4DC9">
        <w:rPr>
          <w:rFonts w:ascii="Book Antiqua" w:hAnsi="Book Antiqua"/>
          <w:b/>
          <w:bCs/>
        </w:rPr>
        <w:t>96</w:t>
      </w:r>
      <w:r w:rsidRPr="008B4DC9">
        <w:rPr>
          <w:rFonts w:ascii="Book Antiqua" w:hAnsi="Book Antiqua"/>
        </w:rPr>
        <w:t>: e7729 [PMID: 28767614 DOI: 10.1097/MD.0000000000007729]</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18 </w:t>
      </w:r>
      <w:r w:rsidRPr="008B4DC9">
        <w:rPr>
          <w:rFonts w:ascii="Book Antiqua" w:hAnsi="Book Antiqua"/>
          <w:b/>
          <w:bCs/>
        </w:rPr>
        <w:t>Balaban VD</w:t>
      </w:r>
      <w:r w:rsidRPr="008B4DC9">
        <w:rPr>
          <w:rFonts w:ascii="Book Antiqua" w:hAnsi="Book Antiqua"/>
        </w:rPr>
        <w:t xml:space="preserve">, Popp A, Grasu M, Vasilescu F, Jinga M. Severe Refractory Anemia in Primary Intestinal Lymphangiectasia. A Case Report. </w:t>
      </w:r>
      <w:r w:rsidRPr="008B4DC9">
        <w:rPr>
          <w:rFonts w:ascii="Book Antiqua" w:hAnsi="Book Antiqua"/>
          <w:i/>
          <w:iCs/>
        </w:rPr>
        <w:t>J Gastrointestin Liver Dis</w:t>
      </w:r>
      <w:r w:rsidRPr="008B4DC9">
        <w:rPr>
          <w:rFonts w:ascii="Book Antiqua" w:hAnsi="Book Antiqua"/>
        </w:rPr>
        <w:t xml:space="preserve"> 2015; </w:t>
      </w:r>
      <w:r w:rsidRPr="008B4DC9">
        <w:rPr>
          <w:rFonts w:ascii="Book Antiqua" w:hAnsi="Book Antiqua"/>
          <w:b/>
          <w:bCs/>
        </w:rPr>
        <w:t>24</w:t>
      </w:r>
      <w:r w:rsidRPr="008B4DC9">
        <w:rPr>
          <w:rFonts w:ascii="Book Antiqua" w:hAnsi="Book Antiqua"/>
        </w:rPr>
        <w:t>: 369-373 [PMID: 26405709 DOI: 10.15403/jgld.2014.1121.243.bal]</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19 </w:t>
      </w:r>
      <w:r w:rsidRPr="008B4DC9">
        <w:rPr>
          <w:rFonts w:ascii="Book Antiqua" w:hAnsi="Book Antiqua"/>
          <w:b/>
          <w:bCs/>
        </w:rPr>
        <w:t>Lee SJ</w:t>
      </w:r>
      <w:r w:rsidRPr="008B4DC9">
        <w:rPr>
          <w:rFonts w:ascii="Book Antiqua" w:hAnsi="Book Antiqua"/>
        </w:rPr>
        <w:t xml:space="preserve">, Song HJ, Boo SJ, Na SY, Kim HU, Hyun CL. Primary intestinal lymphangiectasia with generalized warts. </w:t>
      </w:r>
      <w:r w:rsidRPr="008B4DC9">
        <w:rPr>
          <w:rFonts w:ascii="Book Antiqua" w:hAnsi="Book Antiqua"/>
          <w:i/>
          <w:iCs/>
        </w:rPr>
        <w:t>World J Gastroenterol</w:t>
      </w:r>
      <w:r w:rsidRPr="008B4DC9">
        <w:rPr>
          <w:rFonts w:ascii="Book Antiqua" w:hAnsi="Book Antiqua"/>
        </w:rPr>
        <w:t xml:space="preserve"> 2015; </w:t>
      </w:r>
      <w:r w:rsidRPr="008B4DC9">
        <w:rPr>
          <w:rFonts w:ascii="Book Antiqua" w:hAnsi="Book Antiqua"/>
          <w:b/>
          <w:bCs/>
        </w:rPr>
        <w:t>21</w:t>
      </w:r>
      <w:r w:rsidRPr="008B4DC9">
        <w:rPr>
          <w:rFonts w:ascii="Book Antiqua" w:hAnsi="Book Antiqua"/>
        </w:rPr>
        <w:t>: 8467-8472 [PMID: 26217101 DOI: 10.3748/wjg.v21.i27.8467]</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20 </w:t>
      </w:r>
      <w:r w:rsidRPr="008B4DC9">
        <w:rPr>
          <w:rFonts w:ascii="Book Antiqua" w:hAnsi="Book Antiqua"/>
          <w:b/>
          <w:bCs/>
        </w:rPr>
        <w:t>El-Etreby SA</w:t>
      </w:r>
      <w:r w:rsidRPr="008B4DC9">
        <w:rPr>
          <w:rFonts w:ascii="Book Antiqua" w:hAnsi="Book Antiqua"/>
        </w:rPr>
        <w:t xml:space="preserve">, Altonbary AY, Sorogy ME, Elkashef W, Mazroa JA, Bahgat MH. Anaemia in Waldmann's disease: A rare presentation of a rare disease. </w:t>
      </w:r>
      <w:r w:rsidRPr="008B4DC9">
        <w:rPr>
          <w:rFonts w:ascii="Book Antiqua" w:hAnsi="Book Antiqua"/>
          <w:i/>
          <w:iCs/>
        </w:rPr>
        <w:t>World J Gastrointest Endosc</w:t>
      </w:r>
      <w:r w:rsidRPr="008B4DC9">
        <w:rPr>
          <w:rFonts w:ascii="Book Antiqua" w:hAnsi="Book Antiqua"/>
        </w:rPr>
        <w:t xml:space="preserve"> 2015; </w:t>
      </w:r>
      <w:r w:rsidRPr="008B4DC9">
        <w:rPr>
          <w:rFonts w:ascii="Book Antiqua" w:hAnsi="Book Antiqua"/>
          <w:b/>
          <w:bCs/>
        </w:rPr>
        <w:t>7</w:t>
      </w:r>
      <w:r w:rsidRPr="008B4DC9">
        <w:rPr>
          <w:rFonts w:ascii="Book Antiqua" w:hAnsi="Book Antiqua"/>
        </w:rPr>
        <w:t>: 567-572 [PMID: 25992197 DOI: 10.4253/wjge.v7.i5.567]</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21 </w:t>
      </w:r>
      <w:r w:rsidRPr="008B4DC9">
        <w:rPr>
          <w:rFonts w:ascii="Book Antiqua" w:hAnsi="Book Antiqua"/>
          <w:b/>
          <w:bCs/>
        </w:rPr>
        <w:t>Huber T</w:t>
      </w:r>
      <w:r w:rsidRPr="008B4DC9">
        <w:rPr>
          <w:rFonts w:ascii="Book Antiqua" w:hAnsi="Book Antiqua"/>
        </w:rPr>
        <w:t xml:space="preserve">, Paschold M, Eckardt AJ, Lang H, Kneist W. Surgical therapy of primary intestinal lymphangiectasia in adults. </w:t>
      </w:r>
      <w:r w:rsidRPr="008B4DC9">
        <w:rPr>
          <w:rFonts w:ascii="Book Antiqua" w:hAnsi="Book Antiqua"/>
          <w:i/>
          <w:iCs/>
        </w:rPr>
        <w:t>J Surg Case Rep</w:t>
      </w:r>
      <w:r w:rsidRPr="008B4DC9">
        <w:rPr>
          <w:rFonts w:ascii="Book Antiqua" w:hAnsi="Book Antiqua"/>
        </w:rPr>
        <w:t xml:space="preserve"> 2015; </w:t>
      </w:r>
      <w:r w:rsidRPr="008B4DC9">
        <w:rPr>
          <w:rFonts w:ascii="Book Antiqua" w:hAnsi="Book Antiqua"/>
          <w:b/>
          <w:bCs/>
        </w:rPr>
        <w:t>2015</w:t>
      </w:r>
      <w:r w:rsidRPr="008B4DC9">
        <w:rPr>
          <w:rFonts w:ascii="Book Antiqua" w:hAnsi="Book Antiqua"/>
        </w:rPr>
        <w:t>: [PMID: 26169531 DOI: 10.1093/jscr/rjv081]</w:t>
      </w:r>
    </w:p>
    <w:p w:rsidR="009A6057" w:rsidRPr="008B4DC9" w:rsidRDefault="009A6057" w:rsidP="008B4DC9">
      <w:pPr>
        <w:snapToGrid w:val="0"/>
        <w:spacing w:line="360" w:lineRule="auto"/>
        <w:jc w:val="both"/>
        <w:rPr>
          <w:rFonts w:ascii="Book Antiqua" w:hAnsi="Book Antiqua"/>
        </w:rPr>
      </w:pPr>
      <w:r w:rsidRPr="00874288">
        <w:rPr>
          <w:rFonts w:ascii="Book Antiqua" w:hAnsi="Book Antiqua"/>
          <w:lang w:val="de-AT"/>
        </w:rPr>
        <w:t xml:space="preserve">22 </w:t>
      </w:r>
      <w:r w:rsidRPr="00874288">
        <w:rPr>
          <w:rFonts w:ascii="Book Antiqua" w:hAnsi="Book Antiqua"/>
          <w:b/>
          <w:bCs/>
          <w:lang w:val="de-AT"/>
        </w:rPr>
        <w:t>Raithel M</w:t>
      </w:r>
      <w:r w:rsidRPr="00874288">
        <w:rPr>
          <w:rFonts w:ascii="Book Antiqua" w:hAnsi="Book Antiqua"/>
          <w:lang w:val="de-AT"/>
        </w:rPr>
        <w:t xml:space="preserve">, Rau TT, Hagel AF, Albrecht H, de Rossi T, Kirchner T, Hahn EG. </w:t>
      </w:r>
      <w:r w:rsidRPr="008B4DC9">
        <w:rPr>
          <w:rFonts w:ascii="Book Antiqua" w:hAnsi="Book Antiqua"/>
        </w:rPr>
        <w:t xml:space="preserve">Jejunitis and brown bowel syndrome with multifocal carcinogenesis of the small bowel. </w:t>
      </w:r>
      <w:r w:rsidRPr="008B4DC9">
        <w:rPr>
          <w:rFonts w:ascii="Book Antiqua" w:hAnsi="Book Antiqua"/>
          <w:i/>
          <w:iCs/>
        </w:rPr>
        <w:t>World J Gastroenterol</w:t>
      </w:r>
      <w:r w:rsidRPr="008B4DC9">
        <w:rPr>
          <w:rFonts w:ascii="Book Antiqua" w:hAnsi="Book Antiqua"/>
        </w:rPr>
        <w:t xml:space="preserve"> 2015; </w:t>
      </w:r>
      <w:r w:rsidRPr="008B4DC9">
        <w:rPr>
          <w:rFonts w:ascii="Book Antiqua" w:hAnsi="Book Antiqua"/>
          <w:b/>
          <w:bCs/>
        </w:rPr>
        <w:t>21</w:t>
      </w:r>
      <w:r w:rsidRPr="008B4DC9">
        <w:rPr>
          <w:rFonts w:ascii="Book Antiqua" w:hAnsi="Book Antiqua"/>
        </w:rPr>
        <w:t>: 10461-10467 [PMID: 26420973 DOI: 10.3748/wjg.v21.i36.10461]</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23 </w:t>
      </w:r>
      <w:r w:rsidRPr="008B4DC9">
        <w:rPr>
          <w:rFonts w:ascii="Book Antiqua" w:hAnsi="Book Antiqua"/>
          <w:b/>
          <w:bCs/>
        </w:rPr>
        <w:t>Troskot R</w:t>
      </w:r>
      <w:r w:rsidRPr="008B4DC9">
        <w:rPr>
          <w:rFonts w:ascii="Book Antiqua" w:hAnsi="Book Antiqua"/>
        </w:rPr>
        <w:t xml:space="preserve">, Jurčić D, Bilić A, Gomerčić Palčić M, Težak S, Brajković I. How to treat an extensive form of primary intestinal lymphangiectasia? </w:t>
      </w:r>
      <w:r w:rsidRPr="008B4DC9">
        <w:rPr>
          <w:rFonts w:ascii="Book Antiqua" w:hAnsi="Book Antiqua"/>
          <w:i/>
          <w:iCs/>
        </w:rPr>
        <w:t>World J Gastroenterol</w:t>
      </w:r>
      <w:r w:rsidRPr="008B4DC9">
        <w:rPr>
          <w:rFonts w:ascii="Book Antiqua" w:hAnsi="Book Antiqua"/>
        </w:rPr>
        <w:t xml:space="preserve"> 2015; </w:t>
      </w:r>
      <w:r w:rsidRPr="008B4DC9">
        <w:rPr>
          <w:rFonts w:ascii="Book Antiqua" w:hAnsi="Book Antiqua"/>
          <w:b/>
          <w:bCs/>
        </w:rPr>
        <w:t>21</w:t>
      </w:r>
      <w:r w:rsidRPr="008B4DC9">
        <w:rPr>
          <w:rFonts w:ascii="Book Antiqua" w:hAnsi="Book Antiqua"/>
        </w:rPr>
        <w:t>: 7320-7325 [PMID: 26109821 DOI: 10.3748/wjg.v21.i23.7320]</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24 </w:t>
      </w:r>
      <w:r w:rsidRPr="008B4DC9">
        <w:rPr>
          <w:rFonts w:ascii="Book Antiqua" w:hAnsi="Book Antiqua"/>
          <w:b/>
          <w:bCs/>
        </w:rPr>
        <w:t>Milazzo L</w:t>
      </w:r>
      <w:r w:rsidRPr="008B4DC9">
        <w:rPr>
          <w:rFonts w:ascii="Book Antiqua" w:hAnsi="Book Antiqua"/>
        </w:rPr>
        <w:t xml:space="preserve">, Peri AM, Lodi L, Gubertini G, Ridolfo AL, Antinori S. Intestinal lymphangiectasia and reversible high liver stiffness. </w:t>
      </w:r>
      <w:r w:rsidRPr="008B4DC9">
        <w:rPr>
          <w:rFonts w:ascii="Book Antiqua" w:hAnsi="Book Antiqua"/>
          <w:i/>
          <w:iCs/>
        </w:rPr>
        <w:t>Hepatology</w:t>
      </w:r>
      <w:r w:rsidRPr="008B4DC9">
        <w:rPr>
          <w:rFonts w:ascii="Book Antiqua" w:hAnsi="Book Antiqua"/>
        </w:rPr>
        <w:t xml:space="preserve"> 2014; </w:t>
      </w:r>
      <w:r w:rsidRPr="008B4DC9">
        <w:rPr>
          <w:rFonts w:ascii="Book Antiqua" w:hAnsi="Book Antiqua"/>
          <w:b/>
          <w:bCs/>
        </w:rPr>
        <w:t>60</w:t>
      </w:r>
      <w:r w:rsidRPr="008B4DC9">
        <w:rPr>
          <w:rFonts w:ascii="Book Antiqua" w:hAnsi="Book Antiqua"/>
        </w:rPr>
        <w:t>: 759-761 [PMID: 24449480 DOI: 10.1002/hep.27025]</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25 </w:t>
      </w:r>
      <w:r w:rsidRPr="008B4DC9">
        <w:rPr>
          <w:rFonts w:ascii="Book Antiqua" w:hAnsi="Book Antiqua"/>
          <w:b/>
          <w:bCs/>
        </w:rPr>
        <w:t>Ersoy O</w:t>
      </w:r>
      <w:r w:rsidRPr="008B4DC9">
        <w:rPr>
          <w:rFonts w:ascii="Book Antiqua" w:hAnsi="Book Antiqua"/>
        </w:rPr>
        <w:t xml:space="preserve">, Akin E, Demirezer A, Yilmaz E, Solakoglu T, Irkkan C, Yurekli OT, Buyukasik S. Evaluation of primary intestinal lymphangiectasia by capsule endoscopy. </w:t>
      </w:r>
      <w:r w:rsidRPr="008B4DC9">
        <w:rPr>
          <w:rFonts w:ascii="Book Antiqua" w:hAnsi="Book Antiqua"/>
          <w:i/>
          <w:iCs/>
        </w:rPr>
        <w:t>Endoscopy</w:t>
      </w:r>
      <w:r w:rsidRPr="008B4DC9">
        <w:rPr>
          <w:rFonts w:ascii="Book Antiqua" w:hAnsi="Book Antiqua"/>
        </w:rPr>
        <w:t xml:space="preserve"> 2013; </w:t>
      </w:r>
      <w:r w:rsidRPr="008B4DC9">
        <w:rPr>
          <w:rFonts w:ascii="Book Antiqua" w:hAnsi="Book Antiqua"/>
          <w:b/>
          <w:bCs/>
        </w:rPr>
        <w:t>45 Suppl 2 UCTN</w:t>
      </w:r>
      <w:r w:rsidRPr="008B4DC9">
        <w:rPr>
          <w:rFonts w:ascii="Book Antiqua" w:hAnsi="Book Antiqua"/>
        </w:rPr>
        <w:t>: E61-E62 [PMID: 23526519 DOI: 10.1055/s-0032-1325976]</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26 </w:t>
      </w:r>
      <w:r w:rsidRPr="008B4DC9">
        <w:rPr>
          <w:rFonts w:ascii="Book Antiqua" w:hAnsi="Book Antiqua"/>
          <w:b/>
          <w:bCs/>
        </w:rPr>
        <w:t>Jabeen SA</w:t>
      </w:r>
      <w:r w:rsidRPr="008B4DC9">
        <w:rPr>
          <w:rFonts w:ascii="Book Antiqua" w:hAnsi="Book Antiqua"/>
        </w:rPr>
        <w:t xml:space="preserve">, Murthy A, Kandadai RM, Meena AK, Borgohain R, Uppin MS. Cryptoccocal menigitis as a primary manifestation in a patient with intestinal lymphangictasia. </w:t>
      </w:r>
      <w:r w:rsidRPr="008B4DC9">
        <w:rPr>
          <w:rFonts w:ascii="Book Antiqua" w:hAnsi="Book Antiqua"/>
          <w:i/>
          <w:iCs/>
        </w:rPr>
        <w:t>Ann Indian Acad Neurol</w:t>
      </w:r>
      <w:r w:rsidRPr="008B4DC9">
        <w:rPr>
          <w:rFonts w:ascii="Book Antiqua" w:hAnsi="Book Antiqua"/>
        </w:rPr>
        <w:t xml:space="preserve"> 2012; </w:t>
      </w:r>
      <w:r w:rsidRPr="008B4DC9">
        <w:rPr>
          <w:rFonts w:ascii="Book Antiqua" w:hAnsi="Book Antiqua"/>
          <w:b/>
          <w:bCs/>
        </w:rPr>
        <w:t>15</w:t>
      </w:r>
      <w:r w:rsidRPr="008B4DC9">
        <w:rPr>
          <w:rFonts w:ascii="Book Antiqua" w:hAnsi="Book Antiqua"/>
        </w:rPr>
        <w:t>: 218-220 [PMID: 22919199 DOI: 10.4103/0972-2327.99725]</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27 </w:t>
      </w:r>
      <w:r w:rsidRPr="008B4DC9">
        <w:rPr>
          <w:rFonts w:ascii="Book Antiqua" w:hAnsi="Book Antiqua"/>
          <w:b/>
          <w:bCs/>
        </w:rPr>
        <w:t>Suehiro K</w:t>
      </w:r>
      <w:r w:rsidRPr="008B4DC9">
        <w:rPr>
          <w:rFonts w:ascii="Book Antiqua" w:hAnsi="Book Antiqua"/>
        </w:rPr>
        <w:t xml:space="preserve">, Morikage N, Murakami M, Yamashita O, Hamano K. Late-onset primary intestinal lymphangiectasia successfully managed with octreotide: a case report. </w:t>
      </w:r>
      <w:r w:rsidRPr="008B4DC9">
        <w:rPr>
          <w:rFonts w:ascii="Book Antiqua" w:hAnsi="Book Antiqua"/>
          <w:i/>
          <w:iCs/>
        </w:rPr>
        <w:t>Ann Vasc Dis</w:t>
      </w:r>
      <w:r w:rsidRPr="008B4DC9">
        <w:rPr>
          <w:rFonts w:ascii="Book Antiqua" w:hAnsi="Book Antiqua"/>
        </w:rPr>
        <w:t xml:space="preserve"> 2012; </w:t>
      </w:r>
      <w:r w:rsidRPr="008B4DC9">
        <w:rPr>
          <w:rFonts w:ascii="Book Antiqua" w:hAnsi="Book Antiqua"/>
          <w:b/>
          <w:bCs/>
        </w:rPr>
        <w:t>5</w:t>
      </w:r>
      <w:r w:rsidRPr="008B4DC9">
        <w:rPr>
          <w:rFonts w:ascii="Book Antiqua" w:hAnsi="Book Antiqua"/>
        </w:rPr>
        <w:t>: 96-99 [PMID: 23555496 DOI: 10.3400/avd.cr.11.00085]</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28 </w:t>
      </w:r>
      <w:r w:rsidRPr="008B4DC9">
        <w:rPr>
          <w:rFonts w:ascii="Book Antiqua" w:hAnsi="Book Antiqua"/>
          <w:b/>
          <w:bCs/>
        </w:rPr>
        <w:t>Maamer AB</w:t>
      </w:r>
      <w:r w:rsidRPr="008B4DC9">
        <w:rPr>
          <w:rFonts w:ascii="Book Antiqua" w:hAnsi="Book Antiqua"/>
        </w:rPr>
        <w:t xml:space="preserve">, Baazaoui J, Zaafouri H, Soualah W, Cherif A. Primary intestinal lymphangiectasia or Waldmann's disease: a rare cause of lower gastrointestinal bleeding. </w:t>
      </w:r>
      <w:r w:rsidRPr="008B4DC9">
        <w:rPr>
          <w:rFonts w:ascii="Book Antiqua" w:hAnsi="Book Antiqua"/>
          <w:i/>
          <w:iCs/>
        </w:rPr>
        <w:t>Arab J Gastroenterol</w:t>
      </w:r>
      <w:r w:rsidRPr="008B4DC9">
        <w:rPr>
          <w:rFonts w:ascii="Book Antiqua" w:hAnsi="Book Antiqua"/>
        </w:rPr>
        <w:t xml:space="preserve"> 2012; </w:t>
      </w:r>
      <w:r w:rsidRPr="008B4DC9">
        <w:rPr>
          <w:rFonts w:ascii="Book Antiqua" w:hAnsi="Book Antiqua"/>
          <w:b/>
          <w:bCs/>
        </w:rPr>
        <w:t>13</w:t>
      </w:r>
      <w:r w:rsidRPr="008B4DC9">
        <w:rPr>
          <w:rFonts w:ascii="Book Antiqua" w:hAnsi="Book Antiqua"/>
        </w:rPr>
        <w:t>: 97-98 [PMID: 22980601 DOI: 10.1016/j.ajg.2012.03.001]</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29 </w:t>
      </w:r>
      <w:r w:rsidRPr="008B4DC9">
        <w:rPr>
          <w:rFonts w:ascii="Book Antiqua" w:hAnsi="Book Antiqua"/>
          <w:b/>
          <w:bCs/>
        </w:rPr>
        <w:t>Kneist W</w:t>
      </w:r>
      <w:r w:rsidRPr="008B4DC9">
        <w:rPr>
          <w:rFonts w:ascii="Book Antiqua" w:hAnsi="Book Antiqua"/>
        </w:rPr>
        <w:t xml:space="preserve">, Drescher DG, Hansen T, Kreitner KF, Lang H. [Surgical therapy of segmental jejunal, primary intestinal lymphangiectasia]. </w:t>
      </w:r>
      <w:r w:rsidRPr="008B4DC9">
        <w:rPr>
          <w:rFonts w:ascii="Book Antiqua" w:hAnsi="Book Antiqua"/>
          <w:i/>
          <w:iCs/>
        </w:rPr>
        <w:t>Z Gastroenterol</w:t>
      </w:r>
      <w:r w:rsidRPr="008B4DC9">
        <w:rPr>
          <w:rFonts w:ascii="Book Antiqua" w:hAnsi="Book Antiqua"/>
        </w:rPr>
        <w:t xml:space="preserve"> 2013; </w:t>
      </w:r>
      <w:r w:rsidRPr="008B4DC9">
        <w:rPr>
          <w:rFonts w:ascii="Book Antiqua" w:hAnsi="Book Antiqua"/>
          <w:b/>
          <w:bCs/>
        </w:rPr>
        <w:t>51</w:t>
      </w:r>
      <w:r w:rsidRPr="008B4DC9">
        <w:rPr>
          <w:rFonts w:ascii="Book Antiqua" w:hAnsi="Book Antiqua"/>
        </w:rPr>
        <w:t>: 576-579 [PMID: 23229460 DOI: 10.1055/s-0031-1273473]</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30 </w:t>
      </w:r>
      <w:r w:rsidRPr="008B4DC9">
        <w:rPr>
          <w:rFonts w:ascii="Book Antiqua" w:hAnsi="Book Antiqua"/>
          <w:b/>
          <w:bCs/>
        </w:rPr>
        <w:t>Koçak G</w:t>
      </w:r>
      <w:r w:rsidRPr="008B4DC9">
        <w:rPr>
          <w:rFonts w:ascii="Book Antiqua" w:hAnsi="Book Antiqua"/>
        </w:rPr>
        <w:t xml:space="preserve">, Koçak E, Akbal E, Duranay M, Köklü S. A rare cause of severe hypoalbuminemia in a patient with primary hypoparathyroidism: intestinal lymphangiectasia. </w:t>
      </w:r>
      <w:r w:rsidRPr="008B4DC9">
        <w:rPr>
          <w:rFonts w:ascii="Book Antiqua" w:hAnsi="Book Antiqua"/>
          <w:i/>
          <w:iCs/>
        </w:rPr>
        <w:t>Acta Clin Belg</w:t>
      </w:r>
      <w:r w:rsidRPr="008B4DC9">
        <w:rPr>
          <w:rFonts w:ascii="Book Antiqua" w:hAnsi="Book Antiqua"/>
        </w:rPr>
        <w:t xml:space="preserve"> 2011; </w:t>
      </w:r>
      <w:r w:rsidRPr="008B4DC9">
        <w:rPr>
          <w:rFonts w:ascii="Book Antiqua" w:hAnsi="Book Antiqua"/>
          <w:b/>
          <w:bCs/>
        </w:rPr>
        <w:t>66</w:t>
      </w:r>
      <w:r w:rsidRPr="008B4DC9">
        <w:rPr>
          <w:rFonts w:ascii="Book Antiqua" w:hAnsi="Book Antiqua"/>
        </w:rPr>
        <w:t>: 246-247 [PMID: 21837942 DOI: 10.2143/ACB.66.3.2062563]</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31 </w:t>
      </w:r>
      <w:r w:rsidRPr="008B4DC9">
        <w:rPr>
          <w:rFonts w:ascii="Book Antiqua" w:hAnsi="Book Antiqua"/>
          <w:b/>
          <w:bCs/>
        </w:rPr>
        <w:t>Choi EH</w:t>
      </w:r>
      <w:r w:rsidRPr="008B4DC9">
        <w:rPr>
          <w:rFonts w:ascii="Book Antiqua" w:hAnsi="Book Antiqua"/>
        </w:rPr>
        <w:t xml:space="preserve">, Reidel W, Coyle W. Forty years of shortness of breath and lower extremity edema. Diagnosis: Primary intestinal lymphangiectasia (Waldmann's disease). </w:t>
      </w:r>
      <w:r w:rsidRPr="008B4DC9">
        <w:rPr>
          <w:rFonts w:ascii="Book Antiqua" w:hAnsi="Book Antiqua"/>
          <w:i/>
          <w:iCs/>
        </w:rPr>
        <w:t>Gastroenterology</w:t>
      </w:r>
      <w:r w:rsidRPr="008B4DC9">
        <w:rPr>
          <w:rFonts w:ascii="Book Antiqua" w:hAnsi="Book Antiqua"/>
        </w:rPr>
        <w:t xml:space="preserve"> 2011; </w:t>
      </w:r>
      <w:r w:rsidRPr="008B4DC9">
        <w:rPr>
          <w:rFonts w:ascii="Book Antiqua" w:hAnsi="Book Antiqua"/>
          <w:b/>
          <w:bCs/>
        </w:rPr>
        <w:t>141</w:t>
      </w:r>
      <w:r w:rsidRPr="008B4DC9">
        <w:rPr>
          <w:rFonts w:ascii="Book Antiqua" w:hAnsi="Book Antiqua"/>
        </w:rPr>
        <w:t>: e6-e7 [PMID: 21641905 DOI: 10.1053/j.gastro.2010.04.059]</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32 </w:t>
      </w:r>
      <w:r w:rsidRPr="008B4DC9">
        <w:rPr>
          <w:rFonts w:ascii="Book Antiqua" w:hAnsi="Book Antiqua"/>
          <w:b/>
          <w:bCs/>
        </w:rPr>
        <w:t>Wiedermann CJ</w:t>
      </w:r>
      <w:r w:rsidRPr="008B4DC9">
        <w:rPr>
          <w:rFonts w:ascii="Book Antiqua" w:hAnsi="Book Antiqua"/>
        </w:rPr>
        <w:t xml:space="preserve">, Kob M, Benvenuti S, Carella R, Lucchin L, Piazzi L, Chilovi F, Mazzoleni G. Digital clubbing in primary intestinal lymphangiectasia: a case report. </w:t>
      </w:r>
      <w:r w:rsidRPr="008B4DC9">
        <w:rPr>
          <w:rFonts w:ascii="Book Antiqua" w:hAnsi="Book Antiqua"/>
          <w:i/>
          <w:iCs/>
        </w:rPr>
        <w:t>Wien Med Wochenschr</w:t>
      </w:r>
      <w:r w:rsidRPr="008B4DC9">
        <w:rPr>
          <w:rFonts w:ascii="Book Antiqua" w:hAnsi="Book Antiqua"/>
        </w:rPr>
        <w:t xml:space="preserve"> 2010; </w:t>
      </w:r>
      <w:r w:rsidRPr="008B4DC9">
        <w:rPr>
          <w:rFonts w:ascii="Book Antiqua" w:hAnsi="Book Antiqua"/>
          <w:b/>
          <w:bCs/>
        </w:rPr>
        <w:t>160</w:t>
      </w:r>
      <w:r w:rsidRPr="008B4DC9">
        <w:rPr>
          <w:rFonts w:ascii="Book Antiqua" w:hAnsi="Book Antiqua"/>
        </w:rPr>
        <w:t>: 431-436 [PMID: 20812055 DOI: 10.1007/s10354-010-0815-0]</w:t>
      </w:r>
    </w:p>
    <w:p w:rsidR="009A6057" w:rsidRPr="008B4DC9" w:rsidRDefault="009A6057" w:rsidP="008B4DC9">
      <w:pPr>
        <w:snapToGrid w:val="0"/>
        <w:spacing w:line="360" w:lineRule="auto"/>
        <w:jc w:val="both"/>
        <w:rPr>
          <w:rFonts w:ascii="Book Antiqua" w:hAnsi="Book Antiqua"/>
          <w:lang w:val="de-AT"/>
        </w:rPr>
      </w:pPr>
      <w:r w:rsidRPr="008B4DC9">
        <w:rPr>
          <w:rFonts w:ascii="Book Antiqua" w:hAnsi="Book Antiqua"/>
        </w:rPr>
        <w:t xml:space="preserve">33 </w:t>
      </w:r>
      <w:r w:rsidRPr="008B4DC9">
        <w:rPr>
          <w:rFonts w:ascii="Book Antiqua" w:hAnsi="Book Antiqua"/>
          <w:b/>
          <w:bCs/>
        </w:rPr>
        <w:t>Steines JC</w:t>
      </w:r>
      <w:r w:rsidRPr="008B4DC9">
        <w:rPr>
          <w:rFonts w:ascii="Book Antiqua" w:hAnsi="Book Antiqua"/>
        </w:rPr>
        <w:t xml:space="preserve">, Larson JH, Wilkinson N, Kirby P, Goodheart MJ. Intestinal lymphangiectasia mimicking primary peritoneal carcinoma. </w:t>
      </w:r>
      <w:r w:rsidRPr="008B4DC9">
        <w:rPr>
          <w:rFonts w:ascii="Book Antiqua" w:hAnsi="Book Antiqua"/>
          <w:i/>
          <w:iCs/>
          <w:lang w:val="de-AT"/>
        </w:rPr>
        <w:t>Am J Obstet Gynecol</w:t>
      </w:r>
      <w:r w:rsidRPr="008B4DC9">
        <w:rPr>
          <w:rFonts w:ascii="Book Antiqua" w:hAnsi="Book Antiqua"/>
          <w:lang w:val="de-AT"/>
        </w:rPr>
        <w:t xml:space="preserve"> 2010; </w:t>
      </w:r>
      <w:r w:rsidRPr="008B4DC9">
        <w:rPr>
          <w:rFonts w:ascii="Book Antiqua" w:hAnsi="Book Antiqua"/>
          <w:b/>
          <w:bCs/>
          <w:lang w:val="de-AT"/>
        </w:rPr>
        <w:t>203</w:t>
      </w:r>
      <w:r w:rsidRPr="008B4DC9">
        <w:rPr>
          <w:rFonts w:ascii="Book Antiqua" w:hAnsi="Book Antiqua"/>
          <w:lang w:val="de-AT"/>
        </w:rPr>
        <w:t>: e9-e11 [PMID: 20801422 DOI: 10.1016/j.ajog.2010.07.009]</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lang w:val="de-AT"/>
        </w:rPr>
        <w:t xml:space="preserve">34 </w:t>
      </w:r>
      <w:r w:rsidRPr="008B4DC9">
        <w:rPr>
          <w:rFonts w:ascii="Book Antiqua" w:hAnsi="Book Antiqua"/>
          <w:b/>
          <w:bCs/>
          <w:lang w:val="de-AT"/>
        </w:rPr>
        <w:t>Zhu LH</w:t>
      </w:r>
      <w:r w:rsidRPr="008B4DC9">
        <w:rPr>
          <w:rFonts w:ascii="Book Antiqua" w:hAnsi="Book Antiqua"/>
          <w:lang w:val="de-AT"/>
        </w:rPr>
        <w:t xml:space="preserve">, Cai XJ, Mou YP, Zhu YP, Wang SB, Wu JG. </w:t>
      </w:r>
      <w:r w:rsidRPr="008B4DC9">
        <w:rPr>
          <w:rFonts w:ascii="Book Antiqua" w:hAnsi="Book Antiqua"/>
        </w:rPr>
        <w:t xml:space="preserve">Partial enterectomy: treatment for primary intestinal lymphangiectasia in four cases. </w:t>
      </w:r>
      <w:r w:rsidRPr="008B4DC9">
        <w:rPr>
          <w:rFonts w:ascii="Book Antiqua" w:hAnsi="Book Antiqua"/>
          <w:i/>
          <w:iCs/>
        </w:rPr>
        <w:t>Chin Med J (Engl)</w:t>
      </w:r>
      <w:r w:rsidRPr="008B4DC9">
        <w:rPr>
          <w:rFonts w:ascii="Book Antiqua" w:hAnsi="Book Antiqua"/>
        </w:rPr>
        <w:t xml:space="preserve"> 2010; </w:t>
      </w:r>
      <w:r w:rsidRPr="008B4DC9">
        <w:rPr>
          <w:rFonts w:ascii="Book Antiqua" w:hAnsi="Book Antiqua"/>
          <w:b/>
          <w:bCs/>
        </w:rPr>
        <w:t>123</w:t>
      </w:r>
      <w:r w:rsidRPr="008B4DC9">
        <w:rPr>
          <w:rFonts w:ascii="Book Antiqua" w:hAnsi="Book Antiqua"/>
        </w:rPr>
        <w:t>: 760-764 [PMID: 20368101]</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35 </w:t>
      </w:r>
      <w:r w:rsidRPr="008B4DC9">
        <w:rPr>
          <w:rFonts w:ascii="Book Antiqua" w:hAnsi="Book Antiqua"/>
          <w:b/>
          <w:bCs/>
        </w:rPr>
        <w:t>Paggi S</w:t>
      </w:r>
      <w:r w:rsidRPr="008B4DC9">
        <w:rPr>
          <w:rFonts w:ascii="Book Antiqua" w:hAnsi="Book Antiqua"/>
        </w:rPr>
        <w:t xml:space="preserve">, Ferrero S, Braidotti P, de Rai P, Conte D, Basilisco G. Neuromuscular alterations in the dilated ileum of an adult patient with segmental lymphangiectasia. </w:t>
      </w:r>
      <w:r w:rsidRPr="008B4DC9">
        <w:rPr>
          <w:rFonts w:ascii="Book Antiqua" w:hAnsi="Book Antiqua"/>
          <w:i/>
          <w:iCs/>
        </w:rPr>
        <w:t>Eur J Gastroenterol Hepatol</w:t>
      </w:r>
      <w:r w:rsidRPr="008B4DC9">
        <w:rPr>
          <w:rFonts w:ascii="Book Antiqua" w:hAnsi="Book Antiqua"/>
        </w:rPr>
        <w:t xml:space="preserve"> 2008; </w:t>
      </w:r>
      <w:r w:rsidRPr="008B4DC9">
        <w:rPr>
          <w:rFonts w:ascii="Book Antiqua" w:hAnsi="Book Antiqua"/>
          <w:b/>
          <w:bCs/>
        </w:rPr>
        <w:t>20</w:t>
      </w:r>
      <w:r w:rsidRPr="008B4DC9">
        <w:rPr>
          <w:rFonts w:ascii="Book Antiqua" w:hAnsi="Book Antiqua"/>
        </w:rPr>
        <w:t>: 935-938 [PMID: 18794610 DOI: 10.1097/MEG.0b013e3282f5dda4]</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36 </w:t>
      </w:r>
      <w:r w:rsidRPr="008B4DC9">
        <w:rPr>
          <w:rFonts w:ascii="Book Antiqua" w:hAnsi="Book Antiqua"/>
          <w:b/>
          <w:bCs/>
        </w:rPr>
        <w:t>Herfarth H</w:t>
      </w:r>
      <w:r w:rsidRPr="008B4DC9">
        <w:rPr>
          <w:rFonts w:ascii="Book Antiqua" w:hAnsi="Book Antiqua"/>
        </w:rPr>
        <w:t xml:space="preserve">, Hofstädter F, Feuerbach S, Jürgen Schlitt H, Schölmerich J, Rogler G. A case of recurrent gastrointestinal bleeding and protein-losing gastroenteropathy. </w:t>
      </w:r>
      <w:r w:rsidRPr="008B4DC9">
        <w:rPr>
          <w:rFonts w:ascii="Book Antiqua" w:hAnsi="Book Antiqua"/>
          <w:i/>
          <w:iCs/>
        </w:rPr>
        <w:t>Nat Clin Pract Gastroenterol Hepatol</w:t>
      </w:r>
      <w:r w:rsidRPr="008B4DC9">
        <w:rPr>
          <w:rFonts w:ascii="Book Antiqua" w:hAnsi="Book Antiqua"/>
        </w:rPr>
        <w:t xml:space="preserve"> 2007; </w:t>
      </w:r>
      <w:r w:rsidRPr="008B4DC9">
        <w:rPr>
          <w:rFonts w:ascii="Book Antiqua" w:hAnsi="Book Antiqua"/>
          <w:b/>
          <w:bCs/>
        </w:rPr>
        <w:t>4</w:t>
      </w:r>
      <w:r w:rsidRPr="008B4DC9">
        <w:rPr>
          <w:rFonts w:ascii="Book Antiqua" w:hAnsi="Book Antiqua"/>
        </w:rPr>
        <w:t>: 288-293 [PMID: 17476211 DOI: 10.1038/ncpgasthep0812]</w:t>
      </w:r>
    </w:p>
    <w:p w:rsidR="009A6057" w:rsidRPr="008B4DC9" w:rsidRDefault="009A6057" w:rsidP="008B4DC9">
      <w:pPr>
        <w:snapToGrid w:val="0"/>
        <w:spacing w:line="360" w:lineRule="auto"/>
        <w:jc w:val="both"/>
        <w:rPr>
          <w:rFonts w:ascii="Book Antiqua" w:hAnsi="Book Antiqua"/>
          <w:lang w:val="de-AT"/>
        </w:rPr>
      </w:pPr>
      <w:r w:rsidRPr="008B4DC9">
        <w:rPr>
          <w:rFonts w:ascii="Book Antiqua" w:hAnsi="Book Antiqua"/>
        </w:rPr>
        <w:t xml:space="preserve">37 </w:t>
      </w:r>
      <w:r w:rsidRPr="008B4DC9">
        <w:rPr>
          <w:rFonts w:ascii="Book Antiqua" w:hAnsi="Book Antiqua"/>
          <w:b/>
          <w:bCs/>
        </w:rPr>
        <w:t>Cole SL</w:t>
      </w:r>
      <w:r w:rsidRPr="008B4DC9">
        <w:rPr>
          <w:rFonts w:ascii="Book Antiqua" w:hAnsi="Book Antiqua"/>
        </w:rPr>
        <w:t xml:space="preserve">, Ledford DK, Lockey RF, Daas A, Kooper J. Primary gastrointestinal lymphangiectasia presenting as cryptococcal meningitis. </w:t>
      </w:r>
      <w:r w:rsidRPr="008B4DC9">
        <w:rPr>
          <w:rFonts w:ascii="Book Antiqua" w:hAnsi="Book Antiqua"/>
          <w:i/>
          <w:iCs/>
          <w:lang w:val="de-AT"/>
        </w:rPr>
        <w:t>Ann Allergy Asthma Immunol</w:t>
      </w:r>
      <w:r w:rsidRPr="008B4DC9">
        <w:rPr>
          <w:rFonts w:ascii="Book Antiqua" w:hAnsi="Book Antiqua"/>
          <w:lang w:val="de-AT"/>
        </w:rPr>
        <w:t xml:space="preserve"> 2007; </w:t>
      </w:r>
      <w:r w:rsidRPr="008B4DC9">
        <w:rPr>
          <w:rFonts w:ascii="Book Antiqua" w:hAnsi="Book Antiqua"/>
          <w:b/>
          <w:bCs/>
          <w:lang w:val="de-AT"/>
        </w:rPr>
        <w:t>98</w:t>
      </w:r>
      <w:r w:rsidRPr="008B4DC9">
        <w:rPr>
          <w:rFonts w:ascii="Book Antiqua" w:hAnsi="Book Antiqua"/>
          <w:lang w:val="de-AT"/>
        </w:rPr>
        <w:t>: 490-492 [PMID: 17521035 DOI: 10.1016/s1081-1206(10)60765-x]</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lang w:val="de-AT"/>
        </w:rPr>
        <w:t xml:space="preserve">38 </w:t>
      </w:r>
      <w:r w:rsidRPr="008B4DC9">
        <w:rPr>
          <w:rFonts w:ascii="Book Antiqua" w:hAnsi="Book Antiqua"/>
          <w:b/>
          <w:bCs/>
          <w:lang w:val="de-AT"/>
        </w:rPr>
        <w:t>Fang YH</w:t>
      </w:r>
      <w:r w:rsidRPr="008B4DC9">
        <w:rPr>
          <w:rFonts w:ascii="Book Antiqua" w:hAnsi="Book Antiqua"/>
          <w:lang w:val="de-AT"/>
        </w:rPr>
        <w:t xml:space="preserve">, Zhang BL, Wu JG, Chen CX. </w:t>
      </w:r>
      <w:r w:rsidRPr="008B4DC9">
        <w:rPr>
          <w:rFonts w:ascii="Book Antiqua" w:hAnsi="Book Antiqua"/>
        </w:rPr>
        <w:t xml:space="preserve">A primary intestinal lymphangiectasia patient diagnosed by capsule endoscopy and confirmed at surgery: a case report. </w:t>
      </w:r>
      <w:r w:rsidRPr="008B4DC9">
        <w:rPr>
          <w:rFonts w:ascii="Book Antiqua" w:hAnsi="Book Antiqua"/>
          <w:i/>
          <w:iCs/>
        </w:rPr>
        <w:t>World J Gastroenterol</w:t>
      </w:r>
      <w:r w:rsidRPr="008B4DC9">
        <w:rPr>
          <w:rFonts w:ascii="Book Antiqua" w:hAnsi="Book Antiqua"/>
        </w:rPr>
        <w:t xml:space="preserve"> 2007; </w:t>
      </w:r>
      <w:r w:rsidRPr="008B4DC9">
        <w:rPr>
          <w:rFonts w:ascii="Book Antiqua" w:hAnsi="Book Antiqua"/>
          <w:b/>
          <w:bCs/>
        </w:rPr>
        <w:t>13</w:t>
      </w:r>
      <w:r w:rsidRPr="008B4DC9">
        <w:rPr>
          <w:rFonts w:ascii="Book Antiqua" w:hAnsi="Book Antiqua"/>
        </w:rPr>
        <w:t>: 2263-2265 [PMID: 17465517 DOI: 10.3748/wjg.v13.i15.2263]</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39 </w:t>
      </w:r>
      <w:r w:rsidRPr="008B4DC9">
        <w:rPr>
          <w:rFonts w:ascii="Book Antiqua" w:hAnsi="Book Antiqua"/>
          <w:b/>
          <w:bCs/>
        </w:rPr>
        <w:t>Chamouard P</w:t>
      </w:r>
      <w:r w:rsidRPr="008B4DC9">
        <w:rPr>
          <w:rFonts w:ascii="Book Antiqua" w:hAnsi="Book Antiqua"/>
        </w:rPr>
        <w:t xml:space="preserve">, Nehme-Schuster H, Simler JM, Finck G, Baumann R, Pasquali JL. Videocapsule endoscopy is useful for the diagnosis of intestinal lymphangiectasia. </w:t>
      </w:r>
      <w:r w:rsidRPr="008B4DC9">
        <w:rPr>
          <w:rFonts w:ascii="Book Antiqua" w:hAnsi="Book Antiqua"/>
          <w:i/>
          <w:iCs/>
        </w:rPr>
        <w:t>Dig Liver Dis</w:t>
      </w:r>
      <w:r w:rsidRPr="008B4DC9">
        <w:rPr>
          <w:rFonts w:ascii="Book Antiqua" w:hAnsi="Book Antiqua"/>
        </w:rPr>
        <w:t xml:space="preserve"> 2006; </w:t>
      </w:r>
      <w:r w:rsidRPr="008B4DC9">
        <w:rPr>
          <w:rFonts w:ascii="Book Antiqua" w:hAnsi="Book Antiqua"/>
          <w:b/>
          <w:bCs/>
        </w:rPr>
        <w:t>38</w:t>
      </w:r>
      <w:r w:rsidRPr="008B4DC9">
        <w:rPr>
          <w:rFonts w:ascii="Book Antiqua" w:hAnsi="Book Antiqua"/>
        </w:rPr>
        <w:t>: 699-703 [PMID: 16527553 DOI: 10.1016/j.dld.2006.01.027]</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40 </w:t>
      </w:r>
      <w:r w:rsidRPr="008B4DC9">
        <w:rPr>
          <w:rFonts w:ascii="Book Antiqua" w:hAnsi="Book Antiqua"/>
          <w:b/>
          <w:bCs/>
        </w:rPr>
        <w:t>Laharie D</w:t>
      </w:r>
      <w:r w:rsidRPr="008B4DC9">
        <w:rPr>
          <w:rFonts w:ascii="Book Antiqua" w:hAnsi="Book Antiqua"/>
        </w:rPr>
        <w:t xml:space="preserve">, Degenne V, Laharie H, Cazorla S, Belleannee G, Couzigou P, Amouretti M. Remission of protein-losing enteropathy after nodal lymphoma treatment in a patient with primary intestinal lymphangiectasia. </w:t>
      </w:r>
      <w:r w:rsidRPr="008B4DC9">
        <w:rPr>
          <w:rFonts w:ascii="Book Antiqua" w:hAnsi="Book Antiqua"/>
          <w:i/>
          <w:iCs/>
        </w:rPr>
        <w:t>Eur J Gastroenterol Hepatol</w:t>
      </w:r>
      <w:r w:rsidRPr="008B4DC9">
        <w:rPr>
          <w:rFonts w:ascii="Book Antiqua" w:hAnsi="Book Antiqua"/>
        </w:rPr>
        <w:t xml:space="preserve"> 2005; </w:t>
      </w:r>
      <w:r w:rsidRPr="008B4DC9">
        <w:rPr>
          <w:rFonts w:ascii="Book Antiqua" w:hAnsi="Book Antiqua"/>
          <w:b/>
          <w:bCs/>
        </w:rPr>
        <w:t>17</w:t>
      </w:r>
      <w:r w:rsidRPr="008B4DC9">
        <w:rPr>
          <w:rFonts w:ascii="Book Antiqua" w:hAnsi="Book Antiqua"/>
        </w:rPr>
        <w:t>: 1417-1419 [PMID: 16292099 DOI: 10.1097/00042737-200512000-00024]</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41 </w:t>
      </w:r>
      <w:r w:rsidRPr="008B4DC9">
        <w:rPr>
          <w:rFonts w:ascii="Book Antiqua" w:hAnsi="Book Antiqua"/>
          <w:b/>
          <w:bCs/>
        </w:rPr>
        <w:t>Goktan C</w:t>
      </w:r>
      <w:r w:rsidRPr="00A85C0C">
        <w:rPr>
          <w:rFonts w:ascii="Book Antiqua" w:hAnsi="Book Antiqua"/>
          <w:bCs/>
          <w:i/>
        </w:rPr>
        <w:t>,</w:t>
      </w:r>
      <w:r w:rsidRPr="008B4DC9">
        <w:rPr>
          <w:rFonts w:ascii="Book Antiqua" w:hAnsi="Book Antiqua"/>
        </w:rPr>
        <w:t xml:space="preserve"> Pekindil G, Orguc S, Coskun T, Serter S. Bilateral Breast Edema in Intestinal Lymphangiectasia.</w:t>
      </w:r>
      <w:r w:rsidR="00117C0B">
        <w:rPr>
          <w:rFonts w:ascii="Book Antiqua" w:hAnsi="Book Antiqua"/>
          <w:i/>
        </w:rPr>
        <w:t xml:space="preserve"> </w:t>
      </w:r>
      <w:r w:rsidRPr="008B4DC9">
        <w:rPr>
          <w:rFonts w:ascii="Book Antiqua" w:hAnsi="Book Antiqua"/>
          <w:i/>
        </w:rPr>
        <w:t>Breast J</w:t>
      </w:r>
      <w:r w:rsidR="00117C0B">
        <w:rPr>
          <w:rFonts w:ascii="Book Antiqua" w:hAnsi="Book Antiqua"/>
          <w:i/>
        </w:rPr>
        <w:t xml:space="preserve"> </w:t>
      </w:r>
      <w:r w:rsidRPr="008B4DC9">
        <w:rPr>
          <w:rFonts w:ascii="Book Antiqua" w:hAnsi="Book Antiqua"/>
        </w:rPr>
        <w:t xml:space="preserve">2005; </w:t>
      </w:r>
      <w:r w:rsidRPr="008B4DC9">
        <w:rPr>
          <w:rFonts w:ascii="Book Antiqua" w:hAnsi="Book Antiqua"/>
          <w:b/>
        </w:rPr>
        <w:t>11:</w:t>
      </w:r>
      <w:r w:rsidRPr="008B4DC9">
        <w:rPr>
          <w:rFonts w:ascii="Book Antiqua" w:hAnsi="Book Antiqua"/>
        </w:rPr>
        <w:t xml:space="preserve"> 360</w:t>
      </w:r>
      <w:r w:rsidR="00117C0B">
        <w:rPr>
          <w:rFonts w:ascii="Book Antiqua" w:hAnsi="Book Antiqua"/>
        </w:rPr>
        <w:t xml:space="preserve"> </w:t>
      </w:r>
      <w:r w:rsidRPr="008B4DC9">
        <w:rPr>
          <w:rFonts w:ascii="Book Antiqua" w:hAnsi="Book Antiqua"/>
        </w:rPr>
        <w:t>[</w:t>
      </w:r>
      <w:r w:rsidR="00117C0B" w:rsidRPr="00117C0B">
        <w:rPr>
          <w:rFonts w:ascii="Book Antiqua" w:hAnsi="Book Antiqua"/>
        </w:rPr>
        <w:t>PMID: 16174162 DOI: 10.1111/j.1075-122X.2005.21578.x</w:t>
      </w:r>
      <w:r w:rsidRPr="008B4DC9">
        <w:rPr>
          <w:rFonts w:ascii="Book Antiqua" w:hAnsi="Book Antiqua"/>
        </w:rPr>
        <w:t>]</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42 </w:t>
      </w:r>
      <w:r w:rsidRPr="008B4DC9">
        <w:rPr>
          <w:rFonts w:ascii="Book Antiqua" w:hAnsi="Book Antiqua"/>
          <w:b/>
          <w:bCs/>
        </w:rPr>
        <w:t>Cammarota G</w:t>
      </w:r>
      <w:r w:rsidRPr="008B4DC9">
        <w:rPr>
          <w:rFonts w:ascii="Book Antiqua" w:hAnsi="Book Antiqua"/>
        </w:rPr>
        <w:t xml:space="preserve">, Cianci R, Gasbarrini G. High-resolution magnifying video endoscopy in primary intestinal lymphangiectasia: a new role for endoscopy? </w:t>
      </w:r>
      <w:r w:rsidRPr="008B4DC9">
        <w:rPr>
          <w:rFonts w:ascii="Book Antiqua" w:hAnsi="Book Antiqua"/>
          <w:i/>
          <w:iCs/>
        </w:rPr>
        <w:t>Endoscopy</w:t>
      </w:r>
      <w:r w:rsidRPr="008B4DC9">
        <w:rPr>
          <w:rFonts w:ascii="Book Antiqua" w:hAnsi="Book Antiqua"/>
        </w:rPr>
        <w:t xml:space="preserve"> 2005; </w:t>
      </w:r>
      <w:r w:rsidRPr="008B4DC9">
        <w:rPr>
          <w:rFonts w:ascii="Book Antiqua" w:hAnsi="Book Antiqua"/>
          <w:b/>
          <w:bCs/>
        </w:rPr>
        <w:t>37</w:t>
      </w:r>
      <w:r w:rsidRPr="008B4DC9">
        <w:rPr>
          <w:rFonts w:ascii="Book Antiqua" w:hAnsi="Book Antiqua"/>
        </w:rPr>
        <w:t>: 607 [PMID: 15933946 DOI: 10.1055/s-2005-861338]</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43 </w:t>
      </w:r>
      <w:r w:rsidRPr="008B4DC9">
        <w:rPr>
          <w:rFonts w:ascii="Book Antiqua" w:hAnsi="Book Antiqua"/>
          <w:b/>
          <w:bCs/>
        </w:rPr>
        <w:t>Filik L</w:t>
      </w:r>
      <w:r w:rsidRPr="008B4DC9">
        <w:rPr>
          <w:rFonts w:ascii="Book Antiqua" w:hAnsi="Book Antiqua"/>
        </w:rPr>
        <w:t xml:space="preserve">, Oguz P, Koksal A, Koklu S, Sahin B. A case with intestinal lymphangiectasia successfully treated with slow-release octreotide. </w:t>
      </w:r>
      <w:r w:rsidRPr="008B4DC9">
        <w:rPr>
          <w:rFonts w:ascii="Book Antiqua" w:hAnsi="Book Antiqua"/>
          <w:i/>
          <w:iCs/>
        </w:rPr>
        <w:t>Dig Liver Dis</w:t>
      </w:r>
      <w:r w:rsidRPr="008B4DC9">
        <w:rPr>
          <w:rFonts w:ascii="Book Antiqua" w:hAnsi="Book Antiqua"/>
        </w:rPr>
        <w:t xml:space="preserve"> 2004; </w:t>
      </w:r>
      <w:r w:rsidRPr="008B4DC9">
        <w:rPr>
          <w:rFonts w:ascii="Book Antiqua" w:hAnsi="Book Antiqua"/>
          <w:b/>
          <w:bCs/>
        </w:rPr>
        <w:t>36</w:t>
      </w:r>
      <w:r w:rsidRPr="008B4DC9">
        <w:rPr>
          <w:rFonts w:ascii="Book Antiqua" w:hAnsi="Book Antiqua"/>
        </w:rPr>
        <w:t>: 687-690 [PMID: 15506669 DOI: 10.1016/j.dld.2004.06.002]</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44 </w:t>
      </w:r>
      <w:r w:rsidRPr="008B4DC9">
        <w:rPr>
          <w:rFonts w:ascii="Book Antiqua" w:hAnsi="Book Antiqua"/>
          <w:b/>
          <w:bCs/>
        </w:rPr>
        <w:t>Lynn J</w:t>
      </w:r>
      <w:r w:rsidRPr="008B4DC9">
        <w:rPr>
          <w:rFonts w:ascii="Book Antiqua" w:hAnsi="Book Antiqua"/>
        </w:rPr>
        <w:t xml:space="preserve">, Knight AK, Kamoun M, Levinson AI. A 55-year-old man with hypogammaglobulinemia, lymphopenia, and unrelenting cutaneous warts. </w:t>
      </w:r>
      <w:r w:rsidRPr="008B4DC9">
        <w:rPr>
          <w:rFonts w:ascii="Book Antiqua" w:hAnsi="Book Antiqua"/>
          <w:i/>
          <w:iCs/>
        </w:rPr>
        <w:t>J Allergy Clin Immunol</w:t>
      </w:r>
      <w:r w:rsidRPr="008B4DC9">
        <w:rPr>
          <w:rFonts w:ascii="Book Antiqua" w:hAnsi="Book Antiqua"/>
        </w:rPr>
        <w:t xml:space="preserve"> 2004; </w:t>
      </w:r>
      <w:r w:rsidRPr="008B4DC9">
        <w:rPr>
          <w:rFonts w:ascii="Book Antiqua" w:hAnsi="Book Antiqua"/>
          <w:b/>
          <w:bCs/>
        </w:rPr>
        <w:t>114</w:t>
      </w:r>
      <w:r w:rsidRPr="008B4DC9">
        <w:rPr>
          <w:rFonts w:ascii="Book Antiqua" w:hAnsi="Book Antiqua"/>
        </w:rPr>
        <w:t>: 409-414 [PMID: 15316525 DOI: 10.1016/j.jaci.2004.02.033]</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45 </w:t>
      </w:r>
      <w:r w:rsidRPr="008B4DC9">
        <w:rPr>
          <w:rFonts w:ascii="Book Antiqua" w:hAnsi="Book Antiqua"/>
          <w:b/>
          <w:bCs/>
        </w:rPr>
        <w:t>Chen CP</w:t>
      </w:r>
      <w:r w:rsidRPr="008B4DC9">
        <w:rPr>
          <w:rFonts w:ascii="Book Antiqua" w:hAnsi="Book Antiqua"/>
        </w:rPr>
        <w:t xml:space="preserve">, Chao Y, Li CP, Lo WC, Wu CW, Tsay SH, Lee RC, Chang FY. Surgical resection of duodenal lymphangiectasia: a case report. </w:t>
      </w:r>
      <w:r w:rsidRPr="008B4DC9">
        <w:rPr>
          <w:rFonts w:ascii="Book Antiqua" w:hAnsi="Book Antiqua"/>
          <w:i/>
          <w:iCs/>
        </w:rPr>
        <w:t>World J Gastroenterol</w:t>
      </w:r>
      <w:r w:rsidRPr="008B4DC9">
        <w:rPr>
          <w:rFonts w:ascii="Book Antiqua" w:hAnsi="Book Antiqua"/>
        </w:rPr>
        <w:t xml:space="preserve"> 2003; </w:t>
      </w:r>
      <w:r w:rsidRPr="008B4DC9">
        <w:rPr>
          <w:rFonts w:ascii="Book Antiqua" w:hAnsi="Book Antiqua"/>
          <w:b/>
          <w:bCs/>
        </w:rPr>
        <w:t>9</w:t>
      </w:r>
      <w:r w:rsidRPr="008B4DC9">
        <w:rPr>
          <w:rFonts w:ascii="Book Antiqua" w:hAnsi="Book Antiqua"/>
        </w:rPr>
        <w:t>: 2880-2882 [PMID: 14669360 DOI: 10.3748/wjg.v9.i12.2880]</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46 </w:t>
      </w:r>
      <w:r w:rsidRPr="008B4DC9">
        <w:rPr>
          <w:rFonts w:ascii="Book Antiqua" w:hAnsi="Book Antiqua"/>
          <w:b/>
          <w:bCs/>
        </w:rPr>
        <w:t>Strehl J</w:t>
      </w:r>
      <w:r w:rsidRPr="008B4DC9">
        <w:rPr>
          <w:rFonts w:ascii="Book Antiqua" w:hAnsi="Book Antiqua"/>
        </w:rPr>
        <w:t xml:space="preserve">, Schepke M, Wardelmann E, Caselmann WH, Sauerbruch T. [Chronic diarrhea in a 43-year-old patient]. </w:t>
      </w:r>
      <w:r w:rsidRPr="008B4DC9">
        <w:rPr>
          <w:rFonts w:ascii="Book Antiqua" w:hAnsi="Book Antiqua"/>
          <w:i/>
          <w:iCs/>
        </w:rPr>
        <w:t>Internist (Berl)</w:t>
      </w:r>
      <w:r w:rsidRPr="008B4DC9">
        <w:rPr>
          <w:rFonts w:ascii="Book Antiqua" w:hAnsi="Book Antiqua"/>
        </w:rPr>
        <w:t xml:space="preserve"> 2003; </w:t>
      </w:r>
      <w:r w:rsidRPr="008B4DC9">
        <w:rPr>
          <w:rFonts w:ascii="Book Antiqua" w:hAnsi="Book Antiqua"/>
          <w:b/>
          <w:bCs/>
        </w:rPr>
        <w:t>44</w:t>
      </w:r>
      <w:r w:rsidRPr="008B4DC9">
        <w:rPr>
          <w:rFonts w:ascii="Book Antiqua" w:hAnsi="Book Antiqua"/>
        </w:rPr>
        <w:t>: 626-630 [PMID: 12966790 DOI: 10.1007/s00108-003-0856-1]</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47 </w:t>
      </w:r>
      <w:r w:rsidRPr="008B4DC9">
        <w:rPr>
          <w:rFonts w:ascii="Book Antiqua" w:hAnsi="Book Antiqua"/>
          <w:b/>
          <w:bCs/>
        </w:rPr>
        <w:t>Klingenberg RD</w:t>
      </w:r>
      <w:r w:rsidRPr="008B4DC9">
        <w:rPr>
          <w:rFonts w:ascii="Book Antiqua" w:hAnsi="Book Antiqua"/>
        </w:rPr>
        <w:t xml:space="preserve">, Homann N, Ludwig D. Type I intestinal lymphangiectasia treated successfully with slow-release octreotide. </w:t>
      </w:r>
      <w:r w:rsidRPr="008B4DC9">
        <w:rPr>
          <w:rFonts w:ascii="Book Antiqua" w:hAnsi="Book Antiqua"/>
          <w:i/>
          <w:iCs/>
        </w:rPr>
        <w:t>Dig Dis Sci</w:t>
      </w:r>
      <w:r w:rsidRPr="008B4DC9">
        <w:rPr>
          <w:rFonts w:ascii="Book Antiqua" w:hAnsi="Book Antiqua"/>
        </w:rPr>
        <w:t xml:space="preserve"> 2003; </w:t>
      </w:r>
      <w:r w:rsidRPr="008B4DC9">
        <w:rPr>
          <w:rFonts w:ascii="Book Antiqua" w:hAnsi="Book Antiqua"/>
          <w:b/>
          <w:bCs/>
        </w:rPr>
        <w:t>48</w:t>
      </w:r>
      <w:r w:rsidRPr="008B4DC9">
        <w:rPr>
          <w:rFonts w:ascii="Book Antiqua" w:hAnsi="Book Antiqua"/>
        </w:rPr>
        <w:t>: 1506-1509 [PMID: 12924644 DOI: 10.1023/a:1024707605493]</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48 </w:t>
      </w:r>
      <w:r w:rsidRPr="008B4DC9">
        <w:rPr>
          <w:rFonts w:ascii="Book Antiqua" w:hAnsi="Book Antiqua"/>
          <w:b/>
          <w:bCs/>
        </w:rPr>
        <w:t>Kuroiwa G</w:t>
      </w:r>
      <w:r w:rsidRPr="008B4DC9">
        <w:rPr>
          <w:rFonts w:ascii="Book Antiqua" w:hAnsi="Book Antiqua"/>
        </w:rPr>
        <w:t xml:space="preserve">, Takayama T, Sato Y, Takahashi Y, Fujita T, Nobuoka A, Kukitsu T, Kato J, Sakamaki S, Niitsu Y. Primary intestinal lymphangiectasia successfully treated with octreotide. </w:t>
      </w:r>
      <w:r w:rsidRPr="008B4DC9">
        <w:rPr>
          <w:rFonts w:ascii="Book Antiqua" w:hAnsi="Book Antiqua"/>
          <w:i/>
          <w:iCs/>
        </w:rPr>
        <w:t>J Gastroenterol</w:t>
      </w:r>
      <w:r w:rsidRPr="008B4DC9">
        <w:rPr>
          <w:rFonts w:ascii="Book Antiqua" w:hAnsi="Book Antiqua"/>
        </w:rPr>
        <w:t xml:space="preserve"> 2001; </w:t>
      </w:r>
      <w:r w:rsidRPr="008B4DC9">
        <w:rPr>
          <w:rFonts w:ascii="Book Antiqua" w:hAnsi="Book Antiqua"/>
          <w:b/>
          <w:bCs/>
        </w:rPr>
        <w:t>36</w:t>
      </w:r>
      <w:r w:rsidRPr="008B4DC9">
        <w:rPr>
          <w:rFonts w:ascii="Book Antiqua" w:hAnsi="Book Antiqua"/>
        </w:rPr>
        <w:t>: 129-132 [PMID: 11227670 DOI: 10.1007/s005350170142]</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49 </w:t>
      </w:r>
      <w:r w:rsidRPr="008B4DC9">
        <w:rPr>
          <w:rFonts w:ascii="Book Antiqua" w:hAnsi="Book Antiqua"/>
          <w:b/>
          <w:bCs/>
        </w:rPr>
        <w:t>Keberle M</w:t>
      </w:r>
      <w:r w:rsidRPr="008B4DC9">
        <w:rPr>
          <w:rFonts w:ascii="Book Antiqua" w:hAnsi="Book Antiqua"/>
        </w:rPr>
        <w:t xml:space="preserve">, Mörk H, Jenett M, Hahn D, Scheurlen M. Computed tomography after lymphangiography in the diagnosis of intestinal lymphangiectasia with protein-losing enteropathy in Noonan's syndrome. </w:t>
      </w:r>
      <w:r w:rsidRPr="008B4DC9">
        <w:rPr>
          <w:rFonts w:ascii="Book Antiqua" w:hAnsi="Book Antiqua"/>
          <w:i/>
          <w:iCs/>
        </w:rPr>
        <w:t>Eur Radiol</w:t>
      </w:r>
      <w:r w:rsidRPr="008B4DC9">
        <w:rPr>
          <w:rFonts w:ascii="Book Antiqua" w:hAnsi="Book Antiqua"/>
        </w:rPr>
        <w:t xml:space="preserve"> 2000; </w:t>
      </w:r>
      <w:r w:rsidRPr="008B4DC9">
        <w:rPr>
          <w:rFonts w:ascii="Book Antiqua" w:hAnsi="Book Antiqua"/>
          <w:b/>
          <w:bCs/>
        </w:rPr>
        <w:t>10</w:t>
      </w:r>
      <w:r w:rsidRPr="008B4DC9">
        <w:rPr>
          <w:rFonts w:ascii="Book Antiqua" w:hAnsi="Book Antiqua"/>
        </w:rPr>
        <w:t>: 1591-1593 [PMID: 11044930 DOI: 10.1007/s003300000384]</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50 </w:t>
      </w:r>
      <w:r w:rsidRPr="008B4DC9">
        <w:rPr>
          <w:rFonts w:ascii="Book Antiqua" w:hAnsi="Book Antiqua"/>
          <w:b/>
          <w:bCs/>
        </w:rPr>
        <w:t>Alfano V</w:t>
      </w:r>
      <w:r w:rsidRPr="008B4DC9">
        <w:rPr>
          <w:rFonts w:ascii="Book Antiqua" w:hAnsi="Book Antiqua"/>
        </w:rPr>
        <w:t xml:space="preserve">, Tritto G, Alfonsi L, Cella A, Pasanisi F, Contaldo F. Stable reversal of pathologic signs of primitive intestinal lymphangiectasia with a hypolipidic, MCT-enriched diet. </w:t>
      </w:r>
      <w:r w:rsidRPr="008B4DC9">
        <w:rPr>
          <w:rFonts w:ascii="Book Antiqua" w:hAnsi="Book Antiqua"/>
          <w:i/>
          <w:iCs/>
        </w:rPr>
        <w:t>Nutrition</w:t>
      </w:r>
      <w:r w:rsidRPr="008B4DC9">
        <w:rPr>
          <w:rFonts w:ascii="Book Antiqua" w:hAnsi="Book Antiqua"/>
        </w:rPr>
        <w:t xml:space="preserve"> 2000; </w:t>
      </w:r>
      <w:r w:rsidRPr="008B4DC9">
        <w:rPr>
          <w:rFonts w:ascii="Book Antiqua" w:hAnsi="Book Antiqua"/>
          <w:b/>
          <w:bCs/>
        </w:rPr>
        <w:t>16</w:t>
      </w:r>
      <w:r w:rsidRPr="008B4DC9">
        <w:rPr>
          <w:rFonts w:ascii="Book Antiqua" w:hAnsi="Book Antiqua"/>
        </w:rPr>
        <w:t>: 303-304 [PMID: 10758368 DOI: 10.1016/s0899-9007(00)00223-9]</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51 </w:t>
      </w:r>
      <w:r w:rsidRPr="008B4DC9">
        <w:rPr>
          <w:rFonts w:ascii="Book Antiqua" w:hAnsi="Book Antiqua"/>
          <w:b/>
          <w:bCs/>
        </w:rPr>
        <w:t>Bouhnik Y</w:t>
      </w:r>
      <w:r w:rsidRPr="008B4DC9">
        <w:rPr>
          <w:rFonts w:ascii="Book Antiqua" w:hAnsi="Book Antiqua"/>
        </w:rPr>
        <w:t xml:space="preserve">, Etienney I, Nemeth J, Thevenot T, Lavergne-Slove A, Matuchansky C. Very late onset small intestinal B cell lymphoma associated with primary intestinal lymphangiectasia and diffuse cutaneous warts. </w:t>
      </w:r>
      <w:r w:rsidRPr="008B4DC9">
        <w:rPr>
          <w:rFonts w:ascii="Book Antiqua" w:hAnsi="Book Antiqua"/>
          <w:i/>
          <w:iCs/>
        </w:rPr>
        <w:t>Gut</w:t>
      </w:r>
      <w:r w:rsidRPr="008B4DC9">
        <w:rPr>
          <w:rFonts w:ascii="Book Antiqua" w:hAnsi="Book Antiqua"/>
        </w:rPr>
        <w:t xml:space="preserve"> 2000; </w:t>
      </w:r>
      <w:r w:rsidRPr="008B4DC9">
        <w:rPr>
          <w:rFonts w:ascii="Book Antiqua" w:hAnsi="Book Antiqua"/>
          <w:b/>
          <w:bCs/>
        </w:rPr>
        <w:t>47</w:t>
      </w:r>
      <w:r w:rsidRPr="008B4DC9">
        <w:rPr>
          <w:rFonts w:ascii="Book Antiqua" w:hAnsi="Book Antiqua"/>
        </w:rPr>
        <w:t>: 296-300 [PMID: 10896925 DOI: 10.1136/gut.47.2.296]</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52 </w:t>
      </w:r>
      <w:r w:rsidRPr="008B4DC9">
        <w:rPr>
          <w:rFonts w:ascii="Book Antiqua" w:hAnsi="Book Antiqua"/>
          <w:b/>
          <w:bCs/>
        </w:rPr>
        <w:t>Gumà J</w:t>
      </w:r>
      <w:r w:rsidRPr="008B4DC9">
        <w:rPr>
          <w:rFonts w:ascii="Book Antiqua" w:hAnsi="Book Antiqua"/>
        </w:rPr>
        <w:t xml:space="preserve">, Rubió J, Masip C, Alvaro T, Borràs JL. Aggressive bowel lymphoma in a patient with intestinal lymphangiectasia and widespread viral warts. </w:t>
      </w:r>
      <w:r w:rsidRPr="008B4DC9">
        <w:rPr>
          <w:rFonts w:ascii="Book Antiqua" w:hAnsi="Book Antiqua"/>
          <w:i/>
          <w:iCs/>
        </w:rPr>
        <w:t>Ann Oncol</w:t>
      </w:r>
      <w:r w:rsidRPr="008B4DC9">
        <w:rPr>
          <w:rFonts w:ascii="Book Antiqua" w:hAnsi="Book Antiqua"/>
        </w:rPr>
        <w:t xml:space="preserve"> 1998; </w:t>
      </w:r>
      <w:r w:rsidRPr="008B4DC9">
        <w:rPr>
          <w:rFonts w:ascii="Book Antiqua" w:hAnsi="Book Antiqua"/>
          <w:b/>
          <w:bCs/>
        </w:rPr>
        <w:t>9</w:t>
      </w:r>
      <w:r w:rsidRPr="008B4DC9">
        <w:rPr>
          <w:rFonts w:ascii="Book Antiqua" w:hAnsi="Book Antiqua"/>
        </w:rPr>
        <w:t>: 1355-1356 [PMID: 9932170 DOI: 10.1023/a:1008496900822]</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53 </w:t>
      </w:r>
      <w:r w:rsidRPr="008B4DC9">
        <w:rPr>
          <w:rFonts w:ascii="Book Antiqua" w:hAnsi="Book Antiqua"/>
          <w:b/>
          <w:bCs/>
        </w:rPr>
        <w:t>Lenzhofer R</w:t>
      </w:r>
      <w:r w:rsidRPr="008B4DC9">
        <w:rPr>
          <w:rFonts w:ascii="Book Antiqua" w:hAnsi="Book Antiqua"/>
        </w:rPr>
        <w:t xml:space="preserve">, Lindner M, Moser A, Berger J, Schuschnigg C, Thurner J. Acute jejunal ileus in intestinal lymphangiectasia. </w:t>
      </w:r>
      <w:r w:rsidRPr="008B4DC9">
        <w:rPr>
          <w:rFonts w:ascii="Book Antiqua" w:hAnsi="Book Antiqua"/>
          <w:i/>
          <w:iCs/>
        </w:rPr>
        <w:t>Clin Investig</w:t>
      </w:r>
      <w:r w:rsidRPr="008B4DC9">
        <w:rPr>
          <w:rFonts w:ascii="Book Antiqua" w:hAnsi="Book Antiqua"/>
        </w:rPr>
        <w:t xml:space="preserve"> 1993; </w:t>
      </w:r>
      <w:r w:rsidRPr="008B4DC9">
        <w:rPr>
          <w:rFonts w:ascii="Book Antiqua" w:hAnsi="Book Antiqua"/>
          <w:b/>
          <w:bCs/>
        </w:rPr>
        <w:t>71</w:t>
      </w:r>
      <w:r w:rsidRPr="008B4DC9">
        <w:rPr>
          <w:rFonts w:ascii="Book Antiqua" w:hAnsi="Book Antiqua"/>
        </w:rPr>
        <w:t>: 568-571 [PMID: 8374252 DOI: 10.1007/bf00208483]</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54 </w:t>
      </w:r>
      <w:r w:rsidRPr="008B4DC9">
        <w:rPr>
          <w:rFonts w:ascii="Book Antiqua" w:hAnsi="Book Antiqua"/>
          <w:b/>
          <w:bCs/>
        </w:rPr>
        <w:t>Wen J</w:t>
      </w:r>
      <w:r w:rsidRPr="008B4DC9">
        <w:rPr>
          <w:rFonts w:ascii="Book Antiqua" w:hAnsi="Book Antiqua"/>
        </w:rPr>
        <w:t xml:space="preserve">, Tang Q, Wu J, Wang Y, Cai W. Primary intestinal lymphangiectasia: four case reports and a review of the literature. </w:t>
      </w:r>
      <w:r w:rsidRPr="008B4DC9">
        <w:rPr>
          <w:rFonts w:ascii="Book Antiqua" w:hAnsi="Book Antiqua"/>
          <w:i/>
          <w:iCs/>
        </w:rPr>
        <w:t>Dig Dis Sci</w:t>
      </w:r>
      <w:r w:rsidRPr="008B4DC9">
        <w:rPr>
          <w:rFonts w:ascii="Book Antiqua" w:hAnsi="Book Antiqua"/>
        </w:rPr>
        <w:t xml:space="preserve"> 2010; </w:t>
      </w:r>
      <w:r w:rsidRPr="008B4DC9">
        <w:rPr>
          <w:rFonts w:ascii="Book Antiqua" w:hAnsi="Book Antiqua"/>
          <w:b/>
          <w:bCs/>
        </w:rPr>
        <w:t>55</w:t>
      </w:r>
      <w:r w:rsidRPr="008B4DC9">
        <w:rPr>
          <w:rFonts w:ascii="Book Antiqua" w:hAnsi="Book Antiqua"/>
        </w:rPr>
        <w:t>: 3466-3472 [PMID: 20198428 DOI: 10.1007/s10620-010-1161-1]</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55 </w:t>
      </w:r>
      <w:r w:rsidRPr="008B4DC9">
        <w:rPr>
          <w:rFonts w:ascii="Book Antiqua" w:hAnsi="Book Antiqua"/>
          <w:b/>
          <w:bCs/>
        </w:rPr>
        <w:t>Morfoisse F</w:t>
      </w:r>
      <w:r w:rsidRPr="008B4DC9">
        <w:rPr>
          <w:rFonts w:ascii="Book Antiqua" w:hAnsi="Book Antiqua"/>
        </w:rPr>
        <w:t xml:space="preserve">, Tatin F, Chaput B, Therville N, Vaysse C, Métivier R, Malloizel-Delaunay J, Pujol F, Godet AC, De Toni F, Boudou F, Grenier K, Dubuc D, Lacazette E, Prats AC, Guillermet-Guibert J, Lenfant F, Garmy-Susini B. Lymphatic Vasculature Requires Estrogen Receptor-α Signaling to Protect From Lymphedema. </w:t>
      </w:r>
      <w:r w:rsidRPr="008B4DC9">
        <w:rPr>
          <w:rFonts w:ascii="Book Antiqua" w:hAnsi="Book Antiqua"/>
          <w:i/>
          <w:iCs/>
        </w:rPr>
        <w:t>Arterioscler Thromb Vasc Biol</w:t>
      </w:r>
      <w:r w:rsidRPr="008B4DC9">
        <w:rPr>
          <w:rFonts w:ascii="Book Antiqua" w:hAnsi="Book Antiqua"/>
        </w:rPr>
        <w:t xml:space="preserve"> 2018; </w:t>
      </w:r>
      <w:r w:rsidRPr="008B4DC9">
        <w:rPr>
          <w:rFonts w:ascii="Book Antiqua" w:hAnsi="Book Antiqua"/>
          <w:b/>
          <w:bCs/>
        </w:rPr>
        <w:t>38</w:t>
      </w:r>
      <w:r w:rsidRPr="008B4DC9">
        <w:rPr>
          <w:rFonts w:ascii="Book Antiqua" w:hAnsi="Book Antiqua"/>
        </w:rPr>
        <w:t>: 1346-1357 [PMID: 29650694 DOI: 10.1161/ATVBAHA.118.310997]</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56 </w:t>
      </w:r>
      <w:r w:rsidRPr="008B4DC9">
        <w:rPr>
          <w:rFonts w:ascii="Book Antiqua" w:hAnsi="Book Antiqua"/>
          <w:b/>
          <w:bCs/>
        </w:rPr>
        <w:t>Florent C</w:t>
      </w:r>
      <w:r w:rsidRPr="008B4DC9">
        <w:rPr>
          <w:rFonts w:ascii="Book Antiqua" w:hAnsi="Book Antiqua"/>
        </w:rPr>
        <w:t xml:space="preserve">, L'Hirondel C, Desmazures C, Aymes C, Bernier JJ. Intestinal clearance of alpha 1-antitrypsin. A sensitive method for the detection of protein-losing enteropathy. </w:t>
      </w:r>
      <w:r w:rsidRPr="008B4DC9">
        <w:rPr>
          <w:rFonts w:ascii="Book Antiqua" w:hAnsi="Book Antiqua"/>
          <w:i/>
          <w:iCs/>
        </w:rPr>
        <w:t>Gastroenterology</w:t>
      </w:r>
      <w:r w:rsidRPr="008B4DC9">
        <w:rPr>
          <w:rFonts w:ascii="Book Antiqua" w:hAnsi="Book Antiqua"/>
        </w:rPr>
        <w:t xml:space="preserve"> 1981; </w:t>
      </w:r>
      <w:r w:rsidRPr="008B4DC9">
        <w:rPr>
          <w:rFonts w:ascii="Book Antiqua" w:hAnsi="Book Antiqua"/>
          <w:b/>
          <w:bCs/>
        </w:rPr>
        <w:t>81</w:t>
      </w:r>
      <w:r w:rsidRPr="008B4DC9">
        <w:rPr>
          <w:rFonts w:ascii="Book Antiqua" w:hAnsi="Book Antiqua"/>
        </w:rPr>
        <w:t>: 777-780 [PMID: 6973500</w:t>
      </w:r>
      <w:r w:rsidR="00BB7159">
        <w:rPr>
          <w:rFonts w:ascii="Book Antiqua" w:hAnsi="Book Antiqua" w:hint="eastAsia"/>
          <w:lang w:eastAsia="zh-CN"/>
        </w:rPr>
        <w:t xml:space="preserve"> DOI: </w:t>
      </w:r>
      <w:r w:rsidR="00BB7159" w:rsidRPr="00BB7159">
        <w:rPr>
          <w:rFonts w:ascii="Book Antiqua" w:hAnsi="Book Antiqua"/>
          <w:lang w:eastAsia="zh-CN"/>
        </w:rPr>
        <w:t>10.1016/0016-5085(81)90506-0</w:t>
      </w:r>
      <w:r w:rsidRPr="008B4DC9">
        <w:rPr>
          <w:rFonts w:ascii="Book Antiqua" w:hAnsi="Book Antiqua"/>
        </w:rPr>
        <w:t>]</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57 </w:t>
      </w:r>
      <w:r w:rsidRPr="008B4DC9">
        <w:rPr>
          <w:rFonts w:ascii="Book Antiqua" w:hAnsi="Book Antiqua"/>
          <w:b/>
          <w:bCs/>
        </w:rPr>
        <w:t>Reubi JC</w:t>
      </w:r>
      <w:r w:rsidRPr="008B4DC9">
        <w:rPr>
          <w:rFonts w:ascii="Book Antiqua" w:hAnsi="Book Antiqua"/>
        </w:rPr>
        <w:t xml:space="preserve">, Laissue JA, Waser B, Steffen DL, Hipkin RW, Schonbrunn A. Immunohistochemical detection of somatostatin sst2a receptors in the lymphatic, smooth muscular, and peripheral nervous systems of the human gastrointestinal tract: facts and artifacts. </w:t>
      </w:r>
      <w:r w:rsidRPr="008B4DC9">
        <w:rPr>
          <w:rFonts w:ascii="Book Antiqua" w:hAnsi="Book Antiqua"/>
          <w:i/>
          <w:iCs/>
        </w:rPr>
        <w:t>J Clin Endocrinol Metab</w:t>
      </w:r>
      <w:r w:rsidRPr="008B4DC9">
        <w:rPr>
          <w:rFonts w:ascii="Book Antiqua" w:hAnsi="Book Antiqua"/>
        </w:rPr>
        <w:t xml:space="preserve"> 1999; </w:t>
      </w:r>
      <w:r w:rsidRPr="008B4DC9">
        <w:rPr>
          <w:rFonts w:ascii="Book Antiqua" w:hAnsi="Book Antiqua"/>
          <w:b/>
          <w:bCs/>
        </w:rPr>
        <w:t>84</w:t>
      </w:r>
      <w:r w:rsidRPr="008B4DC9">
        <w:rPr>
          <w:rFonts w:ascii="Book Antiqua" w:hAnsi="Book Antiqua"/>
        </w:rPr>
        <w:t>: 2942-2950 [PMID: 10443702 DOI: 10.1210/jcem.84.8.5878]</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58 </w:t>
      </w:r>
      <w:r w:rsidRPr="008B4DC9">
        <w:rPr>
          <w:rFonts w:ascii="Book Antiqua" w:hAnsi="Book Antiqua"/>
          <w:b/>
          <w:bCs/>
        </w:rPr>
        <w:t>Ballinger AB</w:t>
      </w:r>
      <w:r w:rsidRPr="008B4DC9">
        <w:rPr>
          <w:rFonts w:ascii="Book Antiqua" w:hAnsi="Book Antiqua"/>
        </w:rPr>
        <w:t xml:space="preserve">, Farthing MJ. Octreotide in the treatment of intestinal lymphangiectasia. </w:t>
      </w:r>
      <w:r w:rsidRPr="008B4DC9">
        <w:rPr>
          <w:rFonts w:ascii="Book Antiqua" w:hAnsi="Book Antiqua"/>
          <w:i/>
          <w:iCs/>
        </w:rPr>
        <w:t>Eur J Gastroenterol Hepatol</w:t>
      </w:r>
      <w:r w:rsidRPr="008B4DC9">
        <w:rPr>
          <w:rFonts w:ascii="Book Antiqua" w:hAnsi="Book Antiqua"/>
        </w:rPr>
        <w:t xml:space="preserve"> 1998; </w:t>
      </w:r>
      <w:r w:rsidRPr="008B4DC9">
        <w:rPr>
          <w:rFonts w:ascii="Book Antiqua" w:hAnsi="Book Antiqua"/>
          <w:b/>
          <w:bCs/>
        </w:rPr>
        <w:t>10</w:t>
      </w:r>
      <w:r w:rsidRPr="008B4DC9">
        <w:rPr>
          <w:rFonts w:ascii="Book Antiqua" w:hAnsi="Book Antiqua"/>
        </w:rPr>
        <w:t>: 699-702 [PMID: 9744700]</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59 </w:t>
      </w:r>
      <w:r w:rsidRPr="008B4DC9">
        <w:rPr>
          <w:rFonts w:ascii="Book Antiqua" w:hAnsi="Book Antiqua"/>
          <w:b/>
          <w:bCs/>
        </w:rPr>
        <w:t>Sari S</w:t>
      </w:r>
      <w:r w:rsidRPr="008B4DC9">
        <w:rPr>
          <w:rFonts w:ascii="Book Antiqua" w:hAnsi="Book Antiqua"/>
        </w:rPr>
        <w:t xml:space="preserve">, Baris Z, Dalgic B. Primary intestinal lymphangiectasia in children: is octreotide an effective and safe option in the treatment? </w:t>
      </w:r>
      <w:r w:rsidRPr="008B4DC9">
        <w:rPr>
          <w:rFonts w:ascii="Book Antiqua" w:hAnsi="Book Antiqua"/>
          <w:i/>
          <w:iCs/>
        </w:rPr>
        <w:t>J Pediatr Gastroenterol Nutr</w:t>
      </w:r>
      <w:r w:rsidRPr="008B4DC9">
        <w:rPr>
          <w:rFonts w:ascii="Book Antiqua" w:hAnsi="Book Antiqua"/>
        </w:rPr>
        <w:t xml:space="preserve"> 2010; </w:t>
      </w:r>
      <w:r w:rsidRPr="008B4DC9">
        <w:rPr>
          <w:rFonts w:ascii="Book Antiqua" w:hAnsi="Book Antiqua"/>
          <w:b/>
          <w:bCs/>
        </w:rPr>
        <w:t>51</w:t>
      </w:r>
      <w:r w:rsidRPr="008B4DC9">
        <w:rPr>
          <w:rFonts w:ascii="Book Antiqua" w:hAnsi="Book Antiqua"/>
        </w:rPr>
        <w:t>: 454-457 [PMID: 20512058 DOI: 10.1097/MPG.0b013e3181d1b162]</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60 </w:t>
      </w:r>
      <w:r w:rsidRPr="008B4DC9">
        <w:rPr>
          <w:rFonts w:ascii="Book Antiqua" w:hAnsi="Book Antiqua"/>
          <w:b/>
          <w:bCs/>
        </w:rPr>
        <w:t>Ozeki M</w:t>
      </w:r>
      <w:r w:rsidRPr="008B4DC9">
        <w:rPr>
          <w:rFonts w:ascii="Book Antiqua" w:hAnsi="Book Antiqua"/>
        </w:rPr>
        <w:t xml:space="preserve">, Hori T, Kanda K, Kawamoto N, Ibuka T, Miyazaki T, Fukao T. Everolimus for Primary Intestinal Lymphangiectasia With Protein-Losing Enteropathy. </w:t>
      </w:r>
      <w:r w:rsidRPr="008B4DC9">
        <w:rPr>
          <w:rFonts w:ascii="Book Antiqua" w:hAnsi="Book Antiqua"/>
          <w:i/>
          <w:iCs/>
        </w:rPr>
        <w:t>Pediatrics</w:t>
      </w:r>
      <w:r w:rsidRPr="008B4DC9">
        <w:rPr>
          <w:rFonts w:ascii="Book Antiqua" w:hAnsi="Book Antiqua"/>
        </w:rPr>
        <w:t xml:space="preserve"> 2016; </w:t>
      </w:r>
      <w:r w:rsidRPr="008B4DC9">
        <w:rPr>
          <w:rFonts w:ascii="Book Antiqua" w:hAnsi="Book Antiqua"/>
          <w:b/>
          <w:bCs/>
        </w:rPr>
        <w:t>137</w:t>
      </w:r>
      <w:r w:rsidRPr="008B4DC9">
        <w:rPr>
          <w:rFonts w:ascii="Book Antiqua" w:hAnsi="Book Antiqua"/>
        </w:rPr>
        <w:t>: e20152562 [PMID: 26908672 DOI: 10.1542/peds.2015-2562]</w:t>
      </w:r>
    </w:p>
    <w:p w:rsidR="009A6057" w:rsidRPr="008B4DC9" w:rsidRDefault="009A6057" w:rsidP="008B4DC9">
      <w:pPr>
        <w:snapToGrid w:val="0"/>
        <w:spacing w:line="360" w:lineRule="auto"/>
        <w:jc w:val="both"/>
        <w:rPr>
          <w:rFonts w:ascii="Book Antiqua" w:hAnsi="Book Antiqua"/>
        </w:rPr>
      </w:pPr>
      <w:r w:rsidRPr="008B4DC9">
        <w:rPr>
          <w:rFonts w:ascii="Book Antiqua" w:hAnsi="Book Antiqua"/>
        </w:rPr>
        <w:t xml:space="preserve">61 </w:t>
      </w:r>
      <w:r w:rsidRPr="008B4DC9">
        <w:rPr>
          <w:rFonts w:ascii="Book Antiqua" w:hAnsi="Book Antiqua"/>
          <w:b/>
          <w:bCs/>
        </w:rPr>
        <w:t>Patel KV</w:t>
      </w:r>
      <w:r w:rsidRPr="008B4DC9">
        <w:rPr>
          <w:rFonts w:ascii="Book Antiqua" w:hAnsi="Book Antiqua"/>
        </w:rPr>
        <w:t xml:space="preserve">, Goel RM, Wong T. Diffuse large B-cell lymphoma recurrence complicating primary intestinal lymphangiectasia. </w:t>
      </w:r>
      <w:r w:rsidRPr="008B4DC9">
        <w:rPr>
          <w:rFonts w:ascii="Book Antiqua" w:hAnsi="Book Antiqua"/>
          <w:i/>
          <w:iCs/>
        </w:rPr>
        <w:t>Clin Gastroenterol Hepatol</w:t>
      </w:r>
      <w:r w:rsidRPr="008B4DC9">
        <w:rPr>
          <w:rFonts w:ascii="Book Antiqua" w:hAnsi="Book Antiqua"/>
        </w:rPr>
        <w:t xml:space="preserve"> 2013; </w:t>
      </w:r>
      <w:r w:rsidRPr="008B4DC9">
        <w:rPr>
          <w:rFonts w:ascii="Book Antiqua" w:hAnsi="Book Antiqua"/>
          <w:b/>
          <w:bCs/>
        </w:rPr>
        <w:t>11</w:t>
      </w:r>
      <w:r w:rsidRPr="008B4DC9">
        <w:rPr>
          <w:rFonts w:ascii="Book Antiqua" w:hAnsi="Book Antiqua"/>
        </w:rPr>
        <w:t>: e86-e87 [PMID: 23591283 DOI: 10.1016/j.cgh.2013.03.028]</w:t>
      </w:r>
    </w:p>
    <w:p w:rsidR="00A77B3E" w:rsidRPr="008B4DC9" w:rsidRDefault="009A6057" w:rsidP="008B4DC9">
      <w:pPr>
        <w:snapToGrid w:val="0"/>
        <w:spacing w:line="360" w:lineRule="auto"/>
        <w:jc w:val="both"/>
        <w:rPr>
          <w:rFonts w:ascii="Book Antiqua" w:hAnsi="Book Antiqua"/>
        </w:rPr>
      </w:pPr>
      <w:r w:rsidRPr="008B4DC9">
        <w:rPr>
          <w:rFonts w:ascii="Book Antiqua" w:eastAsia="Book Antiqua" w:hAnsi="Book Antiqua" w:cs="Book Antiqua"/>
          <w:color w:val="000000"/>
        </w:rPr>
        <w:br w:type="page"/>
      </w:r>
      <w:r w:rsidR="00072B3F" w:rsidRPr="008B4DC9">
        <w:rPr>
          <w:rFonts w:ascii="Book Antiqua" w:eastAsia="Book Antiqua" w:hAnsi="Book Antiqua" w:cs="Book Antiqua"/>
          <w:b/>
          <w:color w:val="000000"/>
        </w:rPr>
        <w:t>Footnotes</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Informed consent statement: </w:t>
      </w:r>
      <w:bookmarkStart w:id="45" w:name="OLE_LINK47"/>
      <w:bookmarkStart w:id="46" w:name="OLE_LINK48"/>
      <w:r w:rsidRPr="008B4DC9">
        <w:rPr>
          <w:rFonts w:ascii="Book Antiqua" w:eastAsia="Book Antiqua" w:hAnsi="Book Antiqua" w:cs="Book Antiqua"/>
          <w:color w:val="000000"/>
        </w:rPr>
        <w:t>The patient consented to her case being published anonymously.</w:t>
      </w:r>
    </w:p>
    <w:bookmarkEnd w:id="45"/>
    <w:bookmarkEnd w:id="46"/>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Conflict-of-interest statement: </w:t>
      </w:r>
      <w:bookmarkStart w:id="47" w:name="OLE_LINK49"/>
      <w:bookmarkStart w:id="48" w:name="OLE_LINK50"/>
      <w:r w:rsidRPr="008B4DC9">
        <w:rPr>
          <w:rFonts w:ascii="Book Antiqua" w:eastAsia="Book Antiqua" w:hAnsi="Book Antiqua" w:cs="Book Antiqua"/>
          <w:color w:val="000000"/>
        </w:rPr>
        <w:t>The authors declare that they have no conflicts of interest regarding the submitted work. However, the follo</w:t>
      </w:r>
      <w:r w:rsidR="009A6057" w:rsidRPr="008B4DC9">
        <w:rPr>
          <w:rFonts w:ascii="Book Antiqua" w:eastAsia="Book Antiqua" w:hAnsi="Book Antiqua" w:cs="Book Antiqua"/>
          <w:color w:val="000000"/>
        </w:rPr>
        <w:t>w</w:t>
      </w:r>
      <w:r w:rsidRPr="008B4DC9">
        <w:rPr>
          <w:rFonts w:ascii="Book Antiqua" w:eastAsia="Book Antiqua" w:hAnsi="Book Antiqua" w:cs="Book Antiqua"/>
          <w:color w:val="000000"/>
        </w:rPr>
        <w:t xml:space="preserve">ing authors declare conflicts of interest outside the submitted work: </w:t>
      </w:r>
      <w:r w:rsidR="009A6057" w:rsidRPr="008B4DC9">
        <w:rPr>
          <w:rFonts w:ascii="Book Antiqua" w:eastAsia="Book Antiqua" w:hAnsi="Book Antiqua" w:cs="Book Antiqua"/>
          <w:color w:val="000000"/>
        </w:rPr>
        <w:t xml:space="preserve">Christian Datz </w:t>
      </w:r>
      <w:r w:rsidRPr="008B4DC9">
        <w:rPr>
          <w:rFonts w:ascii="Book Antiqua" w:eastAsia="Book Antiqua" w:hAnsi="Book Antiqua" w:cs="Book Antiqua"/>
          <w:color w:val="000000"/>
        </w:rPr>
        <w:t>serves as an advisory board member of SPAR Österreich Warenhandels AG.</w:t>
      </w:r>
    </w:p>
    <w:p w:rsidR="00A77B3E" w:rsidRPr="008B4DC9" w:rsidRDefault="00A77B3E" w:rsidP="008B4DC9">
      <w:pPr>
        <w:snapToGrid w:val="0"/>
        <w:spacing w:line="360" w:lineRule="auto"/>
        <w:jc w:val="both"/>
        <w:rPr>
          <w:rFonts w:ascii="Book Antiqua" w:hAnsi="Book Antiqua"/>
        </w:rPr>
      </w:pPr>
    </w:p>
    <w:bookmarkEnd w:id="47"/>
    <w:bookmarkEnd w:id="48"/>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CARE Checklist (2016) statement: </w:t>
      </w:r>
      <w:bookmarkStart w:id="49" w:name="OLE_LINK51"/>
      <w:bookmarkStart w:id="50" w:name="OLE_LINK52"/>
      <w:r w:rsidRPr="008B4DC9">
        <w:rPr>
          <w:rFonts w:ascii="Book Antiqua" w:eastAsia="Book Antiqua" w:hAnsi="Book Antiqua" w:cs="Book Antiqua"/>
          <w:bCs/>
          <w:color w:val="000000"/>
        </w:rPr>
        <w:t xml:space="preserve">The authors have read the CARE Checklist (2016), and the manuscript was prepared and revised according to the CARE Checklist (2016). </w:t>
      </w:r>
    </w:p>
    <w:bookmarkEnd w:id="49"/>
    <w:bookmarkEnd w:id="50"/>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bCs/>
          <w:color w:val="000000"/>
        </w:rPr>
        <w:t xml:space="preserve">Open-Access: </w:t>
      </w:r>
      <w:r w:rsidRPr="008B4DC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 xml:space="preserve">Manuscript source: </w:t>
      </w:r>
      <w:r w:rsidRPr="008B4DC9">
        <w:rPr>
          <w:rFonts w:ascii="Book Antiqua" w:eastAsia="Book Antiqua" w:hAnsi="Book Antiqua" w:cs="Book Antiqua"/>
          <w:color w:val="000000"/>
        </w:rPr>
        <w:t xml:space="preserve">Unsolicited </w:t>
      </w:r>
      <w:r w:rsidR="009A6057" w:rsidRPr="008B4DC9">
        <w:rPr>
          <w:rFonts w:ascii="Book Antiqua" w:eastAsia="Book Antiqua" w:hAnsi="Book Antiqua" w:cs="Book Antiqua"/>
          <w:color w:val="000000"/>
        </w:rPr>
        <w:t>manuscript</w:t>
      </w:r>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 xml:space="preserve">Peer-review started: </w:t>
      </w:r>
      <w:r w:rsidRPr="008B4DC9">
        <w:rPr>
          <w:rFonts w:ascii="Book Antiqua" w:eastAsia="Book Antiqua" w:hAnsi="Book Antiqua" w:cs="Book Antiqua"/>
          <w:color w:val="000000"/>
        </w:rPr>
        <w:t>October 2, 2020</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 xml:space="preserve">First decision: </w:t>
      </w:r>
      <w:r w:rsidRPr="008B4DC9">
        <w:rPr>
          <w:rFonts w:ascii="Book Antiqua" w:eastAsia="Book Antiqua" w:hAnsi="Book Antiqua" w:cs="Book Antiqua"/>
          <w:color w:val="000000"/>
        </w:rPr>
        <w:t>November 23, 2020</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 xml:space="preserve">Article in press: </w:t>
      </w:r>
      <w:r w:rsidR="000E67E3" w:rsidRPr="00F53EEE">
        <w:rPr>
          <w:rFonts w:ascii="Book Antiqua" w:eastAsia="Book Antiqua" w:hAnsi="Book Antiqua" w:cs="Book Antiqua" w:hint="eastAsia"/>
          <w:color w:val="000000"/>
        </w:rPr>
        <w:t>December 6, 2020</w:t>
      </w:r>
    </w:p>
    <w:p w:rsidR="00A77B3E" w:rsidRPr="008B4DC9" w:rsidRDefault="00A77B3E" w:rsidP="008B4DC9">
      <w:pPr>
        <w:snapToGrid w:val="0"/>
        <w:spacing w:line="360" w:lineRule="auto"/>
        <w:jc w:val="both"/>
        <w:rPr>
          <w:rFonts w:ascii="Book Antiqua" w:hAnsi="Book Antiqua"/>
        </w:rPr>
      </w:pP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 xml:space="preserve">Specialty type: </w:t>
      </w:r>
      <w:r w:rsidRPr="008B4DC9">
        <w:rPr>
          <w:rFonts w:ascii="Book Antiqua" w:eastAsia="Book Antiqua" w:hAnsi="Book Antiqua" w:cs="Book Antiqua"/>
          <w:color w:val="000000"/>
        </w:rPr>
        <w:t xml:space="preserve">Gastroenterology and </w:t>
      </w:r>
      <w:r w:rsidR="009A6057" w:rsidRPr="008B4DC9">
        <w:rPr>
          <w:rFonts w:ascii="Book Antiqua" w:eastAsia="Book Antiqua" w:hAnsi="Book Antiqua" w:cs="Book Antiqua"/>
          <w:color w:val="000000"/>
        </w:rPr>
        <w:t>hepatology</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 xml:space="preserve">Country/Territory of origin: </w:t>
      </w:r>
      <w:r w:rsidRPr="008B4DC9">
        <w:rPr>
          <w:rFonts w:ascii="Book Antiqua" w:eastAsia="Book Antiqua" w:hAnsi="Book Antiqua" w:cs="Book Antiqua"/>
          <w:color w:val="000000"/>
        </w:rPr>
        <w:t>Austria</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b/>
          <w:color w:val="000000"/>
        </w:rPr>
        <w:t>Peer-review report’s scientific quality classification</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color w:val="000000"/>
        </w:rPr>
        <w:t>Grade A (Excellent): A</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color w:val="000000"/>
        </w:rPr>
        <w:t>Grade B (Very good): B, B, B</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color w:val="000000"/>
        </w:rPr>
        <w:t>Grade C (Good): C</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color w:val="000000"/>
        </w:rPr>
        <w:t>Grade D (Fair): 0</w:t>
      </w:r>
    </w:p>
    <w:p w:rsidR="00A77B3E" w:rsidRPr="008B4DC9" w:rsidRDefault="00072B3F" w:rsidP="008B4DC9">
      <w:pPr>
        <w:snapToGrid w:val="0"/>
        <w:spacing w:line="360" w:lineRule="auto"/>
        <w:jc w:val="both"/>
        <w:rPr>
          <w:rFonts w:ascii="Book Antiqua" w:hAnsi="Book Antiqua"/>
        </w:rPr>
      </w:pPr>
      <w:r w:rsidRPr="008B4DC9">
        <w:rPr>
          <w:rFonts w:ascii="Book Antiqua" w:eastAsia="Book Antiqua" w:hAnsi="Book Antiqua" w:cs="Book Antiqua"/>
          <w:color w:val="000000"/>
        </w:rPr>
        <w:t>Grade E (Poor): 0</w:t>
      </w:r>
    </w:p>
    <w:p w:rsidR="00A77B3E" w:rsidRPr="008B4DC9" w:rsidRDefault="00A77B3E" w:rsidP="008B4DC9">
      <w:pPr>
        <w:snapToGrid w:val="0"/>
        <w:spacing w:line="360" w:lineRule="auto"/>
        <w:jc w:val="both"/>
        <w:rPr>
          <w:rFonts w:ascii="Book Antiqua" w:hAnsi="Book Antiqua"/>
        </w:rPr>
      </w:pPr>
    </w:p>
    <w:p w:rsidR="00A77B3E" w:rsidRPr="00B068EE" w:rsidRDefault="00072B3F" w:rsidP="008B4DC9">
      <w:pPr>
        <w:snapToGrid w:val="0"/>
        <w:spacing w:line="360" w:lineRule="auto"/>
        <w:jc w:val="both"/>
        <w:rPr>
          <w:rFonts w:ascii="Book Antiqua" w:hAnsi="Book Antiqua" w:cs="Book Antiqua"/>
          <w:b/>
          <w:color w:val="000000"/>
          <w:lang w:eastAsia="zh-CN"/>
        </w:rPr>
      </w:pPr>
      <w:r w:rsidRPr="008B4DC9">
        <w:rPr>
          <w:rFonts w:ascii="Book Antiqua" w:eastAsia="Book Antiqua" w:hAnsi="Book Antiqua" w:cs="Book Antiqua"/>
          <w:b/>
          <w:color w:val="000000"/>
        </w:rPr>
        <w:t xml:space="preserve">P-Reviewer: </w:t>
      </w:r>
      <w:r w:rsidRPr="008B4DC9">
        <w:rPr>
          <w:rFonts w:ascii="Book Antiqua" w:eastAsia="Book Antiqua" w:hAnsi="Book Antiqua" w:cs="Book Antiqua"/>
          <w:color w:val="000000"/>
        </w:rPr>
        <w:t>Li J, Mao Y, Wang ZJ, Yang JS</w:t>
      </w:r>
      <w:r w:rsidRPr="008B4DC9">
        <w:rPr>
          <w:rFonts w:ascii="Book Antiqua" w:eastAsia="Book Antiqua" w:hAnsi="Book Antiqua" w:cs="Book Antiqua"/>
          <w:b/>
          <w:color w:val="000000"/>
        </w:rPr>
        <w:t xml:space="preserve"> S-Editor: </w:t>
      </w:r>
      <w:r w:rsidRPr="008B4DC9">
        <w:rPr>
          <w:rFonts w:ascii="Book Antiqua" w:eastAsia="Book Antiqua" w:hAnsi="Book Antiqua" w:cs="Book Antiqua"/>
          <w:color w:val="000000"/>
        </w:rPr>
        <w:t>Zhang L</w:t>
      </w:r>
      <w:r w:rsidR="003F1AFE" w:rsidRPr="008B4DC9">
        <w:rPr>
          <w:rFonts w:ascii="Book Antiqua" w:eastAsia="Book Antiqua" w:hAnsi="Book Antiqua" w:cs="Book Antiqua"/>
          <w:b/>
          <w:color w:val="000000"/>
        </w:rPr>
        <w:t xml:space="preserve"> L-Editor:</w:t>
      </w:r>
      <w:r w:rsidR="003F1AFE" w:rsidRPr="00B068EE">
        <w:rPr>
          <w:rFonts w:ascii="Book Antiqua" w:eastAsia="Book Antiqua" w:hAnsi="Book Antiqua" w:cs="Book Antiqua"/>
          <w:color w:val="000000"/>
        </w:rPr>
        <w:t xml:space="preserve"> </w:t>
      </w:r>
      <w:r w:rsidR="00B068EE" w:rsidRPr="00B068EE">
        <w:rPr>
          <w:rFonts w:ascii="Book Antiqua" w:hAnsi="Book Antiqua" w:cs="Book Antiqua" w:hint="eastAsia"/>
          <w:color w:val="000000"/>
          <w:lang w:eastAsia="zh-CN"/>
        </w:rPr>
        <w:t xml:space="preserve">A </w:t>
      </w:r>
      <w:r w:rsidRPr="008B4DC9">
        <w:rPr>
          <w:rFonts w:ascii="Book Antiqua" w:eastAsia="Book Antiqua" w:hAnsi="Book Antiqua" w:cs="Book Antiqua"/>
          <w:b/>
          <w:color w:val="000000"/>
        </w:rPr>
        <w:t>P-Editor:</w:t>
      </w:r>
      <w:r w:rsidRPr="00B068EE">
        <w:rPr>
          <w:rFonts w:ascii="Book Antiqua" w:eastAsia="Book Antiqua" w:hAnsi="Book Antiqua" w:cs="Book Antiqua"/>
          <w:color w:val="000000"/>
        </w:rPr>
        <w:t xml:space="preserve"> </w:t>
      </w:r>
      <w:r w:rsidR="00B068EE" w:rsidRPr="00B068EE">
        <w:rPr>
          <w:rFonts w:ascii="Book Antiqua" w:eastAsia="Book Antiqua" w:hAnsi="Book Antiqua" w:cs="Book Antiqua" w:hint="eastAsia"/>
          <w:color w:val="000000"/>
        </w:rPr>
        <w:t>Wang LL</w:t>
      </w:r>
    </w:p>
    <w:p w:rsidR="00B068EE" w:rsidRPr="00B068EE" w:rsidRDefault="00B068EE" w:rsidP="008B4DC9">
      <w:pPr>
        <w:snapToGrid w:val="0"/>
        <w:spacing w:line="360" w:lineRule="auto"/>
        <w:jc w:val="both"/>
        <w:rPr>
          <w:rFonts w:ascii="Book Antiqua" w:hAnsi="Book Antiqua" w:cs="Book Antiqua"/>
          <w:b/>
          <w:color w:val="000000"/>
          <w:lang w:eastAsia="zh-CN"/>
        </w:rPr>
      </w:pPr>
    </w:p>
    <w:p w:rsidR="009A6057" w:rsidRPr="008B4DC9" w:rsidRDefault="009A6057" w:rsidP="008B4DC9">
      <w:pPr>
        <w:snapToGrid w:val="0"/>
        <w:spacing w:line="360" w:lineRule="auto"/>
        <w:jc w:val="both"/>
        <w:rPr>
          <w:rFonts w:ascii="Book Antiqua" w:hAnsi="Book Antiqua"/>
        </w:rPr>
        <w:sectPr w:rsidR="009A6057" w:rsidRPr="008B4DC9" w:rsidSect="00527911">
          <w:pgSz w:w="12240" w:h="15840"/>
          <w:pgMar w:top="1440" w:right="1800" w:bottom="1440" w:left="1800" w:header="720" w:footer="720" w:gutter="0"/>
          <w:cols w:space="720"/>
          <w:docGrid w:linePitch="360"/>
        </w:sectPr>
      </w:pPr>
    </w:p>
    <w:p w:rsidR="00A77B3E" w:rsidRPr="008B4DC9" w:rsidRDefault="00072B3F" w:rsidP="008B4DC9">
      <w:pPr>
        <w:snapToGrid w:val="0"/>
        <w:spacing w:line="360" w:lineRule="auto"/>
        <w:jc w:val="both"/>
        <w:rPr>
          <w:rFonts w:ascii="Book Antiqua" w:eastAsia="Book Antiqua" w:hAnsi="Book Antiqua" w:cs="Book Antiqua"/>
          <w:b/>
          <w:color w:val="000000"/>
        </w:rPr>
      </w:pPr>
      <w:r w:rsidRPr="008B4DC9">
        <w:rPr>
          <w:rFonts w:ascii="Book Antiqua" w:eastAsia="Book Antiqua" w:hAnsi="Book Antiqua" w:cs="Book Antiqua"/>
          <w:b/>
          <w:color w:val="000000"/>
        </w:rPr>
        <w:t>Figure Legends</w:t>
      </w:r>
    </w:p>
    <w:p w:rsidR="009A6057" w:rsidRPr="008B4DC9" w:rsidRDefault="005859C7" w:rsidP="008B4DC9">
      <w:pPr>
        <w:snapToGrid w:val="0"/>
        <w:spacing w:line="360" w:lineRule="auto"/>
        <w:jc w:val="both"/>
        <w:rPr>
          <w:rFonts w:ascii="Book Antiqua" w:hAnsi="Book Antiqua"/>
        </w:rPr>
      </w:pPr>
      <w:r w:rsidRPr="008B4DC9">
        <w:rPr>
          <w:rFonts w:ascii="Book Antiqua" w:hAnsi="Book Antiqua"/>
          <w:noProof/>
          <w:lang w:eastAsia="zh-CN"/>
        </w:rPr>
        <w:drawing>
          <wp:inline distT="0" distB="0" distL="0" distR="0">
            <wp:extent cx="5548332" cy="1844702"/>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1819" cy="1849186"/>
                    </a:xfrm>
                    <a:prstGeom prst="rect">
                      <a:avLst/>
                    </a:prstGeom>
                  </pic:spPr>
                </pic:pic>
              </a:graphicData>
            </a:graphic>
          </wp:inline>
        </w:drawing>
      </w:r>
    </w:p>
    <w:p w:rsidR="005859C7" w:rsidRPr="008B4DC9" w:rsidRDefault="00072B3F" w:rsidP="008B4DC9">
      <w:pPr>
        <w:snapToGrid w:val="0"/>
        <w:spacing w:line="360" w:lineRule="auto"/>
        <w:jc w:val="both"/>
        <w:rPr>
          <w:rFonts w:ascii="Book Antiqua" w:hAnsi="Book Antiqua"/>
        </w:rPr>
      </w:pPr>
      <w:bookmarkStart w:id="51" w:name="OLE_LINK53"/>
      <w:bookmarkStart w:id="52" w:name="OLE_LINK54"/>
      <w:r w:rsidRPr="008B4DC9">
        <w:rPr>
          <w:rFonts w:ascii="Book Antiqua" w:eastAsia="Book Antiqua" w:hAnsi="Book Antiqua" w:cs="Book Antiqua"/>
          <w:b/>
          <w:bCs/>
          <w:color w:val="000000"/>
        </w:rPr>
        <w:t>Figure 1</w:t>
      </w:r>
      <w:r w:rsidR="005859C7" w:rsidRPr="008B4DC9">
        <w:rPr>
          <w:rFonts w:ascii="Book Antiqua" w:eastAsia="Book Antiqua" w:hAnsi="Book Antiqua" w:cs="Book Antiqua"/>
          <w:b/>
          <w:i/>
          <w:color w:val="000000"/>
        </w:rPr>
        <w:t xml:space="preserve"> </w:t>
      </w:r>
      <w:r w:rsidR="005859C7" w:rsidRPr="008B4DC9">
        <w:rPr>
          <w:rFonts w:ascii="Book Antiqua" w:eastAsia="Book Antiqua" w:hAnsi="Book Antiqua" w:cs="Book Antiqua"/>
          <w:b/>
          <w:color w:val="000000"/>
        </w:rPr>
        <w:t>Imaging examinations.</w:t>
      </w:r>
      <w:r w:rsidR="005859C7" w:rsidRPr="008B4DC9">
        <w:rPr>
          <w:rFonts w:ascii="Book Antiqua" w:hAnsi="Book Antiqua"/>
          <w:lang w:eastAsia="zh-CN"/>
        </w:rPr>
        <w:t xml:space="preserve"> </w:t>
      </w:r>
      <w:r w:rsidRPr="008B4DC9">
        <w:rPr>
          <w:rFonts w:ascii="Book Antiqua" w:eastAsia="Book Antiqua" w:hAnsi="Book Antiqua" w:cs="Book Antiqua"/>
          <w:bCs/>
          <w:color w:val="000000"/>
        </w:rPr>
        <w:t>A</w:t>
      </w:r>
      <w:r w:rsidR="005859C7" w:rsidRPr="008B4DC9">
        <w:rPr>
          <w:rFonts w:ascii="Book Antiqua" w:eastAsia="Book Antiqua" w:hAnsi="Book Antiqua" w:cs="Book Antiqua"/>
          <w:color w:val="000000"/>
        </w:rPr>
        <w:t>:</w:t>
      </w:r>
      <w:r w:rsidRPr="008B4DC9">
        <w:rPr>
          <w:rFonts w:ascii="Book Antiqua" w:eastAsia="Book Antiqua" w:hAnsi="Book Antiqua" w:cs="Book Antiqua"/>
          <w:color w:val="000000"/>
        </w:rPr>
        <w:t xml:space="preserve"> Endoscopic view of the descending part of the duodenum showing spots of lymphangiec</w:t>
      </w:r>
      <w:r w:rsidR="005859C7" w:rsidRPr="008B4DC9">
        <w:rPr>
          <w:rFonts w:ascii="Book Antiqua" w:eastAsia="Book Antiqua" w:hAnsi="Book Antiqua" w:cs="Book Antiqua"/>
          <w:color w:val="000000"/>
        </w:rPr>
        <w:t xml:space="preserve">tasia suggestive for lymphedema; </w:t>
      </w:r>
      <w:r w:rsidRPr="008B4DC9">
        <w:rPr>
          <w:rFonts w:ascii="Book Antiqua" w:eastAsia="Book Antiqua" w:hAnsi="Book Antiqua" w:cs="Book Antiqua"/>
          <w:bCs/>
          <w:color w:val="000000"/>
        </w:rPr>
        <w:t>B</w:t>
      </w:r>
      <w:r w:rsidR="005859C7" w:rsidRPr="008B4DC9">
        <w:rPr>
          <w:rFonts w:ascii="Book Antiqua" w:eastAsia="Book Antiqua" w:hAnsi="Book Antiqua" w:cs="Book Antiqua"/>
          <w:color w:val="000000"/>
        </w:rPr>
        <w:t>:</w:t>
      </w:r>
      <w:r w:rsidRPr="008B4DC9">
        <w:rPr>
          <w:rFonts w:ascii="Book Antiqua" w:eastAsia="Book Antiqua" w:hAnsi="Book Antiqua" w:cs="Book Antiqua"/>
          <w:color w:val="000000"/>
        </w:rPr>
        <w:t xml:space="preserve"> </w:t>
      </w:r>
      <w:r w:rsidR="005859C7" w:rsidRPr="008B4DC9">
        <w:rPr>
          <w:rFonts w:ascii="Book Antiqua" w:eastAsia="Book Antiqua" w:hAnsi="Book Antiqua" w:cs="Book Antiqua"/>
          <w:color w:val="000000"/>
        </w:rPr>
        <w:t xml:space="preserve">Video </w:t>
      </w:r>
      <w:r w:rsidRPr="008B4DC9">
        <w:rPr>
          <w:rFonts w:ascii="Book Antiqua" w:eastAsia="Book Antiqua" w:hAnsi="Book Antiqua" w:cs="Book Antiqua"/>
          <w:color w:val="000000"/>
        </w:rPr>
        <w:t>capsule endoscopy with a snowflake appearance of the jejunum compatible with dilated mucosal lymphatic ves</w:t>
      </w:r>
      <w:r w:rsidR="005859C7" w:rsidRPr="008B4DC9">
        <w:rPr>
          <w:rFonts w:ascii="Book Antiqua" w:eastAsia="Book Antiqua" w:hAnsi="Book Antiqua" w:cs="Book Antiqua"/>
          <w:color w:val="000000"/>
        </w:rPr>
        <w:t xml:space="preserve">sels; and </w:t>
      </w:r>
      <w:r w:rsidRPr="008B4DC9">
        <w:rPr>
          <w:rFonts w:ascii="Book Antiqua" w:eastAsia="Book Antiqua" w:hAnsi="Book Antiqua" w:cs="Book Antiqua"/>
          <w:bCs/>
          <w:color w:val="000000"/>
        </w:rPr>
        <w:t>C</w:t>
      </w:r>
      <w:r w:rsidR="005859C7" w:rsidRPr="008B4DC9">
        <w:rPr>
          <w:rFonts w:ascii="Book Antiqua" w:eastAsia="Book Antiqua" w:hAnsi="Book Antiqua" w:cs="Book Antiqua"/>
          <w:color w:val="000000"/>
        </w:rPr>
        <w:t>:</w:t>
      </w:r>
      <w:r w:rsidRPr="008B4DC9">
        <w:rPr>
          <w:rFonts w:ascii="Book Antiqua" w:eastAsia="Book Antiqua" w:hAnsi="Book Antiqua" w:cs="Book Antiqua"/>
          <w:color w:val="000000"/>
        </w:rPr>
        <w:t xml:space="preserve"> </w:t>
      </w:r>
      <w:r w:rsidR="00DC7622" w:rsidRPr="008B4DC9">
        <w:rPr>
          <w:rFonts w:ascii="Book Antiqua" w:eastAsia="Book Antiqua" w:hAnsi="Book Antiqua" w:cs="Book Antiqua"/>
          <w:color w:val="000000"/>
        </w:rPr>
        <w:t>Double</w:t>
      </w:r>
      <w:r w:rsidR="00DC7622">
        <w:rPr>
          <w:rFonts w:ascii="Book Antiqua" w:eastAsia="Book Antiqua" w:hAnsi="Book Antiqua" w:cs="Book Antiqua"/>
          <w:color w:val="000000"/>
        </w:rPr>
        <w:t>-</w:t>
      </w:r>
      <w:r w:rsidRPr="008B4DC9">
        <w:rPr>
          <w:rFonts w:ascii="Book Antiqua" w:eastAsia="Book Antiqua" w:hAnsi="Book Antiqua" w:cs="Book Antiqua"/>
          <w:color w:val="000000"/>
        </w:rPr>
        <w:t>balloon enteroscopy of the jejunum with an almost identical image to video capsule endoscopy.</w:t>
      </w:r>
    </w:p>
    <w:bookmarkEnd w:id="51"/>
    <w:bookmarkEnd w:id="52"/>
    <w:p w:rsidR="00A77B3E" w:rsidRPr="008B4DC9" w:rsidRDefault="005859C7" w:rsidP="008B4DC9">
      <w:pPr>
        <w:snapToGrid w:val="0"/>
        <w:spacing w:line="360" w:lineRule="auto"/>
        <w:jc w:val="both"/>
        <w:rPr>
          <w:rFonts w:ascii="Book Antiqua" w:hAnsi="Book Antiqua"/>
        </w:rPr>
      </w:pPr>
      <w:r w:rsidRPr="008B4DC9">
        <w:rPr>
          <w:rFonts w:ascii="Book Antiqua" w:hAnsi="Book Antiqua"/>
        </w:rPr>
        <w:br w:type="page"/>
      </w:r>
      <w:r w:rsidRPr="008B4DC9">
        <w:rPr>
          <w:rFonts w:ascii="Book Antiqua" w:hAnsi="Book Antiqua"/>
          <w:noProof/>
          <w:lang w:eastAsia="zh-CN"/>
        </w:rPr>
        <w:drawing>
          <wp:inline distT="0" distB="0" distL="0" distR="0">
            <wp:extent cx="5489624" cy="20832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2030" cy="2087950"/>
                    </a:xfrm>
                    <a:prstGeom prst="rect">
                      <a:avLst/>
                    </a:prstGeom>
                  </pic:spPr>
                </pic:pic>
              </a:graphicData>
            </a:graphic>
          </wp:inline>
        </w:drawing>
      </w:r>
    </w:p>
    <w:p w:rsidR="00A77B3E" w:rsidRPr="008B4DC9" w:rsidRDefault="00072B3F" w:rsidP="008B4DC9">
      <w:pPr>
        <w:snapToGrid w:val="0"/>
        <w:spacing w:line="360" w:lineRule="auto"/>
        <w:jc w:val="both"/>
        <w:rPr>
          <w:rFonts w:ascii="Book Antiqua" w:eastAsia="Book Antiqua" w:hAnsi="Book Antiqua" w:cs="Book Antiqua"/>
          <w:color w:val="000000"/>
        </w:rPr>
      </w:pPr>
      <w:r w:rsidRPr="008B4DC9">
        <w:rPr>
          <w:rFonts w:ascii="Book Antiqua" w:eastAsia="Book Antiqua" w:hAnsi="Book Antiqua" w:cs="Book Antiqua"/>
          <w:b/>
          <w:bCs/>
          <w:color w:val="000000"/>
        </w:rPr>
        <w:t>Figure 2</w:t>
      </w:r>
      <w:r w:rsidR="003F1AFE" w:rsidRPr="008B4DC9">
        <w:rPr>
          <w:rFonts w:ascii="Book Antiqua" w:eastAsia="Book Antiqua" w:hAnsi="Book Antiqua" w:cs="Book Antiqua"/>
          <w:b/>
          <w:bCs/>
          <w:color w:val="000000"/>
        </w:rPr>
        <w:t xml:space="preserve"> </w:t>
      </w:r>
      <w:r w:rsidR="003F1AFE" w:rsidRPr="008B4DC9">
        <w:rPr>
          <w:rFonts w:ascii="Book Antiqua" w:eastAsia="Book Antiqua" w:hAnsi="Book Antiqua" w:cs="Book Antiqua"/>
          <w:b/>
          <w:color w:val="000000"/>
        </w:rPr>
        <w:t>Histological and immunohistological analyses.</w:t>
      </w:r>
      <w:r w:rsidR="003F1AFE" w:rsidRPr="008B4DC9">
        <w:rPr>
          <w:rFonts w:ascii="Book Antiqua" w:hAnsi="Book Antiqua" w:cs="Book Antiqua"/>
          <w:color w:val="000000"/>
          <w:lang w:eastAsia="zh-CN"/>
        </w:rPr>
        <w:t xml:space="preserve"> </w:t>
      </w:r>
      <w:r w:rsidRPr="008B4DC9">
        <w:rPr>
          <w:rFonts w:ascii="Book Antiqua" w:eastAsia="Book Antiqua" w:hAnsi="Book Antiqua" w:cs="Book Antiqua"/>
          <w:bCs/>
          <w:color w:val="000000"/>
        </w:rPr>
        <w:t>A</w:t>
      </w:r>
      <w:r w:rsidR="005859C7" w:rsidRPr="008B4DC9">
        <w:rPr>
          <w:rFonts w:ascii="Book Antiqua" w:eastAsia="Book Antiqua" w:hAnsi="Book Antiqua" w:cs="Book Antiqua"/>
          <w:bCs/>
          <w:color w:val="000000"/>
        </w:rPr>
        <w:t>:</w:t>
      </w:r>
      <w:r w:rsidRPr="008B4DC9">
        <w:rPr>
          <w:rFonts w:ascii="Book Antiqua" w:eastAsia="Book Antiqua" w:hAnsi="Book Antiqua" w:cs="Book Antiqua"/>
          <w:color w:val="000000"/>
        </w:rPr>
        <w:t xml:space="preserve"> Jejunal biopsies showing a mild and focal blunting of the villi in particular above the prominent ecstatic mucosal lymph vessels (4-fold magnification)</w:t>
      </w:r>
      <w:r w:rsidR="005859C7"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rPr>
        <w:t>B</w:t>
      </w:r>
      <w:r w:rsidR="005859C7" w:rsidRPr="008B4DC9">
        <w:rPr>
          <w:rFonts w:ascii="Book Antiqua" w:eastAsia="Book Antiqua" w:hAnsi="Book Antiqua" w:cs="Book Antiqua"/>
          <w:color w:val="000000"/>
        </w:rPr>
        <w:t>:</w:t>
      </w:r>
      <w:r w:rsidRPr="008B4DC9">
        <w:rPr>
          <w:rFonts w:ascii="Book Antiqua" w:eastAsia="Book Antiqua" w:hAnsi="Book Antiqua" w:cs="Book Antiqua"/>
          <w:color w:val="000000"/>
        </w:rPr>
        <w:t xml:space="preserve"> Ecstatic lymph vessel without inflammatory changes or abnormalities of the epithelial intestinal cell lining (200-fold magnification).</w:t>
      </w:r>
    </w:p>
    <w:p w:rsidR="003F1AFE" w:rsidRPr="008B4DC9" w:rsidRDefault="003F1AFE" w:rsidP="008B4DC9">
      <w:pPr>
        <w:snapToGrid w:val="0"/>
        <w:spacing w:line="360" w:lineRule="auto"/>
        <w:jc w:val="both"/>
        <w:rPr>
          <w:rFonts w:ascii="Book Antiqua" w:eastAsia="Book Antiqua" w:hAnsi="Book Antiqua" w:cs="Book Antiqua"/>
          <w:color w:val="000000"/>
        </w:rPr>
      </w:pPr>
      <w:r w:rsidRPr="008B4DC9">
        <w:rPr>
          <w:rFonts w:ascii="Book Antiqua" w:eastAsia="Book Antiqua" w:hAnsi="Book Antiqua" w:cs="Book Antiqua"/>
          <w:color w:val="000000"/>
        </w:rPr>
        <w:br w:type="page"/>
      </w:r>
      <w:r w:rsidRPr="008B4DC9">
        <w:rPr>
          <w:rFonts w:ascii="Book Antiqua" w:eastAsia="Book Antiqua" w:hAnsi="Book Antiqua" w:cs="Book Antiqua"/>
          <w:noProof/>
          <w:color w:val="000000"/>
          <w:lang w:eastAsia="zh-CN"/>
        </w:rPr>
        <w:drawing>
          <wp:inline distT="0" distB="0" distL="0" distR="0">
            <wp:extent cx="5416546" cy="201963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4963" cy="2026498"/>
                    </a:xfrm>
                    <a:prstGeom prst="rect">
                      <a:avLst/>
                    </a:prstGeom>
                  </pic:spPr>
                </pic:pic>
              </a:graphicData>
            </a:graphic>
          </wp:inline>
        </w:drawing>
      </w:r>
    </w:p>
    <w:p w:rsidR="00A77B3E" w:rsidRPr="008B4DC9" w:rsidRDefault="003F1AFE" w:rsidP="008B4DC9">
      <w:pPr>
        <w:snapToGrid w:val="0"/>
        <w:spacing w:line="360" w:lineRule="auto"/>
        <w:jc w:val="both"/>
        <w:rPr>
          <w:rFonts w:ascii="Book Antiqua" w:eastAsia="Book Antiqua" w:hAnsi="Book Antiqua" w:cs="Book Antiqua"/>
          <w:b/>
          <w:color w:val="000000"/>
        </w:rPr>
      </w:pPr>
      <w:r w:rsidRPr="008B4DC9">
        <w:rPr>
          <w:rFonts w:ascii="Book Antiqua" w:eastAsia="Book Antiqua" w:hAnsi="Book Antiqua" w:cs="Book Antiqua"/>
          <w:b/>
          <w:color w:val="000000"/>
        </w:rPr>
        <w:t>Figure 3 Histological and immunohistological analyses.</w:t>
      </w:r>
      <w:r w:rsidRPr="008B4DC9">
        <w:rPr>
          <w:rFonts w:ascii="Book Antiqua" w:hAnsi="Book Antiqua" w:cs="Book Antiqua"/>
          <w:b/>
          <w:color w:val="000000"/>
          <w:lang w:eastAsia="zh-CN"/>
        </w:rPr>
        <w:t xml:space="preserve"> </w:t>
      </w:r>
      <w:r w:rsidR="00072B3F" w:rsidRPr="008B4DC9">
        <w:rPr>
          <w:rFonts w:ascii="Book Antiqua" w:eastAsia="Book Antiqua" w:hAnsi="Book Antiqua" w:cs="Book Antiqua"/>
          <w:color w:val="000000"/>
        </w:rPr>
        <w:t>A</w:t>
      </w:r>
      <w:r w:rsidRPr="008B4DC9">
        <w:rPr>
          <w:rFonts w:ascii="Book Antiqua" w:eastAsia="Book Antiqua" w:hAnsi="Book Antiqua" w:cs="Book Antiqua"/>
          <w:color w:val="000000"/>
        </w:rPr>
        <w:t>:</w:t>
      </w:r>
      <w:r w:rsidR="00072B3F" w:rsidRPr="008B4DC9">
        <w:rPr>
          <w:rFonts w:ascii="Book Antiqua" w:eastAsia="Book Antiqua" w:hAnsi="Book Antiqua" w:cs="Book Antiqua"/>
          <w:color w:val="000000"/>
        </w:rPr>
        <w:t xml:space="preserve"> </w:t>
      </w:r>
      <w:bookmarkStart w:id="53" w:name="OLE_LINK9"/>
      <w:bookmarkStart w:id="54" w:name="OLE_LINK10"/>
      <w:r w:rsidRPr="008B4DC9">
        <w:rPr>
          <w:rFonts w:ascii="Book Antiqua" w:eastAsia="Book Antiqua" w:hAnsi="Book Antiqua" w:cs="Book Antiqua"/>
          <w:color w:val="000000"/>
        </w:rPr>
        <w:t xml:space="preserve">Periodic Acid-Schiff </w:t>
      </w:r>
      <w:r w:rsidR="00072B3F" w:rsidRPr="008B4DC9">
        <w:rPr>
          <w:rFonts w:ascii="Book Antiqua" w:eastAsia="Book Antiqua" w:hAnsi="Book Antiqua" w:cs="Book Antiqua"/>
          <w:color w:val="000000"/>
        </w:rPr>
        <w:t>staining</w:t>
      </w:r>
      <w:bookmarkEnd w:id="53"/>
      <w:bookmarkEnd w:id="54"/>
      <w:r w:rsidR="00072B3F" w:rsidRPr="008B4DC9">
        <w:rPr>
          <w:rFonts w:ascii="Book Antiqua" w:eastAsia="Book Antiqua" w:hAnsi="Book Antiqua" w:cs="Book Antiqua"/>
          <w:color w:val="000000"/>
        </w:rPr>
        <w:t xml:space="preserve"> did not reveal any collections of </w:t>
      </w:r>
      <w:r w:rsidRPr="008B4DC9">
        <w:rPr>
          <w:rFonts w:ascii="Book Antiqua" w:eastAsia="Book Antiqua" w:hAnsi="Book Antiqua" w:cs="Book Antiqua"/>
          <w:color w:val="000000"/>
        </w:rPr>
        <w:t xml:space="preserve">periodic acid-schiff </w:t>
      </w:r>
      <w:r w:rsidR="00072B3F" w:rsidRPr="008B4DC9">
        <w:rPr>
          <w:rFonts w:ascii="Book Antiqua" w:eastAsia="Book Antiqua" w:hAnsi="Book Antiqua" w:cs="Book Antiqua"/>
          <w:color w:val="000000"/>
        </w:rPr>
        <w:t>positive histiocytes or inclusions, demonstrating the perfectly normal intestinal brush border (200-fold magnification)</w:t>
      </w:r>
      <w:r w:rsidRPr="008B4DC9">
        <w:rPr>
          <w:rFonts w:ascii="Book Antiqua" w:eastAsia="Book Antiqua" w:hAnsi="Book Antiqua" w:cs="Book Antiqua"/>
          <w:color w:val="000000"/>
        </w:rPr>
        <w:t xml:space="preserve">; </w:t>
      </w:r>
      <w:r w:rsidR="00072B3F" w:rsidRPr="008B4DC9">
        <w:rPr>
          <w:rFonts w:ascii="Book Antiqua" w:eastAsia="Book Antiqua" w:hAnsi="Book Antiqua" w:cs="Book Antiqua"/>
          <w:color w:val="000000"/>
        </w:rPr>
        <w:t>B</w:t>
      </w:r>
      <w:r w:rsidRPr="008B4DC9">
        <w:rPr>
          <w:rFonts w:ascii="Book Antiqua" w:eastAsia="Book Antiqua" w:hAnsi="Book Antiqua" w:cs="Book Antiqua"/>
          <w:color w:val="000000"/>
        </w:rPr>
        <w:t>:</w:t>
      </w:r>
      <w:r w:rsidR="00072B3F" w:rsidRPr="008B4DC9">
        <w:rPr>
          <w:rFonts w:ascii="Book Antiqua" w:eastAsia="Book Antiqua" w:hAnsi="Book Antiqua" w:cs="Book Antiqua"/>
          <w:color w:val="000000"/>
        </w:rPr>
        <w:t xml:space="preserve"> Immunohistochemistry for D2-40, a marker of lymphatic endothelial cells, confirms the endothelium to be of lymphatic origin and highlights the presence of multiple ecstatic lymph vessels in both the mucosa and submucosa (100-fold magnification)</w:t>
      </w:r>
      <w:r w:rsidRPr="008B4DC9">
        <w:rPr>
          <w:rFonts w:ascii="Book Antiqua" w:eastAsia="Book Antiqua" w:hAnsi="Book Antiqua" w:cs="Book Antiqua"/>
          <w:color w:val="000000"/>
        </w:rPr>
        <w:t>. </w:t>
      </w:r>
    </w:p>
    <w:p w:rsidR="003F1AFE" w:rsidRPr="008B4DC9" w:rsidRDefault="003F1AFE" w:rsidP="008B4DC9">
      <w:pPr>
        <w:snapToGrid w:val="0"/>
        <w:spacing w:line="360" w:lineRule="auto"/>
        <w:jc w:val="both"/>
        <w:rPr>
          <w:rFonts w:ascii="Book Antiqua" w:hAnsi="Book Antiqua"/>
        </w:rPr>
      </w:pPr>
      <w:r w:rsidRPr="008B4DC9">
        <w:rPr>
          <w:rFonts w:ascii="Book Antiqua" w:hAnsi="Book Antiqua"/>
        </w:rPr>
        <w:br w:type="page"/>
      </w:r>
      <w:r w:rsidRPr="008B4DC9">
        <w:rPr>
          <w:rFonts w:ascii="Book Antiqua" w:hAnsi="Book Antiqua"/>
          <w:noProof/>
          <w:lang w:eastAsia="zh-CN"/>
        </w:rPr>
        <w:drawing>
          <wp:inline distT="0" distB="0" distL="0" distR="0">
            <wp:extent cx="5943600" cy="32429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42945"/>
                    </a:xfrm>
                    <a:prstGeom prst="rect">
                      <a:avLst/>
                    </a:prstGeom>
                  </pic:spPr>
                </pic:pic>
              </a:graphicData>
            </a:graphic>
          </wp:inline>
        </w:drawing>
      </w:r>
    </w:p>
    <w:p w:rsidR="00834D8D" w:rsidRPr="008B4DC9" w:rsidRDefault="00072B3F" w:rsidP="008B4DC9">
      <w:pPr>
        <w:snapToGrid w:val="0"/>
        <w:spacing w:line="360" w:lineRule="auto"/>
        <w:jc w:val="both"/>
        <w:rPr>
          <w:rFonts w:ascii="Book Antiqua" w:eastAsia="Book Antiqua" w:hAnsi="Book Antiqua" w:cs="Book Antiqua"/>
          <w:color w:val="000000"/>
        </w:rPr>
      </w:pPr>
      <w:r w:rsidRPr="008B4DC9">
        <w:rPr>
          <w:rFonts w:ascii="Book Antiqua" w:eastAsia="Book Antiqua" w:hAnsi="Book Antiqua" w:cs="Book Antiqua"/>
          <w:b/>
          <w:color w:val="000000"/>
        </w:rPr>
        <w:t>Figure 4 Proposed algorithm for diagnosis and therapy of prim</w:t>
      </w:r>
      <w:r w:rsidR="003F1AFE" w:rsidRPr="008B4DC9">
        <w:rPr>
          <w:rFonts w:ascii="Book Antiqua" w:eastAsia="Book Antiqua" w:hAnsi="Book Antiqua" w:cs="Book Antiqua"/>
          <w:b/>
          <w:color w:val="000000"/>
        </w:rPr>
        <w:t>ary intestinal lymphangiectasia</w:t>
      </w:r>
      <w:r w:rsidRPr="008B4DC9">
        <w:rPr>
          <w:rFonts w:ascii="Book Antiqua" w:eastAsia="Book Antiqua" w:hAnsi="Book Antiqua" w:cs="Book Antiqua"/>
          <w:b/>
          <w:color w:val="000000"/>
        </w:rPr>
        <w:t xml:space="preserve"> in adults. </w:t>
      </w:r>
      <w:r w:rsidRPr="008B4DC9">
        <w:rPr>
          <w:rFonts w:ascii="Book Antiqua" w:eastAsia="Book Antiqua" w:hAnsi="Book Antiqua" w:cs="Book Antiqua"/>
          <w:color w:val="000000"/>
          <w:vertAlign w:val="superscript"/>
        </w:rPr>
        <w:t>1</w:t>
      </w:r>
      <w:r w:rsidRPr="008B4DC9">
        <w:rPr>
          <w:rFonts w:ascii="Book Antiqua" w:eastAsia="Book Antiqua" w:hAnsi="Book Antiqua" w:cs="Book Antiqua"/>
          <w:color w:val="000000"/>
        </w:rPr>
        <w:t>Including i</w:t>
      </w:r>
      <w:r w:rsidR="003F1AFE" w:rsidRPr="008B4DC9">
        <w:rPr>
          <w:rFonts w:ascii="Book Antiqua" w:eastAsia="Book Antiqua" w:hAnsi="Book Antiqua" w:cs="Book Antiqua"/>
          <w:color w:val="000000"/>
        </w:rPr>
        <w:t>ntubation of the terminal ileum.</w:t>
      </w:r>
      <w:r w:rsidRPr="008B4DC9">
        <w:rPr>
          <w:rFonts w:ascii="Book Antiqua" w:eastAsia="Book Antiqua" w:hAnsi="Book Antiqua" w:cs="Book Antiqua"/>
          <w:color w:val="000000"/>
        </w:rPr>
        <w:t xml:space="preserve"> </w:t>
      </w:r>
      <w:r w:rsidRPr="008B4DC9">
        <w:rPr>
          <w:rFonts w:ascii="Book Antiqua" w:eastAsia="Book Antiqua" w:hAnsi="Book Antiqua" w:cs="Book Antiqua"/>
          <w:color w:val="000000"/>
          <w:vertAlign w:val="superscript"/>
        </w:rPr>
        <w:t>2</w:t>
      </w:r>
      <w:r w:rsidRPr="008B4DC9">
        <w:rPr>
          <w:rFonts w:ascii="Book Antiqua" w:eastAsia="Book Antiqua" w:hAnsi="Book Antiqua" w:cs="Book Antiqua"/>
          <w:color w:val="000000"/>
        </w:rPr>
        <w:t xml:space="preserve">Other secondary causes include: Retroperitoneal fibrosis following radio-/chemotherapy, sarcoidosis, intestinal tuberculosis, systemic sclerosis, </w:t>
      </w:r>
      <w:r w:rsidR="003F1AFE" w:rsidRPr="008B4DC9">
        <w:rPr>
          <w:rFonts w:ascii="Book Antiqua" w:eastAsia="Book Antiqua" w:hAnsi="Book Antiqua" w:cs="Book Antiqua"/>
          <w:color w:val="000000"/>
        </w:rPr>
        <w:t>human immunodeficiency virus</w:t>
      </w:r>
      <w:r w:rsidRPr="008B4DC9">
        <w:rPr>
          <w:rFonts w:ascii="Book Antiqua" w:eastAsia="Book Antiqua" w:hAnsi="Book Antiqua" w:cs="Book Antiqua"/>
          <w:color w:val="000000"/>
        </w:rPr>
        <w:t>-related enteropathy, Fontan-surgery</w:t>
      </w:r>
      <w:r w:rsidR="003F1AFE" w:rsidRPr="008B4DC9">
        <w:rPr>
          <w:rFonts w:ascii="Book Antiqua" w:eastAsia="Book Antiqua" w:hAnsi="Book Antiqua" w:cs="Book Antiqua"/>
          <w:color w:val="000000"/>
        </w:rPr>
        <w:t>.</w:t>
      </w:r>
    </w:p>
    <w:p w:rsidR="00834D8D" w:rsidRPr="008B4DC9" w:rsidRDefault="00834D8D" w:rsidP="008B4DC9">
      <w:pPr>
        <w:snapToGrid w:val="0"/>
        <w:spacing w:line="360" w:lineRule="auto"/>
        <w:jc w:val="both"/>
        <w:rPr>
          <w:rFonts w:ascii="Book Antiqua" w:hAnsi="Book Antiqua" w:cs="Arial"/>
          <w:b/>
          <w:bCs/>
        </w:rPr>
      </w:pPr>
      <w:r w:rsidRPr="008B4DC9">
        <w:rPr>
          <w:rFonts w:ascii="Book Antiqua" w:eastAsia="Book Antiqua" w:hAnsi="Book Antiqua" w:cs="Book Antiqua"/>
          <w:color w:val="000000"/>
        </w:rPr>
        <w:br w:type="page"/>
      </w:r>
      <w:r w:rsidRPr="008B4DC9">
        <w:rPr>
          <w:rFonts w:ascii="Book Antiqua" w:hAnsi="Book Antiqua" w:cs="Arial"/>
          <w:b/>
          <w:bCs/>
        </w:rPr>
        <w:t xml:space="preserve">Table 1 </w:t>
      </w:r>
      <w:r w:rsidRPr="008B4DC9">
        <w:rPr>
          <w:rFonts w:ascii="Book Antiqua" w:hAnsi="Book Antiqua" w:cs="Arial"/>
          <w:b/>
        </w:rPr>
        <w:t>Clinical presentation, laboratory findings and endoscopic diagnosis of all case reports describing adult patients</w:t>
      </w:r>
      <w:r w:rsidRPr="008B4DC9">
        <w:rPr>
          <w:rFonts w:ascii="Book Antiqua" w:hAnsi="Book Antiqua" w:cs="Arial"/>
          <w:b/>
          <w:vertAlign w:val="superscript"/>
        </w:rPr>
        <w:t xml:space="preserve">1 </w:t>
      </w:r>
      <w:r w:rsidRPr="008B4DC9">
        <w:rPr>
          <w:rFonts w:ascii="Book Antiqua" w:hAnsi="Book Antiqua" w:cs="Arial"/>
          <w:b/>
        </w:rPr>
        <w:t>with primary intestinal lymphangiectasia</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8"/>
        <w:gridCol w:w="3253"/>
        <w:gridCol w:w="2945"/>
      </w:tblGrid>
      <w:tr w:rsidR="00834D8D" w:rsidRPr="008B4DC9" w:rsidTr="00834D8D">
        <w:tc>
          <w:tcPr>
            <w:tcW w:w="5911" w:type="dxa"/>
            <w:gridSpan w:val="2"/>
            <w:tcBorders>
              <w:top w:val="single" w:sz="4" w:space="0" w:color="auto"/>
              <w:bottom w:val="single" w:sz="4" w:space="0" w:color="auto"/>
            </w:tcBorders>
            <w:vAlign w:val="center"/>
          </w:tcPr>
          <w:p w:rsidR="00834D8D" w:rsidRPr="008B4DC9" w:rsidRDefault="00834D8D" w:rsidP="008B4DC9">
            <w:pPr>
              <w:snapToGrid w:val="0"/>
              <w:spacing w:line="360" w:lineRule="auto"/>
              <w:jc w:val="both"/>
              <w:rPr>
                <w:rFonts w:ascii="Book Antiqua" w:hAnsi="Book Antiqua" w:cs="Arial"/>
                <w:b/>
              </w:rPr>
            </w:pPr>
            <w:r w:rsidRPr="008B4DC9">
              <w:rPr>
                <w:rFonts w:ascii="Book Antiqua" w:hAnsi="Book Antiqua" w:cs="Arial"/>
                <w:b/>
                <w:lang w:val="en-US"/>
              </w:rPr>
              <w:t>Clinical presentation</w:t>
            </w:r>
          </w:p>
        </w:tc>
        <w:tc>
          <w:tcPr>
            <w:tcW w:w="2945" w:type="dxa"/>
            <w:tcBorders>
              <w:top w:val="single" w:sz="4" w:space="0" w:color="auto"/>
              <w:bottom w:val="single" w:sz="4" w:space="0" w:color="auto"/>
            </w:tcBorders>
          </w:tcPr>
          <w:p w:rsidR="00834D8D" w:rsidRPr="008B4DC9" w:rsidRDefault="00834D8D" w:rsidP="008B4DC9">
            <w:pPr>
              <w:snapToGrid w:val="0"/>
              <w:spacing w:line="360" w:lineRule="auto"/>
              <w:jc w:val="both"/>
              <w:rPr>
                <w:rFonts w:ascii="Book Antiqua" w:hAnsi="Book Antiqua" w:cs="Arial"/>
                <w:b/>
              </w:rPr>
            </w:pPr>
            <w:r w:rsidRPr="008B4DC9">
              <w:rPr>
                <w:rFonts w:ascii="Book Antiqua" w:hAnsi="Book Antiqua" w:cs="Arial"/>
                <w:b/>
                <w:i/>
              </w:rPr>
              <w:t>n</w:t>
            </w:r>
          </w:p>
        </w:tc>
      </w:tr>
      <w:tr w:rsidR="00834D8D" w:rsidRPr="008B4DC9" w:rsidTr="00834D8D">
        <w:tc>
          <w:tcPr>
            <w:tcW w:w="2658" w:type="dxa"/>
            <w:vMerge w:val="restart"/>
            <w:tcBorders>
              <w:top w:val="single" w:sz="4" w:space="0" w:color="auto"/>
            </w:tcBorders>
            <w:vAlign w:val="center"/>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Patient characteristics</w:t>
            </w:r>
          </w:p>
        </w:tc>
        <w:tc>
          <w:tcPr>
            <w:tcW w:w="3253" w:type="dxa"/>
            <w:tcBorders>
              <w:top w:val="single" w:sz="4" w:space="0" w:color="auto"/>
            </w:tcBorders>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Number of adult patients with PIL</w:t>
            </w:r>
          </w:p>
        </w:tc>
        <w:tc>
          <w:tcPr>
            <w:tcW w:w="2945" w:type="dxa"/>
            <w:tcBorders>
              <w:top w:val="single" w:sz="4" w:space="0" w:color="auto"/>
            </w:tcBorders>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49</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Age at diagnosis, yr</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43 (20-83)</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 xml:space="preserve">Time to final diagnosis, </w:t>
            </w:r>
            <w:r w:rsidR="008A6367" w:rsidRPr="008B4DC9">
              <w:rPr>
                <w:rFonts w:ascii="Book Antiqua" w:hAnsi="Book Antiqua" w:cs="Arial"/>
                <w:lang w:val="en-US"/>
              </w:rPr>
              <w:t>yr</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3 (0-40)</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 xml:space="preserve">Male, </w:t>
            </w:r>
            <w:r w:rsidRPr="008B4DC9">
              <w:rPr>
                <w:rFonts w:ascii="Book Antiqua" w:hAnsi="Book Antiqua" w:cs="Arial"/>
                <w:i/>
                <w:lang w:val="en-US"/>
              </w:rPr>
              <w:t>n</w:t>
            </w:r>
            <w:r w:rsidRPr="008B4DC9">
              <w:rPr>
                <w:rFonts w:ascii="Book Antiqua" w:hAnsi="Book Antiqua" w:cs="Arial"/>
                <w:lang w:val="en-US"/>
              </w:rPr>
              <w:t xml:space="preserve"> (%)</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21 (42.9)</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 xml:space="preserve">Female, </w:t>
            </w:r>
            <w:r w:rsidRPr="008B4DC9">
              <w:rPr>
                <w:rFonts w:ascii="Book Antiqua" w:hAnsi="Book Antiqua" w:cs="Arial"/>
                <w:i/>
                <w:lang w:val="en-US"/>
              </w:rPr>
              <w:t>n</w:t>
            </w:r>
            <w:r w:rsidRPr="008B4DC9">
              <w:rPr>
                <w:rFonts w:ascii="Book Antiqua" w:hAnsi="Book Antiqua" w:cs="Arial"/>
                <w:lang w:val="en-US"/>
              </w:rPr>
              <w:t xml:space="preserve"> (%)</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28 (57.1)</w:t>
            </w:r>
          </w:p>
        </w:tc>
      </w:tr>
      <w:tr w:rsidR="00834D8D" w:rsidRPr="008B4DC9" w:rsidTr="00834D8D">
        <w:tc>
          <w:tcPr>
            <w:tcW w:w="2658" w:type="dxa"/>
            <w:vMerge w:val="restart"/>
            <w:vAlign w:val="center"/>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 xml:space="preserve">Symptoms, </w:t>
            </w:r>
            <w:r w:rsidRPr="008B4DC9">
              <w:rPr>
                <w:rFonts w:ascii="Book Antiqua" w:hAnsi="Book Antiqua" w:cs="Arial"/>
                <w:i/>
                <w:lang w:val="en-US"/>
              </w:rPr>
              <w:t>n</w:t>
            </w:r>
            <w:r w:rsidRPr="008B4DC9">
              <w:rPr>
                <w:rFonts w:ascii="Book Antiqua" w:hAnsi="Book Antiqua" w:cs="Arial"/>
                <w:lang w:val="en-US"/>
              </w:rPr>
              <w:t xml:space="preserve"> (%)</w:t>
            </w: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Edema</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40/48 (83.3)</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Recurrent diarrhea</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20/48 (41.7)</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Abdominal effusion</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13/48 (27.1)</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Pleural effusion</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10/48 (20.8)</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Abdominal pain</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9/48 (18.8)</w:t>
            </w:r>
          </w:p>
        </w:tc>
      </w:tr>
      <w:tr w:rsidR="00834D8D" w:rsidRPr="008B4DC9" w:rsidTr="00834D8D">
        <w:tc>
          <w:tcPr>
            <w:tcW w:w="2658" w:type="dxa"/>
            <w:vMerge w:val="restart"/>
            <w:vAlign w:val="center"/>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 xml:space="preserve">Laboratory findings, </w:t>
            </w:r>
            <w:r w:rsidRPr="008B4DC9">
              <w:rPr>
                <w:rFonts w:ascii="Book Antiqua" w:hAnsi="Book Antiqua" w:cs="Arial"/>
                <w:i/>
                <w:lang w:val="en-US"/>
              </w:rPr>
              <w:t>n</w:t>
            </w:r>
            <w:r w:rsidRPr="008B4DC9">
              <w:rPr>
                <w:rFonts w:ascii="Book Antiqua" w:hAnsi="Book Antiqua" w:cs="Arial"/>
                <w:lang w:val="en-US"/>
              </w:rPr>
              <w:t xml:space="preserve"> (%)</w:t>
            </w: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Hypogammaglobulinemia</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35/48 (72.9)</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Hypoalbuminemia</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35/48 (72.9)</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Lymphocytopenia</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30/48 (62.5)</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Hypoproteinemia</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26/48 (54.2)</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Hypocalcemia</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12/48 (25.0)</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α1-antitrypsin (stool)</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10/48 (20.8)</w:t>
            </w:r>
            <w:r w:rsidRPr="008B4DC9">
              <w:rPr>
                <w:rFonts w:ascii="Book Antiqua" w:hAnsi="Book Antiqua" w:cs="Arial"/>
                <w:vertAlign w:val="superscript"/>
                <w:lang w:val="en-US"/>
              </w:rPr>
              <w:t>2</w:t>
            </w:r>
          </w:p>
        </w:tc>
      </w:tr>
      <w:tr w:rsidR="00834D8D" w:rsidRPr="008B4DC9" w:rsidTr="00834D8D">
        <w:tc>
          <w:tcPr>
            <w:tcW w:w="2658" w:type="dxa"/>
            <w:vMerge w:val="restart"/>
            <w:vAlign w:val="center"/>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 xml:space="preserve">CT-scan, </w:t>
            </w:r>
            <w:r w:rsidRPr="008B4DC9">
              <w:rPr>
                <w:rFonts w:ascii="Book Antiqua" w:hAnsi="Book Antiqua" w:cs="Arial"/>
                <w:i/>
                <w:lang w:val="en-US"/>
              </w:rPr>
              <w:t>n</w:t>
            </w:r>
            <w:r w:rsidRPr="008B4DC9">
              <w:rPr>
                <w:rFonts w:ascii="Book Antiqua" w:hAnsi="Book Antiqua" w:cs="Arial"/>
                <w:lang w:val="en-US"/>
              </w:rPr>
              <w:t xml:space="preserve"> (%)</w:t>
            </w: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Normal</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8/27 (29.6)</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Thickened wall of small bowel</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11/27 (40.7)</w:t>
            </w:r>
          </w:p>
        </w:tc>
      </w:tr>
      <w:tr w:rsidR="00834D8D" w:rsidRPr="008B4DC9" w:rsidTr="00834D8D">
        <w:tc>
          <w:tcPr>
            <w:tcW w:w="2658" w:type="dxa"/>
            <w:vMerge w:val="restart"/>
            <w:vAlign w:val="center"/>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 xml:space="preserve">Diagnosis possible, </w:t>
            </w:r>
            <w:r w:rsidRPr="008B4DC9">
              <w:rPr>
                <w:rFonts w:ascii="Book Antiqua" w:hAnsi="Book Antiqua" w:cs="Arial"/>
                <w:i/>
                <w:lang w:val="en-US"/>
              </w:rPr>
              <w:t>n</w:t>
            </w:r>
            <w:r w:rsidRPr="008B4DC9">
              <w:rPr>
                <w:rFonts w:ascii="Book Antiqua" w:hAnsi="Book Antiqua" w:cs="Arial"/>
                <w:lang w:val="en-US"/>
              </w:rPr>
              <w:t xml:space="preserve"> (%)</w:t>
            </w: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Gastro-duodenoscopy</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21/35 (60.0)</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A6367" w:rsidP="008B4DC9">
            <w:pPr>
              <w:snapToGrid w:val="0"/>
              <w:spacing w:line="360" w:lineRule="auto"/>
              <w:jc w:val="both"/>
              <w:rPr>
                <w:rFonts w:ascii="Book Antiqua" w:hAnsi="Book Antiqua" w:cs="Arial"/>
                <w:lang w:val="en-US"/>
              </w:rPr>
            </w:pPr>
            <w:r w:rsidRPr="008B4DC9">
              <w:rPr>
                <w:rFonts w:ascii="Book Antiqua" w:hAnsi="Book Antiqua" w:cs="Arial"/>
                <w:lang w:val="en-US"/>
              </w:rPr>
              <w:t>Ileo-c</w:t>
            </w:r>
            <w:r w:rsidR="00834D8D" w:rsidRPr="008B4DC9">
              <w:rPr>
                <w:rFonts w:ascii="Book Antiqua" w:hAnsi="Book Antiqua" w:cs="Arial"/>
                <w:lang w:val="en-US"/>
              </w:rPr>
              <w:t>olonoscopy</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5/21 (23.8)</w:t>
            </w:r>
          </w:p>
        </w:tc>
      </w:tr>
      <w:tr w:rsidR="00834D8D" w:rsidRPr="008B4DC9" w:rsidTr="00834D8D">
        <w:tc>
          <w:tcPr>
            <w:tcW w:w="2658" w:type="dxa"/>
            <w:vMerge/>
          </w:tcPr>
          <w:p w:rsidR="00834D8D" w:rsidRPr="008B4DC9" w:rsidRDefault="00834D8D" w:rsidP="008B4DC9">
            <w:pPr>
              <w:snapToGrid w:val="0"/>
              <w:spacing w:line="360" w:lineRule="auto"/>
              <w:jc w:val="both"/>
              <w:rPr>
                <w:rFonts w:ascii="Book Antiqua" w:hAnsi="Book Antiqua" w:cs="Arial"/>
                <w:lang w:val="en-US"/>
              </w:rPr>
            </w:pPr>
          </w:p>
        </w:tc>
        <w:tc>
          <w:tcPr>
            <w:tcW w:w="3253"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Enteroscopy</w:t>
            </w:r>
          </w:p>
        </w:tc>
        <w:tc>
          <w:tcPr>
            <w:tcW w:w="2945" w:type="dxa"/>
          </w:tcPr>
          <w:p w:rsidR="00834D8D" w:rsidRPr="008B4DC9" w:rsidRDefault="00834D8D" w:rsidP="008B4DC9">
            <w:pPr>
              <w:snapToGrid w:val="0"/>
              <w:spacing w:line="360" w:lineRule="auto"/>
              <w:jc w:val="both"/>
              <w:rPr>
                <w:rFonts w:ascii="Book Antiqua" w:hAnsi="Book Antiqua" w:cs="Arial"/>
                <w:lang w:val="en-US"/>
              </w:rPr>
            </w:pPr>
            <w:r w:rsidRPr="008B4DC9">
              <w:rPr>
                <w:rFonts w:ascii="Book Antiqua" w:hAnsi="Book Antiqua" w:cs="Arial"/>
                <w:lang w:val="en-US"/>
              </w:rPr>
              <w:t>13/13 (100)</w:t>
            </w:r>
          </w:p>
        </w:tc>
      </w:tr>
    </w:tbl>
    <w:p w:rsidR="004A7466" w:rsidRDefault="00834D8D" w:rsidP="008B4DC9">
      <w:pPr>
        <w:snapToGrid w:val="0"/>
        <w:spacing w:line="360" w:lineRule="auto"/>
        <w:jc w:val="both"/>
        <w:rPr>
          <w:rFonts w:ascii="Book Antiqua" w:hAnsi="Book Antiqua" w:cs="Arial"/>
          <w:lang w:eastAsia="zh-CN"/>
        </w:rPr>
      </w:pPr>
      <w:r w:rsidRPr="008B4DC9">
        <w:rPr>
          <w:rFonts w:ascii="Book Antiqua" w:hAnsi="Book Antiqua" w:cs="Arial"/>
          <w:vertAlign w:val="superscript"/>
        </w:rPr>
        <w:t>1</w:t>
      </w:r>
      <w:r w:rsidRPr="008B4DC9">
        <w:rPr>
          <w:rFonts w:ascii="Book Antiqua" w:hAnsi="Book Antiqua" w:cs="Arial"/>
        </w:rPr>
        <w:t>Diagnosis established after the 18</w:t>
      </w:r>
      <w:r w:rsidRPr="008B4DC9">
        <w:rPr>
          <w:rFonts w:ascii="Book Antiqua" w:hAnsi="Book Antiqua" w:cs="Arial"/>
          <w:vertAlign w:val="superscript"/>
        </w:rPr>
        <w:t>th</w:t>
      </w:r>
      <w:r w:rsidRPr="008B4DC9">
        <w:rPr>
          <w:rFonts w:ascii="Book Antiqua" w:hAnsi="Book Antiqua" w:cs="Arial"/>
        </w:rPr>
        <w:t xml:space="preserve"> birthday.</w:t>
      </w:r>
      <w:r w:rsidRPr="008B4DC9">
        <w:rPr>
          <w:rFonts w:ascii="Book Antiqua" w:hAnsi="Book Antiqua" w:cs="Arial"/>
          <w:lang w:eastAsia="zh-CN"/>
        </w:rPr>
        <w:t xml:space="preserve"> </w:t>
      </w:r>
    </w:p>
    <w:p w:rsidR="00A77B3E" w:rsidRPr="008B4DC9" w:rsidRDefault="00834D8D" w:rsidP="008B4DC9">
      <w:pPr>
        <w:snapToGrid w:val="0"/>
        <w:spacing w:line="360" w:lineRule="auto"/>
        <w:jc w:val="both"/>
        <w:rPr>
          <w:rFonts w:ascii="Book Antiqua" w:hAnsi="Book Antiqua" w:cs="Arial"/>
          <w:lang w:eastAsia="zh-CN"/>
        </w:rPr>
      </w:pPr>
      <w:r w:rsidRPr="008B4DC9">
        <w:rPr>
          <w:rFonts w:ascii="Book Antiqua" w:hAnsi="Book Antiqua" w:cs="Arial"/>
          <w:vertAlign w:val="superscript"/>
        </w:rPr>
        <w:t>2</w:t>
      </w:r>
      <w:r w:rsidRPr="008B4DC9">
        <w:rPr>
          <w:rFonts w:ascii="Book Antiqua" w:hAnsi="Book Antiqua" w:cs="Arial"/>
        </w:rPr>
        <w:t>All patients (100%) in which α1-antitrypsin levels or α1-antitrypsin clearance was measured in stool samples reported elevated results. CT: Computerized tomography.</w:t>
      </w:r>
    </w:p>
    <w:sectPr w:rsidR="00A77B3E" w:rsidRPr="008B4DC9" w:rsidSect="005279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FB7" w:rsidRDefault="008B7FB7" w:rsidP="002B6174">
      <w:r>
        <w:separator/>
      </w:r>
    </w:p>
  </w:endnote>
  <w:endnote w:type="continuationSeparator" w:id="0">
    <w:p w:rsidR="008B7FB7" w:rsidRDefault="008B7FB7" w:rsidP="002B6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584973"/>
      <w:docPartObj>
        <w:docPartGallery w:val="Page Numbers (Bottom of Page)"/>
        <w:docPartUnique/>
      </w:docPartObj>
    </w:sdtPr>
    <w:sdtEndPr/>
    <w:sdtContent>
      <w:sdt>
        <w:sdtPr>
          <w:id w:val="-1769616900"/>
          <w:docPartObj>
            <w:docPartGallery w:val="Page Numbers (Top of Page)"/>
            <w:docPartUnique/>
          </w:docPartObj>
        </w:sdtPr>
        <w:sdtEndPr/>
        <w:sdtContent>
          <w:p w:rsidR="00834D8D" w:rsidRDefault="00834D8D">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B7FB7">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B7FB7">
              <w:rPr>
                <w:b/>
                <w:bCs/>
                <w:noProof/>
              </w:rPr>
              <w:t>1</w:t>
            </w:r>
            <w:r>
              <w:rPr>
                <w:b/>
                <w:bCs/>
                <w:sz w:val="24"/>
                <w:szCs w:val="24"/>
              </w:rPr>
              <w:fldChar w:fldCharType="end"/>
            </w:r>
          </w:p>
        </w:sdtContent>
      </w:sdt>
    </w:sdtContent>
  </w:sdt>
  <w:p w:rsidR="002B6174" w:rsidRDefault="002B617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FB7" w:rsidRDefault="008B7FB7" w:rsidP="002B6174">
      <w:r>
        <w:separator/>
      </w:r>
    </w:p>
  </w:footnote>
  <w:footnote w:type="continuationSeparator" w:id="0">
    <w:p w:rsidR="008B7FB7" w:rsidRDefault="008B7FB7" w:rsidP="002B617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org Semmler">
    <w15:presenceInfo w15:providerId="None" w15:userId="Georg Semm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3CC0"/>
    <w:rsid w:val="000610F2"/>
    <w:rsid w:val="00072B3F"/>
    <w:rsid w:val="000B462A"/>
    <w:rsid w:val="000B4BE5"/>
    <w:rsid w:val="000E67E3"/>
    <w:rsid w:val="000F57ED"/>
    <w:rsid w:val="00117C0B"/>
    <w:rsid w:val="001613CF"/>
    <w:rsid w:val="00162BEE"/>
    <w:rsid w:val="001C4385"/>
    <w:rsid w:val="002712BA"/>
    <w:rsid w:val="002B6174"/>
    <w:rsid w:val="002D625B"/>
    <w:rsid w:val="002F56E3"/>
    <w:rsid w:val="003944B8"/>
    <w:rsid w:val="003C45DE"/>
    <w:rsid w:val="003E400C"/>
    <w:rsid w:val="003F1AFE"/>
    <w:rsid w:val="00416AD1"/>
    <w:rsid w:val="0049574F"/>
    <w:rsid w:val="004A7466"/>
    <w:rsid w:val="00500FA5"/>
    <w:rsid w:val="00527911"/>
    <w:rsid w:val="00533EBE"/>
    <w:rsid w:val="005859C7"/>
    <w:rsid w:val="005A523F"/>
    <w:rsid w:val="00656CF1"/>
    <w:rsid w:val="00661AEA"/>
    <w:rsid w:val="00686A94"/>
    <w:rsid w:val="006910BC"/>
    <w:rsid w:val="0071683B"/>
    <w:rsid w:val="00727E1C"/>
    <w:rsid w:val="00737367"/>
    <w:rsid w:val="007D520A"/>
    <w:rsid w:val="007F567F"/>
    <w:rsid w:val="007F63B4"/>
    <w:rsid w:val="00825120"/>
    <w:rsid w:val="00834D8D"/>
    <w:rsid w:val="00843BE8"/>
    <w:rsid w:val="00864EDD"/>
    <w:rsid w:val="00874288"/>
    <w:rsid w:val="0089651B"/>
    <w:rsid w:val="008A6367"/>
    <w:rsid w:val="008B4DC9"/>
    <w:rsid w:val="008B7FB7"/>
    <w:rsid w:val="008F7906"/>
    <w:rsid w:val="00974863"/>
    <w:rsid w:val="009A6057"/>
    <w:rsid w:val="009E2F7A"/>
    <w:rsid w:val="00A77B3E"/>
    <w:rsid w:val="00A85C0C"/>
    <w:rsid w:val="00AA01EB"/>
    <w:rsid w:val="00B05384"/>
    <w:rsid w:val="00B068EE"/>
    <w:rsid w:val="00B258AF"/>
    <w:rsid w:val="00B27235"/>
    <w:rsid w:val="00BB7159"/>
    <w:rsid w:val="00BF097A"/>
    <w:rsid w:val="00CA2A55"/>
    <w:rsid w:val="00CB63BB"/>
    <w:rsid w:val="00D342A9"/>
    <w:rsid w:val="00DC7622"/>
    <w:rsid w:val="00E10211"/>
    <w:rsid w:val="00E5661F"/>
    <w:rsid w:val="00F4187B"/>
    <w:rsid w:val="00F45D28"/>
    <w:rsid w:val="00F53EEE"/>
    <w:rsid w:val="00F91E9A"/>
    <w:rsid w:val="00FA0E94"/>
    <w:rsid w:val="00FA6D2F"/>
    <w:rsid w:val="00FF52C7"/>
    <w:rsid w:val="00FF70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B61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B6174"/>
    <w:rPr>
      <w:sz w:val="18"/>
      <w:szCs w:val="18"/>
    </w:rPr>
  </w:style>
  <w:style w:type="paragraph" w:styleId="a4">
    <w:name w:val="footer"/>
    <w:basedOn w:val="a"/>
    <w:link w:val="Char0"/>
    <w:uiPriority w:val="99"/>
    <w:unhideWhenUsed/>
    <w:rsid w:val="002B6174"/>
    <w:pPr>
      <w:tabs>
        <w:tab w:val="center" w:pos="4153"/>
        <w:tab w:val="right" w:pos="8306"/>
      </w:tabs>
      <w:snapToGrid w:val="0"/>
    </w:pPr>
    <w:rPr>
      <w:sz w:val="18"/>
      <w:szCs w:val="18"/>
    </w:rPr>
  </w:style>
  <w:style w:type="character" w:customStyle="1" w:styleId="Char0">
    <w:name w:val="页脚 Char"/>
    <w:basedOn w:val="a0"/>
    <w:link w:val="a4"/>
    <w:uiPriority w:val="99"/>
    <w:rsid w:val="002B6174"/>
    <w:rPr>
      <w:sz w:val="18"/>
      <w:szCs w:val="18"/>
    </w:rPr>
  </w:style>
  <w:style w:type="table" w:styleId="a5">
    <w:name w:val="Table Grid"/>
    <w:basedOn w:val="a1"/>
    <w:uiPriority w:val="39"/>
    <w:rsid w:val="00834D8D"/>
    <w:rPr>
      <w:rFonts w:asciiTheme="minorHAnsi" w:hAnsiTheme="minorHAnsi" w:cstheme="minorBidi"/>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8A6367"/>
    <w:rPr>
      <w:rFonts w:ascii="Segoe UI" w:hAnsi="Segoe UI" w:cs="Segoe UI"/>
      <w:sz w:val="18"/>
      <w:szCs w:val="18"/>
    </w:rPr>
  </w:style>
  <w:style w:type="character" w:customStyle="1" w:styleId="Char1">
    <w:name w:val="批注框文本 Char"/>
    <w:basedOn w:val="a0"/>
    <w:link w:val="a6"/>
    <w:semiHidden/>
    <w:rsid w:val="008A6367"/>
    <w:rPr>
      <w:rFonts w:ascii="Segoe UI" w:hAnsi="Segoe UI" w:cs="Segoe UI"/>
      <w:sz w:val="18"/>
      <w:szCs w:val="18"/>
    </w:rPr>
  </w:style>
  <w:style w:type="paragraph" w:styleId="a7">
    <w:name w:val="Revision"/>
    <w:hidden/>
    <w:uiPriority w:val="99"/>
    <w:semiHidden/>
    <w:rsid w:val="00874288"/>
    <w:rPr>
      <w:sz w:val="24"/>
      <w:szCs w:val="24"/>
    </w:rPr>
  </w:style>
  <w:style w:type="character" w:styleId="a8">
    <w:name w:val="Hyperlink"/>
    <w:basedOn w:val="a0"/>
    <w:unhideWhenUsed/>
    <w:rsid w:val="003E400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B61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B6174"/>
    <w:rPr>
      <w:sz w:val="18"/>
      <w:szCs w:val="18"/>
    </w:rPr>
  </w:style>
  <w:style w:type="paragraph" w:styleId="a4">
    <w:name w:val="footer"/>
    <w:basedOn w:val="a"/>
    <w:link w:val="Char0"/>
    <w:uiPriority w:val="99"/>
    <w:unhideWhenUsed/>
    <w:rsid w:val="002B6174"/>
    <w:pPr>
      <w:tabs>
        <w:tab w:val="center" w:pos="4153"/>
        <w:tab w:val="right" w:pos="8306"/>
      </w:tabs>
      <w:snapToGrid w:val="0"/>
    </w:pPr>
    <w:rPr>
      <w:sz w:val="18"/>
      <w:szCs w:val="18"/>
    </w:rPr>
  </w:style>
  <w:style w:type="character" w:customStyle="1" w:styleId="Char0">
    <w:name w:val="页脚 Char"/>
    <w:basedOn w:val="a0"/>
    <w:link w:val="a4"/>
    <w:uiPriority w:val="99"/>
    <w:rsid w:val="002B6174"/>
    <w:rPr>
      <w:sz w:val="18"/>
      <w:szCs w:val="18"/>
    </w:rPr>
  </w:style>
  <w:style w:type="table" w:styleId="a5">
    <w:name w:val="Table Grid"/>
    <w:basedOn w:val="a1"/>
    <w:uiPriority w:val="39"/>
    <w:rsid w:val="00834D8D"/>
    <w:rPr>
      <w:rFonts w:asciiTheme="minorHAnsi" w:hAnsiTheme="minorHAnsi" w:cstheme="minorBidi"/>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8A6367"/>
    <w:rPr>
      <w:rFonts w:ascii="Segoe UI" w:hAnsi="Segoe UI" w:cs="Segoe UI"/>
      <w:sz w:val="18"/>
      <w:szCs w:val="18"/>
    </w:rPr>
  </w:style>
  <w:style w:type="character" w:customStyle="1" w:styleId="Char1">
    <w:name w:val="批注框文本 Char"/>
    <w:basedOn w:val="a0"/>
    <w:link w:val="a6"/>
    <w:semiHidden/>
    <w:rsid w:val="008A6367"/>
    <w:rPr>
      <w:rFonts w:ascii="Segoe UI" w:hAnsi="Segoe UI" w:cs="Segoe UI"/>
      <w:sz w:val="18"/>
      <w:szCs w:val="18"/>
    </w:rPr>
  </w:style>
  <w:style w:type="paragraph" w:styleId="a7">
    <w:name w:val="Revision"/>
    <w:hidden/>
    <w:uiPriority w:val="99"/>
    <w:semiHidden/>
    <w:rsid w:val="00874288"/>
    <w:rPr>
      <w:sz w:val="24"/>
      <w:szCs w:val="24"/>
    </w:rPr>
  </w:style>
  <w:style w:type="character" w:styleId="a8">
    <w:name w:val="Hyperlink"/>
    <w:basedOn w:val="a0"/>
    <w:unhideWhenUsed/>
    <w:rsid w:val="003E40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82877">
      <w:bodyDiv w:val="1"/>
      <w:marLeft w:val="0"/>
      <w:marRight w:val="0"/>
      <w:marTop w:val="0"/>
      <w:marBottom w:val="0"/>
      <w:divBdr>
        <w:top w:val="none" w:sz="0" w:space="0" w:color="auto"/>
        <w:left w:val="none" w:sz="0" w:space="0" w:color="auto"/>
        <w:bottom w:val="none" w:sz="0" w:space="0" w:color="auto"/>
        <w:right w:val="none" w:sz="0" w:space="0" w:color="auto"/>
      </w:divBdr>
    </w:div>
    <w:div w:id="721172088">
      <w:bodyDiv w:val="1"/>
      <w:marLeft w:val="0"/>
      <w:marRight w:val="0"/>
      <w:marTop w:val="0"/>
      <w:marBottom w:val="0"/>
      <w:divBdr>
        <w:top w:val="none" w:sz="0" w:space="0" w:color="auto"/>
        <w:left w:val="none" w:sz="0" w:space="0" w:color="auto"/>
        <w:bottom w:val="none" w:sz="0" w:space="0" w:color="auto"/>
        <w:right w:val="none" w:sz="0" w:space="0" w:color="auto"/>
      </w:divBdr>
    </w:div>
    <w:div w:id="1202326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29</Pages>
  <Words>6097</Words>
  <Characters>34753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 Semmler</dc:creator>
  <cp:lastModifiedBy>liujihong2008@qq.con</cp:lastModifiedBy>
  <cp:revision>7</cp:revision>
  <dcterms:created xsi:type="dcterms:W3CDTF">2020-12-09T17:22:00Z</dcterms:created>
  <dcterms:modified xsi:type="dcterms:W3CDTF">2020-12-24T07:44:00Z</dcterms:modified>
</cp:coreProperties>
</file>