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96008" w14:textId="77777777" w:rsidR="00A77B3E" w:rsidRDefault="00E83A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Pediatrics</w:t>
      </w:r>
    </w:p>
    <w:p w14:paraId="7C85C601" w14:textId="77777777" w:rsidR="00A77B3E" w:rsidRDefault="00E83A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60067</w:t>
      </w:r>
    </w:p>
    <w:p w14:paraId="330A0FEC" w14:textId="77777777" w:rsidR="00A77B3E" w:rsidRDefault="00E83A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4119871" w14:textId="77777777" w:rsidR="00A77B3E" w:rsidRDefault="00A77B3E">
      <w:pPr>
        <w:spacing w:line="360" w:lineRule="auto"/>
        <w:jc w:val="both"/>
      </w:pPr>
    </w:p>
    <w:p w14:paraId="5211FA5F" w14:textId="36DBDEBB" w:rsidR="00A77B3E" w:rsidRDefault="00E83AB7">
      <w:pPr>
        <w:spacing w:line="360" w:lineRule="auto"/>
        <w:jc w:val="both"/>
      </w:pPr>
      <w:bookmarkStart w:id="0" w:name="OLE_LINK2498"/>
      <w:bookmarkStart w:id="1" w:name="OLE_LINK2499"/>
      <w:r>
        <w:rPr>
          <w:rFonts w:ascii="Book Antiqua" w:eastAsia="Book Antiqua" w:hAnsi="Book Antiqua" w:cs="Book Antiqua"/>
          <w:b/>
          <w:color w:val="000000"/>
        </w:rPr>
        <w:t xml:space="preserve">Hereditary hemorrhagic telangiectasia presenting as a recurrent epistaxis in an adolescent: </w:t>
      </w:r>
      <w:r w:rsidR="00304AFF">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bookmarkEnd w:id="0"/>
    <w:bookmarkEnd w:id="1"/>
    <w:p w14:paraId="16BEE7C1" w14:textId="77777777" w:rsidR="00A77B3E" w:rsidRDefault="00A77B3E">
      <w:pPr>
        <w:spacing w:line="360" w:lineRule="auto"/>
        <w:jc w:val="both"/>
      </w:pPr>
    </w:p>
    <w:p w14:paraId="34CD9767" w14:textId="2DF4C5C7" w:rsidR="00A77B3E" w:rsidRDefault="00304AFF">
      <w:pPr>
        <w:spacing w:line="360" w:lineRule="auto"/>
        <w:jc w:val="both"/>
      </w:pPr>
      <w:r>
        <w:rPr>
          <w:rFonts w:ascii="Book Antiqua" w:eastAsia="Book Antiqua" w:hAnsi="Book Antiqua" w:cs="Book Antiqua"/>
          <w:color w:val="000000"/>
        </w:rPr>
        <w:t xml:space="preserve">Acharya R </w:t>
      </w:r>
      <w:r w:rsidRPr="008D6B9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83AB7">
        <w:rPr>
          <w:rFonts w:ascii="Book Antiqua" w:eastAsia="Book Antiqua" w:hAnsi="Book Antiqua" w:cs="Book Antiqua"/>
          <w:color w:val="000000"/>
        </w:rPr>
        <w:t>Epistaxis in hereditary hemorrhagic telangiectasia</w:t>
      </w:r>
    </w:p>
    <w:p w14:paraId="4E361E69" w14:textId="77777777" w:rsidR="00A77B3E" w:rsidRDefault="00A77B3E">
      <w:pPr>
        <w:spacing w:line="360" w:lineRule="auto"/>
        <w:jc w:val="both"/>
      </w:pPr>
    </w:p>
    <w:p w14:paraId="0D3993BD" w14:textId="77777777" w:rsidR="00A77B3E" w:rsidRDefault="00E83AB7">
      <w:pPr>
        <w:spacing w:line="360" w:lineRule="auto"/>
        <w:jc w:val="both"/>
      </w:pPr>
      <w:r>
        <w:rPr>
          <w:rFonts w:ascii="Book Antiqua" w:eastAsia="Book Antiqua" w:hAnsi="Book Antiqua" w:cs="Book Antiqua"/>
          <w:color w:val="000000"/>
        </w:rPr>
        <w:t>Ratna Acharya, Katherin Portwood, Kiran Upadhyay</w:t>
      </w:r>
    </w:p>
    <w:p w14:paraId="74E57B38" w14:textId="77777777" w:rsidR="00A77B3E" w:rsidRDefault="00A77B3E">
      <w:pPr>
        <w:spacing w:line="360" w:lineRule="auto"/>
        <w:jc w:val="both"/>
      </w:pPr>
    </w:p>
    <w:p w14:paraId="22B51113" w14:textId="77777777" w:rsidR="00A77B3E" w:rsidRDefault="00E83AB7">
      <w:pPr>
        <w:spacing w:line="360" w:lineRule="auto"/>
        <w:jc w:val="both"/>
      </w:pPr>
      <w:r>
        <w:rPr>
          <w:rFonts w:ascii="Book Antiqua" w:eastAsia="Book Antiqua" w:hAnsi="Book Antiqua" w:cs="Book Antiqua"/>
          <w:b/>
          <w:bCs/>
          <w:color w:val="000000"/>
        </w:rPr>
        <w:t xml:space="preserve">Ratna Acharya, Katherin Portwood, Kiran Upadhyay, </w:t>
      </w:r>
      <w:r>
        <w:rPr>
          <w:rFonts w:ascii="Book Antiqua" w:eastAsia="Book Antiqua" w:hAnsi="Book Antiqua" w:cs="Book Antiqua"/>
          <w:color w:val="000000"/>
        </w:rPr>
        <w:t>Department of Pediatrics, University of Florida, Gainesville, FL 32610, United States</w:t>
      </w:r>
    </w:p>
    <w:p w14:paraId="175CD7F4" w14:textId="77777777" w:rsidR="00A77B3E" w:rsidRDefault="00A77B3E">
      <w:pPr>
        <w:spacing w:line="360" w:lineRule="auto"/>
        <w:jc w:val="both"/>
      </w:pPr>
    </w:p>
    <w:p w14:paraId="5FD55B25" w14:textId="4ECA6447" w:rsidR="00A77B3E" w:rsidRDefault="00E83AB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Acharya</w:t>
      </w:r>
      <w:r w:rsidR="00304AFF">
        <w:rPr>
          <w:rFonts w:ascii="Book Antiqua" w:eastAsia="Book Antiqua" w:hAnsi="Book Antiqua" w:cs="Book Antiqua"/>
          <w:color w:val="000000"/>
        </w:rPr>
        <w:t xml:space="preserve"> R</w:t>
      </w:r>
      <w:r>
        <w:rPr>
          <w:rFonts w:ascii="Book Antiqua" w:eastAsia="Book Antiqua" w:hAnsi="Book Antiqua" w:cs="Book Antiqua"/>
          <w:color w:val="000000"/>
        </w:rPr>
        <w:t xml:space="preserve">, Portwood </w:t>
      </w:r>
      <w:r w:rsidR="00304AFF">
        <w:rPr>
          <w:rFonts w:ascii="Book Antiqua" w:eastAsia="Book Antiqua" w:hAnsi="Book Antiqua" w:cs="Book Antiqua"/>
          <w:color w:val="000000"/>
        </w:rPr>
        <w:t xml:space="preserve">K </w:t>
      </w:r>
      <w:r>
        <w:rPr>
          <w:rFonts w:ascii="Book Antiqua" w:eastAsia="Book Antiqua" w:hAnsi="Book Antiqua" w:cs="Book Antiqua"/>
          <w:color w:val="000000"/>
        </w:rPr>
        <w:t xml:space="preserve">and Upadhyay </w:t>
      </w:r>
      <w:r w:rsidR="00304AFF">
        <w:rPr>
          <w:rFonts w:ascii="Book Antiqua" w:eastAsia="Book Antiqua" w:hAnsi="Book Antiqua" w:cs="Book Antiqua"/>
          <w:color w:val="000000"/>
        </w:rPr>
        <w:t xml:space="preserve">K </w:t>
      </w:r>
      <w:r>
        <w:rPr>
          <w:rFonts w:ascii="Book Antiqua" w:eastAsia="Book Antiqua" w:hAnsi="Book Antiqua" w:cs="Book Antiqua"/>
          <w:color w:val="000000"/>
        </w:rPr>
        <w:t>contributed to writing of the manuscript</w:t>
      </w:r>
      <w:r w:rsidR="00304AFF">
        <w:rPr>
          <w:rFonts w:ascii="Book Antiqua" w:eastAsia="Book Antiqua" w:hAnsi="Book Antiqua" w:cs="Book Antiqua"/>
          <w:color w:val="000000"/>
        </w:rPr>
        <w:t xml:space="preserve">; </w:t>
      </w:r>
      <w:r>
        <w:rPr>
          <w:rFonts w:ascii="Book Antiqua" w:eastAsia="Book Antiqua" w:hAnsi="Book Antiqua" w:cs="Book Antiqua"/>
          <w:color w:val="000000"/>
        </w:rPr>
        <w:t xml:space="preserve">Upadhyay </w:t>
      </w:r>
      <w:r w:rsidR="00304AFF">
        <w:rPr>
          <w:rFonts w:ascii="Book Antiqua" w:eastAsia="Book Antiqua" w:hAnsi="Book Antiqua" w:cs="Book Antiqua"/>
          <w:color w:val="000000"/>
        </w:rPr>
        <w:t xml:space="preserve">K </w:t>
      </w:r>
      <w:r>
        <w:rPr>
          <w:rFonts w:ascii="Book Antiqua" w:eastAsia="Book Antiqua" w:hAnsi="Book Antiqua" w:cs="Book Antiqua"/>
          <w:color w:val="000000"/>
        </w:rPr>
        <w:t>critically revised the manuscript.</w:t>
      </w:r>
    </w:p>
    <w:p w14:paraId="17167A6D" w14:textId="77777777" w:rsidR="00A77B3E" w:rsidRDefault="00A77B3E">
      <w:pPr>
        <w:spacing w:line="360" w:lineRule="auto"/>
        <w:jc w:val="both"/>
      </w:pPr>
    </w:p>
    <w:p w14:paraId="54637539" w14:textId="77777777" w:rsidR="00A77B3E" w:rsidRDefault="00E83AB7">
      <w:pPr>
        <w:spacing w:line="360" w:lineRule="auto"/>
        <w:jc w:val="both"/>
      </w:pPr>
      <w:r>
        <w:rPr>
          <w:rFonts w:ascii="Book Antiqua" w:eastAsia="Book Antiqua" w:hAnsi="Book Antiqua" w:cs="Book Antiqua"/>
          <w:b/>
          <w:bCs/>
          <w:color w:val="000000"/>
        </w:rPr>
        <w:t xml:space="preserve">Corresponding author: Kiran Upadhyay, MD, Associate Professor, </w:t>
      </w:r>
      <w:r>
        <w:rPr>
          <w:rFonts w:ascii="Book Antiqua" w:eastAsia="Book Antiqua" w:hAnsi="Book Antiqua" w:cs="Book Antiqua"/>
          <w:color w:val="000000"/>
        </w:rPr>
        <w:t>Department of Pediatrics, University of Florida, 1600 SW Archer Road, Gainesville, FL 32610, United States. dockiranbp@yahoo.com</w:t>
      </w:r>
    </w:p>
    <w:p w14:paraId="0694EC71" w14:textId="77777777" w:rsidR="00A77B3E" w:rsidRDefault="00A77B3E">
      <w:pPr>
        <w:spacing w:line="360" w:lineRule="auto"/>
        <w:jc w:val="both"/>
      </w:pPr>
    </w:p>
    <w:p w14:paraId="1A3F71A3" w14:textId="77777777" w:rsidR="00A77B3E" w:rsidRDefault="00E83A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13, 2020</w:t>
      </w:r>
    </w:p>
    <w:p w14:paraId="0EF731BD" w14:textId="77777777" w:rsidR="00A77B3E" w:rsidRDefault="00E83A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15, 2020</w:t>
      </w:r>
    </w:p>
    <w:p w14:paraId="3C3BE9FD" w14:textId="3EC40AF7" w:rsidR="00A77B3E" w:rsidRDefault="00E83AB7">
      <w:pPr>
        <w:spacing w:line="360" w:lineRule="auto"/>
        <w:jc w:val="both"/>
      </w:pPr>
      <w:r>
        <w:rPr>
          <w:rFonts w:ascii="Book Antiqua" w:eastAsia="Book Antiqua" w:hAnsi="Book Antiqua" w:cs="Book Antiqua"/>
          <w:b/>
          <w:bCs/>
          <w:color w:val="000000"/>
        </w:rPr>
        <w:t xml:space="preserve">Accepted: </w:t>
      </w:r>
      <w:r w:rsidR="00983884" w:rsidRPr="00983884">
        <w:rPr>
          <w:rFonts w:ascii="Book Antiqua" w:eastAsia="Book Antiqua" w:hAnsi="Book Antiqua" w:cs="Book Antiqua"/>
          <w:color w:val="000000"/>
        </w:rPr>
        <w:t>December 24, 2020</w:t>
      </w:r>
    </w:p>
    <w:p w14:paraId="5B2CEE5A" w14:textId="1A2352A7" w:rsidR="00F82C21" w:rsidRPr="00F82C21" w:rsidRDefault="00E83AB7" w:rsidP="00F82C21">
      <w:pPr>
        <w:spacing w:line="360" w:lineRule="auto"/>
        <w:jc w:val="both"/>
        <w:rPr>
          <w:lang w:eastAsia="zh-CN"/>
        </w:rPr>
      </w:pPr>
      <w:r>
        <w:rPr>
          <w:rFonts w:ascii="Book Antiqua" w:eastAsia="Book Antiqua" w:hAnsi="Book Antiqua" w:cs="Book Antiqua"/>
          <w:b/>
          <w:bCs/>
          <w:color w:val="000000"/>
        </w:rPr>
        <w:t xml:space="preserve">Published online: </w:t>
      </w:r>
      <w:r w:rsidR="00F82C21" w:rsidRPr="00F82C21">
        <w:rPr>
          <w:rFonts w:ascii="Book Antiqua" w:eastAsia="Book Antiqua" w:hAnsi="Book Antiqua" w:cs="Book Antiqua"/>
          <w:color w:val="000000"/>
        </w:rPr>
        <w:t>January</w:t>
      </w:r>
      <w:r w:rsidR="00F82C21">
        <w:rPr>
          <w:rFonts w:ascii="Book Antiqua" w:hAnsi="Book Antiqua" w:cs="Book Antiqua" w:hint="eastAsia"/>
          <w:color w:val="000000"/>
          <w:lang w:eastAsia="zh-CN"/>
        </w:rPr>
        <w:t xml:space="preserve"> 9</w:t>
      </w:r>
      <w:r w:rsidR="00F82C21" w:rsidRPr="00983884">
        <w:rPr>
          <w:rFonts w:ascii="Book Antiqua" w:eastAsia="Book Antiqua" w:hAnsi="Book Antiqua" w:cs="Book Antiqua"/>
          <w:color w:val="000000"/>
        </w:rPr>
        <w:t>, 202</w:t>
      </w:r>
      <w:r w:rsidR="00F82C21">
        <w:rPr>
          <w:rFonts w:ascii="Book Antiqua" w:hAnsi="Book Antiqua" w:cs="Book Antiqua" w:hint="eastAsia"/>
          <w:color w:val="000000"/>
          <w:lang w:eastAsia="zh-CN"/>
        </w:rPr>
        <w:t>1</w:t>
      </w:r>
    </w:p>
    <w:p w14:paraId="618C6FF1" w14:textId="77777777" w:rsidR="00A77B3E" w:rsidRDefault="00A77B3E">
      <w:pPr>
        <w:spacing w:line="360" w:lineRule="auto"/>
        <w:jc w:val="both"/>
      </w:pPr>
    </w:p>
    <w:p w14:paraId="5D608721" w14:textId="77777777" w:rsidR="00F82C21" w:rsidRDefault="00F82C21">
      <w:pPr>
        <w:spacing w:line="360" w:lineRule="auto"/>
        <w:jc w:val="both"/>
        <w:rPr>
          <w:rFonts w:ascii="Book Antiqua" w:hAnsi="Book Antiqua" w:cs="Book Antiqua"/>
          <w:b/>
          <w:color w:val="000000"/>
          <w:lang w:eastAsia="zh-CN"/>
        </w:rPr>
      </w:pPr>
    </w:p>
    <w:p w14:paraId="58104120" w14:textId="77777777" w:rsidR="00A77B3E" w:rsidRDefault="00E83AB7">
      <w:pPr>
        <w:spacing w:line="360" w:lineRule="auto"/>
        <w:jc w:val="both"/>
      </w:pPr>
      <w:r>
        <w:rPr>
          <w:rFonts w:ascii="Book Antiqua" w:eastAsia="Book Antiqua" w:hAnsi="Book Antiqua" w:cs="Book Antiqua"/>
          <w:b/>
          <w:color w:val="000000"/>
        </w:rPr>
        <w:t>Abstract</w:t>
      </w:r>
    </w:p>
    <w:p w14:paraId="029F5AD2" w14:textId="77777777" w:rsidR="00A77B3E" w:rsidRDefault="00E83AB7">
      <w:pPr>
        <w:spacing w:line="360" w:lineRule="auto"/>
        <w:jc w:val="both"/>
      </w:pPr>
      <w:r>
        <w:rPr>
          <w:rFonts w:ascii="Book Antiqua" w:eastAsia="Book Antiqua" w:hAnsi="Book Antiqua" w:cs="Book Antiqua"/>
          <w:color w:val="000000"/>
        </w:rPr>
        <w:t>BACKGROUND</w:t>
      </w:r>
    </w:p>
    <w:p w14:paraId="366BD6DF" w14:textId="77777777" w:rsidR="00A77B3E" w:rsidRDefault="00E83AB7">
      <w:pPr>
        <w:spacing w:line="360" w:lineRule="auto"/>
        <w:jc w:val="both"/>
      </w:pPr>
      <w:r>
        <w:rPr>
          <w:rFonts w:ascii="Book Antiqua" w:eastAsia="Book Antiqua" w:hAnsi="Book Antiqua" w:cs="Book Antiqua"/>
          <w:color w:val="000000"/>
        </w:rPr>
        <w:lastRenderedPageBreak/>
        <w:t xml:space="preserve">Epistaxis can be an isolated finding or a manifestation of a systemic disease. Some of the potential etiologies are usage of anticoagulants, bleeding disorders, vascular aneurysms, nasal neoplasm, hypertension and nasal steroids. Hereditary hemorrhagic telangiectasia (HHT) as a cause of recurrent epistaxis is uncommon. </w:t>
      </w:r>
    </w:p>
    <w:p w14:paraId="621F05C6" w14:textId="77777777" w:rsidR="00A77B3E" w:rsidRDefault="00A77B3E">
      <w:pPr>
        <w:spacing w:line="360" w:lineRule="auto"/>
        <w:jc w:val="both"/>
      </w:pPr>
    </w:p>
    <w:p w14:paraId="5B2D68D3" w14:textId="77777777" w:rsidR="00A77B3E" w:rsidRDefault="00E83AB7">
      <w:pPr>
        <w:spacing w:line="360" w:lineRule="auto"/>
        <w:jc w:val="both"/>
      </w:pPr>
      <w:r>
        <w:rPr>
          <w:rFonts w:ascii="Book Antiqua" w:eastAsia="Book Antiqua" w:hAnsi="Book Antiqua" w:cs="Book Antiqua"/>
          <w:color w:val="000000"/>
        </w:rPr>
        <w:t>CASE SUMMARY</w:t>
      </w:r>
    </w:p>
    <w:p w14:paraId="781B5611" w14:textId="77777777" w:rsidR="00A77B3E" w:rsidRDefault="00E83AB7">
      <w:pPr>
        <w:spacing w:line="360" w:lineRule="auto"/>
        <w:jc w:val="both"/>
      </w:pPr>
      <w:r>
        <w:rPr>
          <w:rFonts w:ascii="Book Antiqua" w:eastAsia="Book Antiqua" w:hAnsi="Book Antiqua" w:cs="Book Antiqua"/>
          <w:color w:val="000000"/>
        </w:rPr>
        <w:t xml:space="preserve">In this report, we describe an 18-year-old adolescent with recurrent epistaxis, mucocutaneous telangiectasia and family history of HHT, consistent with HHT. </w:t>
      </w:r>
    </w:p>
    <w:p w14:paraId="4BC1CE33" w14:textId="77777777" w:rsidR="00A77B3E" w:rsidRDefault="00A77B3E">
      <w:pPr>
        <w:spacing w:line="360" w:lineRule="auto"/>
        <w:jc w:val="both"/>
      </w:pPr>
    </w:p>
    <w:p w14:paraId="65105676" w14:textId="77777777" w:rsidR="00A77B3E" w:rsidRDefault="00E83AB7">
      <w:pPr>
        <w:spacing w:line="360" w:lineRule="auto"/>
        <w:jc w:val="both"/>
      </w:pPr>
      <w:r>
        <w:rPr>
          <w:rFonts w:ascii="Book Antiqua" w:eastAsia="Book Antiqua" w:hAnsi="Book Antiqua" w:cs="Book Antiqua"/>
          <w:color w:val="000000"/>
        </w:rPr>
        <w:t>CONCLUSION</w:t>
      </w:r>
    </w:p>
    <w:p w14:paraId="3ED1E833" w14:textId="20D59B48" w:rsidR="00A77B3E" w:rsidRDefault="00E83AB7">
      <w:pPr>
        <w:spacing w:line="360" w:lineRule="auto"/>
        <w:jc w:val="both"/>
      </w:pPr>
      <w:r>
        <w:rPr>
          <w:rFonts w:ascii="Book Antiqua" w:eastAsia="Book Antiqua" w:hAnsi="Book Antiqua" w:cs="Book Antiqua"/>
          <w:color w:val="000000"/>
        </w:rPr>
        <w:t>Timely diagnosis is needed not only to treat the epistaxis but also to be vigilant for other serious manifestations of this condition.</w:t>
      </w:r>
    </w:p>
    <w:p w14:paraId="15C5C59F" w14:textId="77777777" w:rsidR="00A77B3E" w:rsidRDefault="00A77B3E">
      <w:pPr>
        <w:spacing w:line="360" w:lineRule="auto"/>
        <w:jc w:val="both"/>
      </w:pPr>
    </w:p>
    <w:p w14:paraId="5F3B171D" w14:textId="7893C6A8" w:rsidR="00A77B3E" w:rsidRDefault="00E83AB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Epistaxis; Telangiectasia; Hemorrhagic; Hereditary; Pediatrics; </w:t>
      </w:r>
      <w:r w:rsidR="001813D6">
        <w:rPr>
          <w:rFonts w:ascii="Book Antiqua" w:eastAsia="Book Antiqua" w:hAnsi="Book Antiqua" w:cs="Book Antiqua"/>
          <w:color w:val="000000"/>
        </w:rPr>
        <w:t>Case report</w:t>
      </w:r>
    </w:p>
    <w:p w14:paraId="3EECD9CF" w14:textId="77777777" w:rsidR="00C72AFD" w:rsidRDefault="00C72AFD" w:rsidP="00C72AFD">
      <w:pPr>
        <w:spacing w:line="360" w:lineRule="auto"/>
        <w:jc w:val="both"/>
        <w:rPr>
          <w:lang w:eastAsia="zh-CN"/>
        </w:rPr>
      </w:pPr>
    </w:p>
    <w:p w14:paraId="1F6CAF05" w14:textId="77777777" w:rsidR="00C72AFD" w:rsidRPr="00026CB8" w:rsidRDefault="00C72AFD" w:rsidP="00C72AF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8F28FC5" w14:textId="77777777" w:rsidR="00A77B3E" w:rsidRDefault="00A77B3E">
      <w:pPr>
        <w:spacing w:line="360" w:lineRule="auto"/>
        <w:jc w:val="both"/>
      </w:pPr>
    </w:p>
    <w:p w14:paraId="2A109C4C" w14:textId="0EB4BBDC" w:rsidR="00046CCC" w:rsidRDefault="00046CCC">
      <w:pPr>
        <w:spacing w:line="360" w:lineRule="auto"/>
        <w:jc w:val="both"/>
        <w:rPr>
          <w:rFonts w:ascii="Book Antiqua" w:eastAsia="宋体" w:hAnsi="Book Antiqua" w:cs="宋体" w:hint="eastAsia"/>
          <w:color w:val="333333"/>
          <w:lang w:eastAsia="zh-CN"/>
        </w:rPr>
      </w:pPr>
      <w:r w:rsidRPr="00046CCC">
        <w:rPr>
          <w:rFonts w:ascii="Book Antiqua" w:eastAsia="Book Antiqua" w:hAnsi="Book Antiqua" w:cs="Book Antiqua"/>
          <w:b/>
          <w:color w:val="000000"/>
        </w:rPr>
        <w:t>Citation</w:t>
      </w:r>
      <w:r w:rsidRPr="00046CCC">
        <w:rPr>
          <w:rFonts w:ascii="Book Antiqua" w:hAnsi="Book Antiqua" w:cs="Book Antiqua" w:hint="eastAsia"/>
          <w:b/>
          <w:color w:val="000000"/>
          <w:lang w:eastAsia="zh-CN"/>
        </w:rPr>
        <w:t xml:space="preserve">: </w:t>
      </w:r>
      <w:r w:rsidR="00E83AB7">
        <w:rPr>
          <w:rFonts w:ascii="Book Antiqua" w:eastAsia="Book Antiqua" w:hAnsi="Book Antiqua" w:cs="Book Antiqua"/>
          <w:color w:val="000000"/>
        </w:rPr>
        <w:t xml:space="preserve">Acharya R, Portwood K, Upadhyay K. Hereditary hemorrhagic telangiectasia presenting as a recurrent epistaxis in an adolescent: </w:t>
      </w:r>
      <w:r w:rsidR="00304AFF">
        <w:rPr>
          <w:rFonts w:ascii="Book Antiqua" w:eastAsia="Book Antiqua" w:hAnsi="Book Antiqua" w:cs="Book Antiqua"/>
          <w:color w:val="000000"/>
        </w:rPr>
        <w:t>A</w:t>
      </w:r>
      <w:r w:rsidR="00E83AB7">
        <w:rPr>
          <w:rFonts w:ascii="Book Antiqua" w:eastAsia="Book Antiqua" w:hAnsi="Book Antiqua" w:cs="Book Antiqua"/>
          <w:color w:val="000000"/>
        </w:rPr>
        <w:t xml:space="preserve"> case report. </w:t>
      </w:r>
      <w:r w:rsidR="00E83AB7">
        <w:rPr>
          <w:rFonts w:ascii="Book Antiqua" w:eastAsia="Book Antiqua" w:hAnsi="Book Antiqua" w:cs="Book Antiqua"/>
          <w:i/>
          <w:iCs/>
          <w:color w:val="000000"/>
        </w:rPr>
        <w:t>World J Clin Pediatr</w:t>
      </w:r>
      <w:r w:rsidR="00E83AB7">
        <w:rPr>
          <w:rFonts w:ascii="Book Antiqua" w:eastAsia="Book Antiqua" w:hAnsi="Book Antiqua" w:cs="Book Antiqua"/>
          <w:color w:val="000000"/>
        </w:rPr>
        <w:t xml:space="preserve"> </w:t>
      </w:r>
      <w:r w:rsidR="001634BE" w:rsidRPr="00A84CDB">
        <w:rPr>
          <w:rFonts w:ascii="Book Antiqua" w:eastAsia="宋体" w:hAnsi="Book Antiqua" w:cs="宋体"/>
          <w:color w:val="333333"/>
        </w:rPr>
        <w:t>202</w:t>
      </w:r>
      <w:r w:rsidR="001634BE">
        <w:rPr>
          <w:rFonts w:ascii="Book Antiqua" w:eastAsia="宋体" w:hAnsi="Book Antiqua" w:cs="宋体" w:hint="eastAsia"/>
          <w:color w:val="333333"/>
          <w:lang w:eastAsia="zh-CN"/>
        </w:rPr>
        <w:t>1</w:t>
      </w:r>
      <w:r w:rsidR="001634BE" w:rsidRPr="00A84CDB">
        <w:rPr>
          <w:rFonts w:ascii="Book Antiqua" w:eastAsia="宋体" w:hAnsi="Book Antiqua" w:cs="宋体"/>
          <w:color w:val="333333"/>
        </w:rPr>
        <w:t xml:space="preserve">; </w:t>
      </w:r>
      <w:r w:rsidR="001634BE">
        <w:rPr>
          <w:rFonts w:ascii="Book Antiqua" w:eastAsia="宋体" w:hAnsi="Book Antiqua" w:cs="宋体" w:hint="eastAsia"/>
          <w:color w:val="333333"/>
          <w:lang w:eastAsia="zh-CN"/>
        </w:rPr>
        <w:t>10</w:t>
      </w:r>
      <w:r w:rsidR="001634BE">
        <w:rPr>
          <w:rFonts w:ascii="Book Antiqua" w:eastAsia="宋体" w:hAnsi="Book Antiqua" w:cs="宋体"/>
          <w:color w:val="333333"/>
        </w:rPr>
        <w:t>(</w:t>
      </w:r>
      <w:r w:rsidR="001634BE">
        <w:rPr>
          <w:rFonts w:ascii="Book Antiqua" w:eastAsia="宋体" w:hAnsi="Book Antiqua" w:cs="宋体" w:hint="eastAsia"/>
          <w:color w:val="333333"/>
          <w:lang w:eastAsia="zh-CN"/>
        </w:rPr>
        <w:t>1</w:t>
      </w:r>
      <w:r w:rsidR="001634BE" w:rsidRPr="00A84CDB">
        <w:rPr>
          <w:rFonts w:ascii="Book Antiqua" w:eastAsia="宋体" w:hAnsi="Book Antiqua" w:cs="宋体"/>
          <w:color w:val="333333"/>
        </w:rPr>
        <w:t xml:space="preserve">): </w:t>
      </w:r>
      <w:r w:rsidR="00894E1B">
        <w:rPr>
          <w:rFonts w:ascii="Book Antiqua" w:eastAsia="宋体" w:hAnsi="Book Antiqua" w:cs="宋体" w:hint="eastAsia"/>
          <w:color w:val="333333"/>
          <w:lang w:eastAsia="zh-CN"/>
        </w:rPr>
        <w:t>1</w:t>
      </w:r>
      <w:r w:rsidR="001634BE" w:rsidRPr="00A84CDB">
        <w:rPr>
          <w:rFonts w:ascii="Book Antiqua" w:eastAsia="宋体" w:hAnsi="Book Antiqua" w:cs="宋体"/>
          <w:color w:val="333333"/>
        </w:rPr>
        <w:t>-</w:t>
      </w:r>
      <w:r w:rsidR="00894E1B">
        <w:rPr>
          <w:rFonts w:ascii="Book Antiqua" w:eastAsia="宋体" w:hAnsi="Book Antiqua" w:cs="宋体" w:hint="eastAsia"/>
          <w:color w:val="333333"/>
          <w:lang w:eastAsia="zh-CN"/>
        </w:rPr>
        <w:t>6</w:t>
      </w:r>
      <w:r w:rsidR="001634BE" w:rsidRPr="00A84CDB">
        <w:rPr>
          <w:rFonts w:ascii="Book Antiqua" w:eastAsia="宋体" w:hAnsi="Book Antiqua" w:cs="宋体"/>
          <w:color w:val="333333"/>
        </w:rPr>
        <w:t xml:space="preserve">  </w:t>
      </w:r>
    </w:p>
    <w:p w14:paraId="39A0F8EB" w14:textId="77777777" w:rsidR="00046CCC" w:rsidRDefault="001634BE">
      <w:pPr>
        <w:spacing w:line="360" w:lineRule="auto"/>
        <w:jc w:val="both"/>
        <w:rPr>
          <w:rFonts w:ascii="Book Antiqua" w:eastAsia="宋体" w:hAnsi="Book Antiqua" w:cs="宋体" w:hint="eastAsia"/>
          <w:color w:val="333333"/>
          <w:lang w:eastAsia="zh-CN"/>
        </w:rPr>
      </w:pPr>
      <w:r w:rsidRPr="00046CCC">
        <w:rPr>
          <w:rFonts w:ascii="Book Antiqua" w:eastAsia="宋体" w:hAnsi="Book Antiqua" w:cs="宋体"/>
          <w:b/>
          <w:color w:val="333333"/>
        </w:rPr>
        <w:t xml:space="preserve">URL: </w:t>
      </w:r>
      <w:r w:rsidRPr="00A84CDB">
        <w:rPr>
          <w:rFonts w:ascii="Book Antiqua" w:eastAsia="宋体" w:hAnsi="Book Antiqua" w:cs="宋体"/>
          <w:color w:val="333333"/>
        </w:rPr>
        <w:t>https://www.wjgnet.com/2219-2808/full/v</w:t>
      </w:r>
      <w:r>
        <w:rPr>
          <w:rFonts w:ascii="Book Antiqua" w:eastAsia="宋体" w:hAnsi="Book Antiqua" w:cs="宋体" w:hint="eastAsia"/>
          <w:color w:val="333333"/>
          <w:lang w:eastAsia="zh-CN"/>
        </w:rPr>
        <w:t>10</w:t>
      </w:r>
      <w:r w:rsidRPr="00A84CDB">
        <w:rPr>
          <w:rFonts w:ascii="Book Antiqua" w:eastAsia="宋体" w:hAnsi="Book Antiqua" w:cs="宋体"/>
          <w:color w:val="333333"/>
        </w:rPr>
        <w:t>/i</w:t>
      </w:r>
      <w:r>
        <w:rPr>
          <w:rFonts w:ascii="Book Antiqua" w:eastAsia="宋体" w:hAnsi="Book Antiqua" w:cs="宋体" w:hint="eastAsia"/>
          <w:color w:val="333333"/>
          <w:lang w:eastAsia="zh-CN"/>
        </w:rPr>
        <w:t>1</w:t>
      </w:r>
      <w:r w:rsidRPr="00A84CDB">
        <w:rPr>
          <w:rFonts w:ascii="Book Antiqua" w:eastAsia="宋体" w:hAnsi="Book Antiqua" w:cs="宋体"/>
          <w:color w:val="333333"/>
        </w:rPr>
        <w:t>/</w:t>
      </w:r>
      <w:r w:rsidR="00894E1B">
        <w:rPr>
          <w:rFonts w:ascii="Book Antiqua" w:eastAsia="宋体" w:hAnsi="Book Antiqua" w:cs="宋体" w:hint="eastAsia"/>
          <w:color w:val="333333"/>
          <w:lang w:eastAsia="zh-CN"/>
        </w:rPr>
        <w:t>1</w:t>
      </w:r>
      <w:r w:rsidRPr="00A84CDB">
        <w:rPr>
          <w:rFonts w:ascii="Book Antiqua" w:eastAsia="宋体" w:hAnsi="Book Antiqua" w:cs="宋体"/>
          <w:color w:val="333333"/>
        </w:rPr>
        <w:t xml:space="preserve">.htm  </w:t>
      </w:r>
    </w:p>
    <w:p w14:paraId="0C826969" w14:textId="6F7A10A2" w:rsidR="00A77B3E" w:rsidRDefault="001634BE">
      <w:pPr>
        <w:spacing w:line="360" w:lineRule="auto"/>
        <w:jc w:val="both"/>
        <w:rPr>
          <w:rFonts w:hint="eastAsia"/>
          <w:lang w:eastAsia="zh-CN"/>
        </w:rPr>
      </w:pPr>
      <w:r w:rsidRPr="00046CCC">
        <w:rPr>
          <w:rFonts w:ascii="Book Antiqua" w:eastAsia="宋体" w:hAnsi="Book Antiqua" w:cs="宋体"/>
          <w:b/>
          <w:color w:val="333333"/>
        </w:rPr>
        <w:t xml:space="preserve">DOI: </w:t>
      </w:r>
      <w:r w:rsidRPr="00A84CDB">
        <w:rPr>
          <w:rFonts w:ascii="Book Antiqua" w:eastAsia="宋体" w:hAnsi="Book Antiqua" w:cs="宋体"/>
          <w:color w:val="333333"/>
        </w:rPr>
        <w:t>https://dx.doi.org/10.5409/wjcp.v</w:t>
      </w:r>
      <w:r>
        <w:rPr>
          <w:rFonts w:ascii="Book Antiqua" w:eastAsia="宋体" w:hAnsi="Book Antiqua" w:cs="宋体" w:hint="eastAsia"/>
          <w:color w:val="333333"/>
          <w:lang w:eastAsia="zh-CN"/>
        </w:rPr>
        <w:t>10</w:t>
      </w:r>
      <w:r w:rsidRPr="00A84CDB">
        <w:rPr>
          <w:rFonts w:ascii="Book Antiqua" w:eastAsia="宋体" w:hAnsi="Book Antiqua" w:cs="宋体"/>
          <w:color w:val="333333"/>
        </w:rPr>
        <w:t>.i</w:t>
      </w:r>
      <w:r>
        <w:rPr>
          <w:rFonts w:ascii="Book Antiqua" w:eastAsia="宋体" w:hAnsi="Book Antiqua" w:cs="宋体" w:hint="eastAsia"/>
          <w:color w:val="333333"/>
          <w:lang w:eastAsia="zh-CN"/>
        </w:rPr>
        <w:t>1</w:t>
      </w:r>
      <w:r w:rsidRPr="00A84CDB">
        <w:rPr>
          <w:rFonts w:ascii="Book Antiqua" w:eastAsia="宋体" w:hAnsi="Book Antiqua" w:cs="宋体"/>
          <w:color w:val="333333"/>
        </w:rPr>
        <w:t>.</w:t>
      </w:r>
      <w:r w:rsidR="00894E1B">
        <w:rPr>
          <w:rFonts w:ascii="Book Antiqua" w:eastAsia="宋体" w:hAnsi="Book Antiqua" w:cs="宋体" w:hint="eastAsia"/>
          <w:color w:val="333333"/>
          <w:lang w:eastAsia="zh-CN"/>
        </w:rPr>
        <w:t>1</w:t>
      </w:r>
    </w:p>
    <w:p w14:paraId="0212A9E7" w14:textId="77777777" w:rsidR="00A77B3E" w:rsidRDefault="00A77B3E">
      <w:pPr>
        <w:spacing w:line="360" w:lineRule="auto"/>
        <w:jc w:val="both"/>
      </w:pPr>
    </w:p>
    <w:p w14:paraId="210CC4B5" w14:textId="77777777" w:rsidR="00A77B3E" w:rsidRDefault="00E83A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patients with recurrent spontaneous epistaxis, a thorough history, family history, physical examination and investigation is necessary to exclude hereditary hemorrhagic telangiectasia which can present with multi-system involvement along with epistaxis.</w:t>
      </w:r>
    </w:p>
    <w:p w14:paraId="005C6B4C" w14:textId="21E21E07" w:rsidR="00A77B3E" w:rsidRDefault="001813D6">
      <w:pPr>
        <w:spacing w:line="360" w:lineRule="auto"/>
        <w:jc w:val="both"/>
      </w:pPr>
      <w:r>
        <w:br w:type="page"/>
      </w:r>
      <w:r w:rsidR="00E83AB7">
        <w:rPr>
          <w:rFonts w:ascii="Book Antiqua" w:eastAsia="Book Antiqua" w:hAnsi="Book Antiqua" w:cs="Book Antiqua"/>
          <w:b/>
          <w:caps/>
          <w:color w:val="000000"/>
          <w:u w:val="single"/>
        </w:rPr>
        <w:t>INTRODUCTION</w:t>
      </w:r>
    </w:p>
    <w:p w14:paraId="748D0299" w14:textId="65B30D83" w:rsidR="00A77B3E" w:rsidRDefault="00E83AB7">
      <w:pPr>
        <w:spacing w:line="360" w:lineRule="auto"/>
        <w:jc w:val="both"/>
      </w:pPr>
      <w:r>
        <w:rPr>
          <w:rFonts w:ascii="Book Antiqua" w:eastAsia="Book Antiqua" w:hAnsi="Book Antiqua" w:cs="Book Antiqua"/>
          <w:color w:val="000000"/>
          <w:shd w:val="clear" w:color="auto" w:fill="FFFFFF"/>
        </w:rPr>
        <w:t>Hereditary hemorrhagic telangiectasia (HHT) is an autosomal dominant vascular disorder. Epistaxis, gastrointestinal (GI) bleeding, iron deficiency anemia, and mucocutaneous telangiectasia are the most common manifestations of the disease</w:t>
      </w:r>
      <w:r w:rsidR="0052308C" w:rsidRPr="0052308C">
        <w:rPr>
          <w:rFonts w:ascii="Book Antiqua" w:eastAsia="Book Antiqua" w:hAnsi="Book Antiqua" w:cs="Book Antiqua"/>
          <w:color w:val="000000"/>
          <w:shd w:val="clear" w:color="auto" w:fill="FFFFFF"/>
          <w:vertAlign w:val="superscript"/>
        </w:rPr>
        <w:t>[</w:t>
      </w:r>
      <w:r w:rsidRPr="0052308C">
        <w:rPr>
          <w:rFonts w:ascii="Book Antiqua" w:eastAsia="Book Antiqua" w:hAnsi="Book Antiqua" w:cs="Book Antiqua"/>
          <w:color w:val="000000"/>
          <w:shd w:val="clear" w:color="auto" w:fill="FFFFFF"/>
          <w:vertAlign w:val="superscript"/>
        </w:rPr>
        <w:t>1</w:t>
      </w:r>
      <w:r w:rsidR="0052308C" w:rsidRPr="0052308C">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Epistaxis is secondary to telangiectasia of the nasal mucosa. Arteriovenous malformations (AVM) in the visceral organs such as lungs, liver and brain can occur for which symptomatic patients should be screened, as they can be fatal. Intestinal polyps have been described in association with HHT (</w:t>
      </w:r>
      <w:r>
        <w:rPr>
          <w:rFonts w:ascii="Book Antiqua" w:eastAsia="Book Antiqua" w:hAnsi="Book Antiqua" w:cs="Book Antiqua"/>
          <w:color w:val="000000"/>
        </w:rPr>
        <w:t>juvenile polyposis-HHT overlap syndrome), which is seen in 1 percent of HHT cases and is due to mutations in</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SMAD4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Pulmonary and cerebral AVMs are more common in HHT1 patients, while hepatic AVMs and pulmonary hypertension are more common in those with HHT2</w:t>
      </w:r>
      <w:r w:rsidR="0052308C" w:rsidRPr="0052308C">
        <w:rPr>
          <w:rFonts w:ascii="Book Antiqua" w:eastAsia="Book Antiqua" w:hAnsi="Book Antiqua" w:cs="Book Antiqua"/>
          <w:color w:val="000000"/>
          <w:shd w:val="clear" w:color="auto" w:fill="FFFFFF"/>
          <w:vertAlign w:val="superscript"/>
        </w:rPr>
        <w:t>[</w:t>
      </w:r>
      <w:r w:rsidR="0052308C">
        <w:rPr>
          <w:rFonts w:ascii="Book Antiqua" w:eastAsia="Book Antiqua" w:hAnsi="Book Antiqua" w:cs="Book Antiqua"/>
          <w:color w:val="000000"/>
          <w:shd w:val="clear" w:color="auto" w:fill="FFFFFF"/>
          <w:vertAlign w:val="superscript"/>
        </w:rPr>
        <w:t>2</w:t>
      </w:r>
      <w:r w:rsidR="0052308C" w:rsidRPr="0052308C">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p>
    <w:p w14:paraId="60A99D10" w14:textId="77777777" w:rsidR="00A77B3E" w:rsidRDefault="00A77B3E">
      <w:pPr>
        <w:spacing w:line="360" w:lineRule="auto"/>
        <w:jc w:val="both"/>
      </w:pPr>
    </w:p>
    <w:p w14:paraId="65FB57A3" w14:textId="77777777" w:rsidR="00A77B3E" w:rsidRDefault="00E83AB7">
      <w:pPr>
        <w:spacing w:line="360" w:lineRule="auto"/>
        <w:jc w:val="both"/>
      </w:pPr>
      <w:r>
        <w:rPr>
          <w:rFonts w:ascii="Book Antiqua" w:eastAsia="Book Antiqua" w:hAnsi="Book Antiqua" w:cs="Book Antiqua"/>
          <w:b/>
          <w:caps/>
          <w:color w:val="000000"/>
          <w:u w:val="single"/>
        </w:rPr>
        <w:t>CASE PRESENTATION</w:t>
      </w:r>
    </w:p>
    <w:p w14:paraId="765DE679" w14:textId="77777777" w:rsidR="00A77B3E" w:rsidRDefault="00E83AB7">
      <w:pPr>
        <w:spacing w:line="360" w:lineRule="auto"/>
        <w:jc w:val="both"/>
      </w:pPr>
      <w:r>
        <w:rPr>
          <w:rFonts w:ascii="Book Antiqua" w:eastAsia="Book Antiqua" w:hAnsi="Book Antiqua" w:cs="Book Antiqua"/>
          <w:b/>
          <w:i/>
          <w:color w:val="000000"/>
        </w:rPr>
        <w:t>Chief complaints</w:t>
      </w:r>
    </w:p>
    <w:p w14:paraId="0B5F9D22" w14:textId="77777777" w:rsidR="00A77B3E" w:rsidRDefault="00E83AB7">
      <w:pPr>
        <w:spacing w:line="360" w:lineRule="auto"/>
        <w:jc w:val="both"/>
      </w:pPr>
      <w:r>
        <w:rPr>
          <w:rFonts w:ascii="Book Antiqua" w:eastAsia="Book Antiqua" w:hAnsi="Book Antiqua" w:cs="Book Antiqua"/>
          <w:color w:val="000000"/>
        </w:rPr>
        <w:t>An 18-year-old male patient with a past medical history of renal calculi, asthma, environmental allergies, irritable bowel syndrome, and frequent nosebleeds presented to the pediatric clinic for evaluation of nosebleeds.</w:t>
      </w:r>
    </w:p>
    <w:p w14:paraId="6E1BC77D" w14:textId="77777777" w:rsidR="00A77B3E" w:rsidRDefault="00A77B3E">
      <w:pPr>
        <w:spacing w:line="360" w:lineRule="auto"/>
        <w:jc w:val="both"/>
      </w:pPr>
    </w:p>
    <w:p w14:paraId="3AC0F1B5" w14:textId="77777777" w:rsidR="00A77B3E" w:rsidRDefault="00E83AB7">
      <w:pPr>
        <w:spacing w:line="360" w:lineRule="auto"/>
        <w:jc w:val="both"/>
      </w:pPr>
      <w:r>
        <w:rPr>
          <w:rFonts w:ascii="Book Antiqua" w:eastAsia="Book Antiqua" w:hAnsi="Book Antiqua" w:cs="Book Antiqua"/>
          <w:b/>
          <w:i/>
          <w:color w:val="000000"/>
        </w:rPr>
        <w:t>History of present illness</w:t>
      </w:r>
    </w:p>
    <w:p w14:paraId="17058ACB" w14:textId="211A401F" w:rsidR="00A77B3E" w:rsidRDefault="00E83AB7">
      <w:pPr>
        <w:spacing w:line="360" w:lineRule="auto"/>
        <w:jc w:val="both"/>
      </w:pPr>
      <w:r>
        <w:rPr>
          <w:rFonts w:ascii="Book Antiqua" w:eastAsia="Book Antiqua" w:hAnsi="Book Antiqua" w:cs="Book Antiqua"/>
          <w:color w:val="000000"/>
        </w:rPr>
        <w:t xml:space="preserve">Patient has had recurrent nosebleeds throughout his life, which seemed to have worsened as a teenager. The bleeding would usually last for 15 min and resolve with nasal compression. There was no history of nose picking or trauma to the nose. </w:t>
      </w:r>
    </w:p>
    <w:p w14:paraId="4AAA3FA6" w14:textId="77777777" w:rsidR="00A77B3E" w:rsidRDefault="00A77B3E">
      <w:pPr>
        <w:spacing w:line="360" w:lineRule="auto"/>
        <w:jc w:val="both"/>
      </w:pPr>
    </w:p>
    <w:p w14:paraId="00589C19" w14:textId="77777777" w:rsidR="00A77B3E" w:rsidRDefault="00E83AB7">
      <w:pPr>
        <w:spacing w:line="360" w:lineRule="auto"/>
        <w:jc w:val="both"/>
      </w:pPr>
      <w:r>
        <w:rPr>
          <w:rFonts w:ascii="Book Antiqua" w:eastAsia="Book Antiqua" w:hAnsi="Book Antiqua" w:cs="Book Antiqua"/>
          <w:b/>
          <w:i/>
          <w:color w:val="000000"/>
        </w:rPr>
        <w:t>History of past illness</w:t>
      </w:r>
    </w:p>
    <w:p w14:paraId="626927EC" w14:textId="77777777" w:rsidR="00A77B3E" w:rsidRDefault="00E83AB7">
      <w:pPr>
        <w:spacing w:line="360" w:lineRule="auto"/>
        <w:jc w:val="both"/>
      </w:pPr>
      <w:r>
        <w:rPr>
          <w:rFonts w:ascii="Book Antiqua" w:eastAsia="Book Antiqua" w:hAnsi="Book Antiqua" w:cs="Book Antiqua"/>
          <w:color w:val="000000"/>
        </w:rPr>
        <w:t>The patient denied bleeding while brushing his teeth, long duration of wound healing or swelling of joints. He denied bruising or petechiae but reported to have small red spots on his chest. Patient was known to have episodes of syncope during the episodes of nosebleeds. There was no history of black, tarry or grossly bloody stool, vomiting or blood in urine. There was no history of chest pain, shortness of breath, hemoptysis, hematemesis or seizures.</w:t>
      </w:r>
    </w:p>
    <w:p w14:paraId="772D7574" w14:textId="77777777" w:rsidR="00A77B3E" w:rsidRDefault="00A77B3E">
      <w:pPr>
        <w:spacing w:line="360" w:lineRule="auto"/>
        <w:jc w:val="both"/>
      </w:pPr>
    </w:p>
    <w:p w14:paraId="25FFE0DF" w14:textId="77777777" w:rsidR="00A77B3E" w:rsidRDefault="00E83AB7">
      <w:pPr>
        <w:spacing w:line="360" w:lineRule="auto"/>
        <w:jc w:val="both"/>
      </w:pPr>
      <w:r>
        <w:rPr>
          <w:rFonts w:ascii="Book Antiqua" w:eastAsia="Book Antiqua" w:hAnsi="Book Antiqua" w:cs="Book Antiqua"/>
          <w:b/>
          <w:i/>
          <w:color w:val="000000"/>
        </w:rPr>
        <w:t>Personal and family history</w:t>
      </w:r>
    </w:p>
    <w:p w14:paraId="36301E51" w14:textId="253F5B5B" w:rsidR="00A77B3E" w:rsidRDefault="00E83AB7">
      <w:pPr>
        <w:spacing w:line="360" w:lineRule="auto"/>
        <w:jc w:val="both"/>
      </w:pPr>
      <w:r>
        <w:rPr>
          <w:rFonts w:ascii="Book Antiqua" w:eastAsia="Book Antiqua" w:hAnsi="Book Antiqua" w:cs="Book Antiqua"/>
          <w:color w:val="000000"/>
        </w:rPr>
        <w:t>He had a history of mild intermittent asthma and dust mite allergy for which he was taking albuterol and montelukast.</w:t>
      </w:r>
      <w:r w:rsidR="0052308C">
        <w:rPr>
          <w:rFonts w:hint="eastAsia"/>
          <w:lang w:eastAsia="zh-CN"/>
        </w:rPr>
        <w:t xml:space="preserve"> </w:t>
      </w:r>
      <w:r>
        <w:rPr>
          <w:rFonts w:ascii="Book Antiqua" w:eastAsia="Book Antiqua" w:hAnsi="Book Antiqua" w:cs="Book Antiqua"/>
          <w:color w:val="000000"/>
        </w:rPr>
        <w:t xml:space="preserve">The family history was positive for primary biliary cholangitis, Hashimoto’s thyroiditis, psoriasis, asthma, arthritis along with pulmonary and liver AVMs and telangiectasias of the finger in the mother. Father had atrial fibrillation, hypertension and hyperlipidemia. Further family history revealed extensive bleeding history in the maternal side, including intestinal telangiectasias in maternal aunt and cousin and frequent nosebleeds in the maternal uncle. Maternal grandmother has had “bleeding problems in intestine and brain”. </w:t>
      </w:r>
    </w:p>
    <w:p w14:paraId="6F07E968" w14:textId="77777777" w:rsidR="00A77B3E" w:rsidRDefault="00A77B3E">
      <w:pPr>
        <w:spacing w:line="360" w:lineRule="auto"/>
        <w:jc w:val="both"/>
      </w:pPr>
    </w:p>
    <w:p w14:paraId="1D922EC6" w14:textId="77777777" w:rsidR="00A77B3E" w:rsidRDefault="00E83AB7">
      <w:pPr>
        <w:spacing w:line="360" w:lineRule="auto"/>
        <w:jc w:val="both"/>
      </w:pPr>
      <w:r>
        <w:rPr>
          <w:rFonts w:ascii="Book Antiqua" w:eastAsia="Book Antiqua" w:hAnsi="Book Antiqua" w:cs="Book Antiqua"/>
          <w:b/>
          <w:i/>
          <w:color w:val="000000"/>
        </w:rPr>
        <w:t>Physical examination</w:t>
      </w:r>
    </w:p>
    <w:p w14:paraId="0C191C4D" w14:textId="5775FD4D" w:rsidR="00A77B3E" w:rsidRDefault="00E83AB7">
      <w:pPr>
        <w:spacing w:line="360" w:lineRule="auto"/>
        <w:jc w:val="both"/>
      </w:pPr>
      <w:r>
        <w:rPr>
          <w:rFonts w:ascii="Book Antiqua" w:eastAsia="Book Antiqua" w:hAnsi="Book Antiqua" w:cs="Book Antiqua"/>
          <w:color w:val="000000"/>
        </w:rPr>
        <w:t>Physical examination revealed stable vital signs with blood pressure of 120/78 mmHg. Skin examination showed telangiectasias on gum line and inner lips along with cherry hemangiomas on the chest and back (</w:t>
      </w:r>
      <w:r w:rsidR="0052308C">
        <w:rPr>
          <w:rFonts w:ascii="Book Antiqua" w:eastAsia="Book Antiqua" w:hAnsi="Book Antiqua" w:cs="Book Antiqua"/>
          <w:color w:val="000000"/>
        </w:rPr>
        <w:t xml:space="preserve">Figures </w:t>
      </w:r>
      <w:r>
        <w:rPr>
          <w:rFonts w:ascii="Book Antiqua" w:eastAsia="Book Antiqua" w:hAnsi="Book Antiqua" w:cs="Book Antiqua"/>
          <w:color w:val="000000"/>
        </w:rPr>
        <w:t>1 and 2). There were no other skin rashes or lesions suggestive of autoimmune disease. Nasal examination showed erythematous mucus membranes with excoriation in bilateral nares, dilated blood vessels in anterior nares with no active bleeding, and no mass or polyps (</w:t>
      </w:r>
      <w:r w:rsidR="0052308C">
        <w:rPr>
          <w:rFonts w:ascii="Book Antiqua" w:eastAsia="Book Antiqua" w:hAnsi="Book Antiqua" w:cs="Book Antiqua"/>
          <w:color w:val="000000"/>
        </w:rPr>
        <w:t>Figure</w:t>
      </w:r>
      <w:r>
        <w:rPr>
          <w:rFonts w:ascii="Book Antiqua" w:eastAsia="Book Antiqua" w:hAnsi="Book Antiqua" w:cs="Book Antiqua"/>
          <w:color w:val="000000"/>
        </w:rPr>
        <w:t xml:space="preserve"> 3). Conjunctiva was injected. Rest of the physical examination was normal. </w:t>
      </w:r>
    </w:p>
    <w:p w14:paraId="3A5F7C8E" w14:textId="77777777" w:rsidR="00A77B3E" w:rsidRDefault="00A77B3E">
      <w:pPr>
        <w:spacing w:line="360" w:lineRule="auto"/>
        <w:jc w:val="both"/>
      </w:pPr>
    </w:p>
    <w:p w14:paraId="7C3A3178" w14:textId="77777777" w:rsidR="00A77B3E" w:rsidRDefault="00E83AB7">
      <w:pPr>
        <w:spacing w:line="360" w:lineRule="auto"/>
        <w:jc w:val="both"/>
      </w:pPr>
      <w:r>
        <w:rPr>
          <w:rFonts w:ascii="Book Antiqua" w:eastAsia="Book Antiqua" w:hAnsi="Book Antiqua" w:cs="Book Antiqua"/>
          <w:b/>
          <w:i/>
          <w:color w:val="000000"/>
        </w:rPr>
        <w:t>Laboratory examinations</w:t>
      </w:r>
    </w:p>
    <w:p w14:paraId="5F88B949" w14:textId="0601AFA9" w:rsidR="00A77B3E" w:rsidRDefault="00E83AB7">
      <w:pPr>
        <w:spacing w:line="360" w:lineRule="auto"/>
        <w:jc w:val="both"/>
      </w:pPr>
      <w:r>
        <w:rPr>
          <w:rFonts w:ascii="Book Antiqua" w:eastAsia="Book Antiqua" w:hAnsi="Book Antiqua" w:cs="Book Antiqua"/>
          <w:color w:val="000000"/>
        </w:rPr>
        <w:t>Investigations showed evidence of iron deficiency anemia (hemoglobin 9.5 gm/dL), which was thought to be secondary to long standing history of spontaneous recurrent epistaxis. Stool occult blood was normal. Liver function test was normal.</w:t>
      </w:r>
      <w:r w:rsidR="0052308C">
        <w:rPr>
          <w:rFonts w:ascii="Book Antiqua" w:eastAsia="Book Antiqua" w:hAnsi="Book Antiqua" w:cs="Book Antiqua"/>
          <w:color w:val="000000"/>
        </w:rPr>
        <w:t xml:space="preserve"> </w:t>
      </w:r>
      <w:r>
        <w:rPr>
          <w:rFonts w:ascii="Book Antiqua" w:eastAsia="Book Antiqua" w:hAnsi="Book Antiqua" w:cs="Book Antiqua"/>
          <w:color w:val="000000"/>
        </w:rPr>
        <w:t xml:space="preserve">Coagulation and bleeding profile were normal. Upper and/or lower GI endoscopies were not performed as there was no history suggestive of GI bleeding. Renal function panel showed serum creatinine of 0.7 mg/dL and stable electrolytes. Urinalysis was negative for proteinuria or hematuria. Thyroid function test was normal. </w:t>
      </w:r>
    </w:p>
    <w:p w14:paraId="1B39068E" w14:textId="77777777" w:rsidR="00A77B3E" w:rsidRDefault="00A77B3E">
      <w:pPr>
        <w:spacing w:line="360" w:lineRule="auto"/>
        <w:jc w:val="both"/>
      </w:pPr>
    </w:p>
    <w:p w14:paraId="75BD31AD" w14:textId="77777777" w:rsidR="00A77B3E" w:rsidRDefault="00E83AB7">
      <w:pPr>
        <w:spacing w:line="360" w:lineRule="auto"/>
        <w:jc w:val="both"/>
      </w:pPr>
      <w:r>
        <w:rPr>
          <w:rFonts w:ascii="Book Antiqua" w:eastAsia="Book Antiqua" w:hAnsi="Book Antiqua" w:cs="Book Antiqua"/>
          <w:b/>
          <w:i/>
          <w:color w:val="000000"/>
        </w:rPr>
        <w:t>Imaging examinations</w:t>
      </w:r>
    </w:p>
    <w:p w14:paraId="7627AD9C" w14:textId="23C6AD6B" w:rsidR="00A77B3E" w:rsidRDefault="00E83AB7">
      <w:pPr>
        <w:spacing w:line="360" w:lineRule="auto"/>
        <w:jc w:val="both"/>
      </w:pPr>
      <w:r>
        <w:rPr>
          <w:rFonts w:ascii="Book Antiqua" w:eastAsia="Book Antiqua" w:hAnsi="Book Antiqua" w:cs="Book Antiqua"/>
          <w:color w:val="000000"/>
        </w:rPr>
        <w:t xml:space="preserve">Chest </w:t>
      </w:r>
      <w:r w:rsidR="0052308C">
        <w:rPr>
          <w:rFonts w:ascii="Book Antiqua" w:eastAsia="Book Antiqua" w:hAnsi="Book Antiqua" w:cs="Book Antiqua"/>
          <w:color w:val="000000"/>
        </w:rPr>
        <w:t>X</w:t>
      </w:r>
      <w:r>
        <w:rPr>
          <w:rFonts w:ascii="Book Antiqua" w:eastAsia="Book Antiqua" w:hAnsi="Book Antiqua" w:cs="Book Antiqua"/>
          <w:color w:val="000000"/>
        </w:rPr>
        <w:t xml:space="preserve">-ray was normal. Although he did not have clinical evidence of pulmonary or hepatic AVMs, screening for the latter with computed tomography (CT) of chest and abdomen showed no evidence of pulmonary or hepatic AVMs. Given absence of headache, seizures, and altered sensorium, a CT scan of the head and neck initially was not performed. The prior history of syncopal attacks during episodes of epistaxis was attributed to hypotension from significant blood loss. He was also referred to Genetics for genetic testing and was found to have </w:t>
      </w:r>
      <w:r>
        <w:rPr>
          <w:rFonts w:ascii="Book Antiqua" w:eastAsia="Book Antiqua" w:hAnsi="Book Antiqua" w:cs="Book Antiqua"/>
          <w:color w:val="000000"/>
          <w:shd w:val="clear" w:color="auto" w:fill="FFFFFF"/>
        </w:rPr>
        <w:t xml:space="preserve">mutation of </w:t>
      </w:r>
      <w:r>
        <w:rPr>
          <w:rFonts w:ascii="Book Antiqua" w:eastAsia="Book Antiqua" w:hAnsi="Book Antiqua" w:cs="Book Antiqua"/>
          <w:i/>
          <w:iCs/>
          <w:color w:val="000000"/>
          <w:shd w:val="clear" w:color="auto" w:fill="FFFFFF"/>
        </w:rPr>
        <w:t>ENG</w:t>
      </w:r>
      <w:r>
        <w:rPr>
          <w:rFonts w:ascii="Book Antiqua" w:eastAsia="Book Antiqua" w:hAnsi="Book Antiqua" w:cs="Book Antiqua"/>
          <w:color w:val="000000"/>
          <w:shd w:val="clear" w:color="auto" w:fill="FFFFFF"/>
        </w:rPr>
        <w:t xml:space="preserve"> in chromosome 9, typical of HHT type 1. After genetic confirmation, a further screening with CT angiogram of head and neck did not reveal presence of AVMs. </w:t>
      </w:r>
    </w:p>
    <w:p w14:paraId="6B3C2BEF" w14:textId="77777777" w:rsidR="00A77B3E" w:rsidRDefault="00A77B3E">
      <w:pPr>
        <w:spacing w:line="360" w:lineRule="auto"/>
        <w:jc w:val="both"/>
      </w:pPr>
    </w:p>
    <w:p w14:paraId="7E6E702C" w14:textId="77777777" w:rsidR="00A77B3E" w:rsidRDefault="00E83AB7">
      <w:pPr>
        <w:spacing w:line="360" w:lineRule="auto"/>
        <w:jc w:val="both"/>
      </w:pPr>
      <w:r>
        <w:rPr>
          <w:rFonts w:ascii="Book Antiqua" w:eastAsia="Book Antiqua" w:hAnsi="Book Antiqua" w:cs="Book Antiqua"/>
          <w:b/>
          <w:caps/>
          <w:color w:val="000000"/>
          <w:u w:val="single"/>
        </w:rPr>
        <w:t xml:space="preserve">MULTIDISCIPLINARY </w:t>
      </w:r>
      <w:bookmarkStart w:id="2" w:name="_Hlk59615893"/>
      <w:r>
        <w:rPr>
          <w:rFonts w:ascii="Book Antiqua" w:eastAsia="Book Antiqua" w:hAnsi="Book Antiqua" w:cs="Book Antiqua"/>
          <w:b/>
          <w:caps/>
          <w:color w:val="000000"/>
          <w:u w:val="single"/>
        </w:rPr>
        <w:t>EXPERT</w:t>
      </w:r>
      <w:bookmarkEnd w:id="2"/>
      <w:r>
        <w:rPr>
          <w:rFonts w:ascii="Book Antiqua" w:eastAsia="Book Antiqua" w:hAnsi="Book Antiqua" w:cs="Book Antiqua"/>
          <w:b/>
          <w:caps/>
          <w:color w:val="000000"/>
          <w:u w:val="single"/>
        </w:rPr>
        <w:t xml:space="preserve"> CONSULTATION</w:t>
      </w:r>
    </w:p>
    <w:p w14:paraId="3481CDFB" w14:textId="3CA28F59" w:rsidR="00A77B3E" w:rsidRDefault="001F3C9F">
      <w:pPr>
        <w:spacing w:line="360" w:lineRule="auto"/>
        <w:jc w:val="both"/>
      </w:pPr>
      <w:r>
        <w:rPr>
          <w:rFonts w:ascii="Book Antiqua" w:eastAsia="Book Antiqua" w:hAnsi="Book Antiqua" w:cs="Book Antiqua"/>
          <w:color w:val="000000"/>
        </w:rPr>
        <w:t>E</w:t>
      </w:r>
      <w:r w:rsidRPr="001F3C9F">
        <w:rPr>
          <w:rFonts w:ascii="Book Antiqua" w:eastAsia="Book Antiqua" w:hAnsi="Book Antiqua" w:cs="Book Antiqua"/>
          <w:color w:val="000000"/>
        </w:rPr>
        <w:t>xpert</w:t>
      </w:r>
      <w:r>
        <w:rPr>
          <w:rFonts w:ascii="Book Antiqua" w:eastAsia="Book Antiqua" w:hAnsi="Book Antiqua" w:cs="Book Antiqua"/>
          <w:color w:val="000000"/>
        </w:rPr>
        <w:t xml:space="preserve">s of </w:t>
      </w:r>
      <w:r w:rsidR="00E83AB7">
        <w:rPr>
          <w:rFonts w:ascii="Book Antiqua" w:eastAsia="Book Antiqua" w:hAnsi="Book Antiqua" w:cs="Book Antiqua"/>
          <w:color w:val="000000"/>
        </w:rPr>
        <w:t>Ear, Nose and Throat</w:t>
      </w:r>
      <w:r>
        <w:rPr>
          <w:rFonts w:ascii="Book Antiqua" w:eastAsia="Book Antiqua" w:hAnsi="Book Antiqua" w:cs="Book Antiqua"/>
          <w:color w:val="000000"/>
        </w:rPr>
        <w:t xml:space="preserve">, </w:t>
      </w:r>
      <w:r w:rsidR="00E83AB7">
        <w:rPr>
          <w:rFonts w:ascii="Book Antiqua" w:eastAsia="Book Antiqua" w:hAnsi="Book Antiqua" w:cs="Book Antiqua"/>
          <w:color w:val="000000"/>
        </w:rPr>
        <w:t>Hematology</w:t>
      </w:r>
      <w:r>
        <w:rPr>
          <w:rFonts w:ascii="Book Antiqua" w:eastAsia="Book Antiqua" w:hAnsi="Book Antiqua" w:cs="Book Antiqua"/>
          <w:color w:val="000000"/>
        </w:rPr>
        <w:t>,</w:t>
      </w:r>
      <w:r w:rsidR="0052308C">
        <w:rPr>
          <w:rFonts w:ascii="Book Antiqua" w:eastAsia="Book Antiqua" w:hAnsi="Book Antiqua" w:cs="Book Antiqua"/>
          <w:color w:val="000000"/>
        </w:rPr>
        <w:t xml:space="preserve"> and </w:t>
      </w:r>
      <w:r w:rsidR="00E83AB7">
        <w:rPr>
          <w:rFonts w:ascii="Book Antiqua" w:eastAsia="Book Antiqua" w:hAnsi="Book Antiqua" w:cs="Book Antiqua"/>
          <w:color w:val="000000"/>
        </w:rPr>
        <w:t>Genetics</w:t>
      </w:r>
      <w:r w:rsidR="0052308C">
        <w:rPr>
          <w:rFonts w:ascii="Book Antiqua" w:eastAsia="Book Antiqua" w:hAnsi="Book Antiqua" w:cs="Book Antiqua"/>
          <w:color w:val="000000"/>
        </w:rPr>
        <w:t>.</w:t>
      </w:r>
    </w:p>
    <w:p w14:paraId="72C7DE1D" w14:textId="77777777" w:rsidR="00A77B3E" w:rsidRDefault="00A77B3E">
      <w:pPr>
        <w:spacing w:line="360" w:lineRule="auto"/>
        <w:jc w:val="both"/>
      </w:pPr>
    </w:p>
    <w:p w14:paraId="78A0E6C2" w14:textId="77777777" w:rsidR="00A77B3E" w:rsidRDefault="00E83AB7">
      <w:pPr>
        <w:spacing w:line="360" w:lineRule="auto"/>
        <w:jc w:val="both"/>
      </w:pPr>
      <w:r>
        <w:rPr>
          <w:rFonts w:ascii="Book Antiqua" w:eastAsia="Book Antiqua" w:hAnsi="Book Antiqua" w:cs="Book Antiqua"/>
          <w:b/>
          <w:caps/>
          <w:color w:val="000000"/>
          <w:u w:val="single"/>
        </w:rPr>
        <w:t>FINAL DIAGNOSIS</w:t>
      </w:r>
    </w:p>
    <w:p w14:paraId="4FC193CA" w14:textId="1F7C52D4" w:rsidR="00A77B3E" w:rsidRDefault="00E83AB7">
      <w:pPr>
        <w:spacing w:line="360" w:lineRule="auto"/>
        <w:jc w:val="both"/>
      </w:pPr>
      <w:r>
        <w:rPr>
          <w:rFonts w:ascii="Book Antiqua" w:eastAsia="Book Antiqua" w:hAnsi="Book Antiqua" w:cs="Book Antiqua"/>
          <w:color w:val="000000"/>
        </w:rPr>
        <w:t xml:space="preserve">Patient’s family history and current symptoms were consistent with </w:t>
      </w:r>
      <w:r w:rsidR="001813D6">
        <w:rPr>
          <w:rFonts w:ascii="Book Antiqua" w:eastAsia="Book Antiqua" w:hAnsi="Book Antiqua" w:cs="Book Antiqua"/>
          <w:color w:val="000000"/>
          <w:shd w:val="clear" w:color="auto" w:fill="FFFFFF"/>
        </w:rPr>
        <w:t>HHT</w:t>
      </w:r>
      <w:r>
        <w:rPr>
          <w:rFonts w:ascii="Book Antiqua" w:eastAsia="Book Antiqua" w:hAnsi="Book Antiqua" w:cs="Book Antiqua"/>
          <w:color w:val="000000"/>
          <w:shd w:val="clear" w:color="auto" w:fill="FFFFFF"/>
        </w:rPr>
        <w:t xml:space="preserve"> (Osler-Weber-Rendu syndrome). Patient’s mother and maternal cousin had also been diagnosed with this condition in the past. </w:t>
      </w:r>
      <w:r>
        <w:rPr>
          <w:rFonts w:ascii="Book Antiqua" w:eastAsia="Book Antiqua" w:hAnsi="Book Antiqua" w:cs="Book Antiqua"/>
          <w:color w:val="000000"/>
        </w:rPr>
        <w:t xml:space="preserve">Since he met three out of four criteria for HHT (spontaneous and recurrent epistaxis, mucocutaneous telangiectasias, and first degree relative with HHT), a definite diagnosis of HHT was made. </w:t>
      </w:r>
    </w:p>
    <w:p w14:paraId="504F9B33" w14:textId="77777777" w:rsidR="00A77B3E" w:rsidRDefault="00A77B3E">
      <w:pPr>
        <w:spacing w:line="360" w:lineRule="auto"/>
        <w:jc w:val="both"/>
      </w:pPr>
    </w:p>
    <w:p w14:paraId="1901E62C" w14:textId="77777777" w:rsidR="00A77B3E" w:rsidRDefault="00E83AB7">
      <w:pPr>
        <w:spacing w:line="360" w:lineRule="auto"/>
        <w:jc w:val="both"/>
      </w:pPr>
      <w:r>
        <w:rPr>
          <w:rFonts w:ascii="Book Antiqua" w:eastAsia="Book Antiqua" w:hAnsi="Book Antiqua" w:cs="Book Antiqua"/>
          <w:b/>
          <w:caps/>
          <w:color w:val="000000"/>
          <w:u w:val="single"/>
        </w:rPr>
        <w:t>TREATMENT</w:t>
      </w:r>
    </w:p>
    <w:p w14:paraId="78E7D603" w14:textId="77777777" w:rsidR="00A77B3E" w:rsidRDefault="00E83AB7">
      <w:pPr>
        <w:spacing w:line="360" w:lineRule="auto"/>
        <w:jc w:val="both"/>
      </w:pPr>
      <w:r>
        <w:rPr>
          <w:rFonts w:ascii="Book Antiqua" w:eastAsia="Book Antiqua" w:hAnsi="Book Antiqua" w:cs="Book Antiqua"/>
          <w:color w:val="000000"/>
        </w:rPr>
        <w:t xml:space="preserve">Iron therapy was started for iron deficiency anemia. An ENT evaluation was also recommended who recommended supportive treatment given absence of bleeding at the time of evaluation. </w:t>
      </w:r>
    </w:p>
    <w:p w14:paraId="710A1B7C" w14:textId="77777777" w:rsidR="00A77B3E" w:rsidRDefault="00A77B3E">
      <w:pPr>
        <w:spacing w:line="360" w:lineRule="auto"/>
        <w:jc w:val="both"/>
      </w:pPr>
    </w:p>
    <w:p w14:paraId="2BCD618E" w14:textId="77777777" w:rsidR="00A77B3E" w:rsidRDefault="00E83AB7">
      <w:pPr>
        <w:spacing w:line="360" w:lineRule="auto"/>
        <w:jc w:val="both"/>
      </w:pPr>
      <w:r>
        <w:rPr>
          <w:rFonts w:ascii="Book Antiqua" w:eastAsia="Book Antiqua" w:hAnsi="Book Antiqua" w:cs="Book Antiqua"/>
          <w:b/>
          <w:caps/>
          <w:color w:val="000000"/>
          <w:u w:val="single"/>
        </w:rPr>
        <w:t>OUTCOME AND FOLLOW-UP</w:t>
      </w:r>
    </w:p>
    <w:p w14:paraId="012441A8" w14:textId="77777777" w:rsidR="00A77B3E" w:rsidRDefault="00E83AB7">
      <w:pPr>
        <w:spacing w:line="360" w:lineRule="auto"/>
        <w:jc w:val="both"/>
      </w:pPr>
      <w:r>
        <w:rPr>
          <w:rFonts w:ascii="Book Antiqua" w:eastAsia="Book Antiqua" w:hAnsi="Book Antiqua" w:cs="Book Antiqua"/>
          <w:color w:val="000000"/>
        </w:rPr>
        <w:t>Patient continues to have recurrent epistaxis with mild anemia, for which he continues to take oral iron therapy. Given absence of visceral involvement at this time, he is being followed up closely every few months in the outpatient clinic.</w:t>
      </w:r>
    </w:p>
    <w:p w14:paraId="66F77EEE" w14:textId="77777777" w:rsidR="00A77B3E" w:rsidRDefault="00A77B3E">
      <w:pPr>
        <w:spacing w:line="360" w:lineRule="auto"/>
        <w:jc w:val="both"/>
      </w:pPr>
    </w:p>
    <w:p w14:paraId="3FCD5371" w14:textId="77777777" w:rsidR="00A77B3E" w:rsidRDefault="00E83AB7">
      <w:pPr>
        <w:spacing w:line="360" w:lineRule="auto"/>
        <w:jc w:val="both"/>
      </w:pPr>
      <w:r>
        <w:rPr>
          <w:rFonts w:ascii="Book Antiqua" w:eastAsia="Book Antiqua" w:hAnsi="Book Antiqua" w:cs="Book Antiqua"/>
          <w:b/>
          <w:caps/>
          <w:color w:val="000000"/>
          <w:u w:val="single"/>
        </w:rPr>
        <w:t>DISCUSSION</w:t>
      </w:r>
    </w:p>
    <w:p w14:paraId="4306F955" w14:textId="5050CDBF" w:rsidR="00A77B3E" w:rsidRDefault="00E83AB7">
      <w:pPr>
        <w:spacing w:line="360" w:lineRule="auto"/>
        <w:jc w:val="both"/>
      </w:pPr>
      <w:r>
        <w:rPr>
          <w:rFonts w:ascii="Book Antiqua" w:eastAsia="Book Antiqua" w:hAnsi="Book Antiqua" w:cs="Book Antiqua"/>
          <w:color w:val="000000"/>
        </w:rPr>
        <w:t>The presence of HHT may be suspected in patients with spontaneous and recurrent epistaxis, mucocutaneous telangiectasia in the fingertips, lips, oral mucosa or tongue, visceral involvement (such as GI, pulmonary, cerebral, spinal or hepatic AVM), and/ or a first-degree relative with HHT</w:t>
      </w:r>
      <w:r w:rsidR="0052308C" w:rsidRPr="0052308C">
        <w:rPr>
          <w:rFonts w:ascii="Book Antiqua" w:eastAsia="Book Antiqua" w:hAnsi="Book Antiqua" w:cs="Book Antiqua"/>
          <w:color w:val="000000"/>
          <w:vertAlign w:val="superscript"/>
        </w:rPr>
        <w:t>[2]</w:t>
      </w:r>
      <w:r>
        <w:rPr>
          <w:rFonts w:ascii="Book Antiqua" w:eastAsia="Book Antiqua" w:hAnsi="Book Antiqua" w:cs="Book Antiqua"/>
          <w:color w:val="000000"/>
        </w:rPr>
        <w:t>. Three or more criteria indicate definite disease (</w:t>
      </w:r>
      <w:r w:rsidRPr="0052308C">
        <w:rPr>
          <w:rFonts w:ascii="Book Antiqua" w:eastAsia="Book Antiqua" w:hAnsi="Book Antiqua" w:cs="Book Antiqua"/>
          <w:color w:val="000000"/>
        </w:rPr>
        <w:t>Curacao criteria</w:t>
      </w:r>
      <w:r>
        <w:rPr>
          <w:rFonts w:ascii="Book Antiqua" w:eastAsia="Book Antiqua" w:hAnsi="Book Antiqua" w:cs="Book Antiqua"/>
          <w:color w:val="000000"/>
        </w:rPr>
        <w:t>). The disease is suspected in patients meeting only two criteria. It is inherited as an autosomal dominant trait. Multiple variants of the three main genes can cause HHT. HHT1 is caused by mutations in the gene</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ENG</w:t>
      </w:r>
      <w:r w:rsidR="0052308C">
        <w:rPr>
          <w:rFonts w:ascii="Book Antiqua" w:eastAsia="Book Antiqua" w:hAnsi="Book Antiqua" w:cs="Book Antiqua"/>
          <w:color w:val="000000"/>
        </w:rPr>
        <w:t xml:space="preserve"> </w:t>
      </w:r>
      <w:r>
        <w:rPr>
          <w:rFonts w:ascii="Book Antiqua" w:eastAsia="Book Antiqua" w:hAnsi="Book Antiqua" w:cs="Book Antiqua"/>
          <w:color w:val="000000"/>
        </w:rPr>
        <w:t>which transcribes protein product, endo</w:t>
      </w:r>
      <w:r>
        <w:rPr>
          <w:rFonts w:ascii="Book Antiqua" w:eastAsia="Book Antiqua" w:hAnsi="Book Antiqua" w:cs="Book Antiqua"/>
          <w:b/>
          <w:bCs/>
          <w:color w:val="000000"/>
        </w:rPr>
        <w:t>g</w:t>
      </w:r>
      <w:r>
        <w:rPr>
          <w:rFonts w:ascii="Book Antiqua" w:eastAsia="Book Antiqua" w:hAnsi="Book Antiqua" w:cs="Book Antiqua"/>
          <w:color w:val="000000"/>
        </w:rPr>
        <w:t>lin. HHT2 is due to sequence variants in</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ACVRL1</w:t>
      </w:r>
      <w:r w:rsidRPr="0052308C">
        <w:rPr>
          <w:rFonts w:ascii="Book Antiqua" w:eastAsia="Book Antiqua" w:hAnsi="Book Antiqua" w:cs="Book Antiqua"/>
          <w:color w:val="000000"/>
        </w:rPr>
        <w:t>,</w:t>
      </w:r>
      <w:r w:rsidR="0052308C">
        <w:rPr>
          <w:rFonts w:ascii="Book Antiqua" w:eastAsia="Book Antiqua" w:hAnsi="Book Antiqua" w:cs="Book Antiqua"/>
          <w:color w:val="000000"/>
        </w:rPr>
        <w:t xml:space="preserve"> </w:t>
      </w:r>
      <w:r>
        <w:rPr>
          <w:rFonts w:ascii="Book Antiqua" w:eastAsia="Book Antiqua" w:hAnsi="Book Antiqua" w:cs="Book Antiqua"/>
          <w:color w:val="000000"/>
        </w:rPr>
        <w:t xml:space="preserve">a gene than encodes protein product activin receptor-like kinase-1, or ALK-1. HTJP (HHT in association with juvenile polyposis) is due to mutation in </w:t>
      </w:r>
      <w:r>
        <w:rPr>
          <w:rFonts w:ascii="Book Antiqua" w:eastAsia="Book Antiqua" w:hAnsi="Book Antiqua" w:cs="Book Antiqua"/>
          <w:i/>
          <w:iCs/>
          <w:color w:val="000000"/>
        </w:rPr>
        <w:t>SMAD4</w:t>
      </w:r>
      <w:r>
        <w:rPr>
          <w:rFonts w:ascii="Book Antiqua" w:eastAsia="Book Antiqua" w:hAnsi="Book Antiqua" w:cs="Book Antiqua"/>
          <w:color w:val="000000"/>
        </w:rPr>
        <w:t xml:space="preserve">, which encodes the protein Smad4. </w:t>
      </w:r>
      <w:r>
        <w:rPr>
          <w:rStyle w:val="h2"/>
          <w:rFonts w:ascii="Book Antiqua" w:eastAsia="Book Antiqua" w:hAnsi="Book Antiqua" w:cs="Book Antiqua"/>
          <w:color w:val="000000"/>
        </w:rPr>
        <w:t xml:space="preserve">Since genetic testing does not detect all mutations, the diagnosis of HHT does not rely on genetic testing. However, if genetic testing is done, </w:t>
      </w:r>
      <w:r>
        <w:rPr>
          <w:rFonts w:ascii="Book Antiqua" w:eastAsia="Book Antiqua" w:hAnsi="Book Antiqua" w:cs="Book Antiqua"/>
          <w:color w:val="000000"/>
        </w:rPr>
        <w:t>identification of a pathogenic sequence variant in</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ENG</w:t>
      </w:r>
      <w:r>
        <w:rPr>
          <w:rFonts w:ascii="Book Antiqua" w:eastAsia="Book Antiqua" w:hAnsi="Book Antiqua" w:cs="Book Antiqua"/>
          <w:color w:val="000000"/>
        </w:rPr>
        <w:t>,</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ACVRL1</w:t>
      </w:r>
      <w:r>
        <w:rPr>
          <w:rFonts w:ascii="Book Antiqua" w:eastAsia="Book Antiqua" w:hAnsi="Book Antiqua" w:cs="Book Antiqua"/>
          <w:color w:val="000000"/>
        </w:rPr>
        <w:t>, or</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SMAD4</w:t>
      </w:r>
      <w:r>
        <w:rPr>
          <w:rFonts w:ascii="Book Antiqua" w:eastAsia="Book Antiqua" w:hAnsi="Book Antiqua" w:cs="Book Antiqua"/>
          <w:color w:val="000000"/>
        </w:rPr>
        <w:t xml:space="preserve"> is typically seen</w:t>
      </w:r>
      <w:r w:rsidR="0052308C" w:rsidRPr="0052308C">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Our patient had HHT1 sary to mutation of ENG in chromosome 9 </w:t>
      </w:r>
      <w:r w:rsidRPr="0052308C">
        <w:rPr>
          <w:rFonts w:ascii="Book Antiqua" w:eastAsia="Book Antiqua" w:hAnsi="Book Antiqua" w:cs="Book Antiqua"/>
          <w:color w:val="000000"/>
        </w:rPr>
        <w:t>(Invitae Hereditary Hemorrhagic Telangiectasia Panel, San Francisco, CA, U</w:t>
      </w:r>
      <w:r w:rsidR="0052308C">
        <w:rPr>
          <w:rFonts w:ascii="Book Antiqua" w:eastAsia="Book Antiqua" w:hAnsi="Book Antiqua" w:cs="Book Antiqua"/>
          <w:color w:val="000000"/>
        </w:rPr>
        <w:t>nited States</w:t>
      </w:r>
      <w:r>
        <w:rPr>
          <w:rFonts w:ascii="Book Antiqua" w:eastAsia="Book Antiqua" w:hAnsi="Book Antiqua" w:cs="Book Antiqua"/>
          <w:color w:val="000000"/>
        </w:rPr>
        <w:t>).</w:t>
      </w:r>
    </w:p>
    <w:p w14:paraId="7D97FF34" w14:textId="796927FC" w:rsidR="00A77B3E" w:rsidRDefault="00E83AB7" w:rsidP="0052308C">
      <w:pPr>
        <w:spacing w:line="360" w:lineRule="auto"/>
        <w:ind w:firstLineChars="100" w:firstLine="240"/>
        <w:jc w:val="both"/>
      </w:pPr>
      <w:r>
        <w:rPr>
          <w:rFonts w:ascii="Book Antiqua" w:eastAsia="Book Antiqua" w:hAnsi="Book Antiqua" w:cs="Book Antiqua"/>
          <w:color w:val="000000"/>
        </w:rPr>
        <w:t xml:space="preserve">The telangiectasias are generally not present at birth but develop with increasing age. Epistaxis is usually the earliest sign of disease, often occurring in childhood. Mucocutaneous and gastrointestinal telangiectasia develop with age and pulmonary AVM (PAVM) generally become apparent after puberty. Cerebral vascular malformations are also thought to develop during childhood and are clinically silent. Giordano </w:t>
      </w:r>
      <w:r>
        <w:rPr>
          <w:rFonts w:ascii="Book Antiqua" w:eastAsia="Book Antiqua" w:hAnsi="Book Antiqua" w:cs="Book Antiqua"/>
          <w:i/>
          <w:iCs/>
          <w:color w:val="000000"/>
        </w:rPr>
        <w:t>et al</w:t>
      </w:r>
      <w:r w:rsidR="0052308C" w:rsidRPr="0052308C">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studied 44 children (mean age, 10.3 years; range, 1-18) with HHT1 and HHT2 and found that cerebrovascular AVMs were present in 7 of 44 cases, pulmonary AVMs in 20 of 44 cases, and liver AVMs in 23 of 44 cases. Large visceral AVMs were found in 27% children and were significantly more frequent in patients with HHT1. Only large AVMs were associated with symptoms and complications. </w:t>
      </w:r>
    </w:p>
    <w:p w14:paraId="4B26591D" w14:textId="3147606D"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Over the age of 40, recurrent GI bleeding occurs in up to one-third patients with HHT, mostly occurring in the stomach or duodenum rather than the colon. In patients with severe anemia and/or overt GI bleeding, endoscopy is recommended to evaluate and visualize telangiectasias, which appear similar to their mucocutaneous counterparts and are surrounded by an anemic halo</w:t>
      </w:r>
      <w:r w:rsidR="0052308C" w:rsidRPr="0052308C">
        <w:rPr>
          <w:rFonts w:ascii="Book Antiqua" w:eastAsia="Book Antiqua" w:hAnsi="Book Antiqua" w:cs="Book Antiqua"/>
          <w:color w:val="000000"/>
          <w:vertAlign w:val="superscript"/>
        </w:rPr>
        <w:t>[</w:t>
      </w:r>
      <w:r w:rsidR="0052308C">
        <w:rPr>
          <w:rFonts w:ascii="Book Antiqua" w:eastAsia="Book Antiqua" w:hAnsi="Book Antiqua" w:cs="Book Antiqua"/>
          <w:color w:val="000000"/>
          <w:vertAlign w:val="superscript"/>
        </w:rPr>
        <w:t>5</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GI bleeding can present with iron deficiency anemia. Mucocutaneous telangiectasias are not used for diagnostic purposes but are frequently seen in lips, tongue, buccal mucosa and fingertips and present later in life</w:t>
      </w:r>
      <w:r w:rsidR="0052308C" w:rsidRPr="0052308C">
        <w:rPr>
          <w:rFonts w:ascii="Book Antiqua" w:eastAsia="Book Antiqua" w:hAnsi="Book Antiqua" w:cs="Book Antiqua"/>
          <w:color w:val="000000"/>
          <w:vertAlign w:val="superscript"/>
        </w:rPr>
        <w:t>[</w:t>
      </w:r>
      <w:r w:rsidR="0052308C">
        <w:rPr>
          <w:rFonts w:ascii="Book Antiqua" w:eastAsia="Book Antiqua" w:hAnsi="Book Antiqua" w:cs="Book Antiqua"/>
          <w:color w:val="000000"/>
          <w:vertAlign w:val="superscript"/>
        </w:rPr>
        <w:t>2</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193584AE" w14:textId="70955032"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PAVMs are abnormal thin-walled vessels that replace normal capillaries between the pulmonary arteries and veins. They often result in sac-like structures and provide a direct capillary-free communication creating a shunt. Arterial blood passing through these right-to-left shunts cannot be oxygenated, leading to hypoxemia resulting in polycythemia. PAVMs are mostly asymptomatic; however, one-third of affected patients may exhibit cyanosis, clubbing, and polycythemia. Patients are at risk for neurologic sequelae due to paradoxical embolism passing through the shunts. Cerebral events such as abscess or stroke along with transient ischemic attacks can occur in patients with asymptomatic PAVMs</w:t>
      </w:r>
      <w:r w:rsidR="0052308C" w:rsidRPr="0052308C">
        <w:rPr>
          <w:rFonts w:ascii="Book Antiqua" w:eastAsia="Book Antiqua" w:hAnsi="Book Antiqua" w:cs="Book Antiqua"/>
          <w:color w:val="000000"/>
          <w:vertAlign w:val="superscript"/>
        </w:rPr>
        <w:t>[</w:t>
      </w:r>
      <w:r w:rsidR="0052308C">
        <w:rPr>
          <w:rFonts w:ascii="Book Antiqua" w:eastAsia="Book Antiqua" w:hAnsi="Book Antiqua" w:cs="Book Antiqua"/>
          <w:color w:val="000000"/>
          <w:vertAlign w:val="superscript"/>
        </w:rPr>
        <w:t>6</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t>
      </w:r>
    </w:p>
    <w:p w14:paraId="352FC434" w14:textId="685B66BB"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 xml:space="preserve">Patients with HHT may have cerebral or spinal cord involvement which can be clinically silent. Symptomatic patients with AVMs, or high-flow AV fistulae may present with seizures, ischemia of the surrounding tissue due to a steal effect, or hemorrhage. Thus, patients with symptoms suggestive of cerebral AVMs warrant further assessment with imaging. Medical management may be sufficient; however, some may need </w:t>
      </w:r>
      <w:r>
        <w:rPr>
          <w:rFonts w:ascii="Book Antiqua" w:eastAsia="Book Antiqua" w:hAnsi="Book Antiqua" w:cs="Book Antiqua"/>
          <w:color w:val="000000"/>
        </w:rPr>
        <w:t>interventions such as neurosurgery, embolization, or stereotactic radiotherapy, alone or in combination</w:t>
      </w:r>
      <w:r w:rsidR="0052308C" w:rsidRPr="0052308C">
        <w:rPr>
          <w:rFonts w:ascii="Book Antiqua" w:eastAsia="Book Antiqua" w:hAnsi="Book Antiqua" w:cs="Book Antiqua"/>
          <w:color w:val="000000"/>
          <w:vertAlign w:val="superscript"/>
        </w:rPr>
        <w:t>[</w:t>
      </w:r>
      <w:r w:rsidR="0052308C">
        <w:rPr>
          <w:rFonts w:ascii="Book Antiqua" w:eastAsia="Book Antiqua" w:hAnsi="Book Antiqua" w:cs="Book Antiqua"/>
          <w:color w:val="000000"/>
          <w:vertAlign w:val="superscript"/>
        </w:rPr>
        <w:t>7</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0486D330" w14:textId="12A6A55F"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Hepatic involvement may occurs in up to two-thirds of patients with HHT. Common manifestations are portal hypertension, biliary disease and heart failure. Hepatic AVMs places patients at risk for angina and heart failure secondary to shunts created between the hepatic artery and vein. Hepatic AVMs are suspected in patients with abnormal liver function test, hepatomegaly or liver bruit. Liver biopsy is not recommended due to risk of bleeding, but diagnosis can be confirmed with CT, magnetic resonance imaging, or sonogram</w:t>
      </w:r>
      <w:r w:rsidR="008C7A9D" w:rsidRPr="0052308C">
        <w:rPr>
          <w:rFonts w:ascii="Book Antiqua" w:eastAsia="Book Antiqua" w:hAnsi="Book Antiqua" w:cs="Book Antiqua"/>
          <w:color w:val="000000"/>
          <w:vertAlign w:val="superscript"/>
        </w:rPr>
        <w:t>[</w:t>
      </w:r>
      <w:r w:rsidR="008C7A9D">
        <w:rPr>
          <w:rFonts w:ascii="Book Antiqua" w:eastAsia="Book Antiqua" w:hAnsi="Book Antiqua" w:cs="Book Antiqua"/>
          <w:color w:val="000000"/>
          <w:vertAlign w:val="superscript"/>
        </w:rPr>
        <w:t>2</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t>
      </w:r>
    </w:p>
    <w:p w14:paraId="4360992D" w14:textId="2B0870A7" w:rsidR="00A77B3E" w:rsidRDefault="00E83AB7" w:rsidP="008C7A9D">
      <w:pPr>
        <w:spacing w:line="360" w:lineRule="auto"/>
        <w:ind w:firstLineChars="100" w:firstLine="240"/>
        <w:jc w:val="both"/>
      </w:pPr>
      <w:r>
        <w:rPr>
          <w:rFonts w:ascii="Book Antiqua" w:eastAsia="Book Antiqua" w:hAnsi="Book Antiqua" w:cs="Book Antiqua"/>
          <w:color w:val="000000"/>
        </w:rPr>
        <w:t>Patients with HHT are at increased risk for venous thromboembolism for which treatment or prophylactic anticoagulation may be required</w:t>
      </w:r>
      <w:r w:rsidR="008C7A9D" w:rsidRPr="0052308C">
        <w:rPr>
          <w:rFonts w:ascii="Book Antiqua" w:eastAsia="Book Antiqua" w:hAnsi="Book Antiqua" w:cs="Book Antiqua"/>
          <w:color w:val="000000"/>
          <w:vertAlign w:val="superscript"/>
        </w:rPr>
        <w:t>[</w:t>
      </w:r>
      <w:r w:rsidR="008C7A9D">
        <w:rPr>
          <w:rFonts w:ascii="Book Antiqua" w:eastAsia="Book Antiqua" w:hAnsi="Book Antiqua" w:cs="Book Antiqua"/>
          <w:color w:val="000000"/>
          <w:vertAlign w:val="superscript"/>
        </w:rPr>
        <w:t>8</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Low serum iron level is associated with elevated factor VIII level which can lead to thromboembolic phenomenon. Hence, it is important, to identifying and treat iron deficiency anemia in these patients</w:t>
      </w:r>
      <w:r w:rsidR="008C7A9D" w:rsidRPr="0052308C">
        <w:rPr>
          <w:rFonts w:ascii="Book Antiqua" w:eastAsia="Book Antiqua" w:hAnsi="Book Antiqua" w:cs="Book Antiqua"/>
          <w:color w:val="000000"/>
          <w:vertAlign w:val="superscript"/>
        </w:rPr>
        <w:t>[</w:t>
      </w:r>
      <w:r w:rsidR="008C7A9D">
        <w:rPr>
          <w:rFonts w:ascii="Book Antiqua" w:eastAsia="Book Antiqua" w:hAnsi="Book Antiqua" w:cs="Book Antiqua"/>
          <w:color w:val="000000"/>
          <w:vertAlign w:val="superscript"/>
        </w:rPr>
        <w:t>2</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6BE12AC9" w14:textId="6D95C348" w:rsidR="00A77B3E" w:rsidRDefault="00E83AB7" w:rsidP="008C7A9D">
      <w:pPr>
        <w:spacing w:line="360" w:lineRule="auto"/>
        <w:ind w:firstLineChars="100" w:firstLine="240"/>
        <w:jc w:val="both"/>
      </w:pPr>
      <w:r>
        <w:rPr>
          <w:rFonts w:ascii="Book Antiqua" w:eastAsia="Book Antiqua" w:hAnsi="Book Antiqua" w:cs="Book Antiqua"/>
          <w:color w:val="000000"/>
        </w:rPr>
        <w:t>The second international HHT guidelines state that all children with recurrent bleeding and/or symptoms of anemia should be tested for iron deficiency anemia and started on oral or intravenous iron therapy, and blood transfusions for severe anemia</w:t>
      </w:r>
      <w:r w:rsidR="008C7A9D" w:rsidRPr="0052308C">
        <w:rPr>
          <w:rFonts w:ascii="Book Antiqua" w:eastAsia="Book Antiqua" w:hAnsi="Book Antiqua" w:cs="Book Antiqua"/>
          <w:color w:val="000000"/>
          <w:vertAlign w:val="superscript"/>
        </w:rPr>
        <w:t>[</w:t>
      </w:r>
      <w:r w:rsidR="008C7A9D">
        <w:rPr>
          <w:rFonts w:ascii="Book Antiqua" w:eastAsia="Book Antiqua" w:hAnsi="Book Antiqua" w:cs="Book Antiqua"/>
          <w:color w:val="000000"/>
          <w:vertAlign w:val="superscript"/>
        </w:rPr>
        <w:t>8</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Although, the genetic testing is not required for diagnosis of HHT, the testing is recommended for asymptomatic children of a parent with HHT. Also, screening for brain and pulmonary AVMs in asymptomatic children with HHT or at risk for HHT at the time of presentation/diagnosis is recommended. Brain AVMs with high risk features, large pulmonary AVMs and AVMs associated with reduced oxygen saturation should be treated in children, with a repeat screening for such at every five-year intervals</w:t>
      </w:r>
      <w:r w:rsidR="008C7A9D" w:rsidRPr="0052308C">
        <w:rPr>
          <w:rFonts w:ascii="Book Antiqua" w:eastAsia="Book Antiqua" w:hAnsi="Book Antiqua" w:cs="Book Antiqua"/>
          <w:color w:val="000000"/>
          <w:vertAlign w:val="superscript"/>
        </w:rPr>
        <w:t>[</w:t>
      </w:r>
      <w:r w:rsidR="008C7A9D">
        <w:rPr>
          <w:rFonts w:ascii="Book Antiqua" w:eastAsia="Book Antiqua" w:hAnsi="Book Antiqua" w:cs="Book Antiqua"/>
          <w:color w:val="000000"/>
          <w:vertAlign w:val="superscript"/>
        </w:rPr>
        <w:t>8</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38336040" w14:textId="22F14FA5" w:rsidR="00A77B3E" w:rsidRDefault="00E83AB7" w:rsidP="008C7A9D">
      <w:pPr>
        <w:spacing w:line="360" w:lineRule="auto"/>
        <w:ind w:firstLineChars="100" w:firstLine="240"/>
        <w:jc w:val="both"/>
      </w:pPr>
      <w:r>
        <w:rPr>
          <w:rFonts w:ascii="Book Antiqua" w:eastAsia="Book Antiqua" w:hAnsi="Book Antiqua" w:cs="Book Antiqua"/>
          <w:color w:val="000000"/>
        </w:rPr>
        <w:t>The management of HHT is focused on reducing the symptoms arising from each organ system involvement. Recently, new therapeutic interventions targeting at vascular endothelial growth factor (VEGF) and the angiogenic pathway with anti-VEGF antibody (such as bevacizumab) and VEGF receptor 2 tyrosine kinase inhibitor (such as pazopanib) are being studied</w:t>
      </w:r>
      <w:r w:rsidR="008C7A9D" w:rsidRPr="0052308C">
        <w:rPr>
          <w:rFonts w:ascii="Book Antiqua" w:eastAsia="Book Antiqua" w:hAnsi="Book Antiqua" w:cs="Book Antiqua"/>
          <w:color w:val="000000"/>
          <w:vertAlign w:val="superscript"/>
        </w:rPr>
        <w:t>[</w:t>
      </w:r>
      <w:r w:rsidR="008C7A9D">
        <w:rPr>
          <w:rFonts w:ascii="Book Antiqua" w:eastAsia="Book Antiqua" w:hAnsi="Book Antiqua" w:cs="Book Antiqua"/>
          <w:color w:val="000000"/>
          <w:vertAlign w:val="superscript"/>
        </w:rPr>
        <w:t>9</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Tacrolimus and sirolimus have also shown promising results in some studies</w:t>
      </w:r>
      <w:r w:rsidR="008C7A9D" w:rsidRPr="0052308C">
        <w:rPr>
          <w:rFonts w:ascii="Book Antiqua" w:eastAsia="Book Antiqua" w:hAnsi="Book Antiqua" w:cs="Book Antiqua"/>
          <w:color w:val="000000"/>
          <w:vertAlign w:val="superscript"/>
        </w:rPr>
        <w:t>[</w:t>
      </w:r>
      <w:r w:rsidR="008C7A9D">
        <w:rPr>
          <w:rFonts w:ascii="Book Antiqua" w:eastAsia="Book Antiqua" w:hAnsi="Book Antiqua" w:cs="Book Antiqua"/>
          <w:color w:val="000000"/>
          <w:vertAlign w:val="superscript"/>
        </w:rPr>
        <w:t>9</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26003B36" w14:textId="77777777" w:rsidR="00A77B3E" w:rsidRDefault="00A77B3E">
      <w:pPr>
        <w:spacing w:line="360" w:lineRule="auto"/>
        <w:jc w:val="both"/>
      </w:pPr>
    </w:p>
    <w:p w14:paraId="71EC56CA" w14:textId="77777777" w:rsidR="00A77B3E" w:rsidRDefault="00E83AB7">
      <w:pPr>
        <w:spacing w:line="360" w:lineRule="auto"/>
        <w:jc w:val="both"/>
      </w:pPr>
      <w:r>
        <w:rPr>
          <w:rFonts w:ascii="Book Antiqua" w:eastAsia="Book Antiqua" w:hAnsi="Book Antiqua" w:cs="Book Antiqua"/>
          <w:b/>
          <w:caps/>
          <w:color w:val="000000"/>
          <w:u w:val="single"/>
        </w:rPr>
        <w:t>CONCLUSION</w:t>
      </w:r>
    </w:p>
    <w:p w14:paraId="12CA6ADD" w14:textId="77777777" w:rsidR="00A77B3E" w:rsidRDefault="00E83AB7">
      <w:pPr>
        <w:spacing w:line="360" w:lineRule="auto"/>
        <w:jc w:val="both"/>
      </w:pPr>
      <w:r>
        <w:rPr>
          <w:rFonts w:ascii="Book Antiqua" w:eastAsia="Book Antiqua" w:hAnsi="Book Antiqua" w:cs="Book Antiqua"/>
          <w:color w:val="000000"/>
        </w:rPr>
        <w:t xml:space="preserve">Patients with </w:t>
      </w:r>
      <w:r>
        <w:rPr>
          <w:rStyle w:val="caps"/>
          <w:rFonts w:ascii="Book Antiqua" w:eastAsia="Book Antiqua" w:hAnsi="Book Antiqua" w:cs="Book Antiqua"/>
          <w:color w:val="000000"/>
        </w:rPr>
        <w:t>HHT</w:t>
      </w:r>
      <w:r>
        <w:rPr>
          <w:rFonts w:ascii="Book Antiqua" w:eastAsia="Book Antiqua" w:hAnsi="Book Antiqua" w:cs="Book Antiqua"/>
          <w:color w:val="000000"/>
        </w:rPr>
        <w:t xml:space="preserve"> are at risk for non-traumatic recurrent epistaxis and hemorrhages in the brain, liver, lungs, or other organs. A high index of suspicion for HHT is necessary in patients who present with recurrent epistaxis for timely evaluation and management. </w:t>
      </w:r>
    </w:p>
    <w:p w14:paraId="7A724DEA" w14:textId="77777777" w:rsidR="00A77B3E" w:rsidRDefault="00A77B3E">
      <w:pPr>
        <w:spacing w:line="360" w:lineRule="auto"/>
        <w:jc w:val="both"/>
      </w:pPr>
    </w:p>
    <w:p w14:paraId="343C871E" w14:textId="77777777" w:rsidR="00A77B3E" w:rsidRDefault="00E83AB7">
      <w:pPr>
        <w:spacing w:line="360" w:lineRule="auto"/>
        <w:jc w:val="both"/>
      </w:pPr>
      <w:r>
        <w:rPr>
          <w:rFonts w:ascii="Book Antiqua" w:eastAsia="Book Antiqua" w:hAnsi="Book Antiqua" w:cs="Book Antiqua"/>
          <w:b/>
          <w:color w:val="000000"/>
        </w:rPr>
        <w:t>REFERENCES</w:t>
      </w:r>
    </w:p>
    <w:p w14:paraId="111851D5" w14:textId="77777777" w:rsidR="00A77B3E" w:rsidRDefault="00E83AB7">
      <w:pPr>
        <w:spacing w:line="360" w:lineRule="auto"/>
        <w:jc w:val="both"/>
      </w:pPr>
      <w:bookmarkStart w:id="3" w:name="OLE_LINK2500"/>
      <w:bookmarkStart w:id="4" w:name="OLE_LINK2501"/>
      <w:r>
        <w:rPr>
          <w:rFonts w:ascii="Book Antiqua" w:eastAsia="Book Antiqua" w:hAnsi="Book Antiqua" w:cs="Book Antiqua"/>
          <w:color w:val="000000"/>
        </w:rPr>
        <w:t xml:space="preserve">1 </w:t>
      </w:r>
      <w:r>
        <w:rPr>
          <w:rFonts w:ascii="Book Antiqua" w:eastAsia="Book Antiqua" w:hAnsi="Book Antiqua" w:cs="Book Antiqua"/>
          <w:b/>
          <w:bCs/>
          <w:color w:val="000000"/>
        </w:rPr>
        <w:t>Stuhrmann M</w:t>
      </w:r>
      <w:r>
        <w:rPr>
          <w:rFonts w:ascii="Book Antiqua" w:eastAsia="Book Antiqua" w:hAnsi="Book Antiqua" w:cs="Book Antiqua"/>
          <w:color w:val="000000"/>
        </w:rPr>
        <w:t xml:space="preserve">, El-Harith el-HA. Hereditary hemorrhagic telangiectasia. Genetics, pathogenesis, clinical manifestation and management.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11-21 [PMID: 17206283]</w:t>
      </w:r>
    </w:p>
    <w:p w14:paraId="6D081A3D" w14:textId="77777777" w:rsidR="00A77B3E" w:rsidRDefault="00E83AB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Govani FS</w:t>
      </w:r>
      <w:r>
        <w:rPr>
          <w:rFonts w:ascii="Book Antiqua" w:eastAsia="Book Antiqua" w:hAnsi="Book Antiqua" w:cs="Book Antiqua"/>
          <w:color w:val="000000"/>
        </w:rPr>
        <w:t xml:space="preserve">, Shovlin CL. Hereditary haemorrhagic telangiectasia: a clinical and scientific review.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860-871 [PMID: 19337313 DOI: 10.1038/ejhg.2009.35]</w:t>
      </w:r>
    </w:p>
    <w:p w14:paraId="6AE38966" w14:textId="77777777" w:rsidR="00A77B3E" w:rsidRDefault="00E83AB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Fernandez-L A</w:t>
      </w:r>
      <w:r>
        <w:rPr>
          <w:rFonts w:ascii="Book Antiqua" w:eastAsia="Book Antiqua" w:hAnsi="Book Antiqua" w:cs="Book Antiqua"/>
          <w:color w:val="000000"/>
        </w:rPr>
        <w:t xml:space="preserve">, Garrido-Martin EM, Sanz-Rodriguez F, Pericacho M, Rodriguez-Barbero A, Eleno N, Lopez-Novoa JM, Düwell A, Vega MA, Bernabeu C, Botella LM. Gene expression fingerprinting for human hereditary hemorrhagic telangiectasia.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1515-1533 [PMID: 17420163 DOI: 10.1093/hmg/ddm069]</w:t>
      </w:r>
    </w:p>
    <w:p w14:paraId="361AF5FB" w14:textId="77777777" w:rsidR="00A77B3E" w:rsidRDefault="00E83AB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Giordano P</w:t>
      </w:r>
      <w:r>
        <w:rPr>
          <w:rFonts w:ascii="Book Antiqua" w:eastAsia="Book Antiqua" w:hAnsi="Book Antiqua" w:cs="Book Antiqua"/>
          <w:color w:val="000000"/>
        </w:rPr>
        <w:t xml:space="preserve">, Lenato GM, Suppressa P, Lastella P, Dicuonzo F, Chiumarulo L, Sangerardi M, Piccarreta P, Valerio R, Scardapane A, Marano G, Resta N, Quaranta N, Sabbà C. Hereditary hemorrhagic telangiectasia: arteriovenous malformations in children.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2013; </w:t>
      </w:r>
      <w:r>
        <w:rPr>
          <w:rFonts w:ascii="Book Antiqua" w:eastAsia="Book Antiqua" w:hAnsi="Book Antiqua" w:cs="Book Antiqua"/>
          <w:b/>
          <w:bCs/>
          <w:color w:val="000000"/>
        </w:rPr>
        <w:t>163</w:t>
      </w:r>
      <w:r>
        <w:rPr>
          <w:rFonts w:ascii="Book Antiqua" w:eastAsia="Book Antiqua" w:hAnsi="Book Antiqua" w:cs="Book Antiqua"/>
          <w:color w:val="000000"/>
        </w:rPr>
        <w:t>: 179-86.e1-3 [PMID: 23535011 DOI: 10.1016/j.jpeds.2013.02.009]</w:t>
      </w:r>
    </w:p>
    <w:p w14:paraId="435B75A0" w14:textId="77777777" w:rsidR="00A77B3E" w:rsidRDefault="00E83AB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Grève E</w:t>
      </w:r>
      <w:r>
        <w:rPr>
          <w:rFonts w:ascii="Book Antiqua" w:eastAsia="Book Antiqua" w:hAnsi="Book Antiqua" w:cs="Book Antiqua"/>
          <w:color w:val="000000"/>
        </w:rPr>
        <w:t xml:space="preserve">, Moussata D, Gaudin JL, Lapalus MG, Giraud S, Dupuis-Girod S, Calender A, Plauchu H, Saurin JC. High diagnostic and clinical impact of small-bowel capsule endoscopy in patients with hereditary hemorrhagic telangiectasia with overt digestive bleeding and/or severe anemia.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760-767 [PMID: 20170910 DOI: 10.1016/j.gie.2009.11.004]</w:t>
      </w:r>
    </w:p>
    <w:p w14:paraId="26BC53FE" w14:textId="77777777" w:rsidR="00A77B3E" w:rsidRDefault="00E83A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Abdalla SA</w:t>
      </w:r>
      <w:r>
        <w:rPr>
          <w:rFonts w:ascii="Book Antiqua" w:eastAsia="Book Antiqua" w:hAnsi="Book Antiqua" w:cs="Book Antiqua"/>
          <w:color w:val="000000"/>
        </w:rPr>
        <w:t xml:space="preserve">, Letarte M. Hereditary haemorrhagic telangiectasia: current views on genetics and mechanisms of disease.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97-110 [PMID: 15879500 DOI: 10.1136/jmg.2005.030833]</w:t>
      </w:r>
    </w:p>
    <w:p w14:paraId="21EEFB16" w14:textId="77777777" w:rsidR="00A77B3E" w:rsidRDefault="00E83A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Mohr JP</w:t>
      </w:r>
      <w:r>
        <w:rPr>
          <w:rFonts w:ascii="Book Antiqua" w:eastAsia="Book Antiqua" w:hAnsi="Book Antiqua" w:cs="Book Antiqua"/>
          <w:color w:val="000000"/>
        </w:rPr>
        <w:t xml:space="preserve">, Parides MK, Stapf C, Moquete E, Moy CS, Overbey JR, Al-Shahi Salman R, Vicaut E, Young WL, Houdart E, Cordonnier C, Stefani MA, Hartmann A, von Kummer R, Biondi A, Berkefeld J, Klijn CJ, Harkness K, Libman R, Barreau X, Moskowitz AJ; international ARUBA investigators. Medical management with or without interventional therapy for unruptured brain arteriovenous malformations (ARUBA): a multicentre, non-blinded, randomised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614-621 [PMID: 24268105 DOI: 10.1016/S0140-6736(13)62302-8]</w:t>
      </w:r>
    </w:p>
    <w:p w14:paraId="68233D3A" w14:textId="77777777" w:rsidR="00A77B3E" w:rsidRDefault="00E83A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Faughnan ME</w:t>
      </w:r>
      <w:r>
        <w:rPr>
          <w:rFonts w:ascii="Book Antiqua" w:eastAsia="Book Antiqua" w:hAnsi="Book Antiqua" w:cs="Book Antiqua"/>
          <w:color w:val="000000"/>
        </w:rPr>
        <w:t xml:space="preserve">, Mager JJ, Hetts SW, Palda VA, Lang-Robertson K, Buscarini E, Deslandres E, Kasthuri RS, Lausman A, Poetker D, Ratjen F, Chesnutt MS, Clancy M, Whitehead KJ, Al-Samkari H, Chakinala M, Conrad M, Cortes D, Crocione C, Darling J, de Gussem E, Derksen C, Dupuis-Girod S, Foy P, Geisthoff U, Gossage JR, Hammill A, Heimdal K, Henderson K, Iyer VN, Kjeldsen AD, Komiyama M, Korenblatt K, McDonald J, McMahon J, McWilliams J, Meek ME, Mei-Zahav M, Olitsky S, Palmer S, Pantalone R, Piccirillo JF, Plahn B, Porteous MEM, Post MC, Radovanovic I, Rochon PJ, Rodriguez-Lopez J, Sabba C, Serra M, Shovlin C, Sprecher D, White AJ, Winship I, Zarrabeitia R. Second International Guidelines for the Diagnosis and Management of Hereditary Hemorrhagic Telangiectasia.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173</w:t>
      </w:r>
      <w:r>
        <w:rPr>
          <w:rFonts w:ascii="Book Antiqua" w:eastAsia="Book Antiqua" w:hAnsi="Book Antiqua" w:cs="Book Antiqua"/>
          <w:color w:val="000000"/>
        </w:rPr>
        <w:t>: 989-1001 [PMID: 32894695 DOI: 10.7326/M20-1443]</w:t>
      </w:r>
    </w:p>
    <w:p w14:paraId="2AF0C9CA" w14:textId="77777777" w:rsidR="00A77B3E" w:rsidRDefault="00E83AB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Robert F</w:t>
      </w:r>
      <w:r>
        <w:rPr>
          <w:rFonts w:ascii="Book Antiqua" w:eastAsia="Book Antiqua" w:hAnsi="Book Antiqua" w:cs="Book Antiqua"/>
          <w:color w:val="000000"/>
        </w:rPr>
        <w:t xml:space="preserve">, Desroches-Castan A, Bailly S, Dupuis-Girod S, Feige JJ. Future treatments for hereditary hemorrhagic telangiectasia. </w:t>
      </w:r>
      <w:r>
        <w:rPr>
          <w:rFonts w:ascii="Book Antiqua" w:eastAsia="Book Antiqua" w:hAnsi="Book Antiqua" w:cs="Book Antiqua"/>
          <w:i/>
          <w:iCs/>
          <w:color w:val="000000"/>
        </w:rPr>
        <w:t>Orphanet J Rare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4 [PMID: 31910860 DOI: 10.1186/s13023-019-1281-4]</w:t>
      </w:r>
    </w:p>
    <w:bookmarkEnd w:id="3"/>
    <w:bookmarkEnd w:id="4"/>
    <w:p w14:paraId="727A1D8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1CC9BE3" w14:textId="77777777" w:rsidR="00A77B3E" w:rsidRDefault="00E83AB7">
      <w:pPr>
        <w:spacing w:line="360" w:lineRule="auto"/>
        <w:jc w:val="both"/>
      </w:pPr>
      <w:r>
        <w:rPr>
          <w:rFonts w:ascii="Book Antiqua" w:eastAsia="Book Antiqua" w:hAnsi="Book Antiqua" w:cs="Book Antiqua"/>
          <w:b/>
          <w:color w:val="000000"/>
        </w:rPr>
        <w:t>Footnotes</w:t>
      </w:r>
    </w:p>
    <w:p w14:paraId="3185426F" w14:textId="77777777" w:rsidR="00A77B3E" w:rsidRDefault="00E83AB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the informed consent for this study.</w:t>
      </w:r>
    </w:p>
    <w:p w14:paraId="60527689" w14:textId="77777777" w:rsidR="00A77B3E" w:rsidRDefault="00A77B3E">
      <w:pPr>
        <w:spacing w:line="360" w:lineRule="auto"/>
        <w:jc w:val="both"/>
      </w:pPr>
    </w:p>
    <w:p w14:paraId="569A5A48" w14:textId="77777777" w:rsidR="00A77B3E" w:rsidRDefault="00E83AB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disclose no conflict of interest.</w:t>
      </w:r>
    </w:p>
    <w:p w14:paraId="7A86674D" w14:textId="77777777" w:rsidR="00A77B3E" w:rsidRDefault="00A77B3E">
      <w:pPr>
        <w:spacing w:line="360" w:lineRule="auto"/>
        <w:jc w:val="both"/>
      </w:pPr>
    </w:p>
    <w:p w14:paraId="1135EB70" w14:textId="77777777" w:rsidR="00A77B3E" w:rsidRDefault="00E83AB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95E1E8" w14:textId="77777777" w:rsidR="00A77B3E" w:rsidRDefault="00A77B3E">
      <w:pPr>
        <w:spacing w:line="360" w:lineRule="auto"/>
        <w:jc w:val="both"/>
      </w:pPr>
    </w:p>
    <w:p w14:paraId="7D086049" w14:textId="77777777" w:rsidR="00A77B3E" w:rsidRDefault="00E83A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62DD03" w14:textId="77777777" w:rsidR="00A77B3E" w:rsidRDefault="00A77B3E">
      <w:pPr>
        <w:spacing w:line="360" w:lineRule="auto"/>
        <w:jc w:val="both"/>
      </w:pPr>
    </w:p>
    <w:p w14:paraId="7CC585BE" w14:textId="6040E144" w:rsidR="00A77B3E" w:rsidRDefault="00E83AB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04AFF">
        <w:rPr>
          <w:rFonts w:ascii="Book Antiqua" w:eastAsia="Book Antiqua" w:hAnsi="Book Antiqua" w:cs="Book Antiqua"/>
          <w:color w:val="000000"/>
        </w:rPr>
        <w:t>m</w:t>
      </w:r>
      <w:r>
        <w:rPr>
          <w:rFonts w:ascii="Book Antiqua" w:eastAsia="Book Antiqua" w:hAnsi="Book Antiqua" w:cs="Book Antiqua"/>
          <w:color w:val="000000"/>
        </w:rPr>
        <w:t>anuscript</w:t>
      </w:r>
    </w:p>
    <w:p w14:paraId="40A8B911" w14:textId="77777777" w:rsidR="00A77B3E" w:rsidRDefault="00A77B3E">
      <w:pPr>
        <w:spacing w:line="360" w:lineRule="auto"/>
        <w:jc w:val="both"/>
      </w:pPr>
    </w:p>
    <w:p w14:paraId="23D0A282" w14:textId="77777777" w:rsidR="00A77B3E" w:rsidRDefault="00E83A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13, 2020</w:t>
      </w:r>
    </w:p>
    <w:p w14:paraId="15F72D32" w14:textId="77777777" w:rsidR="00A77B3E" w:rsidRDefault="00E83A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11, 2020</w:t>
      </w:r>
    </w:p>
    <w:p w14:paraId="1D04D4B3" w14:textId="77777777" w:rsidR="00F82C21" w:rsidRDefault="00E83AB7" w:rsidP="00F82C21">
      <w:pPr>
        <w:spacing w:line="360" w:lineRule="auto"/>
        <w:jc w:val="both"/>
      </w:pPr>
      <w:r>
        <w:rPr>
          <w:rFonts w:ascii="Book Antiqua" w:eastAsia="Book Antiqua" w:hAnsi="Book Antiqua" w:cs="Book Antiqua"/>
          <w:b/>
          <w:color w:val="000000"/>
        </w:rPr>
        <w:t xml:space="preserve">Article in press: </w:t>
      </w:r>
      <w:r w:rsidR="00F82C21" w:rsidRPr="00983884">
        <w:rPr>
          <w:rFonts w:ascii="Book Antiqua" w:eastAsia="Book Antiqua" w:hAnsi="Book Antiqua" w:cs="Book Antiqua"/>
          <w:color w:val="000000"/>
        </w:rPr>
        <w:t>December 24, 2020</w:t>
      </w:r>
    </w:p>
    <w:p w14:paraId="468D9415" w14:textId="77777777" w:rsidR="00A77B3E" w:rsidRDefault="00A77B3E">
      <w:pPr>
        <w:spacing w:line="360" w:lineRule="auto"/>
        <w:jc w:val="both"/>
      </w:pPr>
    </w:p>
    <w:p w14:paraId="4076B6F5" w14:textId="77777777" w:rsidR="00A77B3E" w:rsidRDefault="00A77B3E">
      <w:pPr>
        <w:spacing w:line="360" w:lineRule="auto"/>
        <w:jc w:val="both"/>
      </w:pPr>
    </w:p>
    <w:p w14:paraId="255599DD" w14:textId="77777777" w:rsidR="00A77B3E" w:rsidRDefault="00E83AB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5FFC8A5A" w14:textId="77777777" w:rsidR="00A77B3E" w:rsidRDefault="00E83A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6547B14" w14:textId="77777777" w:rsidR="00A77B3E" w:rsidRDefault="00E83AB7">
      <w:pPr>
        <w:spacing w:line="360" w:lineRule="auto"/>
        <w:jc w:val="both"/>
      </w:pPr>
      <w:r>
        <w:rPr>
          <w:rFonts w:ascii="Book Antiqua" w:eastAsia="Book Antiqua" w:hAnsi="Book Antiqua" w:cs="Book Antiqua"/>
          <w:b/>
          <w:color w:val="000000"/>
        </w:rPr>
        <w:t>Peer-review report’s scientific quality classification</w:t>
      </w:r>
    </w:p>
    <w:p w14:paraId="2202AD0C" w14:textId="77777777" w:rsidR="00A77B3E" w:rsidRDefault="00E83AB7">
      <w:pPr>
        <w:spacing w:line="360" w:lineRule="auto"/>
        <w:jc w:val="both"/>
      </w:pPr>
      <w:r>
        <w:rPr>
          <w:rFonts w:ascii="Book Antiqua" w:eastAsia="Book Antiqua" w:hAnsi="Book Antiqua" w:cs="Book Antiqua"/>
          <w:color w:val="000000"/>
        </w:rPr>
        <w:t>Grade A (Excellent): 0</w:t>
      </w:r>
    </w:p>
    <w:p w14:paraId="5BB565B9" w14:textId="77777777" w:rsidR="00A77B3E" w:rsidRDefault="00E83AB7">
      <w:pPr>
        <w:spacing w:line="360" w:lineRule="auto"/>
        <w:jc w:val="both"/>
      </w:pPr>
      <w:r>
        <w:rPr>
          <w:rFonts w:ascii="Book Antiqua" w:eastAsia="Book Antiqua" w:hAnsi="Book Antiqua" w:cs="Book Antiqua"/>
          <w:color w:val="000000"/>
        </w:rPr>
        <w:t>Grade B (Very good): B</w:t>
      </w:r>
    </w:p>
    <w:p w14:paraId="590C452B" w14:textId="77777777" w:rsidR="00A77B3E" w:rsidRDefault="00E83AB7">
      <w:pPr>
        <w:spacing w:line="360" w:lineRule="auto"/>
        <w:jc w:val="both"/>
      </w:pPr>
      <w:r>
        <w:rPr>
          <w:rFonts w:ascii="Book Antiqua" w:eastAsia="Book Antiqua" w:hAnsi="Book Antiqua" w:cs="Book Antiqua"/>
          <w:color w:val="000000"/>
        </w:rPr>
        <w:t>Grade C (Good): C, C</w:t>
      </w:r>
    </w:p>
    <w:p w14:paraId="46C67017" w14:textId="77777777" w:rsidR="00A77B3E" w:rsidRDefault="00E83AB7">
      <w:pPr>
        <w:spacing w:line="360" w:lineRule="auto"/>
        <w:jc w:val="both"/>
      </w:pPr>
      <w:r>
        <w:rPr>
          <w:rFonts w:ascii="Book Antiqua" w:eastAsia="Book Antiqua" w:hAnsi="Book Antiqua" w:cs="Book Antiqua"/>
          <w:color w:val="000000"/>
        </w:rPr>
        <w:t>Grade D (Fair): 0</w:t>
      </w:r>
    </w:p>
    <w:p w14:paraId="45C70AA8" w14:textId="77777777" w:rsidR="00A77B3E" w:rsidRDefault="00E83AB7">
      <w:pPr>
        <w:spacing w:line="360" w:lineRule="auto"/>
        <w:jc w:val="both"/>
      </w:pPr>
      <w:r>
        <w:rPr>
          <w:rFonts w:ascii="Book Antiqua" w:eastAsia="Book Antiqua" w:hAnsi="Book Antiqua" w:cs="Book Antiqua"/>
          <w:color w:val="000000"/>
        </w:rPr>
        <w:t>Grade E (Poor): 0</w:t>
      </w:r>
    </w:p>
    <w:p w14:paraId="7FF0A2DF" w14:textId="77777777" w:rsidR="00A77B3E" w:rsidRDefault="00A77B3E">
      <w:pPr>
        <w:spacing w:line="360" w:lineRule="auto"/>
        <w:jc w:val="both"/>
      </w:pPr>
    </w:p>
    <w:p w14:paraId="4DA54F07" w14:textId="0F620225" w:rsidR="00A77B3E" w:rsidRPr="002E61FF" w:rsidRDefault="00E83AB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Govindarajan KK, Handra-Luca A, Kupeli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50BDB" w:rsidRPr="00F50BD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2E61FF" w:rsidRPr="002E61FF">
        <w:rPr>
          <w:rFonts w:ascii="Book Antiqua" w:hAnsi="Book Antiqua" w:cs="Book Antiqua" w:hint="eastAsia"/>
          <w:color w:val="000000"/>
          <w:lang w:eastAsia="zh-CN"/>
        </w:rPr>
        <w:t>Li X</w:t>
      </w:r>
    </w:p>
    <w:p w14:paraId="0D3D93F4" w14:textId="77777777" w:rsidR="002E61FF" w:rsidRDefault="002E61FF">
      <w:pPr>
        <w:spacing w:line="360" w:lineRule="auto"/>
        <w:jc w:val="both"/>
        <w:rPr>
          <w:rFonts w:ascii="Book Antiqua" w:hAnsi="Book Antiqua" w:cs="Book Antiqua"/>
          <w:b/>
          <w:color w:val="000000"/>
          <w:lang w:eastAsia="zh-CN"/>
        </w:rPr>
      </w:pPr>
    </w:p>
    <w:p w14:paraId="59D5AFDC" w14:textId="1A30AE82" w:rsidR="00A77B3E" w:rsidRDefault="00E83A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8A35F4E" w14:textId="313274B5" w:rsidR="008C7A9D" w:rsidRDefault="006A72A5">
      <w:pPr>
        <w:spacing w:line="360" w:lineRule="auto"/>
        <w:jc w:val="both"/>
      </w:pPr>
      <w:r>
        <w:rPr>
          <w:noProof/>
          <w:lang w:eastAsia="zh-CN"/>
        </w:rPr>
        <w:drawing>
          <wp:inline distT="0" distB="0" distL="0" distR="0" wp14:anchorId="1D2AF3A3" wp14:editId="5F62FA63">
            <wp:extent cx="4496545" cy="63671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762" cy="6373075"/>
                    </a:xfrm>
                    <a:prstGeom prst="rect">
                      <a:avLst/>
                    </a:prstGeom>
                    <a:noFill/>
                  </pic:spPr>
                </pic:pic>
              </a:graphicData>
            </a:graphic>
          </wp:inline>
        </w:drawing>
      </w:r>
    </w:p>
    <w:p w14:paraId="0BDB38AC" w14:textId="77777777" w:rsidR="008A2464" w:rsidRDefault="008A2464" w:rsidP="008A2464">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Figure</w:t>
      </w:r>
      <w:r>
        <w:rPr>
          <w:rFonts w:ascii="Book Antiqua" w:eastAsia="Book Antiqua" w:hAnsi="Book Antiqua" w:cs="Book Antiqua"/>
          <w:b/>
          <w:bCs/>
          <w:color w:val="000000"/>
        </w:rPr>
        <w:t xml:space="preserve"> 1 Telangiectasia of oral mucosa.</w:t>
      </w:r>
    </w:p>
    <w:p w14:paraId="072A0309" w14:textId="4DA4F863" w:rsidR="00A77B3E" w:rsidRDefault="006A72A5">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4F2A7CD6" wp14:editId="778B2173">
            <wp:extent cx="4109701" cy="5485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6001" cy="5494004"/>
                    </a:xfrm>
                    <a:prstGeom prst="rect">
                      <a:avLst/>
                    </a:prstGeom>
                    <a:noFill/>
                  </pic:spPr>
                </pic:pic>
              </a:graphicData>
            </a:graphic>
          </wp:inline>
        </w:drawing>
      </w:r>
    </w:p>
    <w:p w14:paraId="25696C05" w14:textId="60A5781C" w:rsidR="006A72A5" w:rsidRDefault="008C7A9D">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Figure</w:t>
      </w:r>
      <w:r w:rsidR="00E83AB7">
        <w:rPr>
          <w:rFonts w:ascii="Book Antiqua" w:eastAsia="Book Antiqua" w:hAnsi="Book Antiqua" w:cs="Book Antiqua"/>
          <w:b/>
          <w:bCs/>
          <w:color w:val="000000"/>
        </w:rPr>
        <w:t xml:space="preserve"> 2</w:t>
      </w:r>
      <w:r w:rsidR="006A72A5">
        <w:rPr>
          <w:rFonts w:ascii="Book Antiqua" w:eastAsia="Book Antiqua" w:hAnsi="Book Antiqua" w:cs="Book Antiqua"/>
          <w:b/>
          <w:bCs/>
          <w:color w:val="000000"/>
        </w:rPr>
        <w:t xml:space="preserve"> </w:t>
      </w:r>
      <w:r w:rsidR="00E83AB7">
        <w:rPr>
          <w:rFonts w:ascii="Book Antiqua" w:eastAsia="Book Antiqua" w:hAnsi="Book Antiqua" w:cs="Book Antiqua"/>
          <w:b/>
          <w:bCs/>
          <w:color w:val="000000"/>
        </w:rPr>
        <w:t>Cherry-red hemangioma of chest</w:t>
      </w:r>
      <w:r w:rsidR="006A72A5">
        <w:rPr>
          <w:rFonts w:ascii="Book Antiqua" w:eastAsia="Book Antiqua" w:hAnsi="Book Antiqua" w:cs="Book Antiqua"/>
          <w:b/>
          <w:bCs/>
          <w:color w:val="000000"/>
        </w:rPr>
        <w:t>.</w:t>
      </w:r>
    </w:p>
    <w:p w14:paraId="4DBCD789" w14:textId="52E6A658" w:rsidR="00A77B3E" w:rsidRDefault="006A72A5">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70659ADC" wp14:editId="175FD7CE">
            <wp:extent cx="3755390" cy="5785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5390" cy="5785485"/>
                    </a:xfrm>
                    <a:prstGeom prst="rect">
                      <a:avLst/>
                    </a:prstGeom>
                    <a:noFill/>
                  </pic:spPr>
                </pic:pic>
              </a:graphicData>
            </a:graphic>
          </wp:inline>
        </w:drawing>
      </w:r>
    </w:p>
    <w:p w14:paraId="5861C76B" w14:textId="041EF371" w:rsidR="006D2006" w:rsidRDefault="008C7A9D">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Figure</w:t>
      </w:r>
      <w:r w:rsidR="00E83AB7">
        <w:rPr>
          <w:rFonts w:ascii="Book Antiqua" w:eastAsia="Book Antiqua" w:hAnsi="Book Antiqua" w:cs="Book Antiqua"/>
          <w:b/>
          <w:bCs/>
          <w:color w:val="000000"/>
        </w:rPr>
        <w:t xml:space="preserve"> 3</w:t>
      </w:r>
      <w:r w:rsidR="006A72A5">
        <w:rPr>
          <w:rFonts w:ascii="Book Antiqua" w:eastAsia="Book Antiqua" w:hAnsi="Book Antiqua" w:cs="Book Antiqua"/>
          <w:b/>
          <w:bCs/>
          <w:color w:val="000000"/>
        </w:rPr>
        <w:t xml:space="preserve"> </w:t>
      </w:r>
      <w:r w:rsidR="00E83AB7">
        <w:rPr>
          <w:rFonts w:ascii="Book Antiqua" w:eastAsia="Book Antiqua" w:hAnsi="Book Antiqua" w:cs="Book Antiqua"/>
          <w:b/>
          <w:bCs/>
          <w:color w:val="000000"/>
        </w:rPr>
        <w:t>Dilated blood vessels on anterior nare</w:t>
      </w:r>
      <w:r w:rsidR="006A72A5">
        <w:rPr>
          <w:rFonts w:ascii="Book Antiqua" w:eastAsia="Book Antiqua" w:hAnsi="Book Antiqua" w:cs="Book Antiqua"/>
          <w:b/>
          <w:bCs/>
          <w:color w:val="000000"/>
        </w:rPr>
        <w:t>.</w:t>
      </w:r>
    </w:p>
    <w:p w14:paraId="326DFA29" w14:textId="77777777" w:rsidR="006D2006" w:rsidRDefault="006D2006">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EBA4775" w14:textId="77777777" w:rsidR="006D2006" w:rsidRDefault="006D2006" w:rsidP="006D2006">
      <w:pPr>
        <w:jc w:val="center"/>
        <w:rPr>
          <w:rFonts w:ascii="Book Antiqua" w:hAnsi="Book Antiqua"/>
          <w:lang w:eastAsia="zh-CN"/>
        </w:rPr>
      </w:pPr>
    </w:p>
    <w:p w14:paraId="2B543AC2" w14:textId="77777777" w:rsidR="006D2006" w:rsidRDefault="006D2006" w:rsidP="006D2006">
      <w:pPr>
        <w:jc w:val="center"/>
        <w:rPr>
          <w:rFonts w:ascii="Book Antiqua" w:hAnsi="Book Antiqua"/>
          <w:lang w:eastAsia="zh-CN"/>
        </w:rPr>
      </w:pPr>
    </w:p>
    <w:p w14:paraId="595EE37D" w14:textId="77777777" w:rsidR="006D2006" w:rsidRDefault="006D2006" w:rsidP="006D2006">
      <w:pPr>
        <w:jc w:val="center"/>
        <w:rPr>
          <w:rFonts w:ascii="Book Antiqua" w:hAnsi="Book Antiqua"/>
          <w:lang w:eastAsia="zh-CN"/>
        </w:rPr>
      </w:pPr>
    </w:p>
    <w:p w14:paraId="284A2966" w14:textId="77777777" w:rsidR="006D2006" w:rsidRDefault="006D2006" w:rsidP="006D2006">
      <w:pPr>
        <w:jc w:val="center"/>
        <w:rPr>
          <w:rFonts w:ascii="Book Antiqua" w:hAnsi="Book Antiqua"/>
          <w:lang w:eastAsia="zh-CN"/>
        </w:rPr>
      </w:pPr>
    </w:p>
    <w:p w14:paraId="4022F29D" w14:textId="77777777" w:rsidR="006D2006" w:rsidRDefault="006D2006" w:rsidP="006D2006">
      <w:pPr>
        <w:jc w:val="center"/>
        <w:rPr>
          <w:rFonts w:ascii="Book Antiqua" w:hAnsi="Book Antiqua"/>
          <w:lang w:eastAsia="zh-CN"/>
        </w:rPr>
      </w:pPr>
    </w:p>
    <w:p w14:paraId="17C25298" w14:textId="77777777" w:rsidR="006D2006" w:rsidRDefault="006D2006" w:rsidP="006D2006">
      <w:pPr>
        <w:jc w:val="center"/>
        <w:rPr>
          <w:rFonts w:ascii="Book Antiqua" w:hAnsi="Book Antiqua"/>
          <w:lang w:eastAsia="zh-CN"/>
        </w:rPr>
      </w:pPr>
      <w:r>
        <w:rPr>
          <w:rFonts w:ascii="Book Antiqua" w:hAnsi="Book Antiqua"/>
          <w:noProof/>
          <w:lang w:eastAsia="zh-CN"/>
        </w:rPr>
        <w:drawing>
          <wp:inline distT="0" distB="0" distL="0" distR="0" wp14:anchorId="1B02EB56" wp14:editId="5A0B063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E757BB" w14:textId="77777777" w:rsidR="006D2006" w:rsidRDefault="006D2006" w:rsidP="006D2006">
      <w:pPr>
        <w:jc w:val="center"/>
        <w:rPr>
          <w:rFonts w:ascii="Book Antiqua" w:hAnsi="Book Antiqua"/>
          <w:lang w:eastAsia="zh-CN"/>
        </w:rPr>
      </w:pPr>
    </w:p>
    <w:p w14:paraId="0A1D517E" w14:textId="77777777" w:rsidR="006D2006" w:rsidRPr="00763D22" w:rsidRDefault="006D2006" w:rsidP="006D200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CBF6DD" w14:textId="77777777" w:rsidR="006D2006" w:rsidRPr="00763D22" w:rsidRDefault="006D2006" w:rsidP="006D20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8CA3695" w14:textId="77777777" w:rsidR="006D2006" w:rsidRPr="00763D22" w:rsidRDefault="006D2006" w:rsidP="006D20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9CB1BE" w14:textId="77777777" w:rsidR="006D2006" w:rsidRPr="00763D22" w:rsidRDefault="006D2006" w:rsidP="006D20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65BA808" w14:textId="77777777" w:rsidR="006D2006" w:rsidRPr="00763D22" w:rsidRDefault="006D2006" w:rsidP="006D20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4A04DC" w14:textId="77777777" w:rsidR="006D2006" w:rsidRPr="00763D22" w:rsidRDefault="006D2006" w:rsidP="006D200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3A9507A" w14:textId="77777777" w:rsidR="006D2006" w:rsidRDefault="006D2006" w:rsidP="006D2006">
      <w:pPr>
        <w:jc w:val="center"/>
        <w:rPr>
          <w:rFonts w:ascii="Book Antiqua" w:hAnsi="Book Antiqua"/>
          <w:lang w:eastAsia="zh-CN"/>
        </w:rPr>
      </w:pPr>
    </w:p>
    <w:p w14:paraId="51812904" w14:textId="77777777" w:rsidR="006D2006" w:rsidRDefault="006D2006" w:rsidP="006D2006">
      <w:pPr>
        <w:jc w:val="center"/>
        <w:rPr>
          <w:rFonts w:ascii="Book Antiqua" w:hAnsi="Book Antiqua"/>
          <w:lang w:eastAsia="zh-CN"/>
        </w:rPr>
      </w:pPr>
    </w:p>
    <w:p w14:paraId="630F7058" w14:textId="77777777" w:rsidR="006D2006" w:rsidRDefault="006D2006" w:rsidP="006D2006">
      <w:pPr>
        <w:jc w:val="center"/>
        <w:rPr>
          <w:rFonts w:ascii="Book Antiqua" w:hAnsi="Book Antiqua"/>
          <w:lang w:eastAsia="zh-CN"/>
        </w:rPr>
      </w:pPr>
    </w:p>
    <w:p w14:paraId="6255BD67" w14:textId="77777777" w:rsidR="006D2006" w:rsidRDefault="006D2006" w:rsidP="006D2006">
      <w:pPr>
        <w:jc w:val="center"/>
        <w:rPr>
          <w:rFonts w:ascii="Book Antiqua" w:hAnsi="Book Antiqua"/>
          <w:lang w:eastAsia="zh-CN"/>
        </w:rPr>
      </w:pPr>
      <w:r>
        <w:rPr>
          <w:rFonts w:ascii="Book Antiqua" w:hAnsi="Book Antiqua"/>
          <w:noProof/>
          <w:lang w:eastAsia="zh-CN"/>
        </w:rPr>
        <w:drawing>
          <wp:inline distT="0" distB="0" distL="0" distR="0" wp14:anchorId="73F9C910" wp14:editId="50A3524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5005AB" w14:textId="77777777" w:rsidR="006D2006" w:rsidRDefault="006D2006" w:rsidP="006D2006">
      <w:pPr>
        <w:jc w:val="center"/>
        <w:rPr>
          <w:rFonts w:ascii="Book Antiqua" w:hAnsi="Book Antiqua"/>
          <w:lang w:eastAsia="zh-CN"/>
        </w:rPr>
      </w:pPr>
    </w:p>
    <w:p w14:paraId="2EF61E28" w14:textId="77777777" w:rsidR="006D2006" w:rsidRDefault="006D2006" w:rsidP="006D2006">
      <w:pPr>
        <w:jc w:val="center"/>
        <w:rPr>
          <w:rFonts w:ascii="Book Antiqua" w:hAnsi="Book Antiqua"/>
          <w:lang w:eastAsia="zh-CN"/>
        </w:rPr>
      </w:pPr>
    </w:p>
    <w:p w14:paraId="32EF9E61" w14:textId="77777777" w:rsidR="006D2006" w:rsidRDefault="006D2006" w:rsidP="006D2006">
      <w:pPr>
        <w:jc w:val="center"/>
        <w:rPr>
          <w:rFonts w:ascii="Book Antiqua" w:hAnsi="Book Antiqua"/>
          <w:lang w:eastAsia="zh-CN"/>
        </w:rPr>
      </w:pPr>
    </w:p>
    <w:p w14:paraId="2D9BAB68" w14:textId="77777777" w:rsidR="006D2006" w:rsidRDefault="006D2006" w:rsidP="006D2006">
      <w:pPr>
        <w:jc w:val="center"/>
        <w:rPr>
          <w:rFonts w:ascii="Book Antiqua" w:hAnsi="Book Antiqua"/>
          <w:lang w:eastAsia="zh-CN"/>
        </w:rPr>
      </w:pPr>
    </w:p>
    <w:p w14:paraId="480B8926" w14:textId="77777777" w:rsidR="006D2006" w:rsidRDefault="006D2006" w:rsidP="006D2006">
      <w:pPr>
        <w:jc w:val="center"/>
        <w:rPr>
          <w:rFonts w:ascii="Book Antiqua" w:hAnsi="Book Antiqua"/>
          <w:lang w:eastAsia="zh-CN"/>
        </w:rPr>
      </w:pPr>
    </w:p>
    <w:p w14:paraId="7D9964DF" w14:textId="77777777" w:rsidR="006D2006" w:rsidRDefault="006D2006" w:rsidP="006D2006">
      <w:pPr>
        <w:jc w:val="center"/>
        <w:rPr>
          <w:rFonts w:ascii="Book Antiqua" w:hAnsi="Book Antiqua"/>
          <w:lang w:eastAsia="zh-CN"/>
        </w:rPr>
      </w:pPr>
    </w:p>
    <w:p w14:paraId="00BFB8B3" w14:textId="77777777" w:rsidR="006D2006" w:rsidRDefault="006D2006" w:rsidP="006D2006">
      <w:pPr>
        <w:jc w:val="center"/>
        <w:rPr>
          <w:rFonts w:ascii="Book Antiqua" w:hAnsi="Book Antiqua"/>
          <w:lang w:eastAsia="zh-CN"/>
        </w:rPr>
      </w:pPr>
    </w:p>
    <w:p w14:paraId="561D5DE7" w14:textId="77777777" w:rsidR="006D2006" w:rsidRDefault="006D2006" w:rsidP="006D2006">
      <w:pPr>
        <w:jc w:val="center"/>
        <w:rPr>
          <w:rFonts w:ascii="Book Antiqua" w:hAnsi="Book Antiqua"/>
          <w:lang w:eastAsia="zh-CN"/>
        </w:rPr>
      </w:pPr>
    </w:p>
    <w:p w14:paraId="3FA84D92" w14:textId="77777777" w:rsidR="006D2006" w:rsidRDefault="006D2006" w:rsidP="006D2006">
      <w:pPr>
        <w:jc w:val="center"/>
        <w:rPr>
          <w:rFonts w:ascii="Book Antiqua" w:hAnsi="Book Antiqua"/>
          <w:lang w:eastAsia="zh-CN"/>
        </w:rPr>
      </w:pPr>
    </w:p>
    <w:p w14:paraId="36B4B980" w14:textId="77777777" w:rsidR="006D2006" w:rsidRPr="00763D22" w:rsidRDefault="006D2006" w:rsidP="006D2006">
      <w:pPr>
        <w:jc w:val="right"/>
        <w:rPr>
          <w:rFonts w:ascii="Book Antiqua" w:hAnsi="Book Antiqua"/>
          <w:color w:val="000000" w:themeColor="text1"/>
          <w:lang w:eastAsia="zh-CN"/>
        </w:rPr>
      </w:pPr>
    </w:p>
    <w:p w14:paraId="4E3D26B6" w14:textId="77777777" w:rsidR="006D2006" w:rsidRPr="00763D22" w:rsidRDefault="006D2006" w:rsidP="006D200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01F196B" w14:textId="77777777" w:rsidR="00A77B3E" w:rsidRDefault="00A77B3E">
      <w:pPr>
        <w:spacing w:line="360" w:lineRule="auto"/>
        <w:jc w:val="both"/>
      </w:pPr>
      <w:bookmarkStart w:id="5" w:name="_GoBack"/>
      <w:bookmarkEnd w:id="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F7783" w14:textId="77777777" w:rsidR="00C23B75" w:rsidRDefault="00C23B75" w:rsidP="00304AFF">
      <w:r>
        <w:separator/>
      </w:r>
    </w:p>
  </w:endnote>
  <w:endnote w:type="continuationSeparator" w:id="0">
    <w:p w14:paraId="6480C9F3" w14:textId="77777777" w:rsidR="00C23B75" w:rsidRDefault="00C23B75" w:rsidP="00304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96552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8D23908" w14:textId="5EB0BCBA" w:rsidR="007B73CD" w:rsidRPr="007B73CD" w:rsidRDefault="007B73CD" w:rsidP="007B73CD">
            <w:pPr>
              <w:pStyle w:val="a4"/>
              <w:jc w:val="right"/>
              <w:rPr>
                <w:rFonts w:ascii="Book Antiqua" w:hAnsi="Book Antiqua"/>
                <w:sz w:val="24"/>
                <w:szCs w:val="24"/>
              </w:rPr>
            </w:pPr>
            <w:r w:rsidRPr="007B73CD">
              <w:rPr>
                <w:rFonts w:ascii="Book Antiqua" w:hAnsi="Book Antiqua"/>
                <w:sz w:val="24"/>
                <w:szCs w:val="24"/>
                <w:lang w:val="zh-CN" w:eastAsia="zh-CN"/>
              </w:rPr>
              <w:t xml:space="preserve"> </w:t>
            </w:r>
            <w:r w:rsidRPr="007B73CD">
              <w:rPr>
                <w:rFonts w:ascii="Book Antiqua" w:hAnsi="Book Antiqua"/>
                <w:sz w:val="24"/>
                <w:szCs w:val="24"/>
              </w:rPr>
              <w:fldChar w:fldCharType="begin"/>
            </w:r>
            <w:r w:rsidRPr="007B73CD">
              <w:rPr>
                <w:rFonts w:ascii="Book Antiqua" w:hAnsi="Book Antiqua"/>
                <w:sz w:val="24"/>
                <w:szCs w:val="24"/>
              </w:rPr>
              <w:instrText>PAGE</w:instrText>
            </w:r>
            <w:r w:rsidRPr="007B73CD">
              <w:rPr>
                <w:rFonts w:ascii="Book Antiqua" w:hAnsi="Book Antiqua"/>
                <w:sz w:val="24"/>
                <w:szCs w:val="24"/>
              </w:rPr>
              <w:fldChar w:fldCharType="separate"/>
            </w:r>
            <w:r w:rsidR="00C23B75">
              <w:rPr>
                <w:rFonts w:ascii="Book Antiqua" w:hAnsi="Book Antiqua"/>
                <w:noProof/>
                <w:sz w:val="24"/>
                <w:szCs w:val="24"/>
              </w:rPr>
              <w:t>1</w:t>
            </w:r>
            <w:r w:rsidRPr="007B73CD">
              <w:rPr>
                <w:rFonts w:ascii="Book Antiqua" w:hAnsi="Book Antiqua"/>
                <w:sz w:val="24"/>
                <w:szCs w:val="24"/>
              </w:rPr>
              <w:fldChar w:fldCharType="end"/>
            </w:r>
            <w:r w:rsidRPr="007B73CD">
              <w:rPr>
                <w:rFonts w:ascii="Book Antiqua" w:hAnsi="Book Antiqua"/>
                <w:sz w:val="24"/>
                <w:szCs w:val="24"/>
                <w:lang w:val="zh-CN" w:eastAsia="zh-CN"/>
              </w:rPr>
              <w:t xml:space="preserve"> / </w:t>
            </w:r>
            <w:r w:rsidRPr="007B73CD">
              <w:rPr>
                <w:rFonts w:ascii="Book Antiqua" w:hAnsi="Book Antiqua"/>
                <w:sz w:val="24"/>
                <w:szCs w:val="24"/>
              </w:rPr>
              <w:fldChar w:fldCharType="begin"/>
            </w:r>
            <w:r w:rsidRPr="007B73CD">
              <w:rPr>
                <w:rFonts w:ascii="Book Antiqua" w:hAnsi="Book Antiqua"/>
                <w:sz w:val="24"/>
                <w:szCs w:val="24"/>
              </w:rPr>
              <w:instrText>NUMPAGES</w:instrText>
            </w:r>
            <w:r w:rsidRPr="007B73CD">
              <w:rPr>
                <w:rFonts w:ascii="Book Antiqua" w:hAnsi="Book Antiqua"/>
                <w:sz w:val="24"/>
                <w:szCs w:val="24"/>
              </w:rPr>
              <w:fldChar w:fldCharType="separate"/>
            </w:r>
            <w:r w:rsidR="00C23B75">
              <w:rPr>
                <w:rFonts w:ascii="Book Antiqua" w:hAnsi="Book Antiqua"/>
                <w:noProof/>
                <w:sz w:val="24"/>
                <w:szCs w:val="24"/>
              </w:rPr>
              <w:t>1</w:t>
            </w:r>
            <w:r w:rsidRPr="007B73CD">
              <w:rPr>
                <w:rFonts w:ascii="Book Antiqua" w:hAnsi="Book Antiqua"/>
                <w:sz w:val="24"/>
                <w:szCs w:val="24"/>
              </w:rPr>
              <w:fldChar w:fldCharType="end"/>
            </w:r>
          </w:p>
        </w:sdtContent>
      </w:sdt>
    </w:sdtContent>
  </w:sdt>
  <w:p w14:paraId="001C44C6" w14:textId="77777777" w:rsidR="007B73CD" w:rsidRPr="007B73CD" w:rsidRDefault="007B73CD" w:rsidP="007B73CD">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0E836" w14:textId="77777777" w:rsidR="00C23B75" w:rsidRDefault="00C23B75" w:rsidP="00304AFF">
      <w:r>
        <w:separator/>
      </w:r>
    </w:p>
  </w:footnote>
  <w:footnote w:type="continuationSeparator" w:id="0">
    <w:p w14:paraId="263A00A3" w14:textId="77777777" w:rsidR="00C23B75" w:rsidRDefault="00C23B75" w:rsidP="00304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CCC"/>
    <w:rsid w:val="001634BE"/>
    <w:rsid w:val="001813D6"/>
    <w:rsid w:val="001F3C9F"/>
    <w:rsid w:val="00255084"/>
    <w:rsid w:val="002E61FF"/>
    <w:rsid w:val="00304AFF"/>
    <w:rsid w:val="0052308C"/>
    <w:rsid w:val="00680FB5"/>
    <w:rsid w:val="006A72A5"/>
    <w:rsid w:val="006D2006"/>
    <w:rsid w:val="006D5710"/>
    <w:rsid w:val="007B73CD"/>
    <w:rsid w:val="007D4CAD"/>
    <w:rsid w:val="007E2483"/>
    <w:rsid w:val="00894E1B"/>
    <w:rsid w:val="008A2464"/>
    <w:rsid w:val="008C7A9D"/>
    <w:rsid w:val="008D6B93"/>
    <w:rsid w:val="009178D5"/>
    <w:rsid w:val="00983884"/>
    <w:rsid w:val="00A77B3E"/>
    <w:rsid w:val="00C23B75"/>
    <w:rsid w:val="00C72AFD"/>
    <w:rsid w:val="00CA2A55"/>
    <w:rsid w:val="00D60603"/>
    <w:rsid w:val="00D956E3"/>
    <w:rsid w:val="00DB772C"/>
    <w:rsid w:val="00E2663C"/>
    <w:rsid w:val="00E414B7"/>
    <w:rsid w:val="00E83AB7"/>
    <w:rsid w:val="00F07748"/>
    <w:rsid w:val="00F50BDB"/>
    <w:rsid w:val="00F82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0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2">
    <w:name w:val="h2"/>
    <w:basedOn w:val="a0"/>
  </w:style>
  <w:style w:type="character" w:customStyle="1" w:styleId="caps">
    <w:name w:val="caps"/>
    <w:basedOn w:val="a0"/>
  </w:style>
  <w:style w:type="paragraph" w:styleId="a3">
    <w:name w:val="header"/>
    <w:basedOn w:val="a"/>
    <w:link w:val="Char"/>
    <w:unhideWhenUsed/>
    <w:rsid w:val="00304A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4AFF"/>
    <w:rPr>
      <w:sz w:val="18"/>
      <w:szCs w:val="18"/>
    </w:rPr>
  </w:style>
  <w:style w:type="paragraph" w:styleId="a4">
    <w:name w:val="footer"/>
    <w:basedOn w:val="a"/>
    <w:link w:val="Char0"/>
    <w:uiPriority w:val="99"/>
    <w:unhideWhenUsed/>
    <w:rsid w:val="00304AFF"/>
    <w:pPr>
      <w:tabs>
        <w:tab w:val="center" w:pos="4153"/>
        <w:tab w:val="right" w:pos="8306"/>
      </w:tabs>
      <w:snapToGrid w:val="0"/>
    </w:pPr>
    <w:rPr>
      <w:sz w:val="18"/>
      <w:szCs w:val="18"/>
    </w:rPr>
  </w:style>
  <w:style w:type="character" w:customStyle="1" w:styleId="Char0">
    <w:name w:val="页脚 Char"/>
    <w:basedOn w:val="a0"/>
    <w:link w:val="a4"/>
    <w:uiPriority w:val="99"/>
    <w:rsid w:val="00304AFF"/>
    <w:rPr>
      <w:sz w:val="18"/>
      <w:szCs w:val="18"/>
    </w:rPr>
  </w:style>
  <w:style w:type="paragraph" w:styleId="a5">
    <w:name w:val="Balloon Text"/>
    <w:basedOn w:val="a"/>
    <w:link w:val="Char1"/>
    <w:rsid w:val="00304AFF"/>
    <w:rPr>
      <w:sz w:val="18"/>
      <w:szCs w:val="18"/>
    </w:rPr>
  </w:style>
  <w:style w:type="character" w:customStyle="1" w:styleId="Char1">
    <w:name w:val="批注框文本 Char"/>
    <w:basedOn w:val="a0"/>
    <w:link w:val="a5"/>
    <w:rsid w:val="00304AF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2">
    <w:name w:val="h2"/>
    <w:basedOn w:val="a0"/>
  </w:style>
  <w:style w:type="character" w:customStyle="1" w:styleId="caps">
    <w:name w:val="caps"/>
    <w:basedOn w:val="a0"/>
  </w:style>
  <w:style w:type="paragraph" w:styleId="a3">
    <w:name w:val="header"/>
    <w:basedOn w:val="a"/>
    <w:link w:val="Char"/>
    <w:unhideWhenUsed/>
    <w:rsid w:val="00304A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4AFF"/>
    <w:rPr>
      <w:sz w:val="18"/>
      <w:szCs w:val="18"/>
    </w:rPr>
  </w:style>
  <w:style w:type="paragraph" w:styleId="a4">
    <w:name w:val="footer"/>
    <w:basedOn w:val="a"/>
    <w:link w:val="Char0"/>
    <w:uiPriority w:val="99"/>
    <w:unhideWhenUsed/>
    <w:rsid w:val="00304AFF"/>
    <w:pPr>
      <w:tabs>
        <w:tab w:val="center" w:pos="4153"/>
        <w:tab w:val="right" w:pos="8306"/>
      </w:tabs>
      <w:snapToGrid w:val="0"/>
    </w:pPr>
    <w:rPr>
      <w:sz w:val="18"/>
      <w:szCs w:val="18"/>
    </w:rPr>
  </w:style>
  <w:style w:type="character" w:customStyle="1" w:styleId="Char0">
    <w:name w:val="页脚 Char"/>
    <w:basedOn w:val="a0"/>
    <w:link w:val="a4"/>
    <w:uiPriority w:val="99"/>
    <w:rsid w:val="00304AFF"/>
    <w:rPr>
      <w:sz w:val="18"/>
      <w:szCs w:val="18"/>
    </w:rPr>
  </w:style>
  <w:style w:type="paragraph" w:styleId="a5">
    <w:name w:val="Balloon Text"/>
    <w:basedOn w:val="a"/>
    <w:link w:val="Char1"/>
    <w:rsid w:val="00304AFF"/>
    <w:rPr>
      <w:sz w:val="18"/>
      <w:szCs w:val="18"/>
    </w:rPr>
  </w:style>
  <w:style w:type="character" w:customStyle="1" w:styleId="Char1">
    <w:name w:val="批注框文本 Char"/>
    <w:basedOn w:val="a0"/>
    <w:link w:val="a5"/>
    <w:rsid w:val="00304A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16</Pages>
  <Words>2822</Words>
  <Characters>16090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liujihong2008@qq.con</cp:lastModifiedBy>
  <cp:revision>13</cp:revision>
  <dcterms:created xsi:type="dcterms:W3CDTF">2020-12-25T05:27:00Z</dcterms:created>
  <dcterms:modified xsi:type="dcterms:W3CDTF">2021-01-08T08:12:00Z</dcterms:modified>
</cp:coreProperties>
</file>