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A09C2"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Name of Journal: </w:t>
      </w:r>
      <w:r w:rsidRPr="009C2F78">
        <w:rPr>
          <w:rFonts w:ascii="Book Antiqua" w:eastAsia="Book Antiqua" w:hAnsi="Book Antiqua" w:cs="Book Antiqua"/>
          <w:i/>
          <w:color w:val="000000" w:themeColor="text1"/>
        </w:rPr>
        <w:t>Artificial Intelligence in Gastroenterology</w:t>
      </w:r>
    </w:p>
    <w:p w14:paraId="3FB5353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NO: </w:t>
      </w:r>
      <w:r w:rsidRPr="009C2F78">
        <w:rPr>
          <w:rFonts w:ascii="Book Antiqua" w:eastAsia="Book Antiqua" w:hAnsi="Book Antiqua" w:cs="Book Antiqua"/>
          <w:color w:val="000000" w:themeColor="text1"/>
        </w:rPr>
        <w:t>60114</w:t>
      </w:r>
    </w:p>
    <w:p w14:paraId="25C73B60"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Type: </w:t>
      </w:r>
      <w:r w:rsidRPr="009C2F78">
        <w:rPr>
          <w:rFonts w:ascii="Book Antiqua" w:eastAsia="Book Antiqua" w:hAnsi="Book Antiqua" w:cs="Book Antiqua"/>
          <w:color w:val="000000" w:themeColor="text1"/>
        </w:rPr>
        <w:t>MINIREVIEWS</w:t>
      </w:r>
    </w:p>
    <w:p w14:paraId="673D94C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081C4BA" w14:textId="77777777" w:rsidR="00A77B3E" w:rsidRPr="009C2F78" w:rsidRDefault="00BC2EBD" w:rsidP="009C2F78">
      <w:pPr>
        <w:adjustRightInd w:val="0"/>
        <w:snapToGrid w:val="0"/>
        <w:spacing w:line="360" w:lineRule="auto"/>
        <w:jc w:val="both"/>
        <w:rPr>
          <w:rFonts w:ascii="Book Antiqua" w:hAnsi="Book Antiqua"/>
          <w:color w:val="000000" w:themeColor="text1"/>
        </w:rPr>
      </w:pPr>
      <w:bookmarkStart w:id="0" w:name="OLE_LINK2"/>
      <w:r w:rsidRPr="009C2F78">
        <w:rPr>
          <w:rFonts w:ascii="Book Antiqua" w:eastAsia="Book Antiqua" w:hAnsi="Book Antiqua" w:cs="Book Antiqua"/>
          <w:b/>
          <w:color w:val="000000" w:themeColor="text1"/>
        </w:rPr>
        <w:t>Artificial intelligence and machine learning could support drug development for hepatitis A virus internal ribosomal entry sites</w:t>
      </w:r>
    </w:p>
    <w:bookmarkEnd w:id="0"/>
    <w:p w14:paraId="4D64E804"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3325B021"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Kanda T </w:t>
      </w:r>
      <w:r w:rsidRPr="009C2F78">
        <w:rPr>
          <w:rFonts w:ascii="Book Antiqua" w:eastAsia="Book Antiqua" w:hAnsi="Book Antiqua" w:cs="Book Antiqua"/>
          <w:i/>
          <w:iCs/>
          <w:color w:val="000000" w:themeColor="text1"/>
        </w:rPr>
        <w:t>et al</w:t>
      </w:r>
      <w:r w:rsidRPr="009C2F78">
        <w:rPr>
          <w:rFonts w:ascii="Book Antiqua" w:eastAsia="Book Antiqua" w:hAnsi="Book Antiqua" w:cs="Book Antiqua"/>
          <w:color w:val="000000" w:themeColor="text1"/>
        </w:rPr>
        <w:t>. AI supports drug development for HAV IRES</w:t>
      </w:r>
    </w:p>
    <w:p w14:paraId="47E2B13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EB4580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Tatsuo Kanda, Reina Sasaki, Ryota Masuzaki, Mitsuhiko Moriyama</w:t>
      </w:r>
    </w:p>
    <w:p w14:paraId="47A2CDDA"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BC009F3"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Tatsuo Kanda, Reina Sasaki, Ryota Masuzaki, Mitsuhiko Moriyama, </w:t>
      </w:r>
      <w:r w:rsidRPr="009C2F78">
        <w:rPr>
          <w:rFonts w:ascii="Book Antiqua" w:eastAsia="Book Antiqua" w:hAnsi="Book Antiqua" w:cs="Book Antiqua"/>
          <w:color w:val="000000" w:themeColor="text1"/>
        </w:rPr>
        <w:t>Division of Gastroenterology and Hepatology, Department of Medicine, Nihon University School of Medicine, Itabashi-ku 173-8610, Tokyo, Japan</w:t>
      </w:r>
    </w:p>
    <w:p w14:paraId="214A7C61"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1926B8E"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Author contributions: </w:t>
      </w:r>
      <w:r w:rsidRPr="009C2F78">
        <w:rPr>
          <w:rFonts w:ascii="Book Antiqua" w:eastAsia="Book Antiqua" w:hAnsi="Book Antiqua" w:cs="Book Antiqua"/>
          <w:color w:val="000000" w:themeColor="text1"/>
        </w:rPr>
        <w:t>Kanda T performed the majority of the writing and prepared the figures and tables; Sasaki R performed data acquisition and writing; Masuzaki R provided input in writing the paper; Moriyama M designed the outline and coordinated the writing of the paper; all authors have read and approve the final manuscript.</w:t>
      </w:r>
    </w:p>
    <w:p w14:paraId="29350A04"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72CE16B7"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Supported by </w:t>
      </w:r>
      <w:r w:rsidRPr="009C2F78">
        <w:rPr>
          <w:rFonts w:ascii="Book Antiqua" w:eastAsia="Book Antiqua" w:hAnsi="Book Antiqua" w:cs="Book Antiqua"/>
          <w:color w:val="000000" w:themeColor="text1"/>
        </w:rPr>
        <w:t>The Japan Agency for Medical Research and Development, No. JP20fk0210075.</w:t>
      </w:r>
    </w:p>
    <w:p w14:paraId="674A4D75"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88A7FC3"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Corresponding author: Tatsuo Kanda, MD, PhD, Associate Professor, </w:t>
      </w:r>
      <w:r w:rsidRPr="009C2F78">
        <w:rPr>
          <w:rFonts w:ascii="Book Antiqua" w:eastAsia="Book Antiqua" w:hAnsi="Book Antiqua" w:cs="Book Antiqua"/>
          <w:color w:val="000000" w:themeColor="text1"/>
        </w:rPr>
        <w:t>Division of Gastroenterology and Hepatology, Department of Medicine, Nihon University School of Medicine, 30-1 Oyaguchi-kamicho, Itabashi-ku 173-8610, Tokyo, Japan. kanda.tatsuo@nihon-u.ac.jp</w:t>
      </w:r>
    </w:p>
    <w:p w14:paraId="645411C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83B43D5"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Received: </w:t>
      </w:r>
      <w:r w:rsidRPr="009C2F78">
        <w:rPr>
          <w:rFonts w:ascii="Book Antiqua" w:eastAsia="Book Antiqua" w:hAnsi="Book Antiqua" w:cs="Book Antiqua"/>
          <w:color w:val="000000" w:themeColor="text1"/>
        </w:rPr>
        <w:t>October 15, 2020</w:t>
      </w:r>
    </w:p>
    <w:p w14:paraId="64A606D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lastRenderedPageBreak/>
        <w:t xml:space="preserve">Revised: </w:t>
      </w:r>
      <w:r w:rsidRPr="009C2F78">
        <w:rPr>
          <w:rFonts w:ascii="Book Antiqua" w:eastAsia="Book Antiqua" w:hAnsi="Book Antiqua" w:cs="Book Antiqua"/>
          <w:color w:val="000000" w:themeColor="text1"/>
        </w:rPr>
        <w:t>December 29, 2020</w:t>
      </w:r>
    </w:p>
    <w:p w14:paraId="506226DF" w14:textId="6FF14CBF"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Accepted: </w:t>
      </w:r>
      <w:r w:rsidR="00F639D4" w:rsidRPr="00F639D4">
        <w:rPr>
          <w:rFonts w:ascii="Book Antiqua" w:eastAsia="Book Antiqua" w:hAnsi="Book Antiqua" w:cs="Book Antiqua"/>
          <w:color w:val="000000" w:themeColor="text1"/>
        </w:rPr>
        <w:t>February 12, 2021</w:t>
      </w:r>
    </w:p>
    <w:p w14:paraId="607A2A00" w14:textId="55DBC320"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Published online: </w:t>
      </w:r>
      <w:r w:rsidR="00822A7A" w:rsidRPr="00F639D4">
        <w:rPr>
          <w:rFonts w:ascii="Book Antiqua" w:eastAsia="Book Antiqua" w:hAnsi="Book Antiqua" w:cs="Book Antiqua"/>
          <w:color w:val="000000" w:themeColor="text1"/>
        </w:rPr>
        <w:t xml:space="preserve">February </w:t>
      </w:r>
      <w:r w:rsidR="00822A7A">
        <w:rPr>
          <w:rFonts w:ascii="Book Antiqua" w:eastAsia="Book Antiqua" w:hAnsi="Book Antiqua" w:cs="Book Antiqua"/>
          <w:color w:val="000000" w:themeColor="text1"/>
        </w:rPr>
        <w:t>28</w:t>
      </w:r>
      <w:r w:rsidR="00822A7A" w:rsidRPr="00F639D4">
        <w:rPr>
          <w:rFonts w:ascii="Book Antiqua" w:eastAsia="Book Antiqua" w:hAnsi="Book Antiqua" w:cs="Book Antiqua"/>
          <w:color w:val="000000" w:themeColor="text1"/>
        </w:rPr>
        <w:t>, 2021</w:t>
      </w:r>
    </w:p>
    <w:p w14:paraId="015679EE" w14:textId="77777777" w:rsidR="00491D7B" w:rsidRPr="009C2F78" w:rsidRDefault="00491D7B" w:rsidP="009C2F78">
      <w:pPr>
        <w:adjustRightInd w:val="0"/>
        <w:snapToGrid w:val="0"/>
        <w:spacing w:line="360" w:lineRule="auto"/>
        <w:jc w:val="both"/>
        <w:rPr>
          <w:rFonts w:ascii="Book Antiqua" w:eastAsia="Book Antiqua" w:hAnsi="Book Antiqua" w:cs="Book Antiqua"/>
          <w:b/>
          <w:color w:val="000000" w:themeColor="text1"/>
        </w:rPr>
      </w:pPr>
    </w:p>
    <w:p w14:paraId="6FE024F2" w14:textId="77777777" w:rsidR="006A1A35" w:rsidRDefault="006A1A35" w:rsidP="009C2F78">
      <w:pPr>
        <w:adjustRightInd w:val="0"/>
        <w:snapToGrid w:val="0"/>
        <w:spacing w:line="360" w:lineRule="auto"/>
        <w:jc w:val="both"/>
        <w:rPr>
          <w:rFonts w:ascii="Book Antiqua" w:eastAsia="Book Antiqua" w:hAnsi="Book Antiqua" w:cs="Book Antiqua"/>
          <w:b/>
          <w:color w:val="000000" w:themeColor="text1"/>
        </w:rPr>
        <w:sectPr w:rsidR="006A1A35">
          <w:footerReference w:type="default" r:id="rId6"/>
          <w:pgSz w:w="12240" w:h="15840"/>
          <w:pgMar w:top="1440" w:right="1440" w:bottom="1440" w:left="1440" w:header="720" w:footer="720" w:gutter="0"/>
          <w:cols w:space="720"/>
          <w:docGrid w:linePitch="360"/>
        </w:sectPr>
      </w:pPr>
    </w:p>
    <w:p w14:paraId="233C1C41" w14:textId="6D9052EF"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Abstract</w:t>
      </w:r>
    </w:p>
    <w:p w14:paraId="5414B883" w14:textId="72468BBB"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Hepatitis A virus (HAV) infection is still an important health issue worldwide. Although several effective HAV vaccines are available, it is difficult to perform universal vaccination in certain countries. Therefore, it may be better to develop antivirals against HAV for the prevention of severe hepatitis A. We found that several drugs potentially inhibit HAV internal ribosomal entry site-dependent translation and HAV replication. Artificial intelligence and machine learning could also support screening of anti-HAV drugs, using drug repositioning and drug rescue approaches.</w:t>
      </w:r>
    </w:p>
    <w:p w14:paraId="39F75DB2"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1D242EA" w14:textId="00DB65FE"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Key Words: </w:t>
      </w:r>
      <w:r w:rsidRPr="009C2F78">
        <w:rPr>
          <w:rFonts w:ascii="Book Antiqua" w:eastAsia="Book Antiqua" w:hAnsi="Book Antiqua" w:cs="Book Antiqua"/>
          <w:color w:val="000000" w:themeColor="text1"/>
        </w:rPr>
        <w:t xml:space="preserve">Artificial intelligence; Hepatitis A virus internal ribosomal entry sites; </w:t>
      </w:r>
      <w:r w:rsidR="00B91020" w:rsidRPr="009C2F78">
        <w:rPr>
          <w:rFonts w:ascii="Book Antiqua" w:eastAsia="Book Antiqua" w:hAnsi="Book Antiqua" w:cs="Book Antiqua"/>
          <w:color w:val="000000" w:themeColor="text1"/>
        </w:rPr>
        <w:t>Cap</w:t>
      </w:r>
      <w:r w:rsidRPr="009C2F78">
        <w:rPr>
          <w:rFonts w:ascii="Book Antiqua" w:eastAsia="Book Antiqua" w:hAnsi="Book Antiqua" w:cs="Book Antiqua"/>
          <w:color w:val="000000" w:themeColor="text1"/>
        </w:rPr>
        <w:t>-independent translation; Antivirals; Severe hepatitis A; Glucose-regulated protein 78</w:t>
      </w:r>
    </w:p>
    <w:p w14:paraId="0DEDF2BA" w14:textId="77777777" w:rsidR="00F44877" w:rsidRDefault="00F44877" w:rsidP="00F44877">
      <w:pPr>
        <w:spacing w:line="360" w:lineRule="auto"/>
        <w:jc w:val="both"/>
        <w:rPr>
          <w:lang w:eastAsia="zh-CN"/>
        </w:rPr>
      </w:pPr>
    </w:p>
    <w:p w14:paraId="7C858C07" w14:textId="77777777" w:rsidR="00F44877" w:rsidRPr="00026CB8" w:rsidRDefault="00F44877" w:rsidP="00F4487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A59ED2B" w14:textId="77777777" w:rsidR="00F44877" w:rsidRPr="009C101B" w:rsidRDefault="00F44877" w:rsidP="00F44877">
      <w:pPr>
        <w:spacing w:line="360" w:lineRule="auto"/>
        <w:jc w:val="both"/>
        <w:rPr>
          <w:lang w:eastAsia="zh-CN"/>
        </w:rPr>
      </w:pPr>
    </w:p>
    <w:p w14:paraId="2B9E0876" w14:textId="56EC5194" w:rsidR="00F5773B" w:rsidRDefault="00F44877" w:rsidP="00F44877">
      <w:pPr>
        <w:spacing w:line="360" w:lineRule="auto"/>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C2EBD" w:rsidRPr="009C2F78">
        <w:rPr>
          <w:rFonts w:ascii="Book Antiqua" w:eastAsia="Book Antiqua" w:hAnsi="Book Antiqua" w:cs="Book Antiqua"/>
          <w:color w:val="000000" w:themeColor="text1"/>
        </w:rPr>
        <w:t xml:space="preserve">Kanda T, Sasaki R, Masuzaki R, Moriyama M. Artificial intelligence and machine learning could support drug development for hepatitis A virus internal ribosomal entry sites. </w:t>
      </w:r>
      <w:r w:rsidR="00BC2EBD" w:rsidRPr="009C2F78">
        <w:rPr>
          <w:rFonts w:ascii="Book Antiqua" w:eastAsia="Book Antiqua" w:hAnsi="Book Antiqua" w:cs="Book Antiqua"/>
          <w:i/>
          <w:iCs/>
          <w:color w:val="000000" w:themeColor="text1"/>
        </w:rPr>
        <w:t>Artif Intell Gastroenterol</w:t>
      </w:r>
      <w:r w:rsidR="00BC2EBD" w:rsidRPr="009C2F78">
        <w:rPr>
          <w:rFonts w:ascii="Book Antiqua" w:eastAsia="Book Antiqua" w:hAnsi="Book Antiqua" w:cs="Book Antiqua"/>
          <w:color w:val="000000" w:themeColor="text1"/>
        </w:rPr>
        <w:t xml:space="preserve"> 2021; </w:t>
      </w:r>
      <w:r w:rsidR="00E90200" w:rsidRPr="00E90200">
        <w:rPr>
          <w:rFonts w:ascii="Book Antiqua" w:eastAsia="Book Antiqua" w:hAnsi="Book Antiqua" w:cs="Book Antiqua"/>
          <w:color w:val="000000" w:themeColor="text1"/>
        </w:rPr>
        <w:t xml:space="preserve">2(1): </w:t>
      </w:r>
      <w:r w:rsidR="00F5773B">
        <w:rPr>
          <w:rFonts w:ascii="Book Antiqua" w:eastAsia="Book Antiqua" w:hAnsi="Book Antiqua" w:cs="Book Antiqua"/>
          <w:color w:val="000000" w:themeColor="text1"/>
        </w:rPr>
        <w:t>1</w:t>
      </w:r>
      <w:r w:rsidR="00F5773B">
        <w:rPr>
          <w:rFonts w:asciiTheme="minorEastAsia" w:hAnsiTheme="minorEastAsia" w:cs="Book Antiqua" w:hint="eastAsia"/>
          <w:color w:val="000000" w:themeColor="text1"/>
          <w:lang w:eastAsia="zh-CN"/>
        </w:rPr>
        <w:t>-</w:t>
      </w:r>
      <w:r w:rsidR="00F5773B">
        <w:rPr>
          <w:rFonts w:ascii="Book Antiqua" w:eastAsia="Book Antiqua" w:hAnsi="Book Antiqua" w:cs="Book Antiqua"/>
          <w:color w:val="000000" w:themeColor="text1"/>
        </w:rPr>
        <w:t>9</w:t>
      </w:r>
      <w:r w:rsidR="00E90200" w:rsidRPr="00E90200">
        <w:rPr>
          <w:rFonts w:ascii="Book Antiqua" w:eastAsia="Book Antiqua" w:hAnsi="Book Antiqua" w:cs="Book Antiqua"/>
          <w:color w:val="000000" w:themeColor="text1"/>
        </w:rPr>
        <w:t xml:space="preserve">  </w:t>
      </w:r>
    </w:p>
    <w:p w14:paraId="5FF006FC" w14:textId="77777777" w:rsidR="00F5773B" w:rsidRDefault="00E90200" w:rsidP="008A4B36">
      <w:pPr>
        <w:spacing w:line="360" w:lineRule="auto"/>
        <w:rPr>
          <w:rFonts w:ascii="Book Antiqua" w:eastAsia="Book Antiqua" w:hAnsi="Book Antiqua" w:cs="Book Antiqua"/>
          <w:color w:val="000000" w:themeColor="text1"/>
        </w:rPr>
      </w:pPr>
      <w:r w:rsidRPr="00E90200">
        <w:rPr>
          <w:rFonts w:ascii="Book Antiqua" w:eastAsia="Book Antiqua" w:hAnsi="Book Antiqua" w:cs="Book Antiqua"/>
          <w:color w:val="000000" w:themeColor="text1"/>
        </w:rPr>
        <w:t>URL: https://www.wjgnet.com/2644-3236/full/v2/i1/</w:t>
      </w:r>
      <w:r w:rsidR="00F5773B">
        <w:rPr>
          <w:rFonts w:ascii="Book Antiqua" w:eastAsia="Book Antiqua" w:hAnsi="Book Antiqua" w:cs="Book Antiqua"/>
          <w:color w:val="000000" w:themeColor="text1"/>
        </w:rPr>
        <w:t>1</w:t>
      </w:r>
      <w:r w:rsidRPr="00E90200">
        <w:rPr>
          <w:rFonts w:ascii="Book Antiqua" w:eastAsia="Book Antiqua" w:hAnsi="Book Antiqua" w:cs="Book Antiqua"/>
          <w:color w:val="000000" w:themeColor="text1"/>
        </w:rPr>
        <w:t xml:space="preserve">.htm  </w:t>
      </w:r>
    </w:p>
    <w:p w14:paraId="7522FDAA" w14:textId="247CAAF6" w:rsidR="00E90200" w:rsidRPr="00E90200" w:rsidRDefault="00E90200" w:rsidP="008A4B36">
      <w:pPr>
        <w:spacing w:line="360" w:lineRule="auto"/>
        <w:rPr>
          <w:rFonts w:ascii="Book Antiqua" w:eastAsia="Book Antiqua" w:hAnsi="Book Antiqua" w:cs="Book Antiqua"/>
          <w:color w:val="000000" w:themeColor="text1"/>
        </w:rPr>
      </w:pPr>
      <w:r w:rsidRPr="00E90200">
        <w:rPr>
          <w:rFonts w:ascii="Book Antiqua" w:eastAsia="Book Antiqua" w:hAnsi="Book Antiqua" w:cs="Book Antiqua"/>
          <w:color w:val="000000" w:themeColor="text1"/>
        </w:rPr>
        <w:t>DOI: https://dx.doi.org/10.3571</w:t>
      </w:r>
      <w:r w:rsidR="006E4964">
        <w:rPr>
          <w:rFonts w:ascii="Book Antiqua" w:eastAsia="Book Antiqua" w:hAnsi="Book Antiqua" w:cs="Book Antiqua"/>
          <w:color w:val="000000" w:themeColor="text1"/>
        </w:rPr>
        <w:t>2</w:t>
      </w:r>
      <w:r w:rsidRPr="00E90200">
        <w:rPr>
          <w:rFonts w:ascii="Book Antiqua" w:eastAsia="Book Antiqua" w:hAnsi="Book Antiqua" w:cs="Book Antiqua"/>
          <w:color w:val="000000" w:themeColor="text1"/>
        </w:rPr>
        <w:t>/aig.v2.i1.</w:t>
      </w:r>
      <w:r w:rsidR="00F5773B">
        <w:rPr>
          <w:rFonts w:ascii="Book Antiqua" w:eastAsia="Book Antiqua" w:hAnsi="Book Antiqua" w:cs="Book Antiqua"/>
          <w:color w:val="000000" w:themeColor="text1"/>
        </w:rPr>
        <w:t>1</w:t>
      </w:r>
    </w:p>
    <w:p w14:paraId="76A3EF0D" w14:textId="5A6A5F23" w:rsidR="00A77B3E" w:rsidRPr="009C2F78" w:rsidRDefault="00A77B3E" w:rsidP="009C2F78">
      <w:pPr>
        <w:adjustRightInd w:val="0"/>
        <w:snapToGrid w:val="0"/>
        <w:spacing w:line="360" w:lineRule="auto"/>
        <w:jc w:val="both"/>
        <w:rPr>
          <w:rFonts w:ascii="Book Antiqua" w:hAnsi="Book Antiqua"/>
          <w:color w:val="000000" w:themeColor="text1"/>
        </w:rPr>
      </w:pPr>
    </w:p>
    <w:p w14:paraId="0A16C807" w14:textId="47324D9C"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Core Tip: </w:t>
      </w:r>
      <w:r w:rsidRPr="009C2F78">
        <w:rPr>
          <w:rFonts w:ascii="Book Antiqua" w:eastAsia="Book Antiqua" w:hAnsi="Book Antiqua" w:cs="Book Antiqua"/>
          <w:color w:val="000000" w:themeColor="text1"/>
        </w:rPr>
        <w:t xml:space="preserve">In certain areas, it is difficult to perform universal </w:t>
      </w:r>
      <w:r w:rsidR="00B91020" w:rsidRPr="009C2F78">
        <w:rPr>
          <w:rFonts w:ascii="Book Antiqua" w:eastAsia="Book Antiqua" w:hAnsi="Book Antiqua" w:cs="Book Antiqua"/>
          <w:color w:val="000000" w:themeColor="text1"/>
        </w:rPr>
        <w:t xml:space="preserve">hepatitis A virus (HAV) </w:t>
      </w:r>
      <w:r w:rsidRPr="009C2F78">
        <w:rPr>
          <w:rFonts w:ascii="Book Antiqua" w:eastAsia="Book Antiqua" w:hAnsi="Book Antiqua" w:cs="Book Antiqua"/>
          <w:color w:val="000000" w:themeColor="text1"/>
        </w:rPr>
        <w:t xml:space="preserve">vaccination. We found that several drugs potentially inhibit HAV </w:t>
      </w:r>
      <w:r w:rsidR="00D16E50" w:rsidRPr="009C2F78">
        <w:rPr>
          <w:rFonts w:ascii="Book Antiqua" w:eastAsia="Book Antiqua" w:hAnsi="Book Antiqua" w:cs="Book Antiqua"/>
          <w:color w:val="000000" w:themeColor="text1"/>
        </w:rPr>
        <w:t>internal ribosomal entry sites</w:t>
      </w:r>
      <w:r w:rsidRPr="009C2F78">
        <w:rPr>
          <w:rFonts w:ascii="Book Antiqua" w:eastAsia="Book Antiqua" w:hAnsi="Book Antiqua" w:cs="Book Antiqua"/>
          <w:color w:val="000000" w:themeColor="text1"/>
        </w:rPr>
        <w:t>-dependent translation and HAV replication. After the application of machine and deep learning, artificial intelligence identified effective anti-HAV drugs more quickly, using drug repositioning and drug rescue.</w:t>
      </w:r>
    </w:p>
    <w:p w14:paraId="6E5F61C3" w14:textId="51E9F508" w:rsidR="00A77B3E" w:rsidRPr="009C2F78" w:rsidRDefault="00D16E50" w:rsidP="009C2F78">
      <w:pPr>
        <w:adjustRightInd w:val="0"/>
        <w:snapToGrid w:val="0"/>
        <w:spacing w:line="360" w:lineRule="auto"/>
        <w:jc w:val="both"/>
        <w:rPr>
          <w:rFonts w:ascii="Book Antiqua" w:hAnsi="Book Antiqua"/>
          <w:color w:val="000000" w:themeColor="text1"/>
        </w:rPr>
      </w:pPr>
      <w:r w:rsidRPr="009C2F78">
        <w:rPr>
          <w:rFonts w:ascii="Book Antiqua" w:hAnsi="Book Antiqua"/>
          <w:color w:val="000000" w:themeColor="text1"/>
        </w:rPr>
        <w:br w:type="page"/>
      </w:r>
      <w:r w:rsidR="00BC2EBD" w:rsidRPr="009C2F78">
        <w:rPr>
          <w:rFonts w:ascii="Book Antiqua" w:eastAsia="Book Antiqua" w:hAnsi="Book Antiqua" w:cs="Book Antiqua"/>
          <w:b/>
          <w:caps/>
          <w:color w:val="000000" w:themeColor="text1"/>
          <w:u w:val="single"/>
        </w:rPr>
        <w:lastRenderedPageBreak/>
        <w:t>INTRODUCTION</w:t>
      </w:r>
    </w:p>
    <w:p w14:paraId="26DE7971" w14:textId="77777777" w:rsidR="00A76CFD"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Infection with hepatitis A virus (HAV) can lead to acute hepatitis, occasionally resulting in acute liver failure, which is associated with death or liver transplantation</w:t>
      </w:r>
      <w:r w:rsidRPr="009C2F78">
        <w:rPr>
          <w:rFonts w:ascii="Book Antiqua" w:eastAsia="Book Antiqua" w:hAnsi="Book Antiqua" w:cs="Book Antiqua"/>
          <w:color w:val="000000" w:themeColor="text1"/>
          <w:vertAlign w:val="superscript"/>
        </w:rPr>
        <w:t>[1,2]</w:t>
      </w:r>
      <w:r w:rsidRPr="009C2F78">
        <w:rPr>
          <w:rFonts w:ascii="Book Antiqua" w:eastAsia="Book Antiqua" w:hAnsi="Book Antiqua" w:cs="Book Antiqua"/>
          <w:color w:val="000000" w:themeColor="text1"/>
        </w:rPr>
        <w:t>. In developing countries, HAV generally infects humans in childhood, and people have immunity against HAV without HAV vaccination</w:t>
      </w:r>
      <w:r w:rsidRPr="009C2F78">
        <w:rPr>
          <w:rFonts w:ascii="Book Antiqua" w:eastAsia="Book Antiqua" w:hAnsi="Book Antiqua" w:cs="Book Antiqua"/>
          <w:color w:val="000000" w:themeColor="text1"/>
          <w:vertAlign w:val="superscript"/>
        </w:rPr>
        <w:t>[3]</w:t>
      </w:r>
      <w:r w:rsidRPr="009C2F78">
        <w:rPr>
          <w:rFonts w:ascii="Book Antiqua" w:eastAsia="Book Antiqua" w:hAnsi="Book Antiqua" w:cs="Book Antiqua"/>
          <w:color w:val="000000" w:themeColor="text1"/>
        </w:rPr>
        <w:t>. In India, however, the prevalence of anti-HAV antibodies is lower now in adolescents and young adults (</w:t>
      </w:r>
      <w:r w:rsidR="00A76CFD" w:rsidRPr="009C2F78">
        <w:rPr>
          <w:rFonts w:ascii="Book Antiqua" w:eastAsia="Book Antiqua" w:hAnsi="Book Antiqua" w:cs="Book Antiqua"/>
          <w:color w:val="000000" w:themeColor="text1"/>
        </w:rPr>
        <w:t xml:space="preserve">approximately </w:t>
      </w:r>
      <w:r w:rsidRPr="009C2F78">
        <w:rPr>
          <w:rFonts w:ascii="Book Antiqua" w:eastAsia="Book Antiqua" w:hAnsi="Book Antiqua" w:cs="Book Antiqua"/>
          <w:color w:val="000000" w:themeColor="text1"/>
        </w:rPr>
        <w:t>55% in 5-15 years in India) than before (</w:t>
      </w:r>
      <w:r w:rsidR="00A76CFD" w:rsidRPr="009C2F78">
        <w:rPr>
          <w:rFonts w:ascii="Book Antiqua" w:eastAsia="Book Antiqua" w:hAnsi="Book Antiqua" w:cs="Book Antiqua"/>
          <w:color w:val="000000" w:themeColor="text1"/>
        </w:rPr>
        <w:t xml:space="preserve">approximately </w:t>
      </w:r>
      <w:r w:rsidRPr="009C2F78">
        <w:rPr>
          <w:rFonts w:ascii="Book Antiqua" w:eastAsia="Book Antiqua" w:hAnsi="Book Antiqua" w:cs="Book Antiqua"/>
          <w:color w:val="000000" w:themeColor="text1"/>
        </w:rPr>
        <w:t>90%)</w:t>
      </w:r>
      <w:r w:rsidRPr="009C2F78">
        <w:rPr>
          <w:rFonts w:ascii="Book Antiqua" w:eastAsia="Book Antiqua" w:hAnsi="Book Antiqua" w:cs="Book Antiqua"/>
          <w:color w:val="000000" w:themeColor="text1"/>
          <w:vertAlign w:val="superscript"/>
        </w:rPr>
        <w:t>[3]</w:t>
      </w:r>
      <w:r w:rsidRPr="009C2F78">
        <w:rPr>
          <w:rFonts w:ascii="Book Antiqua" w:eastAsia="Book Antiqua" w:hAnsi="Book Antiqua" w:cs="Book Antiqua"/>
          <w:color w:val="000000" w:themeColor="text1"/>
        </w:rPr>
        <w:t>. In some developed countries where there is no universal vaccination, such as Japan, people have less immunity against HAV than levels observed in the past</w:t>
      </w:r>
      <w:r w:rsidRPr="009C2F78">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rPr>
        <w:t>.</w:t>
      </w:r>
    </w:p>
    <w:p w14:paraId="1D3AFC93" w14:textId="77777777" w:rsidR="009932BC"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HAV infects humans through the fecal-oral route when HAV-contaminated foods and water are ingested</w:t>
      </w:r>
      <w:r w:rsidRPr="009C2F78">
        <w:rPr>
          <w:rFonts w:ascii="Book Antiqua" w:eastAsia="Book Antiqua" w:hAnsi="Book Antiqua" w:cs="Book Antiqua"/>
          <w:color w:val="000000" w:themeColor="text1"/>
          <w:vertAlign w:val="superscript"/>
        </w:rPr>
        <w:t>[6]</w:t>
      </w:r>
      <w:r w:rsidRPr="009C2F78">
        <w:rPr>
          <w:rFonts w:ascii="Book Antiqua" w:eastAsia="Book Antiqua" w:hAnsi="Book Antiqua" w:cs="Book Antiqua"/>
          <w:color w:val="000000" w:themeColor="text1"/>
        </w:rPr>
        <w:t>. Recently, hepatitis A has also been recognized as a sex-transmitted disease</w:t>
      </w:r>
      <w:r w:rsidRPr="009C2F78">
        <w:rPr>
          <w:rFonts w:ascii="Book Antiqua" w:eastAsia="Book Antiqua" w:hAnsi="Book Antiqua" w:cs="Book Antiqua"/>
          <w:color w:val="000000" w:themeColor="text1"/>
          <w:vertAlign w:val="superscript"/>
        </w:rPr>
        <w:t>[7]</w:t>
      </w:r>
      <w:r w:rsidRPr="009C2F78">
        <w:rPr>
          <w:rFonts w:ascii="Book Antiqua" w:eastAsia="Book Antiqua" w:hAnsi="Book Antiqua" w:cs="Book Antiqua"/>
          <w:color w:val="000000" w:themeColor="text1"/>
        </w:rPr>
        <w:t>. Several effective HAV vaccines are available, but they are relatively expensive, and in some countries, it is difficult to perform universal vaccination</w:t>
      </w:r>
      <w:r w:rsidRPr="009C2F78">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rPr>
        <w:t>. Therefore, to prevent severe hepatitis A, it may be better to develop antivirals against HAV</w:t>
      </w:r>
      <w:r w:rsidRPr="009C2F78">
        <w:rPr>
          <w:rFonts w:ascii="Book Antiqua" w:eastAsia="Book Antiqua" w:hAnsi="Book Antiqua" w:cs="Book Antiqua"/>
          <w:color w:val="000000" w:themeColor="text1"/>
          <w:vertAlign w:val="superscript"/>
        </w:rPr>
        <w:t>[8]</w:t>
      </w:r>
      <w:r w:rsidRPr="009C2F78">
        <w:rPr>
          <w:rFonts w:ascii="Book Antiqua" w:eastAsia="Book Antiqua" w:hAnsi="Book Antiqua" w:cs="Book Antiqua"/>
          <w:color w:val="000000" w:themeColor="text1"/>
        </w:rPr>
        <w:t>.</w:t>
      </w:r>
    </w:p>
    <w:p w14:paraId="714501F8" w14:textId="77777777" w:rsidR="009932BC"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Recently, information and communication technology and artificial intelligence (AI) have played roles in daily clinical practice</w:t>
      </w:r>
      <w:r w:rsidRPr="009C2F78">
        <w:rPr>
          <w:rFonts w:ascii="Book Antiqua" w:eastAsia="Book Antiqua" w:hAnsi="Book Antiqua" w:cs="Book Antiqua"/>
          <w:color w:val="000000" w:themeColor="text1"/>
          <w:vertAlign w:val="superscript"/>
        </w:rPr>
        <w:t>[9,10]</w:t>
      </w:r>
      <w:r w:rsidRPr="009C2F78">
        <w:rPr>
          <w:rFonts w:ascii="Book Antiqua" w:eastAsia="Book Antiqua" w:hAnsi="Book Antiqua" w:cs="Book Antiqua"/>
          <w:color w:val="000000" w:themeColor="text1"/>
        </w:rPr>
        <w:t>. AI also plays an important role in drug discovery</w:t>
      </w:r>
      <w:r w:rsidRPr="009C2F78">
        <w:rPr>
          <w:rFonts w:ascii="Book Antiqua" w:eastAsia="Book Antiqua" w:hAnsi="Book Antiqua" w:cs="Book Antiqua"/>
          <w:color w:val="000000" w:themeColor="text1"/>
          <w:vertAlign w:val="superscript"/>
        </w:rPr>
        <w:t>[11]</w:t>
      </w:r>
      <w:r w:rsidRPr="009C2F78">
        <w:rPr>
          <w:rFonts w:ascii="Book Antiqua" w:eastAsia="Book Antiqua" w:hAnsi="Book Antiqua" w:cs="Book Antiqua"/>
          <w:color w:val="000000" w:themeColor="text1"/>
        </w:rPr>
        <w:t xml:space="preserve">. With the progress of machine learning methods and the accumulation of pharmacological data, AI has become a powerful data mining tool in the area of drug discovery, such as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screening, quantitative structure-activity relationship (QSAR) analysis, </w:t>
      </w:r>
      <w:r w:rsidRPr="009C2F78">
        <w:rPr>
          <w:rFonts w:ascii="Book Antiqua" w:eastAsia="Book Antiqua" w:hAnsi="Book Antiqua" w:cs="Book Antiqua"/>
          <w:i/>
          <w:iCs/>
          <w:color w:val="000000" w:themeColor="text1"/>
        </w:rPr>
        <w:t>de novo</w:t>
      </w:r>
      <w:r w:rsidRPr="009C2F78">
        <w:rPr>
          <w:rFonts w:ascii="Book Antiqua" w:eastAsia="Book Antiqua" w:hAnsi="Book Antiqua" w:cs="Book Antiqua"/>
          <w:color w:val="000000" w:themeColor="text1"/>
        </w:rPr>
        <w:t xml:space="preserve"> drug design, and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evaluation of absorption, distribution, metabolism, excretion and toxicity</w:t>
      </w:r>
      <w:r w:rsidRPr="009C2F78">
        <w:rPr>
          <w:rFonts w:ascii="Book Antiqua" w:eastAsia="Book Antiqua" w:hAnsi="Book Antiqua" w:cs="Book Antiqua"/>
          <w:color w:val="000000" w:themeColor="text1"/>
          <w:vertAlign w:val="superscript"/>
        </w:rPr>
        <w:t>[12]</w:t>
      </w:r>
      <w:r w:rsidRPr="009C2F78">
        <w:rPr>
          <w:rFonts w:ascii="Book Antiqua" w:eastAsia="Book Antiqua" w:hAnsi="Book Antiqua" w:cs="Book Antiqua"/>
          <w:color w:val="000000" w:themeColor="text1"/>
        </w:rPr>
        <w:t xml:space="preserve">. </w:t>
      </w:r>
    </w:p>
    <w:p w14:paraId="7620B8D8" w14:textId="30F63B12"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Structure-based drug design is becoming an essential tool for faster, more cost-efficient drug discovery, compared to traditional methods</w:t>
      </w:r>
      <w:r w:rsidRPr="009C2F78">
        <w:rPr>
          <w:rFonts w:ascii="Book Antiqua" w:eastAsia="Book Antiqua" w:hAnsi="Book Antiqua" w:cs="Book Antiqua"/>
          <w:color w:val="000000" w:themeColor="text1"/>
          <w:vertAlign w:val="superscript"/>
        </w:rPr>
        <w:t>[13]</w:t>
      </w:r>
      <w:r w:rsidRPr="009C2F78">
        <w:rPr>
          <w:rFonts w:ascii="Book Antiqua" w:eastAsia="Book Antiqua" w:hAnsi="Book Antiqua" w:cs="Book Antiqua"/>
          <w:color w:val="000000" w:themeColor="text1"/>
        </w:rPr>
        <w:t xml:space="preserve">. The combination of AI and deep learning, which is a family of machine learning models that use artificial neural networks, may be a more powerful tool for drug discovery. The associations of machine learning, deep learning and AI are shown in Figure 1. Moreover, network-based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drug efficacy screening allows us to predict novel drug-disease associations, which may provide us with drug repositioning or drug rescue information</w:t>
      </w:r>
      <w:r w:rsidRPr="009C2F78">
        <w:rPr>
          <w:rFonts w:ascii="Book Antiqua" w:eastAsia="Book Antiqua" w:hAnsi="Book Antiqua" w:cs="Book Antiqua"/>
          <w:color w:val="000000" w:themeColor="text1"/>
          <w:vertAlign w:val="superscript"/>
        </w:rPr>
        <w:t>[14]</w:t>
      </w:r>
      <w:r w:rsidRPr="009C2F78">
        <w:rPr>
          <w:rFonts w:ascii="Book Antiqua" w:eastAsia="Book Antiqua" w:hAnsi="Book Antiqua" w:cs="Book Antiqua"/>
          <w:color w:val="000000" w:themeColor="text1"/>
        </w:rPr>
        <w:t xml:space="preserve">. In this minireview </w:t>
      </w:r>
      <w:r w:rsidRPr="009C2F78">
        <w:rPr>
          <w:rFonts w:ascii="Book Antiqua" w:eastAsia="Book Antiqua" w:hAnsi="Book Antiqua" w:cs="Book Antiqua"/>
          <w:color w:val="000000" w:themeColor="text1"/>
        </w:rPr>
        <w:lastRenderedPageBreak/>
        <w:t>article, we discuss the recent involvement of AI in drug discovery and its application in the development of antivirals against HAV in the near future.</w:t>
      </w:r>
    </w:p>
    <w:p w14:paraId="6060206A" w14:textId="77777777" w:rsidR="00A77B3E" w:rsidRPr="009C2F78" w:rsidRDefault="00A77B3E" w:rsidP="006A1A35">
      <w:pPr>
        <w:adjustRightInd w:val="0"/>
        <w:snapToGrid w:val="0"/>
        <w:spacing w:line="360" w:lineRule="auto"/>
        <w:jc w:val="both"/>
        <w:rPr>
          <w:rFonts w:ascii="Book Antiqua" w:hAnsi="Book Antiqua"/>
          <w:color w:val="000000" w:themeColor="text1"/>
        </w:rPr>
      </w:pPr>
    </w:p>
    <w:p w14:paraId="62C87CB7"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HAV INTERNAL RIBOSOMAL ENTRY SITE-DEPENDENT TRANSLATION AND HAV REPLICATION</w:t>
      </w:r>
    </w:p>
    <w:p w14:paraId="40655C23" w14:textId="0CE37141"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Translation of HAV protein is performed in a cap-independent manner under the control of the internal ribosomal entry site (IRES), which is mainly located at 5' untranslated region (5'UTR)</w:t>
      </w:r>
      <w:r w:rsidRPr="009C2F78">
        <w:rPr>
          <w:rFonts w:ascii="Book Antiqua" w:eastAsia="Book Antiqua" w:hAnsi="Book Antiqua" w:cs="Book Antiqua"/>
          <w:color w:val="000000" w:themeColor="text1"/>
          <w:vertAlign w:val="superscript"/>
        </w:rPr>
        <w:t>[15]</w:t>
      </w:r>
      <w:r w:rsidRPr="009C2F78">
        <w:rPr>
          <w:rFonts w:ascii="Book Antiqua" w:eastAsia="Book Antiqua" w:hAnsi="Book Antiqua" w:cs="Book Antiqua"/>
          <w:color w:val="000000" w:themeColor="text1"/>
        </w:rPr>
        <w:t>. It was reported that the HAV 5'UTR was more than 25-fold less active than the encephalomyocarditis virus IRES in producing translated proteins</w:t>
      </w:r>
      <w:r w:rsidRPr="009C2F78">
        <w:rPr>
          <w:rFonts w:ascii="Book Antiqua" w:eastAsia="Book Antiqua" w:hAnsi="Book Antiqua" w:cs="Book Antiqua"/>
          <w:color w:val="000000" w:themeColor="text1"/>
          <w:vertAlign w:val="superscript"/>
        </w:rPr>
        <w:t>[16]</w:t>
      </w:r>
      <w:r w:rsidRPr="009C2F78">
        <w:rPr>
          <w:rFonts w:ascii="Book Antiqua" w:eastAsia="Book Antiqua" w:hAnsi="Book Antiqua" w:cs="Book Antiqua"/>
          <w:color w:val="000000" w:themeColor="text1"/>
        </w:rPr>
        <w:t>. Thus, the relatively weaker activity of the HAV IRES may be due to a reduced affinity for several cellular translation factors</w:t>
      </w:r>
      <w:r w:rsidRPr="009C2F78">
        <w:rPr>
          <w:rFonts w:ascii="Book Antiqua" w:eastAsia="Book Antiqua" w:hAnsi="Book Antiqua" w:cs="Book Antiqua"/>
          <w:color w:val="000000" w:themeColor="text1"/>
          <w:vertAlign w:val="superscript"/>
        </w:rPr>
        <w:t>[16]</w:t>
      </w:r>
      <w:r w:rsidRPr="009C2F78">
        <w:rPr>
          <w:rFonts w:ascii="Book Antiqua" w:eastAsia="Book Antiqua" w:hAnsi="Book Antiqua" w:cs="Book Antiqua"/>
          <w:color w:val="000000" w:themeColor="text1"/>
        </w:rPr>
        <w:t>. Mutations within the HAV 5'UTR could enhance cap-independent translation in African green monkey kidney BS-C-1 cells</w:t>
      </w:r>
      <w:r w:rsidRPr="009C2F78">
        <w:rPr>
          <w:rFonts w:ascii="Book Antiqua" w:eastAsia="Book Antiqua" w:hAnsi="Book Antiqua" w:cs="Book Antiqua"/>
          <w:color w:val="000000" w:themeColor="text1"/>
          <w:vertAlign w:val="superscript"/>
        </w:rPr>
        <w:t>[17]</w:t>
      </w:r>
      <w:r w:rsidRPr="009C2F78">
        <w:rPr>
          <w:rFonts w:ascii="Book Antiqua" w:eastAsia="Book Antiqua" w:hAnsi="Book Antiqua" w:cs="Book Antiqua"/>
          <w:color w:val="000000" w:themeColor="text1"/>
        </w:rPr>
        <w:t>. Further studies are needed to identify specific mutations related to the severity of hepatitis A</w:t>
      </w:r>
      <w:r w:rsidRPr="009C2F78">
        <w:rPr>
          <w:rFonts w:ascii="Book Antiqua" w:eastAsia="Book Antiqua" w:hAnsi="Book Antiqua" w:cs="Book Antiqua"/>
          <w:color w:val="000000" w:themeColor="text1"/>
          <w:vertAlign w:val="superscript"/>
        </w:rPr>
        <w:t>[18-20]</w:t>
      </w:r>
      <w:r w:rsidRPr="009C2F78">
        <w:rPr>
          <w:rFonts w:ascii="Book Antiqua" w:eastAsia="Book Antiqua" w:hAnsi="Book Antiqua" w:cs="Book Antiqua"/>
          <w:color w:val="000000" w:themeColor="text1"/>
        </w:rPr>
        <w:t>, although among HAV strains from HAV outbreaks in Korea and Japan, we did not identify specific mutations associated with severe hepatitis A in the HAV 5'UTR</w:t>
      </w:r>
      <w:r w:rsidRPr="009C2F78">
        <w:rPr>
          <w:rFonts w:ascii="Book Antiqua" w:eastAsia="Book Antiqua" w:hAnsi="Book Antiqua" w:cs="Book Antiqua"/>
          <w:color w:val="000000" w:themeColor="text1"/>
          <w:vertAlign w:val="superscript"/>
        </w:rPr>
        <w:t>[21,22]</w:t>
      </w:r>
      <w:r w:rsidRPr="009C2F78">
        <w:rPr>
          <w:rFonts w:ascii="Book Antiqua" w:eastAsia="Book Antiqua" w:hAnsi="Book Antiqua" w:cs="Book Antiqua"/>
          <w:color w:val="000000" w:themeColor="text1"/>
        </w:rPr>
        <w:t>. We also demonstrated that the inhibition of HAV IRES activity by small interfering RNAs (siRNAs) targeting HAV IRES could lead to the suppression of HAV replication</w:t>
      </w:r>
      <w:r w:rsidRPr="009C2F78">
        <w:rPr>
          <w:rFonts w:ascii="Book Antiqua" w:eastAsia="Book Antiqua" w:hAnsi="Book Antiqua" w:cs="Book Antiqua"/>
          <w:color w:val="000000" w:themeColor="text1"/>
          <w:vertAlign w:val="superscript"/>
        </w:rPr>
        <w:t>[23]</w:t>
      </w:r>
      <w:r w:rsidRPr="009C2F78">
        <w:rPr>
          <w:rFonts w:ascii="Book Antiqua" w:eastAsia="Book Antiqua" w:hAnsi="Book Antiqua" w:cs="Book Antiqua"/>
          <w:color w:val="000000" w:themeColor="text1"/>
        </w:rPr>
        <w:t>. Therefore, HAV IRES is an attractive target of antivirals against HAV.</w:t>
      </w:r>
    </w:p>
    <w:p w14:paraId="0B8C7486"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65EE8E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IMPORTANT FACTORS INTERACTING WITH HAV IRES</w:t>
      </w:r>
    </w:p>
    <w:p w14:paraId="45BC0EE0" w14:textId="77777777" w:rsidR="001D3342"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HAV is a nonenveloped and enveloped positive-sense single-stranded RNA virus approximately 7.6 kb in length</w:t>
      </w:r>
      <w:r w:rsidRPr="009C2F78">
        <w:rPr>
          <w:rFonts w:ascii="Book Antiqua" w:eastAsia="Book Antiqua" w:hAnsi="Book Antiqua" w:cs="Book Antiqua"/>
          <w:color w:val="000000" w:themeColor="text1"/>
          <w:vertAlign w:val="superscript"/>
        </w:rPr>
        <w:t>[24,25]</w:t>
      </w:r>
      <w:r w:rsidRPr="009C2F78">
        <w:rPr>
          <w:rFonts w:ascii="Book Antiqua" w:eastAsia="Book Antiqua" w:hAnsi="Book Antiqua" w:cs="Book Antiqua"/>
          <w:color w:val="000000" w:themeColor="text1"/>
        </w:rPr>
        <w:t>. The HAV genome includes a 5′UTR, one open reading frame encoding structural (VP4, VP2, VP3, VP1 and 2A) and nonstructural proteins (2B, 2C, 3A, 3B, 3C and 3D) and a 3′UTR</w:t>
      </w:r>
      <w:r w:rsidRPr="009C2F78">
        <w:rPr>
          <w:rFonts w:ascii="Book Antiqua" w:eastAsia="Book Antiqua" w:hAnsi="Book Antiqua" w:cs="Book Antiqua"/>
          <w:color w:val="000000" w:themeColor="text1"/>
          <w:vertAlign w:val="superscript"/>
        </w:rPr>
        <w:t>[26]</w:t>
      </w:r>
      <w:r w:rsidRPr="009C2F78">
        <w:rPr>
          <w:rFonts w:ascii="Book Antiqua" w:eastAsia="Book Antiqua" w:hAnsi="Book Antiqua" w:cs="Book Antiqua"/>
          <w:color w:val="000000" w:themeColor="text1"/>
        </w:rPr>
        <w:t>.</w:t>
      </w:r>
    </w:p>
    <w:p w14:paraId="5F583849" w14:textId="31517D0B" w:rsidR="00286105"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Among HAV proteins, HAV proteinase 3C suppressed HAV IRES-dependent translation</w:t>
      </w:r>
      <w:r w:rsidRPr="009C2F78">
        <w:rPr>
          <w:rFonts w:ascii="Book Antiqua" w:eastAsia="Book Antiqua" w:hAnsi="Book Antiqua" w:cs="Book Antiqua"/>
          <w:color w:val="000000" w:themeColor="text1"/>
          <w:vertAlign w:val="superscript"/>
        </w:rPr>
        <w:t>[27]</w:t>
      </w:r>
      <w:r w:rsidRPr="009C2F78">
        <w:rPr>
          <w:rFonts w:ascii="Book Antiqua" w:eastAsia="Book Antiqua" w:hAnsi="Book Antiqua" w:cs="Book Antiqua"/>
          <w:color w:val="000000" w:themeColor="text1"/>
        </w:rPr>
        <w:t>. Furthermore, HAV 3C cleaves the polypyrimidine tract-binding protein (PTB), which interacts with the HAV IRES</w:t>
      </w:r>
      <w:r w:rsidRPr="009C2F78">
        <w:rPr>
          <w:rFonts w:ascii="Book Antiqua" w:eastAsia="Book Antiqua" w:hAnsi="Book Antiqua" w:cs="Book Antiqua"/>
          <w:color w:val="000000" w:themeColor="text1"/>
          <w:vertAlign w:val="superscript"/>
        </w:rPr>
        <w:t>[27,28]</w:t>
      </w:r>
      <w:r w:rsidRPr="009C2F78">
        <w:rPr>
          <w:rFonts w:ascii="Book Antiqua" w:eastAsia="Book Antiqua" w:hAnsi="Book Antiqua" w:cs="Book Antiqua"/>
          <w:color w:val="000000" w:themeColor="text1"/>
        </w:rPr>
        <w:t>. Among host proteins, autoantigen La</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27</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glyceraldehyde-3-phosphate dehydrogenase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29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PTB</w:t>
      </w:r>
      <w:r w:rsidRPr="009C2F78">
        <w:rPr>
          <w:rFonts w:ascii="Book Antiqua" w:eastAsia="Book Antiqua" w:hAnsi="Book Antiqua" w:cs="Book Antiqua"/>
          <w:color w:val="000000" w:themeColor="text1"/>
          <w:vertAlign w:val="superscript"/>
        </w:rPr>
        <w:t>[28]</w:t>
      </w:r>
      <w:r w:rsidRPr="009C2F78">
        <w:rPr>
          <w:rFonts w:ascii="Book Antiqua" w:eastAsia="Book Antiqua" w:hAnsi="Book Antiqua" w:cs="Book Antiqua"/>
          <w:color w:val="000000" w:themeColor="text1"/>
        </w:rPr>
        <w:t>, poly(C) binding protein 2</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lastRenderedPageBreak/>
        <w:t>polyadenylate-binding protein-1</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eukaryotic translation initiation factor 4E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32</w:t>
      </w:r>
      <w:r w:rsidRPr="009C2F78">
        <w:rPr>
          <w:rFonts w:ascii="Book Antiqua" w:eastAsia="Book Antiqua" w:hAnsi="Book Antiqua" w:cs="Book Antiqua"/>
          <w:color w:val="000000" w:themeColor="text1"/>
          <w:vertAlign w:val="superscript"/>
        </w:rPr>
        <w:t xml:space="preserve">] </w:t>
      </w:r>
      <w:r w:rsidRPr="009C2F78">
        <w:rPr>
          <w:rFonts w:ascii="Book Antiqua" w:eastAsia="Book Antiqua" w:hAnsi="Book Antiqua" w:cs="Book Antiqua"/>
          <w:color w:val="000000" w:themeColor="text1"/>
        </w:rPr>
        <w:t>and eukaryotic translation initiation factor 4E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33</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are reported to interact with HAV IRES.</w:t>
      </w:r>
    </w:p>
    <w:p w14:paraId="35AD9FAA" w14:textId="4589EB6C"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We demonstrated that siRNA against cellular cofactors for HAV IRES could inhibit HAV IRES-mediated translation</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The Janus kinase (JAK) inhibitors SD-1029 and AG490 could reduce La protein expression and inhibit HAV IRES-mediated translation as well as HAV replication</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The JAK2 inhibitor AZD1480 could reduce La expression and inhibit HAV IRES activity and HAV replication</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We also reported that the sirtuin inhibitor sirtinol</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36</w:t>
      </w:r>
      <w:r w:rsidRPr="009C2F78">
        <w:rPr>
          <w:rFonts w:ascii="Book Antiqua" w:eastAsia="Book Antiqua" w:hAnsi="Book Antiqua" w:cs="Book Antiqua"/>
          <w:color w:val="000000" w:themeColor="text1"/>
          <w:vertAlign w:val="superscript"/>
        </w:rPr>
        <w:t>]</w:t>
      </w:r>
      <w:r w:rsidR="00C6021F"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and broad-spectrum antivirals, such as amantadine</w:t>
      </w:r>
      <w:r w:rsidRPr="009C2F78">
        <w:rPr>
          <w:rFonts w:ascii="Book Antiqua" w:eastAsia="Book Antiqua" w:hAnsi="Book Antiqua" w:cs="Book Antiqua"/>
          <w:color w:val="000000" w:themeColor="text1"/>
          <w:vertAlign w:val="superscript"/>
        </w:rPr>
        <w:t>[20,</w:t>
      </w:r>
      <w:r w:rsidR="00791C50">
        <w:rPr>
          <w:rFonts w:ascii="Book Antiqua" w:eastAsia="Book Antiqua" w:hAnsi="Book Antiqua" w:cs="Book Antiqua"/>
          <w:color w:val="000000" w:themeColor="text1"/>
          <w:vertAlign w:val="superscript"/>
        </w:rPr>
        <w:t>37</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interferon-alpha</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and interferon-lambda (interleukin-29)</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could inhibit HAV IRES-mediated translation and HAV replication. Thus, </w:t>
      </w:r>
      <w:r w:rsidRPr="009C2F78">
        <w:rPr>
          <w:rFonts w:ascii="Book Antiqua" w:eastAsia="Book Antiqua" w:hAnsi="Book Antiqua" w:cs="Book Antiqua"/>
          <w:i/>
          <w:iCs/>
          <w:color w:val="000000" w:themeColor="text1"/>
        </w:rPr>
        <w:t>in vitro</w:t>
      </w:r>
      <w:r w:rsidRPr="009C2F78">
        <w:rPr>
          <w:rFonts w:ascii="Book Antiqua" w:eastAsia="Book Antiqua" w:hAnsi="Book Antiqua" w:cs="Book Antiqua"/>
          <w:color w:val="000000" w:themeColor="text1"/>
        </w:rPr>
        <w:t xml:space="preserve"> drug screening with human hepatocytes revealed that several drugs inhibit HAV replication through the inhibition of HAV IRES activity. </w:t>
      </w:r>
    </w:p>
    <w:p w14:paraId="60D3068F" w14:textId="615E7375" w:rsidR="00A77B3E" w:rsidRPr="009C2F78" w:rsidRDefault="00A77B3E" w:rsidP="009C2F78">
      <w:pPr>
        <w:adjustRightInd w:val="0"/>
        <w:snapToGrid w:val="0"/>
        <w:spacing w:line="360" w:lineRule="auto"/>
        <w:jc w:val="both"/>
        <w:rPr>
          <w:rFonts w:ascii="Book Antiqua" w:hAnsi="Book Antiqua"/>
          <w:color w:val="000000" w:themeColor="text1"/>
          <w:lang w:eastAsia="zh-CN"/>
        </w:rPr>
      </w:pPr>
    </w:p>
    <w:p w14:paraId="1AAF98EF" w14:textId="7F8034A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BIOINFORMATICS AND CHEMINFORMATICS</w:t>
      </w:r>
    </w:p>
    <w:p w14:paraId="5D8ABB66" w14:textId="033C23C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Bioinformatics and cheminformatics are newer strategies to screen and design various drug candidates for HAV, as performed for severe acute respiratory syndrome coronavirus 2</w:t>
      </w:r>
      <w:r w:rsidR="00C6021F"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in the coronavirus disease 2019-era</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Das </w:t>
      </w:r>
      <w:r w:rsidRPr="009C2F78">
        <w:rPr>
          <w:rFonts w:ascii="Book Antiqua" w:eastAsia="Book Antiqua" w:hAnsi="Book Antiqua" w:cs="Book Antiqua"/>
          <w:i/>
          <w:iCs/>
          <w:color w:val="000000" w:themeColor="text1"/>
        </w:rPr>
        <w:t>et al</w:t>
      </w:r>
      <w:r w:rsidR="00C6021F"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41</w:t>
      </w:r>
      <w:r w:rsidR="00C6021F"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performed a genome-wide CRISPR screen and identified</w:t>
      </w:r>
      <w:r w:rsidRPr="009C2F78">
        <w:rPr>
          <w:rFonts w:ascii="Book Antiqua" w:eastAsia="Book Antiqua" w:hAnsi="Book Antiqua" w:cs="Book Antiqua"/>
          <w:color w:val="000000" w:themeColor="text1"/>
          <w:shd w:val="clear" w:color="auto" w:fill="FFFFFF"/>
        </w:rPr>
        <w:t xml:space="preserve"> 39 candidate </w:t>
      </w:r>
      <w:r w:rsidRPr="009C2F78">
        <w:rPr>
          <w:rFonts w:ascii="Book Antiqua" w:eastAsia="Book Antiqua" w:hAnsi="Book Antiqua" w:cs="Book Antiqua"/>
          <w:color w:val="000000" w:themeColor="text1"/>
        </w:rPr>
        <w:t xml:space="preserve">essential </w:t>
      </w:r>
      <w:r w:rsidRPr="009C2F78">
        <w:rPr>
          <w:rFonts w:ascii="Book Antiqua" w:eastAsia="Book Antiqua" w:hAnsi="Book Antiqua" w:cs="Book Antiqua"/>
          <w:color w:val="000000" w:themeColor="text1"/>
          <w:shd w:val="clear" w:color="auto" w:fill="FFFFFF"/>
        </w:rPr>
        <w:t>hepatovirus host factors</w:t>
      </w:r>
      <w:r w:rsidRPr="009C2F78">
        <w:rPr>
          <w:rFonts w:ascii="Book Antiqua" w:eastAsia="Book Antiqua" w:hAnsi="Book Antiqua" w:cs="Book Antiqua"/>
          <w:color w:val="000000" w:themeColor="text1"/>
        </w:rPr>
        <w:t>, which form 4 clusters as follows: HAV IRES-mediated translation, chaperone activity, mitochondrial integrity and ganglioside synthesis</w:t>
      </w:r>
      <w:r w:rsidRPr="009C2F78">
        <w:rPr>
          <w:rFonts w:ascii="Book Antiqua" w:eastAsia="Book Antiqua" w:hAnsi="Book Antiqua" w:cs="Book Antiqua"/>
          <w:color w:val="000000" w:themeColor="text1"/>
          <w:shd w:val="clear" w:color="auto" w:fill="FFFFFF"/>
        </w:rPr>
        <w:t>.</w:t>
      </w:r>
      <w:r w:rsidRPr="009C2F78">
        <w:rPr>
          <w:rFonts w:ascii="Book Antiqua" w:eastAsia="Book Antiqua" w:hAnsi="Book Antiqua" w:cs="Book Antiqua"/>
          <w:color w:val="000000" w:themeColor="text1"/>
        </w:rPr>
        <w:t xml:space="preserve"> This strategy seems to result in the generation of more accurate approaches and techniques for HAV management.</w:t>
      </w:r>
    </w:p>
    <w:p w14:paraId="2E442933"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7ED47A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STRUCTURE-BASED DRUG DESIGN</w:t>
      </w:r>
    </w:p>
    <w:p w14:paraId="34E24EAC"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Crystallization of HAV IRES and formation of its drug modification</w:t>
      </w:r>
    </w:p>
    <w:p w14:paraId="1AD662C5" w14:textId="57FE7101" w:rsidR="001541F8"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HAV needs a protease called HAV 3C protease to form its viral replication complex. X-ray structures were reported for HAV 3C protease with HAV 3C protease inhibitor </w:t>
      </w:r>
      <w:r w:rsidRPr="009C2F78">
        <w:rPr>
          <w:rFonts w:ascii="Book Antiqua" w:eastAsia="Book Antiqua" w:hAnsi="Book Antiqua" w:cs="Book Antiqua"/>
          <w:i/>
          <w:iCs/>
          <w:color w:val="000000" w:themeColor="text1"/>
        </w:rPr>
        <w:t>N</w:t>
      </w:r>
      <w:r w:rsidRPr="009C2F78">
        <w:rPr>
          <w:rFonts w:ascii="Book Antiqua" w:eastAsia="Book Antiqua" w:hAnsi="Book Antiqua" w:cs="Book Antiqua"/>
          <w:color w:val="000000" w:themeColor="text1"/>
        </w:rPr>
        <w:t>-benzyloxycarbonyl-l-serine-β-lactone (1a), resulting in a lead compound that was further developed to produce a potent inhibitor of HAV 3C protease through the alkylation of the sulfur atom at the active site Cys172</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Furthermore, soaking </w:t>
      </w:r>
      <w:r w:rsidRPr="009C2F78">
        <w:rPr>
          <w:rFonts w:ascii="Book Antiqua" w:eastAsia="Book Antiqua" w:hAnsi="Book Antiqua" w:cs="Book Antiqua"/>
          <w:i/>
          <w:iCs/>
          <w:color w:val="000000" w:themeColor="text1"/>
        </w:rPr>
        <w:t>N</w:t>
      </w:r>
      <w:r w:rsidRPr="009C2F78">
        <w:rPr>
          <w:rFonts w:ascii="Book Antiqua" w:eastAsia="Book Antiqua" w:hAnsi="Book Antiqua" w:cs="Book Antiqua"/>
          <w:color w:val="000000" w:themeColor="text1"/>
        </w:rPr>
        <w:t>-iodoacetyl-valine-</w:t>
      </w:r>
      <w:r w:rsidRPr="009C2F78">
        <w:rPr>
          <w:rFonts w:ascii="Book Antiqua" w:eastAsia="Book Antiqua" w:hAnsi="Book Antiqua" w:cs="Book Antiqua"/>
          <w:color w:val="000000" w:themeColor="text1"/>
        </w:rPr>
        <w:lastRenderedPageBreak/>
        <w:t>phenylalanine-amide, which inhibited HAV 3C protease activity, into HAV 3C–1a crystals through the modification of His102 N</w:t>
      </w:r>
      <w:r w:rsidRPr="009C2F78">
        <w:rPr>
          <w:rFonts w:ascii="Book Antiqua" w:eastAsia="Book Antiqua" w:hAnsi="Book Antiqua" w:cs="Book Antiqua"/>
          <w:color w:val="000000" w:themeColor="text1"/>
          <w:vertAlign w:val="superscript"/>
        </w:rPr>
        <w:t>ε2</w:t>
      </w:r>
      <w:r w:rsidRPr="009C2F78">
        <w:rPr>
          <w:rFonts w:ascii="Book Antiqua" w:eastAsia="Book Antiqua" w:hAnsi="Book Antiqua" w:cs="Book Antiqua"/>
          <w:color w:val="000000" w:themeColor="text1"/>
        </w:rPr>
        <w:t>-alkylated protein could lead to the successful utilization of this new crystal form in the study of enzyme–inhibitor interactions in the proteolytic active site</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In general, antivirals are used after hepatitis virus infects the liver. It may be better to prevent infection rather than to treat HAV.</w:t>
      </w:r>
    </w:p>
    <w:p w14:paraId="7D9FB169" w14:textId="57421E23"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Koirala </w:t>
      </w:r>
      <w:r w:rsidRPr="009C2F78">
        <w:rPr>
          <w:rFonts w:ascii="Book Antiqua" w:eastAsia="Book Antiqua" w:hAnsi="Book Antiqua" w:cs="Book Antiqua"/>
          <w:i/>
          <w:iCs/>
          <w:color w:val="000000" w:themeColor="text1"/>
        </w:rPr>
        <w:t>et al</w:t>
      </w:r>
      <w:r w:rsidR="001541F8"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43</w:t>
      </w:r>
      <w:r w:rsidR="001541F8"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also reported a 2.84-Å resolution crystal structure of HAV IRES domain V in complex with a synthetic antibody fragment - a crystallization chaperone. This is useful for drug repositioning to compare other picornaviral HAV structures with those of HAV.</w:t>
      </w:r>
    </w:p>
    <w:p w14:paraId="7265F9E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D3147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AI AND MACHINE LEARNING</w:t>
      </w:r>
    </w:p>
    <w:p w14:paraId="5F184F0C" w14:textId="5056353B" w:rsidR="007545F2"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AI and machine learning can contribute to drug development for viral infection by improving the speed and efficiency of repurposing and proposing new potent molecules to inhibit viral replication</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Both AI and machine learning can also be employed to make network-based predictions of drug-target interactions</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or associations between gene expression and HAV infection</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This information is crucial to feed into AI and machine learning systems for the development of potent anti-HAV drugs. Although new drug discovery typically takes more than 10 years</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this method may be useful for drug repositioning and drug rescue, which allows us to develop anti-HAV drugs more quickly. For example, the hepatitis C virus (HCV) NS5B polymerase inhibitor sofosbuvir and its derivatives could suppress HAV replication</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47</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70B4B254" w14:textId="01732AB2"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Many human proteins are involved in viral replication and pathogenesis</w:t>
      </w:r>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48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The advantage of host-targeted antivirals is that the target is abundant. Another advantage is that they are less prone to resistance than those directly targeting the virus</w:t>
      </w:r>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49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We</w:t>
      </w:r>
      <w:r w:rsidR="00C079EA" w:rsidRPr="009C2F78">
        <w:rPr>
          <w:rFonts w:ascii="Book Antiqua" w:eastAsia="Book Antiqua" w:hAnsi="Book Antiqua" w:cs="Book Antiqua"/>
          <w:color w:val="000000" w:themeColor="text1"/>
        </w:rPr>
        <w:t xml:space="preserve"> </w:t>
      </w:r>
      <w:r w:rsidR="00C079EA" w:rsidRPr="00903C94">
        <w:rPr>
          <w:rFonts w:ascii="Book Antiqua" w:eastAsia="Book Antiqua" w:hAnsi="Book Antiqua" w:cs="Book Antiqua"/>
          <w:color w:val="000000" w:themeColor="text1"/>
        </w:rPr>
        <w:t>and others</w:t>
      </w:r>
      <w:r w:rsidRPr="009C2F78">
        <w:rPr>
          <w:rFonts w:ascii="Book Antiqua" w:eastAsia="Book Antiqua" w:hAnsi="Book Antiqua" w:cs="Book Antiqua"/>
          <w:color w:val="000000" w:themeColor="text1"/>
        </w:rPr>
        <w:t xml:space="preserve"> also reported that host-targeted antivirals are useful for the suppression of HAV replication</w:t>
      </w:r>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35</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50</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53</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We would like to apply AI, machine learning and deep learning methods for drug repositioning and rescue to discover anti-HAV drug candidates (Figure 2). AI, machine learning and deep learning methods may also be useful for the avoidance of drug side effects.</w:t>
      </w:r>
    </w:p>
    <w:p w14:paraId="5F2A2B7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FD14951" w14:textId="0B8B2F26"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MACHINE LEARNING AND DRUG DEVELOPMENT FOR HEPATITIS VIRUSES AND GLUCOSE-REGULATED PROTEIN 78</w:t>
      </w:r>
    </w:p>
    <w:p w14:paraId="4AF69C44" w14:textId="7CC4AD53"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Hepatitis B virus</w:t>
      </w:r>
    </w:p>
    <w:p w14:paraId="745B5BE5" w14:textId="371102C6" w:rsidR="007C5088"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Qureshi </w:t>
      </w:r>
      <w:r w:rsidRPr="009C2F78">
        <w:rPr>
          <w:rFonts w:ascii="Book Antiqua" w:eastAsia="Book Antiqua" w:hAnsi="Book Antiqua" w:cs="Book Antiqua"/>
          <w:i/>
          <w:iCs/>
          <w:color w:val="000000" w:themeColor="text1"/>
        </w:rPr>
        <w:t>et al</w:t>
      </w:r>
      <w:r w:rsidR="00566D9C" w:rsidRPr="009C2F78">
        <w:rPr>
          <w:rFonts w:ascii="Book Antiqua" w:eastAsia="Book Antiqua" w:hAnsi="Book Antiqua" w:cs="Book Antiqua"/>
          <w:color w:val="000000" w:themeColor="text1"/>
          <w:vertAlign w:val="superscript"/>
        </w:rPr>
        <w:t>[</w:t>
      </w:r>
      <w:r w:rsidR="00407F11">
        <w:rPr>
          <w:rFonts w:ascii="Book Antiqua" w:eastAsia="Book Antiqua" w:hAnsi="Book Antiqua" w:cs="Book Antiqua"/>
          <w:color w:val="000000" w:themeColor="text1"/>
          <w:vertAlign w:val="superscript"/>
        </w:rPr>
        <w:t>54</w:t>
      </w:r>
      <w:r w:rsidR="00566D9C"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developed virus-specific as well as general QSAR models and computed approximately 18000 chemical descriptors (1D, 2D and 3D), including geometric, constitutional, electrostatic, topological, hydrophobic and binary fingerprints, using PaDEL, an open</w:t>
      </w:r>
      <w:r w:rsidRPr="009C2F78">
        <w:rPr>
          <w:rFonts w:ascii="宋体" w:eastAsia="宋体" w:hAnsi="宋体" w:cs="宋体" w:hint="eastAsia"/>
          <w:color w:val="000000" w:themeColor="text1"/>
        </w:rPr>
        <w:t>‐</w:t>
      </w:r>
      <w:r w:rsidRPr="009C2F78">
        <w:rPr>
          <w:rFonts w:ascii="Book Antiqua" w:eastAsia="Book Antiqua" w:hAnsi="Book Antiqua" w:cs="Book Antiqua"/>
          <w:color w:val="000000" w:themeColor="text1"/>
        </w:rPr>
        <w:t>source software to calculate molecular descriptors and fingerprints</w:t>
      </w:r>
      <w:r w:rsidRPr="009C2F78">
        <w:rPr>
          <w:rFonts w:ascii="Book Antiqua" w:eastAsia="Book Antiqua" w:hAnsi="Book Antiqua" w:cs="Book Antiqua"/>
          <w:color w:val="000000" w:themeColor="text1"/>
          <w:vertAlign w:val="superscript"/>
        </w:rPr>
        <w:t>[</w:t>
      </w:r>
      <w:r w:rsidR="005C22D0">
        <w:rPr>
          <w:rFonts w:ascii="Book Antiqua" w:eastAsia="Book Antiqua" w:hAnsi="Book Antiqua" w:cs="Book Antiqua"/>
          <w:color w:val="000000" w:themeColor="text1"/>
          <w:vertAlign w:val="superscript"/>
        </w:rPr>
        <w:t>5</w:t>
      </w:r>
      <w:r w:rsidR="00407F11">
        <w:rPr>
          <w:rFonts w:ascii="Book Antiqua" w:eastAsia="Book Antiqua" w:hAnsi="Book Antiqua" w:cs="Book Antiqua"/>
          <w:color w:val="000000" w:themeColor="text1"/>
          <w:vertAlign w:val="superscript"/>
        </w:rPr>
        <w:t>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They also employed SVMlight software (</w:t>
      </w:r>
      <w:r w:rsidR="007545F2" w:rsidRPr="009C2F78">
        <w:rPr>
          <w:rFonts w:ascii="Book Antiqua" w:eastAsia="Book Antiqua" w:hAnsi="Book Antiqua" w:cs="Book Antiqua"/>
          <w:color w:val="000000" w:themeColor="text1"/>
        </w:rPr>
        <w:t xml:space="preserve">Freely </w:t>
      </w:r>
      <w:r w:rsidRPr="009C2F78">
        <w:rPr>
          <w:rFonts w:ascii="Book Antiqua" w:eastAsia="Book Antiqua" w:hAnsi="Book Antiqua" w:cs="Book Antiqua"/>
          <w:color w:val="000000" w:themeColor="text1"/>
        </w:rPr>
        <w:t xml:space="preserve">available at http://svmlight.joachims.org) for machine learning. After attribute selection, there were 15 relevant descriptors for HBV. Arora </w:t>
      </w:r>
      <w:r w:rsidRPr="009C2F78">
        <w:rPr>
          <w:rFonts w:ascii="Book Antiqua" w:eastAsia="Book Antiqua" w:hAnsi="Book Antiqua" w:cs="Book Antiqua"/>
          <w:i/>
          <w:iCs/>
          <w:color w:val="000000" w:themeColor="text1"/>
        </w:rPr>
        <w:t>et al</w:t>
      </w:r>
      <w:r w:rsidR="007545F2" w:rsidRPr="009C2F78">
        <w:rPr>
          <w:rFonts w:ascii="Book Antiqua" w:eastAsia="Book Antiqua" w:hAnsi="Book Antiqua" w:cs="Book Antiqua"/>
          <w:color w:val="000000" w:themeColor="text1"/>
          <w:vertAlign w:val="superscript"/>
        </w:rPr>
        <w:t>[</w:t>
      </w:r>
      <w:r w:rsidR="00407F11">
        <w:rPr>
          <w:rFonts w:ascii="Book Antiqua" w:eastAsia="Book Antiqua" w:hAnsi="Book Antiqua" w:cs="Book Antiqua"/>
          <w:color w:val="000000" w:themeColor="text1"/>
          <w:vertAlign w:val="superscript"/>
        </w:rPr>
        <w:t>55</w:t>
      </w:r>
      <w:r w:rsidR="007545F2"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performed a QSAR study based on a series of anti</w:t>
      </w:r>
      <w:r w:rsidRPr="009C2F78">
        <w:rPr>
          <w:rFonts w:ascii="Book Antiqua" w:eastAsia="Book Antiqua" w:hAnsi="Book Antiqua" w:cs="Book Antiqua"/>
          <w:color w:val="000000" w:themeColor="text1"/>
        </w:rPr>
        <w:softHyphen/>
      </w:r>
      <w:r w:rsidR="00A2260B"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hepatitis B virus (HBV) agents, namely, a series of novel bis(L</w:t>
      </w:r>
      <w:r w:rsidRPr="009C2F78">
        <w:rPr>
          <w:rFonts w:ascii="Book Antiqua" w:eastAsia="Book Antiqua" w:hAnsi="Book Antiqua" w:cs="Book Antiqua"/>
          <w:color w:val="000000" w:themeColor="text1"/>
        </w:rPr>
        <w:softHyphen/>
        <w:t>amino acid) ester prodrugs of 9</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[2</w:t>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r>
      <w:r w:rsidRPr="009C2F78">
        <w:rPr>
          <w:rFonts w:ascii="Book Antiqua" w:eastAsia="Book Antiqua" w:hAnsi="Book Antiqua" w:cs="Book Antiqua"/>
          <w:color w:val="000000" w:themeColor="text1"/>
        </w:rPr>
        <w:softHyphen/>
        <w:t>(phosphonomethoxy)ethyl]adenine, a similar series of compounds comprising 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amino</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6</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arylthio</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9</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(phosphonoethoxy)ethyl] purine bis(2,2,2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trifluoroethyl) esters, and a series of 1</w:t>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isopropylsulfonyl</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2</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amine benzimidazoles. These systems may also be useful for the development of anti-HAV drugs.</w:t>
      </w:r>
    </w:p>
    <w:p w14:paraId="2DC05011" w14:textId="5B7C06DA"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Deep learning has been applied for the diagnosis and treatment of chronic hepatitis B. Compared with two-dimensional shared wave elastography and fibrosis biomarkers, deep learning radiomics of elastography is valuable and practical as a noninvasive accurate diagnosis of liver fibrosis in HBV-infected patients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56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Analysis of the quasispecies pattern of HBV genomes by the combination of deep sequencing and machine learning is also useful for the prediction of </w:t>
      </w:r>
      <w:r w:rsidR="00F237A4" w:rsidRPr="009C2F78">
        <w:rPr>
          <w:rFonts w:ascii="Book Antiqua" w:eastAsia="Book Antiqua" w:hAnsi="Book Antiqua" w:cs="Book Antiqua"/>
          <w:color w:val="000000" w:themeColor="text1"/>
        </w:rPr>
        <w:t>hepatocellular carcinoma (</w:t>
      </w:r>
      <w:r w:rsidRPr="009C2F78">
        <w:rPr>
          <w:rFonts w:ascii="Book Antiqua" w:eastAsia="Book Antiqua" w:hAnsi="Book Antiqua" w:cs="Book Antiqua"/>
          <w:color w:val="000000" w:themeColor="text1"/>
        </w:rPr>
        <w:t>HCC</w:t>
      </w:r>
      <w:r w:rsidR="00F237A4"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 xml:space="preserve"> and direct therapeutic strategies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57</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58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A valid systematic approach based on big data mining and genome-wide RNA-seq data may be imperative to further investigate the pathogenic mechanism and identify biomarkers for drug design</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59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67508272" w14:textId="77777777" w:rsidR="0047260D" w:rsidRPr="009C2F78" w:rsidRDefault="0047260D" w:rsidP="009C2F78">
      <w:pPr>
        <w:adjustRightInd w:val="0"/>
        <w:snapToGrid w:val="0"/>
        <w:spacing w:line="360" w:lineRule="auto"/>
        <w:jc w:val="both"/>
        <w:rPr>
          <w:rFonts w:ascii="Book Antiqua" w:hAnsi="Book Antiqua"/>
          <w:color w:val="000000" w:themeColor="text1"/>
        </w:rPr>
      </w:pPr>
    </w:p>
    <w:p w14:paraId="4F205167" w14:textId="7849331A"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HCV</w:t>
      </w:r>
    </w:p>
    <w:p w14:paraId="1CFD8E8C" w14:textId="466CF919" w:rsidR="0034199D"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Weidlich </w:t>
      </w:r>
      <w:r w:rsidRPr="009C2F78">
        <w:rPr>
          <w:rFonts w:ascii="Book Antiqua" w:eastAsia="Book Antiqua" w:hAnsi="Book Antiqua" w:cs="Book Antiqua"/>
          <w:i/>
          <w:iCs/>
          <w:color w:val="000000" w:themeColor="text1"/>
        </w:rPr>
        <w:t>et al</w:t>
      </w:r>
      <w:r w:rsidR="0047260D"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60</w:t>
      </w:r>
      <w:r w:rsidR="0047260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developed SAR with advanced machine learning methods and performed </w:t>
      </w:r>
      <w:r w:rsidRPr="009C2F78">
        <w:rPr>
          <w:rFonts w:ascii="Book Antiqua" w:eastAsia="Book Antiqua" w:hAnsi="Book Antiqua" w:cs="Book Antiqua"/>
          <w:i/>
          <w:iCs/>
          <w:color w:val="000000" w:themeColor="text1"/>
        </w:rPr>
        <w:t>in vitro</w:t>
      </w:r>
      <w:r w:rsidRPr="009C2F78">
        <w:rPr>
          <w:rFonts w:ascii="Book Antiqua" w:eastAsia="Book Antiqua" w:hAnsi="Book Antiqua" w:cs="Book Antiqua"/>
          <w:color w:val="000000" w:themeColor="text1"/>
        </w:rPr>
        <w:t xml:space="preserve"> antiviral assays, resulting in the identification of the candesartan </w:t>
      </w:r>
      <w:r w:rsidRPr="009C2F78">
        <w:rPr>
          <w:rFonts w:ascii="Book Antiqua" w:eastAsia="Book Antiqua" w:hAnsi="Book Antiqua" w:cs="Book Antiqua"/>
          <w:color w:val="000000" w:themeColor="text1"/>
        </w:rPr>
        <w:lastRenderedPageBreak/>
        <w:t>cilexetil, which is used to treat hypertension, as an HCV NS5B inhibitor. Using a support vector machine (SVM), three classification models were built in HCV NS3 protease inhibitors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or HCV NS5B polymerase inhibitors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Qin </w:t>
      </w:r>
      <w:r w:rsidRPr="009C2F78">
        <w:rPr>
          <w:rFonts w:ascii="Book Antiqua" w:eastAsia="Book Antiqua" w:hAnsi="Book Antiqua" w:cs="Book Antiqua"/>
          <w:i/>
          <w:iCs/>
          <w:color w:val="000000" w:themeColor="text1"/>
        </w:rPr>
        <w:t>et al</w:t>
      </w:r>
      <w:r w:rsidR="0034199D"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63</w:t>
      </w:r>
      <w:r w:rsidR="0034199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reported that the combination of the best sub- and whole dataset SVM models can be used as reliable lead design tools for new NS3/4A protease inhibitors.</w:t>
      </w:r>
    </w:p>
    <w:p w14:paraId="5F5FF88F" w14:textId="6ECCB5A7" w:rsidR="00F237A4"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Wei </w:t>
      </w:r>
      <w:r w:rsidRPr="009C2F78">
        <w:rPr>
          <w:rFonts w:ascii="Book Antiqua" w:eastAsia="Book Antiqua" w:hAnsi="Book Antiqua" w:cs="Book Antiqua"/>
          <w:i/>
          <w:iCs/>
          <w:color w:val="000000" w:themeColor="text1"/>
        </w:rPr>
        <w:t>et al</w:t>
      </w:r>
      <w:r w:rsidR="0034199D"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64</w:t>
      </w:r>
      <w:r w:rsidR="0034199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reported that the multiple QSAR method is useful in predicting chemical-protein interactions for the discovery of multitarget inhibitors for the treatment of HIV/HCV coinfection. This strategy may be useful for the treatment of the cooccurrence of HAV infection and chronic liver disease</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5A066C59" w14:textId="44DC4EC3"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Combination information from yeast-based library screening, next-generation sequencing, and structure-based modeling in a supervised machine learning approach is useful for the comprehensive sequence-energetics-function mapping of the specificity landscape of the HCV NS3/4A protease, whose function-site-specific cleavages of the viral polyprotein are a key determinant of viral fitness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Deep learning recurrent neural network models could be used to identify patients with HCV-related cirrhosis with a high risk of developing HCC for risk-based HCC outreach and surveillance strategies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67</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Deep learning should also be helpful for the development of antivirals.</w:t>
      </w:r>
    </w:p>
    <w:p w14:paraId="43776CB2"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8B1FA70" w14:textId="5A9CAE3F" w:rsidR="00E22DC1" w:rsidRPr="009C2F78" w:rsidRDefault="00E22DC1" w:rsidP="009C2F78">
      <w:pPr>
        <w:adjustRightInd w:val="0"/>
        <w:snapToGrid w:val="0"/>
        <w:spacing w:line="360" w:lineRule="auto"/>
        <w:jc w:val="both"/>
        <w:rPr>
          <w:rFonts w:ascii="Book Antiqua" w:eastAsia="Book Antiqua" w:hAnsi="Book Antiqua" w:cs="Book Antiqua"/>
          <w:b/>
          <w:bCs/>
          <w:i/>
          <w:iCs/>
          <w:caps/>
          <w:color w:val="000000" w:themeColor="text1"/>
        </w:rPr>
      </w:pPr>
      <w:r w:rsidRPr="009C2F78">
        <w:rPr>
          <w:rFonts w:ascii="Book Antiqua" w:eastAsia="Book Antiqua" w:hAnsi="Book Antiqua" w:cs="Book Antiqua"/>
          <w:b/>
          <w:bCs/>
          <w:i/>
          <w:iCs/>
          <w:color w:val="000000" w:themeColor="text1"/>
        </w:rPr>
        <w:t>Glucose-regulated protein 78</w:t>
      </w:r>
    </w:p>
    <w:p w14:paraId="0E35DCA9" w14:textId="1D965995"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 previously found that </w:t>
      </w:r>
      <w:r w:rsidR="00E22DC1" w:rsidRPr="009C2F78">
        <w:rPr>
          <w:rFonts w:ascii="Book Antiqua" w:eastAsia="Book Antiqua" w:hAnsi="Book Antiqua" w:cs="Book Antiqua"/>
          <w:color w:val="000000" w:themeColor="text1"/>
        </w:rPr>
        <w:t>glucose-regulated protein 78 (</w:t>
      </w:r>
      <w:r w:rsidRPr="009C2F78">
        <w:rPr>
          <w:rFonts w:ascii="Book Antiqua" w:eastAsia="Book Antiqua" w:hAnsi="Book Antiqua" w:cs="Book Antiqua"/>
          <w:color w:val="000000" w:themeColor="text1"/>
        </w:rPr>
        <w:t>GRP78</w:t>
      </w:r>
      <w:r w:rsidR="00E22DC1"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 xml:space="preserve"> is an antiviral target for HAV (Table 1)</w:t>
      </w:r>
      <w:r w:rsidRPr="009C2F78">
        <w:rPr>
          <w:rFonts w:ascii="Book Antiqua" w:eastAsia="Book Antiqua" w:hAnsi="Book Antiqua" w:cs="Book Antiqua"/>
          <w:color w:val="000000" w:themeColor="text1"/>
          <w:vertAlign w:val="superscript"/>
        </w:rPr>
        <w:t>[</w:t>
      </w:r>
      <w:r w:rsidR="003F166B">
        <w:rPr>
          <w:rFonts w:ascii="Book Antiqua" w:eastAsia="Book Antiqua" w:hAnsi="Book Antiqua" w:cs="Book Antiqua"/>
          <w:color w:val="000000" w:themeColor="text1"/>
          <w:vertAlign w:val="superscript"/>
        </w:rPr>
        <w:t>50</w:t>
      </w:r>
      <w:r w:rsidRPr="009C2F78">
        <w:rPr>
          <w:rFonts w:ascii="Book Antiqua" w:eastAsia="Book Antiqua" w:hAnsi="Book Antiqua" w:cs="Book Antiqua"/>
          <w:color w:val="000000" w:themeColor="text1"/>
          <w:vertAlign w:val="superscript"/>
        </w:rPr>
        <w:t>-</w:t>
      </w:r>
      <w:r w:rsidR="003F166B">
        <w:rPr>
          <w:rFonts w:ascii="Book Antiqua" w:eastAsia="Book Antiqua" w:hAnsi="Book Antiqua" w:cs="Book Antiqua"/>
          <w:color w:val="000000" w:themeColor="text1"/>
          <w:vertAlign w:val="superscript"/>
        </w:rPr>
        <w:t>52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Computational drug discovery using the structure of HAV and GRP78 may lead to the discovery of new anti-HAV drugs or drug repositioning and drug repurposing for anti-HAV drugs</w:t>
      </w:r>
      <w:r w:rsidRPr="009C2F78">
        <w:rPr>
          <w:rFonts w:ascii="Book Antiqua" w:eastAsia="Book Antiqua" w:hAnsi="Book Antiqua" w:cs="Book Antiqua"/>
          <w:color w:val="000000" w:themeColor="text1"/>
          <w:vertAlign w:val="superscript"/>
        </w:rPr>
        <w:t>[</w:t>
      </w:r>
      <w:r w:rsidR="00535624">
        <w:rPr>
          <w:rFonts w:ascii="Book Antiqua" w:eastAsia="Book Antiqua" w:hAnsi="Book Antiqua" w:cs="Book Antiqua"/>
          <w:color w:val="000000" w:themeColor="text1"/>
          <w:vertAlign w:val="superscript"/>
        </w:rPr>
        <w:t>68</w:t>
      </w:r>
      <w:r w:rsidRPr="009C2F78">
        <w:rPr>
          <w:rFonts w:ascii="Book Antiqua" w:eastAsia="Book Antiqua" w:hAnsi="Book Antiqua" w:cs="Book Antiqua"/>
          <w:color w:val="000000" w:themeColor="text1"/>
          <w:vertAlign w:val="superscript"/>
        </w:rPr>
        <w:t>-</w:t>
      </w:r>
      <w:r w:rsidR="00535624">
        <w:rPr>
          <w:rFonts w:ascii="Book Antiqua" w:eastAsia="Book Antiqua" w:hAnsi="Book Antiqua" w:cs="Book Antiqua"/>
          <w:color w:val="000000" w:themeColor="text1"/>
          <w:vertAlign w:val="superscript"/>
        </w:rPr>
        <w:t>7</w:t>
      </w:r>
      <w:r w:rsidR="009C007C">
        <w:rPr>
          <w:rFonts w:ascii="Book Antiqua" w:eastAsia="Book Antiqua" w:hAnsi="Book Antiqua" w:cs="Book Antiqua"/>
          <w:color w:val="000000" w:themeColor="text1"/>
          <w:vertAlign w:val="superscript"/>
        </w:rPr>
        <w:t>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435EE9E1"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B3F3634"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aps/>
          <w:color w:val="000000" w:themeColor="text1"/>
          <w:u w:val="single"/>
        </w:rPr>
        <w:t>CONCLUSION</w:t>
      </w:r>
    </w:p>
    <w:p w14:paraId="330F3E16" w14:textId="4BA5AF1D"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 found that several drugs potentially inhibit HAV IRES-dependent translation and HAV replication. Approaches that utilize AI, machine learning and deep learning methods could have the most promise in the discovery of new anti-HAV drugs. A </w:t>
      </w:r>
      <w:r w:rsidRPr="009C2F78">
        <w:rPr>
          <w:rFonts w:ascii="Book Antiqua" w:eastAsia="Book Antiqua" w:hAnsi="Book Antiqua" w:cs="Book Antiqua"/>
          <w:color w:val="000000" w:themeColor="text1"/>
        </w:rPr>
        <w:lastRenderedPageBreak/>
        <w:t>systematic approach based on big data mining with AI is also useful for the development of anti-HAV drugs</w:t>
      </w:r>
      <w:r w:rsidRPr="009C2F78">
        <w:rPr>
          <w:rFonts w:ascii="Book Antiqua" w:eastAsia="Book Antiqua" w:hAnsi="Book Antiqua" w:cs="Book Antiqua"/>
          <w:color w:val="000000" w:themeColor="text1"/>
          <w:vertAlign w:val="superscript"/>
        </w:rPr>
        <w:t>[7</w:t>
      </w:r>
      <w:r w:rsidR="009C007C">
        <w:rPr>
          <w:rFonts w:ascii="Book Antiqua" w:eastAsia="Book Antiqua" w:hAnsi="Book Antiqua" w:cs="Book Antiqua"/>
          <w:color w:val="000000" w:themeColor="text1"/>
          <w:vertAlign w:val="superscript"/>
        </w:rPr>
        <w:t>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6ACD999F"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C8B5B79"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REFERENCES</w:t>
      </w:r>
    </w:p>
    <w:p w14:paraId="638B495E" w14:textId="77777777" w:rsidR="009C2F78" w:rsidRPr="009C2F78" w:rsidRDefault="009C2F78" w:rsidP="009C2F78">
      <w:pPr>
        <w:adjustRightInd w:val="0"/>
        <w:snapToGrid w:val="0"/>
        <w:spacing w:line="360" w:lineRule="auto"/>
        <w:jc w:val="both"/>
        <w:rPr>
          <w:rFonts w:ascii="Book Antiqua" w:hAnsi="Book Antiqua"/>
        </w:rPr>
      </w:pPr>
      <w:bookmarkStart w:id="1" w:name="OLE_LINK1"/>
      <w:r w:rsidRPr="009C2F78">
        <w:rPr>
          <w:rFonts w:ascii="Book Antiqua" w:hAnsi="Book Antiqua"/>
        </w:rPr>
        <w:t xml:space="preserve">1 </w:t>
      </w:r>
      <w:r w:rsidRPr="009C2F78">
        <w:rPr>
          <w:rFonts w:ascii="Book Antiqua" w:hAnsi="Book Antiqua"/>
          <w:b/>
          <w:bCs/>
        </w:rPr>
        <w:t>Fujiwara K</w:t>
      </w:r>
      <w:r w:rsidRPr="009C2F78">
        <w:rPr>
          <w:rFonts w:ascii="Book Antiqua" w:hAnsi="Book Antiqua"/>
        </w:rPr>
        <w:t xml:space="preserve">, Yokosuka O, Ehata T, Imazeki F, Saisho H, Miki M, Omata M. Frequent detection of hepatitis A viral RNA in serum during the early convalescent phase of acute hepatitis A. </w:t>
      </w:r>
      <w:r w:rsidRPr="009C2F78">
        <w:rPr>
          <w:rFonts w:ascii="Book Antiqua" w:hAnsi="Book Antiqua"/>
          <w:i/>
          <w:iCs/>
        </w:rPr>
        <w:t>Hepatology</w:t>
      </w:r>
      <w:r w:rsidRPr="009C2F78">
        <w:rPr>
          <w:rFonts w:ascii="Book Antiqua" w:hAnsi="Book Antiqua"/>
        </w:rPr>
        <w:t xml:space="preserve"> 1997; </w:t>
      </w:r>
      <w:r w:rsidRPr="009C2F78">
        <w:rPr>
          <w:rFonts w:ascii="Book Antiqua" w:hAnsi="Book Antiqua"/>
          <w:b/>
          <w:bCs/>
        </w:rPr>
        <w:t>26</w:t>
      </w:r>
      <w:r w:rsidRPr="009C2F78">
        <w:rPr>
          <w:rFonts w:ascii="Book Antiqua" w:hAnsi="Book Antiqua"/>
        </w:rPr>
        <w:t>: 1634-1639 [PMID: 9398009 DOI: 10.1053/jhep.1997.v26.pm0009398009]</w:t>
      </w:r>
    </w:p>
    <w:p w14:paraId="718A8B3D"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 </w:t>
      </w:r>
      <w:r w:rsidRPr="009C2F78">
        <w:rPr>
          <w:rFonts w:ascii="Book Antiqua" w:hAnsi="Book Antiqua"/>
          <w:b/>
          <w:bCs/>
        </w:rPr>
        <w:t>Navarro MED</w:t>
      </w:r>
      <w:r w:rsidRPr="009C2F78">
        <w:rPr>
          <w:rFonts w:ascii="Book Antiqua" w:hAnsi="Book Antiqua"/>
        </w:rPr>
        <w:t xml:space="preserve">, Yao CC, Whiteley A, Movahedi B, Devuni D, Barry C, Zacharias I, Theodoropoulos NM, Bozorgzadeh A, Martins PN. Liver transplant evaluation for fulminant liver failure due to acute hepatitis A infection: Case series and literature review. </w:t>
      </w:r>
      <w:r w:rsidRPr="009C2F78">
        <w:rPr>
          <w:rFonts w:ascii="Book Antiqua" w:hAnsi="Book Antiqua"/>
          <w:i/>
          <w:iCs/>
        </w:rPr>
        <w:t>Transpl Infect Dis</w:t>
      </w:r>
      <w:r w:rsidRPr="009C2F78">
        <w:rPr>
          <w:rFonts w:ascii="Book Antiqua" w:hAnsi="Book Antiqua"/>
        </w:rPr>
        <w:t xml:space="preserve"> 2020: e13476 [PMID: 32989849 DOI: 10.1111/tid.13476]</w:t>
      </w:r>
    </w:p>
    <w:p w14:paraId="6B0C992B"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3 </w:t>
      </w:r>
      <w:r w:rsidRPr="009C2F78">
        <w:rPr>
          <w:rFonts w:ascii="Book Antiqua" w:hAnsi="Book Antiqua"/>
          <w:b/>
          <w:bCs/>
        </w:rPr>
        <w:t>Agrawal A</w:t>
      </w:r>
      <w:r w:rsidRPr="009C2F78">
        <w:rPr>
          <w:rFonts w:ascii="Book Antiqua" w:hAnsi="Book Antiqua"/>
        </w:rPr>
        <w:t xml:space="preserve">, Singh S, Kolhapure S, Hoet B, Arankalle V, Mitra M. Increasing Burden of Hepatitis A in Adolescents and Adults and the Need for Long-Term Protection: A Review from the Indian Subcontinent. </w:t>
      </w:r>
      <w:r w:rsidRPr="009C2F78">
        <w:rPr>
          <w:rFonts w:ascii="Book Antiqua" w:hAnsi="Book Antiqua"/>
          <w:i/>
          <w:iCs/>
        </w:rPr>
        <w:t>Infect Dis Ther</w:t>
      </w:r>
      <w:r w:rsidRPr="009C2F78">
        <w:rPr>
          <w:rFonts w:ascii="Book Antiqua" w:hAnsi="Book Antiqua"/>
        </w:rPr>
        <w:t xml:space="preserve"> 2019; </w:t>
      </w:r>
      <w:r w:rsidRPr="009C2F78">
        <w:rPr>
          <w:rFonts w:ascii="Book Antiqua" w:hAnsi="Book Antiqua"/>
          <w:b/>
          <w:bCs/>
        </w:rPr>
        <w:t>8</w:t>
      </w:r>
      <w:r w:rsidRPr="009C2F78">
        <w:rPr>
          <w:rFonts w:ascii="Book Antiqua" w:hAnsi="Book Antiqua"/>
        </w:rPr>
        <w:t>: 483-497 [PMID: 31679118 DOI: 10.1007/s40121-019-00270-9]</w:t>
      </w:r>
    </w:p>
    <w:p w14:paraId="5D5D0A1E"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4 </w:t>
      </w:r>
      <w:r w:rsidRPr="009C2F78">
        <w:rPr>
          <w:rFonts w:ascii="Book Antiqua" w:hAnsi="Book Antiqua"/>
          <w:b/>
          <w:bCs/>
        </w:rPr>
        <w:t>Fukushima S</w:t>
      </w:r>
      <w:r w:rsidRPr="009C2F78">
        <w:rPr>
          <w:rFonts w:ascii="Book Antiqua" w:hAnsi="Book Antiqua"/>
        </w:rPr>
        <w:t xml:space="preserve">, Kiyohara T, Ishii K, Nakano T, Hamada A. Immunogenicity of aluminum-adsorbed hepatitis A vaccine (Havrix®) administered as a third dose after primary doses of Japanese aluminum-free hepatitis A vaccine (Aimmugen®) for Japanese travelers to endemic countries. </w:t>
      </w:r>
      <w:r w:rsidRPr="009C2F78">
        <w:rPr>
          <w:rFonts w:ascii="Book Antiqua" w:hAnsi="Book Antiqua"/>
          <w:i/>
          <w:iCs/>
        </w:rPr>
        <w:t>Vaccine</w:t>
      </w:r>
      <w:r w:rsidRPr="009C2F78">
        <w:rPr>
          <w:rFonts w:ascii="Book Antiqua" w:hAnsi="Book Antiqua"/>
        </w:rPr>
        <w:t xml:space="preserve"> 2017; </w:t>
      </w:r>
      <w:r w:rsidRPr="009C2F78">
        <w:rPr>
          <w:rFonts w:ascii="Book Antiqua" w:hAnsi="Book Antiqua"/>
          <w:b/>
          <w:bCs/>
        </w:rPr>
        <w:t>35</w:t>
      </w:r>
      <w:r w:rsidRPr="009C2F78">
        <w:rPr>
          <w:rFonts w:ascii="Book Antiqua" w:hAnsi="Book Antiqua"/>
        </w:rPr>
        <w:t>: 6412-6415 [PMID: 29029942 DOI: 10.1016/j.vaccine.2017.10.002]</w:t>
      </w:r>
    </w:p>
    <w:p w14:paraId="555A18B5"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5 </w:t>
      </w:r>
      <w:r w:rsidRPr="009C2F78">
        <w:rPr>
          <w:rFonts w:ascii="Book Antiqua" w:hAnsi="Book Antiqua"/>
          <w:b/>
          <w:bCs/>
        </w:rPr>
        <w:t>Yamamoto C</w:t>
      </w:r>
      <w:r w:rsidRPr="009C2F78">
        <w:rPr>
          <w:rFonts w:ascii="Book Antiqua" w:hAnsi="Book Antiqua"/>
        </w:rPr>
        <w:t xml:space="preserve">, Ko K, Nagashima S, Harakawa T, Fujii T, Ohisa M, Katayama K, Takahashi K, Okamoto H, Tanaka J. Very low prevalence of anti-HAV in Japan: high potential for future outbreak. </w:t>
      </w:r>
      <w:r w:rsidRPr="009C2F78">
        <w:rPr>
          <w:rFonts w:ascii="Book Antiqua" w:hAnsi="Book Antiqua"/>
          <w:i/>
          <w:iCs/>
        </w:rPr>
        <w:t>Sci Rep</w:t>
      </w:r>
      <w:r w:rsidRPr="009C2F78">
        <w:rPr>
          <w:rFonts w:ascii="Book Antiqua" w:hAnsi="Book Antiqua"/>
        </w:rPr>
        <w:t xml:space="preserve"> 2019; </w:t>
      </w:r>
      <w:r w:rsidRPr="009C2F78">
        <w:rPr>
          <w:rFonts w:ascii="Book Antiqua" w:hAnsi="Book Antiqua"/>
          <w:b/>
          <w:bCs/>
        </w:rPr>
        <w:t>9</w:t>
      </w:r>
      <w:r w:rsidRPr="009C2F78">
        <w:rPr>
          <w:rFonts w:ascii="Book Antiqua" w:hAnsi="Book Antiqua"/>
        </w:rPr>
        <w:t>: 1493 [PMID: 30728377 DOI: 10.1038/s41598-018-37349-1]</w:t>
      </w:r>
    </w:p>
    <w:p w14:paraId="7C72C29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6 </w:t>
      </w:r>
      <w:r w:rsidRPr="009C2F78">
        <w:rPr>
          <w:rFonts w:ascii="Book Antiqua" w:hAnsi="Book Antiqua"/>
          <w:b/>
          <w:bCs/>
        </w:rPr>
        <w:t>Vaughan G</w:t>
      </w:r>
      <w:r w:rsidRPr="009C2F78">
        <w:rPr>
          <w:rFonts w:ascii="Book Antiqua" w:hAnsi="Book Antiqua"/>
        </w:rPr>
        <w:t xml:space="preserve">, Goncalves Rossi LM, Forbi JC, de Paula VS, Purdy MA, Xia G, Khudyakov YE. Hepatitis A virus: host interactions, molecular epidemiology and evolution. </w:t>
      </w:r>
      <w:r w:rsidRPr="009C2F78">
        <w:rPr>
          <w:rFonts w:ascii="Book Antiqua" w:hAnsi="Book Antiqua"/>
          <w:i/>
          <w:iCs/>
        </w:rPr>
        <w:t>Infect Genet Evol</w:t>
      </w:r>
      <w:r w:rsidRPr="009C2F78">
        <w:rPr>
          <w:rFonts w:ascii="Book Antiqua" w:hAnsi="Book Antiqua"/>
        </w:rPr>
        <w:t xml:space="preserve"> 2014; </w:t>
      </w:r>
      <w:r w:rsidRPr="009C2F78">
        <w:rPr>
          <w:rFonts w:ascii="Book Antiqua" w:hAnsi="Book Antiqua"/>
          <w:b/>
          <w:bCs/>
        </w:rPr>
        <w:t>21</w:t>
      </w:r>
      <w:r w:rsidRPr="009C2F78">
        <w:rPr>
          <w:rFonts w:ascii="Book Antiqua" w:hAnsi="Book Antiqua"/>
        </w:rPr>
        <w:t>: 227-243 [PMID: 24200587 DOI: 10.1016/j.meegid.2013.10.023]</w:t>
      </w:r>
    </w:p>
    <w:p w14:paraId="59A0688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7 </w:t>
      </w:r>
      <w:r w:rsidRPr="009C2F78">
        <w:rPr>
          <w:rFonts w:ascii="Book Antiqua" w:hAnsi="Book Antiqua"/>
          <w:b/>
          <w:bCs/>
        </w:rPr>
        <w:t>Koibuchi T</w:t>
      </w:r>
      <w:r w:rsidRPr="009C2F78">
        <w:rPr>
          <w:rFonts w:ascii="Book Antiqua" w:hAnsi="Book Antiqua"/>
        </w:rPr>
        <w:t xml:space="preserve">, Koga M, Kikuchi T, Horikomi T, Kawamura Y, Lim LA, Adachi E, Tsutsumi T, Yotsuyanagi H. Prevalence of Hepatitis A Immunity and Decision-tree Analysis Among Men Who Have Sex With Men and Are Living With Human Immunodeficiency Virus in Tokyo. </w:t>
      </w:r>
      <w:r w:rsidRPr="009C2F78">
        <w:rPr>
          <w:rFonts w:ascii="Book Antiqua" w:hAnsi="Book Antiqua"/>
          <w:i/>
          <w:iCs/>
        </w:rPr>
        <w:t>Clin Infect Dis</w:t>
      </w:r>
      <w:r w:rsidRPr="009C2F78">
        <w:rPr>
          <w:rFonts w:ascii="Book Antiqua" w:hAnsi="Book Antiqua"/>
        </w:rPr>
        <w:t xml:space="preserve"> 2020; </w:t>
      </w:r>
      <w:r w:rsidRPr="009C2F78">
        <w:rPr>
          <w:rFonts w:ascii="Book Antiqua" w:hAnsi="Book Antiqua"/>
          <w:b/>
          <w:bCs/>
        </w:rPr>
        <w:t>71</w:t>
      </w:r>
      <w:r w:rsidRPr="009C2F78">
        <w:rPr>
          <w:rFonts w:ascii="Book Antiqua" w:hAnsi="Book Antiqua"/>
        </w:rPr>
        <w:t>: 473-479 [PMID: 31504310 DOI: 10.1093/cid/ciz843]</w:t>
      </w:r>
    </w:p>
    <w:p w14:paraId="79D71A7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8 </w:t>
      </w:r>
      <w:r w:rsidRPr="009C2F78">
        <w:rPr>
          <w:rFonts w:ascii="Book Antiqua" w:hAnsi="Book Antiqua"/>
          <w:b/>
          <w:bCs/>
        </w:rPr>
        <w:t>Kassem AF</w:t>
      </w:r>
      <w:r w:rsidRPr="009C2F78">
        <w:rPr>
          <w:rFonts w:ascii="Book Antiqua" w:hAnsi="Book Antiqua"/>
        </w:rPr>
        <w:t xml:space="preserve">, Batran RZ, Abbas EMH, Elseginy SA, Shaheen MNF, Elmahdy EM. New 4-phenylcoumarin derivatives as potent 3C protease inhibitors: Design, synthesis, anti-HAV effect and molecular modeling. </w:t>
      </w:r>
      <w:r w:rsidRPr="009C2F78">
        <w:rPr>
          <w:rFonts w:ascii="Book Antiqua" w:hAnsi="Book Antiqua"/>
          <w:i/>
          <w:iCs/>
        </w:rPr>
        <w:t>Eur J Med Chem</w:t>
      </w:r>
      <w:r w:rsidRPr="009C2F78">
        <w:rPr>
          <w:rFonts w:ascii="Book Antiqua" w:hAnsi="Book Antiqua"/>
        </w:rPr>
        <w:t xml:space="preserve"> 2019; </w:t>
      </w:r>
      <w:r w:rsidRPr="009C2F78">
        <w:rPr>
          <w:rFonts w:ascii="Book Antiqua" w:hAnsi="Book Antiqua"/>
          <w:b/>
          <w:bCs/>
        </w:rPr>
        <w:t>168</w:t>
      </w:r>
      <w:r w:rsidRPr="009C2F78">
        <w:rPr>
          <w:rFonts w:ascii="Book Antiqua" w:hAnsi="Book Antiqua"/>
        </w:rPr>
        <w:t>: 447-460 [PMID: 30844608 DOI: 10.1016/j.ejmech.2019.02.048]</w:t>
      </w:r>
    </w:p>
    <w:p w14:paraId="4C1F717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9 </w:t>
      </w:r>
      <w:r w:rsidRPr="009C2F78">
        <w:rPr>
          <w:rFonts w:ascii="Book Antiqua" w:hAnsi="Book Antiqua"/>
          <w:b/>
          <w:bCs/>
        </w:rPr>
        <w:t>Masuzaki R,</w:t>
      </w:r>
      <w:r w:rsidRPr="009C2F78">
        <w:rPr>
          <w:rFonts w:ascii="Book Antiqua" w:hAnsi="Book Antiqua"/>
        </w:rPr>
        <w:t xml:space="preserve"> Kanda T, Sasaki R, Matsumoto N, Nirei K, Ogawa M, Moriyama M. Application of artificial intelligence in hepatology: Minireview. </w:t>
      </w:r>
      <w:r w:rsidRPr="003A3547">
        <w:rPr>
          <w:rFonts w:ascii="Book Antiqua" w:hAnsi="Book Antiqua"/>
          <w:i/>
          <w:iCs/>
        </w:rPr>
        <w:t>Artif Intell Gastroenterol</w:t>
      </w:r>
      <w:r w:rsidRPr="009C2F78">
        <w:rPr>
          <w:rFonts w:ascii="Book Antiqua" w:hAnsi="Book Antiqua"/>
        </w:rPr>
        <w:t xml:space="preserve"> 2020; </w:t>
      </w:r>
      <w:r w:rsidRPr="003A3547">
        <w:rPr>
          <w:rFonts w:ascii="Book Antiqua" w:hAnsi="Book Antiqua"/>
          <w:b/>
          <w:bCs/>
        </w:rPr>
        <w:t>1</w:t>
      </w:r>
      <w:r w:rsidRPr="009C2F78">
        <w:rPr>
          <w:rFonts w:ascii="Book Antiqua" w:hAnsi="Book Antiqua"/>
        </w:rPr>
        <w:t xml:space="preserve">: 5-11 [DOI: </w:t>
      </w:r>
      <w:bookmarkStart w:id="2" w:name="OLE_LINK3"/>
      <w:r w:rsidRPr="009C2F78">
        <w:rPr>
          <w:rFonts w:ascii="Book Antiqua" w:hAnsi="Book Antiqua"/>
        </w:rPr>
        <w:t>10.35712/aig.v1.i1.5</w:t>
      </w:r>
      <w:bookmarkEnd w:id="2"/>
      <w:r w:rsidRPr="009C2F78">
        <w:rPr>
          <w:rFonts w:ascii="Book Antiqua" w:hAnsi="Book Antiqua"/>
        </w:rPr>
        <w:t>]</w:t>
      </w:r>
    </w:p>
    <w:p w14:paraId="6D50D671"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10 </w:t>
      </w:r>
      <w:r w:rsidRPr="009C2F78">
        <w:rPr>
          <w:rFonts w:ascii="Book Antiqua" w:hAnsi="Book Antiqua"/>
          <w:b/>
          <w:bCs/>
        </w:rPr>
        <w:t>Haga H</w:t>
      </w:r>
      <w:r w:rsidRPr="009C2F78">
        <w:rPr>
          <w:rFonts w:ascii="Book Antiqua" w:hAnsi="Book Antiqua"/>
        </w:rPr>
        <w:t xml:space="preserve">, Sato H, Koseki A, Saito T, Okumoto K, Hoshikawa K, Katsumi T, Mizuno K, Nishina T, Ueno Y. A machine learning-based treatment prediction model using whole genome variants of hepatitis C virus. </w:t>
      </w:r>
      <w:r w:rsidRPr="009C2F78">
        <w:rPr>
          <w:rFonts w:ascii="Book Antiqua" w:hAnsi="Book Antiqua"/>
          <w:i/>
          <w:iCs/>
        </w:rPr>
        <w:t>PLoS One</w:t>
      </w:r>
      <w:r w:rsidRPr="009C2F78">
        <w:rPr>
          <w:rFonts w:ascii="Book Antiqua" w:hAnsi="Book Antiqua"/>
        </w:rPr>
        <w:t xml:space="preserve"> 2020; </w:t>
      </w:r>
      <w:r w:rsidRPr="009C2F78">
        <w:rPr>
          <w:rFonts w:ascii="Book Antiqua" w:hAnsi="Book Antiqua"/>
          <w:b/>
          <w:bCs/>
        </w:rPr>
        <w:t>15</w:t>
      </w:r>
      <w:r w:rsidRPr="009C2F78">
        <w:rPr>
          <w:rFonts w:ascii="Book Antiqua" w:hAnsi="Book Antiqua"/>
        </w:rPr>
        <w:t>: e0242028 [PMID: 33152046 DOI: 10.1371/journal.pone.0242028]</w:t>
      </w:r>
    </w:p>
    <w:p w14:paraId="513FA2B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11 </w:t>
      </w:r>
      <w:r w:rsidRPr="009C2F78">
        <w:rPr>
          <w:rFonts w:ascii="Book Antiqua" w:hAnsi="Book Antiqua"/>
          <w:b/>
          <w:bCs/>
        </w:rPr>
        <w:t>Hessler G</w:t>
      </w:r>
      <w:r w:rsidRPr="009C2F78">
        <w:rPr>
          <w:rFonts w:ascii="Book Antiqua" w:hAnsi="Book Antiqua"/>
        </w:rPr>
        <w:t xml:space="preserve">, Baringhaus KH. Artificial Intelligence in Drug Design. </w:t>
      </w:r>
      <w:r w:rsidRPr="009C2F78">
        <w:rPr>
          <w:rFonts w:ascii="Book Antiqua" w:hAnsi="Book Antiqua"/>
          <w:i/>
          <w:iCs/>
        </w:rPr>
        <w:t>Molecules</w:t>
      </w:r>
      <w:r w:rsidRPr="009C2F78">
        <w:rPr>
          <w:rFonts w:ascii="Book Antiqua" w:hAnsi="Book Antiqua"/>
        </w:rPr>
        <w:t xml:space="preserve"> 2018; </w:t>
      </w:r>
      <w:r w:rsidRPr="009C2F78">
        <w:rPr>
          <w:rFonts w:ascii="Book Antiqua" w:hAnsi="Book Antiqua"/>
          <w:b/>
          <w:bCs/>
        </w:rPr>
        <w:t>23</w:t>
      </w:r>
      <w:r w:rsidRPr="009C2F78">
        <w:rPr>
          <w:rFonts w:ascii="Book Antiqua" w:hAnsi="Book Antiqua"/>
        </w:rPr>
        <w:t xml:space="preserve"> [PMID: 30279331 DOI: 10.3390/molecules23102520]</w:t>
      </w:r>
    </w:p>
    <w:p w14:paraId="11511AAC"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12 </w:t>
      </w:r>
      <w:r w:rsidRPr="009C2F78">
        <w:rPr>
          <w:rFonts w:ascii="Book Antiqua" w:hAnsi="Book Antiqua"/>
          <w:b/>
          <w:bCs/>
        </w:rPr>
        <w:t>Zhong F</w:t>
      </w:r>
      <w:r w:rsidRPr="009C2F78">
        <w:rPr>
          <w:rFonts w:ascii="Book Antiqua" w:hAnsi="Book Antiqua"/>
        </w:rPr>
        <w:t xml:space="preserve">, Xing J, Li X, Liu X, Fu Z, Xiong Z, Lu D, Wu X, Zhao J, Tan X, Li F, Luo X, Li Z, Chen K, Zheng M, Jiang H. Artificial intelligence in drug design. </w:t>
      </w:r>
      <w:r w:rsidRPr="009C2F78">
        <w:rPr>
          <w:rFonts w:ascii="Book Antiqua" w:hAnsi="Book Antiqua"/>
          <w:i/>
          <w:iCs/>
        </w:rPr>
        <w:t>Sci China Life Sci</w:t>
      </w:r>
      <w:r w:rsidRPr="009C2F78">
        <w:rPr>
          <w:rFonts w:ascii="Book Antiqua" w:hAnsi="Book Antiqua"/>
        </w:rPr>
        <w:t xml:space="preserve"> 2018; </w:t>
      </w:r>
      <w:r w:rsidRPr="009C2F78">
        <w:rPr>
          <w:rFonts w:ascii="Book Antiqua" w:hAnsi="Book Antiqua"/>
          <w:b/>
          <w:bCs/>
        </w:rPr>
        <w:t>61</w:t>
      </w:r>
      <w:r w:rsidRPr="009C2F78">
        <w:rPr>
          <w:rFonts w:ascii="Book Antiqua" w:hAnsi="Book Antiqua"/>
        </w:rPr>
        <w:t>: 1191-1204 [PMID: 30054833 DOI: 10.1007/s11427-018-9342-2]</w:t>
      </w:r>
    </w:p>
    <w:p w14:paraId="6F78FF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13 </w:t>
      </w:r>
      <w:r w:rsidRPr="009C2F78">
        <w:rPr>
          <w:rFonts w:ascii="Book Antiqua" w:hAnsi="Book Antiqua"/>
          <w:b/>
          <w:bCs/>
        </w:rPr>
        <w:t>Batool M</w:t>
      </w:r>
      <w:r w:rsidRPr="009C2F78">
        <w:rPr>
          <w:rFonts w:ascii="Book Antiqua" w:hAnsi="Book Antiqua"/>
        </w:rPr>
        <w:t xml:space="preserve">, Ahmad B, Choi S. A Structure-Based Drug Discovery Paradigm. </w:t>
      </w:r>
      <w:r w:rsidRPr="009C2F78">
        <w:rPr>
          <w:rFonts w:ascii="Book Antiqua" w:hAnsi="Book Antiqua"/>
          <w:i/>
          <w:iCs/>
        </w:rPr>
        <w:t>Int J Mol Sci</w:t>
      </w:r>
      <w:r w:rsidRPr="009C2F78">
        <w:rPr>
          <w:rFonts w:ascii="Book Antiqua" w:hAnsi="Book Antiqua"/>
        </w:rPr>
        <w:t xml:space="preserve"> 2019; </w:t>
      </w:r>
      <w:r w:rsidRPr="009C2F78">
        <w:rPr>
          <w:rFonts w:ascii="Book Antiqua" w:hAnsi="Book Antiqua"/>
          <w:b/>
          <w:bCs/>
        </w:rPr>
        <w:t>20</w:t>
      </w:r>
      <w:r w:rsidRPr="009C2F78">
        <w:rPr>
          <w:rFonts w:ascii="Book Antiqua" w:hAnsi="Book Antiqua"/>
        </w:rPr>
        <w:t xml:space="preserve"> [PMID: 31174387 DOI: 10.3390/ijms20112783]</w:t>
      </w:r>
    </w:p>
    <w:p w14:paraId="0FDE0D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14 </w:t>
      </w:r>
      <w:r w:rsidRPr="009C2F78">
        <w:rPr>
          <w:rFonts w:ascii="Book Antiqua" w:hAnsi="Book Antiqua"/>
          <w:b/>
          <w:bCs/>
        </w:rPr>
        <w:t>Guney E</w:t>
      </w:r>
      <w:r w:rsidRPr="009C2F78">
        <w:rPr>
          <w:rFonts w:ascii="Book Antiqua" w:hAnsi="Book Antiqua"/>
        </w:rPr>
        <w:t xml:space="preserve">, Menche J, Vidal M, Barábasi AL. Network-based in silico drug efficacy screening. </w:t>
      </w:r>
      <w:r w:rsidRPr="009C2F78">
        <w:rPr>
          <w:rFonts w:ascii="Book Antiqua" w:hAnsi="Book Antiqua"/>
          <w:i/>
          <w:iCs/>
        </w:rPr>
        <w:t>Nat Commun</w:t>
      </w:r>
      <w:r w:rsidRPr="009C2F78">
        <w:rPr>
          <w:rFonts w:ascii="Book Antiqua" w:hAnsi="Book Antiqua"/>
        </w:rPr>
        <w:t xml:space="preserve"> 2016; </w:t>
      </w:r>
      <w:r w:rsidRPr="009C2F78">
        <w:rPr>
          <w:rFonts w:ascii="Book Antiqua" w:hAnsi="Book Antiqua"/>
          <w:b/>
          <w:bCs/>
        </w:rPr>
        <w:t>7</w:t>
      </w:r>
      <w:r w:rsidRPr="009C2F78">
        <w:rPr>
          <w:rFonts w:ascii="Book Antiqua" w:hAnsi="Book Antiqua"/>
        </w:rPr>
        <w:t>: 10331 [PMID: 26831545 DOI: 10.1038/ncomms10331]</w:t>
      </w:r>
    </w:p>
    <w:p w14:paraId="54A7E93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15 </w:t>
      </w:r>
      <w:r w:rsidRPr="009C2F78">
        <w:rPr>
          <w:rFonts w:ascii="Book Antiqua" w:hAnsi="Book Antiqua"/>
          <w:b/>
          <w:bCs/>
        </w:rPr>
        <w:t>Glass MJ</w:t>
      </w:r>
      <w:r w:rsidRPr="009C2F78">
        <w:rPr>
          <w:rFonts w:ascii="Book Antiqua" w:hAnsi="Book Antiqua"/>
        </w:rPr>
        <w:t xml:space="preserve">, Jia XY, Summers DF. Identification of the hepatitis A virus internal ribosome entry site: in vivo and in vitro analysis of bicistronic RNAs containing the HAV 5' noncoding region. </w:t>
      </w:r>
      <w:r w:rsidRPr="009C2F78">
        <w:rPr>
          <w:rFonts w:ascii="Book Antiqua" w:hAnsi="Book Antiqua"/>
          <w:i/>
          <w:iCs/>
        </w:rPr>
        <w:t>Virology</w:t>
      </w:r>
      <w:r w:rsidRPr="009C2F78">
        <w:rPr>
          <w:rFonts w:ascii="Book Antiqua" w:hAnsi="Book Antiqua"/>
        </w:rPr>
        <w:t xml:space="preserve"> 1993; </w:t>
      </w:r>
      <w:r w:rsidRPr="009C2F78">
        <w:rPr>
          <w:rFonts w:ascii="Book Antiqua" w:hAnsi="Book Antiqua"/>
          <w:b/>
          <w:bCs/>
        </w:rPr>
        <w:t>193</w:t>
      </w:r>
      <w:r w:rsidRPr="009C2F78">
        <w:rPr>
          <w:rFonts w:ascii="Book Antiqua" w:hAnsi="Book Antiqua"/>
        </w:rPr>
        <w:t>: 842-852 [PMID: 8384758 DOI: 10.1006/viro.1993.1193]</w:t>
      </w:r>
    </w:p>
    <w:p w14:paraId="48AACAFB"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16 </w:t>
      </w:r>
      <w:r w:rsidRPr="009C2F78">
        <w:rPr>
          <w:rFonts w:ascii="Book Antiqua" w:hAnsi="Book Antiqua"/>
          <w:b/>
          <w:bCs/>
        </w:rPr>
        <w:t>Brown EA</w:t>
      </w:r>
      <w:r w:rsidRPr="009C2F78">
        <w:rPr>
          <w:rFonts w:ascii="Book Antiqua" w:hAnsi="Book Antiqua"/>
        </w:rPr>
        <w:t xml:space="preserve">, Zajac AJ, Lemon SM. In vitro characterization of an internal ribosomal entry site (IRES) present within the 5' nontranslated region of hepatitis A virus RNA: comparison with the IRES of encephalomyocarditis virus. </w:t>
      </w:r>
      <w:r w:rsidRPr="009C2F78">
        <w:rPr>
          <w:rFonts w:ascii="Book Antiqua" w:hAnsi="Book Antiqua"/>
          <w:i/>
          <w:iCs/>
        </w:rPr>
        <w:t>J Virol</w:t>
      </w:r>
      <w:r w:rsidRPr="009C2F78">
        <w:rPr>
          <w:rFonts w:ascii="Book Antiqua" w:hAnsi="Book Antiqua"/>
        </w:rPr>
        <w:t xml:space="preserve"> 1994; </w:t>
      </w:r>
      <w:r w:rsidRPr="009C2F78">
        <w:rPr>
          <w:rFonts w:ascii="Book Antiqua" w:hAnsi="Book Antiqua"/>
          <w:b/>
          <w:bCs/>
        </w:rPr>
        <w:t>68</w:t>
      </w:r>
      <w:r w:rsidRPr="009C2F78">
        <w:rPr>
          <w:rFonts w:ascii="Book Antiqua" w:hAnsi="Book Antiqua"/>
        </w:rPr>
        <w:t>: 1066-1074 [PMID: 8289336 DOI: 10.1128/JVI.68.2.1066-1074.1994]</w:t>
      </w:r>
    </w:p>
    <w:p w14:paraId="5B39DD84"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17 </w:t>
      </w:r>
      <w:r w:rsidRPr="009C2F78">
        <w:rPr>
          <w:rFonts w:ascii="Book Antiqua" w:hAnsi="Book Antiqua"/>
          <w:b/>
          <w:bCs/>
        </w:rPr>
        <w:t>Schultz DE</w:t>
      </w:r>
      <w:r w:rsidRPr="009C2F78">
        <w:rPr>
          <w:rFonts w:ascii="Book Antiqua" w:hAnsi="Book Antiqua"/>
        </w:rPr>
        <w:t xml:space="preserve">, Honda M, Whetter LE, McKnight KL, Lemon SM. Mutations within the 5' nontranslated RNA of cell culture-adapted hepatitis A virus which enhance cap-independent translation in cultured African green monkey kidney cells. </w:t>
      </w:r>
      <w:r w:rsidRPr="009C2F78">
        <w:rPr>
          <w:rFonts w:ascii="Book Antiqua" w:hAnsi="Book Antiqua"/>
          <w:i/>
          <w:iCs/>
        </w:rPr>
        <w:t>J Virol</w:t>
      </w:r>
      <w:r w:rsidRPr="009C2F78">
        <w:rPr>
          <w:rFonts w:ascii="Book Antiqua" w:hAnsi="Book Antiqua"/>
        </w:rPr>
        <w:t xml:space="preserve"> 1996; </w:t>
      </w:r>
      <w:r w:rsidRPr="009C2F78">
        <w:rPr>
          <w:rFonts w:ascii="Book Antiqua" w:hAnsi="Book Antiqua"/>
          <w:b/>
          <w:bCs/>
        </w:rPr>
        <w:t>70</w:t>
      </w:r>
      <w:r w:rsidRPr="009C2F78">
        <w:rPr>
          <w:rFonts w:ascii="Book Antiqua" w:hAnsi="Book Antiqua"/>
        </w:rPr>
        <w:t>: 1041-1049 [PMID: 8551562 DOI: 10.1128/JVI.70.2.1041-1049.1996]</w:t>
      </w:r>
    </w:p>
    <w:p w14:paraId="55F4051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18 </w:t>
      </w:r>
      <w:r w:rsidRPr="009C2F78">
        <w:rPr>
          <w:rFonts w:ascii="Book Antiqua" w:hAnsi="Book Antiqua"/>
          <w:b/>
          <w:bCs/>
        </w:rPr>
        <w:t>Fujiwara K</w:t>
      </w:r>
      <w:r w:rsidRPr="009C2F78">
        <w:rPr>
          <w:rFonts w:ascii="Book Antiqua" w:hAnsi="Book Antiqua"/>
        </w:rPr>
        <w:t xml:space="preserve">, Yokosuka O, Ehata T, Imazeki F, Saisho H. PCR-SSCP analysis of 5'-nontranslated region of hepatitis A viral RNA: comparison with clinicopathological features of hepatitis A. </w:t>
      </w:r>
      <w:r w:rsidRPr="009C2F78">
        <w:rPr>
          <w:rFonts w:ascii="Book Antiqua" w:hAnsi="Book Antiqua"/>
          <w:i/>
          <w:iCs/>
        </w:rPr>
        <w:t>Dig Dis Sci</w:t>
      </w:r>
      <w:r w:rsidRPr="009C2F78">
        <w:rPr>
          <w:rFonts w:ascii="Book Antiqua" w:hAnsi="Book Antiqua"/>
        </w:rPr>
        <w:t xml:space="preserve"> 2000; </w:t>
      </w:r>
      <w:r w:rsidRPr="009C2F78">
        <w:rPr>
          <w:rFonts w:ascii="Book Antiqua" w:hAnsi="Book Antiqua"/>
          <w:b/>
          <w:bCs/>
        </w:rPr>
        <w:t>45</w:t>
      </w:r>
      <w:r w:rsidRPr="009C2F78">
        <w:rPr>
          <w:rFonts w:ascii="Book Antiqua" w:hAnsi="Book Antiqua"/>
        </w:rPr>
        <w:t>: 2422-2427 [PMID: 11258569 DOI: 10.1023/a:1005607512633]</w:t>
      </w:r>
    </w:p>
    <w:p w14:paraId="0D74320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19 </w:t>
      </w:r>
      <w:r w:rsidRPr="009C2F78">
        <w:rPr>
          <w:rFonts w:ascii="Book Antiqua" w:hAnsi="Book Antiqua"/>
          <w:b/>
          <w:bCs/>
        </w:rPr>
        <w:t>Fujiwara K</w:t>
      </w:r>
      <w:r w:rsidRPr="009C2F78">
        <w:rPr>
          <w:rFonts w:ascii="Book Antiqua" w:hAnsi="Book Antiqua"/>
        </w:rPr>
        <w:t xml:space="preserve">, Yokosuka O, Fukai K, Imazeki F, Saisho H, Omata M. Analysis of full-length hepatitis A virus genome in sera from patients with fulminant and self-limited acute type A hepatitis. </w:t>
      </w:r>
      <w:r w:rsidRPr="009C2F78">
        <w:rPr>
          <w:rFonts w:ascii="Book Antiqua" w:hAnsi="Book Antiqua"/>
          <w:i/>
          <w:iCs/>
        </w:rPr>
        <w:t>J Hepatol</w:t>
      </w:r>
      <w:r w:rsidRPr="009C2F78">
        <w:rPr>
          <w:rFonts w:ascii="Book Antiqua" w:hAnsi="Book Antiqua"/>
        </w:rPr>
        <w:t xml:space="preserve"> 2001; </w:t>
      </w:r>
      <w:r w:rsidRPr="009C2F78">
        <w:rPr>
          <w:rFonts w:ascii="Book Antiqua" w:hAnsi="Book Antiqua"/>
          <w:b/>
          <w:bCs/>
        </w:rPr>
        <w:t>35</w:t>
      </w:r>
      <w:r w:rsidRPr="009C2F78">
        <w:rPr>
          <w:rFonts w:ascii="Book Antiqua" w:hAnsi="Book Antiqua"/>
        </w:rPr>
        <w:t>: 112-119 [PMID: 11495028 DOI: 10.1016/s0168-8278(01)00074-5]</w:t>
      </w:r>
    </w:p>
    <w:p w14:paraId="3DAFF4E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20 </w:t>
      </w:r>
      <w:r w:rsidRPr="009C2F78">
        <w:rPr>
          <w:rFonts w:ascii="Book Antiqua" w:hAnsi="Book Antiqua"/>
          <w:b/>
          <w:bCs/>
        </w:rPr>
        <w:t>Fujiwara K</w:t>
      </w:r>
      <w:r w:rsidRPr="009C2F78">
        <w:rPr>
          <w:rFonts w:ascii="Book Antiqua" w:hAnsi="Book Antiqua"/>
        </w:rPr>
        <w:t xml:space="preserve">, Yokosuka O, Ehata T, Saisho H, Saotome N, Suzuki K, Okita K, Kiyosawa K, Omata M. Association between severity of type A hepatitis and nucleotide variations in the 5' non-translated region of hepatitis A virus RNA: strains from fulminant hepatitis have fewer nucleotide substitutions. </w:t>
      </w:r>
      <w:r w:rsidRPr="009C2F78">
        <w:rPr>
          <w:rFonts w:ascii="Book Antiqua" w:hAnsi="Book Antiqua"/>
          <w:i/>
          <w:iCs/>
        </w:rPr>
        <w:t>Gut</w:t>
      </w:r>
      <w:r w:rsidRPr="009C2F78">
        <w:rPr>
          <w:rFonts w:ascii="Book Antiqua" w:hAnsi="Book Antiqua"/>
        </w:rPr>
        <w:t xml:space="preserve"> 2002; </w:t>
      </w:r>
      <w:r w:rsidRPr="009C2F78">
        <w:rPr>
          <w:rFonts w:ascii="Book Antiqua" w:hAnsi="Book Antiqua"/>
          <w:b/>
          <w:bCs/>
        </w:rPr>
        <w:t>51</w:t>
      </w:r>
      <w:r w:rsidRPr="009C2F78">
        <w:rPr>
          <w:rFonts w:ascii="Book Antiqua" w:hAnsi="Book Antiqua"/>
        </w:rPr>
        <w:t>: 82-88 [PMID: 12077097 DOI: 10.1136/gut.51.1.82]</w:t>
      </w:r>
    </w:p>
    <w:p w14:paraId="225260BD"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21 </w:t>
      </w:r>
      <w:r w:rsidRPr="009C2F78">
        <w:rPr>
          <w:rFonts w:ascii="Book Antiqua" w:hAnsi="Book Antiqua"/>
          <w:b/>
          <w:bCs/>
        </w:rPr>
        <w:t>Kanda T</w:t>
      </w:r>
      <w:r w:rsidRPr="009C2F78">
        <w:rPr>
          <w:rFonts w:ascii="Book Antiqua" w:hAnsi="Book Antiqua"/>
        </w:rPr>
        <w:t xml:space="preserve">, Jeong SH, Imazeki F, Fujiwara K, Yokosuka O. Analysis of 5' nontranslated region of hepatitis A viral RNA genotype I from South Korea: comparison with disease severities. </w:t>
      </w:r>
      <w:r w:rsidRPr="009C2F78">
        <w:rPr>
          <w:rFonts w:ascii="Book Antiqua" w:hAnsi="Book Antiqua"/>
          <w:i/>
          <w:iCs/>
        </w:rPr>
        <w:t>PLoS One</w:t>
      </w:r>
      <w:r w:rsidRPr="009C2F78">
        <w:rPr>
          <w:rFonts w:ascii="Book Antiqua" w:hAnsi="Book Antiqua"/>
        </w:rPr>
        <w:t xml:space="preserve"> 2010; </w:t>
      </w:r>
      <w:r w:rsidRPr="009C2F78">
        <w:rPr>
          <w:rFonts w:ascii="Book Antiqua" w:hAnsi="Book Antiqua"/>
          <w:b/>
          <w:bCs/>
        </w:rPr>
        <w:t>5</w:t>
      </w:r>
      <w:r w:rsidRPr="009C2F78">
        <w:rPr>
          <w:rFonts w:ascii="Book Antiqua" w:hAnsi="Book Antiqua"/>
        </w:rPr>
        <w:t>: e15139 [PMID: 21203430 DOI: 10.1371/journal.pone.0015139]</w:t>
      </w:r>
    </w:p>
    <w:p w14:paraId="4D55F5F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22 </w:t>
      </w:r>
      <w:r w:rsidRPr="009C2F78">
        <w:rPr>
          <w:rFonts w:ascii="Book Antiqua" w:hAnsi="Book Antiqua"/>
          <w:b/>
          <w:bCs/>
        </w:rPr>
        <w:t>Wu S</w:t>
      </w:r>
      <w:r w:rsidRPr="009C2F78">
        <w:rPr>
          <w:rFonts w:ascii="Book Antiqua" w:hAnsi="Book Antiqua"/>
        </w:rPr>
        <w:t xml:space="preserve">, Nakamoto S, Kanda T, Jiang X, Nakamura M, Miyamura T, Shirasawa H, Sugiura N, Takahashi-Nakaguchi A, Gonoi T, Yokosuka O. Ultra-deep sequencing analysis of the hepatitis A virus 5'-untranslated region among cases of the same outbreak from a single source. </w:t>
      </w:r>
      <w:r w:rsidRPr="009C2F78">
        <w:rPr>
          <w:rFonts w:ascii="Book Antiqua" w:hAnsi="Book Antiqua"/>
          <w:i/>
          <w:iCs/>
        </w:rPr>
        <w:t>Int J Med Sci</w:t>
      </w:r>
      <w:r w:rsidRPr="009C2F78">
        <w:rPr>
          <w:rFonts w:ascii="Book Antiqua" w:hAnsi="Book Antiqua"/>
        </w:rPr>
        <w:t xml:space="preserve"> 2014; </w:t>
      </w:r>
      <w:r w:rsidRPr="009C2F78">
        <w:rPr>
          <w:rFonts w:ascii="Book Antiqua" w:hAnsi="Book Antiqua"/>
          <w:b/>
          <w:bCs/>
        </w:rPr>
        <w:t>11</w:t>
      </w:r>
      <w:r w:rsidRPr="009C2F78">
        <w:rPr>
          <w:rFonts w:ascii="Book Antiqua" w:hAnsi="Book Antiqua"/>
        </w:rPr>
        <w:t>: 60-64 [PMID: 24396287 DOI: 10.7150/ijms.7728]</w:t>
      </w:r>
    </w:p>
    <w:p w14:paraId="75C9231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23 </w:t>
      </w:r>
      <w:r w:rsidRPr="009C2F78">
        <w:rPr>
          <w:rFonts w:ascii="Book Antiqua" w:hAnsi="Book Antiqua"/>
          <w:b/>
          <w:bCs/>
        </w:rPr>
        <w:t>Kanda T</w:t>
      </w:r>
      <w:r w:rsidRPr="009C2F78">
        <w:rPr>
          <w:rFonts w:ascii="Book Antiqua" w:hAnsi="Book Antiqua"/>
        </w:rPr>
        <w:t xml:space="preserve">, Zhang B, Kusov Y, Yokosuka O, Gauss-Müller V. Suppression of hepatitis A virus genome translation and replication by siRNAs targeting the internal ribosomal entry site. </w:t>
      </w:r>
      <w:r w:rsidRPr="009C2F78">
        <w:rPr>
          <w:rFonts w:ascii="Book Antiqua" w:hAnsi="Book Antiqua"/>
          <w:i/>
          <w:iCs/>
        </w:rPr>
        <w:t>Biochem Biophys Res Commun</w:t>
      </w:r>
      <w:r w:rsidRPr="009C2F78">
        <w:rPr>
          <w:rFonts w:ascii="Book Antiqua" w:hAnsi="Book Antiqua"/>
        </w:rPr>
        <w:t xml:space="preserve"> 2005; </w:t>
      </w:r>
      <w:r w:rsidRPr="009C2F78">
        <w:rPr>
          <w:rFonts w:ascii="Book Antiqua" w:hAnsi="Book Antiqua"/>
          <w:b/>
          <w:bCs/>
        </w:rPr>
        <w:t>330</w:t>
      </w:r>
      <w:r w:rsidRPr="009C2F78">
        <w:rPr>
          <w:rFonts w:ascii="Book Antiqua" w:hAnsi="Book Antiqua"/>
        </w:rPr>
        <w:t>: 1217-1223 [PMID: 15823573 DOI: 10.1016/j.bbrc.2005.03.105]</w:t>
      </w:r>
    </w:p>
    <w:p w14:paraId="40545C4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24 </w:t>
      </w:r>
      <w:r w:rsidRPr="009C2F78">
        <w:rPr>
          <w:rFonts w:ascii="Book Antiqua" w:hAnsi="Book Antiqua"/>
          <w:b/>
          <w:bCs/>
        </w:rPr>
        <w:t>Feng Z</w:t>
      </w:r>
      <w:r w:rsidRPr="009C2F78">
        <w:rPr>
          <w:rFonts w:ascii="Book Antiqua" w:hAnsi="Book Antiqua"/>
        </w:rPr>
        <w:t xml:space="preserve">, Hensley L, McKnight KL, Hu F, Madden V, Ping L, Jeong SH, Walker C, Lanford RE, Lemon SM. A pathogenic picornavirus acquires an envelope by hijacking cellular membranes. </w:t>
      </w:r>
      <w:r w:rsidRPr="009C2F78">
        <w:rPr>
          <w:rFonts w:ascii="Book Antiqua" w:hAnsi="Book Antiqua"/>
          <w:i/>
          <w:iCs/>
        </w:rPr>
        <w:t>Nature</w:t>
      </w:r>
      <w:r w:rsidRPr="009C2F78">
        <w:rPr>
          <w:rFonts w:ascii="Book Antiqua" w:hAnsi="Book Antiqua"/>
        </w:rPr>
        <w:t xml:space="preserve"> 2013; </w:t>
      </w:r>
      <w:r w:rsidRPr="009C2F78">
        <w:rPr>
          <w:rFonts w:ascii="Book Antiqua" w:hAnsi="Book Antiqua"/>
          <w:b/>
          <w:bCs/>
        </w:rPr>
        <w:t>496</w:t>
      </w:r>
      <w:r w:rsidRPr="009C2F78">
        <w:rPr>
          <w:rFonts w:ascii="Book Antiqua" w:hAnsi="Book Antiqua"/>
        </w:rPr>
        <w:t>: 367-371 [PMID: 23542590 DOI: 10.1038/nature12029]</w:t>
      </w:r>
    </w:p>
    <w:p w14:paraId="7F652D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25 </w:t>
      </w:r>
      <w:r w:rsidRPr="009C2F78">
        <w:rPr>
          <w:rFonts w:ascii="Book Antiqua" w:hAnsi="Book Antiqua"/>
          <w:b/>
          <w:bCs/>
        </w:rPr>
        <w:t>Hirai-Yuki A</w:t>
      </w:r>
      <w:r w:rsidRPr="009C2F78">
        <w:rPr>
          <w:rFonts w:ascii="Book Antiqua" w:hAnsi="Book Antiqua"/>
        </w:rPr>
        <w:t xml:space="preserve">, Hensley L, Whitmire JK, Lemon SM. Biliary Secretion of Quasi-Enveloped Human Hepatitis A Virus. </w:t>
      </w:r>
      <w:r w:rsidRPr="009C2F78">
        <w:rPr>
          <w:rFonts w:ascii="Book Antiqua" w:hAnsi="Book Antiqua"/>
          <w:i/>
          <w:iCs/>
        </w:rPr>
        <w:t>mBio</w:t>
      </w:r>
      <w:r w:rsidRPr="009C2F78">
        <w:rPr>
          <w:rFonts w:ascii="Book Antiqua" w:hAnsi="Book Antiqua"/>
        </w:rPr>
        <w:t xml:space="preserve"> 2016; </w:t>
      </w:r>
      <w:r w:rsidRPr="009C2F78">
        <w:rPr>
          <w:rFonts w:ascii="Book Antiqua" w:hAnsi="Book Antiqua"/>
          <w:b/>
          <w:bCs/>
        </w:rPr>
        <w:t>7</w:t>
      </w:r>
      <w:r w:rsidRPr="009C2F78">
        <w:rPr>
          <w:rFonts w:ascii="Book Antiqua" w:hAnsi="Book Antiqua"/>
        </w:rPr>
        <w:t xml:space="preserve"> [PMID: 27923925 DOI: 10.1128/mBio.01998-16]</w:t>
      </w:r>
    </w:p>
    <w:p w14:paraId="677EC921"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26 </w:t>
      </w:r>
      <w:r w:rsidRPr="009C2F78">
        <w:rPr>
          <w:rFonts w:ascii="Book Antiqua" w:hAnsi="Book Antiqua"/>
          <w:b/>
          <w:bCs/>
        </w:rPr>
        <w:t>Debing Y</w:t>
      </w:r>
      <w:r w:rsidRPr="009C2F78">
        <w:rPr>
          <w:rFonts w:ascii="Book Antiqua" w:hAnsi="Book Antiqua"/>
        </w:rPr>
        <w:t xml:space="preserve">, Neyts J, Thibaut HJ. Molecular biology and inhibitors of hepatitis A virus. </w:t>
      </w:r>
      <w:r w:rsidRPr="009C2F78">
        <w:rPr>
          <w:rFonts w:ascii="Book Antiqua" w:hAnsi="Book Antiqua"/>
          <w:i/>
          <w:iCs/>
        </w:rPr>
        <w:t>Med Res Rev</w:t>
      </w:r>
      <w:r w:rsidRPr="009C2F78">
        <w:rPr>
          <w:rFonts w:ascii="Book Antiqua" w:hAnsi="Book Antiqua"/>
        </w:rPr>
        <w:t xml:space="preserve"> 2014; </w:t>
      </w:r>
      <w:r w:rsidRPr="009C2F78">
        <w:rPr>
          <w:rFonts w:ascii="Book Antiqua" w:hAnsi="Book Antiqua"/>
          <w:b/>
          <w:bCs/>
        </w:rPr>
        <w:t>34</w:t>
      </w:r>
      <w:r w:rsidRPr="009C2F78">
        <w:rPr>
          <w:rFonts w:ascii="Book Antiqua" w:hAnsi="Book Antiqua"/>
        </w:rPr>
        <w:t>: 895-917 [PMID: 23722879 DOI: 10.1002/med.21292]</w:t>
      </w:r>
    </w:p>
    <w:p w14:paraId="05F6DCD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27 </w:t>
      </w:r>
      <w:r w:rsidRPr="009C2F78">
        <w:rPr>
          <w:rFonts w:ascii="Book Antiqua" w:hAnsi="Book Antiqua"/>
          <w:b/>
          <w:bCs/>
        </w:rPr>
        <w:t>Cordes S</w:t>
      </w:r>
      <w:r w:rsidRPr="009C2F78">
        <w:rPr>
          <w:rFonts w:ascii="Book Antiqua" w:hAnsi="Book Antiqua"/>
        </w:rPr>
        <w:t xml:space="preserve">, Kusov Y, Heise T, Gauss-Müller V. La autoantigen suppresses IRES-dependent translation of the hepatitis A virus. </w:t>
      </w:r>
      <w:r w:rsidRPr="009C2F78">
        <w:rPr>
          <w:rFonts w:ascii="Book Antiqua" w:hAnsi="Book Antiqua"/>
          <w:i/>
          <w:iCs/>
        </w:rPr>
        <w:t>Biochem Biophys Res Commun</w:t>
      </w:r>
      <w:r w:rsidRPr="009C2F78">
        <w:rPr>
          <w:rFonts w:ascii="Book Antiqua" w:hAnsi="Book Antiqua"/>
        </w:rPr>
        <w:t xml:space="preserve"> 2008; </w:t>
      </w:r>
      <w:r w:rsidRPr="009C2F78">
        <w:rPr>
          <w:rFonts w:ascii="Book Antiqua" w:hAnsi="Book Antiqua"/>
          <w:b/>
          <w:bCs/>
        </w:rPr>
        <w:t>368</w:t>
      </w:r>
      <w:r w:rsidRPr="009C2F78">
        <w:rPr>
          <w:rFonts w:ascii="Book Antiqua" w:hAnsi="Book Antiqua"/>
        </w:rPr>
        <w:t>: 1014-1019 [PMID: 18282467 DOI: 10.1016/j.bbrc.2008.01.163]</w:t>
      </w:r>
    </w:p>
    <w:p w14:paraId="6A8211FE"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28 </w:t>
      </w:r>
      <w:r w:rsidRPr="009C2F78">
        <w:rPr>
          <w:rFonts w:ascii="Book Antiqua" w:hAnsi="Book Antiqua"/>
          <w:b/>
          <w:bCs/>
        </w:rPr>
        <w:t>Gosert R</w:t>
      </w:r>
      <w:r w:rsidRPr="009C2F78">
        <w:rPr>
          <w:rFonts w:ascii="Book Antiqua" w:hAnsi="Book Antiqua"/>
        </w:rPr>
        <w:t xml:space="preserve">, Chang KH, Rijnbrand R, Yi M, Sangar DV, Lemon SM. Transient expression of cellular polypyrimidine-tract binding protein stimulates cap-independent translation directed by both picornaviral and flaviviral internal ribosome entry sites In vivo. </w:t>
      </w:r>
      <w:r w:rsidRPr="009C2F78">
        <w:rPr>
          <w:rFonts w:ascii="Book Antiqua" w:hAnsi="Book Antiqua"/>
          <w:i/>
          <w:iCs/>
        </w:rPr>
        <w:t>Mol Cell Biol</w:t>
      </w:r>
      <w:r w:rsidRPr="009C2F78">
        <w:rPr>
          <w:rFonts w:ascii="Book Antiqua" w:hAnsi="Book Antiqua"/>
        </w:rPr>
        <w:t xml:space="preserve"> 2000; </w:t>
      </w:r>
      <w:r w:rsidRPr="009C2F78">
        <w:rPr>
          <w:rFonts w:ascii="Book Antiqua" w:hAnsi="Book Antiqua"/>
          <w:b/>
          <w:bCs/>
        </w:rPr>
        <w:t>20</w:t>
      </w:r>
      <w:r w:rsidRPr="009C2F78">
        <w:rPr>
          <w:rFonts w:ascii="Book Antiqua" w:hAnsi="Book Antiqua"/>
        </w:rPr>
        <w:t>: 1583-1595 [PMID: 10669736 DOI: 10.1128/mcb.20.5.1583-1595.2000]</w:t>
      </w:r>
    </w:p>
    <w:p w14:paraId="6593102E" w14:textId="50B61EB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29</w:t>
      </w:r>
      <w:r w:rsidR="009C2F78" w:rsidRPr="009C2F78">
        <w:rPr>
          <w:rFonts w:ascii="Book Antiqua" w:hAnsi="Book Antiqua"/>
        </w:rPr>
        <w:t xml:space="preserve"> </w:t>
      </w:r>
      <w:r w:rsidR="009C2F78" w:rsidRPr="009C2F78">
        <w:rPr>
          <w:rFonts w:ascii="Book Antiqua" w:hAnsi="Book Antiqua"/>
          <w:b/>
          <w:bCs/>
        </w:rPr>
        <w:t>Schultz DE</w:t>
      </w:r>
      <w:r w:rsidR="009C2F78" w:rsidRPr="009C2F78">
        <w:rPr>
          <w:rFonts w:ascii="Book Antiqua" w:hAnsi="Book Antiqua"/>
        </w:rPr>
        <w:t xml:space="preserve">, Hardin CC, Lemon SM. Specific interaction of glyceraldehyde 3-phosphate dehydrogenase with the 5'-nontranslated RNA of hepatitis A virus. </w:t>
      </w:r>
      <w:r w:rsidR="009C2F78" w:rsidRPr="009C2F78">
        <w:rPr>
          <w:rFonts w:ascii="Book Antiqua" w:hAnsi="Book Antiqua"/>
          <w:i/>
          <w:iCs/>
        </w:rPr>
        <w:t>J Biol Chem</w:t>
      </w:r>
      <w:r w:rsidR="009C2F78" w:rsidRPr="009C2F78">
        <w:rPr>
          <w:rFonts w:ascii="Book Antiqua" w:hAnsi="Book Antiqua"/>
        </w:rPr>
        <w:t xml:space="preserve"> 1996; </w:t>
      </w:r>
      <w:r w:rsidR="009C2F78" w:rsidRPr="009C2F78">
        <w:rPr>
          <w:rFonts w:ascii="Book Antiqua" w:hAnsi="Book Antiqua"/>
          <w:b/>
          <w:bCs/>
        </w:rPr>
        <w:t>271</w:t>
      </w:r>
      <w:r w:rsidR="009C2F78" w:rsidRPr="009C2F78">
        <w:rPr>
          <w:rFonts w:ascii="Book Antiqua" w:hAnsi="Book Antiqua"/>
        </w:rPr>
        <w:t>: 14134-14142 [PMID: 8662893 DOI: 10.1074/jbc.271.24.14134]</w:t>
      </w:r>
    </w:p>
    <w:p w14:paraId="55E0B2D0" w14:textId="75C506A1"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30</w:t>
      </w:r>
      <w:r w:rsidRPr="009C2F78">
        <w:rPr>
          <w:rFonts w:ascii="Book Antiqua" w:hAnsi="Book Antiqua"/>
        </w:rPr>
        <w:t xml:space="preserve"> </w:t>
      </w:r>
      <w:r w:rsidR="009C2F78" w:rsidRPr="009C2F78">
        <w:rPr>
          <w:rFonts w:ascii="Book Antiqua" w:hAnsi="Book Antiqua"/>
          <w:b/>
          <w:bCs/>
        </w:rPr>
        <w:t>Graff J</w:t>
      </w:r>
      <w:r w:rsidR="009C2F78" w:rsidRPr="009C2F78">
        <w:rPr>
          <w:rFonts w:ascii="Book Antiqua" w:hAnsi="Book Antiqua"/>
        </w:rPr>
        <w:t xml:space="preserve">, Cha J, Blyn LB, Ehrenfeld E. Interaction of poly(rC) binding protein 2 with the 5' noncoding region of hepatitis A virus RNA and its effects on translation. </w:t>
      </w:r>
      <w:r w:rsidR="009C2F78" w:rsidRPr="009C2F78">
        <w:rPr>
          <w:rFonts w:ascii="Book Antiqua" w:hAnsi="Book Antiqua"/>
          <w:i/>
          <w:iCs/>
        </w:rPr>
        <w:t>J Virol</w:t>
      </w:r>
      <w:r w:rsidR="009C2F78" w:rsidRPr="009C2F78">
        <w:rPr>
          <w:rFonts w:ascii="Book Antiqua" w:hAnsi="Book Antiqua"/>
        </w:rPr>
        <w:t xml:space="preserve"> 1998; </w:t>
      </w:r>
      <w:r w:rsidR="009C2F78" w:rsidRPr="009C2F78">
        <w:rPr>
          <w:rFonts w:ascii="Book Antiqua" w:hAnsi="Book Antiqua"/>
          <w:b/>
          <w:bCs/>
        </w:rPr>
        <w:t>72</w:t>
      </w:r>
      <w:r w:rsidR="009C2F78" w:rsidRPr="009C2F78">
        <w:rPr>
          <w:rFonts w:ascii="Book Antiqua" w:hAnsi="Book Antiqua"/>
        </w:rPr>
        <w:t>: 9668-9675 [PMID: 9811700 DOI: 10.1128/JVI.72.12.9668-9675.1998]</w:t>
      </w:r>
    </w:p>
    <w:p w14:paraId="2838CA4D" w14:textId="229C388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31</w:t>
      </w:r>
      <w:r w:rsidRPr="009C2F78">
        <w:rPr>
          <w:rFonts w:ascii="Book Antiqua" w:hAnsi="Book Antiqua"/>
        </w:rPr>
        <w:t xml:space="preserve"> </w:t>
      </w:r>
      <w:r w:rsidR="009C2F78" w:rsidRPr="009C2F78">
        <w:rPr>
          <w:rFonts w:ascii="Book Antiqua" w:hAnsi="Book Antiqua"/>
          <w:b/>
          <w:bCs/>
        </w:rPr>
        <w:t>Zhang B</w:t>
      </w:r>
      <w:r w:rsidR="009C2F78" w:rsidRPr="009C2F78">
        <w:rPr>
          <w:rFonts w:ascii="Book Antiqua" w:hAnsi="Book Antiqua"/>
        </w:rPr>
        <w:t xml:space="preserve">, Morace G, Gauss-Müller V, Kusov Y. Poly(A) binding protein, C-terminally truncated by the hepatitis A virus proteinase 3C, inhibits viral translation. </w:t>
      </w:r>
      <w:r w:rsidR="009C2F78" w:rsidRPr="009C2F78">
        <w:rPr>
          <w:rFonts w:ascii="Book Antiqua" w:hAnsi="Book Antiqua"/>
          <w:i/>
          <w:iCs/>
        </w:rPr>
        <w:t>Nucleic Acids Res</w:t>
      </w:r>
      <w:r w:rsidR="009C2F78" w:rsidRPr="009C2F78">
        <w:rPr>
          <w:rFonts w:ascii="Book Antiqua" w:hAnsi="Book Antiqua"/>
        </w:rPr>
        <w:t xml:space="preserve"> 2007; </w:t>
      </w:r>
      <w:r w:rsidR="009C2F78" w:rsidRPr="009C2F78">
        <w:rPr>
          <w:rFonts w:ascii="Book Antiqua" w:hAnsi="Book Antiqua"/>
          <w:b/>
          <w:bCs/>
        </w:rPr>
        <w:t>35</w:t>
      </w:r>
      <w:r w:rsidR="009C2F78" w:rsidRPr="009C2F78">
        <w:rPr>
          <w:rFonts w:ascii="Book Antiqua" w:hAnsi="Book Antiqua"/>
        </w:rPr>
        <w:t>: 5975-5984 [PMID: 17726047 DOI: 10.1093/nar/gkm645]</w:t>
      </w:r>
    </w:p>
    <w:p w14:paraId="25B5C5AA" w14:textId="5E30D45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32</w:t>
      </w:r>
      <w:r w:rsidRPr="009C2F78">
        <w:rPr>
          <w:rFonts w:ascii="Book Antiqua" w:hAnsi="Book Antiqua"/>
        </w:rPr>
        <w:t xml:space="preserve"> </w:t>
      </w:r>
      <w:r w:rsidR="009C2F78" w:rsidRPr="009C2F78">
        <w:rPr>
          <w:rFonts w:ascii="Book Antiqua" w:hAnsi="Book Antiqua"/>
          <w:b/>
          <w:bCs/>
        </w:rPr>
        <w:t>Ali IK</w:t>
      </w:r>
      <w:r w:rsidR="009C2F78" w:rsidRPr="009C2F78">
        <w:rPr>
          <w:rFonts w:ascii="Book Antiqua" w:hAnsi="Book Antiqua"/>
        </w:rPr>
        <w:t xml:space="preserve">, McKendrick L, Morley SJ, Jackson RJ. Activity of the hepatitis A virus IRES requires association between the cap-binding translation initiation factor (eIF4E) and eIF4G. </w:t>
      </w:r>
      <w:r w:rsidR="009C2F78" w:rsidRPr="009C2F78">
        <w:rPr>
          <w:rFonts w:ascii="Book Antiqua" w:hAnsi="Book Antiqua"/>
          <w:i/>
          <w:iCs/>
        </w:rPr>
        <w:t>J Virol</w:t>
      </w:r>
      <w:r w:rsidR="009C2F78" w:rsidRPr="009C2F78">
        <w:rPr>
          <w:rFonts w:ascii="Book Antiqua" w:hAnsi="Book Antiqua"/>
        </w:rPr>
        <w:t xml:space="preserve"> 2001; </w:t>
      </w:r>
      <w:r w:rsidR="009C2F78" w:rsidRPr="009C2F78">
        <w:rPr>
          <w:rFonts w:ascii="Book Antiqua" w:hAnsi="Book Antiqua"/>
          <w:b/>
          <w:bCs/>
        </w:rPr>
        <w:t>75</w:t>
      </w:r>
      <w:r w:rsidR="009C2F78" w:rsidRPr="009C2F78">
        <w:rPr>
          <w:rFonts w:ascii="Book Antiqua" w:hAnsi="Book Antiqua"/>
        </w:rPr>
        <w:t>: 7854-7863 [PMID: 11483729 DOI: 10.1128/jvi.75.17.7854-7863.2001]</w:t>
      </w:r>
    </w:p>
    <w:p w14:paraId="496CCE7E" w14:textId="124E731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33</w:t>
      </w:r>
      <w:r w:rsidRPr="009C2F78">
        <w:rPr>
          <w:rFonts w:ascii="Book Antiqua" w:hAnsi="Book Antiqua"/>
        </w:rPr>
        <w:t xml:space="preserve"> </w:t>
      </w:r>
      <w:r w:rsidR="009C2F78" w:rsidRPr="009C2F78">
        <w:rPr>
          <w:rFonts w:ascii="Book Antiqua" w:hAnsi="Book Antiqua"/>
          <w:b/>
          <w:bCs/>
        </w:rPr>
        <w:t>Borman AM</w:t>
      </w:r>
      <w:r w:rsidR="009C2F78" w:rsidRPr="009C2F78">
        <w:rPr>
          <w:rFonts w:ascii="Book Antiqua" w:hAnsi="Book Antiqua"/>
        </w:rPr>
        <w:t xml:space="preserve">, Kean KM. Intact eukaryotic initiation factor 4G is required for hepatitis A virus internal initiation of translation. </w:t>
      </w:r>
      <w:r w:rsidR="009C2F78" w:rsidRPr="009C2F78">
        <w:rPr>
          <w:rFonts w:ascii="Book Antiqua" w:hAnsi="Book Antiqua"/>
          <w:i/>
          <w:iCs/>
        </w:rPr>
        <w:t>Virology</w:t>
      </w:r>
      <w:r w:rsidR="009C2F78" w:rsidRPr="009C2F78">
        <w:rPr>
          <w:rFonts w:ascii="Book Antiqua" w:hAnsi="Book Antiqua"/>
        </w:rPr>
        <w:t xml:space="preserve"> 1997; </w:t>
      </w:r>
      <w:r w:rsidR="009C2F78" w:rsidRPr="009C2F78">
        <w:rPr>
          <w:rFonts w:ascii="Book Antiqua" w:hAnsi="Book Antiqua"/>
          <w:b/>
          <w:bCs/>
        </w:rPr>
        <w:t>237</w:t>
      </w:r>
      <w:r w:rsidR="009C2F78" w:rsidRPr="009C2F78">
        <w:rPr>
          <w:rFonts w:ascii="Book Antiqua" w:hAnsi="Book Antiqua"/>
        </w:rPr>
        <w:t>: 129-136 [PMID: 9344915 DOI: 10.1006/viro.1997.8761]</w:t>
      </w:r>
    </w:p>
    <w:p w14:paraId="6E3A9967" w14:textId="66A1BAED"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34</w:t>
      </w:r>
      <w:r w:rsidRPr="009C2F78">
        <w:rPr>
          <w:rFonts w:ascii="Book Antiqua" w:hAnsi="Book Antiqua"/>
        </w:rPr>
        <w:t xml:space="preserve"> </w:t>
      </w:r>
      <w:r w:rsidR="009C2F78" w:rsidRPr="009C2F78">
        <w:rPr>
          <w:rFonts w:ascii="Book Antiqua" w:hAnsi="Book Antiqua"/>
          <w:b/>
          <w:bCs/>
        </w:rPr>
        <w:t>Jiang X</w:t>
      </w:r>
      <w:r w:rsidR="009C2F78" w:rsidRPr="009C2F78">
        <w:rPr>
          <w:rFonts w:ascii="Book Antiqua" w:hAnsi="Book Antiqua"/>
        </w:rPr>
        <w:t xml:space="preserve">, Kanda T, Wu S, Nakamoto S, Saito K, Shirasawa H, Kiyohara T, Ishii K, Wakita T, Okamoto H, Yokosuka O. Suppression of La antigen exerts potential antiviral effects against hepatitis A virus. </w:t>
      </w:r>
      <w:r w:rsidR="009C2F78" w:rsidRPr="009C2F78">
        <w:rPr>
          <w:rFonts w:ascii="Book Antiqua" w:hAnsi="Book Antiqua"/>
          <w:i/>
          <w:iCs/>
        </w:rPr>
        <w:t>PLoS One</w:t>
      </w:r>
      <w:r w:rsidR="009C2F78" w:rsidRPr="009C2F78">
        <w:rPr>
          <w:rFonts w:ascii="Book Antiqua" w:hAnsi="Book Antiqua"/>
        </w:rPr>
        <w:t xml:space="preserve"> 2014; </w:t>
      </w:r>
      <w:r w:rsidR="009C2F78" w:rsidRPr="009C2F78">
        <w:rPr>
          <w:rFonts w:ascii="Book Antiqua" w:hAnsi="Book Antiqua"/>
          <w:b/>
          <w:bCs/>
        </w:rPr>
        <w:t>9</w:t>
      </w:r>
      <w:r w:rsidR="009C2F78" w:rsidRPr="009C2F78">
        <w:rPr>
          <w:rFonts w:ascii="Book Antiqua" w:hAnsi="Book Antiqua"/>
        </w:rPr>
        <w:t>: e101993 [PMID: 24999657 DOI: 10.1371/journal.pone.0101993]</w:t>
      </w:r>
    </w:p>
    <w:p w14:paraId="591BF842" w14:textId="658D0F2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35</w:t>
      </w:r>
      <w:r w:rsidRPr="009C2F78">
        <w:rPr>
          <w:rFonts w:ascii="Book Antiqua" w:hAnsi="Book Antiqua"/>
        </w:rPr>
        <w:t xml:space="preserve"> </w:t>
      </w:r>
      <w:r w:rsidR="009C2F78" w:rsidRPr="009C2F78">
        <w:rPr>
          <w:rFonts w:ascii="Book Antiqua" w:hAnsi="Book Antiqua"/>
          <w:b/>
          <w:bCs/>
        </w:rPr>
        <w:t>Jiang X</w:t>
      </w:r>
      <w:r w:rsidR="009C2F78" w:rsidRPr="009C2F78">
        <w:rPr>
          <w:rFonts w:ascii="Book Antiqua" w:hAnsi="Book Antiqua"/>
        </w:rPr>
        <w:t xml:space="preserve">, Kanda T, Nakamoto S, Saito K, Nakamura M, Wu S, Haga Y, Sasaki R, Sakamoto N, Shirasawa H, Okamoto H, Yokosuka O. The JAK2 inhibitor AZD1480 inhibits hepatitis A virus replication in Huh7 cells. </w:t>
      </w:r>
      <w:r w:rsidR="009C2F78" w:rsidRPr="009C2F78">
        <w:rPr>
          <w:rFonts w:ascii="Book Antiqua" w:hAnsi="Book Antiqua"/>
          <w:i/>
          <w:iCs/>
        </w:rPr>
        <w:t>Biochem Biophys Res Commun</w:t>
      </w:r>
      <w:r w:rsidR="009C2F78" w:rsidRPr="009C2F78">
        <w:rPr>
          <w:rFonts w:ascii="Book Antiqua" w:hAnsi="Book Antiqua"/>
        </w:rPr>
        <w:t xml:space="preserve"> 2015; </w:t>
      </w:r>
      <w:r w:rsidR="009C2F78" w:rsidRPr="009C2F78">
        <w:rPr>
          <w:rFonts w:ascii="Book Antiqua" w:hAnsi="Book Antiqua"/>
          <w:b/>
          <w:bCs/>
        </w:rPr>
        <w:t>458</w:t>
      </w:r>
      <w:r w:rsidR="009C2F78" w:rsidRPr="009C2F78">
        <w:rPr>
          <w:rFonts w:ascii="Book Antiqua" w:hAnsi="Book Antiqua"/>
        </w:rPr>
        <w:t>: 908-912 [PMID: 25704089 DOI: 10.1016/j.bbrc.2015.02.058]</w:t>
      </w:r>
    </w:p>
    <w:p w14:paraId="210FCEED" w14:textId="6F8C45E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36</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Sasaki R, Nakamoto S, Haga Y, Nakamura M, Shirasawa H, Okamoto H, Yokosuka O. The sirtuin inhibitor sirtinol inhibits hepatitis A virus (HAV) replication by inhibiting HAV internal ribosomal entry site activity. </w:t>
      </w:r>
      <w:r w:rsidR="009C2F78" w:rsidRPr="009C2F78">
        <w:rPr>
          <w:rFonts w:ascii="Book Antiqua" w:hAnsi="Book Antiqua"/>
          <w:i/>
          <w:iCs/>
        </w:rPr>
        <w:t>Biochem Biophys Res Commun</w:t>
      </w:r>
      <w:r w:rsidR="009C2F78" w:rsidRPr="009C2F78">
        <w:rPr>
          <w:rFonts w:ascii="Book Antiqua" w:hAnsi="Book Antiqua"/>
        </w:rPr>
        <w:t xml:space="preserve"> 2015; </w:t>
      </w:r>
      <w:r w:rsidR="009C2F78" w:rsidRPr="009C2F78">
        <w:rPr>
          <w:rFonts w:ascii="Book Antiqua" w:hAnsi="Book Antiqua"/>
          <w:b/>
          <w:bCs/>
        </w:rPr>
        <w:t>466</w:t>
      </w:r>
      <w:r w:rsidR="009C2F78" w:rsidRPr="009C2F78">
        <w:rPr>
          <w:rFonts w:ascii="Book Antiqua" w:hAnsi="Book Antiqua"/>
        </w:rPr>
        <w:t>: 567-571 [PMID: 26388050 DOI: 10.1016/j.bbrc.2015.09.083]</w:t>
      </w:r>
    </w:p>
    <w:p w14:paraId="7682107E" w14:textId="73639CB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37</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Yokosuka O, Imazeki F, Fujiwara K, Nagao K, Saisho H. Amantadine inhibits hepatitis A virus internal ribosomal entry site-mediated translation in human hepatoma cells. </w:t>
      </w:r>
      <w:r w:rsidR="009C2F78" w:rsidRPr="009C2F78">
        <w:rPr>
          <w:rFonts w:ascii="Book Antiqua" w:hAnsi="Book Antiqua"/>
          <w:i/>
          <w:iCs/>
        </w:rPr>
        <w:t>Biochem Biophys Res Commun</w:t>
      </w:r>
      <w:r w:rsidR="009C2F78" w:rsidRPr="009C2F78">
        <w:rPr>
          <w:rFonts w:ascii="Book Antiqua" w:hAnsi="Book Antiqua"/>
        </w:rPr>
        <w:t xml:space="preserve"> 2005; </w:t>
      </w:r>
      <w:r w:rsidR="009C2F78" w:rsidRPr="009C2F78">
        <w:rPr>
          <w:rFonts w:ascii="Book Antiqua" w:hAnsi="Book Antiqua"/>
          <w:b/>
          <w:bCs/>
        </w:rPr>
        <w:t>331</w:t>
      </w:r>
      <w:r w:rsidR="009C2F78" w:rsidRPr="009C2F78">
        <w:rPr>
          <w:rFonts w:ascii="Book Antiqua" w:hAnsi="Book Antiqua"/>
        </w:rPr>
        <w:t>: 621-629 [PMID: 15850805 DOI: 10.1016/j.bbrc.2005.03.212]</w:t>
      </w:r>
    </w:p>
    <w:p w14:paraId="76BFAD07" w14:textId="4F800FF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38</w:t>
      </w:r>
      <w:r w:rsidRPr="009C2F78">
        <w:rPr>
          <w:rFonts w:ascii="Book Antiqua" w:hAnsi="Book Antiqua"/>
        </w:rPr>
        <w:t xml:space="preserve"> </w:t>
      </w:r>
      <w:r w:rsidR="009C2F78" w:rsidRPr="009C2F78">
        <w:rPr>
          <w:rFonts w:ascii="Book Antiqua" w:hAnsi="Book Antiqua"/>
          <w:b/>
          <w:bCs/>
        </w:rPr>
        <w:t>Yang L</w:t>
      </w:r>
      <w:r w:rsidR="009C2F78" w:rsidRPr="009C2F78">
        <w:rPr>
          <w:rFonts w:ascii="Book Antiqua" w:hAnsi="Book Antiqua"/>
        </w:rPr>
        <w:t xml:space="preserve">, Kiyohara T, Kanda T, Imazeki F, Fujiwara K, Gauss-Müller V, Ishii K, Wakita T, Yokosuka O. Inhibitory effects on HAV IRES-mediated translation and replication by a combination of amantadine and interferon-alpha. </w:t>
      </w:r>
      <w:r w:rsidR="009C2F78" w:rsidRPr="009C2F78">
        <w:rPr>
          <w:rFonts w:ascii="Book Antiqua" w:hAnsi="Book Antiqua"/>
          <w:i/>
          <w:iCs/>
        </w:rPr>
        <w:t>Virol J</w:t>
      </w:r>
      <w:r w:rsidR="009C2F78" w:rsidRPr="009C2F78">
        <w:rPr>
          <w:rFonts w:ascii="Book Antiqua" w:hAnsi="Book Antiqua"/>
        </w:rPr>
        <w:t xml:space="preserve"> 2010; </w:t>
      </w:r>
      <w:r w:rsidR="009C2F78" w:rsidRPr="009C2F78">
        <w:rPr>
          <w:rFonts w:ascii="Book Antiqua" w:hAnsi="Book Antiqua"/>
          <w:b/>
          <w:bCs/>
        </w:rPr>
        <w:t>7</w:t>
      </w:r>
      <w:r w:rsidR="009C2F78" w:rsidRPr="009C2F78">
        <w:rPr>
          <w:rFonts w:ascii="Book Antiqua" w:hAnsi="Book Antiqua"/>
        </w:rPr>
        <w:t>: 212 [PMID: 20815893 DOI: 10.1186/1743-422X-7-212]</w:t>
      </w:r>
    </w:p>
    <w:p w14:paraId="325DDE1B" w14:textId="7EF2525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39</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Wu S, Kiyohara T, Nakamoto S, Jiang X, Miyamura T, Imazeki F, Ishii K, Wakita T, Yokosuka O. Interleukin-29 suppresses hepatitis A and C viral internal </w:t>
      </w:r>
      <w:r w:rsidR="009C2F78" w:rsidRPr="009C2F78">
        <w:rPr>
          <w:rFonts w:ascii="Book Antiqua" w:hAnsi="Book Antiqua"/>
        </w:rPr>
        <w:lastRenderedPageBreak/>
        <w:t xml:space="preserve">ribosomal entry site-mediated translation. </w:t>
      </w:r>
      <w:r w:rsidR="009C2F78" w:rsidRPr="009C2F78">
        <w:rPr>
          <w:rFonts w:ascii="Book Antiqua" w:hAnsi="Book Antiqua"/>
          <w:i/>
          <w:iCs/>
        </w:rPr>
        <w:t>Viral Immunol</w:t>
      </w:r>
      <w:r w:rsidR="009C2F78" w:rsidRPr="009C2F78">
        <w:rPr>
          <w:rFonts w:ascii="Book Antiqua" w:hAnsi="Book Antiqua"/>
        </w:rPr>
        <w:t xml:space="preserve"> 2012; </w:t>
      </w:r>
      <w:r w:rsidR="009C2F78" w:rsidRPr="009C2F78">
        <w:rPr>
          <w:rFonts w:ascii="Book Antiqua" w:hAnsi="Book Antiqua"/>
          <w:b/>
          <w:bCs/>
        </w:rPr>
        <w:t>25</w:t>
      </w:r>
      <w:r w:rsidR="009C2F78" w:rsidRPr="009C2F78">
        <w:rPr>
          <w:rFonts w:ascii="Book Antiqua" w:hAnsi="Book Antiqua"/>
        </w:rPr>
        <w:t>: 379-386 [PMID: 23035851 DOI: 10.1089/vim.2012.0021]</w:t>
      </w:r>
    </w:p>
    <w:p w14:paraId="561E6F53" w14:textId="314D05D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40</w:t>
      </w:r>
      <w:r w:rsidRPr="009C2F78">
        <w:rPr>
          <w:rFonts w:ascii="Book Antiqua" w:hAnsi="Book Antiqua"/>
        </w:rPr>
        <w:t xml:space="preserve"> </w:t>
      </w:r>
      <w:r w:rsidR="009C2F78" w:rsidRPr="009C2F78">
        <w:rPr>
          <w:rFonts w:ascii="Book Antiqua" w:hAnsi="Book Antiqua"/>
          <w:b/>
          <w:bCs/>
        </w:rPr>
        <w:t>Omolo CA</w:t>
      </w:r>
      <w:r w:rsidR="009C2F78" w:rsidRPr="009C2F78">
        <w:rPr>
          <w:rFonts w:ascii="Book Antiqua" w:hAnsi="Book Antiqua"/>
        </w:rPr>
        <w:t xml:space="preserve">, Soni N, Fasiku VO, Mackraj I, Govender T. Update on therapeutic approaches and emerging therapies for SARS-CoV-2 virus. </w:t>
      </w:r>
      <w:r w:rsidR="009C2F78" w:rsidRPr="009C2F78">
        <w:rPr>
          <w:rFonts w:ascii="Book Antiqua" w:hAnsi="Book Antiqua"/>
          <w:i/>
          <w:iCs/>
        </w:rPr>
        <w:t>Eur J Pharmacol</w:t>
      </w:r>
      <w:r w:rsidR="009C2F78" w:rsidRPr="009C2F78">
        <w:rPr>
          <w:rFonts w:ascii="Book Antiqua" w:hAnsi="Book Antiqua"/>
        </w:rPr>
        <w:t xml:space="preserve"> 2020; </w:t>
      </w:r>
      <w:r w:rsidR="009C2F78" w:rsidRPr="009C2F78">
        <w:rPr>
          <w:rFonts w:ascii="Book Antiqua" w:hAnsi="Book Antiqua"/>
          <w:b/>
          <w:bCs/>
        </w:rPr>
        <w:t>883</w:t>
      </w:r>
      <w:r w:rsidR="009C2F78" w:rsidRPr="009C2F78">
        <w:rPr>
          <w:rFonts w:ascii="Book Antiqua" w:hAnsi="Book Antiqua"/>
        </w:rPr>
        <w:t>: 173348 [PMID: 32634438 DOI: 10.1016/j.ejphar.2020.173348]</w:t>
      </w:r>
    </w:p>
    <w:p w14:paraId="68A1A1DC" w14:textId="72E5818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41</w:t>
      </w:r>
      <w:r w:rsidRPr="009C2F78">
        <w:rPr>
          <w:rFonts w:ascii="Book Antiqua" w:hAnsi="Book Antiqua"/>
        </w:rPr>
        <w:t xml:space="preserve"> </w:t>
      </w:r>
      <w:r w:rsidR="009C2F78" w:rsidRPr="009C2F78">
        <w:rPr>
          <w:rFonts w:ascii="Book Antiqua" w:hAnsi="Book Antiqua"/>
          <w:b/>
          <w:bCs/>
        </w:rPr>
        <w:t>Das A</w:t>
      </w:r>
      <w:r w:rsidR="009C2F78" w:rsidRPr="009C2F78">
        <w:rPr>
          <w:rFonts w:ascii="Book Antiqua" w:hAnsi="Book Antiqua"/>
        </w:rPr>
        <w:t xml:space="preserve">, Barrientos R, Shiota T, Madigan V, Misumi I, McKnight KL, Sun L, Li Z, Meganck RM, Li Y, Kaluzna E, Asokan A, Whitmire JK, Kapustina M, Zhang Q, Lemon SM. Gangliosides are essential endosomal receptors for quasi-enveloped and naked hepatitis A virus. </w:t>
      </w:r>
      <w:r w:rsidR="009C2F78" w:rsidRPr="009C2F78">
        <w:rPr>
          <w:rFonts w:ascii="Book Antiqua" w:hAnsi="Book Antiqua"/>
          <w:i/>
          <w:iCs/>
        </w:rPr>
        <w:t>Nat Microbiol</w:t>
      </w:r>
      <w:r w:rsidR="009C2F78" w:rsidRPr="009C2F78">
        <w:rPr>
          <w:rFonts w:ascii="Book Antiqua" w:hAnsi="Book Antiqua"/>
        </w:rPr>
        <w:t xml:space="preserve"> 2020; </w:t>
      </w:r>
      <w:r w:rsidR="009C2F78" w:rsidRPr="009C2F78">
        <w:rPr>
          <w:rFonts w:ascii="Book Antiqua" w:hAnsi="Book Antiqua"/>
          <w:b/>
          <w:bCs/>
        </w:rPr>
        <w:t>5</w:t>
      </w:r>
      <w:r w:rsidR="009C2F78" w:rsidRPr="009C2F78">
        <w:rPr>
          <w:rFonts w:ascii="Book Antiqua" w:hAnsi="Book Antiqua"/>
        </w:rPr>
        <w:t>: 1069-1078 [PMID: 32451473 DOI: 10.1038/s41564-020-0727-8]</w:t>
      </w:r>
    </w:p>
    <w:p w14:paraId="1BCB658B" w14:textId="69A757B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42</w:t>
      </w:r>
      <w:r w:rsidRPr="009C2F78">
        <w:rPr>
          <w:rFonts w:ascii="Book Antiqua" w:hAnsi="Book Antiqua"/>
        </w:rPr>
        <w:t xml:space="preserve"> </w:t>
      </w:r>
      <w:r w:rsidR="009C2F78" w:rsidRPr="009C2F78">
        <w:rPr>
          <w:rFonts w:ascii="Book Antiqua" w:hAnsi="Book Antiqua"/>
          <w:b/>
          <w:bCs/>
        </w:rPr>
        <w:t>Yin J</w:t>
      </w:r>
      <w:r w:rsidR="009C2F78" w:rsidRPr="009C2F78">
        <w:rPr>
          <w:rFonts w:ascii="Book Antiqua" w:hAnsi="Book Antiqua"/>
        </w:rPr>
        <w:t xml:space="preserve">, Bergmann EM, Cherney MM, Lall MS, Jain RP, Vederas JC, James MN. Dual modes of modification of hepatitis A virus 3C protease by a serine-derived beta-lactone: selective crystallization and formation of a functional catalytic triad in the active site. </w:t>
      </w:r>
      <w:r w:rsidR="009C2F78" w:rsidRPr="009C2F78">
        <w:rPr>
          <w:rFonts w:ascii="Book Antiqua" w:hAnsi="Book Antiqua"/>
          <w:i/>
          <w:iCs/>
        </w:rPr>
        <w:t>J Mol Biol</w:t>
      </w:r>
      <w:r w:rsidR="009C2F78" w:rsidRPr="009C2F78">
        <w:rPr>
          <w:rFonts w:ascii="Book Antiqua" w:hAnsi="Book Antiqua"/>
        </w:rPr>
        <w:t xml:space="preserve"> 2005; </w:t>
      </w:r>
      <w:r w:rsidR="009C2F78" w:rsidRPr="009C2F78">
        <w:rPr>
          <w:rFonts w:ascii="Book Antiqua" w:hAnsi="Book Antiqua"/>
          <w:b/>
          <w:bCs/>
        </w:rPr>
        <w:t>354</w:t>
      </w:r>
      <w:r w:rsidR="009C2F78" w:rsidRPr="009C2F78">
        <w:rPr>
          <w:rFonts w:ascii="Book Antiqua" w:hAnsi="Book Antiqua"/>
        </w:rPr>
        <w:t>: 854-871 [PMID: 16288920 DOI: 10.1016/j.jmb.2005.09.074]</w:t>
      </w:r>
    </w:p>
    <w:p w14:paraId="65033932" w14:textId="53DCAD2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43</w:t>
      </w:r>
      <w:r w:rsidRPr="009C2F78">
        <w:rPr>
          <w:rFonts w:ascii="Book Antiqua" w:hAnsi="Book Antiqua"/>
        </w:rPr>
        <w:t xml:space="preserve"> </w:t>
      </w:r>
      <w:r w:rsidR="009C2F78" w:rsidRPr="009C2F78">
        <w:rPr>
          <w:rFonts w:ascii="Book Antiqua" w:hAnsi="Book Antiqua"/>
          <w:b/>
          <w:bCs/>
        </w:rPr>
        <w:t>Koirala D</w:t>
      </w:r>
      <w:r w:rsidR="009C2F78" w:rsidRPr="009C2F78">
        <w:rPr>
          <w:rFonts w:ascii="Book Antiqua" w:hAnsi="Book Antiqua"/>
        </w:rPr>
        <w:t xml:space="preserve">, Shao Y, Koldobskaya Y, Fuller JR, Watkins AM, Shelke SA, Pilipenko EV, Das R, Rice PA, Piccirilli JA. A conserved RNA structural motif for organizing topology within picornaviral internal ribosome entry sites. </w:t>
      </w:r>
      <w:r w:rsidR="009C2F78" w:rsidRPr="009C2F78">
        <w:rPr>
          <w:rFonts w:ascii="Book Antiqua" w:hAnsi="Book Antiqua"/>
          <w:i/>
          <w:iCs/>
        </w:rPr>
        <w:t>Nat Commun</w:t>
      </w:r>
      <w:r w:rsidR="009C2F78" w:rsidRPr="009C2F78">
        <w:rPr>
          <w:rFonts w:ascii="Book Antiqua" w:hAnsi="Book Antiqua"/>
        </w:rPr>
        <w:t xml:space="preserve"> 2019; </w:t>
      </w:r>
      <w:r w:rsidR="009C2F78" w:rsidRPr="009C2F78">
        <w:rPr>
          <w:rFonts w:ascii="Book Antiqua" w:hAnsi="Book Antiqua"/>
          <w:b/>
          <w:bCs/>
        </w:rPr>
        <w:t>10</w:t>
      </w:r>
      <w:r w:rsidR="009C2F78" w:rsidRPr="009C2F78">
        <w:rPr>
          <w:rFonts w:ascii="Book Antiqua" w:hAnsi="Book Antiqua"/>
        </w:rPr>
        <w:t>: 3629 [PMID: 31399592 DOI: 10.1038/s41467-019-11585-z]</w:t>
      </w:r>
    </w:p>
    <w:p w14:paraId="47B619BE" w14:textId="53EC327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44</w:t>
      </w:r>
      <w:r w:rsidRPr="009C2F78">
        <w:rPr>
          <w:rFonts w:ascii="Book Antiqua" w:hAnsi="Book Antiqua"/>
        </w:rPr>
        <w:t xml:space="preserve"> </w:t>
      </w:r>
      <w:r w:rsidR="009C2F78" w:rsidRPr="009C2F78">
        <w:rPr>
          <w:rFonts w:ascii="Book Antiqua" w:hAnsi="Book Antiqua"/>
          <w:b/>
          <w:bCs/>
        </w:rPr>
        <w:t>DiNunno NM</w:t>
      </w:r>
      <w:r w:rsidR="009C2F78" w:rsidRPr="009C2F78">
        <w:rPr>
          <w:rFonts w:ascii="Book Antiqua" w:hAnsi="Book Antiqua"/>
        </w:rPr>
        <w:t xml:space="preserve">, Goetschius DJ, Narayanan A, Majowicz SA, Moustafa I, Bator CM, Hafenstein SL, Jose J. Identification of a pocket factor that is critical to Zika virus assembly. </w:t>
      </w:r>
      <w:r w:rsidR="009C2F78" w:rsidRPr="009C2F78">
        <w:rPr>
          <w:rFonts w:ascii="Book Antiqua" w:hAnsi="Book Antiqua"/>
          <w:i/>
          <w:iCs/>
        </w:rPr>
        <w:t>Nat Commun</w:t>
      </w:r>
      <w:r w:rsidR="009C2F78" w:rsidRPr="009C2F78">
        <w:rPr>
          <w:rFonts w:ascii="Book Antiqua" w:hAnsi="Book Antiqua"/>
        </w:rPr>
        <w:t xml:space="preserve"> 2020; </w:t>
      </w:r>
      <w:r w:rsidR="009C2F78" w:rsidRPr="009C2F78">
        <w:rPr>
          <w:rFonts w:ascii="Book Antiqua" w:hAnsi="Book Antiqua"/>
          <w:b/>
          <w:bCs/>
        </w:rPr>
        <w:t>11</w:t>
      </w:r>
      <w:r w:rsidR="009C2F78" w:rsidRPr="009C2F78">
        <w:rPr>
          <w:rFonts w:ascii="Book Antiqua" w:hAnsi="Book Antiqua"/>
        </w:rPr>
        <w:t>: 4953 [PMID: 33009400 DOI: 10.1038/s41467-020-18747-4]</w:t>
      </w:r>
    </w:p>
    <w:p w14:paraId="30065B0D" w14:textId="27591C5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45</w:t>
      </w:r>
      <w:r w:rsidRPr="009C2F78">
        <w:rPr>
          <w:rFonts w:ascii="Book Antiqua" w:hAnsi="Book Antiqua"/>
        </w:rPr>
        <w:t xml:space="preserve"> </w:t>
      </w:r>
      <w:r w:rsidR="009C2F78" w:rsidRPr="009C2F78">
        <w:rPr>
          <w:rFonts w:ascii="Book Antiqua" w:hAnsi="Book Antiqua"/>
          <w:b/>
          <w:bCs/>
        </w:rPr>
        <w:t>Sirota M</w:t>
      </w:r>
      <w:r w:rsidR="009C2F78" w:rsidRPr="009C2F78">
        <w:rPr>
          <w:rFonts w:ascii="Book Antiqua" w:hAnsi="Book Antiqua"/>
        </w:rPr>
        <w:t xml:space="preserve">, Dudley JT, Kim J, Chiang AP, Morgan AA, Sweet-Cordero A, Sage J, Butte AJ. Discovery and preclinical validation of drug indications using compendia of public gene expression data. </w:t>
      </w:r>
      <w:r w:rsidR="009C2F78" w:rsidRPr="009C2F78">
        <w:rPr>
          <w:rFonts w:ascii="Book Antiqua" w:hAnsi="Book Antiqua"/>
          <w:i/>
          <w:iCs/>
        </w:rPr>
        <w:t>Sci Transl Med</w:t>
      </w:r>
      <w:r w:rsidR="009C2F78" w:rsidRPr="009C2F78">
        <w:rPr>
          <w:rFonts w:ascii="Book Antiqua" w:hAnsi="Book Antiqua"/>
        </w:rPr>
        <w:t xml:space="preserve"> 2011; </w:t>
      </w:r>
      <w:r w:rsidR="009C2F78" w:rsidRPr="009C2F78">
        <w:rPr>
          <w:rFonts w:ascii="Book Antiqua" w:hAnsi="Book Antiqua"/>
          <w:b/>
          <w:bCs/>
        </w:rPr>
        <w:t>3</w:t>
      </w:r>
      <w:r w:rsidR="009C2F78" w:rsidRPr="009C2F78">
        <w:rPr>
          <w:rFonts w:ascii="Book Antiqua" w:hAnsi="Book Antiqua"/>
        </w:rPr>
        <w:t>: 96ra77 [PMID: 21849665 DOI: 10.1126/scitranslmed.3001318]</w:t>
      </w:r>
    </w:p>
    <w:p w14:paraId="7EDFD111" w14:textId="20A1A51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46</w:t>
      </w:r>
      <w:r w:rsidRPr="009C2F78">
        <w:rPr>
          <w:rFonts w:ascii="Book Antiqua" w:hAnsi="Book Antiqua"/>
        </w:rPr>
        <w:t xml:space="preserve"> </w:t>
      </w:r>
      <w:r w:rsidR="009C2F78" w:rsidRPr="009C2F78">
        <w:rPr>
          <w:rFonts w:ascii="Book Antiqua" w:hAnsi="Book Antiqua"/>
          <w:b/>
          <w:bCs/>
        </w:rPr>
        <w:t>Gao K</w:t>
      </w:r>
      <w:r w:rsidR="009C2F78" w:rsidRPr="009C2F78">
        <w:rPr>
          <w:rFonts w:ascii="Book Antiqua" w:hAnsi="Book Antiqua"/>
        </w:rPr>
        <w:t xml:space="preserve">, Nguyen DD, Chen J, Wang R, Wei GW. Repositioning of 8565 Existing Drugs for COVID-19. </w:t>
      </w:r>
      <w:r w:rsidR="009C2F78" w:rsidRPr="009C2F78">
        <w:rPr>
          <w:rFonts w:ascii="Book Antiqua" w:hAnsi="Book Antiqua"/>
          <w:i/>
          <w:iCs/>
        </w:rPr>
        <w:t>J Phys Chem Lett</w:t>
      </w:r>
      <w:r w:rsidR="009C2F78" w:rsidRPr="009C2F78">
        <w:rPr>
          <w:rFonts w:ascii="Book Antiqua" w:hAnsi="Book Antiqua"/>
        </w:rPr>
        <w:t xml:space="preserve"> 2020; </w:t>
      </w:r>
      <w:r w:rsidR="009C2F78" w:rsidRPr="009C2F78">
        <w:rPr>
          <w:rFonts w:ascii="Book Antiqua" w:hAnsi="Book Antiqua"/>
          <w:b/>
          <w:bCs/>
        </w:rPr>
        <w:t>11</w:t>
      </w:r>
      <w:r w:rsidR="009C2F78" w:rsidRPr="009C2F78">
        <w:rPr>
          <w:rFonts w:ascii="Book Antiqua" w:hAnsi="Book Antiqua"/>
        </w:rPr>
        <w:t>: 5373-5382 [PMID: 32543196 DOI: 10.1021/acs.jpclett.0c01579]</w:t>
      </w:r>
    </w:p>
    <w:p w14:paraId="6B648716" w14:textId="7446B7D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47</w:t>
      </w:r>
      <w:r w:rsidRPr="009C2F78">
        <w:rPr>
          <w:rFonts w:ascii="Book Antiqua" w:hAnsi="Book Antiqua"/>
        </w:rPr>
        <w:t xml:space="preserve"> </w:t>
      </w:r>
      <w:r w:rsidR="009C2F78" w:rsidRPr="009C2F78">
        <w:rPr>
          <w:rFonts w:ascii="Book Antiqua" w:hAnsi="Book Antiqua"/>
          <w:b/>
          <w:bCs/>
        </w:rPr>
        <w:t>Jiang W</w:t>
      </w:r>
      <w:r w:rsidR="009C2F78" w:rsidRPr="009C2F78">
        <w:rPr>
          <w:rFonts w:ascii="Book Antiqua" w:hAnsi="Book Antiqua"/>
        </w:rPr>
        <w:t xml:space="preserve">, Muhammad F, Ma P, Liu X, Long G. Sofosbuvir inhibits hepatitis A virus replication in vitro assessed by a cell-based fluorescent reporter system. </w:t>
      </w:r>
      <w:r w:rsidR="009C2F78" w:rsidRPr="009C2F78">
        <w:rPr>
          <w:rFonts w:ascii="Book Antiqua" w:hAnsi="Book Antiqua"/>
          <w:i/>
          <w:iCs/>
        </w:rPr>
        <w:t>Antiviral Res</w:t>
      </w:r>
      <w:r w:rsidR="009C2F78" w:rsidRPr="009C2F78">
        <w:rPr>
          <w:rFonts w:ascii="Book Antiqua" w:hAnsi="Book Antiqua"/>
        </w:rPr>
        <w:t xml:space="preserve"> 2018; </w:t>
      </w:r>
      <w:r w:rsidR="009C2F78" w:rsidRPr="009C2F78">
        <w:rPr>
          <w:rFonts w:ascii="Book Antiqua" w:hAnsi="Book Antiqua"/>
          <w:b/>
          <w:bCs/>
        </w:rPr>
        <w:t>154</w:t>
      </w:r>
      <w:r w:rsidR="009C2F78" w:rsidRPr="009C2F78">
        <w:rPr>
          <w:rFonts w:ascii="Book Antiqua" w:hAnsi="Book Antiqua"/>
        </w:rPr>
        <w:t>: 51-57 [PMID: 29653132 DOI: 10.1016/j.antiviral.2018.04.007]</w:t>
      </w:r>
    </w:p>
    <w:p w14:paraId="0A9F5866" w14:textId="5806DF0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48</w:t>
      </w:r>
      <w:r w:rsidRPr="009C2F78">
        <w:rPr>
          <w:rFonts w:ascii="Book Antiqua" w:hAnsi="Book Antiqua"/>
        </w:rPr>
        <w:t xml:space="preserve"> </w:t>
      </w:r>
      <w:r w:rsidR="009C2F78" w:rsidRPr="009C2F78">
        <w:rPr>
          <w:rFonts w:ascii="Book Antiqua" w:hAnsi="Book Antiqua"/>
          <w:b/>
          <w:bCs/>
        </w:rPr>
        <w:t>Abu-Zaied MA</w:t>
      </w:r>
      <w:r w:rsidR="009C2F78" w:rsidRPr="009C2F78">
        <w:rPr>
          <w:rFonts w:ascii="Book Antiqua" w:hAnsi="Book Antiqua"/>
        </w:rPr>
        <w:t xml:space="preserve">, Hammad SF, Halaweish FT, Elgemeie GH. Sofosbuvir Thio-analogues: Synthesis and Antiviral Evaluation of the First Novel Pyridine- and Pyrimidine-Based Thioglycoside Phosphoramidates. </w:t>
      </w:r>
      <w:r w:rsidR="009C2F78" w:rsidRPr="009C2F78">
        <w:rPr>
          <w:rFonts w:ascii="Book Antiqua" w:hAnsi="Book Antiqua"/>
          <w:i/>
          <w:iCs/>
        </w:rPr>
        <w:t>ACS Omega</w:t>
      </w:r>
      <w:r w:rsidR="009C2F78" w:rsidRPr="009C2F78">
        <w:rPr>
          <w:rFonts w:ascii="Book Antiqua" w:hAnsi="Book Antiqua"/>
        </w:rPr>
        <w:t xml:space="preserve"> 2020; </w:t>
      </w:r>
      <w:r w:rsidR="009C2F78" w:rsidRPr="009C2F78">
        <w:rPr>
          <w:rFonts w:ascii="Book Antiqua" w:hAnsi="Book Antiqua"/>
          <w:b/>
          <w:bCs/>
        </w:rPr>
        <w:t>5</w:t>
      </w:r>
      <w:r w:rsidR="009C2F78" w:rsidRPr="009C2F78">
        <w:rPr>
          <w:rFonts w:ascii="Book Antiqua" w:hAnsi="Book Antiqua"/>
        </w:rPr>
        <w:t>: 14645-14655 [PMID: 32596602 DOI: 10.1021/acsomega.0c01364]</w:t>
      </w:r>
    </w:p>
    <w:p w14:paraId="1E0EE8D8" w14:textId="1AA73DE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49</w:t>
      </w:r>
      <w:r w:rsidRPr="009C2F78">
        <w:rPr>
          <w:rFonts w:ascii="Book Antiqua" w:hAnsi="Book Antiqua"/>
        </w:rPr>
        <w:t xml:space="preserve"> </w:t>
      </w:r>
      <w:r w:rsidR="009C2F78" w:rsidRPr="009C2F78">
        <w:rPr>
          <w:rFonts w:ascii="Book Antiqua" w:hAnsi="Book Antiqua"/>
          <w:b/>
          <w:bCs/>
        </w:rPr>
        <w:t>Harrison C</w:t>
      </w:r>
      <w:r w:rsidR="009C2F78" w:rsidRPr="009C2F78">
        <w:rPr>
          <w:rFonts w:ascii="Book Antiqua" w:hAnsi="Book Antiqua"/>
        </w:rPr>
        <w:t xml:space="preserve">. Drug researchers pursue new lines of attack against COVID-19. </w:t>
      </w:r>
      <w:r w:rsidR="009C2F78" w:rsidRPr="009C2F78">
        <w:rPr>
          <w:rFonts w:ascii="Book Antiqua" w:hAnsi="Book Antiqua"/>
          <w:i/>
          <w:iCs/>
        </w:rPr>
        <w:t>Nat Biotechnol</w:t>
      </w:r>
      <w:r w:rsidR="009C2F78" w:rsidRPr="009C2F78">
        <w:rPr>
          <w:rFonts w:ascii="Book Antiqua" w:hAnsi="Book Antiqua"/>
        </w:rPr>
        <w:t xml:space="preserve"> 2020; </w:t>
      </w:r>
      <w:r w:rsidR="009C2F78" w:rsidRPr="009C2F78">
        <w:rPr>
          <w:rFonts w:ascii="Book Antiqua" w:hAnsi="Book Antiqua"/>
          <w:b/>
          <w:bCs/>
        </w:rPr>
        <w:t>38</w:t>
      </w:r>
      <w:r w:rsidR="009C2F78" w:rsidRPr="009C2F78">
        <w:rPr>
          <w:rFonts w:ascii="Book Antiqua" w:hAnsi="Book Antiqua"/>
        </w:rPr>
        <w:t>: 659-662 [PMID: 32417850 DOI: 10.1038/d41587-020-00013-z]</w:t>
      </w:r>
    </w:p>
    <w:p w14:paraId="3D076B41" w14:textId="1CFE946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50</w:t>
      </w:r>
      <w:r w:rsidRPr="009C2F78">
        <w:rPr>
          <w:rFonts w:ascii="Book Antiqua" w:hAnsi="Book Antiqua"/>
        </w:rPr>
        <w:t xml:space="preserve"> </w:t>
      </w:r>
      <w:r w:rsidR="009C2F78" w:rsidRPr="009C2F78">
        <w:rPr>
          <w:rFonts w:ascii="Book Antiqua" w:hAnsi="Book Antiqua"/>
          <w:b/>
          <w:bCs/>
        </w:rPr>
        <w:t>Shubin AV</w:t>
      </w:r>
      <w:r w:rsidR="009C2F78" w:rsidRPr="009C2F78">
        <w:rPr>
          <w:rFonts w:ascii="Book Antiqua" w:hAnsi="Book Antiqua"/>
        </w:rPr>
        <w:t xml:space="preserve">, Demidyuk IV, Lunina NA, Komissarov AA, Roschina MP, Leonova OG, Kostrov SV. Protease 3C of hepatitis A virus induces vacuolization of lysosomal/endosomal organelles and caspase-independent cell death. </w:t>
      </w:r>
      <w:r w:rsidR="009C2F78" w:rsidRPr="009C2F78">
        <w:rPr>
          <w:rFonts w:ascii="Book Antiqua" w:hAnsi="Book Antiqua"/>
          <w:i/>
          <w:iCs/>
        </w:rPr>
        <w:t>BMC Cell Biol</w:t>
      </w:r>
      <w:r w:rsidR="009C2F78" w:rsidRPr="009C2F78">
        <w:rPr>
          <w:rFonts w:ascii="Book Antiqua" w:hAnsi="Book Antiqua"/>
        </w:rPr>
        <w:t xml:space="preserve"> 2015; </w:t>
      </w:r>
      <w:r w:rsidR="009C2F78" w:rsidRPr="009C2F78">
        <w:rPr>
          <w:rFonts w:ascii="Book Antiqua" w:hAnsi="Book Antiqua"/>
          <w:b/>
          <w:bCs/>
        </w:rPr>
        <w:t>16</w:t>
      </w:r>
      <w:r w:rsidR="009C2F78" w:rsidRPr="009C2F78">
        <w:rPr>
          <w:rFonts w:ascii="Book Antiqua" w:hAnsi="Book Antiqua"/>
        </w:rPr>
        <w:t>: 4 [PMID: 25886889 DOI: 10.1186/s12860-015-0050-z]</w:t>
      </w:r>
    </w:p>
    <w:p w14:paraId="60AA6CB6" w14:textId="6D8FB97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51</w:t>
      </w:r>
      <w:r w:rsidRPr="009C2F78">
        <w:rPr>
          <w:rFonts w:ascii="Book Antiqua" w:hAnsi="Book Antiqua"/>
        </w:rPr>
        <w:t xml:space="preserve"> </w:t>
      </w:r>
      <w:r w:rsidR="009C2F78" w:rsidRPr="009C2F78">
        <w:rPr>
          <w:rFonts w:ascii="Book Antiqua" w:hAnsi="Book Antiqua"/>
          <w:b/>
          <w:bCs/>
        </w:rPr>
        <w:t>Choi YS</w:t>
      </w:r>
      <w:r w:rsidR="009C2F78" w:rsidRPr="009C2F78">
        <w:rPr>
          <w:rFonts w:ascii="Book Antiqua" w:hAnsi="Book Antiqua"/>
        </w:rPr>
        <w:t xml:space="preserve">, Jung MK, Lee J, Choi SJ, Choi SH, Lee HW, Lee JJ, Kim HJ, Ahn SH, Lee DH, Kim W, Park SH, Huh JR, Kim HP, Park JY, Shin EC. Tumor Necrosis Factor-producing T-regulatory Cells Are Associated With Severe Liver Injury in Patients With Acute Hepatitis A. </w:t>
      </w:r>
      <w:r w:rsidR="009C2F78" w:rsidRPr="009C2F78">
        <w:rPr>
          <w:rFonts w:ascii="Book Antiqua" w:hAnsi="Book Antiqua"/>
          <w:i/>
          <w:iCs/>
        </w:rPr>
        <w:t>Gastroenterology</w:t>
      </w:r>
      <w:r w:rsidR="009C2F78" w:rsidRPr="009C2F78">
        <w:rPr>
          <w:rFonts w:ascii="Book Antiqua" w:hAnsi="Book Antiqua"/>
        </w:rPr>
        <w:t xml:space="preserve"> 2018; </w:t>
      </w:r>
      <w:r w:rsidR="009C2F78" w:rsidRPr="009C2F78">
        <w:rPr>
          <w:rFonts w:ascii="Book Antiqua" w:hAnsi="Book Antiqua"/>
          <w:b/>
          <w:bCs/>
        </w:rPr>
        <w:t>154</w:t>
      </w:r>
      <w:r w:rsidR="009C2F78" w:rsidRPr="009C2F78">
        <w:rPr>
          <w:rFonts w:ascii="Book Antiqua" w:hAnsi="Book Antiqua"/>
        </w:rPr>
        <w:t>: 1047-1060 [PMID: 29229400 DOI: 10.1053/j.gastro.2017.11.277]</w:t>
      </w:r>
    </w:p>
    <w:p w14:paraId="051962A1" w14:textId="3DCBBF3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52</w:t>
      </w:r>
      <w:r w:rsidRPr="009C2F78">
        <w:rPr>
          <w:rFonts w:ascii="Book Antiqua" w:hAnsi="Book Antiqua"/>
        </w:rPr>
        <w:t xml:space="preserve"> </w:t>
      </w:r>
      <w:r w:rsidR="009C2F78" w:rsidRPr="009C2F78">
        <w:rPr>
          <w:rFonts w:ascii="Book Antiqua" w:hAnsi="Book Antiqua"/>
          <w:b/>
          <w:bCs/>
        </w:rPr>
        <w:t>Ogawa M,</w:t>
      </w:r>
      <w:r w:rsidR="009C2F78" w:rsidRPr="009C2F78">
        <w:rPr>
          <w:rFonts w:ascii="Book Antiqua" w:hAnsi="Book Antiqua"/>
        </w:rPr>
        <w:t xml:space="preserve"> Kanda T, Suganami A, Nakamoto S, Win NN, Tamura Y, Nakamura M, Matsuoka S, Yokosuka O, Kato N, Ohara O, Okamoto H, Moriyama M, Shirasawa H. Antiviral activity of zinc sulfate against hepatitis A virus replication. </w:t>
      </w:r>
      <w:r w:rsidR="009C2F78" w:rsidRPr="008D3191">
        <w:rPr>
          <w:rFonts w:ascii="Book Antiqua" w:hAnsi="Book Antiqua"/>
          <w:i/>
          <w:iCs/>
        </w:rPr>
        <w:t>Future Virol</w:t>
      </w:r>
      <w:r w:rsidR="009C2F78" w:rsidRPr="009C2F78">
        <w:rPr>
          <w:rFonts w:ascii="Book Antiqua" w:hAnsi="Book Antiqua"/>
        </w:rPr>
        <w:t xml:space="preserve"> 2019; </w:t>
      </w:r>
      <w:r w:rsidR="009C2F78" w:rsidRPr="008D3191">
        <w:rPr>
          <w:rFonts w:ascii="Book Antiqua" w:hAnsi="Book Antiqua"/>
          <w:b/>
          <w:bCs/>
        </w:rPr>
        <w:t>14</w:t>
      </w:r>
      <w:r w:rsidR="009C2F78" w:rsidRPr="009C2F78">
        <w:rPr>
          <w:rFonts w:ascii="Book Antiqua" w:hAnsi="Book Antiqua"/>
        </w:rPr>
        <w:t>: 399-406 [DOI: 10.2217/fvl-2019-0031]</w:t>
      </w:r>
    </w:p>
    <w:p w14:paraId="39E96C2B" w14:textId="4C743DEF"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53</w:t>
      </w:r>
      <w:r w:rsidRPr="009C2F78">
        <w:rPr>
          <w:rFonts w:ascii="Book Antiqua" w:hAnsi="Book Antiqua"/>
        </w:rPr>
        <w:t xml:space="preserve"> </w:t>
      </w:r>
      <w:r w:rsidR="009C2F78" w:rsidRPr="009C2F78">
        <w:rPr>
          <w:rFonts w:ascii="Book Antiqua" w:hAnsi="Book Antiqua"/>
          <w:b/>
          <w:bCs/>
        </w:rPr>
        <w:t>Mo L</w:t>
      </w:r>
      <w:r w:rsidR="009C2F78" w:rsidRPr="009C2F78">
        <w:rPr>
          <w:rFonts w:ascii="Book Antiqua" w:hAnsi="Book Antiqua"/>
        </w:rPr>
        <w:t xml:space="preserve">, Zeng Z, Deng R, Li Z, Sun J, Hu N, Shi J, Hu Y. Hepatitis A virus-induced hsa-miR-146a-5p attenuates IFN-β signaling by targeting adaptor protein TRAF6. </w:t>
      </w:r>
      <w:r w:rsidR="009C2F78" w:rsidRPr="009C2F78">
        <w:rPr>
          <w:rFonts w:ascii="Book Antiqua" w:hAnsi="Book Antiqua"/>
          <w:i/>
          <w:iCs/>
        </w:rPr>
        <w:t>Arch Virol</w:t>
      </w:r>
      <w:r w:rsidR="009C2F78" w:rsidRPr="009C2F78">
        <w:rPr>
          <w:rFonts w:ascii="Book Antiqua" w:hAnsi="Book Antiqua"/>
        </w:rPr>
        <w:t xml:space="preserve"> 2021 [PMID: 33459883 DOI: 10.1007/s00705-021-04952-z]</w:t>
      </w:r>
    </w:p>
    <w:p w14:paraId="4AE77181" w14:textId="2278CB33"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54</w:t>
      </w:r>
      <w:r w:rsidRPr="009C2F78">
        <w:rPr>
          <w:rFonts w:ascii="Book Antiqua" w:hAnsi="Book Antiqua"/>
        </w:rPr>
        <w:t xml:space="preserve"> </w:t>
      </w:r>
      <w:r w:rsidR="009C2F78" w:rsidRPr="009C2F78">
        <w:rPr>
          <w:rFonts w:ascii="Book Antiqua" w:hAnsi="Book Antiqua"/>
          <w:b/>
          <w:bCs/>
        </w:rPr>
        <w:t>Qureshi A</w:t>
      </w:r>
      <w:r w:rsidR="009C2F78" w:rsidRPr="009C2F78">
        <w:rPr>
          <w:rFonts w:ascii="Book Antiqua" w:hAnsi="Book Antiqua"/>
        </w:rPr>
        <w:t xml:space="preserve">, Kaur G, Kumar M. AVCpred: an integrated web server for prediction and design of antiviral compounds. </w:t>
      </w:r>
      <w:r w:rsidR="009C2F78" w:rsidRPr="009C2F78">
        <w:rPr>
          <w:rFonts w:ascii="Book Antiqua" w:hAnsi="Book Antiqua"/>
          <w:i/>
          <w:iCs/>
        </w:rPr>
        <w:t>Chem Biol Drug Des</w:t>
      </w:r>
      <w:r w:rsidR="009C2F78" w:rsidRPr="009C2F78">
        <w:rPr>
          <w:rFonts w:ascii="Book Antiqua" w:hAnsi="Book Antiqua"/>
        </w:rPr>
        <w:t xml:space="preserve"> 2017; </w:t>
      </w:r>
      <w:r w:rsidR="009C2F78" w:rsidRPr="009C2F78">
        <w:rPr>
          <w:rFonts w:ascii="Book Antiqua" w:hAnsi="Book Antiqua"/>
          <w:b/>
          <w:bCs/>
        </w:rPr>
        <w:t>89</w:t>
      </w:r>
      <w:r w:rsidR="009C2F78" w:rsidRPr="009C2F78">
        <w:rPr>
          <w:rFonts w:ascii="Book Antiqua" w:hAnsi="Book Antiqua"/>
        </w:rPr>
        <w:t>: 74-83 [PMID: 27490990 DOI: 10.1111/cbdd.12834]</w:t>
      </w:r>
    </w:p>
    <w:p w14:paraId="2BFA516F" w14:textId="0F18210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55</w:t>
      </w:r>
      <w:r w:rsidRPr="009C2F78">
        <w:rPr>
          <w:rFonts w:ascii="Book Antiqua" w:hAnsi="Book Antiqua"/>
        </w:rPr>
        <w:t xml:space="preserve"> </w:t>
      </w:r>
      <w:r w:rsidR="009C2F78" w:rsidRPr="009C2F78">
        <w:rPr>
          <w:rFonts w:ascii="Book Antiqua" w:hAnsi="Book Antiqua"/>
          <w:b/>
          <w:bCs/>
        </w:rPr>
        <w:t>Arora PK</w:t>
      </w:r>
      <w:r w:rsidR="009C2F78" w:rsidRPr="009C2F78">
        <w:rPr>
          <w:rFonts w:ascii="Book Antiqua" w:hAnsi="Book Antiqua"/>
        </w:rPr>
        <w:t xml:space="preserve">, Patil VM, Gupta SP. A QSAR study on some series of anti-hepatitis B virus (HBV) agents. </w:t>
      </w:r>
      <w:r w:rsidR="009C2F78" w:rsidRPr="009C2F78">
        <w:rPr>
          <w:rFonts w:ascii="Book Antiqua" w:hAnsi="Book Antiqua"/>
          <w:i/>
          <w:iCs/>
        </w:rPr>
        <w:t>Bioinformation</w:t>
      </w:r>
      <w:r w:rsidR="009C2F78" w:rsidRPr="009C2F78">
        <w:rPr>
          <w:rFonts w:ascii="Book Antiqua" w:hAnsi="Book Antiqua"/>
        </w:rPr>
        <w:t xml:space="preserve"> 2010; </w:t>
      </w:r>
      <w:r w:rsidR="009C2F78" w:rsidRPr="009C2F78">
        <w:rPr>
          <w:rFonts w:ascii="Book Antiqua" w:hAnsi="Book Antiqua"/>
          <w:b/>
          <w:bCs/>
        </w:rPr>
        <w:t>4</w:t>
      </w:r>
      <w:r w:rsidR="009C2F78" w:rsidRPr="009C2F78">
        <w:rPr>
          <w:rFonts w:ascii="Book Antiqua" w:hAnsi="Book Antiqua"/>
        </w:rPr>
        <w:t>: 417-420 [PMID: 20975892 DOI: 10.6026/97320630004417]</w:t>
      </w:r>
    </w:p>
    <w:p w14:paraId="3D12D48F" w14:textId="2BB881B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56</w:t>
      </w:r>
      <w:r w:rsidRPr="009C2F78">
        <w:rPr>
          <w:rFonts w:ascii="Book Antiqua" w:hAnsi="Book Antiqua"/>
        </w:rPr>
        <w:t xml:space="preserve"> </w:t>
      </w:r>
      <w:r w:rsidR="009C2F78" w:rsidRPr="009C2F78">
        <w:rPr>
          <w:rFonts w:ascii="Book Antiqua" w:hAnsi="Book Antiqua"/>
          <w:b/>
          <w:bCs/>
        </w:rPr>
        <w:t>Wang K</w:t>
      </w:r>
      <w:r w:rsidR="009C2F78" w:rsidRPr="009C2F78">
        <w:rPr>
          <w:rFonts w:ascii="Book Antiqua" w:hAnsi="Book Antiqua"/>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009C2F78" w:rsidRPr="009C2F78">
        <w:rPr>
          <w:rFonts w:ascii="Book Antiqua" w:hAnsi="Book Antiqua"/>
          <w:i/>
          <w:iCs/>
        </w:rPr>
        <w:t>Gut</w:t>
      </w:r>
      <w:r w:rsidR="009C2F78" w:rsidRPr="009C2F78">
        <w:rPr>
          <w:rFonts w:ascii="Book Antiqua" w:hAnsi="Book Antiqua"/>
        </w:rPr>
        <w:t xml:space="preserve"> 2019; </w:t>
      </w:r>
      <w:r w:rsidR="009C2F78" w:rsidRPr="009C2F78">
        <w:rPr>
          <w:rFonts w:ascii="Book Antiqua" w:hAnsi="Book Antiqua"/>
          <w:b/>
          <w:bCs/>
        </w:rPr>
        <w:t>68</w:t>
      </w:r>
      <w:r w:rsidR="009C2F78" w:rsidRPr="009C2F78">
        <w:rPr>
          <w:rFonts w:ascii="Book Antiqua" w:hAnsi="Book Antiqua"/>
        </w:rPr>
        <w:t>: 729-741 [PMID: 29730602 DOI: 10.1136/gutjnl-2018-316204]</w:t>
      </w:r>
    </w:p>
    <w:p w14:paraId="1671457F" w14:textId="6054C70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57</w:t>
      </w:r>
      <w:r w:rsidRPr="009C2F78">
        <w:rPr>
          <w:rFonts w:ascii="Book Antiqua" w:hAnsi="Book Antiqua"/>
        </w:rPr>
        <w:t xml:space="preserve"> </w:t>
      </w:r>
      <w:r w:rsidR="009C2F78" w:rsidRPr="009C2F78">
        <w:rPr>
          <w:rFonts w:ascii="Book Antiqua" w:hAnsi="Book Antiqua"/>
          <w:b/>
          <w:bCs/>
        </w:rPr>
        <w:t>Mueller-Breckenridge AJ</w:t>
      </w:r>
      <w:r w:rsidR="009C2F78" w:rsidRPr="009C2F78">
        <w:rPr>
          <w:rFonts w:ascii="Book Antiqua" w:hAnsi="Book Antiqua"/>
        </w:rPr>
        <w:t xml:space="preserve">, Garcia-Alcalde F, Wildum S, Smits SL, de Man RA, van Campenhout MJH, Brouwer WP, Niu J, Young JAT, Najera I, Zhu L, Wu D, Racek T, Hundie GB, Lin Y, Boucher CA, van de Vijver D, Haagmans BL. Machine-learning based patient classification using Hepatitis B virus full-length genome quasispecies from Asian and European cohorts. </w:t>
      </w:r>
      <w:r w:rsidR="009C2F78" w:rsidRPr="009C2F78">
        <w:rPr>
          <w:rFonts w:ascii="Book Antiqua" w:hAnsi="Book Antiqua"/>
          <w:i/>
          <w:iCs/>
        </w:rPr>
        <w:t>Sci Rep</w:t>
      </w:r>
      <w:r w:rsidR="009C2F78" w:rsidRPr="009C2F78">
        <w:rPr>
          <w:rFonts w:ascii="Book Antiqua" w:hAnsi="Book Antiqua"/>
        </w:rPr>
        <w:t xml:space="preserve"> 2019; </w:t>
      </w:r>
      <w:r w:rsidR="009C2F78" w:rsidRPr="009C2F78">
        <w:rPr>
          <w:rFonts w:ascii="Book Antiqua" w:hAnsi="Book Antiqua"/>
          <w:b/>
          <w:bCs/>
        </w:rPr>
        <w:t>9</w:t>
      </w:r>
      <w:r w:rsidR="009C2F78" w:rsidRPr="009C2F78">
        <w:rPr>
          <w:rFonts w:ascii="Book Antiqua" w:hAnsi="Book Antiqua"/>
        </w:rPr>
        <w:t>: 18892 [PMID: 31827222 DOI: 10.1038/s41598-019-55445-8]</w:t>
      </w:r>
    </w:p>
    <w:p w14:paraId="1283E0EC" w14:textId="2F6371C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58</w:t>
      </w:r>
      <w:r w:rsidRPr="009C2F78">
        <w:rPr>
          <w:rFonts w:ascii="Book Antiqua" w:hAnsi="Book Antiqua"/>
        </w:rPr>
        <w:t xml:space="preserve"> </w:t>
      </w:r>
      <w:r w:rsidR="009C2F78" w:rsidRPr="009C2F78">
        <w:rPr>
          <w:rFonts w:ascii="Book Antiqua" w:hAnsi="Book Antiqua"/>
          <w:b/>
          <w:bCs/>
        </w:rPr>
        <w:t>Chen S</w:t>
      </w:r>
      <w:r w:rsidR="009C2F78" w:rsidRPr="009C2F78">
        <w:rPr>
          <w:rFonts w:ascii="Book Antiqua" w:hAnsi="Book Antiqua"/>
        </w:rPr>
        <w:t xml:space="preserve">, Zhang Z, Wang Y, Fang M, Zhou J, Li Y, Dai E, Feng Z, Wang H, Yang Z, Li Y, Huang X, Jia J, Li S, Huang C, Tong L, Xiao X, He Y, Duan Y, Zhu S, Gao C. Quasispecies pattern of hepatitis B virus predicts hepatocellular carcinoma using deep-sequencing and machine learning. </w:t>
      </w:r>
      <w:r w:rsidR="009C2F78" w:rsidRPr="009C2F78">
        <w:rPr>
          <w:rFonts w:ascii="Book Antiqua" w:hAnsi="Book Antiqua"/>
          <w:i/>
          <w:iCs/>
        </w:rPr>
        <w:t>J Infect Dis</w:t>
      </w:r>
      <w:r w:rsidR="009C2F78" w:rsidRPr="009C2F78">
        <w:rPr>
          <w:rFonts w:ascii="Book Antiqua" w:hAnsi="Book Antiqua"/>
        </w:rPr>
        <w:t xml:space="preserve"> 2020 [PMID: 33049037 DOI: 10.1093/infdis/jiaa647]</w:t>
      </w:r>
    </w:p>
    <w:p w14:paraId="685871A8" w14:textId="151138F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59</w:t>
      </w:r>
      <w:r w:rsidRPr="009C2F78">
        <w:rPr>
          <w:rFonts w:ascii="Book Antiqua" w:hAnsi="Book Antiqua"/>
        </w:rPr>
        <w:t xml:space="preserve"> </w:t>
      </w:r>
      <w:r w:rsidR="009C2F78" w:rsidRPr="009C2F78">
        <w:rPr>
          <w:rFonts w:ascii="Book Antiqua" w:hAnsi="Book Antiqua"/>
          <w:b/>
          <w:bCs/>
        </w:rPr>
        <w:t>Chang S</w:t>
      </w:r>
      <w:r w:rsidR="009C2F78" w:rsidRPr="009C2F78">
        <w:rPr>
          <w:rFonts w:ascii="Book Antiqua" w:hAnsi="Book Antiqua"/>
        </w:rPr>
        <w:t xml:space="preserve">, Wang LH, Chen BS. Investigating Core Signaling Pathways of Hepatitis B Virus Pathogenesis for Biomarkers Identification and Drug Discovery via Systems Biology and Deep Learning Method. </w:t>
      </w:r>
      <w:r w:rsidR="009C2F78" w:rsidRPr="009C2F78">
        <w:rPr>
          <w:rFonts w:ascii="Book Antiqua" w:hAnsi="Book Antiqua"/>
          <w:i/>
          <w:iCs/>
        </w:rPr>
        <w:t>Biomedicines</w:t>
      </w:r>
      <w:r w:rsidR="009C2F78" w:rsidRPr="009C2F78">
        <w:rPr>
          <w:rFonts w:ascii="Book Antiqua" w:hAnsi="Book Antiqua"/>
        </w:rPr>
        <w:t xml:space="preserve"> 2020; </w:t>
      </w:r>
      <w:r w:rsidR="009C2F78" w:rsidRPr="009C2F78">
        <w:rPr>
          <w:rFonts w:ascii="Book Antiqua" w:hAnsi="Book Antiqua"/>
          <w:b/>
          <w:bCs/>
        </w:rPr>
        <w:t>8</w:t>
      </w:r>
      <w:r w:rsidR="009C2F78" w:rsidRPr="009C2F78">
        <w:rPr>
          <w:rFonts w:ascii="Book Antiqua" w:hAnsi="Book Antiqua"/>
        </w:rPr>
        <w:t xml:space="preserve"> [PMID: 32878239 DOI: 10.3390/biomedicines8090320]</w:t>
      </w:r>
    </w:p>
    <w:p w14:paraId="240D3584" w14:textId="50C3026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60</w:t>
      </w:r>
      <w:r w:rsidRPr="009C2F78">
        <w:rPr>
          <w:rFonts w:ascii="Book Antiqua" w:hAnsi="Book Antiqua"/>
        </w:rPr>
        <w:t xml:space="preserve"> </w:t>
      </w:r>
      <w:r w:rsidR="009C2F78" w:rsidRPr="009C2F78">
        <w:rPr>
          <w:rFonts w:ascii="Book Antiqua" w:hAnsi="Book Antiqua"/>
          <w:b/>
          <w:bCs/>
        </w:rPr>
        <w:t>Weidlich IE</w:t>
      </w:r>
      <w:r w:rsidR="009C2F78" w:rsidRPr="009C2F78">
        <w:rPr>
          <w:rFonts w:ascii="Book Antiqua" w:hAnsi="Book Antiqua"/>
        </w:rPr>
        <w:t xml:space="preserve">, Filippov IV, Brown J, Kaushik-Basu N, Krishnan R, Nicklaus MC, Thorpe IF. Inhibitors for the hepatitis C virus RNA polymerase explored by SAR with advanced machine learning methods. </w:t>
      </w:r>
      <w:r w:rsidR="009C2F78" w:rsidRPr="009C2F78">
        <w:rPr>
          <w:rFonts w:ascii="Book Antiqua" w:hAnsi="Book Antiqua"/>
          <w:i/>
          <w:iCs/>
        </w:rPr>
        <w:t>Bioorg Med Chem</w:t>
      </w:r>
      <w:r w:rsidR="009C2F78" w:rsidRPr="009C2F78">
        <w:rPr>
          <w:rFonts w:ascii="Book Antiqua" w:hAnsi="Book Antiqua"/>
        </w:rPr>
        <w:t xml:space="preserve"> 2013; </w:t>
      </w:r>
      <w:r w:rsidR="009C2F78" w:rsidRPr="009C2F78">
        <w:rPr>
          <w:rFonts w:ascii="Book Antiqua" w:hAnsi="Book Antiqua"/>
          <w:b/>
          <w:bCs/>
        </w:rPr>
        <w:t>21</w:t>
      </w:r>
      <w:r w:rsidR="009C2F78" w:rsidRPr="009C2F78">
        <w:rPr>
          <w:rFonts w:ascii="Book Antiqua" w:hAnsi="Book Antiqua"/>
        </w:rPr>
        <w:t>: 3127-3137 [PMID: 23608107 DOI: 10.1016/j.bmc.2013.03.032]</w:t>
      </w:r>
    </w:p>
    <w:p w14:paraId="29CAC99E" w14:textId="643FAC0A"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61</w:t>
      </w:r>
      <w:r w:rsidRPr="009C2F78">
        <w:rPr>
          <w:rFonts w:ascii="Book Antiqua" w:hAnsi="Book Antiqua"/>
        </w:rPr>
        <w:t xml:space="preserve"> </w:t>
      </w:r>
      <w:r w:rsidR="009C2F78" w:rsidRPr="009C2F78">
        <w:rPr>
          <w:rFonts w:ascii="Book Antiqua" w:hAnsi="Book Antiqua"/>
          <w:b/>
          <w:bCs/>
        </w:rPr>
        <w:t>Wang M</w:t>
      </w:r>
      <w:r w:rsidR="009C2F78" w:rsidRPr="009C2F78">
        <w:rPr>
          <w:rFonts w:ascii="Book Antiqua" w:hAnsi="Book Antiqua"/>
        </w:rPr>
        <w:t xml:space="preserve">, Xuan S, Yan A, Yu C. Classification models of HCV NS3 protease inhibitors based on support vector machine (SVM). </w:t>
      </w:r>
      <w:r w:rsidR="009C2F78" w:rsidRPr="009C2F78">
        <w:rPr>
          <w:rFonts w:ascii="Book Antiqua" w:hAnsi="Book Antiqua"/>
          <w:i/>
          <w:iCs/>
        </w:rPr>
        <w:t>Comb Chem High Throughput Screen</w:t>
      </w:r>
      <w:r w:rsidR="009C2F78" w:rsidRPr="009C2F78">
        <w:rPr>
          <w:rFonts w:ascii="Book Antiqua" w:hAnsi="Book Antiqua"/>
        </w:rPr>
        <w:t xml:space="preserve"> 2015; </w:t>
      </w:r>
      <w:r w:rsidR="009C2F78" w:rsidRPr="009C2F78">
        <w:rPr>
          <w:rFonts w:ascii="Book Antiqua" w:hAnsi="Book Antiqua"/>
          <w:b/>
          <w:bCs/>
        </w:rPr>
        <w:t>18</w:t>
      </w:r>
      <w:r w:rsidR="009C2F78" w:rsidRPr="009C2F78">
        <w:rPr>
          <w:rFonts w:ascii="Book Antiqua" w:hAnsi="Book Antiqua"/>
        </w:rPr>
        <w:t>: 24-32 [PMID: 25410306 DOI: 10.2174/1386207317666141120122554]</w:t>
      </w:r>
    </w:p>
    <w:p w14:paraId="63A582DF" w14:textId="79B7E32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62</w:t>
      </w:r>
      <w:r w:rsidRPr="009C2F78">
        <w:rPr>
          <w:rFonts w:ascii="Book Antiqua" w:hAnsi="Book Antiqua"/>
        </w:rPr>
        <w:t xml:space="preserve"> </w:t>
      </w:r>
      <w:r w:rsidR="009C2F78" w:rsidRPr="009C2F78">
        <w:rPr>
          <w:rFonts w:ascii="Book Antiqua" w:hAnsi="Book Antiqua"/>
          <w:b/>
          <w:bCs/>
        </w:rPr>
        <w:t>Wang M</w:t>
      </w:r>
      <w:r w:rsidR="009C2F78" w:rsidRPr="009C2F78">
        <w:rPr>
          <w:rFonts w:ascii="Book Antiqua" w:hAnsi="Book Antiqua"/>
        </w:rPr>
        <w:t xml:space="preserve">, Wang K, Yan A, Yu C. Classification of HCV NS5B polymerase inhibitors using support vector machine. </w:t>
      </w:r>
      <w:r w:rsidR="009C2F78" w:rsidRPr="009C2F78">
        <w:rPr>
          <w:rFonts w:ascii="Book Antiqua" w:hAnsi="Book Antiqua"/>
          <w:i/>
          <w:iCs/>
        </w:rPr>
        <w:t>Int J Mol Sci</w:t>
      </w:r>
      <w:r w:rsidR="009C2F78" w:rsidRPr="009C2F78">
        <w:rPr>
          <w:rFonts w:ascii="Book Antiqua" w:hAnsi="Book Antiqua"/>
        </w:rPr>
        <w:t xml:space="preserve"> 2012; </w:t>
      </w:r>
      <w:r w:rsidR="009C2F78" w:rsidRPr="009C2F78">
        <w:rPr>
          <w:rFonts w:ascii="Book Antiqua" w:hAnsi="Book Antiqua"/>
          <w:b/>
          <w:bCs/>
        </w:rPr>
        <w:t>13</w:t>
      </w:r>
      <w:r w:rsidR="009C2F78" w:rsidRPr="009C2F78">
        <w:rPr>
          <w:rFonts w:ascii="Book Antiqua" w:hAnsi="Book Antiqua"/>
        </w:rPr>
        <w:t>: 4033-4047 [PMID: 22605964 DOI: 10.3390/ijms13044033]</w:t>
      </w:r>
    </w:p>
    <w:p w14:paraId="5F9A81FF" w14:textId="1E935CF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63</w:t>
      </w:r>
      <w:r w:rsidRPr="009C2F78">
        <w:rPr>
          <w:rFonts w:ascii="Book Antiqua" w:hAnsi="Book Antiqua"/>
        </w:rPr>
        <w:t xml:space="preserve"> </w:t>
      </w:r>
      <w:r w:rsidR="009C2F78" w:rsidRPr="009C2F78">
        <w:rPr>
          <w:rFonts w:ascii="Book Antiqua" w:hAnsi="Book Antiqua"/>
          <w:b/>
          <w:bCs/>
        </w:rPr>
        <w:t>Qin Z</w:t>
      </w:r>
      <w:r w:rsidR="009C2F78" w:rsidRPr="009C2F78">
        <w:rPr>
          <w:rFonts w:ascii="Book Antiqua" w:hAnsi="Book Antiqua"/>
        </w:rPr>
        <w:t xml:space="preserve">, Wang M, Yan A. QSAR studies of the bioactivity of hepatitis C virus (HCV) NS3/4A protease inhibitors by multiple linear regression (MLR) and support vector machine (SVM). </w:t>
      </w:r>
      <w:r w:rsidR="009C2F78" w:rsidRPr="009C2F78">
        <w:rPr>
          <w:rFonts w:ascii="Book Antiqua" w:hAnsi="Book Antiqua"/>
          <w:i/>
          <w:iCs/>
        </w:rPr>
        <w:t>Bioorg Med Chem Lett</w:t>
      </w:r>
      <w:r w:rsidR="009C2F78" w:rsidRPr="009C2F78">
        <w:rPr>
          <w:rFonts w:ascii="Book Antiqua" w:hAnsi="Book Antiqua"/>
        </w:rPr>
        <w:t xml:space="preserve"> 2017; </w:t>
      </w:r>
      <w:r w:rsidR="009C2F78" w:rsidRPr="009C2F78">
        <w:rPr>
          <w:rFonts w:ascii="Book Antiqua" w:hAnsi="Book Antiqua"/>
          <w:b/>
          <w:bCs/>
        </w:rPr>
        <w:t>27</w:t>
      </w:r>
      <w:r w:rsidR="009C2F78" w:rsidRPr="009C2F78">
        <w:rPr>
          <w:rFonts w:ascii="Book Antiqua" w:hAnsi="Book Antiqua"/>
        </w:rPr>
        <w:t>: 2931-2938 [PMID: 28501513 DOI: 10.1016/j.bmcl.2017.05.001]</w:t>
      </w:r>
    </w:p>
    <w:p w14:paraId="4579FD6F" w14:textId="16622FF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64</w:t>
      </w:r>
      <w:r w:rsidRPr="009C2F78">
        <w:rPr>
          <w:rFonts w:ascii="Book Antiqua" w:hAnsi="Book Antiqua"/>
        </w:rPr>
        <w:t xml:space="preserve"> </w:t>
      </w:r>
      <w:r w:rsidR="009C2F78" w:rsidRPr="009C2F78">
        <w:rPr>
          <w:rFonts w:ascii="Book Antiqua" w:hAnsi="Book Antiqua"/>
          <w:b/>
          <w:bCs/>
        </w:rPr>
        <w:t>Wei Y</w:t>
      </w:r>
      <w:r w:rsidR="009C2F78" w:rsidRPr="009C2F78">
        <w:rPr>
          <w:rFonts w:ascii="Book Antiqua" w:hAnsi="Book Antiqua"/>
        </w:rPr>
        <w:t xml:space="preserve">, Li W, Du T, Hong Z, Lin J. Targeting HIV/HCV Coinfection Using a Machine Learning-Based Multiple Quantitative Structure-Activity Relationships (Multiple QSAR) Method. </w:t>
      </w:r>
      <w:r w:rsidR="009C2F78" w:rsidRPr="009C2F78">
        <w:rPr>
          <w:rFonts w:ascii="Book Antiqua" w:hAnsi="Book Antiqua"/>
          <w:i/>
          <w:iCs/>
        </w:rPr>
        <w:t>Int J Mol Sci</w:t>
      </w:r>
      <w:r w:rsidR="009C2F78" w:rsidRPr="009C2F78">
        <w:rPr>
          <w:rFonts w:ascii="Book Antiqua" w:hAnsi="Book Antiqua"/>
        </w:rPr>
        <w:t xml:space="preserve"> 2019; </w:t>
      </w:r>
      <w:r w:rsidR="009C2F78" w:rsidRPr="009C2F78">
        <w:rPr>
          <w:rFonts w:ascii="Book Antiqua" w:hAnsi="Book Antiqua"/>
          <w:b/>
          <w:bCs/>
        </w:rPr>
        <w:t>20</w:t>
      </w:r>
      <w:r w:rsidR="009C2F78" w:rsidRPr="009C2F78">
        <w:rPr>
          <w:rFonts w:ascii="Book Antiqua" w:hAnsi="Book Antiqua"/>
        </w:rPr>
        <w:t xml:space="preserve"> [PMID: 31336592 DOI: 10.3390/ijms20143572]</w:t>
      </w:r>
    </w:p>
    <w:p w14:paraId="73FC7771" w14:textId="4FD623F1"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65</w:t>
      </w:r>
      <w:r w:rsidRPr="009C2F78">
        <w:rPr>
          <w:rFonts w:ascii="Book Antiqua" w:hAnsi="Book Antiqua"/>
        </w:rPr>
        <w:t xml:space="preserve"> </w:t>
      </w:r>
      <w:r w:rsidR="009C2F78" w:rsidRPr="009C2F78">
        <w:rPr>
          <w:rFonts w:ascii="Book Antiqua" w:hAnsi="Book Antiqua"/>
          <w:b/>
          <w:bCs/>
        </w:rPr>
        <w:t>Vento S</w:t>
      </w:r>
      <w:r w:rsidR="009C2F78" w:rsidRPr="009C2F78">
        <w:rPr>
          <w:rFonts w:ascii="Book Antiqua" w:hAnsi="Book Antiqua"/>
        </w:rPr>
        <w:t xml:space="preserve">, Garofano T, Renzini C, Cainelli F, Casali F, Ghironzi G, Ferraro T, Concia E. Fulminant hepatitis associated with hepatitis A virus superinfection in patients with chronic hepatitis C. </w:t>
      </w:r>
      <w:r w:rsidR="009C2F78" w:rsidRPr="009C2F78">
        <w:rPr>
          <w:rFonts w:ascii="Book Antiqua" w:hAnsi="Book Antiqua"/>
          <w:i/>
          <w:iCs/>
        </w:rPr>
        <w:t>N Engl J Med</w:t>
      </w:r>
      <w:r w:rsidR="009C2F78" w:rsidRPr="009C2F78">
        <w:rPr>
          <w:rFonts w:ascii="Book Antiqua" w:hAnsi="Book Antiqua"/>
        </w:rPr>
        <w:t xml:space="preserve"> 1998; </w:t>
      </w:r>
      <w:r w:rsidR="009C2F78" w:rsidRPr="009C2F78">
        <w:rPr>
          <w:rFonts w:ascii="Book Antiqua" w:hAnsi="Book Antiqua"/>
          <w:b/>
          <w:bCs/>
        </w:rPr>
        <w:t>338</w:t>
      </w:r>
      <w:r w:rsidR="009C2F78" w:rsidRPr="009C2F78">
        <w:rPr>
          <w:rFonts w:ascii="Book Antiqua" w:hAnsi="Book Antiqua"/>
        </w:rPr>
        <w:t>: 286-290 [PMID: 9445408 DOI: 10.1056/NEJM199801293380503]</w:t>
      </w:r>
    </w:p>
    <w:p w14:paraId="377F2E60" w14:textId="652DA3E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66</w:t>
      </w:r>
      <w:r w:rsidRPr="009C2F78">
        <w:rPr>
          <w:rFonts w:ascii="Book Antiqua" w:hAnsi="Book Antiqua"/>
        </w:rPr>
        <w:t xml:space="preserve"> </w:t>
      </w:r>
      <w:r w:rsidR="009C2F78" w:rsidRPr="009C2F78">
        <w:rPr>
          <w:rFonts w:ascii="Book Antiqua" w:hAnsi="Book Antiqua"/>
          <w:b/>
          <w:bCs/>
        </w:rPr>
        <w:t>Pethe MA</w:t>
      </w:r>
      <w:r w:rsidR="009C2F78" w:rsidRPr="009C2F78">
        <w:rPr>
          <w:rFonts w:ascii="Book Antiqua" w:hAnsi="Book Antiqua"/>
        </w:rPr>
        <w:t xml:space="preserve">, Rubenstein AB, Khare SD. Data-driven supervised learning of a viral protease specificity landscape from deep sequencing and molecular simulations. </w:t>
      </w:r>
      <w:r w:rsidR="009C2F78" w:rsidRPr="009C2F78">
        <w:rPr>
          <w:rFonts w:ascii="Book Antiqua" w:hAnsi="Book Antiqua"/>
          <w:i/>
          <w:iCs/>
        </w:rPr>
        <w:t>Proc Natl Acad Sci U S A</w:t>
      </w:r>
      <w:r w:rsidR="009C2F78" w:rsidRPr="009C2F78">
        <w:rPr>
          <w:rFonts w:ascii="Book Antiqua" w:hAnsi="Book Antiqua"/>
        </w:rPr>
        <w:t xml:space="preserve"> 2019; </w:t>
      </w:r>
      <w:r w:rsidR="009C2F78" w:rsidRPr="009C2F78">
        <w:rPr>
          <w:rFonts w:ascii="Book Antiqua" w:hAnsi="Book Antiqua"/>
          <w:b/>
          <w:bCs/>
        </w:rPr>
        <w:t>116</w:t>
      </w:r>
      <w:r w:rsidR="009C2F78" w:rsidRPr="009C2F78">
        <w:rPr>
          <w:rFonts w:ascii="Book Antiqua" w:hAnsi="Book Antiqua"/>
        </w:rPr>
        <w:t>: 168-176 [PMID: 30587591 DOI: 10.1073/pnas.1805256116]</w:t>
      </w:r>
    </w:p>
    <w:p w14:paraId="2522EA53" w14:textId="22F5961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67</w:t>
      </w:r>
      <w:r w:rsidRPr="009C2F78">
        <w:rPr>
          <w:rFonts w:ascii="Book Antiqua" w:hAnsi="Book Antiqua"/>
        </w:rPr>
        <w:t xml:space="preserve"> </w:t>
      </w:r>
      <w:r w:rsidR="009C2F78" w:rsidRPr="009C2F78">
        <w:rPr>
          <w:rFonts w:ascii="Book Antiqua" w:hAnsi="Book Antiqua"/>
          <w:b/>
          <w:bCs/>
        </w:rPr>
        <w:t>Ioannou GN</w:t>
      </w:r>
      <w:r w:rsidR="009C2F78" w:rsidRPr="009C2F78">
        <w:rPr>
          <w:rFonts w:ascii="Book Antiqua" w:hAnsi="Book Antiqua"/>
        </w:rPr>
        <w:t xml:space="preserve">, Tang W, Beste LA, Tincopa MA, Su GL, Van T, Tapper EB, Singal AG, Zhu J, Waljee AK. Assessment of a Deep Learning Model to Predict Hepatocellular Carcinoma in Patients With Hepatitis C Cirrhosis. </w:t>
      </w:r>
      <w:r w:rsidR="009C2F78" w:rsidRPr="009C2F78">
        <w:rPr>
          <w:rFonts w:ascii="Book Antiqua" w:hAnsi="Book Antiqua"/>
          <w:i/>
          <w:iCs/>
        </w:rPr>
        <w:t>JAMA Netw Open</w:t>
      </w:r>
      <w:r w:rsidR="009C2F78" w:rsidRPr="009C2F78">
        <w:rPr>
          <w:rFonts w:ascii="Book Antiqua" w:hAnsi="Book Antiqua"/>
        </w:rPr>
        <w:t xml:space="preserve"> 2020; </w:t>
      </w:r>
      <w:r w:rsidR="009C2F78" w:rsidRPr="009C2F78">
        <w:rPr>
          <w:rFonts w:ascii="Book Antiqua" w:hAnsi="Book Antiqua"/>
          <w:b/>
          <w:bCs/>
        </w:rPr>
        <w:t>3</w:t>
      </w:r>
      <w:r w:rsidR="009C2F78" w:rsidRPr="009C2F78">
        <w:rPr>
          <w:rFonts w:ascii="Book Antiqua" w:hAnsi="Book Antiqua"/>
        </w:rPr>
        <w:t>: e2015626 [PMID: 32870314 DOI: 10.1001/jamanetworkopen.2020.15626]</w:t>
      </w:r>
    </w:p>
    <w:p w14:paraId="478436A3" w14:textId="428C64B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68</w:t>
      </w:r>
      <w:r w:rsidRPr="009C2F78">
        <w:rPr>
          <w:rFonts w:ascii="Book Antiqua" w:hAnsi="Book Antiqua"/>
        </w:rPr>
        <w:t xml:space="preserve"> </w:t>
      </w:r>
      <w:r w:rsidR="009C2F78" w:rsidRPr="009C2F78">
        <w:rPr>
          <w:rFonts w:ascii="Book Antiqua" w:hAnsi="Book Antiqua"/>
          <w:b/>
          <w:bCs/>
        </w:rPr>
        <w:t>Wang L</w:t>
      </w:r>
      <w:r w:rsidR="009C2F78" w:rsidRPr="009C2F78">
        <w:rPr>
          <w:rFonts w:ascii="Book Antiqua" w:hAnsi="Book Antiqua"/>
        </w:rPr>
        <w:t xml:space="preserve">, Ma C, Wipf P, Liu H, Su W, Xie XQ. TargetHunter: an in silico target identification tool for predicting therapeutic potential of small organic molecules based on chemogenomic database. </w:t>
      </w:r>
      <w:r w:rsidR="009C2F78" w:rsidRPr="009C2F78">
        <w:rPr>
          <w:rFonts w:ascii="Book Antiqua" w:hAnsi="Book Antiqua"/>
          <w:i/>
          <w:iCs/>
        </w:rPr>
        <w:t>AAPS J</w:t>
      </w:r>
      <w:r w:rsidR="009C2F78" w:rsidRPr="009C2F78">
        <w:rPr>
          <w:rFonts w:ascii="Book Antiqua" w:hAnsi="Book Antiqua"/>
        </w:rPr>
        <w:t xml:space="preserve"> 2013; </w:t>
      </w:r>
      <w:r w:rsidR="009C2F78" w:rsidRPr="009C2F78">
        <w:rPr>
          <w:rFonts w:ascii="Book Antiqua" w:hAnsi="Book Antiqua"/>
          <w:b/>
          <w:bCs/>
        </w:rPr>
        <w:t>15</w:t>
      </w:r>
      <w:r w:rsidR="009C2F78" w:rsidRPr="009C2F78">
        <w:rPr>
          <w:rFonts w:ascii="Book Antiqua" w:hAnsi="Book Antiqua"/>
        </w:rPr>
        <w:t>: 395-406 [PMID: 23292636 DOI: 10.1208/s12248-012-9449-z]</w:t>
      </w:r>
    </w:p>
    <w:p w14:paraId="3630E5CE" w14:textId="1EFFE72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69</w:t>
      </w:r>
      <w:r w:rsidRPr="009C2F78">
        <w:rPr>
          <w:rFonts w:ascii="Book Antiqua" w:hAnsi="Book Antiqua"/>
        </w:rPr>
        <w:t xml:space="preserve"> </w:t>
      </w:r>
      <w:r w:rsidR="009C2F78" w:rsidRPr="009C2F78">
        <w:rPr>
          <w:rFonts w:ascii="Book Antiqua" w:hAnsi="Book Antiqua"/>
          <w:b/>
          <w:bCs/>
        </w:rPr>
        <w:t>Schuler J</w:t>
      </w:r>
      <w:r w:rsidR="009C2F78" w:rsidRPr="009C2F78">
        <w:rPr>
          <w:rFonts w:ascii="Book Antiqua" w:hAnsi="Book Antiqua"/>
        </w:rPr>
        <w:t xml:space="preserve">, Hudson ML, Schwartz D, Samudrala R. A Systematic Review of Computational Drug Discovery, Development, and Repurposing for Ebola Virus Disease Treatment. </w:t>
      </w:r>
      <w:r w:rsidR="009C2F78" w:rsidRPr="009C2F78">
        <w:rPr>
          <w:rFonts w:ascii="Book Antiqua" w:hAnsi="Book Antiqua"/>
          <w:i/>
          <w:iCs/>
        </w:rPr>
        <w:t>Molecules</w:t>
      </w:r>
      <w:r w:rsidR="009C2F78" w:rsidRPr="009C2F78">
        <w:rPr>
          <w:rFonts w:ascii="Book Antiqua" w:hAnsi="Book Antiqua"/>
        </w:rPr>
        <w:t xml:space="preserve"> 2017; </w:t>
      </w:r>
      <w:r w:rsidR="009C2F78" w:rsidRPr="009C2F78">
        <w:rPr>
          <w:rFonts w:ascii="Book Antiqua" w:hAnsi="Book Antiqua"/>
          <w:b/>
          <w:bCs/>
        </w:rPr>
        <w:t>22</w:t>
      </w:r>
      <w:r w:rsidR="009C2F78" w:rsidRPr="009C2F78">
        <w:rPr>
          <w:rFonts w:ascii="Book Antiqua" w:hAnsi="Book Antiqua"/>
        </w:rPr>
        <w:t xml:space="preserve"> [PMID: 29053626 DOI: 10.3390/molecules22101777]</w:t>
      </w:r>
    </w:p>
    <w:p w14:paraId="0CECDA78" w14:textId="5A5422A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70</w:t>
      </w:r>
      <w:r w:rsidRPr="009C2F78">
        <w:rPr>
          <w:rFonts w:ascii="Book Antiqua" w:hAnsi="Book Antiqua"/>
        </w:rPr>
        <w:t xml:space="preserve"> </w:t>
      </w:r>
      <w:r w:rsidR="009C2F78" w:rsidRPr="009C2F78">
        <w:rPr>
          <w:rFonts w:ascii="Book Antiqua" w:hAnsi="Book Antiqua"/>
          <w:b/>
          <w:bCs/>
        </w:rPr>
        <w:t>Zhou KY</w:t>
      </w:r>
      <w:r w:rsidR="009C2F78" w:rsidRPr="009C2F78">
        <w:rPr>
          <w:rFonts w:ascii="Book Antiqua" w:hAnsi="Book Antiqua"/>
        </w:rPr>
        <w:t xml:space="preserve">, Wang YX, Zhang S, Gachloo M, Kim JD, Luo Q, Cohen KB, Xia JB. GOF/LOF knowledge inference with tensor decomposition in support of high order link discovery for gene, mutation and disease. </w:t>
      </w:r>
      <w:r w:rsidR="009C2F78" w:rsidRPr="009C2F78">
        <w:rPr>
          <w:rFonts w:ascii="Book Antiqua" w:hAnsi="Book Antiqua"/>
          <w:i/>
          <w:iCs/>
        </w:rPr>
        <w:t>Math Biosci Eng</w:t>
      </w:r>
      <w:r w:rsidR="009C2F78" w:rsidRPr="009C2F78">
        <w:rPr>
          <w:rFonts w:ascii="Book Antiqua" w:hAnsi="Book Antiqua"/>
        </w:rPr>
        <w:t xml:space="preserve"> 2019; </w:t>
      </w:r>
      <w:r w:rsidR="009C2F78" w:rsidRPr="009C2F78">
        <w:rPr>
          <w:rFonts w:ascii="Book Antiqua" w:hAnsi="Book Antiqua"/>
          <w:b/>
          <w:bCs/>
        </w:rPr>
        <w:t>16</w:t>
      </w:r>
      <w:r w:rsidR="009C2F78" w:rsidRPr="009C2F78">
        <w:rPr>
          <w:rFonts w:ascii="Book Antiqua" w:hAnsi="Book Antiqua"/>
        </w:rPr>
        <w:t>: 1376-1391 [PMID: 30947425 DOI: 10.3934/mbe.2019067]</w:t>
      </w:r>
    </w:p>
    <w:p w14:paraId="7585DDC5" w14:textId="68C340A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71</w:t>
      </w:r>
      <w:r w:rsidRPr="009C2F78">
        <w:rPr>
          <w:rFonts w:ascii="Book Antiqua" w:hAnsi="Book Antiqua"/>
        </w:rPr>
        <w:t xml:space="preserve"> </w:t>
      </w:r>
      <w:r w:rsidR="009C2F78" w:rsidRPr="009C2F78">
        <w:rPr>
          <w:rFonts w:ascii="Book Antiqua" w:hAnsi="Book Antiqua"/>
          <w:b/>
          <w:bCs/>
        </w:rPr>
        <w:t>Im JH</w:t>
      </w:r>
      <w:r w:rsidR="009C2F78" w:rsidRPr="009C2F78">
        <w:rPr>
          <w:rFonts w:ascii="Book Antiqua" w:hAnsi="Book Antiqua"/>
        </w:rPr>
        <w:t xml:space="preserve">, Woo HT, Ha B, Jung J. Effectiveness of single-dose administration of inactivated hepatitis A virus vaccination in the Republic of Korea armed forces, 2013-2016. </w:t>
      </w:r>
      <w:r w:rsidR="009C2F78" w:rsidRPr="009C2F78">
        <w:rPr>
          <w:rFonts w:ascii="Book Antiqua" w:hAnsi="Book Antiqua"/>
          <w:i/>
          <w:iCs/>
        </w:rPr>
        <w:t>J Viral Hepat</w:t>
      </w:r>
      <w:r w:rsidR="009C2F78" w:rsidRPr="009C2F78">
        <w:rPr>
          <w:rFonts w:ascii="Book Antiqua" w:hAnsi="Book Antiqua"/>
        </w:rPr>
        <w:t xml:space="preserve"> 2020; </w:t>
      </w:r>
      <w:r w:rsidR="009C2F78" w:rsidRPr="009C2F78">
        <w:rPr>
          <w:rFonts w:ascii="Book Antiqua" w:hAnsi="Book Antiqua"/>
          <w:b/>
          <w:bCs/>
        </w:rPr>
        <w:t>27</w:t>
      </w:r>
      <w:r w:rsidR="009C2F78" w:rsidRPr="009C2F78">
        <w:rPr>
          <w:rFonts w:ascii="Book Antiqua" w:hAnsi="Book Antiqua"/>
        </w:rPr>
        <w:t>: 537-539 [PMID: 31854016 DOI: 10.1111/jvh.13249]</w:t>
      </w:r>
    </w:p>
    <w:bookmarkEnd w:id="1"/>
    <w:p w14:paraId="2A451C7F" w14:textId="77777777" w:rsidR="00A77B3E" w:rsidRPr="009C2F78" w:rsidRDefault="00A77B3E" w:rsidP="009C2F78">
      <w:pPr>
        <w:adjustRightInd w:val="0"/>
        <w:snapToGrid w:val="0"/>
        <w:spacing w:line="360" w:lineRule="auto"/>
        <w:jc w:val="both"/>
        <w:rPr>
          <w:rFonts w:ascii="Book Antiqua" w:hAnsi="Book Antiqua"/>
          <w:color w:val="000000" w:themeColor="text1"/>
        </w:rPr>
        <w:sectPr w:rsidR="00A77B3E" w:rsidRPr="009C2F78">
          <w:pgSz w:w="12240" w:h="15840"/>
          <w:pgMar w:top="1440" w:right="1440" w:bottom="1440" w:left="1440" w:header="720" w:footer="720" w:gutter="0"/>
          <w:cols w:space="720"/>
          <w:docGrid w:linePitch="360"/>
        </w:sectPr>
      </w:pPr>
    </w:p>
    <w:p w14:paraId="3862FD0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Footnotes</w:t>
      </w:r>
    </w:p>
    <w:p w14:paraId="48925E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Conflict-of-interest statement: </w:t>
      </w:r>
      <w:r w:rsidRPr="009C2F78">
        <w:rPr>
          <w:rFonts w:ascii="Book Antiqua" w:eastAsia="Book Antiqua" w:hAnsi="Book Antiqua" w:cs="Book Antiqua"/>
          <w:color w:val="000000" w:themeColor="text1"/>
        </w:rPr>
        <w:t>There is no conflict of interest associated with any authors who contributed their efforts to this manuscript.</w:t>
      </w:r>
    </w:p>
    <w:p w14:paraId="32489CE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6B703A9"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Open-Access: </w:t>
      </w:r>
      <w:r w:rsidRPr="009C2F7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142C68"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EF86C98" w14:textId="69736A94"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source: </w:t>
      </w:r>
      <w:r w:rsidRPr="009C2F78">
        <w:rPr>
          <w:rFonts w:ascii="Book Antiqua" w:eastAsia="Book Antiqua" w:hAnsi="Book Antiqua" w:cs="Book Antiqua"/>
          <w:color w:val="000000" w:themeColor="text1"/>
        </w:rPr>
        <w:t xml:space="preserve">Invited </w:t>
      </w:r>
      <w:r w:rsidR="006A1A35">
        <w:rPr>
          <w:rFonts w:ascii="Book Antiqua" w:eastAsia="Book Antiqua" w:hAnsi="Book Antiqua" w:cs="Book Antiqua"/>
          <w:color w:val="000000" w:themeColor="text1"/>
        </w:rPr>
        <w:t>m</w:t>
      </w:r>
      <w:r w:rsidRPr="009C2F78">
        <w:rPr>
          <w:rFonts w:ascii="Book Antiqua" w:eastAsia="Book Antiqua" w:hAnsi="Book Antiqua" w:cs="Book Antiqua"/>
          <w:color w:val="000000" w:themeColor="text1"/>
        </w:rPr>
        <w:t>anuscript</w:t>
      </w:r>
    </w:p>
    <w:p w14:paraId="7B6AE2C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E89D04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Peer-review started: </w:t>
      </w:r>
      <w:r w:rsidRPr="009C2F78">
        <w:rPr>
          <w:rFonts w:ascii="Book Antiqua" w:eastAsia="Book Antiqua" w:hAnsi="Book Antiqua" w:cs="Book Antiqua"/>
          <w:color w:val="000000" w:themeColor="text1"/>
        </w:rPr>
        <w:t>October 15, 2020</w:t>
      </w:r>
    </w:p>
    <w:p w14:paraId="1808A07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First decision: </w:t>
      </w:r>
      <w:r w:rsidRPr="009C2F78">
        <w:rPr>
          <w:rFonts w:ascii="Book Antiqua" w:eastAsia="Book Antiqua" w:hAnsi="Book Antiqua" w:cs="Book Antiqua"/>
          <w:color w:val="000000" w:themeColor="text1"/>
        </w:rPr>
        <w:t>December 17, 2020</w:t>
      </w:r>
    </w:p>
    <w:p w14:paraId="1E01D40C" w14:textId="61AADF6E"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Article in press: </w:t>
      </w:r>
      <w:r w:rsidR="00190A11" w:rsidRPr="00F639D4">
        <w:rPr>
          <w:rFonts w:ascii="Book Antiqua" w:eastAsia="Book Antiqua" w:hAnsi="Book Antiqua" w:cs="Book Antiqua"/>
          <w:color w:val="000000" w:themeColor="text1"/>
        </w:rPr>
        <w:t>February 12, 2021</w:t>
      </w:r>
    </w:p>
    <w:p w14:paraId="473094C5"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DC81D30" w14:textId="44C44312"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Specialty type: </w:t>
      </w:r>
      <w:r w:rsidRPr="009C2F78">
        <w:rPr>
          <w:rFonts w:ascii="Book Antiqua" w:eastAsia="Book Antiqua" w:hAnsi="Book Antiqua" w:cs="Book Antiqua"/>
          <w:color w:val="000000" w:themeColor="text1"/>
        </w:rPr>
        <w:t xml:space="preserve">Gastroenterology and </w:t>
      </w:r>
      <w:r w:rsidR="006A1A35">
        <w:rPr>
          <w:rFonts w:ascii="Book Antiqua" w:eastAsia="Book Antiqua" w:hAnsi="Book Antiqua" w:cs="Book Antiqua"/>
          <w:color w:val="000000" w:themeColor="text1"/>
        </w:rPr>
        <w:t>h</w:t>
      </w:r>
      <w:r w:rsidRPr="009C2F78">
        <w:rPr>
          <w:rFonts w:ascii="Book Antiqua" w:eastAsia="Book Antiqua" w:hAnsi="Book Antiqua" w:cs="Book Antiqua"/>
          <w:color w:val="000000" w:themeColor="text1"/>
        </w:rPr>
        <w:t>epatology</w:t>
      </w:r>
    </w:p>
    <w:p w14:paraId="7114892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Country/Territory of origin: </w:t>
      </w:r>
      <w:r w:rsidRPr="009C2F78">
        <w:rPr>
          <w:rFonts w:ascii="Book Antiqua" w:eastAsia="Book Antiqua" w:hAnsi="Book Antiqua" w:cs="Book Antiqua"/>
          <w:color w:val="000000" w:themeColor="text1"/>
        </w:rPr>
        <w:t>Japan</w:t>
      </w:r>
    </w:p>
    <w:p w14:paraId="3BDFCC9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Peer-review report’s scientific quality classification</w:t>
      </w:r>
    </w:p>
    <w:p w14:paraId="13B92BF4"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A (Excellent): 0</w:t>
      </w:r>
    </w:p>
    <w:p w14:paraId="41D7FA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B (Very good): B</w:t>
      </w:r>
    </w:p>
    <w:p w14:paraId="15BA3ED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C (Good): C</w:t>
      </w:r>
    </w:p>
    <w:p w14:paraId="250950F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D (Fair): 0</w:t>
      </w:r>
    </w:p>
    <w:p w14:paraId="7174CB0E"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E (Poor): E</w:t>
      </w:r>
    </w:p>
    <w:p w14:paraId="289ECD6D"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CA8EE19" w14:textId="4238812E" w:rsidR="00A77B3E" w:rsidRPr="00190A11" w:rsidRDefault="00BC2EBD" w:rsidP="009C2F78">
      <w:pPr>
        <w:adjustRightInd w:val="0"/>
        <w:snapToGrid w:val="0"/>
        <w:spacing w:line="360" w:lineRule="auto"/>
        <w:jc w:val="both"/>
        <w:rPr>
          <w:rFonts w:ascii="Book Antiqua" w:eastAsia="Book Antiqua" w:hAnsi="Book Antiqua" w:cs="Book Antiqua"/>
          <w:color w:val="000000" w:themeColor="text1"/>
        </w:rPr>
      </w:pPr>
      <w:r w:rsidRPr="009C2F78">
        <w:rPr>
          <w:rFonts w:ascii="Book Antiqua" w:eastAsia="Book Antiqua" w:hAnsi="Book Antiqua" w:cs="Book Antiqua"/>
          <w:b/>
          <w:color w:val="000000" w:themeColor="text1"/>
        </w:rPr>
        <w:t xml:space="preserve">P-Reviewer: </w:t>
      </w:r>
      <w:r w:rsidRPr="009C2F78">
        <w:rPr>
          <w:rFonts w:ascii="Book Antiqua" w:eastAsia="Book Antiqua" w:hAnsi="Book Antiqua" w:cs="Book Antiqua"/>
          <w:color w:val="000000" w:themeColor="text1"/>
        </w:rPr>
        <w:t>Raiter A, Ravaioli F</w:t>
      </w:r>
      <w:r w:rsidRPr="009C2F78">
        <w:rPr>
          <w:rFonts w:ascii="Book Antiqua" w:eastAsia="Book Antiqua" w:hAnsi="Book Antiqua" w:cs="Book Antiqua"/>
          <w:b/>
          <w:color w:val="000000" w:themeColor="text1"/>
        </w:rPr>
        <w:t xml:space="preserve"> S-Editor: </w:t>
      </w:r>
      <w:r w:rsidRPr="009C2F78">
        <w:rPr>
          <w:rFonts w:ascii="Book Antiqua" w:eastAsia="Book Antiqua" w:hAnsi="Book Antiqua" w:cs="Book Antiqua"/>
          <w:color w:val="000000" w:themeColor="text1"/>
        </w:rPr>
        <w:t>Wang JL</w:t>
      </w:r>
      <w:r w:rsidRPr="009C2F78">
        <w:rPr>
          <w:rFonts w:ascii="Book Antiqua" w:eastAsia="Book Antiqua" w:hAnsi="Book Antiqua" w:cs="Book Antiqua"/>
          <w:b/>
          <w:color w:val="000000" w:themeColor="text1"/>
        </w:rPr>
        <w:t xml:space="preserve"> L-Editor: </w:t>
      </w:r>
      <w:r w:rsidR="00190A11" w:rsidRPr="00190A11">
        <w:rPr>
          <w:rFonts w:ascii="Book Antiqua" w:eastAsia="Book Antiqua" w:hAnsi="Book Antiqua" w:cs="Book Antiqua"/>
          <w:bCs/>
          <w:color w:val="000000" w:themeColor="text1"/>
        </w:rPr>
        <w:t>A</w:t>
      </w:r>
      <w:r w:rsidR="00190A11">
        <w:rPr>
          <w:rFonts w:ascii="Book Antiqua" w:eastAsia="Book Antiqua" w:hAnsi="Book Antiqua" w:cs="Book Antiqua"/>
          <w:b/>
          <w:color w:val="000000" w:themeColor="text1"/>
        </w:rPr>
        <w:t xml:space="preserve"> </w:t>
      </w:r>
      <w:r w:rsidRPr="009C2F78">
        <w:rPr>
          <w:rFonts w:ascii="Book Antiqua" w:eastAsia="Book Antiqua" w:hAnsi="Book Antiqua" w:cs="Book Antiqua"/>
          <w:b/>
          <w:color w:val="000000" w:themeColor="text1"/>
        </w:rPr>
        <w:t xml:space="preserve">P-Editor: </w:t>
      </w:r>
      <w:r w:rsidR="00190A11" w:rsidRPr="00190A11">
        <w:rPr>
          <w:rFonts w:ascii="Book Antiqua" w:eastAsia="Book Antiqua" w:hAnsi="Book Antiqua" w:cs="Book Antiqua"/>
          <w:color w:val="000000" w:themeColor="text1"/>
        </w:rPr>
        <w:t>L</w:t>
      </w:r>
      <w:r w:rsidR="00190A11" w:rsidRPr="00190A11">
        <w:rPr>
          <w:rFonts w:ascii="Book Antiqua" w:eastAsia="Book Antiqua" w:hAnsi="Book Antiqua" w:cs="Book Antiqua" w:hint="eastAsia"/>
          <w:color w:val="000000" w:themeColor="text1"/>
        </w:rPr>
        <w:t>i</w:t>
      </w:r>
      <w:r w:rsidR="00190A11" w:rsidRPr="00190A11">
        <w:rPr>
          <w:rFonts w:ascii="Book Antiqua" w:eastAsia="Book Antiqua" w:hAnsi="Book Antiqua" w:cs="Book Antiqua"/>
          <w:color w:val="000000" w:themeColor="text1"/>
        </w:rPr>
        <w:t xml:space="preserve"> JH</w:t>
      </w:r>
    </w:p>
    <w:p w14:paraId="6F3B9374" w14:textId="27E4B964" w:rsidR="00A96CA8" w:rsidRPr="009C2F78" w:rsidRDefault="00A96CA8" w:rsidP="009C2F78">
      <w:pPr>
        <w:adjustRightInd w:val="0"/>
        <w:snapToGrid w:val="0"/>
        <w:spacing w:line="360" w:lineRule="auto"/>
        <w:jc w:val="both"/>
        <w:rPr>
          <w:rFonts w:ascii="Book Antiqua" w:hAnsi="Book Antiqua"/>
          <w:color w:val="000000" w:themeColor="text1"/>
        </w:rPr>
        <w:sectPr w:rsidR="00A96CA8" w:rsidRPr="009C2F78">
          <w:pgSz w:w="12240" w:h="15840"/>
          <w:pgMar w:top="1440" w:right="1440" w:bottom="1440" w:left="1440" w:header="720" w:footer="720" w:gutter="0"/>
          <w:cols w:space="720"/>
          <w:docGrid w:linePitch="360"/>
        </w:sectPr>
      </w:pPr>
    </w:p>
    <w:p w14:paraId="5B94C692"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Figure Legends</w:t>
      </w:r>
    </w:p>
    <w:p w14:paraId="020C8DB6" w14:textId="1E413B9D" w:rsidR="00990564" w:rsidRDefault="00990564" w:rsidP="009C2F78">
      <w:pPr>
        <w:adjustRightInd w:val="0"/>
        <w:snapToGrid w:val="0"/>
        <w:spacing w:line="360" w:lineRule="auto"/>
        <w:jc w:val="both"/>
        <w:rPr>
          <w:rFonts w:ascii="Book Antiqua" w:hAnsi="Book Antiqua"/>
          <w:noProof/>
        </w:rPr>
      </w:pPr>
    </w:p>
    <w:p w14:paraId="4798AB3C" w14:textId="1CB39899" w:rsidR="006A1A35" w:rsidRPr="009C2F78" w:rsidRDefault="006A1A35" w:rsidP="009C2F78">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37624998" wp14:editId="71852A45">
            <wp:extent cx="5939790" cy="3599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599180"/>
                    </a:xfrm>
                    <a:prstGeom prst="rect">
                      <a:avLst/>
                    </a:prstGeom>
                    <a:noFill/>
                    <a:ln>
                      <a:noFill/>
                    </a:ln>
                  </pic:spPr>
                </pic:pic>
              </a:graphicData>
            </a:graphic>
          </wp:inline>
        </w:drawing>
      </w:r>
    </w:p>
    <w:p w14:paraId="7592AB93" w14:textId="315A24CB" w:rsidR="00A77B3E" w:rsidRPr="009C2F78" w:rsidRDefault="00BC2EBD" w:rsidP="009C2F78">
      <w:pPr>
        <w:adjustRightInd w:val="0"/>
        <w:snapToGrid w:val="0"/>
        <w:spacing w:line="360" w:lineRule="auto"/>
        <w:jc w:val="both"/>
        <w:rPr>
          <w:rFonts w:ascii="Book Antiqua" w:eastAsia="Book Antiqua" w:hAnsi="Book Antiqua" w:cs="Book Antiqua"/>
          <w:b/>
          <w:bCs/>
          <w:color w:val="000000" w:themeColor="text1"/>
        </w:rPr>
      </w:pPr>
      <w:r w:rsidRPr="009C2F78">
        <w:rPr>
          <w:rFonts w:ascii="Book Antiqua" w:eastAsia="Book Antiqua" w:hAnsi="Book Antiqua" w:cs="Book Antiqua"/>
          <w:b/>
          <w:bCs/>
          <w:color w:val="000000" w:themeColor="text1"/>
        </w:rPr>
        <w:t>Figure 1 Association of artificial intelligence, machine learning and deep learning.</w:t>
      </w:r>
    </w:p>
    <w:p w14:paraId="4A06DBC6" w14:textId="77777777" w:rsidR="006A1A35" w:rsidRDefault="006A1A35" w:rsidP="009C2F78">
      <w:pPr>
        <w:adjustRightInd w:val="0"/>
        <w:snapToGrid w:val="0"/>
        <w:spacing w:line="360" w:lineRule="auto"/>
        <w:jc w:val="both"/>
        <w:rPr>
          <w:rFonts w:ascii="Book Antiqua" w:hAnsi="Book Antiqua"/>
          <w:b/>
          <w:bCs/>
          <w:color w:val="000000" w:themeColor="text1"/>
        </w:rPr>
        <w:sectPr w:rsidR="006A1A35">
          <w:pgSz w:w="12240" w:h="15840"/>
          <w:pgMar w:top="1440" w:right="1440" w:bottom="1440" w:left="1440" w:header="720" w:footer="720" w:gutter="0"/>
          <w:cols w:space="720"/>
          <w:docGrid w:linePitch="360"/>
        </w:sectPr>
      </w:pPr>
    </w:p>
    <w:p w14:paraId="7B180561" w14:textId="30F1DF0E" w:rsidR="00990564" w:rsidRPr="009C2F78" w:rsidRDefault="00990564" w:rsidP="009C2F78">
      <w:pPr>
        <w:adjustRightInd w:val="0"/>
        <w:snapToGrid w:val="0"/>
        <w:spacing w:line="360" w:lineRule="auto"/>
        <w:jc w:val="both"/>
        <w:rPr>
          <w:rFonts w:ascii="Book Antiqua" w:hAnsi="Book Antiqua"/>
          <w:b/>
          <w:bCs/>
          <w:color w:val="000000" w:themeColor="text1"/>
        </w:rPr>
      </w:pPr>
    </w:p>
    <w:p w14:paraId="50DAEA2A" w14:textId="77777777" w:rsidR="00990564" w:rsidRPr="009C2F78" w:rsidRDefault="00990564" w:rsidP="009C2F78">
      <w:pPr>
        <w:adjustRightInd w:val="0"/>
        <w:snapToGrid w:val="0"/>
        <w:spacing w:line="360" w:lineRule="auto"/>
        <w:jc w:val="both"/>
        <w:rPr>
          <w:rFonts w:ascii="Book Antiqua" w:eastAsia="Book Antiqua" w:hAnsi="Book Antiqua" w:cs="Book Antiqua"/>
          <w:b/>
          <w:bCs/>
          <w:color w:val="000000" w:themeColor="text1"/>
        </w:rPr>
      </w:pPr>
      <w:r w:rsidRPr="009C2F78">
        <w:rPr>
          <w:rFonts w:ascii="Book Antiqua" w:hAnsi="Book Antiqua"/>
          <w:noProof/>
        </w:rPr>
        <w:drawing>
          <wp:inline distT="0" distB="0" distL="0" distR="0" wp14:anchorId="1E5CB815" wp14:editId="660EBA8C">
            <wp:extent cx="4271197" cy="23368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382" cy="2337995"/>
                    </a:xfrm>
                    <a:prstGeom prst="rect">
                      <a:avLst/>
                    </a:prstGeom>
                    <a:noFill/>
                    <a:ln>
                      <a:noFill/>
                    </a:ln>
                  </pic:spPr>
                </pic:pic>
              </a:graphicData>
            </a:graphic>
          </wp:inline>
        </w:drawing>
      </w:r>
    </w:p>
    <w:p w14:paraId="7B83D504" w14:textId="042A23E8" w:rsidR="004F6CB1" w:rsidRPr="009C2F78" w:rsidRDefault="00BC2EBD" w:rsidP="009C2F78">
      <w:pPr>
        <w:adjustRightInd w:val="0"/>
        <w:snapToGrid w:val="0"/>
        <w:spacing w:line="360" w:lineRule="auto"/>
        <w:jc w:val="both"/>
        <w:rPr>
          <w:rFonts w:ascii="Book Antiqua" w:eastAsia="Book Antiqua" w:hAnsi="Book Antiqua" w:cs="Book Antiqua"/>
          <w:color w:val="000000" w:themeColor="text1"/>
        </w:rPr>
      </w:pPr>
      <w:r w:rsidRPr="009C2F78">
        <w:rPr>
          <w:rFonts w:ascii="Book Antiqua" w:eastAsia="Book Antiqua" w:hAnsi="Book Antiqua" w:cs="Book Antiqua"/>
          <w:b/>
          <w:bCs/>
          <w:color w:val="000000" w:themeColor="text1"/>
        </w:rPr>
        <w:t>Figure 2 Drug screening and drug discovery for anti-hepatitis A virus using artificial intelligence-based drug repositioning and rescue.</w:t>
      </w:r>
      <w:r w:rsidRPr="009C2F78">
        <w:rPr>
          <w:rFonts w:ascii="Book Antiqua" w:eastAsia="Book Antiqua" w:hAnsi="Book Antiqua" w:cs="Book Antiqua"/>
          <w:color w:val="000000" w:themeColor="text1"/>
        </w:rPr>
        <w:t xml:space="preserve"> </w:t>
      </w:r>
      <w:r w:rsidR="00F32C7C" w:rsidRPr="009C2F78">
        <w:rPr>
          <w:rFonts w:ascii="Book Antiqua" w:eastAsia="Book Antiqua" w:hAnsi="Book Antiqua" w:cs="Book Antiqua"/>
          <w:color w:val="000000" w:themeColor="text1"/>
        </w:rPr>
        <w:t>HAV:</w:t>
      </w:r>
      <w:r w:rsidR="00F32C7C" w:rsidRPr="009C2F78">
        <w:rPr>
          <w:rFonts w:ascii="Book Antiqua" w:hAnsi="Book Antiqua"/>
        </w:rPr>
        <w:t xml:space="preserve"> </w:t>
      </w:r>
      <w:r w:rsidR="00F32C7C" w:rsidRPr="009C2F78">
        <w:rPr>
          <w:rFonts w:ascii="Book Antiqua" w:eastAsia="Book Antiqua" w:hAnsi="Book Antiqua" w:cs="Book Antiqua"/>
          <w:color w:val="000000" w:themeColor="text1"/>
        </w:rPr>
        <w:t xml:space="preserve">Hepatitis A virus; </w:t>
      </w:r>
      <w:r w:rsidR="00365126" w:rsidRPr="009C2F78">
        <w:rPr>
          <w:rFonts w:ascii="Book Antiqua" w:eastAsia="Book Antiqua" w:hAnsi="Book Antiqua" w:cs="Book Antiqua"/>
          <w:color w:val="000000" w:themeColor="text1"/>
        </w:rPr>
        <w:t xml:space="preserve">AI: Artificial intelligence; </w:t>
      </w:r>
      <w:r w:rsidRPr="009C2F78">
        <w:rPr>
          <w:rFonts w:ascii="Book Antiqua" w:eastAsia="Book Antiqua" w:hAnsi="Book Antiqua" w:cs="Book Antiqua"/>
          <w:color w:val="000000" w:themeColor="text1"/>
        </w:rPr>
        <w:t xml:space="preserve">IRES: </w:t>
      </w:r>
      <w:r w:rsidR="00F32C7C" w:rsidRPr="009C2F78">
        <w:rPr>
          <w:rFonts w:ascii="Book Antiqua" w:eastAsia="Book Antiqua" w:hAnsi="Book Antiqua" w:cs="Book Antiqua"/>
          <w:color w:val="000000" w:themeColor="text1"/>
        </w:rPr>
        <w:t xml:space="preserve">Internal </w:t>
      </w:r>
      <w:r w:rsidRPr="009C2F78">
        <w:rPr>
          <w:rFonts w:ascii="Book Antiqua" w:eastAsia="Book Antiqua" w:hAnsi="Book Antiqua" w:cs="Book Antiqua"/>
          <w:color w:val="000000" w:themeColor="text1"/>
        </w:rPr>
        <w:t xml:space="preserve">ribosomal entry-site; La: </w:t>
      </w:r>
      <w:r w:rsidR="00F32C7C" w:rsidRPr="009C2F78">
        <w:rPr>
          <w:rFonts w:ascii="Book Antiqua" w:eastAsia="Book Antiqua" w:hAnsi="Book Antiqua" w:cs="Book Antiqua"/>
          <w:color w:val="000000" w:themeColor="text1"/>
        </w:rPr>
        <w:t xml:space="preserve">Lupus </w:t>
      </w:r>
      <w:r w:rsidRPr="009C2F78">
        <w:rPr>
          <w:rFonts w:ascii="Book Antiqua" w:eastAsia="Book Antiqua" w:hAnsi="Book Antiqua" w:cs="Book Antiqua"/>
          <w:color w:val="000000" w:themeColor="text1"/>
        </w:rPr>
        <w:t xml:space="preserve">La protein/SSB; JAK: Janus kinase; GRP: </w:t>
      </w:r>
      <w:r w:rsidR="00F32C7C" w:rsidRPr="009C2F78">
        <w:rPr>
          <w:rFonts w:ascii="Book Antiqua" w:eastAsia="Book Antiqua" w:hAnsi="Book Antiqua" w:cs="Book Antiqua"/>
          <w:color w:val="000000" w:themeColor="text1"/>
        </w:rPr>
        <w:t>Glucose</w:t>
      </w:r>
      <w:r w:rsidRPr="009C2F78">
        <w:rPr>
          <w:rFonts w:ascii="Book Antiqua" w:eastAsia="Book Antiqua" w:hAnsi="Book Antiqua" w:cs="Book Antiqua"/>
          <w:color w:val="000000" w:themeColor="text1"/>
        </w:rPr>
        <w:t xml:space="preserve">-regulated protein; IFN: </w:t>
      </w:r>
      <w:r w:rsidR="00F32C7C" w:rsidRPr="009C2F78">
        <w:rPr>
          <w:rFonts w:ascii="Book Antiqua" w:eastAsia="Book Antiqua" w:hAnsi="Book Antiqua" w:cs="Book Antiqua"/>
          <w:color w:val="000000" w:themeColor="text1"/>
        </w:rPr>
        <w:t>Interferon</w:t>
      </w:r>
      <w:r w:rsidRPr="009C2F78">
        <w:rPr>
          <w:rFonts w:ascii="Book Antiqua" w:eastAsia="Book Antiqua" w:hAnsi="Book Antiqua" w:cs="Book Antiqua"/>
          <w:color w:val="000000" w:themeColor="text1"/>
        </w:rPr>
        <w:t>; FDA</w:t>
      </w:r>
      <w:r w:rsidR="00F32C7C"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Food and Drug Administration.</w:t>
      </w:r>
    </w:p>
    <w:p w14:paraId="1965055B" w14:textId="0876B43E" w:rsidR="004F6CB1" w:rsidRPr="009C2F78" w:rsidRDefault="004F6CB1" w:rsidP="009C2F78">
      <w:pPr>
        <w:adjustRightInd w:val="0"/>
        <w:snapToGrid w:val="0"/>
        <w:spacing w:line="360" w:lineRule="auto"/>
        <w:jc w:val="both"/>
        <w:rPr>
          <w:rFonts w:ascii="Book Antiqua" w:hAnsi="Book Antiqua"/>
          <w:b/>
          <w:bCs/>
        </w:rPr>
      </w:pPr>
      <w:r w:rsidRPr="009C2F78">
        <w:rPr>
          <w:rFonts w:ascii="Book Antiqua" w:hAnsi="Book Antiqua"/>
          <w:b/>
          <w:bCs/>
        </w:rPr>
        <w:br w:type="page"/>
      </w:r>
      <w:r w:rsidRPr="009C2F78">
        <w:rPr>
          <w:rFonts w:ascii="Book Antiqua" w:hAnsi="Book Antiqua"/>
          <w:b/>
          <w:bCs/>
        </w:rPr>
        <w:lastRenderedPageBreak/>
        <w:t>Table 1 Target and mechanism of anti-hepatitis A virus candidates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4F6CB1" w:rsidRPr="009C2F78" w14:paraId="0F8CAE97" w14:textId="77777777" w:rsidTr="00247195">
        <w:tc>
          <w:tcPr>
            <w:tcW w:w="2831" w:type="dxa"/>
            <w:tcBorders>
              <w:top w:val="single" w:sz="4" w:space="0" w:color="auto"/>
              <w:bottom w:val="single" w:sz="4" w:space="0" w:color="auto"/>
            </w:tcBorders>
          </w:tcPr>
          <w:p w14:paraId="538B3552" w14:textId="77777777"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Target or mechanism</w:t>
            </w:r>
          </w:p>
        </w:tc>
        <w:tc>
          <w:tcPr>
            <w:tcW w:w="2831" w:type="dxa"/>
            <w:tcBorders>
              <w:top w:val="single" w:sz="4" w:space="0" w:color="auto"/>
              <w:bottom w:val="single" w:sz="4" w:space="0" w:color="auto"/>
            </w:tcBorders>
          </w:tcPr>
          <w:p w14:paraId="1E896CA6" w14:textId="77777777"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Drug</w:t>
            </w:r>
          </w:p>
        </w:tc>
        <w:tc>
          <w:tcPr>
            <w:tcW w:w="2832" w:type="dxa"/>
            <w:tcBorders>
              <w:top w:val="single" w:sz="4" w:space="0" w:color="auto"/>
              <w:bottom w:val="single" w:sz="4" w:space="0" w:color="auto"/>
            </w:tcBorders>
          </w:tcPr>
          <w:p w14:paraId="1919D853" w14:textId="0ADA487A"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Ref.</w:t>
            </w:r>
          </w:p>
        </w:tc>
      </w:tr>
      <w:tr w:rsidR="004F6CB1" w:rsidRPr="009C2F78" w14:paraId="4E51FC7F" w14:textId="77777777" w:rsidTr="00247195">
        <w:tc>
          <w:tcPr>
            <w:tcW w:w="2831" w:type="dxa"/>
            <w:tcBorders>
              <w:top w:val="single" w:sz="4" w:space="0" w:color="auto"/>
            </w:tcBorders>
          </w:tcPr>
          <w:p w14:paraId="23128071"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La antigen</w:t>
            </w:r>
          </w:p>
        </w:tc>
        <w:tc>
          <w:tcPr>
            <w:tcW w:w="2831" w:type="dxa"/>
            <w:tcBorders>
              <w:top w:val="single" w:sz="4" w:space="0" w:color="auto"/>
            </w:tcBorders>
          </w:tcPr>
          <w:p w14:paraId="17D641A0"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SD-1029, AG490</w:t>
            </w:r>
          </w:p>
        </w:tc>
        <w:tc>
          <w:tcPr>
            <w:tcW w:w="2832" w:type="dxa"/>
            <w:tcBorders>
              <w:top w:val="single" w:sz="4" w:space="0" w:color="auto"/>
            </w:tcBorders>
          </w:tcPr>
          <w:p w14:paraId="11A0510C" w14:textId="503410FE"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Jiang </w:t>
            </w:r>
            <w:r w:rsidRPr="009C2F78">
              <w:rPr>
                <w:rFonts w:ascii="Book Antiqua" w:hAnsi="Book Antiqua" w:cs="Times New Roman"/>
                <w:i/>
              </w:rPr>
              <w:t>et al</w:t>
            </w:r>
            <w:r w:rsidRPr="009C2F78">
              <w:rPr>
                <w:rFonts w:ascii="Book Antiqua" w:hAnsi="Book Antiqua" w:cs="Times New Roman"/>
                <w:vertAlign w:val="superscript"/>
              </w:rPr>
              <w:t>[</w:t>
            </w:r>
            <w:r w:rsidR="00812B38">
              <w:rPr>
                <w:rFonts w:ascii="Book Antiqua" w:hAnsi="Book Antiqua" w:cs="Times New Roman"/>
                <w:vertAlign w:val="superscript"/>
              </w:rPr>
              <w:t>34</w:t>
            </w:r>
            <w:r w:rsidRPr="009C2F78">
              <w:rPr>
                <w:rFonts w:ascii="Book Antiqua" w:hAnsi="Book Antiqua" w:cs="Times New Roman"/>
                <w:vertAlign w:val="superscript"/>
              </w:rPr>
              <w:t>]</w:t>
            </w:r>
          </w:p>
        </w:tc>
      </w:tr>
      <w:tr w:rsidR="004F6CB1" w:rsidRPr="009C2F78" w14:paraId="06909788" w14:textId="77777777" w:rsidTr="00247195">
        <w:tc>
          <w:tcPr>
            <w:tcW w:w="2831" w:type="dxa"/>
          </w:tcPr>
          <w:p w14:paraId="3A506463"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JAK2-STAT3</w:t>
            </w:r>
          </w:p>
        </w:tc>
        <w:tc>
          <w:tcPr>
            <w:tcW w:w="2831" w:type="dxa"/>
          </w:tcPr>
          <w:p w14:paraId="3927F20C"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AZD1480</w:t>
            </w:r>
          </w:p>
        </w:tc>
        <w:tc>
          <w:tcPr>
            <w:tcW w:w="2832" w:type="dxa"/>
          </w:tcPr>
          <w:p w14:paraId="4C7D8628" w14:textId="787CBB62"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Jiang </w:t>
            </w:r>
            <w:r w:rsidRPr="009C2F78">
              <w:rPr>
                <w:rFonts w:ascii="Book Antiqua" w:hAnsi="Book Antiqua" w:cs="Times New Roman"/>
                <w:i/>
                <w:iCs/>
              </w:rPr>
              <w:t>et al</w:t>
            </w:r>
            <w:r w:rsidRPr="009C2F78">
              <w:rPr>
                <w:rFonts w:ascii="Book Antiqua" w:hAnsi="Book Antiqua" w:cs="Times New Roman"/>
                <w:vertAlign w:val="superscript"/>
              </w:rPr>
              <w:t>[</w:t>
            </w:r>
            <w:r w:rsidR="00812B38">
              <w:rPr>
                <w:rFonts w:ascii="Book Antiqua" w:hAnsi="Book Antiqua" w:cs="Times New Roman"/>
                <w:vertAlign w:val="superscript"/>
              </w:rPr>
              <w:t>35</w:t>
            </w:r>
            <w:r w:rsidRPr="009C2F78">
              <w:rPr>
                <w:rFonts w:ascii="Book Antiqua" w:hAnsi="Book Antiqua" w:cs="Times New Roman"/>
                <w:vertAlign w:val="superscript"/>
              </w:rPr>
              <w:t>]</w:t>
            </w:r>
          </w:p>
        </w:tc>
      </w:tr>
      <w:tr w:rsidR="004F6CB1" w:rsidRPr="009C2F78" w14:paraId="73A8A292" w14:textId="77777777" w:rsidTr="00247195">
        <w:tc>
          <w:tcPr>
            <w:tcW w:w="2831" w:type="dxa"/>
          </w:tcPr>
          <w:p w14:paraId="7411FE91"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GRP78</w:t>
            </w:r>
          </w:p>
        </w:tc>
        <w:tc>
          <w:tcPr>
            <w:tcW w:w="2831" w:type="dxa"/>
          </w:tcPr>
          <w:p w14:paraId="715FE96C"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Japanese rice-koji miso extracts</w:t>
            </w:r>
          </w:p>
        </w:tc>
        <w:tc>
          <w:tcPr>
            <w:tcW w:w="2832" w:type="dxa"/>
          </w:tcPr>
          <w:p w14:paraId="078AD20B" w14:textId="161EA28A" w:rsidR="004F6CB1" w:rsidRPr="009C2F78" w:rsidRDefault="00F702D0"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Shubin </w:t>
            </w:r>
            <w:r w:rsidR="004F6CB1" w:rsidRPr="009C2F78">
              <w:rPr>
                <w:rFonts w:ascii="Book Antiqua" w:hAnsi="Book Antiqua" w:cs="Times New Roman"/>
                <w:i/>
                <w:iCs/>
              </w:rPr>
              <w:t>et al</w:t>
            </w:r>
            <w:r w:rsidR="004F6CB1" w:rsidRPr="009C2F78">
              <w:rPr>
                <w:rFonts w:ascii="Book Antiqua" w:hAnsi="Book Antiqua" w:cs="Times New Roman"/>
                <w:vertAlign w:val="superscript"/>
              </w:rPr>
              <w:t>[</w:t>
            </w:r>
            <w:r w:rsidR="00812B38">
              <w:rPr>
                <w:rFonts w:ascii="Book Antiqua" w:hAnsi="Book Antiqua" w:cs="Times New Roman"/>
                <w:vertAlign w:val="superscript"/>
              </w:rPr>
              <w:t>50</w:t>
            </w:r>
            <w:r w:rsidR="004F6CB1" w:rsidRPr="009C2F78">
              <w:rPr>
                <w:rFonts w:ascii="Book Antiqua" w:hAnsi="Book Antiqua" w:cs="Times New Roman"/>
                <w:vertAlign w:val="superscript"/>
              </w:rPr>
              <w:t>]</w:t>
            </w:r>
            <w:r w:rsidR="004F6CB1" w:rsidRPr="009C2F78">
              <w:rPr>
                <w:rFonts w:ascii="Book Antiqua" w:hAnsi="Book Antiqua" w:cs="Times New Roman"/>
              </w:rPr>
              <w:t xml:space="preserve">; </w:t>
            </w:r>
            <w:r w:rsidR="00E74575" w:rsidRPr="00E74575">
              <w:rPr>
                <w:rFonts w:ascii="Book Antiqua" w:hAnsi="Book Antiqua" w:cs="Times New Roman"/>
              </w:rPr>
              <w:t xml:space="preserve">Choi </w:t>
            </w:r>
            <w:r w:rsidR="004F6CB1" w:rsidRPr="009C2F78">
              <w:rPr>
                <w:rFonts w:ascii="Book Antiqua" w:hAnsi="Book Antiqua" w:cs="Times New Roman"/>
                <w:i/>
              </w:rPr>
              <w:t>et al</w:t>
            </w:r>
            <w:r w:rsidR="004F6CB1" w:rsidRPr="006A1A35">
              <w:rPr>
                <w:rFonts w:ascii="Book Antiqua" w:hAnsi="Book Antiqua" w:cs="Times New Roman"/>
                <w:vertAlign w:val="superscript"/>
              </w:rPr>
              <w:t>[</w:t>
            </w:r>
            <w:r w:rsidR="00812B38">
              <w:rPr>
                <w:rFonts w:ascii="Book Antiqua" w:hAnsi="Book Antiqua" w:cs="Times New Roman"/>
                <w:vertAlign w:val="superscript"/>
              </w:rPr>
              <w:t>51</w:t>
            </w:r>
            <w:r w:rsidR="004F6CB1" w:rsidRPr="009C2F78">
              <w:rPr>
                <w:rFonts w:ascii="Book Antiqua" w:hAnsi="Book Antiqua" w:cs="Times New Roman"/>
                <w:vertAlign w:val="superscript"/>
              </w:rPr>
              <w:t>]</w:t>
            </w:r>
          </w:p>
        </w:tc>
      </w:tr>
      <w:tr w:rsidR="004F6CB1" w:rsidRPr="009C2F78" w14:paraId="776A2ED5" w14:textId="77777777" w:rsidTr="00247195">
        <w:tc>
          <w:tcPr>
            <w:tcW w:w="2831" w:type="dxa"/>
          </w:tcPr>
          <w:p w14:paraId="2771AC2F"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GRP78</w:t>
            </w:r>
          </w:p>
        </w:tc>
        <w:tc>
          <w:tcPr>
            <w:tcW w:w="2831" w:type="dxa"/>
          </w:tcPr>
          <w:p w14:paraId="4EE74557"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Zinc sulfate</w:t>
            </w:r>
          </w:p>
        </w:tc>
        <w:tc>
          <w:tcPr>
            <w:tcW w:w="2832" w:type="dxa"/>
          </w:tcPr>
          <w:p w14:paraId="195BF246" w14:textId="304E4F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Ogawa </w:t>
            </w:r>
            <w:r w:rsidRPr="009C2F78">
              <w:rPr>
                <w:rFonts w:ascii="Book Antiqua" w:hAnsi="Book Antiqua" w:cs="Times New Roman"/>
                <w:i/>
                <w:iCs/>
              </w:rPr>
              <w:t>et al</w:t>
            </w:r>
            <w:r w:rsidRPr="009C2F78">
              <w:rPr>
                <w:rFonts w:ascii="Book Antiqua" w:hAnsi="Book Antiqua" w:cs="Times New Roman"/>
                <w:vertAlign w:val="superscript"/>
              </w:rPr>
              <w:t>[</w:t>
            </w:r>
            <w:r w:rsidR="00812B38">
              <w:rPr>
                <w:rFonts w:ascii="Book Antiqua" w:hAnsi="Book Antiqua" w:cs="Times New Roman"/>
                <w:vertAlign w:val="superscript"/>
              </w:rPr>
              <w:t>52</w:t>
            </w:r>
            <w:r w:rsidRPr="009C2F78">
              <w:rPr>
                <w:rFonts w:ascii="Book Antiqua" w:hAnsi="Book Antiqua" w:cs="Times New Roman"/>
                <w:vertAlign w:val="superscript"/>
              </w:rPr>
              <w:t>]</w:t>
            </w:r>
          </w:p>
        </w:tc>
      </w:tr>
      <w:tr w:rsidR="004F6CB1" w:rsidRPr="009C2F78" w14:paraId="42E76642" w14:textId="77777777" w:rsidTr="00247195">
        <w:tc>
          <w:tcPr>
            <w:tcW w:w="2831" w:type="dxa"/>
            <w:tcBorders>
              <w:bottom w:val="single" w:sz="4" w:space="0" w:color="auto"/>
            </w:tcBorders>
          </w:tcPr>
          <w:p w14:paraId="3F93A58E"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Inflammatory cytokines</w:t>
            </w:r>
          </w:p>
        </w:tc>
        <w:tc>
          <w:tcPr>
            <w:tcW w:w="2831" w:type="dxa"/>
            <w:tcBorders>
              <w:bottom w:val="single" w:sz="4" w:space="0" w:color="auto"/>
            </w:tcBorders>
          </w:tcPr>
          <w:p w14:paraId="1E42FBF3"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Zinc chloride</w:t>
            </w:r>
          </w:p>
        </w:tc>
        <w:tc>
          <w:tcPr>
            <w:tcW w:w="2832" w:type="dxa"/>
            <w:tcBorders>
              <w:bottom w:val="single" w:sz="4" w:space="0" w:color="auto"/>
            </w:tcBorders>
          </w:tcPr>
          <w:p w14:paraId="0AC85812" w14:textId="474B5F12" w:rsidR="004F6CB1" w:rsidRPr="009C2F78" w:rsidRDefault="00300854"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Mo </w:t>
            </w:r>
            <w:r w:rsidR="004F6CB1" w:rsidRPr="009C2F78">
              <w:rPr>
                <w:rFonts w:ascii="Book Antiqua" w:hAnsi="Book Antiqua" w:cs="Times New Roman"/>
                <w:i/>
                <w:iCs/>
              </w:rPr>
              <w:t>et al</w:t>
            </w:r>
            <w:r w:rsidR="004F6CB1" w:rsidRPr="009C2F78">
              <w:rPr>
                <w:rFonts w:ascii="Book Antiqua" w:hAnsi="Book Antiqua" w:cs="Times New Roman"/>
                <w:vertAlign w:val="superscript"/>
              </w:rPr>
              <w:t>[</w:t>
            </w:r>
            <w:r w:rsidR="00812B38">
              <w:rPr>
                <w:rFonts w:ascii="Book Antiqua" w:hAnsi="Book Antiqua" w:cs="Times New Roman"/>
                <w:vertAlign w:val="superscript"/>
              </w:rPr>
              <w:t>53</w:t>
            </w:r>
            <w:r w:rsidR="004F6CB1" w:rsidRPr="009C2F78">
              <w:rPr>
                <w:rFonts w:ascii="Book Antiqua" w:hAnsi="Book Antiqua" w:cs="Times New Roman"/>
                <w:vertAlign w:val="superscript"/>
              </w:rPr>
              <w:t>]</w:t>
            </w:r>
          </w:p>
        </w:tc>
      </w:tr>
    </w:tbl>
    <w:p w14:paraId="0116890A" w14:textId="502B366C" w:rsidR="00D11039" w:rsidRDefault="004F6CB1" w:rsidP="009C2F78">
      <w:pPr>
        <w:adjustRightInd w:val="0"/>
        <w:snapToGrid w:val="0"/>
        <w:spacing w:line="360" w:lineRule="auto"/>
        <w:jc w:val="both"/>
        <w:rPr>
          <w:rFonts w:ascii="Book Antiqua" w:hAnsi="Book Antiqua"/>
          <w:color w:val="000000" w:themeColor="text1"/>
        </w:rPr>
      </w:pPr>
      <w:r w:rsidRPr="009C2F78">
        <w:rPr>
          <w:rFonts w:ascii="Book Antiqua" w:hAnsi="Book Antiqua"/>
          <w:color w:val="000000" w:themeColor="text1"/>
        </w:rPr>
        <w:t xml:space="preserve">La: </w:t>
      </w:r>
      <w:r w:rsidR="005D7BB4" w:rsidRPr="009C2F78">
        <w:rPr>
          <w:rFonts w:ascii="Book Antiqua" w:hAnsi="Book Antiqua"/>
          <w:color w:val="000000" w:themeColor="text1"/>
        </w:rPr>
        <w:t xml:space="preserve">Lupus </w:t>
      </w:r>
      <w:r w:rsidRPr="009C2F78">
        <w:rPr>
          <w:rFonts w:ascii="Book Antiqua" w:hAnsi="Book Antiqua"/>
          <w:color w:val="000000" w:themeColor="text1"/>
        </w:rPr>
        <w:t xml:space="preserve">La protein/SSB; JAK: Janus kinase; STAT: </w:t>
      </w:r>
      <w:r w:rsidR="005D7BB4" w:rsidRPr="009C2F78">
        <w:rPr>
          <w:rFonts w:ascii="Book Antiqua" w:hAnsi="Book Antiqua"/>
          <w:color w:val="000000" w:themeColor="text1"/>
        </w:rPr>
        <w:t xml:space="preserve">Signal </w:t>
      </w:r>
      <w:r w:rsidRPr="009C2F78">
        <w:rPr>
          <w:rFonts w:ascii="Book Antiqua" w:hAnsi="Book Antiqua"/>
          <w:color w:val="000000" w:themeColor="text1"/>
        </w:rPr>
        <w:t xml:space="preserve">transducer and activator of transcription; GRP78: </w:t>
      </w:r>
      <w:r w:rsidR="005D7BB4" w:rsidRPr="009C2F78">
        <w:rPr>
          <w:rFonts w:ascii="Book Antiqua" w:hAnsi="Book Antiqua"/>
          <w:color w:val="000000" w:themeColor="text1"/>
        </w:rPr>
        <w:t>Glucose</w:t>
      </w:r>
      <w:r w:rsidRPr="009C2F78">
        <w:rPr>
          <w:rFonts w:ascii="Book Antiqua" w:hAnsi="Book Antiqua"/>
          <w:color w:val="000000" w:themeColor="text1"/>
        </w:rPr>
        <w:t>-regulated protein 78.</w:t>
      </w:r>
    </w:p>
    <w:p w14:paraId="24D3B17E" w14:textId="77777777" w:rsidR="00D11039" w:rsidRDefault="00D11039">
      <w:pPr>
        <w:rPr>
          <w:rFonts w:ascii="Book Antiqua" w:hAnsi="Book Antiqua"/>
          <w:color w:val="000000" w:themeColor="text1"/>
        </w:rPr>
      </w:pPr>
      <w:r>
        <w:rPr>
          <w:rFonts w:ascii="Book Antiqua" w:hAnsi="Book Antiqua"/>
          <w:color w:val="000000" w:themeColor="text1"/>
        </w:rPr>
        <w:br w:type="page"/>
      </w:r>
    </w:p>
    <w:p w14:paraId="6477046B" w14:textId="77777777" w:rsidR="00D11039" w:rsidRDefault="00D11039" w:rsidP="00D11039">
      <w:pPr>
        <w:jc w:val="center"/>
        <w:rPr>
          <w:rFonts w:ascii="Book Antiqua" w:hAnsi="Book Antiqua"/>
          <w:lang w:eastAsia="zh-CN"/>
        </w:rPr>
      </w:pPr>
    </w:p>
    <w:p w14:paraId="44F16373" w14:textId="77777777" w:rsidR="00D11039" w:rsidRDefault="00D11039" w:rsidP="00D11039">
      <w:pPr>
        <w:jc w:val="center"/>
        <w:rPr>
          <w:rFonts w:ascii="Book Antiqua" w:hAnsi="Book Antiqua"/>
          <w:lang w:eastAsia="zh-CN"/>
        </w:rPr>
      </w:pPr>
    </w:p>
    <w:p w14:paraId="7B80FFCD" w14:textId="77777777" w:rsidR="00D11039" w:rsidRDefault="00D11039" w:rsidP="00D11039">
      <w:pPr>
        <w:jc w:val="center"/>
        <w:rPr>
          <w:rFonts w:ascii="Book Antiqua" w:hAnsi="Book Antiqua"/>
          <w:lang w:eastAsia="zh-CN"/>
        </w:rPr>
      </w:pPr>
    </w:p>
    <w:p w14:paraId="1EE25130" w14:textId="77777777" w:rsidR="00D11039" w:rsidRDefault="00D11039" w:rsidP="00D11039">
      <w:pPr>
        <w:jc w:val="center"/>
        <w:rPr>
          <w:rFonts w:ascii="Book Antiqua" w:hAnsi="Book Antiqua"/>
          <w:lang w:eastAsia="zh-CN"/>
        </w:rPr>
      </w:pPr>
    </w:p>
    <w:p w14:paraId="6B515FB3" w14:textId="77777777" w:rsidR="00D11039" w:rsidRDefault="00D11039" w:rsidP="00D11039">
      <w:pPr>
        <w:jc w:val="center"/>
        <w:rPr>
          <w:rFonts w:ascii="Book Antiqua" w:hAnsi="Book Antiqua"/>
          <w:lang w:eastAsia="zh-CN"/>
        </w:rPr>
      </w:pPr>
    </w:p>
    <w:p w14:paraId="2BD137E3" w14:textId="77777777" w:rsidR="00D11039" w:rsidRDefault="00D11039" w:rsidP="00D11039">
      <w:pPr>
        <w:jc w:val="center"/>
        <w:rPr>
          <w:rFonts w:ascii="Book Antiqua" w:hAnsi="Book Antiqua"/>
          <w:lang w:eastAsia="zh-CN"/>
        </w:rPr>
      </w:pPr>
      <w:r>
        <w:rPr>
          <w:rFonts w:ascii="Book Antiqua" w:hAnsi="Book Antiqua"/>
          <w:noProof/>
          <w:lang w:eastAsia="zh-CN"/>
        </w:rPr>
        <w:drawing>
          <wp:inline distT="0" distB="0" distL="0" distR="0" wp14:anchorId="33AA666C" wp14:editId="2B27FF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59BBA3" w14:textId="77777777" w:rsidR="00D11039" w:rsidRDefault="00D11039" w:rsidP="00D11039">
      <w:pPr>
        <w:jc w:val="center"/>
        <w:rPr>
          <w:rFonts w:ascii="Book Antiqua" w:hAnsi="Book Antiqua"/>
          <w:lang w:eastAsia="zh-CN"/>
        </w:rPr>
      </w:pPr>
    </w:p>
    <w:p w14:paraId="51800A38" w14:textId="77777777" w:rsidR="00D11039" w:rsidRPr="00763D22" w:rsidRDefault="00D11039" w:rsidP="00D1103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14F46A" w14:textId="77777777" w:rsidR="00D11039" w:rsidRPr="00763D22" w:rsidRDefault="00D11039" w:rsidP="00D110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F159D5" w14:textId="77777777" w:rsidR="00D11039" w:rsidRPr="00763D22" w:rsidRDefault="00D11039" w:rsidP="00D110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0FF341" w14:textId="77777777" w:rsidR="00D11039" w:rsidRPr="00763D22" w:rsidRDefault="00D11039" w:rsidP="00D110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F3EB44" w14:textId="77777777" w:rsidR="00D11039" w:rsidRPr="00763D22" w:rsidRDefault="00D11039" w:rsidP="00D110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9563B2" w14:textId="77777777" w:rsidR="00D11039" w:rsidRPr="00763D22" w:rsidRDefault="00D11039" w:rsidP="00D1103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1E9541" w14:textId="77777777" w:rsidR="00D11039" w:rsidRDefault="00D11039" w:rsidP="00D11039">
      <w:pPr>
        <w:jc w:val="center"/>
        <w:rPr>
          <w:rFonts w:ascii="Book Antiqua" w:hAnsi="Book Antiqua"/>
          <w:lang w:eastAsia="zh-CN"/>
        </w:rPr>
      </w:pPr>
    </w:p>
    <w:p w14:paraId="5850C68A" w14:textId="77777777" w:rsidR="00D11039" w:rsidRDefault="00D11039" w:rsidP="00D11039">
      <w:pPr>
        <w:jc w:val="center"/>
        <w:rPr>
          <w:rFonts w:ascii="Book Antiqua" w:hAnsi="Book Antiqua"/>
          <w:lang w:eastAsia="zh-CN"/>
        </w:rPr>
      </w:pPr>
    </w:p>
    <w:p w14:paraId="2DDD7380" w14:textId="77777777" w:rsidR="00D11039" w:rsidRDefault="00D11039" w:rsidP="00D11039">
      <w:pPr>
        <w:jc w:val="center"/>
        <w:rPr>
          <w:rFonts w:ascii="Book Antiqua" w:hAnsi="Book Antiqua"/>
          <w:lang w:eastAsia="zh-CN"/>
        </w:rPr>
      </w:pPr>
    </w:p>
    <w:p w14:paraId="23A4C766" w14:textId="77777777" w:rsidR="00D11039" w:rsidRDefault="00D11039" w:rsidP="00D11039">
      <w:pPr>
        <w:jc w:val="center"/>
        <w:rPr>
          <w:rFonts w:ascii="Book Antiqua" w:hAnsi="Book Antiqua"/>
          <w:lang w:eastAsia="zh-CN"/>
        </w:rPr>
      </w:pPr>
      <w:r>
        <w:rPr>
          <w:rFonts w:ascii="Book Antiqua" w:hAnsi="Book Antiqua"/>
          <w:noProof/>
          <w:lang w:eastAsia="zh-CN"/>
        </w:rPr>
        <w:drawing>
          <wp:inline distT="0" distB="0" distL="0" distR="0" wp14:anchorId="38836E2F" wp14:editId="2526D02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825BFD" w14:textId="77777777" w:rsidR="00D11039" w:rsidRDefault="00D11039" w:rsidP="00D11039">
      <w:pPr>
        <w:jc w:val="center"/>
        <w:rPr>
          <w:rFonts w:ascii="Book Antiqua" w:hAnsi="Book Antiqua"/>
          <w:lang w:eastAsia="zh-CN"/>
        </w:rPr>
      </w:pPr>
    </w:p>
    <w:p w14:paraId="3B0FBAC6" w14:textId="77777777" w:rsidR="00D11039" w:rsidRDefault="00D11039" w:rsidP="00D11039">
      <w:pPr>
        <w:jc w:val="center"/>
        <w:rPr>
          <w:rFonts w:ascii="Book Antiqua" w:hAnsi="Book Antiqua"/>
          <w:lang w:eastAsia="zh-CN"/>
        </w:rPr>
      </w:pPr>
    </w:p>
    <w:p w14:paraId="657D0ACE" w14:textId="77777777" w:rsidR="00D11039" w:rsidRDefault="00D11039" w:rsidP="00D11039">
      <w:pPr>
        <w:jc w:val="center"/>
        <w:rPr>
          <w:rFonts w:ascii="Book Antiqua" w:hAnsi="Book Antiqua"/>
          <w:lang w:eastAsia="zh-CN"/>
        </w:rPr>
      </w:pPr>
    </w:p>
    <w:p w14:paraId="0914689E" w14:textId="77777777" w:rsidR="00D11039" w:rsidRDefault="00D11039" w:rsidP="00D11039">
      <w:pPr>
        <w:jc w:val="center"/>
        <w:rPr>
          <w:rFonts w:ascii="Book Antiqua" w:hAnsi="Book Antiqua"/>
          <w:lang w:eastAsia="zh-CN"/>
        </w:rPr>
      </w:pPr>
    </w:p>
    <w:p w14:paraId="6EFE1876" w14:textId="77777777" w:rsidR="00D11039" w:rsidRDefault="00D11039" w:rsidP="00D11039">
      <w:pPr>
        <w:jc w:val="center"/>
        <w:rPr>
          <w:rFonts w:ascii="Book Antiqua" w:hAnsi="Book Antiqua"/>
          <w:lang w:eastAsia="zh-CN"/>
        </w:rPr>
      </w:pPr>
    </w:p>
    <w:p w14:paraId="24FD675F" w14:textId="77777777" w:rsidR="00D11039" w:rsidRDefault="00D11039" w:rsidP="00D11039">
      <w:pPr>
        <w:jc w:val="center"/>
        <w:rPr>
          <w:rFonts w:ascii="Book Antiqua" w:hAnsi="Book Antiqua"/>
          <w:lang w:eastAsia="zh-CN"/>
        </w:rPr>
      </w:pPr>
    </w:p>
    <w:p w14:paraId="28736EC5" w14:textId="77777777" w:rsidR="00D11039" w:rsidRDefault="00D11039" w:rsidP="00D11039">
      <w:pPr>
        <w:jc w:val="center"/>
        <w:rPr>
          <w:rFonts w:ascii="Book Antiqua" w:hAnsi="Book Antiqua"/>
          <w:lang w:eastAsia="zh-CN"/>
        </w:rPr>
      </w:pPr>
    </w:p>
    <w:p w14:paraId="6F6D4B70" w14:textId="77777777" w:rsidR="00D11039" w:rsidRDefault="00D11039" w:rsidP="00D11039">
      <w:pPr>
        <w:jc w:val="center"/>
        <w:rPr>
          <w:rFonts w:ascii="Book Antiqua" w:hAnsi="Book Antiqua"/>
          <w:lang w:eastAsia="zh-CN"/>
        </w:rPr>
      </w:pPr>
    </w:p>
    <w:p w14:paraId="4EF3F9A7" w14:textId="77777777" w:rsidR="00D11039" w:rsidRDefault="00D11039" w:rsidP="00D11039">
      <w:pPr>
        <w:jc w:val="center"/>
        <w:rPr>
          <w:rFonts w:ascii="Book Antiqua" w:hAnsi="Book Antiqua"/>
          <w:lang w:eastAsia="zh-CN"/>
        </w:rPr>
      </w:pPr>
    </w:p>
    <w:p w14:paraId="00BD6027" w14:textId="77777777" w:rsidR="00D11039" w:rsidRPr="00763D22" w:rsidRDefault="00D11039" w:rsidP="00D11039">
      <w:pPr>
        <w:jc w:val="right"/>
        <w:rPr>
          <w:rFonts w:ascii="Book Antiqua" w:hAnsi="Book Antiqua"/>
          <w:color w:val="000000" w:themeColor="text1"/>
          <w:lang w:eastAsia="zh-CN"/>
        </w:rPr>
      </w:pPr>
    </w:p>
    <w:p w14:paraId="7C1E5B88" w14:textId="77777777" w:rsidR="00D11039" w:rsidRPr="00763D22" w:rsidRDefault="00D11039" w:rsidP="00D1103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269B93" w14:textId="77777777" w:rsidR="003160D7" w:rsidRPr="009C2F78" w:rsidRDefault="003160D7" w:rsidP="009C2F78">
      <w:pPr>
        <w:adjustRightInd w:val="0"/>
        <w:snapToGrid w:val="0"/>
        <w:spacing w:line="360" w:lineRule="auto"/>
        <w:jc w:val="both"/>
        <w:rPr>
          <w:rFonts w:ascii="Book Antiqua" w:hAnsi="Book Antiqua"/>
          <w:color w:val="000000" w:themeColor="text1"/>
        </w:rPr>
      </w:pPr>
    </w:p>
    <w:sectPr w:rsidR="003160D7" w:rsidRPr="009C2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9D7A" w14:textId="77777777" w:rsidR="004340C3" w:rsidRDefault="004340C3" w:rsidP="00491D7B">
      <w:r>
        <w:separator/>
      </w:r>
    </w:p>
  </w:endnote>
  <w:endnote w:type="continuationSeparator" w:id="0">
    <w:p w14:paraId="267E713E" w14:textId="77777777" w:rsidR="004340C3" w:rsidRDefault="004340C3" w:rsidP="0049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566570"/>
      <w:docPartObj>
        <w:docPartGallery w:val="Page Numbers (Bottom of Page)"/>
        <w:docPartUnique/>
      </w:docPartObj>
    </w:sdtPr>
    <w:sdtEndPr/>
    <w:sdtContent>
      <w:sdt>
        <w:sdtPr>
          <w:id w:val="-1769616900"/>
          <w:docPartObj>
            <w:docPartGallery w:val="Page Numbers (Top of Page)"/>
            <w:docPartUnique/>
          </w:docPartObj>
        </w:sdtPr>
        <w:sdtEndPr/>
        <w:sdtContent>
          <w:p w14:paraId="430D1AA8" w14:textId="5469542A" w:rsidR="00491D7B" w:rsidRDefault="00491D7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9D11AE" w14:textId="77777777" w:rsidR="00491D7B" w:rsidRDefault="00491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95AFE" w14:textId="77777777" w:rsidR="004340C3" w:rsidRDefault="004340C3" w:rsidP="00491D7B">
      <w:r>
        <w:separator/>
      </w:r>
    </w:p>
  </w:footnote>
  <w:footnote w:type="continuationSeparator" w:id="0">
    <w:p w14:paraId="4877368A" w14:textId="77777777" w:rsidR="004340C3" w:rsidRDefault="004340C3" w:rsidP="0049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5F9"/>
    <w:rsid w:val="000D3F2A"/>
    <w:rsid w:val="00121D04"/>
    <w:rsid w:val="001541F8"/>
    <w:rsid w:val="00172CE3"/>
    <w:rsid w:val="00190A11"/>
    <w:rsid w:val="001D3342"/>
    <w:rsid w:val="00235494"/>
    <w:rsid w:val="00276ADC"/>
    <w:rsid w:val="00286105"/>
    <w:rsid w:val="002B6272"/>
    <w:rsid w:val="002F1646"/>
    <w:rsid w:val="00300854"/>
    <w:rsid w:val="003160D7"/>
    <w:rsid w:val="0032016F"/>
    <w:rsid w:val="00326EC6"/>
    <w:rsid w:val="0034199D"/>
    <w:rsid w:val="00365126"/>
    <w:rsid w:val="003A3547"/>
    <w:rsid w:val="003C35B3"/>
    <w:rsid w:val="003D6931"/>
    <w:rsid w:val="003E466C"/>
    <w:rsid w:val="003F166B"/>
    <w:rsid w:val="00407F11"/>
    <w:rsid w:val="004340C3"/>
    <w:rsid w:val="00441017"/>
    <w:rsid w:val="0047260D"/>
    <w:rsid w:val="00491D7B"/>
    <w:rsid w:val="004C3A20"/>
    <w:rsid w:val="004D318A"/>
    <w:rsid w:val="004D5362"/>
    <w:rsid w:val="004F6CB1"/>
    <w:rsid w:val="0051533B"/>
    <w:rsid w:val="00535624"/>
    <w:rsid w:val="00566D9C"/>
    <w:rsid w:val="005C22D0"/>
    <w:rsid w:val="005C3E7C"/>
    <w:rsid w:val="005D7BB4"/>
    <w:rsid w:val="006A1A35"/>
    <w:rsid w:val="006E4964"/>
    <w:rsid w:val="007018E4"/>
    <w:rsid w:val="00747E9E"/>
    <w:rsid w:val="007545F2"/>
    <w:rsid w:val="00791C50"/>
    <w:rsid w:val="007C5088"/>
    <w:rsid w:val="0081146B"/>
    <w:rsid w:val="00812B38"/>
    <w:rsid w:val="00822A7A"/>
    <w:rsid w:val="00876DBC"/>
    <w:rsid w:val="008A4B36"/>
    <w:rsid w:val="008D3191"/>
    <w:rsid w:val="008E42DF"/>
    <w:rsid w:val="008F7F14"/>
    <w:rsid w:val="00903C94"/>
    <w:rsid w:val="00990564"/>
    <w:rsid w:val="009932BC"/>
    <w:rsid w:val="009C007C"/>
    <w:rsid w:val="009C2F78"/>
    <w:rsid w:val="009E419A"/>
    <w:rsid w:val="00A16F66"/>
    <w:rsid w:val="00A2260B"/>
    <w:rsid w:val="00A67CF5"/>
    <w:rsid w:val="00A76CFD"/>
    <w:rsid w:val="00A77B3E"/>
    <w:rsid w:val="00A96CA8"/>
    <w:rsid w:val="00AF188F"/>
    <w:rsid w:val="00B54BC2"/>
    <w:rsid w:val="00B74282"/>
    <w:rsid w:val="00B91020"/>
    <w:rsid w:val="00BA724E"/>
    <w:rsid w:val="00BC2EBD"/>
    <w:rsid w:val="00BD0C33"/>
    <w:rsid w:val="00C079EA"/>
    <w:rsid w:val="00C3173C"/>
    <w:rsid w:val="00C6021F"/>
    <w:rsid w:val="00C9511A"/>
    <w:rsid w:val="00CA2A55"/>
    <w:rsid w:val="00CC6917"/>
    <w:rsid w:val="00D11039"/>
    <w:rsid w:val="00D16E50"/>
    <w:rsid w:val="00D55065"/>
    <w:rsid w:val="00D918E5"/>
    <w:rsid w:val="00DF01A5"/>
    <w:rsid w:val="00E00637"/>
    <w:rsid w:val="00E22DC1"/>
    <w:rsid w:val="00E74575"/>
    <w:rsid w:val="00E90200"/>
    <w:rsid w:val="00EB1CEE"/>
    <w:rsid w:val="00EB30AF"/>
    <w:rsid w:val="00EE1D2B"/>
    <w:rsid w:val="00EF2316"/>
    <w:rsid w:val="00F237A4"/>
    <w:rsid w:val="00F26EBE"/>
    <w:rsid w:val="00F32C7C"/>
    <w:rsid w:val="00F44877"/>
    <w:rsid w:val="00F5773B"/>
    <w:rsid w:val="00F61930"/>
    <w:rsid w:val="00F639D4"/>
    <w:rsid w:val="00F702D0"/>
    <w:rsid w:val="00F8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9144E"/>
  <w15:docId w15:val="{7ECB5AFA-C3DC-4178-B3AB-5471B38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1D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1D7B"/>
    <w:rPr>
      <w:sz w:val="18"/>
      <w:szCs w:val="18"/>
    </w:rPr>
  </w:style>
  <w:style w:type="paragraph" w:styleId="a5">
    <w:name w:val="footer"/>
    <w:basedOn w:val="a"/>
    <w:link w:val="a6"/>
    <w:uiPriority w:val="99"/>
    <w:unhideWhenUsed/>
    <w:rsid w:val="00491D7B"/>
    <w:pPr>
      <w:tabs>
        <w:tab w:val="center" w:pos="4153"/>
        <w:tab w:val="right" w:pos="8306"/>
      </w:tabs>
      <w:snapToGrid w:val="0"/>
    </w:pPr>
    <w:rPr>
      <w:sz w:val="18"/>
      <w:szCs w:val="18"/>
    </w:rPr>
  </w:style>
  <w:style w:type="character" w:customStyle="1" w:styleId="a6">
    <w:name w:val="页脚 字符"/>
    <w:basedOn w:val="a0"/>
    <w:link w:val="a5"/>
    <w:uiPriority w:val="99"/>
    <w:rsid w:val="00491D7B"/>
    <w:rPr>
      <w:sz w:val="18"/>
      <w:szCs w:val="18"/>
    </w:rPr>
  </w:style>
  <w:style w:type="table" w:styleId="a7">
    <w:name w:val="Table Grid"/>
    <w:basedOn w:val="a1"/>
    <w:uiPriority w:val="39"/>
    <w:rsid w:val="004F6CB1"/>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5509</Words>
  <Characters>31405</Characters>
  <Application>Microsoft Office Word</Application>
  <DocSecurity>0</DocSecurity>
  <Lines>261</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17</cp:revision>
  <dcterms:created xsi:type="dcterms:W3CDTF">2021-02-12T18:36:00Z</dcterms:created>
  <dcterms:modified xsi:type="dcterms:W3CDTF">2021-02-25T01:56:00Z</dcterms:modified>
</cp:coreProperties>
</file>