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051FD"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Name of Journal: </w:t>
      </w:r>
      <w:r w:rsidRPr="00E5667A">
        <w:rPr>
          <w:rFonts w:ascii="Book Antiqua" w:eastAsia="Book Antiqua" w:hAnsi="Book Antiqua" w:cs="Book Antiqua"/>
          <w:i/>
          <w:color w:val="000000"/>
        </w:rPr>
        <w:t>World Journal of Gastroenterology</w:t>
      </w:r>
    </w:p>
    <w:p w14:paraId="2D86383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Manuscript NO: </w:t>
      </w:r>
      <w:r w:rsidRPr="00E5667A">
        <w:rPr>
          <w:rFonts w:ascii="Book Antiqua" w:eastAsia="Book Antiqua" w:hAnsi="Book Antiqua" w:cs="Book Antiqua"/>
          <w:color w:val="000000"/>
        </w:rPr>
        <w:t>60189</w:t>
      </w:r>
    </w:p>
    <w:p w14:paraId="11287A7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Manuscript Type: </w:t>
      </w:r>
      <w:r w:rsidRPr="00E5667A">
        <w:rPr>
          <w:rFonts w:ascii="Book Antiqua" w:eastAsia="Book Antiqua" w:hAnsi="Book Antiqua" w:cs="Book Antiqua"/>
          <w:color w:val="000000"/>
        </w:rPr>
        <w:t>OPINION REVIEW</w:t>
      </w:r>
    </w:p>
    <w:p w14:paraId="58EFF0B0" w14:textId="77777777" w:rsidR="00A77B3E" w:rsidRPr="00E5667A" w:rsidRDefault="00A77B3E" w:rsidP="00E5667A">
      <w:pPr>
        <w:spacing w:line="360" w:lineRule="auto"/>
        <w:jc w:val="both"/>
        <w:rPr>
          <w:rFonts w:ascii="Book Antiqua" w:hAnsi="Book Antiqua"/>
        </w:rPr>
      </w:pPr>
    </w:p>
    <w:p w14:paraId="07F183A1" w14:textId="4D203F3F"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New therapeutic options for persistent low-level viremia in patients with chronic </w:t>
      </w:r>
      <w:r w:rsidR="0054544A" w:rsidRPr="00E5667A">
        <w:rPr>
          <w:rFonts w:ascii="Book Antiqua" w:eastAsia="Book Antiqua" w:hAnsi="Book Antiqua" w:cs="Book Antiqua"/>
          <w:b/>
          <w:bCs/>
          <w:color w:val="000000"/>
        </w:rPr>
        <w:t>hepatitis B virus</w:t>
      </w:r>
      <w:r w:rsidRPr="00E5667A">
        <w:rPr>
          <w:rFonts w:ascii="Book Antiqua" w:eastAsia="Book Antiqua" w:hAnsi="Book Antiqua" w:cs="Book Antiqua"/>
          <w:b/>
          <w:color w:val="000000"/>
        </w:rPr>
        <w:t xml:space="preserve"> infection: Increase of </w:t>
      </w:r>
      <w:bookmarkStart w:id="0" w:name="OLE_LINK28"/>
      <w:bookmarkStart w:id="1" w:name="OLE_LINK29"/>
      <w:r w:rsidR="00FB0A47" w:rsidRPr="00E5667A">
        <w:rPr>
          <w:rFonts w:ascii="Book Antiqua" w:eastAsia="Book Antiqua" w:hAnsi="Book Antiqua" w:cs="Book Antiqua"/>
          <w:b/>
          <w:color w:val="000000"/>
        </w:rPr>
        <w:t>ent</w:t>
      </w:r>
      <w:r w:rsidR="00FB0A47">
        <w:rPr>
          <w:rFonts w:ascii="Book Antiqua" w:hAnsi="Book Antiqua" w:cs="Book Antiqua" w:hint="eastAsia"/>
          <w:b/>
          <w:color w:val="000000"/>
          <w:lang w:eastAsia="zh-CN"/>
        </w:rPr>
        <w:t>e</w:t>
      </w:r>
      <w:r w:rsidR="00FB0A47" w:rsidRPr="00E5667A">
        <w:rPr>
          <w:rFonts w:ascii="Book Antiqua" w:eastAsia="Book Antiqua" w:hAnsi="Book Antiqua" w:cs="Book Antiqua"/>
          <w:b/>
          <w:color w:val="000000"/>
        </w:rPr>
        <w:t>cavir</w:t>
      </w:r>
      <w:bookmarkEnd w:id="0"/>
      <w:bookmarkEnd w:id="1"/>
      <w:r w:rsidR="00FB0A47" w:rsidRPr="00E5667A">
        <w:rPr>
          <w:rFonts w:ascii="Book Antiqua" w:eastAsia="Book Antiqua" w:hAnsi="Book Antiqua" w:cs="Book Antiqua"/>
          <w:b/>
          <w:color w:val="000000"/>
        </w:rPr>
        <w:t xml:space="preserve"> </w:t>
      </w:r>
      <w:r w:rsidRPr="00E5667A">
        <w:rPr>
          <w:rFonts w:ascii="Book Antiqua" w:eastAsia="Book Antiqua" w:hAnsi="Book Antiqua" w:cs="Book Antiqua"/>
          <w:b/>
          <w:color w:val="000000"/>
        </w:rPr>
        <w:t>dosage</w:t>
      </w:r>
    </w:p>
    <w:p w14:paraId="57537C59" w14:textId="77777777" w:rsidR="00A77B3E" w:rsidRPr="00E5667A" w:rsidRDefault="00A77B3E" w:rsidP="00E5667A">
      <w:pPr>
        <w:spacing w:line="360" w:lineRule="auto"/>
        <w:jc w:val="both"/>
        <w:rPr>
          <w:rFonts w:ascii="Book Antiqua" w:hAnsi="Book Antiqua"/>
        </w:rPr>
      </w:pPr>
    </w:p>
    <w:p w14:paraId="38D63966" w14:textId="77777777" w:rsidR="00A77B3E" w:rsidRPr="00E5667A" w:rsidRDefault="00DF29C0" w:rsidP="00E5667A">
      <w:pPr>
        <w:spacing w:line="360" w:lineRule="auto"/>
        <w:jc w:val="both"/>
        <w:rPr>
          <w:rFonts w:ascii="Book Antiqua" w:hAnsi="Book Antiqua"/>
        </w:rPr>
      </w:pPr>
      <w:r w:rsidRPr="00E5667A">
        <w:rPr>
          <w:rFonts w:ascii="Book Antiqua" w:eastAsia="Book Antiqua" w:hAnsi="Book Antiqua" w:cs="Book Antiqua"/>
          <w:color w:val="000000"/>
        </w:rPr>
        <w:t xml:space="preserve">Yin GQ </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 xml:space="preserve">Therapeutic options for persistent </w:t>
      </w:r>
      <w:r w:rsidRPr="00E5667A">
        <w:rPr>
          <w:rFonts w:ascii="Book Antiqua" w:eastAsia="Book Antiqua" w:hAnsi="Book Antiqua" w:cs="Book Antiqua"/>
          <w:color w:val="000000"/>
        </w:rPr>
        <w:t>LLV</w:t>
      </w:r>
    </w:p>
    <w:p w14:paraId="0D64DA72" w14:textId="77777777" w:rsidR="00A77B3E" w:rsidRPr="00E5667A" w:rsidRDefault="00A77B3E" w:rsidP="00E5667A">
      <w:pPr>
        <w:spacing w:line="360" w:lineRule="auto"/>
        <w:jc w:val="both"/>
        <w:rPr>
          <w:rFonts w:ascii="Book Antiqua" w:hAnsi="Book Antiqua"/>
        </w:rPr>
      </w:pPr>
    </w:p>
    <w:p w14:paraId="711CF977"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Guo-Qing Yin, Jun Li, Bei Zhong, Yong-Fong Yang, Mao-Rong Wang</w:t>
      </w:r>
    </w:p>
    <w:p w14:paraId="7F9B30F4" w14:textId="77777777" w:rsidR="00A77B3E" w:rsidRPr="00E5667A" w:rsidRDefault="00A77B3E" w:rsidP="00E5667A">
      <w:pPr>
        <w:spacing w:line="360" w:lineRule="auto"/>
        <w:jc w:val="both"/>
        <w:rPr>
          <w:rFonts w:ascii="Book Antiqua" w:hAnsi="Book Antiqua"/>
        </w:rPr>
      </w:pPr>
    </w:p>
    <w:p w14:paraId="7FB2020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Guo-Qing Yin, </w:t>
      </w:r>
      <w:r w:rsidRPr="00E5667A">
        <w:rPr>
          <w:rFonts w:ascii="Book Antiqua" w:eastAsia="Book Antiqua" w:hAnsi="Book Antiqua" w:cs="Book Antiqua"/>
          <w:color w:val="000000"/>
        </w:rPr>
        <w:t>Department of Infectious Disease</w:t>
      </w:r>
      <w:r w:rsidR="00BF5FA0">
        <w:rPr>
          <w:rFonts w:ascii="Book Antiqua" w:eastAsia="Book Antiqua" w:hAnsi="Book Antiqua" w:cs="Book Antiqua"/>
          <w:color w:val="000000"/>
        </w:rPr>
        <w:t>s</w:t>
      </w:r>
      <w:r w:rsidRPr="00E5667A">
        <w:rPr>
          <w:rFonts w:ascii="Book Antiqua" w:eastAsia="Book Antiqua" w:hAnsi="Book Antiqua" w:cs="Book Antiqua"/>
          <w:color w:val="000000"/>
        </w:rPr>
        <w:t>, Nanjing Zhong-Da Hospital, Southeast University School of Medicine, Nanjing 210009, Jiangsu</w:t>
      </w:r>
      <w:r w:rsidR="00137E78" w:rsidRPr="00E5667A">
        <w:rPr>
          <w:rFonts w:ascii="Book Antiqua" w:eastAsia="Book Antiqua" w:hAnsi="Book Antiqua" w:cs="Book Antiqua"/>
          <w:color w:val="000000"/>
        </w:rPr>
        <w:t xml:space="preserve"> Province</w:t>
      </w:r>
      <w:r w:rsidRPr="00E5667A">
        <w:rPr>
          <w:rFonts w:ascii="Book Antiqua" w:eastAsia="Book Antiqua" w:hAnsi="Book Antiqua" w:cs="Book Antiqua"/>
          <w:color w:val="000000"/>
        </w:rPr>
        <w:t>, China</w:t>
      </w:r>
    </w:p>
    <w:p w14:paraId="6B052E25" w14:textId="77777777" w:rsidR="00A77B3E" w:rsidRPr="00E5667A" w:rsidRDefault="00A77B3E" w:rsidP="00E5667A">
      <w:pPr>
        <w:spacing w:line="360" w:lineRule="auto"/>
        <w:jc w:val="both"/>
        <w:rPr>
          <w:rFonts w:ascii="Book Antiqua" w:hAnsi="Book Antiqua"/>
        </w:rPr>
      </w:pPr>
    </w:p>
    <w:p w14:paraId="40C82CA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Jun Li, </w:t>
      </w:r>
      <w:r w:rsidRPr="00E5667A">
        <w:rPr>
          <w:rFonts w:ascii="Book Antiqua" w:eastAsia="Book Antiqua" w:hAnsi="Book Antiqua" w:cs="Book Antiqua"/>
          <w:color w:val="000000"/>
        </w:rPr>
        <w:t>Department of Infectious Disease</w:t>
      </w:r>
      <w:r w:rsidR="00BF5FA0">
        <w:rPr>
          <w:rFonts w:ascii="Book Antiqua" w:eastAsia="Book Antiqua" w:hAnsi="Book Antiqua" w:cs="Book Antiqua"/>
          <w:color w:val="000000"/>
        </w:rPr>
        <w:t>s</w:t>
      </w:r>
      <w:r w:rsidRPr="00E5667A">
        <w:rPr>
          <w:rFonts w:ascii="Book Antiqua" w:eastAsia="Book Antiqua" w:hAnsi="Book Antiqua" w:cs="Book Antiqua"/>
          <w:color w:val="000000"/>
        </w:rPr>
        <w:t xml:space="preserve">, The First Affiliated Hospital with Nanjing Medical University, Nanjing 210029, </w:t>
      </w:r>
      <w:r w:rsidR="00137E78" w:rsidRPr="00E5667A">
        <w:rPr>
          <w:rFonts w:ascii="Book Antiqua" w:eastAsia="Book Antiqua" w:hAnsi="Book Antiqua" w:cs="Book Antiqua"/>
          <w:color w:val="000000"/>
        </w:rPr>
        <w:t xml:space="preserve">Jiangsu Province, </w:t>
      </w:r>
      <w:r w:rsidRPr="00E5667A">
        <w:rPr>
          <w:rFonts w:ascii="Book Antiqua" w:eastAsia="Book Antiqua" w:hAnsi="Book Antiqua" w:cs="Book Antiqua"/>
          <w:color w:val="000000"/>
        </w:rPr>
        <w:t>China</w:t>
      </w:r>
    </w:p>
    <w:p w14:paraId="5A664CE6" w14:textId="77777777" w:rsidR="00A77B3E" w:rsidRPr="00E5667A" w:rsidRDefault="00A77B3E" w:rsidP="00E5667A">
      <w:pPr>
        <w:spacing w:line="360" w:lineRule="auto"/>
        <w:jc w:val="both"/>
        <w:rPr>
          <w:rFonts w:ascii="Book Antiqua" w:hAnsi="Book Antiqua"/>
        </w:rPr>
      </w:pPr>
    </w:p>
    <w:p w14:paraId="21A0F6E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Bei Zhong, </w:t>
      </w:r>
      <w:r w:rsidRPr="00E5667A">
        <w:rPr>
          <w:rFonts w:ascii="Book Antiqua" w:eastAsia="Book Antiqua" w:hAnsi="Book Antiqua" w:cs="Book Antiqua"/>
          <w:color w:val="000000"/>
        </w:rPr>
        <w:t>The Sixth Affiliated Hospital, Guangzhou Medical University/Qingyuan People’s Hospital, Qingyuan 511518, Guangdong</w:t>
      </w:r>
      <w:r w:rsidR="00137E78" w:rsidRPr="00E5667A">
        <w:rPr>
          <w:rFonts w:ascii="Book Antiqua" w:eastAsia="Book Antiqua" w:hAnsi="Book Antiqua" w:cs="Book Antiqua"/>
          <w:color w:val="000000"/>
        </w:rPr>
        <w:t xml:space="preserve"> Province,</w:t>
      </w:r>
      <w:r w:rsidRPr="00E5667A">
        <w:rPr>
          <w:rFonts w:ascii="Book Antiqua" w:eastAsia="Book Antiqua" w:hAnsi="Book Antiqua" w:cs="Book Antiqua"/>
          <w:color w:val="000000"/>
        </w:rPr>
        <w:t xml:space="preserve"> China</w:t>
      </w:r>
    </w:p>
    <w:p w14:paraId="372D1CF1" w14:textId="77777777" w:rsidR="00A77B3E" w:rsidRPr="00E5667A" w:rsidRDefault="00A77B3E" w:rsidP="00E5667A">
      <w:pPr>
        <w:spacing w:line="360" w:lineRule="auto"/>
        <w:jc w:val="both"/>
        <w:rPr>
          <w:rFonts w:ascii="Book Antiqua" w:hAnsi="Book Antiqua"/>
        </w:rPr>
      </w:pPr>
    </w:p>
    <w:p w14:paraId="58BC0A4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Yong-Fong Yang, </w:t>
      </w:r>
      <w:r w:rsidR="00F41409" w:rsidRPr="00E5667A">
        <w:rPr>
          <w:rFonts w:ascii="Book Antiqua" w:eastAsia="Book Antiqua" w:hAnsi="Book Antiqua" w:cs="Book Antiqua"/>
          <w:color w:val="000000"/>
        </w:rPr>
        <w:t xml:space="preserve">Department of </w:t>
      </w:r>
      <w:r w:rsidRPr="00E5667A">
        <w:rPr>
          <w:rFonts w:ascii="Book Antiqua" w:eastAsia="Book Antiqua" w:hAnsi="Book Antiqua" w:cs="Book Antiqua"/>
          <w:color w:val="000000"/>
        </w:rPr>
        <w:t xml:space="preserve">Liver Disease, The Second Hospital of Nanjing, Nanjing University of Chinese Medicine, Nanjing 210003, </w:t>
      </w:r>
      <w:r w:rsidR="00F41409" w:rsidRPr="00E5667A">
        <w:rPr>
          <w:rFonts w:ascii="Book Antiqua" w:eastAsia="Book Antiqua" w:hAnsi="Book Antiqua" w:cs="Book Antiqua"/>
          <w:color w:val="000000"/>
        </w:rPr>
        <w:t>Jiangsu Province,</w:t>
      </w:r>
      <w:r w:rsidRPr="00E5667A">
        <w:rPr>
          <w:rFonts w:ascii="Book Antiqua" w:eastAsia="Book Antiqua" w:hAnsi="Book Antiqua" w:cs="Book Antiqua"/>
          <w:color w:val="000000"/>
        </w:rPr>
        <w:t xml:space="preserve"> China</w:t>
      </w:r>
    </w:p>
    <w:p w14:paraId="40E39053" w14:textId="77777777" w:rsidR="00A77B3E" w:rsidRPr="00E5667A" w:rsidRDefault="00A77B3E" w:rsidP="00E5667A">
      <w:pPr>
        <w:spacing w:line="360" w:lineRule="auto"/>
        <w:jc w:val="both"/>
        <w:rPr>
          <w:rFonts w:ascii="Book Antiqua" w:hAnsi="Book Antiqua"/>
        </w:rPr>
      </w:pPr>
    </w:p>
    <w:p w14:paraId="75249904"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Mao-Rong Wang, </w:t>
      </w:r>
      <w:r w:rsidRPr="00E5667A">
        <w:rPr>
          <w:rFonts w:ascii="Book Antiqua" w:eastAsia="Book Antiqua" w:hAnsi="Book Antiqua" w:cs="Book Antiqua"/>
          <w:color w:val="000000"/>
        </w:rPr>
        <w:t>Department of Infectious Disease</w:t>
      </w:r>
      <w:r w:rsidR="00BF5FA0">
        <w:rPr>
          <w:rFonts w:ascii="Book Antiqua" w:eastAsia="Book Antiqua" w:hAnsi="Book Antiqua" w:cs="Book Antiqua"/>
          <w:color w:val="000000"/>
        </w:rPr>
        <w:t>s</w:t>
      </w:r>
      <w:r w:rsidRPr="00E5667A">
        <w:rPr>
          <w:rFonts w:ascii="Book Antiqua" w:eastAsia="Book Antiqua" w:hAnsi="Book Antiqua" w:cs="Book Antiqua"/>
          <w:color w:val="000000"/>
        </w:rPr>
        <w:t xml:space="preserve"> and Liver Disease Center, The Affiliated Nanjing Jinling Hospital, Nanjing University, Nanjing 210002, </w:t>
      </w:r>
      <w:r w:rsidR="00F41409" w:rsidRPr="00E5667A">
        <w:rPr>
          <w:rFonts w:ascii="Book Antiqua" w:eastAsia="Book Antiqua" w:hAnsi="Book Antiqua" w:cs="Book Antiqua"/>
          <w:color w:val="000000"/>
        </w:rPr>
        <w:t>Jiangsu Province</w:t>
      </w:r>
      <w:r w:rsidRPr="00E5667A">
        <w:rPr>
          <w:rFonts w:ascii="Book Antiqua" w:eastAsia="Book Antiqua" w:hAnsi="Book Antiqua" w:cs="Book Antiqua"/>
          <w:color w:val="000000"/>
        </w:rPr>
        <w:t>, China</w:t>
      </w:r>
    </w:p>
    <w:p w14:paraId="180F18A1" w14:textId="77777777" w:rsidR="00A77B3E" w:rsidRPr="00E5667A" w:rsidRDefault="00A77B3E" w:rsidP="00E5667A">
      <w:pPr>
        <w:spacing w:line="360" w:lineRule="auto"/>
        <w:jc w:val="both"/>
        <w:rPr>
          <w:rFonts w:ascii="Book Antiqua" w:hAnsi="Book Antiqua"/>
        </w:rPr>
      </w:pPr>
    </w:p>
    <w:p w14:paraId="16309ACD" w14:textId="6980F5B4"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Author contributions: </w:t>
      </w:r>
      <w:r w:rsidRPr="00E5667A">
        <w:rPr>
          <w:rFonts w:ascii="Book Antiqua" w:eastAsia="Book Antiqua" w:hAnsi="Book Antiqua" w:cs="Book Antiqua"/>
          <w:color w:val="000000"/>
        </w:rPr>
        <w:t xml:space="preserve">Yin </w:t>
      </w:r>
      <w:r w:rsidR="00F41409" w:rsidRPr="00E5667A">
        <w:rPr>
          <w:rFonts w:ascii="Book Antiqua" w:eastAsia="Book Antiqua" w:hAnsi="Book Antiqua" w:cs="Book Antiqua"/>
          <w:color w:val="000000"/>
        </w:rPr>
        <w:t xml:space="preserve">GQ </w:t>
      </w:r>
      <w:r w:rsidRPr="00E5667A">
        <w:rPr>
          <w:rFonts w:ascii="Book Antiqua" w:eastAsia="Book Antiqua" w:hAnsi="Book Antiqua" w:cs="Book Antiqua"/>
          <w:color w:val="000000"/>
        </w:rPr>
        <w:t xml:space="preserve">and Zhong </w:t>
      </w:r>
      <w:r w:rsidR="00F41409" w:rsidRPr="00E5667A">
        <w:rPr>
          <w:rFonts w:ascii="Book Antiqua" w:eastAsia="Book Antiqua" w:hAnsi="Book Antiqua" w:cs="Book Antiqua"/>
          <w:color w:val="000000"/>
        </w:rPr>
        <w:t xml:space="preserve">B </w:t>
      </w:r>
      <w:r w:rsidRPr="00E5667A">
        <w:rPr>
          <w:rFonts w:ascii="Book Antiqua" w:eastAsia="Book Antiqua" w:hAnsi="Book Antiqua" w:cs="Book Antiqua"/>
          <w:color w:val="000000"/>
        </w:rPr>
        <w:t xml:space="preserve">proposed the views to the </w:t>
      </w:r>
      <w:r w:rsidR="00F41409" w:rsidRPr="00E5667A">
        <w:rPr>
          <w:rFonts w:ascii="Book Antiqua" w:eastAsia="Book Antiqua" w:hAnsi="Book Antiqua" w:cs="Book Antiqua"/>
          <w:color w:val="000000"/>
        </w:rPr>
        <w:t>i</w:t>
      </w:r>
      <w:r w:rsidRPr="00E5667A">
        <w:rPr>
          <w:rFonts w:ascii="Book Antiqua" w:eastAsia="Book Antiqua" w:hAnsi="Book Antiqua" w:cs="Book Antiqua"/>
          <w:color w:val="000000"/>
        </w:rPr>
        <w:t xml:space="preserve">nfectious </w:t>
      </w:r>
      <w:r w:rsidR="00F41409" w:rsidRPr="00E5667A">
        <w:rPr>
          <w:rFonts w:ascii="Book Antiqua" w:eastAsia="Book Antiqua" w:hAnsi="Book Antiqua" w:cs="Book Antiqua"/>
          <w:color w:val="000000"/>
        </w:rPr>
        <w:t>d</w:t>
      </w:r>
      <w:r w:rsidRPr="00E5667A">
        <w:rPr>
          <w:rFonts w:ascii="Book Antiqua" w:eastAsia="Book Antiqua" w:hAnsi="Book Antiqua" w:cs="Book Antiqua"/>
          <w:color w:val="000000"/>
        </w:rPr>
        <w:t>isease</w:t>
      </w:r>
      <w:r w:rsidR="00220A20">
        <w:rPr>
          <w:rFonts w:ascii="Book Antiqua" w:eastAsia="Book Antiqua" w:hAnsi="Book Antiqua" w:cs="Book Antiqua"/>
          <w:color w:val="000000"/>
        </w:rPr>
        <w:t xml:space="preserve"> </w:t>
      </w:r>
      <w:r w:rsidR="00F41409" w:rsidRPr="00E5667A">
        <w:rPr>
          <w:rFonts w:ascii="Book Antiqua" w:eastAsia="Book Antiqua" w:hAnsi="Book Antiqua" w:cs="Book Antiqua"/>
          <w:color w:val="000000"/>
        </w:rPr>
        <w:t>a</w:t>
      </w:r>
      <w:r w:rsidRPr="00E5667A">
        <w:rPr>
          <w:rFonts w:ascii="Book Antiqua" w:eastAsia="Book Antiqua" w:hAnsi="Book Antiqua" w:cs="Book Antiqua"/>
          <w:color w:val="000000"/>
        </w:rPr>
        <w:t xml:space="preserve">cademic </w:t>
      </w:r>
      <w:r w:rsidR="00F41409" w:rsidRPr="00E5667A">
        <w:rPr>
          <w:rFonts w:ascii="Book Antiqua" w:eastAsia="Book Antiqua" w:hAnsi="Book Antiqua" w:cs="Book Antiqua"/>
          <w:color w:val="000000"/>
        </w:rPr>
        <w:t>c</w:t>
      </w:r>
      <w:r w:rsidRPr="00E5667A">
        <w:rPr>
          <w:rFonts w:ascii="Book Antiqua" w:eastAsia="Book Antiqua" w:hAnsi="Book Antiqua" w:cs="Book Antiqua"/>
          <w:color w:val="000000"/>
        </w:rPr>
        <w:t>ommunity</w:t>
      </w:r>
      <w:r w:rsidR="00F41409" w:rsidRPr="00E5667A">
        <w:rPr>
          <w:rFonts w:ascii="Book Antiqua" w:eastAsia="Book Antiqua" w:hAnsi="Book Antiqua" w:cs="Book Antiqua"/>
          <w:color w:val="000000"/>
        </w:rPr>
        <w:t>;</w:t>
      </w:r>
      <w:r w:rsidR="00220A20">
        <w:rPr>
          <w:rFonts w:ascii="Book Antiqua" w:eastAsia="Book Antiqua" w:hAnsi="Book Antiqua" w:cs="Book Antiqua"/>
          <w:color w:val="000000"/>
        </w:rPr>
        <w:t xml:space="preserve"> all the authors</w:t>
      </w:r>
      <w:r w:rsidRPr="00E5667A">
        <w:rPr>
          <w:rFonts w:ascii="Book Antiqua" w:eastAsia="Book Antiqua" w:hAnsi="Book Antiqua" w:cs="Book Antiqua"/>
          <w:color w:val="000000"/>
        </w:rPr>
        <w:t xml:space="preserve"> participated in the conception, plan, </w:t>
      </w:r>
      <w:r w:rsidRPr="00E5667A">
        <w:rPr>
          <w:rFonts w:ascii="Book Antiqua" w:eastAsia="Book Antiqua" w:hAnsi="Book Antiqua" w:cs="Book Antiqua"/>
          <w:color w:val="000000"/>
        </w:rPr>
        <w:lastRenderedPageBreak/>
        <w:t>writing, question-and-answer</w:t>
      </w:r>
      <w:r w:rsidR="00BF5FA0">
        <w:rPr>
          <w:rFonts w:ascii="Book Antiqua" w:eastAsia="Book Antiqua" w:hAnsi="Book Antiqua" w:cs="Book Antiqua"/>
          <w:color w:val="000000"/>
        </w:rPr>
        <w:t>,</w:t>
      </w:r>
      <w:r w:rsidRPr="00E5667A">
        <w:rPr>
          <w:rFonts w:ascii="Book Antiqua" w:eastAsia="Book Antiqua" w:hAnsi="Book Antiqua" w:cs="Book Antiqua"/>
          <w:color w:val="000000"/>
        </w:rPr>
        <w:t xml:space="preserve"> and modification of the manuscript</w:t>
      </w:r>
      <w:r w:rsidR="00F41409" w:rsidRPr="00E5667A">
        <w:rPr>
          <w:rFonts w:ascii="Book Antiqua" w:eastAsia="Book Antiqua" w:hAnsi="Book Antiqua" w:cs="Book Antiqua"/>
          <w:color w:val="000000"/>
        </w:rPr>
        <w:t>;</w:t>
      </w:r>
      <w:r w:rsidR="00220A20">
        <w:rPr>
          <w:rFonts w:ascii="Book Antiqua" w:eastAsia="Book Antiqua" w:hAnsi="Book Antiqua" w:cs="Book Antiqua"/>
          <w:color w:val="000000"/>
        </w:rPr>
        <w:t xml:space="preserve"> </w:t>
      </w:r>
      <w:r w:rsidR="00F41409" w:rsidRPr="00E5667A">
        <w:rPr>
          <w:rFonts w:ascii="Book Antiqua" w:eastAsia="Book Antiqua" w:hAnsi="Book Antiqua" w:cs="Book Antiqua"/>
          <w:color w:val="000000"/>
        </w:rPr>
        <w:t>a</w:t>
      </w:r>
      <w:r w:rsidRPr="00E5667A">
        <w:rPr>
          <w:rFonts w:ascii="Book Antiqua" w:eastAsia="Book Antiqua" w:hAnsi="Book Antiqua" w:cs="Book Antiqua"/>
          <w:color w:val="000000"/>
        </w:rPr>
        <w:t>ll authors contributed equally</w:t>
      </w:r>
      <w:r w:rsidR="00BF5FA0">
        <w:rPr>
          <w:rFonts w:ascii="Book Antiqua" w:eastAsia="Book Antiqua" w:hAnsi="Book Antiqua" w:cs="Book Antiqua"/>
          <w:color w:val="000000"/>
        </w:rPr>
        <w:t xml:space="preserve"> to this work</w:t>
      </w:r>
      <w:r w:rsidRPr="00E5667A">
        <w:rPr>
          <w:rFonts w:ascii="Book Antiqua" w:eastAsia="Book Antiqua" w:hAnsi="Book Antiqua" w:cs="Book Antiqua"/>
          <w:color w:val="000000"/>
        </w:rPr>
        <w:t>.</w:t>
      </w:r>
    </w:p>
    <w:p w14:paraId="61AF7ACB" w14:textId="77777777" w:rsidR="00A77B3E" w:rsidRPr="00E5667A" w:rsidRDefault="00A77B3E" w:rsidP="00E5667A">
      <w:pPr>
        <w:spacing w:line="360" w:lineRule="auto"/>
        <w:jc w:val="both"/>
        <w:rPr>
          <w:rFonts w:ascii="Book Antiqua" w:hAnsi="Book Antiqua"/>
        </w:rPr>
      </w:pPr>
    </w:p>
    <w:p w14:paraId="2406B32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Corresponding author: Guo-Qing Yin, </w:t>
      </w:r>
      <w:bookmarkStart w:id="2" w:name="OLE_LINK6"/>
      <w:bookmarkStart w:id="3" w:name="OLE_LINK7"/>
      <w:r w:rsidRPr="00E5667A">
        <w:rPr>
          <w:rFonts w:ascii="Book Antiqua" w:eastAsia="Book Antiqua" w:hAnsi="Book Antiqua" w:cs="Book Antiqua"/>
          <w:b/>
          <w:bCs/>
          <w:color w:val="000000"/>
        </w:rPr>
        <w:t>MD, PhD, Chief Doctor, Chief Physician</w:t>
      </w:r>
      <w:bookmarkEnd w:id="2"/>
      <w:bookmarkEnd w:id="3"/>
      <w:r w:rsidRPr="00E5667A">
        <w:rPr>
          <w:rFonts w:ascii="Book Antiqua" w:eastAsia="Book Antiqua" w:hAnsi="Book Antiqua" w:cs="Book Antiqua"/>
          <w:b/>
          <w:bCs/>
          <w:color w:val="000000"/>
        </w:rPr>
        <w:t>,</w:t>
      </w:r>
      <w:r w:rsidRPr="00E5667A">
        <w:rPr>
          <w:rFonts w:ascii="Book Antiqua" w:eastAsia="Book Antiqua" w:hAnsi="Book Antiqua" w:cs="Book Antiqua"/>
          <w:color w:val="000000"/>
        </w:rPr>
        <w:t xml:space="preserve"> Department of Infectious Disease</w:t>
      </w:r>
      <w:r w:rsidR="00BF5FA0">
        <w:rPr>
          <w:rFonts w:ascii="Book Antiqua" w:eastAsia="Book Antiqua" w:hAnsi="Book Antiqua" w:cs="Book Antiqua"/>
          <w:color w:val="000000"/>
        </w:rPr>
        <w:t>s</w:t>
      </w:r>
      <w:r w:rsidRPr="00E5667A">
        <w:rPr>
          <w:rFonts w:ascii="Book Antiqua" w:eastAsia="Book Antiqua" w:hAnsi="Book Antiqua" w:cs="Book Antiqua"/>
          <w:color w:val="000000"/>
        </w:rPr>
        <w:t xml:space="preserve">, Nanjing Zhong-Da Hospital, Southeast University School of Medicine, </w:t>
      </w:r>
      <w:r w:rsidR="007D5E97" w:rsidRPr="00E5667A">
        <w:rPr>
          <w:rFonts w:ascii="Book Antiqua" w:eastAsia="Book Antiqua" w:hAnsi="Book Antiqua" w:cs="Book Antiqua"/>
          <w:color w:val="000000"/>
        </w:rPr>
        <w:t xml:space="preserve">No. </w:t>
      </w:r>
      <w:r w:rsidRPr="00E5667A">
        <w:rPr>
          <w:rFonts w:ascii="Book Antiqua" w:eastAsia="Book Antiqua" w:hAnsi="Book Antiqua" w:cs="Book Antiqua"/>
          <w:color w:val="000000"/>
        </w:rPr>
        <w:t>87 Ding</w:t>
      </w:r>
      <w:r w:rsidR="007D5E97" w:rsidRPr="00E5667A">
        <w:rPr>
          <w:rFonts w:ascii="Book Antiqua" w:eastAsia="Book Antiqua" w:hAnsi="Book Antiqua" w:cs="Book Antiqua"/>
          <w:color w:val="000000"/>
        </w:rPr>
        <w:t>j</w:t>
      </w:r>
      <w:r w:rsidRPr="00E5667A">
        <w:rPr>
          <w:rFonts w:ascii="Book Antiqua" w:eastAsia="Book Antiqua" w:hAnsi="Book Antiqua" w:cs="Book Antiqua"/>
          <w:color w:val="000000"/>
        </w:rPr>
        <w:t>ia</w:t>
      </w:r>
      <w:r w:rsidR="007D5E97" w:rsidRPr="00E5667A">
        <w:rPr>
          <w:rFonts w:ascii="Book Antiqua" w:eastAsia="Book Antiqua" w:hAnsi="Book Antiqua" w:cs="Book Antiqua"/>
          <w:color w:val="000000"/>
        </w:rPr>
        <w:t>q</w:t>
      </w:r>
      <w:r w:rsidRPr="00E5667A">
        <w:rPr>
          <w:rFonts w:ascii="Book Antiqua" w:eastAsia="Book Antiqua" w:hAnsi="Book Antiqua" w:cs="Book Antiqua"/>
          <w:color w:val="000000"/>
        </w:rPr>
        <w:t>iao, Nanjing 210009, Jiangsu</w:t>
      </w:r>
      <w:r w:rsidR="007D5E97" w:rsidRPr="00E5667A">
        <w:rPr>
          <w:rFonts w:ascii="Book Antiqua" w:eastAsia="Book Antiqua" w:hAnsi="Book Antiqua" w:cs="Book Antiqua"/>
          <w:color w:val="000000"/>
        </w:rPr>
        <w:t xml:space="preserve"> Province</w:t>
      </w:r>
      <w:r w:rsidRPr="00E5667A">
        <w:rPr>
          <w:rFonts w:ascii="Book Antiqua" w:eastAsia="Book Antiqua" w:hAnsi="Book Antiqua" w:cs="Book Antiqua"/>
          <w:color w:val="000000"/>
        </w:rPr>
        <w:t>, China. yingq62@sina.com</w:t>
      </w:r>
    </w:p>
    <w:p w14:paraId="3013F793" w14:textId="77777777" w:rsidR="00A77B3E" w:rsidRPr="00E5667A" w:rsidRDefault="00A77B3E" w:rsidP="00E5667A">
      <w:pPr>
        <w:spacing w:line="360" w:lineRule="auto"/>
        <w:jc w:val="both"/>
        <w:rPr>
          <w:rFonts w:ascii="Book Antiqua" w:hAnsi="Book Antiqua"/>
        </w:rPr>
      </w:pPr>
    </w:p>
    <w:p w14:paraId="090D876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Received: </w:t>
      </w:r>
      <w:r w:rsidRPr="00E5667A">
        <w:rPr>
          <w:rFonts w:ascii="Book Antiqua" w:eastAsia="Book Antiqua" w:hAnsi="Book Antiqua" w:cs="Book Antiqua"/>
          <w:color w:val="000000"/>
        </w:rPr>
        <w:t>October 21, 2020</w:t>
      </w:r>
    </w:p>
    <w:p w14:paraId="6710AC25"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Revised: </w:t>
      </w:r>
      <w:r w:rsidR="000C2033" w:rsidRPr="00E5667A">
        <w:rPr>
          <w:rFonts w:ascii="Book Antiqua" w:hAnsi="Book Antiqua"/>
          <w:color w:val="000000"/>
        </w:rPr>
        <w:t>December 25, 2020</w:t>
      </w:r>
    </w:p>
    <w:p w14:paraId="05A901F4"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Accepted: </w:t>
      </w:r>
      <w:r w:rsidR="00881FEC" w:rsidRPr="00881FEC">
        <w:rPr>
          <w:rFonts w:ascii="Book Antiqua" w:eastAsia="Book Antiqua" w:hAnsi="Book Antiqua" w:cs="Book Antiqua"/>
          <w:color w:val="000000"/>
        </w:rPr>
        <w:t>January 21, 2021</w:t>
      </w:r>
    </w:p>
    <w:p w14:paraId="3FBCA071" w14:textId="719B698D" w:rsidR="00A77B3E" w:rsidRPr="00FD1FB7" w:rsidRDefault="001612DD" w:rsidP="00E5667A">
      <w:pPr>
        <w:spacing w:line="360" w:lineRule="auto"/>
        <w:jc w:val="both"/>
        <w:rPr>
          <w:rFonts w:ascii="Book Antiqua" w:hAnsi="Book Antiqua"/>
          <w:lang w:eastAsia="zh-CN"/>
        </w:rPr>
      </w:pPr>
      <w:r w:rsidRPr="00E5667A">
        <w:rPr>
          <w:rFonts w:ascii="Book Antiqua" w:eastAsia="Book Antiqua" w:hAnsi="Book Antiqua" w:cs="Book Antiqua"/>
          <w:b/>
          <w:bCs/>
          <w:color w:val="000000"/>
        </w:rPr>
        <w:t xml:space="preserve">Published online: </w:t>
      </w:r>
      <w:r w:rsidR="00FD1FB7" w:rsidRPr="00FD1FB7">
        <w:rPr>
          <w:rFonts w:ascii="Book Antiqua" w:hAnsi="Book Antiqua" w:cs="Book Antiqua" w:hint="eastAsia"/>
          <w:bCs/>
          <w:color w:val="000000"/>
          <w:lang w:eastAsia="zh-CN"/>
        </w:rPr>
        <w:t>February 28, 2021</w:t>
      </w:r>
    </w:p>
    <w:p w14:paraId="4263EEBC" w14:textId="77777777" w:rsidR="00A77B3E" w:rsidRPr="00E5667A" w:rsidRDefault="00A77B3E" w:rsidP="00E5667A">
      <w:pPr>
        <w:spacing w:line="360" w:lineRule="auto"/>
        <w:jc w:val="both"/>
        <w:rPr>
          <w:rFonts w:ascii="Book Antiqua" w:hAnsi="Book Antiqua"/>
        </w:rPr>
        <w:sectPr w:rsidR="00A77B3E" w:rsidRPr="00E5667A">
          <w:footerReference w:type="default" r:id="rId8"/>
          <w:pgSz w:w="12240" w:h="15840"/>
          <w:pgMar w:top="1440" w:right="1440" w:bottom="1440" w:left="1440" w:header="720" w:footer="720" w:gutter="0"/>
          <w:cols w:space="720"/>
          <w:docGrid w:linePitch="360"/>
        </w:sectPr>
      </w:pPr>
    </w:p>
    <w:p w14:paraId="0ECA7A6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Abstract</w:t>
      </w:r>
    </w:p>
    <w:p w14:paraId="08C6FF5D" w14:textId="40300CA3"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Chronic </w:t>
      </w:r>
      <w:r w:rsidR="0054544A" w:rsidRPr="00E5667A">
        <w:rPr>
          <w:rFonts w:ascii="Book Antiqua" w:eastAsia="Book Antiqua" w:hAnsi="Book Antiqua" w:cs="Book Antiqua"/>
          <w:color w:val="000000"/>
        </w:rPr>
        <w:t>hepatitis B virus (</w:t>
      </w:r>
      <w:r w:rsidRPr="00E5667A">
        <w:rPr>
          <w:rFonts w:ascii="Book Antiqua" w:eastAsia="Book Antiqua" w:hAnsi="Book Antiqua" w:cs="Book Antiqua"/>
          <w:color w:val="000000"/>
        </w:rPr>
        <w:t>HBV</w:t>
      </w:r>
      <w:r w:rsidR="0054544A" w:rsidRPr="00E5667A">
        <w:rPr>
          <w:rFonts w:ascii="Book Antiqua" w:eastAsia="Book Antiqua" w:hAnsi="Book Antiqua" w:cs="Book Antiqua"/>
          <w:color w:val="000000"/>
        </w:rPr>
        <w:t>)</w:t>
      </w:r>
      <w:r w:rsidRPr="00E5667A">
        <w:rPr>
          <w:rFonts w:ascii="Book Antiqua" w:eastAsia="Book Antiqua" w:hAnsi="Book Antiqua" w:cs="Book Antiqua"/>
          <w:color w:val="000000"/>
        </w:rPr>
        <w:t xml:space="preserve"> infection (CHB) is a public health concern worldwide. </w:t>
      </w:r>
      <w:r w:rsidR="00BF5FA0">
        <w:rPr>
          <w:rFonts w:ascii="Book Antiqua" w:eastAsia="Book Antiqua" w:hAnsi="Book Antiqua" w:cs="Book Antiqua"/>
          <w:color w:val="000000"/>
        </w:rPr>
        <w:t>C</w:t>
      </w:r>
      <w:r w:rsidRPr="00E5667A">
        <w:rPr>
          <w:rFonts w:ascii="Book Antiqua" w:eastAsia="Book Antiqua" w:hAnsi="Book Antiqua" w:cs="Book Antiqua"/>
          <w:color w:val="000000"/>
        </w:rPr>
        <w:t>urrent therapies utilizing nucleos(t)ide analogs (NA) have not resulted in a complete cure for CHB. Furthermore, patients on long-term NA treatment often develop low-level viremia (</w:t>
      </w:r>
      <w:bookmarkStart w:id="4" w:name="OLE_LINK3"/>
      <w:r w:rsidRPr="00E5667A">
        <w:rPr>
          <w:rFonts w:ascii="Book Antiqua" w:eastAsia="Book Antiqua" w:hAnsi="Book Antiqua" w:cs="Book Antiqua"/>
          <w:color w:val="000000"/>
        </w:rPr>
        <w:t>LLV</w:t>
      </w:r>
      <w:bookmarkEnd w:id="4"/>
      <w:r w:rsidRPr="00E5667A">
        <w:rPr>
          <w:rFonts w:ascii="Book Antiqua" w:eastAsia="Book Antiqua" w:hAnsi="Book Antiqua" w:cs="Book Antiqua"/>
          <w:color w:val="000000"/>
        </w:rPr>
        <w:t>). Persistent LLV, in addition to causing the progression of liver disease or hepatocellular carcinoma, may shed light on the current plight of NA therapy. Here, we review the literature on LLV, NA treatment</w:t>
      </w:r>
      <w:r w:rsidR="00BF5FA0">
        <w:rPr>
          <w:rFonts w:ascii="Book Antiqua" w:eastAsia="Book Antiqua" w:hAnsi="Book Antiqua" w:cs="Book Antiqua"/>
          <w:color w:val="000000"/>
        </w:rPr>
        <w:t>,</w:t>
      </w:r>
      <w:r w:rsidRPr="00E5667A">
        <w:rPr>
          <w:rFonts w:ascii="Book Antiqua" w:eastAsia="Book Antiqua" w:hAnsi="Book Antiqua" w:cs="Book Antiqua"/>
          <w:color w:val="000000"/>
        </w:rPr>
        <w:t xml:space="preserve"> and various doses of entecavir to find a strategy for improving the efficacy of this antiviral agent. For LLV patients, three therapeutic options are available, switching to another antiviral monotherapy, interferon-α switching therapy, and continuing monotherapy. In real-world clinical practice, entecavir overdose has been used in antiviral therapy for CHB patients with NA refractory and persistent LLV, which encouraged us to conduct further in-depth literature survey on dosage and duration related entecavir studies. The studies of pharmacodynamics and pharmacokinetics show that entecavir has the maximal selected index for safety, and has great potential in inhibiting HBV replication, in all of the NAs. In the particular section of the drug approval package published by the U</w:t>
      </w:r>
      <w:r w:rsidR="0054544A" w:rsidRPr="00E5667A">
        <w:rPr>
          <w:rFonts w:ascii="Book Antiqua" w:eastAsia="Book Antiqua" w:hAnsi="Book Antiqua" w:cs="Book Antiqua"/>
          <w:color w:val="000000"/>
        </w:rPr>
        <w:t>nited States</w:t>
      </w:r>
      <w:r w:rsidRPr="00E5667A">
        <w:rPr>
          <w:rFonts w:ascii="Book Antiqua" w:eastAsia="Book Antiqua" w:hAnsi="Book Antiqua" w:cs="Book Antiqua"/>
          <w:color w:val="000000"/>
        </w:rPr>
        <w:t xml:space="preserve"> Food and Drug Administration,</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entecavir doses 2.5</w:t>
      </w:r>
      <w:r w:rsidR="0054544A" w:rsidRPr="00E5667A">
        <w:rPr>
          <w:rFonts w:ascii="Book Antiqua" w:eastAsia="宋体" w:hAnsi="Book Antiqua" w:cs="宋体"/>
          <w:color w:val="000000"/>
          <w:lang w:eastAsia="zh-CN"/>
        </w:rPr>
        <w:t>-</w:t>
      </w:r>
      <w:r w:rsidRPr="00E5667A">
        <w:rPr>
          <w:rFonts w:ascii="Book Antiqua" w:eastAsia="Book Antiqua" w:hAnsi="Book Antiqua" w:cs="Book Antiqua"/>
          <w:color w:val="000000"/>
        </w:rPr>
        <w:t>20 mg/d do not increase adverse events, and entecavir doses higher than 1.0 mg/d might improve the antiviral efficacy. The literature survey led us to two suggestions: (</w:t>
      </w:r>
      <w:r w:rsidR="000764CC" w:rsidRPr="00E5667A">
        <w:rPr>
          <w:rFonts w:ascii="Book Antiqua" w:eastAsia="Book Antiqua" w:hAnsi="Book Antiqua" w:cs="Book Antiqua"/>
          <w:color w:val="000000"/>
        </w:rPr>
        <w:t>1</w:t>
      </w:r>
      <w:r w:rsidRPr="00E5667A">
        <w:rPr>
          <w:rFonts w:ascii="Book Antiqua" w:eastAsia="Book Antiqua" w:hAnsi="Book Antiqua" w:cs="Book Antiqua"/>
          <w:color w:val="000000"/>
        </w:rPr>
        <w:t xml:space="preserve">) </w:t>
      </w:r>
      <w:r w:rsidR="00BF5FA0">
        <w:rPr>
          <w:rFonts w:ascii="Book Antiqua" w:eastAsia="Book Antiqua" w:hAnsi="Book Antiqua" w:cs="Book Antiqua"/>
          <w:color w:val="000000"/>
        </w:rPr>
        <w:t>I</w:t>
      </w:r>
      <w:r w:rsidR="00BF5FA0" w:rsidRPr="00E5667A">
        <w:rPr>
          <w:rFonts w:ascii="Book Antiqua" w:eastAsia="Book Antiqua" w:hAnsi="Book Antiqua" w:cs="Book Antiqua"/>
          <w:color w:val="000000"/>
        </w:rPr>
        <w:t xml:space="preserve">ncreasing </w:t>
      </w:r>
      <w:r w:rsidRPr="00E5667A">
        <w:rPr>
          <w:rFonts w:ascii="Book Antiqua" w:eastAsia="Book Antiqua" w:hAnsi="Book Antiqua" w:cs="Book Antiqua"/>
          <w:color w:val="000000"/>
        </w:rPr>
        <w:t>entecavir dose to 1.0 mg/d for the treatment of NA naïve patients with HBV DNA &gt;2×10</w:t>
      </w:r>
      <w:r w:rsidRPr="00E5667A">
        <w:rPr>
          <w:rFonts w:ascii="Book Antiqua" w:eastAsia="Book Antiqua" w:hAnsi="Book Antiqua" w:cs="Book Antiqua"/>
          <w:color w:val="000000"/>
          <w:vertAlign w:val="superscript"/>
        </w:rPr>
        <w:t xml:space="preserve">6 </w:t>
      </w:r>
      <w:r w:rsidRPr="00E5667A">
        <w:rPr>
          <w:rFonts w:ascii="Book Antiqua" w:eastAsia="Book Antiqua" w:hAnsi="Book Antiqua" w:cs="Book Antiqua"/>
          <w:color w:val="000000"/>
        </w:rPr>
        <w:t>IU/mL is feasible and would provide better prognosis</w:t>
      </w:r>
      <w:r w:rsidR="000764CC" w:rsidRPr="00E5667A">
        <w:rPr>
          <w:rFonts w:ascii="Book Antiqua" w:eastAsia="Book Antiqua" w:hAnsi="Book Antiqua" w:cs="Book Antiqua"/>
          <w:color w:val="000000"/>
        </w:rPr>
        <w:t>; and</w:t>
      </w:r>
      <w:r w:rsidRPr="00E5667A">
        <w:rPr>
          <w:rFonts w:ascii="Book Antiqua" w:eastAsia="Book Antiqua" w:hAnsi="Book Antiqua" w:cs="Book Antiqua"/>
          <w:color w:val="000000"/>
        </w:rPr>
        <w:t xml:space="preserve"> (</w:t>
      </w:r>
      <w:r w:rsidR="000764CC" w:rsidRPr="00E5667A">
        <w:rPr>
          <w:rFonts w:ascii="Book Antiqua" w:eastAsia="Book Antiqua" w:hAnsi="Book Antiqua" w:cs="Book Antiqua"/>
          <w:color w:val="000000"/>
        </w:rPr>
        <w:t>2</w:t>
      </w:r>
      <w:r w:rsidRPr="00E5667A">
        <w:rPr>
          <w:rFonts w:ascii="Book Antiqua" w:eastAsia="Book Antiqua" w:hAnsi="Book Antiqua" w:cs="Book Antiqua"/>
          <w:color w:val="000000"/>
        </w:rPr>
        <w:t xml:space="preserve">) </w:t>
      </w:r>
      <w:r w:rsidR="000764CC" w:rsidRPr="00E5667A">
        <w:rPr>
          <w:rFonts w:ascii="Book Antiqua" w:eastAsia="Book Antiqua" w:hAnsi="Book Antiqua" w:cs="Book Antiqua"/>
          <w:color w:val="000000"/>
        </w:rPr>
        <w:t>f</w:t>
      </w:r>
      <w:r w:rsidRPr="00E5667A">
        <w:rPr>
          <w:rFonts w:ascii="Book Antiqua" w:eastAsia="Book Antiqua" w:hAnsi="Book Antiqua" w:cs="Book Antiqua"/>
          <w:color w:val="000000"/>
        </w:rPr>
        <w:t xml:space="preserve">urther research is needed to assess the long-term toxic effects of higher entecavir doses (2.5 and 5.0 mg/d), which may prove beneficial in treating patients </w:t>
      </w:r>
      <w:r w:rsidRPr="004C6CA2">
        <w:rPr>
          <w:rFonts w:ascii="Book Antiqua" w:eastAsia="Book Antiqua" w:hAnsi="Book Antiqua" w:cs="Book Antiqua"/>
          <w:color w:val="000000"/>
        </w:rPr>
        <w:t xml:space="preserve">with </w:t>
      </w:r>
      <w:r w:rsidR="00220A20" w:rsidRPr="00220A20">
        <w:rPr>
          <w:rFonts w:ascii="Book Antiqua" w:eastAsia="Book Antiqua" w:hAnsi="Book Antiqua" w:cs="Book Antiqua"/>
          <w:color w:val="000000"/>
        </w:rPr>
        <w:t>prior NA treatment</w:t>
      </w:r>
      <w:r w:rsidRPr="00E5667A">
        <w:rPr>
          <w:rFonts w:ascii="Book Antiqua" w:eastAsia="Book Antiqua" w:hAnsi="Book Antiqua" w:cs="Book Antiqua"/>
          <w:color w:val="000000"/>
        </w:rPr>
        <w:t>, partial virological response, or LLV state.</w:t>
      </w:r>
    </w:p>
    <w:p w14:paraId="553F57DE" w14:textId="77777777" w:rsidR="00A77B3E" w:rsidRPr="00E5667A" w:rsidRDefault="00A77B3E" w:rsidP="00E5667A">
      <w:pPr>
        <w:spacing w:line="360" w:lineRule="auto"/>
        <w:jc w:val="both"/>
        <w:rPr>
          <w:rFonts w:ascii="Book Antiqua" w:hAnsi="Book Antiqua"/>
        </w:rPr>
      </w:pPr>
    </w:p>
    <w:p w14:paraId="7A1ACB9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Key Words: </w:t>
      </w:r>
      <w:r w:rsidRPr="00E5667A">
        <w:rPr>
          <w:rFonts w:ascii="Book Antiqua" w:eastAsia="Book Antiqua" w:hAnsi="Book Antiqua" w:cs="Book Antiqua"/>
          <w:color w:val="000000"/>
        </w:rPr>
        <w:t xml:space="preserve">Chronic </w:t>
      </w:r>
      <w:r w:rsidR="000764CC" w:rsidRPr="00E5667A">
        <w:rPr>
          <w:rFonts w:ascii="Book Antiqua" w:eastAsia="Book Antiqua" w:hAnsi="Book Antiqua" w:cs="Book Antiqua"/>
          <w:color w:val="000000"/>
        </w:rPr>
        <w:t>hepatitis B virus</w:t>
      </w:r>
      <w:r w:rsidRPr="00E5667A">
        <w:rPr>
          <w:rFonts w:ascii="Book Antiqua" w:eastAsia="Book Antiqua" w:hAnsi="Book Antiqua" w:cs="Book Antiqua"/>
          <w:color w:val="000000"/>
        </w:rPr>
        <w:t xml:space="preserve"> infection; </w:t>
      </w:r>
      <w:r w:rsidR="000764CC" w:rsidRPr="00E5667A">
        <w:rPr>
          <w:rFonts w:ascii="Book Antiqua" w:eastAsia="Book Antiqua" w:hAnsi="Book Antiqua" w:cs="Book Antiqua"/>
          <w:color w:val="000000"/>
        </w:rPr>
        <w:t>L</w:t>
      </w:r>
      <w:r w:rsidRPr="00E5667A">
        <w:rPr>
          <w:rFonts w:ascii="Book Antiqua" w:eastAsia="Book Antiqua" w:hAnsi="Book Antiqua" w:cs="Book Antiqua"/>
          <w:color w:val="000000"/>
        </w:rPr>
        <w:t xml:space="preserve">ow-level viremia; </w:t>
      </w:r>
      <w:r w:rsidR="000764CC" w:rsidRPr="00E5667A">
        <w:rPr>
          <w:rFonts w:ascii="Book Antiqua" w:eastAsia="Book Antiqua" w:hAnsi="Book Antiqua" w:cs="Book Antiqua"/>
          <w:color w:val="000000"/>
        </w:rPr>
        <w:t>T</w:t>
      </w:r>
      <w:r w:rsidRPr="00E5667A">
        <w:rPr>
          <w:rFonts w:ascii="Book Antiqua" w:eastAsia="Book Antiqua" w:hAnsi="Book Antiqua" w:cs="Book Antiqua"/>
          <w:color w:val="000000"/>
        </w:rPr>
        <w:t xml:space="preserve">herapeutic options; </w:t>
      </w:r>
      <w:r w:rsidR="000764CC" w:rsidRPr="00E5667A">
        <w:rPr>
          <w:rFonts w:ascii="Book Antiqua" w:eastAsia="Book Antiqua" w:hAnsi="Book Antiqua" w:cs="Book Antiqua"/>
          <w:color w:val="000000"/>
        </w:rPr>
        <w:t>E</w:t>
      </w:r>
      <w:r w:rsidRPr="00E5667A">
        <w:rPr>
          <w:rFonts w:ascii="Book Antiqua" w:eastAsia="Book Antiqua" w:hAnsi="Book Antiqua" w:cs="Book Antiqua"/>
          <w:color w:val="000000"/>
        </w:rPr>
        <w:t xml:space="preserve">ntecavir; </w:t>
      </w:r>
      <w:r w:rsidR="000764CC" w:rsidRPr="00E5667A">
        <w:rPr>
          <w:rFonts w:ascii="Book Antiqua" w:eastAsia="Book Antiqua" w:hAnsi="Book Antiqua" w:cs="Book Antiqua"/>
          <w:color w:val="000000"/>
        </w:rPr>
        <w:t>D</w:t>
      </w:r>
      <w:r w:rsidRPr="00E5667A">
        <w:rPr>
          <w:rFonts w:ascii="Book Antiqua" w:eastAsia="Book Antiqua" w:hAnsi="Book Antiqua" w:cs="Book Antiqua"/>
          <w:color w:val="000000"/>
        </w:rPr>
        <w:t xml:space="preserve">ose; </w:t>
      </w:r>
      <w:r w:rsidR="000764CC" w:rsidRPr="00E5667A">
        <w:rPr>
          <w:rFonts w:ascii="Book Antiqua" w:eastAsia="Book Antiqua" w:hAnsi="Book Antiqua" w:cs="Book Antiqua"/>
          <w:color w:val="000000"/>
        </w:rPr>
        <w:t>E</w:t>
      </w:r>
      <w:r w:rsidRPr="00E5667A">
        <w:rPr>
          <w:rFonts w:ascii="Book Antiqua" w:eastAsia="Book Antiqua" w:hAnsi="Book Antiqua" w:cs="Book Antiqua"/>
          <w:color w:val="000000"/>
        </w:rPr>
        <w:t>fficacy</w:t>
      </w:r>
    </w:p>
    <w:p w14:paraId="6E13BE8B" w14:textId="77777777" w:rsidR="00182BC7" w:rsidRDefault="00182BC7" w:rsidP="00182BC7">
      <w:pPr>
        <w:spacing w:line="360" w:lineRule="auto"/>
        <w:jc w:val="both"/>
        <w:rPr>
          <w:lang w:eastAsia="zh-CN"/>
        </w:rPr>
      </w:pPr>
    </w:p>
    <w:p w14:paraId="0681DD53" w14:textId="77777777" w:rsidR="00182BC7" w:rsidRPr="00026CB8" w:rsidRDefault="00182BC7" w:rsidP="00182BC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10262C8" w14:textId="77777777" w:rsidR="00A77B3E" w:rsidRPr="00E5667A" w:rsidRDefault="00A77B3E" w:rsidP="00E5667A">
      <w:pPr>
        <w:spacing w:line="360" w:lineRule="auto"/>
        <w:jc w:val="both"/>
        <w:rPr>
          <w:rFonts w:ascii="Book Antiqua" w:hAnsi="Book Antiqua"/>
        </w:rPr>
      </w:pPr>
    </w:p>
    <w:p w14:paraId="506A33FE" w14:textId="2435C7BD" w:rsidR="00BA117E" w:rsidRDefault="00BA117E" w:rsidP="00E5667A">
      <w:pPr>
        <w:spacing w:line="360" w:lineRule="auto"/>
        <w:jc w:val="both"/>
        <w:rPr>
          <w:rFonts w:ascii="Book Antiqua" w:hAnsi="Book Antiqua" w:cs="Book Antiqua" w:hint="eastAsia"/>
          <w:color w:val="000000"/>
          <w:lang w:eastAsia="zh-CN"/>
        </w:rPr>
      </w:pPr>
      <w:r w:rsidRPr="00BA117E">
        <w:rPr>
          <w:rFonts w:ascii="Book Antiqua" w:eastAsia="Book Antiqua" w:hAnsi="Book Antiqua" w:cs="Book Antiqua"/>
          <w:b/>
          <w:color w:val="000000"/>
        </w:rPr>
        <w:t>Citation</w:t>
      </w:r>
      <w:r w:rsidRPr="00BA117E">
        <w:rPr>
          <w:rFonts w:ascii="Book Antiqua" w:hAnsi="Book Antiqua" w:cs="Book Antiqua" w:hint="eastAsia"/>
          <w:b/>
          <w:color w:val="000000"/>
          <w:lang w:eastAsia="zh-CN"/>
        </w:rPr>
        <w:t xml:space="preserve">: </w:t>
      </w:r>
      <w:r w:rsidR="001612DD" w:rsidRPr="00E5667A">
        <w:rPr>
          <w:rFonts w:ascii="Book Antiqua" w:eastAsia="Book Antiqua" w:hAnsi="Book Antiqua" w:cs="Book Antiqua"/>
          <w:color w:val="000000"/>
        </w:rPr>
        <w:t xml:space="preserve">Yin GQ, Li J, Zhong B, Yang YF, Wang MR. New therapeutic options for persistent low-level viremia in patients with chronic </w:t>
      </w:r>
      <w:r w:rsidR="000764CC" w:rsidRPr="00E5667A">
        <w:rPr>
          <w:rFonts w:ascii="Book Antiqua" w:eastAsia="Book Antiqua" w:hAnsi="Book Antiqua" w:cs="Book Antiqua"/>
          <w:color w:val="000000"/>
        </w:rPr>
        <w:t>hepatitis B virus</w:t>
      </w:r>
      <w:r w:rsidR="001612DD" w:rsidRPr="00E5667A">
        <w:rPr>
          <w:rFonts w:ascii="Book Antiqua" w:eastAsia="Book Antiqua" w:hAnsi="Book Antiqua" w:cs="Book Antiqua"/>
          <w:color w:val="000000"/>
        </w:rPr>
        <w:t xml:space="preserve"> infection: Increase of </w:t>
      </w:r>
      <w:r w:rsidR="00FB0A47" w:rsidRPr="00E5667A">
        <w:rPr>
          <w:rFonts w:ascii="Book Antiqua" w:eastAsia="Book Antiqua" w:hAnsi="Book Antiqua" w:cs="Book Antiqua"/>
          <w:color w:val="000000"/>
        </w:rPr>
        <w:t>ent</w:t>
      </w:r>
      <w:r w:rsidR="00FB0A47">
        <w:rPr>
          <w:rFonts w:ascii="Book Antiqua" w:hAnsi="Book Antiqua" w:cs="Book Antiqua" w:hint="eastAsia"/>
          <w:color w:val="000000"/>
          <w:lang w:eastAsia="zh-CN"/>
        </w:rPr>
        <w:t>e</w:t>
      </w:r>
      <w:r w:rsidR="00FB0A47" w:rsidRPr="00E5667A">
        <w:rPr>
          <w:rFonts w:ascii="Book Antiqua" w:eastAsia="Book Antiqua" w:hAnsi="Book Antiqua" w:cs="Book Antiqua"/>
          <w:color w:val="000000"/>
        </w:rPr>
        <w:t xml:space="preserve">cavir </w:t>
      </w:r>
      <w:r w:rsidR="001612DD" w:rsidRPr="00E5667A">
        <w:rPr>
          <w:rFonts w:ascii="Book Antiqua" w:eastAsia="Book Antiqua" w:hAnsi="Book Antiqua" w:cs="Book Antiqua"/>
          <w:color w:val="000000"/>
        </w:rPr>
        <w:t xml:space="preserve">dosage. </w:t>
      </w:r>
      <w:r w:rsidR="001612DD" w:rsidRPr="00E5667A">
        <w:rPr>
          <w:rFonts w:ascii="Book Antiqua" w:eastAsia="Book Antiqua" w:hAnsi="Book Antiqua" w:cs="Book Antiqua"/>
          <w:i/>
          <w:iCs/>
          <w:color w:val="000000"/>
        </w:rPr>
        <w:t>World J Gastroenterol</w:t>
      </w:r>
      <w:r w:rsidR="001612DD" w:rsidRPr="00E5667A">
        <w:rPr>
          <w:rFonts w:ascii="Book Antiqua" w:eastAsia="Book Antiqua" w:hAnsi="Book Antiqua" w:cs="Book Antiqua"/>
          <w:color w:val="000000"/>
        </w:rPr>
        <w:t xml:space="preserve"> 202</w:t>
      </w:r>
      <w:r w:rsidR="0009135B" w:rsidRPr="00E5667A">
        <w:rPr>
          <w:rFonts w:ascii="Book Antiqua" w:eastAsia="Book Antiqua" w:hAnsi="Book Antiqua" w:cs="Book Antiqua"/>
          <w:color w:val="000000"/>
        </w:rPr>
        <w:t>1</w:t>
      </w:r>
      <w:r w:rsidR="001612DD" w:rsidRPr="00E5667A">
        <w:rPr>
          <w:rFonts w:ascii="Book Antiqua" w:eastAsia="Book Antiqua" w:hAnsi="Book Antiqua" w:cs="Book Antiqua"/>
          <w:color w:val="000000"/>
        </w:rPr>
        <w:t xml:space="preserve">; </w:t>
      </w:r>
      <w:r w:rsidR="0005684E" w:rsidRPr="0005684E">
        <w:rPr>
          <w:rFonts w:ascii="Book Antiqua" w:eastAsia="Book Antiqua" w:hAnsi="Book Antiqua" w:cs="Book Antiqua"/>
          <w:color w:val="000000"/>
        </w:rPr>
        <w:t xml:space="preserve">27(8): </w:t>
      </w:r>
      <w:r w:rsidR="00BE4EA9" w:rsidRPr="00BE4EA9">
        <w:rPr>
          <w:rFonts w:ascii="Book Antiqua" w:eastAsia="Book Antiqua" w:hAnsi="Book Antiqua" w:cs="Book Antiqua"/>
          <w:color w:val="000000"/>
        </w:rPr>
        <w:t>666-676</w:t>
      </w:r>
      <w:r w:rsidR="0005684E" w:rsidRPr="0005684E">
        <w:rPr>
          <w:rFonts w:ascii="Book Antiqua" w:eastAsia="Book Antiqua" w:hAnsi="Book Antiqua" w:cs="Book Antiqua"/>
          <w:color w:val="000000"/>
        </w:rPr>
        <w:t xml:space="preserve">  </w:t>
      </w:r>
    </w:p>
    <w:p w14:paraId="21E827A2" w14:textId="77777777" w:rsidR="00BA117E" w:rsidRDefault="0005684E" w:rsidP="00E5667A">
      <w:pPr>
        <w:spacing w:line="360" w:lineRule="auto"/>
        <w:jc w:val="both"/>
        <w:rPr>
          <w:rFonts w:ascii="Book Antiqua" w:hAnsi="Book Antiqua" w:cs="Book Antiqua" w:hint="eastAsia"/>
          <w:color w:val="000000"/>
          <w:lang w:eastAsia="zh-CN"/>
        </w:rPr>
      </w:pPr>
      <w:r w:rsidRPr="00BA117E">
        <w:rPr>
          <w:rFonts w:ascii="Book Antiqua" w:eastAsia="Book Antiqua" w:hAnsi="Book Antiqua" w:cs="Book Antiqua"/>
          <w:b/>
          <w:color w:val="000000"/>
        </w:rPr>
        <w:t xml:space="preserve">URL: </w:t>
      </w:r>
      <w:r w:rsidRPr="0005684E">
        <w:rPr>
          <w:rFonts w:ascii="Book Antiqua" w:eastAsia="Book Antiqua" w:hAnsi="Book Antiqua" w:cs="Book Antiqua"/>
          <w:color w:val="000000"/>
        </w:rPr>
        <w:t>https://www.wjgnet.com/1007-9327/full/v27/i8/</w:t>
      </w:r>
      <w:r w:rsidR="00326467">
        <w:rPr>
          <w:rFonts w:ascii="Book Antiqua" w:hAnsi="Book Antiqua" w:cs="Book Antiqua" w:hint="eastAsia"/>
          <w:color w:val="000000"/>
          <w:lang w:eastAsia="zh-CN"/>
        </w:rPr>
        <w:t>666</w:t>
      </w:r>
      <w:r w:rsidRPr="0005684E">
        <w:rPr>
          <w:rFonts w:ascii="Book Antiqua" w:eastAsia="Book Antiqua" w:hAnsi="Book Antiqua" w:cs="Book Antiqua"/>
          <w:color w:val="000000"/>
        </w:rPr>
        <w:t xml:space="preserve">.htm  </w:t>
      </w:r>
    </w:p>
    <w:p w14:paraId="03949290" w14:textId="62453D87" w:rsidR="00A77B3E" w:rsidRPr="00326467" w:rsidRDefault="0005684E" w:rsidP="00E5667A">
      <w:pPr>
        <w:spacing w:line="360" w:lineRule="auto"/>
        <w:jc w:val="both"/>
        <w:rPr>
          <w:rFonts w:ascii="Book Antiqua" w:hAnsi="Book Antiqua" w:hint="eastAsia"/>
          <w:lang w:eastAsia="zh-CN"/>
        </w:rPr>
      </w:pPr>
      <w:r w:rsidRPr="00BA117E">
        <w:rPr>
          <w:rFonts w:ascii="Book Antiqua" w:eastAsia="Book Antiqua" w:hAnsi="Book Antiqua" w:cs="Book Antiqua"/>
          <w:b/>
          <w:color w:val="000000"/>
        </w:rPr>
        <w:t xml:space="preserve">DOI: </w:t>
      </w:r>
      <w:r w:rsidRPr="0005684E">
        <w:rPr>
          <w:rFonts w:ascii="Book Antiqua" w:eastAsia="Book Antiqua" w:hAnsi="Book Antiqua" w:cs="Book Antiqua"/>
          <w:color w:val="000000"/>
        </w:rPr>
        <w:t>https://dx.doi.org/10.3748/wjg.v27.i8.</w:t>
      </w:r>
      <w:r w:rsidR="00326467">
        <w:rPr>
          <w:rFonts w:ascii="Book Antiqua" w:hAnsi="Book Antiqua" w:cs="Book Antiqua" w:hint="eastAsia"/>
          <w:color w:val="000000"/>
          <w:lang w:eastAsia="zh-CN"/>
        </w:rPr>
        <w:t>666</w:t>
      </w:r>
    </w:p>
    <w:p w14:paraId="75C7542F" w14:textId="77777777" w:rsidR="00A77B3E" w:rsidRPr="00E5667A" w:rsidRDefault="00A77B3E" w:rsidP="00E5667A">
      <w:pPr>
        <w:spacing w:line="360" w:lineRule="auto"/>
        <w:jc w:val="both"/>
        <w:rPr>
          <w:rFonts w:ascii="Book Antiqua" w:hAnsi="Book Antiqua"/>
        </w:rPr>
      </w:pPr>
    </w:p>
    <w:p w14:paraId="7AF57FEA" w14:textId="40D12EAE"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Core Tip: </w:t>
      </w:r>
      <w:r w:rsidRPr="00E5667A">
        <w:rPr>
          <w:rFonts w:ascii="Book Antiqua" w:eastAsia="Book Antiqua" w:hAnsi="Book Antiqua" w:cs="Book Antiqua"/>
          <w:color w:val="000000"/>
        </w:rPr>
        <w:t xml:space="preserve">Persistent </w:t>
      </w:r>
      <w:r w:rsidR="000764CC" w:rsidRPr="00E5667A">
        <w:rPr>
          <w:rFonts w:ascii="Book Antiqua" w:eastAsia="Book Antiqua" w:hAnsi="Book Antiqua" w:cs="Book Antiqua"/>
          <w:color w:val="000000"/>
        </w:rPr>
        <w:t>low-level viremia (LLV)</w:t>
      </w:r>
      <w:r w:rsidRPr="00E5667A">
        <w:rPr>
          <w:rFonts w:ascii="Book Antiqua" w:eastAsia="Book Antiqua" w:hAnsi="Book Antiqua" w:cs="Book Antiqua"/>
          <w:color w:val="000000"/>
        </w:rPr>
        <w:t xml:space="preserve">, in addition to causing the progression of liver disease or hepatocellular carcinoma, may shed light on the current plight of </w:t>
      </w:r>
      <w:r w:rsidR="000764CC" w:rsidRPr="00E5667A">
        <w:rPr>
          <w:rFonts w:ascii="Book Antiqua" w:eastAsia="Book Antiqua" w:hAnsi="Book Antiqua" w:cs="Book Antiqua"/>
          <w:color w:val="000000"/>
        </w:rPr>
        <w:t>nucleos(t)ide analog (NA)</w:t>
      </w:r>
      <w:r w:rsidRPr="00E5667A">
        <w:rPr>
          <w:rFonts w:ascii="Book Antiqua" w:eastAsia="Book Antiqua" w:hAnsi="Book Antiqua" w:cs="Book Antiqua"/>
          <w:color w:val="000000"/>
        </w:rPr>
        <w:t xml:space="preserve"> therapy. Since 2006, the authors focused on </w:t>
      </w:r>
      <w:r w:rsidRPr="004C6CA2">
        <w:rPr>
          <w:rFonts w:ascii="Book Antiqua" w:eastAsia="Book Antiqua" w:hAnsi="Book Antiqua" w:cs="Book Antiqua"/>
          <w:color w:val="000000"/>
        </w:rPr>
        <w:t>NA-refractory and participated in treating LLV patients</w:t>
      </w:r>
      <w:r w:rsidRPr="00E5667A">
        <w:rPr>
          <w:rFonts w:ascii="Book Antiqua" w:eastAsia="Book Antiqua" w:hAnsi="Book Antiqua" w:cs="Book Antiqua"/>
          <w:color w:val="000000"/>
        </w:rPr>
        <w:t xml:space="preserve">. We presented the interferon-α switching therapy to treat LLV patient with failure of combined nucleoside plus nucleotide therapy. The current study scoured </w:t>
      </w:r>
      <w:r w:rsidR="009F3423">
        <w:rPr>
          <w:rFonts w:ascii="Book Antiqua" w:eastAsia="Book Antiqua" w:hAnsi="Book Antiqua" w:cs="Book Antiqua"/>
          <w:color w:val="000000"/>
        </w:rPr>
        <w:t>the</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literature to shed light on the possibility of improving the antiviral effect of entecavir by increasing the dose. Here, we recommend that clinical trials involving entecavir should trial doses over more 1.0 mg/d for treating NA-refractory patients.</w:t>
      </w:r>
    </w:p>
    <w:p w14:paraId="37392321" w14:textId="77777777" w:rsidR="00A77B3E" w:rsidRPr="00E5667A" w:rsidRDefault="00A77B3E" w:rsidP="00E5667A">
      <w:pPr>
        <w:spacing w:line="360" w:lineRule="auto"/>
        <w:jc w:val="both"/>
        <w:rPr>
          <w:rFonts w:ascii="Book Antiqua" w:hAnsi="Book Antiqua"/>
        </w:rPr>
      </w:pPr>
    </w:p>
    <w:p w14:paraId="26056ADA" w14:textId="77777777" w:rsidR="00A77B3E" w:rsidRPr="00E5667A" w:rsidRDefault="000764CC" w:rsidP="00E5667A">
      <w:pPr>
        <w:spacing w:line="360" w:lineRule="auto"/>
        <w:jc w:val="both"/>
        <w:rPr>
          <w:rFonts w:ascii="Book Antiqua" w:hAnsi="Book Antiqua"/>
        </w:rPr>
      </w:pPr>
      <w:r w:rsidRPr="00E5667A">
        <w:rPr>
          <w:rFonts w:ascii="Book Antiqua" w:eastAsia="Book Antiqua" w:hAnsi="Book Antiqua" w:cs="Book Antiqua"/>
          <w:b/>
          <w:caps/>
          <w:color w:val="000000"/>
          <w:u w:val="single"/>
        </w:rPr>
        <w:br w:type="page"/>
      </w:r>
      <w:r w:rsidR="001612DD" w:rsidRPr="00E5667A">
        <w:rPr>
          <w:rFonts w:ascii="Book Antiqua" w:eastAsia="Book Antiqua" w:hAnsi="Book Antiqua" w:cs="Book Antiqua"/>
          <w:b/>
          <w:caps/>
          <w:color w:val="000000"/>
          <w:u w:val="single"/>
        </w:rPr>
        <w:t>INTRODUCTION</w:t>
      </w:r>
    </w:p>
    <w:p w14:paraId="38E0FA13" w14:textId="5227A5E9"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Hepatitis B virus (HBV) </w:t>
      </w:r>
      <w:r w:rsidR="009F3423">
        <w:rPr>
          <w:rFonts w:ascii="Book Antiqua" w:eastAsia="Book Antiqua" w:hAnsi="Book Antiqua" w:cs="Book Antiqua"/>
          <w:color w:val="000000"/>
        </w:rPr>
        <w:t>can lead to</w:t>
      </w:r>
      <w:r w:rsidRPr="00E5667A">
        <w:rPr>
          <w:rFonts w:ascii="Book Antiqua" w:eastAsia="Book Antiqua" w:hAnsi="Book Antiqua" w:cs="Book Antiqua"/>
          <w:color w:val="000000"/>
        </w:rPr>
        <w:t>a debilitating liver infection; chronic HBV infection (CHB) is a public health concern worldwide, affecting about 240 million people. Current therapies for CHB include nucleos(t)ide analogs (</w:t>
      </w:r>
      <w:bookmarkStart w:id="5" w:name="OLE_LINK4"/>
      <w:bookmarkStart w:id="6" w:name="OLE_LINK5"/>
      <w:r w:rsidRPr="00E5667A">
        <w:rPr>
          <w:rFonts w:ascii="Book Antiqua" w:eastAsia="Book Antiqua" w:hAnsi="Book Antiqua" w:cs="Book Antiqua"/>
          <w:color w:val="000000"/>
        </w:rPr>
        <w:t>NA</w:t>
      </w:r>
      <w:bookmarkEnd w:id="5"/>
      <w:bookmarkEnd w:id="6"/>
      <w:r w:rsidRPr="00E5667A">
        <w:rPr>
          <w:rFonts w:ascii="Book Antiqua" w:eastAsia="Book Antiqua" w:hAnsi="Book Antiqua" w:cs="Book Antiqua"/>
          <w:color w:val="000000"/>
        </w:rPr>
        <w:t>) and interferon</w:t>
      </w:r>
      <w:r w:rsidR="002B199A" w:rsidRPr="00E5667A">
        <w:rPr>
          <w:rFonts w:ascii="Book Antiqua" w:eastAsia="Book Antiqua" w:hAnsi="Book Antiqua" w:cs="Book Antiqua"/>
          <w:color w:val="000000"/>
        </w:rPr>
        <w:t xml:space="preserve"> (INF)</w:t>
      </w:r>
      <w:r w:rsidRPr="00E5667A">
        <w:rPr>
          <w:rFonts w:ascii="Book Antiqua" w:eastAsia="Book Antiqua" w:hAnsi="Book Antiqua" w:cs="Book Antiqua"/>
          <w:color w:val="000000"/>
        </w:rPr>
        <w:t>. However, while these therapies are effective treatments, they cannot cure HBV. Since 2016, four significant articles regarding the treatment of CHB have been published by the following authors, Terrault NA</w:t>
      </w:r>
      <w:r w:rsidR="00220A20">
        <w:rPr>
          <w:rFonts w:ascii="Book Antiqua" w:eastAsia="Book Antiqua" w:hAnsi="Book Antiqua" w:cs="Book Antiqua"/>
          <w:color w:val="000000"/>
        </w:rPr>
        <w:t xml:space="preserve"> </w:t>
      </w:r>
      <w:r w:rsidR="00346B52" w:rsidRPr="00220A20">
        <w:rPr>
          <w:rFonts w:ascii="Book Antiqua" w:eastAsia="Book Antiqua" w:hAnsi="Book Antiqua" w:cs="Book Antiqua"/>
          <w:i/>
          <w:color w:val="000000"/>
        </w:rPr>
        <w:t>et al</w:t>
      </w:r>
      <w:r w:rsidRPr="00E5667A">
        <w:rPr>
          <w:rFonts w:ascii="Book Antiqua" w:eastAsia="Book Antiqua" w:hAnsi="Book Antiqua" w:cs="Book Antiqua"/>
          <w:color w:val="000000"/>
        </w:rPr>
        <w:t>, Kim JH</w:t>
      </w:r>
      <w:r w:rsidR="00220A20">
        <w:rPr>
          <w:rFonts w:ascii="Book Antiqua" w:eastAsia="Book Antiqua" w:hAnsi="Book Antiqua" w:cs="Book Antiqua"/>
          <w:color w:val="000000"/>
        </w:rPr>
        <w:t xml:space="preserve"> </w:t>
      </w:r>
      <w:r w:rsidR="009F3423"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Terrault NA</w:t>
      </w:r>
      <w:r w:rsidR="00220A20">
        <w:rPr>
          <w:rFonts w:ascii="Book Antiqua" w:eastAsia="Book Antiqua" w:hAnsi="Book Antiqua" w:cs="Book Antiqua"/>
          <w:color w:val="000000"/>
        </w:rPr>
        <w:t xml:space="preserve"> </w:t>
      </w:r>
      <w:r w:rsidR="009F3423"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xml:space="preserve">, </w:t>
      </w:r>
      <w:r w:rsidR="009F3423">
        <w:rPr>
          <w:rFonts w:ascii="Book Antiqua" w:eastAsia="Book Antiqua" w:hAnsi="Book Antiqua" w:cs="Book Antiqua"/>
          <w:color w:val="000000"/>
        </w:rPr>
        <w:t>and</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Lok AS</w:t>
      </w:r>
      <w:r w:rsidR="00220A20">
        <w:rPr>
          <w:rFonts w:ascii="Book Antiqua" w:eastAsia="Book Antiqua" w:hAnsi="Book Antiqua" w:cs="Book Antiqua"/>
          <w:color w:val="000000"/>
        </w:rPr>
        <w:t xml:space="preserve"> </w:t>
      </w:r>
      <w:r w:rsidR="009F3423"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respectively</w:t>
      </w:r>
      <w:r w:rsidRPr="00E5667A">
        <w:rPr>
          <w:rFonts w:ascii="Book Antiqua" w:eastAsia="Book Antiqua" w:hAnsi="Book Antiqua" w:cs="Book Antiqua"/>
          <w:color w:val="000000"/>
          <w:vertAlign w:val="superscript"/>
        </w:rPr>
        <w:t>[1-4]</w:t>
      </w:r>
      <w:r w:rsidRPr="00E5667A">
        <w:rPr>
          <w:rFonts w:ascii="Book Antiqua" w:eastAsia="Book Antiqua" w:hAnsi="Book Antiqua" w:cs="Book Antiqua"/>
          <w:color w:val="000000"/>
        </w:rPr>
        <w:t>. These articles shed light on the current plight of treating CHB and the efforts of clinicians and researchers.</w:t>
      </w:r>
    </w:p>
    <w:p w14:paraId="29E66C51" w14:textId="4A5754D9"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 xml:space="preserve">Recently, it was shown that </w:t>
      </w:r>
      <w:r w:rsidR="009F3423">
        <w:rPr>
          <w:rFonts w:ascii="Book Antiqua" w:eastAsia="Book Antiqua" w:hAnsi="Book Antiqua" w:cs="Book Antiqua"/>
          <w:color w:val="000000"/>
        </w:rPr>
        <w:t xml:space="preserve">the incidence of </w:t>
      </w:r>
      <w:r w:rsidRPr="00E5667A">
        <w:rPr>
          <w:rFonts w:ascii="Book Antiqua" w:eastAsia="Book Antiqua" w:hAnsi="Book Antiqua" w:cs="Book Antiqua"/>
          <w:color w:val="000000"/>
        </w:rPr>
        <w:t>persistent low-level viremia (LLV</w:t>
      </w:r>
      <w:r w:rsidR="000764CC" w:rsidRPr="00E5667A">
        <w:rPr>
          <w:rFonts w:ascii="Book Antiqua" w:eastAsia="Book Antiqua" w:hAnsi="Book Antiqua" w:cs="Book Antiqua"/>
          <w:color w:val="000000"/>
        </w:rPr>
        <w:t>)(</w:t>
      </w:r>
      <w:r w:rsidRPr="00E5667A">
        <w:rPr>
          <w:rFonts w:ascii="Book Antiqua" w:eastAsia="Book Antiqua" w:hAnsi="Book Antiqua" w:cs="Book Antiqua"/>
          <w:color w:val="000000"/>
        </w:rPr>
        <w:t>HBV DNA &lt;</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2</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10</w:t>
      </w:r>
      <w:r w:rsidRPr="00E5667A">
        <w:rPr>
          <w:rFonts w:ascii="Book Antiqua" w:eastAsia="Book Antiqua" w:hAnsi="Book Antiqua" w:cs="Book Antiqua"/>
          <w:color w:val="000000"/>
          <w:vertAlign w:val="superscript"/>
        </w:rPr>
        <w:t xml:space="preserve">3 </w:t>
      </w:r>
      <w:r w:rsidRPr="00E5667A">
        <w:rPr>
          <w:rFonts w:ascii="Book Antiqua" w:eastAsia="Book Antiqua" w:hAnsi="Book Antiqua" w:cs="Book Antiqua"/>
          <w:color w:val="000000"/>
        </w:rPr>
        <w:t>IU/mL) gradually increased in some patients during NA treatment, contributing to the progression of liver disease. The American Association for the Study of Liver Diseases (AASLD)</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2016 guidelines suggest that LLV patients on entecavir or tenofovir monotherapy should continue monotherapy, regardless of alanine aminotransferase status</w:t>
      </w:r>
      <w:r w:rsidRPr="00E5667A">
        <w:rPr>
          <w:rFonts w:ascii="Book Antiqua" w:eastAsia="Book Antiqua" w:hAnsi="Book Antiqua" w:cs="Book Antiqua"/>
          <w:color w:val="000000"/>
          <w:vertAlign w:val="superscript"/>
        </w:rPr>
        <w:t>[1]</w:t>
      </w:r>
      <w:r w:rsidRPr="00E5667A">
        <w:rPr>
          <w:rFonts w:ascii="Book Antiqua" w:eastAsia="Book Antiqua" w:hAnsi="Book Antiqua" w:cs="Book Antiqua"/>
          <w:color w:val="000000"/>
        </w:rPr>
        <w:t xml:space="preserve">. This suggestion </w:t>
      </w:r>
      <w:r w:rsidR="009F3423">
        <w:rPr>
          <w:rFonts w:ascii="Book Antiqua" w:eastAsia="Book Antiqua" w:hAnsi="Book Antiqua" w:cs="Book Antiqua"/>
          <w:color w:val="000000"/>
        </w:rPr>
        <w:t>i</w:t>
      </w:r>
      <w:r w:rsidR="009F3423" w:rsidRPr="00E5667A">
        <w:rPr>
          <w:rFonts w:ascii="Book Antiqua" w:eastAsia="Book Antiqua" w:hAnsi="Book Antiqua" w:cs="Book Antiqua"/>
          <w:color w:val="000000"/>
        </w:rPr>
        <w:t xml:space="preserve">s </w:t>
      </w:r>
      <w:r w:rsidRPr="00E5667A">
        <w:rPr>
          <w:rFonts w:ascii="Book Antiqua" w:eastAsia="Book Antiqua" w:hAnsi="Book Antiqua" w:cs="Book Antiqua"/>
          <w:color w:val="000000"/>
        </w:rPr>
        <w:t xml:space="preserve">different from the previous NA therapy strategy and a bit confounding to researchers. Subsequently, Kim </w:t>
      </w:r>
      <w:r w:rsidRPr="00E5667A">
        <w:rPr>
          <w:rFonts w:ascii="Book Antiqua" w:eastAsia="Book Antiqua" w:hAnsi="Book Antiqua" w:cs="Book Antiqua"/>
          <w:i/>
          <w:iCs/>
          <w:color w:val="000000"/>
        </w:rPr>
        <w:t>et al</w:t>
      </w:r>
      <w:r w:rsidR="000764CC"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xml:space="preserve"> reported that persistent LLV patients on continued entecavir monotherapy were at a higher risk of hepatocellular carcinoma (HCC)</w:t>
      </w:r>
      <w:r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xml:space="preserve">. Their results were contrary to the AASLD recommendation. However, </w:t>
      </w:r>
      <w:r w:rsidR="009F3423">
        <w:rPr>
          <w:rFonts w:ascii="Book Antiqua" w:eastAsia="Book Antiqua" w:hAnsi="Book Antiqua" w:cs="Book Antiqua"/>
          <w:color w:val="000000"/>
        </w:rPr>
        <w:t xml:space="preserve">the </w:t>
      </w:r>
      <w:r w:rsidRPr="00E5667A">
        <w:rPr>
          <w:rFonts w:ascii="Book Antiqua" w:eastAsia="Book Antiqua" w:hAnsi="Book Antiqua" w:cs="Book Antiqua"/>
          <w:color w:val="000000"/>
        </w:rPr>
        <w:t xml:space="preserve">2018 AASLD recommendation upheld </w:t>
      </w:r>
      <w:r w:rsidR="009F3423">
        <w:rPr>
          <w:rFonts w:ascii="Book Antiqua" w:eastAsia="Book Antiqua" w:hAnsi="Book Antiqua" w:cs="Book Antiqua"/>
          <w:color w:val="000000"/>
        </w:rPr>
        <w:t>its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2016 recommendation</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w:t>
      </w:r>
    </w:p>
    <w:p w14:paraId="07D628DC" w14:textId="4EAE5D56"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While the recommendations and reports may differ, these articles do confirm that the current problem for patients is the entecavir refractory HBV. Currently, several researchers are developing novel antiviral therapies for HBV. Unfortunately, these newly developed therapies cannot eradicate the intrahepatic covalently closed circular DNA (cccDNA) or integrated HBV DNA. In a report by Lok AS</w:t>
      </w:r>
      <w:r w:rsidR="00220A20">
        <w:rPr>
          <w:rFonts w:ascii="Book Antiqua" w:eastAsia="Book Antiqua" w:hAnsi="Book Antiqua" w:cs="Book Antiqua"/>
          <w:color w:val="000000"/>
        </w:rPr>
        <w:t xml:space="preserve"> </w:t>
      </w:r>
      <w:r w:rsidR="00346B52" w:rsidRPr="00220A20">
        <w:rPr>
          <w:rFonts w:ascii="Book Antiqua" w:eastAsia="Book Antiqua" w:hAnsi="Book Antiqua" w:cs="Book Antiqua"/>
          <w:i/>
          <w:color w:val="000000"/>
        </w:rPr>
        <w:t>et al</w:t>
      </w:r>
      <w:r w:rsidRPr="00E5667A">
        <w:rPr>
          <w:rFonts w:ascii="Book Antiqua" w:eastAsia="Book Antiqua" w:hAnsi="Book Antiqua" w:cs="Book Antiqua"/>
          <w:color w:val="000000"/>
        </w:rPr>
        <w:t xml:space="preserve">, a complete HBV cure was defined as “undetectable </w:t>
      </w:r>
      <w:r w:rsidR="000764CC" w:rsidRPr="00E5667A">
        <w:rPr>
          <w:rFonts w:ascii="Book Antiqua" w:eastAsia="Book Antiqua" w:hAnsi="Book Antiqua" w:cs="Book Antiqua"/>
          <w:color w:val="000000"/>
        </w:rPr>
        <w:t>hepatitis B surface antigen</w:t>
      </w:r>
      <w:r w:rsidRPr="00E5667A">
        <w:rPr>
          <w:rFonts w:ascii="Book Antiqua" w:eastAsia="Book Antiqua" w:hAnsi="Book Antiqua" w:cs="Book Antiqua"/>
          <w:color w:val="000000"/>
        </w:rPr>
        <w:t xml:space="preserve"> in the serum and eradication of HBV DNA in the hepatocytes, including intrahepatic cccDNA</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and integrated HBV DNA”. Thus</w:t>
      </w:r>
      <w:r w:rsidR="004C6CA2">
        <w:rPr>
          <w:rFonts w:ascii="Book Antiqua" w:eastAsia="Book Antiqua" w:hAnsi="Book Antiqua" w:cs="Book Antiqua"/>
          <w:color w:val="000000"/>
        </w:rPr>
        <w:t>,</w:t>
      </w:r>
      <w:r w:rsidRPr="00E5667A">
        <w:rPr>
          <w:rFonts w:ascii="Book Antiqua" w:eastAsia="Book Antiqua" w:hAnsi="Book Antiqua" w:cs="Book Antiqua"/>
          <w:color w:val="000000"/>
        </w:rPr>
        <w:t xml:space="preserve"> the current therapies relying on NAs and/or </w:t>
      </w:r>
      <w:r w:rsidR="002B199A" w:rsidRPr="00E5667A">
        <w:rPr>
          <w:rFonts w:ascii="Book Antiqua" w:eastAsia="Book Antiqua" w:hAnsi="Book Antiqua" w:cs="Book Antiqua"/>
          <w:color w:val="000000"/>
        </w:rPr>
        <w:t>INF</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cannot achieve a complete HBV cure</w:t>
      </w:r>
      <w:r w:rsidRPr="00E5667A">
        <w:rPr>
          <w:rFonts w:ascii="Book Antiqua" w:eastAsia="Book Antiqua" w:hAnsi="Book Antiqua" w:cs="Book Antiqua"/>
          <w:color w:val="000000"/>
          <w:vertAlign w:val="superscript"/>
        </w:rPr>
        <w:t>[3,4]</w:t>
      </w:r>
      <w:r w:rsidRPr="00E5667A">
        <w:rPr>
          <w:rFonts w:ascii="Book Antiqua" w:eastAsia="Book Antiqua" w:hAnsi="Book Antiqua" w:cs="Book Antiqua"/>
          <w:color w:val="000000"/>
        </w:rPr>
        <w:t>.</w:t>
      </w:r>
    </w:p>
    <w:p w14:paraId="3DEA33B3" w14:textId="2AEABB16" w:rsidR="00A77B3E" w:rsidRPr="00E5667A" w:rsidRDefault="001612DD" w:rsidP="00E5667A">
      <w:pPr>
        <w:spacing w:line="360" w:lineRule="auto"/>
        <w:ind w:firstLineChars="200" w:firstLine="480"/>
        <w:jc w:val="both"/>
        <w:rPr>
          <w:rFonts w:ascii="Book Antiqua" w:hAnsi="Book Antiqua"/>
        </w:rPr>
      </w:pPr>
      <w:r w:rsidRPr="00E5667A">
        <w:rPr>
          <w:rFonts w:ascii="Book Antiqua" w:eastAsia="Book Antiqua" w:hAnsi="Book Antiqua" w:cs="Book Antiqua"/>
          <w:color w:val="000000"/>
        </w:rPr>
        <w:t xml:space="preserve">The molecular mechanisms of LLV or NA </w:t>
      </w:r>
      <w:r w:rsidR="004C6CA2" w:rsidRPr="00E5667A">
        <w:rPr>
          <w:rFonts w:ascii="Book Antiqua" w:eastAsia="Book Antiqua" w:hAnsi="Book Antiqua" w:cs="Book Antiqua"/>
          <w:color w:val="000000"/>
        </w:rPr>
        <w:t>refractor</w:t>
      </w:r>
      <w:r w:rsidR="004C6CA2">
        <w:rPr>
          <w:rFonts w:ascii="Book Antiqua" w:eastAsia="Book Antiqua" w:hAnsi="Book Antiqua" w:cs="Book Antiqua"/>
          <w:color w:val="000000"/>
        </w:rPr>
        <w:t>iness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have been partially discovered. In an important investigation regarding NA mediated development of resistance, Coffin CS </w:t>
      </w:r>
      <w:bookmarkStart w:id="7" w:name="OLE_LINK1"/>
      <w:bookmarkStart w:id="8" w:name="OLE_LINK2"/>
      <w:r w:rsidRPr="00E5667A">
        <w:rPr>
          <w:rFonts w:ascii="Book Antiqua" w:eastAsia="Book Antiqua" w:hAnsi="Book Antiqua" w:cs="Book Antiqua"/>
          <w:color w:val="000000"/>
        </w:rPr>
        <w:t>and colleagues</w:t>
      </w:r>
      <w:bookmarkEnd w:id="7"/>
      <w:bookmarkEnd w:id="8"/>
      <w:r w:rsidRPr="00E5667A">
        <w:rPr>
          <w:rFonts w:ascii="Book Antiqua" w:eastAsia="Book Antiqua" w:hAnsi="Book Antiqua" w:cs="Book Antiqua"/>
          <w:color w:val="000000"/>
        </w:rPr>
        <w:t xml:space="preserve"> analyzed the prevalence of HBV DNA, cccDNA, HBV resistant mutations, and gene diversity in different tissues including plasma, peripheral blood mononuclear cells (PBMCs), and liver explants in patients undergoing NA treatment and liver explants. The results showed 100% and 83% wild type </w:t>
      </w:r>
      <w:r w:rsidR="004C6CA2" w:rsidRPr="00E5667A">
        <w:rPr>
          <w:rFonts w:ascii="Book Antiqua" w:eastAsia="Book Antiqua" w:hAnsi="Book Antiqua" w:cs="Book Antiqua"/>
          <w:color w:val="000000"/>
        </w:rPr>
        <w:t xml:space="preserve">HBV </w:t>
      </w:r>
      <w:r w:rsidRPr="00E5667A">
        <w:rPr>
          <w:rFonts w:ascii="Book Antiqua" w:eastAsia="Book Antiqua" w:hAnsi="Book Antiqua" w:cs="Book Antiqua"/>
          <w:color w:val="000000"/>
        </w:rPr>
        <w:t xml:space="preserve">in the plasma and PBMCs. Moreover, 66% </w:t>
      </w:r>
      <w:r w:rsidR="004C6CA2">
        <w:rPr>
          <w:rFonts w:ascii="Book Antiqua" w:eastAsia="Book Antiqua" w:hAnsi="Book Antiqua" w:cs="Book Antiqua"/>
          <w:color w:val="000000"/>
        </w:rPr>
        <w:t xml:space="preserve">of </w:t>
      </w:r>
      <w:r w:rsidRPr="00E5667A">
        <w:rPr>
          <w:rFonts w:ascii="Book Antiqua" w:eastAsia="Book Antiqua" w:hAnsi="Book Antiqua" w:cs="Book Antiqua"/>
          <w:color w:val="000000"/>
        </w:rPr>
        <w:t>drug-resistant mutations were observed in the liver explants. Notably, the adefovir-treated patients who exhibited adefovir resistant mutation received the combination lamivudine plus tenofovir rescue therapy. While this rescue treatment resulted in undetectable HBV DNA and 100% wild type HBV in the plasma, detectable HBV DNA, cccDNA, and HBV resistant mutations correlating with adefovir and lamivudine were retained in the liver explants. Thus</w:t>
      </w:r>
      <w:r w:rsidR="004C6CA2">
        <w:rPr>
          <w:rFonts w:ascii="Book Antiqua" w:eastAsia="Book Antiqua" w:hAnsi="Book Antiqua" w:cs="Book Antiqua"/>
          <w:color w:val="000000"/>
        </w:rPr>
        <w:t>,</w:t>
      </w:r>
      <w:r w:rsidRPr="00E5667A">
        <w:rPr>
          <w:rFonts w:ascii="Book Antiqua" w:eastAsia="Book Antiqua" w:hAnsi="Book Antiqua" w:cs="Book Antiqua"/>
          <w:color w:val="000000"/>
        </w:rPr>
        <w:t xml:space="preserve"> the rescue lamivudine plus tenofovir therapy could not eradicate the previous adefovir drug-resistant virus and instead induced the new lamivudine-resistant mutation, in the liver of these patients</w:t>
      </w:r>
      <w:r w:rsidRPr="00E5667A">
        <w:rPr>
          <w:rFonts w:ascii="Book Antiqua" w:eastAsia="Book Antiqua" w:hAnsi="Book Antiqua" w:cs="Book Antiqua"/>
          <w:color w:val="000000"/>
          <w:vertAlign w:val="superscript"/>
        </w:rPr>
        <w:t>[5]</w:t>
      </w:r>
      <w:r w:rsidRPr="00E5667A">
        <w:rPr>
          <w:rFonts w:ascii="Book Antiqua" w:eastAsia="Book Antiqua" w:hAnsi="Book Antiqua" w:cs="Book Antiqua"/>
          <w:color w:val="000000"/>
        </w:rPr>
        <w:t>. Hence, the presence of this mutation in the liver suggested that the LLV patients possessed intrahepatic viruses that were resistant or less sensitive to NAs.</w:t>
      </w:r>
    </w:p>
    <w:p w14:paraId="5CCE2135" w14:textId="77777777"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Molecular evolutionary analysis can reconstruct phylogenetic trees and infer phylogenetic histories</w:t>
      </w:r>
      <w:r w:rsidRPr="00E5667A">
        <w:rPr>
          <w:rFonts w:ascii="Book Antiqua" w:eastAsia="Book Antiqua" w:hAnsi="Book Antiqua" w:cs="Book Antiqua"/>
          <w:color w:val="000000"/>
          <w:vertAlign w:val="superscript"/>
        </w:rPr>
        <w:t>[6,7]</w:t>
      </w:r>
      <w:r w:rsidRPr="00E5667A">
        <w:rPr>
          <w:rFonts w:ascii="Book Antiqua" w:eastAsia="Book Antiqua" w:hAnsi="Book Antiqua" w:cs="Book Antiqua"/>
          <w:color w:val="000000"/>
        </w:rPr>
        <w:t>. The evolutionary patterns of HBV resistant mutations during NA treatment have been studied by combining molecular phylogenetic analysis with the NA resistant mutation profile</w:t>
      </w:r>
      <w:r w:rsidRPr="00E5667A">
        <w:rPr>
          <w:rFonts w:ascii="Book Antiqua" w:eastAsia="Book Antiqua" w:hAnsi="Book Antiqua" w:cs="Book Antiqua"/>
          <w:color w:val="000000"/>
          <w:vertAlign w:val="superscript"/>
        </w:rPr>
        <w:t>[5,8-12]</w:t>
      </w:r>
      <w:r w:rsidRPr="00E5667A">
        <w:rPr>
          <w:rFonts w:ascii="Book Antiqua" w:eastAsia="Book Antiqua" w:hAnsi="Book Antiqua" w:cs="Book Antiqua"/>
          <w:color w:val="000000"/>
        </w:rPr>
        <w:t xml:space="preserve">. These studies indicate that prolonged entecavir or tenofovir treatment leads to development of LLV status, NA resistance, virology breakthrough, and biochemical breakthrough resulting in progression of liver disease or HCC in </w:t>
      </w:r>
      <w:r w:rsidR="004C6CA2">
        <w:rPr>
          <w:rFonts w:ascii="Book Antiqua" w:eastAsia="Book Antiqua" w:hAnsi="Book Antiqua" w:cs="Book Antiqua"/>
          <w:color w:val="000000"/>
        </w:rPr>
        <w:t xml:space="preserve">the </w:t>
      </w:r>
      <w:r w:rsidRPr="00E5667A">
        <w:rPr>
          <w:rFonts w:ascii="Book Antiqua" w:eastAsia="Book Antiqua" w:hAnsi="Book Antiqua" w:cs="Book Antiqua"/>
          <w:color w:val="000000"/>
        </w:rPr>
        <w:t>majority of patients. Thus, LLV should be considered as the early stage of NA resistance.</w:t>
      </w:r>
    </w:p>
    <w:p w14:paraId="6ADCDD85" w14:textId="65E5AEFE"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Currently, the primary goals of NA therapy are to suppress HBV replication for as long as possible and to avoid the progression of liver disease; and the ultimate goal of antiviral treatment is to prolong survival of</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CHB patient</w:t>
      </w:r>
      <w:r w:rsidR="004C6CA2">
        <w:rPr>
          <w:rFonts w:ascii="Book Antiqua" w:eastAsia="Book Antiqua" w:hAnsi="Book Antiqua" w:cs="Book Antiqua"/>
          <w:color w:val="000000"/>
        </w:rPr>
        <w:t>s</w:t>
      </w:r>
      <w:r w:rsidRPr="00E5667A">
        <w:rPr>
          <w:rFonts w:ascii="Book Antiqua" w:eastAsia="Book Antiqua" w:hAnsi="Book Antiqua" w:cs="Book Antiqua"/>
          <w:color w:val="000000"/>
        </w:rPr>
        <w:t xml:space="preserve"> and to provide them </w:t>
      </w:r>
      <w:r w:rsidR="004C6CA2">
        <w:rPr>
          <w:rFonts w:ascii="Book Antiqua" w:eastAsia="Book Antiqua" w:hAnsi="Book Antiqua" w:cs="Book Antiqua"/>
          <w:color w:val="000000"/>
        </w:rPr>
        <w:t xml:space="preserve">with </w:t>
      </w:r>
      <w:r w:rsidRPr="00E5667A">
        <w:rPr>
          <w:rFonts w:ascii="Book Antiqua" w:eastAsia="Book Antiqua" w:hAnsi="Book Antiqua" w:cs="Book Antiqua"/>
          <w:color w:val="000000"/>
        </w:rPr>
        <w:t>better quality of life</w:t>
      </w:r>
      <w:r w:rsidRPr="00E5667A">
        <w:rPr>
          <w:rFonts w:ascii="Book Antiqua" w:eastAsia="Book Antiqua" w:hAnsi="Book Antiqua" w:cs="Book Antiqua"/>
          <w:color w:val="000000"/>
          <w:vertAlign w:val="superscript"/>
        </w:rPr>
        <w:t>[1,3,4]</w:t>
      </w:r>
      <w:r w:rsidRPr="00E5667A">
        <w:rPr>
          <w:rFonts w:ascii="Book Antiqua" w:eastAsia="Book Antiqua" w:hAnsi="Book Antiqua" w:cs="Book Antiqua"/>
          <w:color w:val="000000"/>
        </w:rPr>
        <w:t>. Therefore, prolonged treatment with NAs could result in life-extending goals in most patients. Moreover, carefully balancing between the risks and benefits required for prolonging life and reducing the HCC risk, support the AASLD statement.</w:t>
      </w:r>
    </w:p>
    <w:p w14:paraId="362B2D68" w14:textId="33E4B3C1" w:rsidR="00A77B3E" w:rsidRPr="00E5667A" w:rsidRDefault="001612DD" w:rsidP="00E5667A">
      <w:pPr>
        <w:spacing w:line="360" w:lineRule="auto"/>
        <w:ind w:firstLineChars="200" w:firstLine="480"/>
        <w:jc w:val="both"/>
        <w:rPr>
          <w:rFonts w:ascii="Book Antiqua" w:hAnsi="Book Antiqua"/>
        </w:rPr>
      </w:pPr>
      <w:r w:rsidRPr="00E5667A">
        <w:rPr>
          <w:rFonts w:ascii="Book Antiqua" w:eastAsia="Book Antiqua" w:hAnsi="Book Antiqua" w:cs="Book Antiqua"/>
          <w:color w:val="000000"/>
        </w:rPr>
        <w:t>Here, we investigate</w:t>
      </w:r>
      <w:r w:rsidR="004C6CA2">
        <w:rPr>
          <w:rFonts w:ascii="Book Antiqua" w:eastAsia="Book Antiqua" w:hAnsi="Book Antiqua" w:cs="Book Antiqua"/>
          <w:color w:val="000000"/>
        </w:rPr>
        <w:t xml:space="preserve"> the</w:t>
      </w:r>
      <w:r w:rsidRPr="00E5667A">
        <w:rPr>
          <w:rFonts w:ascii="Book Antiqua" w:eastAsia="Book Antiqua" w:hAnsi="Book Antiqua" w:cs="Book Antiqua"/>
          <w:color w:val="000000"/>
        </w:rPr>
        <w:t xml:space="preserve"> literature on persistent LLV patients receiving NA combination therapy (nucleoside plus nucleotide analogs). The regimens of </w:t>
      </w:r>
      <w:r w:rsidR="00AD5791">
        <w:t>IFN</w:t>
      </w:r>
      <w:r w:rsidRPr="00E5667A">
        <w:rPr>
          <w:rFonts w:ascii="Book Antiqua" w:eastAsia="Book Antiqua" w:hAnsi="Book Antiqua" w:cs="Book Antiqua"/>
          <w:color w:val="000000"/>
        </w:rPr>
        <w:t>-α therapy, namely</w:t>
      </w:r>
      <w:r w:rsidR="004C6CA2">
        <w:rPr>
          <w:rFonts w:ascii="Book Antiqua" w:eastAsia="Book Antiqua" w:hAnsi="Book Antiqua" w:cs="Book Antiqua"/>
          <w:color w:val="000000"/>
        </w:rPr>
        <w:t>,</w:t>
      </w:r>
      <w:r w:rsidRPr="00E5667A">
        <w:rPr>
          <w:rFonts w:ascii="Book Antiqua" w:eastAsia="Book Antiqua" w:hAnsi="Book Antiqua" w:cs="Book Antiqua"/>
          <w:color w:val="000000"/>
        </w:rPr>
        <w:t xml:space="preserve"> switching from NAs to </w:t>
      </w:r>
      <w:r w:rsidR="002B199A" w:rsidRPr="00E5667A">
        <w:rPr>
          <w:rFonts w:ascii="Book Antiqua" w:eastAsia="Book Antiqua" w:hAnsi="Book Antiqua" w:cs="Book Antiqua"/>
          <w:color w:val="000000"/>
        </w:rPr>
        <w:t>INF</w:t>
      </w:r>
      <w:r w:rsidRPr="00E5667A">
        <w:rPr>
          <w:rFonts w:ascii="Book Antiqua" w:eastAsia="Book Antiqua" w:hAnsi="Book Antiqua" w:cs="Book Antiqua"/>
          <w:color w:val="000000"/>
        </w:rPr>
        <w:t xml:space="preserve">-α and subsequent re-treatment with </w:t>
      </w:r>
      <w:r w:rsidR="00AD5791">
        <w:t>IFN</w:t>
      </w:r>
      <w:r w:rsidR="00AD5791" w:rsidRPr="00E5667A" w:rsidDel="00AD5791">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-α, were applied to treat these patients. </w:t>
      </w:r>
      <w:r w:rsidR="00AD5791">
        <w:t>IFN</w:t>
      </w:r>
      <w:r w:rsidR="00AD5791" w:rsidRPr="00E5667A" w:rsidDel="00AD5791">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-α switching therapy resulted in safe NA cessation, and </w:t>
      </w:r>
      <w:r w:rsidR="00AD5791">
        <w:t>IFN</w:t>
      </w:r>
      <w:r w:rsidRPr="00E5667A">
        <w:rPr>
          <w:rFonts w:ascii="Book Antiqua" w:eastAsia="Book Antiqua" w:hAnsi="Book Antiqua" w:cs="Book Antiqua"/>
          <w:color w:val="000000"/>
        </w:rPr>
        <w:t>-α re-treatment caused sustained immune controls</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xml:space="preserve">. However, </w:t>
      </w:r>
      <w:r w:rsidR="00AD5791">
        <w:t>IFN</w:t>
      </w:r>
      <w:r w:rsidRPr="00E5667A">
        <w:rPr>
          <w:rFonts w:ascii="Book Antiqua" w:eastAsia="Book Antiqua" w:hAnsi="Book Antiqua" w:cs="Book Antiqua"/>
          <w:color w:val="000000"/>
        </w:rPr>
        <w:t xml:space="preserve">-α therapy caused stronger adverse effects and was not suitable for cirrhosis patients. Moreover, our previous study and </w:t>
      </w:r>
      <w:r w:rsidR="004C6CA2">
        <w:rPr>
          <w:rFonts w:ascii="Book Antiqua" w:eastAsia="Book Antiqua" w:hAnsi="Book Antiqua" w:cs="Book Antiqua"/>
          <w:color w:val="000000"/>
        </w:rPr>
        <w:t xml:space="preserve">the </w:t>
      </w:r>
      <w:r w:rsidRPr="00E5667A">
        <w:rPr>
          <w:rFonts w:ascii="Book Antiqua" w:eastAsia="Book Antiqua" w:hAnsi="Book Antiqua" w:cs="Book Antiqua"/>
          <w:color w:val="000000"/>
        </w:rPr>
        <w:t>research by Reijnders</w:t>
      </w:r>
      <w:r w:rsidR="00220A20">
        <w:rPr>
          <w:rFonts w:ascii="Book Antiqua" w:eastAsia="Book Antiqua" w:hAnsi="Book Antiqua" w:cs="Book Antiqua"/>
          <w:color w:val="000000"/>
        </w:rPr>
        <w:t xml:space="preserve"> </w:t>
      </w:r>
      <w:r w:rsidR="00346B52" w:rsidRPr="00220A20">
        <w:rPr>
          <w:rFonts w:ascii="Book Antiqua" w:eastAsia="Book Antiqua" w:hAnsi="Book Antiqua" w:cs="Book Antiqua"/>
          <w:i/>
          <w:color w:val="000000"/>
        </w:rPr>
        <w:t>et al</w:t>
      </w:r>
      <w:r w:rsidR="00220A20">
        <w:rPr>
          <w:rFonts w:ascii="Book Antiqua" w:eastAsia="Book Antiqua" w:hAnsi="Book Antiqua" w:cs="Book Antiqua"/>
          <w:i/>
          <w:color w:val="000000"/>
        </w:rPr>
        <w:t xml:space="preserve"> </w:t>
      </w:r>
      <w:r w:rsidRPr="00E5667A">
        <w:rPr>
          <w:rFonts w:ascii="Book Antiqua" w:eastAsia="Book Antiqua" w:hAnsi="Book Antiqua" w:cs="Book Antiqua"/>
          <w:color w:val="000000"/>
        </w:rPr>
        <w:t>indicated that increasing the entecavir dose when treating persistent LLV patients resulted in no observed side effects</w:t>
      </w:r>
      <w:r w:rsidRPr="00E5667A">
        <w:rPr>
          <w:rFonts w:ascii="Book Antiqua" w:eastAsia="Book Antiqua" w:hAnsi="Book Antiqua" w:cs="Book Antiqua"/>
          <w:color w:val="000000"/>
          <w:vertAlign w:val="superscript"/>
        </w:rPr>
        <w:t>[14,15]</w:t>
      </w:r>
      <w:r w:rsidRPr="00E5667A">
        <w:rPr>
          <w:rFonts w:ascii="Book Antiqua" w:eastAsia="Book Antiqua" w:hAnsi="Book Antiqua" w:cs="Book Antiqua"/>
          <w:color w:val="000000"/>
        </w:rPr>
        <w:t xml:space="preserve">. Therefore, the current study scoured </w:t>
      </w:r>
      <w:r w:rsidR="004C6CA2">
        <w:rPr>
          <w:rFonts w:ascii="Book Antiqua" w:eastAsia="Book Antiqua" w:hAnsi="Book Antiqua" w:cs="Book Antiqua"/>
          <w:color w:val="000000"/>
        </w:rPr>
        <w:t xml:space="preserve">the </w:t>
      </w:r>
      <w:r w:rsidRPr="00E5667A">
        <w:rPr>
          <w:rFonts w:ascii="Book Antiqua" w:eastAsia="Book Antiqua" w:hAnsi="Book Antiqua" w:cs="Book Antiqua"/>
          <w:color w:val="000000"/>
        </w:rPr>
        <w:t>literature to shed light on the possibility of improving the antiviral effect of entecavir by increasing the dose and prolonging the treatment time.</w:t>
      </w:r>
    </w:p>
    <w:p w14:paraId="3179AC73" w14:textId="77777777" w:rsidR="00A77B3E" w:rsidRPr="00E5667A" w:rsidRDefault="00A77B3E" w:rsidP="00E5667A">
      <w:pPr>
        <w:spacing w:line="360" w:lineRule="auto"/>
        <w:jc w:val="both"/>
        <w:rPr>
          <w:rFonts w:ascii="Book Antiqua" w:hAnsi="Book Antiqua"/>
        </w:rPr>
      </w:pPr>
    </w:p>
    <w:p w14:paraId="23D97E10"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LITERATURE SEARCH STRATEGY</w:t>
      </w:r>
    </w:p>
    <w:p w14:paraId="69C5EDD2" w14:textId="26CD6D68"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All HBV treatment </w:t>
      </w:r>
      <w:r w:rsidR="004C6CA2">
        <w:rPr>
          <w:rFonts w:ascii="Book Antiqua" w:eastAsia="Book Antiqua" w:hAnsi="Book Antiqua" w:cs="Book Antiqua"/>
          <w:color w:val="000000"/>
        </w:rPr>
        <w:t>articles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available since 1995 on the MEDLINE/PUBMED database and U</w:t>
      </w:r>
      <w:r w:rsidR="002B199A" w:rsidRPr="00E5667A">
        <w:rPr>
          <w:rFonts w:ascii="Book Antiqua" w:eastAsia="Book Antiqua" w:hAnsi="Book Antiqua" w:cs="Book Antiqua"/>
          <w:color w:val="000000"/>
        </w:rPr>
        <w:t>nited States</w:t>
      </w:r>
      <w:r w:rsidRPr="00E5667A">
        <w:rPr>
          <w:rFonts w:ascii="Book Antiqua" w:eastAsia="Book Antiqua" w:hAnsi="Book Antiqua" w:cs="Book Antiqua"/>
          <w:color w:val="000000"/>
        </w:rPr>
        <w:t xml:space="preserve"> Food and Drug Administration (FDA) website were searched. In addition, information on prescriptions of the NA drugs entecavir, lamivudine, adefovir, telbivudine, tenofovir, and </w:t>
      </w:r>
      <w:r w:rsidR="002B199A" w:rsidRPr="00E5667A">
        <w:rPr>
          <w:rFonts w:ascii="Book Antiqua" w:eastAsia="Book Antiqua" w:hAnsi="Book Antiqua" w:cs="Book Antiqua"/>
          <w:color w:val="000000"/>
        </w:rPr>
        <w:t>tenofovir</w:t>
      </w:r>
      <w:r w:rsidR="00220A20">
        <w:rPr>
          <w:rFonts w:ascii="Book Antiqua" w:eastAsia="Book Antiqua" w:hAnsi="Book Antiqua" w:cs="Book Antiqua"/>
          <w:color w:val="000000"/>
        </w:rPr>
        <w:t xml:space="preserve"> </w:t>
      </w:r>
      <w:r w:rsidR="002B199A" w:rsidRPr="00E5667A">
        <w:rPr>
          <w:rFonts w:ascii="Book Antiqua" w:eastAsia="Book Antiqua" w:hAnsi="Book Antiqua" w:cs="Book Antiqua"/>
          <w:color w:val="000000"/>
        </w:rPr>
        <w:t>alafenamide (</w:t>
      </w:r>
      <w:r w:rsidRPr="00E5667A">
        <w:rPr>
          <w:rFonts w:ascii="Book Antiqua" w:eastAsia="Book Antiqua" w:hAnsi="Book Antiqua" w:cs="Book Antiqua"/>
          <w:color w:val="000000"/>
        </w:rPr>
        <w:t>TAF</w:t>
      </w:r>
      <w:r w:rsidR="002B199A" w:rsidRPr="00E5667A">
        <w:rPr>
          <w:rFonts w:ascii="Book Antiqua" w:eastAsia="Book Antiqua" w:hAnsi="Book Antiqua" w:cs="Book Antiqua"/>
          <w:color w:val="000000"/>
        </w:rPr>
        <w:t>)</w:t>
      </w:r>
      <w:r w:rsidRPr="00E5667A">
        <w:rPr>
          <w:rFonts w:ascii="Book Antiqua" w:eastAsia="Book Antiqua" w:hAnsi="Book Antiqua" w:cs="Book Antiqua"/>
          <w:color w:val="000000"/>
        </w:rPr>
        <w:t xml:space="preserve"> was also retrieved. Furthermore, all available literature relating to LLV, partial vi</w:t>
      </w:r>
      <w:r w:rsidR="00220A20">
        <w:rPr>
          <w:rFonts w:ascii="Book Antiqua" w:eastAsia="Book Antiqua" w:hAnsi="Book Antiqua" w:cs="Book Antiqua"/>
          <w:color w:val="000000"/>
        </w:rPr>
        <w:t>rological response, virological</w:t>
      </w:r>
      <w:r w:rsidRPr="00E5667A">
        <w:rPr>
          <w:rFonts w:ascii="Book Antiqua" w:eastAsia="Book Antiqua" w:hAnsi="Book Antiqua" w:cs="Book Antiqua"/>
          <w:color w:val="000000"/>
        </w:rPr>
        <w:t xml:space="preserve"> breakthrough</w:t>
      </w:r>
      <w:r w:rsidR="004C6CA2">
        <w:rPr>
          <w:rFonts w:ascii="Book Antiqua" w:eastAsia="Book Antiqua" w:hAnsi="Book Antiqua" w:cs="Book Antiqua"/>
          <w:color w:val="000000"/>
        </w:rPr>
        <w:t>,</w:t>
      </w:r>
      <w:r w:rsidRPr="00E5667A">
        <w:rPr>
          <w:rFonts w:ascii="Book Antiqua" w:eastAsia="Book Antiqua" w:hAnsi="Book Antiqua" w:cs="Book Antiqua"/>
          <w:color w:val="000000"/>
        </w:rPr>
        <w:t xml:space="preserve"> and NA resistance were collated together to find the optimum therapy strategy for LLV.</w:t>
      </w:r>
    </w:p>
    <w:p w14:paraId="69419277" w14:textId="77777777"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The aim was to find the correlation between entecavir doses and efficacy. Here, search terms applied to enable identification of doses and antiviral efficacy were chronic hepatitis B, entecavir, tenofovir, adefovir, telbivudine, lamivudine, and tenofovir alafenamide. The articles retrieved by this strategy included the studies on pharmacokinetics, pharmacodynamics, pre-marketing randomized, placebo-controlled trials, as well as case reports and real-world clinical observation, randomized, contrast studies, and the therapy guidelines for CHB. In addition, to compare the antiviral efficacy of entecavir with newly developed drugs, the literature on the novel CHB therapeutic agents was retrieved.</w:t>
      </w:r>
    </w:p>
    <w:p w14:paraId="139CBEC4" w14:textId="77777777" w:rsidR="00A77B3E" w:rsidRPr="00E5667A" w:rsidRDefault="00A77B3E" w:rsidP="00E5667A">
      <w:pPr>
        <w:spacing w:line="360" w:lineRule="auto"/>
        <w:ind w:firstLine="420"/>
        <w:jc w:val="both"/>
        <w:rPr>
          <w:rFonts w:ascii="Book Antiqua" w:hAnsi="Book Antiqua"/>
        </w:rPr>
      </w:pPr>
    </w:p>
    <w:p w14:paraId="7F4F2F61"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THERAPY FOR PERSISTENT LLV</w:t>
      </w:r>
    </w:p>
    <w:p w14:paraId="1BD995B3"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i/>
          <w:iCs/>
          <w:color w:val="000000"/>
        </w:rPr>
        <w:t xml:space="preserve">Persistent LLV and partial virological response in </w:t>
      </w:r>
      <w:r w:rsidR="00974E1D" w:rsidRPr="00E5667A">
        <w:rPr>
          <w:rFonts w:ascii="Book Antiqua" w:hAnsi="Book Antiqua" w:cs="Book Antiqua"/>
          <w:b/>
          <w:bCs/>
          <w:i/>
          <w:iCs/>
          <w:color w:val="000000"/>
          <w:lang w:eastAsia="zh-CN"/>
        </w:rPr>
        <w:t>NA</w:t>
      </w:r>
      <w:r w:rsidRPr="00E5667A">
        <w:rPr>
          <w:rFonts w:ascii="Book Antiqua" w:eastAsia="Book Antiqua" w:hAnsi="Book Antiqua" w:cs="Book Antiqua"/>
          <w:b/>
          <w:bCs/>
          <w:i/>
          <w:iCs/>
          <w:color w:val="000000"/>
        </w:rPr>
        <w:t xml:space="preserve"> therapy</w:t>
      </w:r>
    </w:p>
    <w:p w14:paraId="0550B871" w14:textId="59FE929F"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Persistent LLV and partial virological response are common </w:t>
      </w:r>
      <w:r w:rsidR="001873CE" w:rsidRPr="00E5667A">
        <w:rPr>
          <w:rFonts w:ascii="Book Antiqua" w:eastAsia="Book Antiqua" w:hAnsi="Book Antiqua" w:cs="Book Antiqua"/>
          <w:color w:val="000000"/>
        </w:rPr>
        <w:t>phenomen</w:t>
      </w:r>
      <w:r w:rsidR="001873CE">
        <w:rPr>
          <w:rFonts w:ascii="Book Antiqua" w:eastAsia="Book Antiqua" w:hAnsi="Book Antiqua" w:cs="Book Antiqua"/>
          <w:color w:val="000000"/>
        </w:rPr>
        <w:t>a</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and may be found in all types of NA therapy. In studies prior to 2016, LLV was referred to as a partial virological response, when primarily detectable HBV DNA</w:t>
      </w:r>
      <w:r w:rsidR="001873CE">
        <w:rPr>
          <w:rFonts w:ascii="Book Antiqua" w:eastAsia="Book Antiqua" w:hAnsi="Book Antiqua" w:cs="Book Antiqua"/>
          <w:color w:val="000000"/>
        </w:rPr>
        <w:t xml:space="preserve"> was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&lt;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 following 48 wk of treatment. However, LLV in entecavir and tenofovir therapy was defined when detectable HBV DNA was &lt;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 during therapy</w:t>
      </w:r>
      <w:r w:rsidRPr="00E5667A">
        <w:rPr>
          <w:rFonts w:ascii="Book Antiqua" w:eastAsia="Book Antiqua" w:hAnsi="Book Antiqua" w:cs="Book Antiqua"/>
          <w:color w:val="000000"/>
          <w:vertAlign w:val="superscript"/>
        </w:rPr>
        <w:t>[2,8]</w:t>
      </w:r>
      <w:r w:rsidRPr="00E5667A">
        <w:rPr>
          <w:rFonts w:ascii="Book Antiqua" w:eastAsia="Book Antiqua" w:hAnsi="Book Antiqua" w:cs="Book Antiqua"/>
          <w:color w:val="000000"/>
        </w:rPr>
        <w:t xml:space="preserve">. </w:t>
      </w:r>
      <w:r w:rsidR="001873CE">
        <w:rPr>
          <w:rFonts w:ascii="Book Antiqua" w:eastAsia="Book Antiqua" w:hAnsi="Book Antiqua" w:cs="Book Antiqua"/>
          <w:color w:val="000000"/>
        </w:rPr>
        <w:t xml:space="preserve">The </w:t>
      </w:r>
      <w:r w:rsidRPr="00E5667A">
        <w:rPr>
          <w:rFonts w:ascii="Book Antiqua" w:eastAsia="Book Antiqua" w:hAnsi="Book Antiqua" w:cs="Book Antiqua"/>
          <w:color w:val="000000"/>
        </w:rPr>
        <w:t>AASLD guidelines define</w:t>
      </w:r>
      <w:r w:rsidR="001873CE">
        <w:rPr>
          <w:rFonts w:ascii="Book Antiqua" w:eastAsia="Book Antiqua" w:hAnsi="Book Antiqua" w:cs="Book Antiqua"/>
          <w:color w:val="000000"/>
        </w:rPr>
        <w:t>d</w:t>
      </w:r>
      <w:r w:rsidRPr="00E5667A">
        <w:rPr>
          <w:rFonts w:ascii="Book Antiqua" w:eastAsia="Book Antiqua" w:hAnsi="Book Antiqua" w:cs="Book Antiqua"/>
          <w:color w:val="000000"/>
        </w:rPr>
        <w:t xml:space="preserve"> LLV in entecavir and tenofovie therapy as &lt;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 detectable HBV DNA, with or without vi</w:t>
      </w:r>
      <w:r w:rsidR="001873CE">
        <w:rPr>
          <w:rFonts w:ascii="Book Antiqua" w:eastAsia="Book Antiqua" w:hAnsi="Book Antiqua" w:cs="Book Antiqua"/>
          <w:color w:val="000000"/>
        </w:rPr>
        <w:t>r</w:t>
      </w:r>
      <w:r w:rsidRPr="00E5667A">
        <w:rPr>
          <w:rFonts w:ascii="Book Antiqua" w:eastAsia="Book Antiqua" w:hAnsi="Book Antiqua" w:cs="Book Antiqua"/>
          <w:color w:val="000000"/>
        </w:rPr>
        <w:t>al rebound during therapy</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These definitions were examined in the paper by Zoutendijk</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w:t>
      </w:r>
      <w:r w:rsidR="00D57615">
        <w:rPr>
          <w:rFonts w:ascii="Book Antiqua" w:hAnsi="Book Antiqua" w:cs="Book Antiqua"/>
          <w:color w:val="000000"/>
          <w:vertAlign w:val="superscript"/>
          <w:lang w:eastAsia="zh-CN"/>
        </w:rPr>
        <w:t>16</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who</w:t>
      </w:r>
      <w:r w:rsidR="001873CE">
        <w:rPr>
          <w:rFonts w:ascii="Book Antiqua" w:eastAsia="Book Antiqua" w:hAnsi="Book Antiqua" w:cs="Book Antiqua"/>
          <w:color w:val="000000"/>
        </w:rPr>
        <w:t>,</w:t>
      </w:r>
      <w:r w:rsidRPr="00E5667A">
        <w:rPr>
          <w:rFonts w:ascii="Book Antiqua" w:eastAsia="Book Antiqua" w:hAnsi="Book Antiqua" w:cs="Book Antiqua"/>
          <w:color w:val="000000"/>
        </w:rPr>
        <w:t xml:space="preserve"> in a cohort of 333 HBV patients (293 naïve and 90 experienced) treated with entecavir at standard doses</w:t>
      </w:r>
      <w:r w:rsidR="001873CE">
        <w:rPr>
          <w:rFonts w:ascii="Book Antiqua" w:eastAsia="Book Antiqua" w:hAnsi="Book Antiqua" w:cs="Book Antiqua"/>
          <w:color w:val="000000"/>
        </w:rPr>
        <w:t>,</w:t>
      </w:r>
      <w:r w:rsidRPr="00E5667A">
        <w:rPr>
          <w:rFonts w:ascii="Book Antiqua" w:eastAsia="Book Antiqua" w:hAnsi="Book Antiqua" w:cs="Book Antiqua"/>
          <w:color w:val="000000"/>
        </w:rPr>
        <w:t xml:space="preserve"> showed that by weeks 48, 96, and 144 of entecavir treatment (standard doses without changes in therapy), NA-naïve patients reached 48%, 76%, 90% and 89%, 98%, 99% of </w:t>
      </w:r>
      <w:r w:rsidR="00413C2D" w:rsidRPr="00E5667A">
        <w:rPr>
          <w:rFonts w:ascii="Book Antiqua" w:eastAsia="Book Antiqua" w:hAnsi="Book Antiqua" w:cs="Book Antiqua"/>
          <w:color w:val="000000"/>
        </w:rPr>
        <w:t>hepatitis</w:t>
      </w:r>
      <w:r w:rsidR="00220A20">
        <w:rPr>
          <w:rFonts w:ascii="Book Antiqua" w:eastAsia="Book Antiqua" w:hAnsi="Book Antiqua" w:cs="Book Antiqua"/>
          <w:color w:val="000000"/>
        </w:rPr>
        <w:t xml:space="preserve"> </w:t>
      </w:r>
      <w:r w:rsidR="00413C2D" w:rsidRPr="00E5667A">
        <w:rPr>
          <w:rFonts w:ascii="Book Antiqua" w:eastAsia="Book Antiqua" w:hAnsi="Book Antiqua" w:cs="Book Antiqua"/>
          <w:color w:val="000000"/>
        </w:rPr>
        <w:t>B</w:t>
      </w:r>
      <w:r w:rsidR="00220A20">
        <w:rPr>
          <w:rFonts w:ascii="Book Antiqua" w:eastAsia="Book Antiqua" w:hAnsi="Book Antiqua" w:cs="Book Antiqua"/>
          <w:color w:val="000000"/>
        </w:rPr>
        <w:t xml:space="preserve"> </w:t>
      </w:r>
      <w:r w:rsidR="00413C2D" w:rsidRPr="00E5667A">
        <w:rPr>
          <w:rFonts w:ascii="Book Antiqua" w:eastAsia="Book Antiqua" w:hAnsi="Book Antiqua" w:cs="Book Antiqua"/>
          <w:color w:val="000000"/>
        </w:rPr>
        <w:t>e</w:t>
      </w:r>
      <w:r w:rsidR="00220A20">
        <w:rPr>
          <w:rFonts w:ascii="Book Antiqua" w:eastAsia="Book Antiqua" w:hAnsi="Book Antiqua" w:cs="Book Antiqua"/>
          <w:color w:val="000000"/>
        </w:rPr>
        <w:t xml:space="preserve"> </w:t>
      </w:r>
      <w:r w:rsidR="00413C2D" w:rsidRPr="00E5667A">
        <w:rPr>
          <w:rFonts w:ascii="Book Antiqua" w:eastAsia="Book Antiqua" w:hAnsi="Book Antiqua" w:cs="Book Antiqua"/>
          <w:color w:val="000000"/>
        </w:rPr>
        <w:t>antigen (</w:t>
      </w:r>
      <w:r w:rsidRPr="00E5667A">
        <w:rPr>
          <w:rFonts w:ascii="Book Antiqua" w:eastAsia="Book Antiqua" w:hAnsi="Book Antiqua" w:cs="Book Antiqua"/>
          <w:color w:val="000000"/>
        </w:rPr>
        <w:t>HBeAg</w:t>
      </w:r>
      <w:r w:rsidR="00413C2D" w:rsidRPr="00E5667A">
        <w:rPr>
          <w:rFonts w:ascii="Book Antiqua" w:eastAsia="Book Antiqua" w:hAnsi="Book Antiqua" w:cs="Book Antiqua"/>
          <w:color w:val="000000"/>
        </w:rPr>
        <w:t>)</w:t>
      </w:r>
      <w:r w:rsidRPr="00E5667A">
        <w:rPr>
          <w:rFonts w:ascii="Book Antiqua" w:eastAsia="Book Antiqua" w:hAnsi="Book Antiqua" w:cs="Book Antiqua"/>
          <w:color w:val="000000"/>
        </w:rPr>
        <w:t>-positive and HBeAg-negative virological response, respectively.</w:t>
      </w:r>
    </w:p>
    <w:p w14:paraId="04C07450" w14:textId="5C49BF07"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 xml:space="preserve">LLV patients </w:t>
      </w:r>
      <w:r w:rsidR="001873CE">
        <w:rPr>
          <w:rFonts w:ascii="Book Antiqua" w:eastAsia="Book Antiqua" w:hAnsi="Book Antiqua" w:cs="Book Antiqua"/>
          <w:color w:val="000000"/>
        </w:rPr>
        <w:t>have</w:t>
      </w:r>
      <w:r w:rsidRPr="00E5667A">
        <w:rPr>
          <w:rFonts w:ascii="Book Antiqua" w:eastAsia="Book Antiqua" w:hAnsi="Book Antiqua" w:cs="Book Antiqua"/>
          <w:color w:val="000000"/>
        </w:rPr>
        <w:t xml:space="preserve"> two types, those with partial virological response and those with viral breakthrough. The incentives of LLV are caused by </w:t>
      </w:r>
      <w:r w:rsidR="001873CE">
        <w:rPr>
          <w:rFonts w:ascii="Book Antiqua" w:eastAsia="Book Antiqua" w:hAnsi="Book Antiqua" w:cs="Book Antiqua"/>
          <w:color w:val="000000"/>
        </w:rPr>
        <w:t>the</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following: (1) </w:t>
      </w:r>
      <w:r w:rsidR="001873CE">
        <w:rPr>
          <w:rFonts w:ascii="Book Antiqua" w:eastAsia="Book Antiqua" w:hAnsi="Book Antiqua" w:cs="Book Antiqua"/>
          <w:color w:val="000000"/>
        </w:rPr>
        <w:t>P</w:t>
      </w:r>
      <w:r w:rsidR="001873CE" w:rsidRPr="00E5667A">
        <w:rPr>
          <w:rFonts w:ascii="Book Antiqua" w:eastAsia="Book Antiqua" w:hAnsi="Book Antiqua" w:cs="Book Antiqua"/>
          <w:color w:val="000000"/>
        </w:rPr>
        <w:t xml:space="preserve">atients </w:t>
      </w:r>
      <w:r w:rsidRPr="00E5667A">
        <w:rPr>
          <w:rFonts w:ascii="Book Antiqua" w:eastAsia="Book Antiqua" w:hAnsi="Book Antiqua" w:cs="Book Antiqua"/>
          <w:color w:val="000000"/>
        </w:rPr>
        <w:t xml:space="preserve">with high basal viremia may show a slow decline of plasma HBV-DNA under anti-viral treatment; (2) patients exposed previously to lamivudine ± adefovir may harbor resistance mutations and are more prone to develop resistance to entecavir or tenofovir; and (3) suboptimal adherence to treatment. </w:t>
      </w:r>
      <w:bookmarkStart w:id="9" w:name="OLE_LINK10"/>
      <w:r w:rsidRPr="00E5667A">
        <w:rPr>
          <w:rFonts w:ascii="Book Antiqua" w:eastAsia="Book Antiqua" w:hAnsi="Book Antiqua" w:cs="Book Antiqua"/>
          <w:color w:val="000000"/>
        </w:rPr>
        <w:t xml:space="preserve">Resistance testing </w:t>
      </w:r>
      <w:r w:rsidR="004F5F77">
        <w:rPr>
          <w:rFonts w:ascii="Book Antiqua" w:hAnsi="Book Antiqua" w:cs="Book Antiqua" w:hint="eastAsia"/>
          <w:color w:val="000000"/>
          <w:lang w:eastAsia="zh-CN"/>
        </w:rPr>
        <w:t xml:space="preserve">in </w:t>
      </w:r>
      <w:r w:rsidRPr="00E5667A">
        <w:rPr>
          <w:rFonts w:ascii="Book Antiqua" w:eastAsia="Book Antiqua" w:hAnsi="Book Antiqua" w:cs="Book Antiqua"/>
          <w:color w:val="000000"/>
        </w:rPr>
        <w:t>LLV patients might not be technically possible because of low viral levels</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xml:space="preserve">. Therefore, the LLV </w:t>
      </w:r>
      <w:r w:rsidR="00315DD2">
        <w:rPr>
          <w:rFonts w:ascii="Book Antiqua" w:eastAsia="Book Antiqua" w:hAnsi="Book Antiqua" w:cs="Book Antiqua"/>
          <w:color w:val="000000"/>
        </w:rPr>
        <w:t xml:space="preserve">patients </w:t>
      </w:r>
      <w:r w:rsidRPr="00E5667A">
        <w:rPr>
          <w:rFonts w:ascii="Book Antiqua" w:eastAsia="Book Antiqua" w:hAnsi="Book Antiqua" w:cs="Book Antiqua"/>
          <w:color w:val="000000"/>
        </w:rPr>
        <w:t>evaluated included patients treated wit</w:t>
      </w:r>
      <w:r w:rsidR="00315DD2">
        <w:rPr>
          <w:rFonts w:ascii="Book Antiqua" w:eastAsia="Book Antiqua" w:hAnsi="Book Antiqua" w:cs="Book Antiqua"/>
          <w:color w:val="000000"/>
        </w:rPr>
        <w:t>h NAs that were resistant to NA</w:t>
      </w:r>
      <w:r w:rsidRPr="00E5667A">
        <w:rPr>
          <w:rFonts w:ascii="Book Antiqua" w:eastAsia="Book Antiqua" w:hAnsi="Book Antiqua" w:cs="Book Antiqua"/>
          <w:color w:val="000000"/>
        </w:rPr>
        <w:t xml:space="preserve"> therapy, and a few patients with detectable resistance mutations.</w:t>
      </w:r>
      <w:bookmarkEnd w:id="9"/>
    </w:p>
    <w:p w14:paraId="663AC972" w14:textId="77777777" w:rsidR="00A77B3E" w:rsidRPr="00E5667A" w:rsidRDefault="00A77B3E" w:rsidP="0043209D">
      <w:pPr>
        <w:spacing w:line="360" w:lineRule="auto"/>
        <w:jc w:val="both"/>
        <w:rPr>
          <w:rFonts w:ascii="Book Antiqua" w:hAnsi="Book Antiqua"/>
        </w:rPr>
      </w:pPr>
    </w:p>
    <w:p w14:paraId="784F16F1" w14:textId="12799F34" w:rsidR="00A77B3E" w:rsidRPr="00E5667A" w:rsidRDefault="001873CE" w:rsidP="00E5667A">
      <w:pPr>
        <w:spacing w:line="360" w:lineRule="auto"/>
        <w:jc w:val="both"/>
        <w:rPr>
          <w:rFonts w:ascii="Book Antiqua" w:hAnsi="Book Antiqua"/>
        </w:rPr>
      </w:pPr>
      <w:r>
        <w:rPr>
          <w:rFonts w:ascii="Book Antiqua" w:eastAsia="Book Antiqua" w:hAnsi="Book Antiqua" w:cs="Book Antiqua"/>
          <w:b/>
          <w:bCs/>
          <w:i/>
          <w:iCs/>
          <w:color w:val="000000"/>
        </w:rPr>
        <w:t>I</w:t>
      </w:r>
      <w:r w:rsidR="001612DD" w:rsidRPr="00E5667A">
        <w:rPr>
          <w:rFonts w:ascii="Book Antiqua" w:eastAsia="Book Antiqua" w:hAnsi="Book Antiqua" w:cs="Book Antiqua"/>
          <w:b/>
          <w:bCs/>
          <w:i/>
          <w:iCs/>
          <w:color w:val="000000"/>
        </w:rPr>
        <w:t>ncidence of LLV</w:t>
      </w:r>
    </w:p>
    <w:p w14:paraId="0D301769" w14:textId="67814005"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The incidence of LLV with entecavir and tenofovir treatment is similar. </w:t>
      </w:r>
      <w:r w:rsidR="002E308E">
        <w:rPr>
          <w:rFonts w:ascii="Book Antiqua" w:eastAsia="Book Antiqua" w:hAnsi="Book Antiqua" w:cs="Book Antiqua"/>
          <w:color w:val="000000"/>
        </w:rPr>
        <w:t>Previous studies</w:t>
      </w:r>
      <w:r w:rsidRPr="00E5667A">
        <w:rPr>
          <w:rFonts w:ascii="Book Antiqua" w:eastAsia="Book Antiqua" w:hAnsi="Book Antiqua" w:cs="Book Antiqua"/>
          <w:color w:val="000000"/>
        </w:rPr>
        <w:t xml:space="preserve"> showed that </w:t>
      </w:r>
      <w:r w:rsidR="002E308E">
        <w:rPr>
          <w:rFonts w:ascii="Book Antiqua" w:eastAsia="Book Antiqua" w:hAnsi="Book Antiqua" w:cs="Book Antiqua"/>
          <w:color w:val="000000"/>
        </w:rPr>
        <w:t xml:space="preserve">the </w:t>
      </w:r>
      <w:r w:rsidRPr="00E5667A">
        <w:rPr>
          <w:rFonts w:ascii="Book Antiqua" w:eastAsia="Book Antiqua" w:hAnsi="Book Antiqua" w:cs="Book Antiqua"/>
          <w:color w:val="000000"/>
        </w:rPr>
        <w:t>incidences of partial virological response during entecavir monotherapy were 45% at week 48 in the Liu</w:t>
      </w:r>
      <w:r w:rsidR="00220A20">
        <w:rPr>
          <w:rFonts w:ascii="Book Antiqua" w:eastAsia="Book Antiqua" w:hAnsi="Book Antiqua" w:cs="Book Antiqua"/>
          <w:color w:val="000000"/>
        </w:rPr>
        <w:t xml:space="preserve"> </w:t>
      </w:r>
      <w:r w:rsidR="00346B52" w:rsidRPr="00220A20">
        <w:rPr>
          <w:rFonts w:ascii="Book Antiqua" w:eastAsia="Book Antiqua" w:hAnsi="Book Antiqua" w:cs="Book Antiqua"/>
          <w:i/>
          <w:color w:val="000000"/>
        </w:rPr>
        <w:t>et al</w:t>
      </w:r>
      <w:r w:rsidRPr="00E5667A">
        <w:rPr>
          <w:rFonts w:ascii="Book Antiqua" w:eastAsia="Book Antiqua" w:hAnsi="Book Antiqua" w:cs="Book Antiqua"/>
          <w:color w:val="000000"/>
        </w:rPr>
        <w:t>’s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study</w:t>
      </w:r>
      <w:r w:rsidRPr="00E5667A">
        <w:rPr>
          <w:rFonts w:ascii="Book Antiqua" w:eastAsia="Book Antiqua" w:hAnsi="Book Antiqua" w:cs="Book Antiqua"/>
          <w:color w:val="000000"/>
          <w:vertAlign w:val="superscript"/>
        </w:rPr>
        <w:t>[8]</w:t>
      </w:r>
      <w:r w:rsidRPr="00E5667A">
        <w:rPr>
          <w:rFonts w:ascii="Book Antiqua" w:eastAsia="Book Antiqua" w:hAnsi="Book Antiqua" w:cs="Book Antiqua"/>
          <w:color w:val="000000"/>
        </w:rPr>
        <w:t>, 17% at year 2 in Chang</w:t>
      </w:r>
      <w:r w:rsidR="00220A20">
        <w:rPr>
          <w:rFonts w:ascii="Book Antiqua" w:eastAsia="Book Antiqua" w:hAnsi="Book Antiqua" w:cs="Book Antiqua"/>
          <w:color w:val="000000"/>
        </w:rPr>
        <w:t xml:space="preserve"> </w:t>
      </w:r>
      <w:r w:rsidR="002E308E"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’s paper</w:t>
      </w:r>
      <w:r w:rsidRPr="00E5667A">
        <w:rPr>
          <w:rFonts w:ascii="Book Antiqua" w:eastAsia="Book Antiqua" w:hAnsi="Book Antiqua" w:cs="Book Antiqua"/>
          <w:color w:val="000000"/>
          <w:vertAlign w:val="superscript"/>
        </w:rPr>
        <w:t>[1</w:t>
      </w:r>
      <w:r w:rsidR="00D57615">
        <w:rPr>
          <w:rFonts w:ascii="Book Antiqua" w:eastAsia="Book Antiqua" w:hAnsi="Book Antiqua" w:cs="Book Antiqua"/>
          <w:color w:val="000000"/>
          <w:vertAlign w:val="superscript"/>
        </w:rPr>
        <w:t>7</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and 23.6%, 11.3%, and 22% at 96 wk in studies by Lok AS</w:t>
      </w:r>
      <w:r w:rsidR="00220A20">
        <w:rPr>
          <w:rFonts w:ascii="Book Antiqua" w:eastAsia="Book Antiqua" w:hAnsi="Book Antiqua" w:cs="Book Antiqua"/>
          <w:color w:val="000000"/>
        </w:rPr>
        <w:t xml:space="preserve"> </w:t>
      </w:r>
      <w:r w:rsidR="002E308E"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xml:space="preserve">, </w:t>
      </w:r>
      <w:hyperlink r:id="rId9" w:history="1">
        <w:r w:rsidRPr="00E5667A">
          <w:rPr>
            <w:rFonts w:ascii="Book Antiqua" w:eastAsia="Book Antiqua" w:hAnsi="Book Antiqua" w:cs="Book Antiqua"/>
            <w:color w:val="000000"/>
          </w:rPr>
          <w:t>Zoutendijk R</w:t>
        </w:r>
      </w:hyperlink>
      <w:r w:rsidR="00220A20">
        <w:rPr>
          <w:rFonts w:ascii="Book Antiqua" w:eastAsia="Book Antiqua" w:hAnsi="Book Antiqua" w:cs="Book Antiqua"/>
          <w:color w:val="000000"/>
        </w:rPr>
        <w:t xml:space="preserve"> </w:t>
      </w:r>
      <w:r w:rsidR="002E308E"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and Choi HN</w:t>
      </w:r>
      <w:r w:rsidR="00220A20">
        <w:rPr>
          <w:rFonts w:ascii="Book Antiqua" w:eastAsia="Book Antiqua" w:hAnsi="Book Antiqua" w:cs="Book Antiqua"/>
          <w:color w:val="000000"/>
        </w:rPr>
        <w:t xml:space="preserve"> </w:t>
      </w:r>
      <w:r w:rsidR="002E308E"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respectively</w:t>
      </w:r>
      <w:r w:rsidRPr="00E5667A">
        <w:rPr>
          <w:rFonts w:ascii="Book Antiqua" w:eastAsia="Book Antiqua" w:hAnsi="Book Antiqua" w:cs="Book Antiqua"/>
          <w:color w:val="000000"/>
          <w:vertAlign w:val="superscript"/>
        </w:rPr>
        <w:t>[16,1</w:t>
      </w:r>
      <w:r w:rsidR="00D57615">
        <w:rPr>
          <w:rFonts w:ascii="Book Antiqua" w:eastAsia="Book Antiqua" w:hAnsi="Book Antiqua" w:cs="Book Antiqua"/>
          <w:color w:val="000000"/>
          <w:vertAlign w:val="superscript"/>
        </w:rPr>
        <w:t>8</w:t>
      </w:r>
      <w:r w:rsidRPr="00E5667A">
        <w:rPr>
          <w:rFonts w:ascii="Book Antiqua" w:eastAsia="Book Antiqua" w:hAnsi="Book Antiqua" w:cs="Book Antiqua"/>
          <w:color w:val="000000"/>
          <w:vertAlign w:val="superscript"/>
        </w:rPr>
        <w:t>,</w:t>
      </w:r>
      <w:r w:rsidR="00D57615">
        <w:rPr>
          <w:rFonts w:ascii="Book Antiqua" w:eastAsia="Book Antiqua" w:hAnsi="Book Antiqua" w:cs="Book Antiqua"/>
          <w:color w:val="000000"/>
          <w:vertAlign w:val="superscript"/>
        </w:rPr>
        <w:t>19</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Kim </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xml:space="preserve"> presented an article in Seoul, Korea, in which the total proportion of LLV was 43% (377/875)</w:t>
      </w:r>
      <w:r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Kim’s data is similar to Liu’s results in Shanghai, China</w:t>
      </w:r>
      <w:r w:rsidRPr="00E5667A">
        <w:rPr>
          <w:rFonts w:ascii="Book Antiqua" w:eastAsia="Book Antiqua" w:hAnsi="Book Antiqua" w:cs="Book Antiqua"/>
          <w:color w:val="000000"/>
          <w:vertAlign w:val="superscript"/>
        </w:rPr>
        <w:t>[8]</w:t>
      </w:r>
      <w:r w:rsidRPr="00E5667A">
        <w:rPr>
          <w:rFonts w:ascii="Book Antiqua" w:eastAsia="Book Antiqua" w:hAnsi="Book Antiqua" w:cs="Book Antiqua"/>
          <w:color w:val="000000"/>
        </w:rPr>
        <w:t>, but different from other studies</w:t>
      </w:r>
      <w:r w:rsidRPr="00E5667A">
        <w:rPr>
          <w:rFonts w:ascii="Book Antiqua" w:eastAsia="Book Antiqua" w:hAnsi="Book Antiqua" w:cs="Book Antiqua"/>
          <w:color w:val="000000"/>
          <w:vertAlign w:val="superscript"/>
        </w:rPr>
        <w:t>[16-20]</w:t>
      </w:r>
      <w:r w:rsidRPr="00E5667A">
        <w:rPr>
          <w:rFonts w:ascii="Book Antiqua" w:eastAsia="Book Antiqua" w:hAnsi="Book Antiqua" w:cs="Book Antiqua"/>
          <w:color w:val="000000"/>
        </w:rPr>
        <w:t>. In addition, the incidence of partial virological response to tenofovir monotherapy ranged from 18.1% to 45.3%</w:t>
      </w:r>
      <w:r w:rsidRPr="00E5667A">
        <w:rPr>
          <w:rFonts w:ascii="Book Antiqua" w:eastAsia="Book Antiqua" w:hAnsi="Book Antiqua" w:cs="Book Antiqua"/>
          <w:color w:val="000000"/>
          <w:vertAlign w:val="superscript"/>
        </w:rPr>
        <w:t>[21-24]</w:t>
      </w:r>
      <w:r w:rsidRPr="00E5667A">
        <w:rPr>
          <w:rFonts w:ascii="Book Antiqua" w:eastAsia="Book Antiqua" w:hAnsi="Book Antiqua" w:cs="Book Antiqua"/>
          <w:color w:val="000000"/>
        </w:rPr>
        <w:t>, similar to that of entecavir.</w:t>
      </w:r>
    </w:p>
    <w:p w14:paraId="08FED45D" w14:textId="77777777" w:rsidR="00A77B3E" w:rsidRPr="00E5667A" w:rsidRDefault="00A77B3E" w:rsidP="00E5667A">
      <w:pPr>
        <w:spacing w:line="360" w:lineRule="auto"/>
        <w:jc w:val="both"/>
        <w:rPr>
          <w:rFonts w:ascii="Book Antiqua" w:hAnsi="Book Antiqua"/>
        </w:rPr>
      </w:pPr>
    </w:p>
    <w:p w14:paraId="3325B69F"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i/>
          <w:iCs/>
          <w:color w:val="000000"/>
        </w:rPr>
        <w:t>Current therapeutic options for LLV</w:t>
      </w:r>
    </w:p>
    <w:p w14:paraId="48DBCC80" w14:textId="0100A54E"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For patients with</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partial virological response</w:t>
      </w:r>
      <w:r w:rsidR="000D5F1F">
        <w:rPr>
          <w:rFonts w:ascii="Book Antiqua" w:eastAsia="Book Antiqua" w:hAnsi="Book Antiqua" w:cs="Book Antiqua"/>
          <w:color w:val="000000"/>
        </w:rPr>
        <w:t xml:space="preserve"> to </w:t>
      </w:r>
      <w:r w:rsidR="000D5F1F" w:rsidRPr="00E5667A">
        <w:rPr>
          <w:rFonts w:ascii="Book Antiqua" w:eastAsia="Book Antiqua" w:hAnsi="Book Antiqua" w:cs="Book Antiqua"/>
          <w:color w:val="000000"/>
        </w:rPr>
        <w:t>NA</w:t>
      </w:r>
      <w:r w:rsidR="000D5F1F">
        <w:rPr>
          <w:rFonts w:ascii="Book Antiqua" w:eastAsia="Book Antiqua" w:hAnsi="Book Antiqua" w:cs="Book Antiqua"/>
          <w:color w:val="000000"/>
        </w:rPr>
        <w:t>s</w:t>
      </w:r>
      <w:r w:rsidRPr="00E5667A">
        <w:rPr>
          <w:rFonts w:ascii="Book Antiqua" w:eastAsia="Book Antiqua" w:hAnsi="Book Antiqua" w:cs="Book Antiqua"/>
          <w:color w:val="000000"/>
        </w:rPr>
        <w:t xml:space="preserve">, or LLV, three therapeutic options are available: (1) </w:t>
      </w:r>
      <w:r w:rsidR="00FF4944">
        <w:rPr>
          <w:rFonts w:ascii="Book Antiqua" w:eastAsia="Book Antiqua" w:hAnsi="Book Antiqua" w:cs="Book Antiqua"/>
          <w:color w:val="000000"/>
        </w:rPr>
        <w:t>T</w:t>
      </w:r>
      <w:r w:rsidR="00FF4944" w:rsidRPr="00E5667A">
        <w:rPr>
          <w:rFonts w:ascii="Book Antiqua" w:eastAsia="Book Antiqua" w:hAnsi="Book Antiqua" w:cs="Book Antiqua"/>
          <w:color w:val="000000"/>
        </w:rPr>
        <w:t xml:space="preserve">raditional </w:t>
      </w:r>
      <w:r w:rsidRPr="00E5667A">
        <w:rPr>
          <w:rFonts w:ascii="Book Antiqua" w:eastAsia="Book Antiqua" w:hAnsi="Book Antiqua" w:cs="Book Antiqua"/>
          <w:color w:val="000000"/>
        </w:rPr>
        <w:t>treatment, which is switching to another antiviral monotherapy with a high genetic barrier, or the addition of a second antiviral with a complementary resistance profile. The disadvantage of this traditional treatment is that it results in the failure of combined therapy with nucleoside plus nucleotide, which shorten</w:t>
      </w:r>
      <w:r w:rsidR="00FF4944">
        <w:rPr>
          <w:rFonts w:ascii="Book Antiqua" w:eastAsia="Book Antiqua" w:hAnsi="Book Antiqua" w:cs="Book Antiqua"/>
          <w:color w:val="000000"/>
        </w:rPr>
        <w:t>s</w:t>
      </w:r>
      <w:r w:rsidRPr="00E5667A">
        <w:rPr>
          <w:rFonts w:ascii="Book Antiqua" w:eastAsia="Book Antiqua" w:hAnsi="Book Antiqua" w:cs="Book Antiqua"/>
          <w:color w:val="000000"/>
        </w:rPr>
        <w:t xml:space="preserve"> the total course of the NA treatment; (2) </w:t>
      </w:r>
      <w:r w:rsidR="00FF4944">
        <w:rPr>
          <w:rFonts w:ascii="Book Antiqua" w:eastAsia="Book Antiqua" w:hAnsi="Book Antiqua" w:cs="Book Antiqua"/>
          <w:color w:val="000000"/>
        </w:rPr>
        <w:t>t</w:t>
      </w:r>
      <w:r w:rsidR="00FF4944" w:rsidRPr="00E5667A">
        <w:rPr>
          <w:rFonts w:ascii="Book Antiqua" w:eastAsia="Book Antiqua" w:hAnsi="Book Antiqua" w:cs="Book Antiqua"/>
          <w:color w:val="000000"/>
        </w:rPr>
        <w:t xml:space="preserve">he </w:t>
      </w:r>
      <w:r w:rsidRPr="00E5667A">
        <w:rPr>
          <w:rFonts w:ascii="Book Antiqua" w:eastAsia="Book Antiqua" w:hAnsi="Book Antiqua" w:cs="Book Antiqua"/>
          <w:color w:val="000000"/>
        </w:rPr>
        <w:t>AASLD guideline</w:t>
      </w:r>
      <w:r w:rsidR="00FF4944">
        <w:rPr>
          <w:rFonts w:ascii="Book Antiqua" w:eastAsia="Book Antiqua" w:hAnsi="Book Antiqua" w:cs="Book Antiqua"/>
          <w:color w:val="000000"/>
        </w:rPr>
        <w:t>s</w:t>
      </w:r>
      <w:r w:rsidRPr="00E5667A">
        <w:rPr>
          <w:rFonts w:ascii="Book Antiqua" w:eastAsia="Book Antiqua" w:hAnsi="Book Antiqua" w:cs="Book Antiqua"/>
          <w:color w:val="000000"/>
        </w:rPr>
        <w:t xml:space="preserve"> recommend continued monotherapy for LLV patients who received entecavir or tenofovir monotherapy</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xml:space="preserve">. Continuation of monotherapy prolongs the period of NA therapy. However, prolonged treatment </w:t>
      </w:r>
      <w:r w:rsidR="00FF4944">
        <w:rPr>
          <w:rFonts w:ascii="Book Antiqua" w:eastAsia="Book Antiqua" w:hAnsi="Book Antiqua" w:cs="Book Antiqua"/>
          <w:color w:val="000000"/>
        </w:rPr>
        <w:t>with</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entecavir or tenofovir increases the LLV incidence, resulting in HBV DNA &gt;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 and the emergence of detectable drug-resistant mutations, which ultimately leads to the progression of liver disease</w:t>
      </w:r>
      <w:r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xml:space="preserve">; and (3) the use of the </w:t>
      </w:r>
      <w:r w:rsidR="00AD5791">
        <w:t>IFN</w:t>
      </w:r>
      <w:r w:rsidRPr="00E5667A">
        <w:rPr>
          <w:rFonts w:ascii="Book Antiqua" w:eastAsia="Book Antiqua" w:hAnsi="Book Antiqua" w:cs="Book Antiqua"/>
          <w:color w:val="000000"/>
        </w:rPr>
        <w:t>-α therapy as used by Yin GQ and Zhong B to treat the failure of the combined nucleoside plus nucleotide therapy and subsequent virological breakthrough in LLV patients (HBV DNA &lt;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xml:space="preserve">. The </w:t>
      </w:r>
      <w:r w:rsidR="00AD5791">
        <w:t>IFN</w:t>
      </w:r>
      <w:r w:rsidRPr="00E5667A">
        <w:rPr>
          <w:rFonts w:ascii="Book Antiqua" w:eastAsia="Book Antiqua" w:hAnsi="Book Antiqua" w:cs="Book Antiqua"/>
          <w:color w:val="000000"/>
        </w:rPr>
        <w:t xml:space="preserve">-α therapy freed the patients from the predicament of multidrug resistance. However, </w:t>
      </w:r>
      <w:r w:rsidR="00AD5791">
        <w:t>IFN</w:t>
      </w:r>
      <w:r w:rsidRPr="00E5667A">
        <w:rPr>
          <w:rFonts w:ascii="Book Antiqua" w:eastAsia="Book Antiqua" w:hAnsi="Book Antiqua" w:cs="Book Antiqua"/>
          <w:color w:val="000000"/>
        </w:rPr>
        <w:t xml:space="preserve">-α therapy in LLV or NA-refractory patients is problematic as it causes significant adverse events. Moreover, most patients have to undergo </w:t>
      </w:r>
      <w:r w:rsidR="00AD5791">
        <w:t>IFN</w:t>
      </w:r>
      <w:r w:rsidRPr="00E5667A">
        <w:rPr>
          <w:rFonts w:ascii="Book Antiqua" w:eastAsia="Book Antiqua" w:hAnsi="Book Antiqua" w:cs="Book Antiqua"/>
          <w:color w:val="000000"/>
        </w:rPr>
        <w:t xml:space="preserve">-α re-treatment twice or more to achieve immune control. Twelve years ago, we started using </w:t>
      </w:r>
      <w:r w:rsidR="00AD5791">
        <w:t>IFN</w:t>
      </w:r>
      <w:r w:rsidRPr="00E5667A">
        <w:rPr>
          <w:rFonts w:ascii="Book Antiqua" w:eastAsia="Book Antiqua" w:hAnsi="Book Antiqua" w:cs="Book Antiqua"/>
          <w:color w:val="000000"/>
        </w:rPr>
        <w:t>-α on patient</w:t>
      </w:r>
      <w:r w:rsidR="00FF4944">
        <w:rPr>
          <w:rFonts w:ascii="Book Antiqua" w:eastAsia="Book Antiqua" w:hAnsi="Book Antiqua" w:cs="Book Antiqua"/>
          <w:color w:val="000000"/>
        </w:rPr>
        <w:t>s</w:t>
      </w:r>
      <w:r w:rsidRPr="00E5667A">
        <w:rPr>
          <w:rFonts w:ascii="Book Antiqua" w:eastAsia="Book Antiqua" w:hAnsi="Book Antiqua" w:cs="Book Antiqua"/>
          <w:color w:val="000000"/>
        </w:rPr>
        <w:t xml:space="preserve"> with a focus of alleviating LLV in NA-refractory patients. However, </w:t>
      </w:r>
      <w:r w:rsidR="00412315" w:rsidRPr="00E5667A">
        <w:rPr>
          <w:rFonts w:ascii="Book Antiqua" w:hAnsi="Book Antiqua" w:cs="Book Antiqua"/>
          <w:color w:val="000000"/>
          <w:lang w:eastAsia="zh-CN"/>
        </w:rPr>
        <w:t>we</w:t>
      </w:r>
      <w:r w:rsidR="00315DD2">
        <w:rPr>
          <w:rFonts w:ascii="Book Antiqua" w:hAnsi="Book Antiqua" w:cs="Book Antiqua"/>
          <w:color w:val="000000"/>
          <w:lang w:eastAsia="zh-CN"/>
        </w:rPr>
        <w:t xml:space="preserve"> </w:t>
      </w:r>
      <w:r w:rsidRPr="00E5667A">
        <w:rPr>
          <w:rFonts w:ascii="Book Antiqua" w:eastAsia="Book Antiqua" w:hAnsi="Book Antiqua" w:cs="Book Antiqua"/>
          <w:color w:val="000000"/>
        </w:rPr>
        <w:t xml:space="preserve">found that some patients were not suitable candidates for </w:t>
      </w:r>
      <w:r w:rsidR="00AD5791">
        <w:t>IFN</w:t>
      </w:r>
      <w:r w:rsidRPr="00E5667A">
        <w:rPr>
          <w:rFonts w:ascii="Book Antiqua" w:eastAsia="Book Antiqua" w:hAnsi="Book Antiqua" w:cs="Book Antiqua"/>
          <w:color w:val="000000"/>
        </w:rPr>
        <w:t xml:space="preserve">-α therapy. Thus, </w:t>
      </w:r>
      <w:r w:rsidR="00FF4944">
        <w:rPr>
          <w:rFonts w:ascii="Book Antiqua" w:eastAsia="Book Antiqua" w:hAnsi="Book Antiqua" w:cs="Book Antiqua"/>
          <w:color w:val="000000"/>
        </w:rPr>
        <w:t xml:space="preserve">the </w:t>
      </w:r>
      <w:r w:rsidRPr="00E5667A">
        <w:rPr>
          <w:rFonts w:ascii="Book Antiqua" w:eastAsia="Book Antiqua" w:hAnsi="Book Antiqua" w:cs="Book Antiqua"/>
          <w:color w:val="000000"/>
        </w:rPr>
        <w:t>focus was shifted to treating LLV by increasing the entecavir dose.</w:t>
      </w:r>
    </w:p>
    <w:p w14:paraId="33412311" w14:textId="77777777" w:rsidR="00A77B3E" w:rsidRPr="00E5667A" w:rsidRDefault="00A77B3E" w:rsidP="00E5667A">
      <w:pPr>
        <w:spacing w:line="360" w:lineRule="auto"/>
        <w:jc w:val="both"/>
        <w:rPr>
          <w:rFonts w:ascii="Book Antiqua" w:hAnsi="Book Antiqua"/>
        </w:rPr>
      </w:pPr>
    </w:p>
    <w:p w14:paraId="64EB117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ATTEMPTS TO INCREASE THE DOSE OF ENTECAVIR IN CLINICAL THRERAPY</w:t>
      </w:r>
    </w:p>
    <w:p w14:paraId="290A480B" w14:textId="690D05CA"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Entecavir overdose has been used in antiviral therapy for CHB patients with NA refractor</w:t>
      </w:r>
      <w:r w:rsidR="009704B9">
        <w:rPr>
          <w:rFonts w:ascii="Book Antiqua" w:eastAsia="Book Antiqua" w:hAnsi="Book Antiqua" w:cs="Book Antiqua"/>
          <w:color w:val="000000"/>
        </w:rPr>
        <w:t>iness</w:t>
      </w:r>
      <w:r w:rsidRPr="00E5667A">
        <w:rPr>
          <w:rFonts w:ascii="Book Antiqua" w:eastAsia="Book Antiqua" w:hAnsi="Book Antiqua" w:cs="Book Antiqua"/>
          <w:color w:val="000000"/>
        </w:rPr>
        <w:t xml:space="preserve"> and persistent LLV. In real-world clinical practice, Reijnders</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[14]</w:t>
      </w:r>
      <w:r w:rsidRPr="00E5667A">
        <w:rPr>
          <w:rFonts w:ascii="Book Antiqua" w:eastAsia="Book Antiqua" w:hAnsi="Book Antiqua" w:cs="Book Antiqua"/>
          <w:color w:val="000000"/>
        </w:rPr>
        <w:t xml:space="preserve"> and we, in previous works, increased the entecavir dose in excess of the Baraclude prescribing information recommended dose to treat the LLV patients. Reijnders</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[14]</w:t>
      </w:r>
      <w:r w:rsidRPr="00E5667A">
        <w:rPr>
          <w:rFonts w:ascii="Book Antiqua" w:eastAsia="Book Antiqua" w:hAnsi="Book Antiqua" w:cs="Book Antiqua"/>
          <w:color w:val="000000"/>
        </w:rPr>
        <w:t xml:space="preserve"> increased the entecavir dose to 2.0 mg/d to treat patients with NA </w:t>
      </w:r>
      <w:r w:rsidR="009704B9" w:rsidRPr="00E5667A">
        <w:rPr>
          <w:rFonts w:ascii="Book Antiqua" w:eastAsia="Book Antiqua" w:hAnsi="Book Antiqua" w:cs="Book Antiqua"/>
          <w:color w:val="000000"/>
        </w:rPr>
        <w:t>refractor</w:t>
      </w:r>
      <w:r w:rsidR="009704B9">
        <w:rPr>
          <w:rFonts w:ascii="Book Antiqua" w:eastAsia="Book Antiqua" w:hAnsi="Book Antiqua" w:cs="Book Antiqua"/>
          <w:color w:val="000000"/>
        </w:rPr>
        <w:t>iness</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and LLV, which resulted in a decline of HBV DNA and was tolerated well</w:t>
      </w:r>
      <w:r w:rsidRPr="00E5667A">
        <w:rPr>
          <w:rFonts w:ascii="Book Antiqua" w:eastAsia="Book Antiqua" w:hAnsi="Book Antiqua" w:cs="Book Antiqua"/>
          <w:color w:val="000000"/>
          <w:vertAlign w:val="superscript"/>
        </w:rPr>
        <w:t>[14]</w:t>
      </w:r>
      <w:r w:rsidRPr="00E5667A">
        <w:rPr>
          <w:rFonts w:ascii="Book Antiqua" w:eastAsia="Book Antiqua" w:hAnsi="Book Antiqua" w:cs="Book Antiqua"/>
          <w:color w:val="000000"/>
        </w:rPr>
        <w:t>. In our clinical work, we used the entecavir</w:t>
      </w:r>
      <w:r w:rsidR="00315DD2">
        <w:rPr>
          <w:rFonts w:ascii="Book Antiqua" w:eastAsia="Book Antiqua" w:hAnsi="Book Antiqua" w:cs="Book Antiqua"/>
          <w:color w:val="000000"/>
        </w:rPr>
        <w:t xml:space="preserve"> </w:t>
      </w:r>
      <w:r w:rsidR="009704B9">
        <w:rPr>
          <w:rFonts w:ascii="Book Antiqua" w:eastAsia="Book Antiqua" w:hAnsi="Book Antiqua" w:cs="Book Antiqua"/>
          <w:color w:val="000000"/>
        </w:rPr>
        <w:t>at a</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dose higher than that recommended by Baraclude to treat HBV patients with NA complications such as multidrug-resistant mutations and renal impairment, resulting in a decrease of viral load and stable creatinine clearance</w:t>
      </w:r>
      <w:r w:rsidRPr="00E5667A">
        <w:rPr>
          <w:rFonts w:ascii="Book Antiqua" w:eastAsia="Book Antiqua" w:hAnsi="Book Antiqua" w:cs="Book Antiqua"/>
          <w:color w:val="000000"/>
          <w:vertAlign w:val="superscript"/>
        </w:rPr>
        <w:t>[15]</w:t>
      </w:r>
      <w:r w:rsidRPr="00E5667A">
        <w:rPr>
          <w:rFonts w:ascii="Book Antiqua" w:eastAsia="Book Antiqua" w:hAnsi="Book Antiqua" w:cs="Book Antiqua"/>
          <w:color w:val="000000"/>
        </w:rPr>
        <w:t>. The 2015 WHO CHB guidelines stated that ‘in unstable persons with deteriorating renal function, entecavir can be used at a recommended dosage of 1 mg daily and the patient should be monitored for lactic acidosis’</w:t>
      </w:r>
      <w:r w:rsidRPr="00E5667A">
        <w:rPr>
          <w:rFonts w:ascii="Book Antiqua" w:eastAsia="Book Antiqua" w:hAnsi="Book Antiqua" w:cs="Book Antiqua"/>
          <w:color w:val="000000"/>
          <w:vertAlign w:val="superscript"/>
        </w:rPr>
        <w:t>[</w:t>
      </w:r>
      <w:r w:rsidR="006C7229" w:rsidRPr="00E5667A">
        <w:rPr>
          <w:rFonts w:ascii="Book Antiqua" w:hAnsi="Book Antiqua" w:cs="Book Antiqua"/>
          <w:color w:val="000000"/>
          <w:vertAlign w:val="superscript"/>
          <w:lang w:eastAsia="zh-CN"/>
        </w:rPr>
        <w:t>2</w:t>
      </w:r>
      <w:r w:rsidR="00D57615">
        <w:rPr>
          <w:rFonts w:ascii="Book Antiqua" w:hAnsi="Book Antiqua" w:cs="Book Antiqua"/>
          <w:color w:val="000000"/>
          <w:vertAlign w:val="superscript"/>
          <w:lang w:eastAsia="zh-CN"/>
        </w:rPr>
        <w:t>5</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The doses of entecavir utilized in the Reijnders</w:t>
      </w:r>
      <w:r w:rsidR="009704B9" w:rsidRPr="00E5667A">
        <w:rPr>
          <w:rFonts w:ascii="Book Antiqua" w:eastAsia="Book Antiqua" w:hAnsi="Book Antiqua" w:cs="Book Antiqua"/>
          <w:i/>
          <w:iCs/>
          <w:color w:val="000000"/>
        </w:rPr>
        <w:t>et al</w:t>
      </w:r>
      <w:r w:rsidRPr="00E5667A">
        <w:rPr>
          <w:rFonts w:ascii="Book Antiqua" w:eastAsia="Book Antiqua" w:hAnsi="Book Antiqua" w:cs="Book Antiqua"/>
          <w:color w:val="000000"/>
        </w:rPr>
        <w:t>’ clinical study</w:t>
      </w:r>
      <w:r w:rsidR="009704B9">
        <w:rPr>
          <w:rFonts w:ascii="Book Antiqua" w:eastAsia="Book Antiqua" w:hAnsi="Book Antiqua" w:cs="Book Antiqua"/>
          <w:color w:val="000000"/>
        </w:rPr>
        <w:t xml:space="preserve"> and</w:t>
      </w:r>
      <w:r w:rsidRPr="00E5667A">
        <w:rPr>
          <w:rFonts w:ascii="Book Antiqua" w:eastAsia="Book Antiqua" w:hAnsi="Book Antiqua" w:cs="Book Antiqua"/>
          <w:color w:val="000000"/>
        </w:rPr>
        <w:t xml:space="preserve"> our clinical report, </w:t>
      </w:r>
      <w:r w:rsidR="009704B9">
        <w:rPr>
          <w:rFonts w:ascii="Book Antiqua" w:eastAsia="Book Antiqua" w:hAnsi="Book Antiqua" w:cs="Book Antiqua"/>
          <w:color w:val="000000"/>
        </w:rPr>
        <w:t>as well as the dose recommended by</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the 2015 WHO CHB guidelines, were higher than the Baraclude recommended dosage. This information of entecavir overdose has been noted by Bristol-Myers Squibb Company and the FDA. Baraclude prescribing information (2015) states</w:t>
      </w:r>
      <w:r w:rsidR="009704B9">
        <w:rPr>
          <w:rFonts w:ascii="Book Antiqua" w:eastAsia="Book Antiqua" w:hAnsi="Book Antiqua" w:cs="Book Antiqua"/>
          <w:color w:val="000000"/>
        </w:rPr>
        <w:t xml:space="preserve"> that</w:t>
      </w:r>
      <w:r w:rsidRPr="00E5667A">
        <w:rPr>
          <w:rFonts w:ascii="Book Antiqua" w:eastAsia="Book Antiqua" w:hAnsi="Book Antiqua" w:cs="Book Antiqua"/>
          <w:color w:val="000000"/>
        </w:rPr>
        <w:t xml:space="preserve"> “</w:t>
      </w:r>
      <w:r w:rsidR="00413C2D" w:rsidRPr="00E5667A">
        <w:rPr>
          <w:rFonts w:ascii="Book Antiqua" w:eastAsia="Book Antiqua" w:hAnsi="Book Antiqua" w:cs="Book Antiqua"/>
          <w:color w:val="000000"/>
        </w:rPr>
        <w:t>t</w:t>
      </w:r>
      <w:r w:rsidRPr="00E5667A">
        <w:rPr>
          <w:rFonts w:ascii="Book Antiqua" w:eastAsia="Book Antiqua" w:hAnsi="Book Antiqua" w:cs="Book Antiqua"/>
          <w:color w:val="000000"/>
        </w:rPr>
        <w:t>here is limited experience of entecavir</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overdosage reported in patients. Healthy subjects who received single entecavir doses up to 40 mg or multiple doses up to 20 mg/d for up to 14 d did not experience unexpected or adverse events. If an overdose occurs, the patient must be monitored for evidence of toxicity, and standard supportive treatment applied as necessary”</w:t>
      </w:r>
      <w:r w:rsidRPr="00E5667A">
        <w:rPr>
          <w:rFonts w:ascii="Book Antiqua" w:eastAsia="Book Antiqua" w:hAnsi="Book Antiqua" w:cs="Book Antiqua"/>
          <w:color w:val="000000"/>
          <w:vertAlign w:val="superscript"/>
        </w:rPr>
        <w:t>[2</w:t>
      </w:r>
      <w:r w:rsidR="003951F7">
        <w:rPr>
          <w:rFonts w:ascii="Book Antiqua" w:eastAsia="Book Antiqua" w:hAnsi="Book Antiqua" w:cs="Book Antiqua"/>
          <w:color w:val="000000"/>
          <w:vertAlign w:val="superscript"/>
        </w:rPr>
        <w:t>6</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The results of the clinical investigation encouraged us to conduct further in-depth literature survey on </w:t>
      </w:r>
      <w:r w:rsidR="009704B9" w:rsidRPr="00E5667A">
        <w:rPr>
          <w:rFonts w:ascii="Book Antiqua" w:eastAsia="Book Antiqua" w:hAnsi="Book Antiqua" w:cs="Book Antiqua"/>
          <w:color w:val="000000"/>
        </w:rPr>
        <w:t xml:space="preserve">studies </w:t>
      </w:r>
      <w:r w:rsidR="009704B9">
        <w:rPr>
          <w:rFonts w:ascii="Book Antiqua" w:eastAsia="Book Antiqua" w:hAnsi="Book Antiqua" w:cs="Book Antiqua"/>
          <w:color w:val="000000"/>
        </w:rPr>
        <w:t xml:space="preserve">of </w:t>
      </w:r>
      <w:r w:rsidRPr="00E5667A">
        <w:rPr>
          <w:rFonts w:ascii="Book Antiqua" w:eastAsia="Book Antiqua" w:hAnsi="Book Antiqua" w:cs="Book Antiqua"/>
          <w:color w:val="000000"/>
        </w:rPr>
        <w:t>the pharmacodynamics, pharmacokinetics</w:t>
      </w:r>
      <w:r w:rsidR="009704B9">
        <w:rPr>
          <w:rFonts w:ascii="Book Antiqua" w:eastAsia="Book Antiqua" w:hAnsi="Book Antiqua" w:cs="Book Antiqua"/>
          <w:color w:val="000000"/>
        </w:rPr>
        <w:t>,</w:t>
      </w:r>
      <w:r w:rsidRPr="00E5667A">
        <w:rPr>
          <w:rFonts w:ascii="Book Antiqua" w:eastAsia="Book Antiqua" w:hAnsi="Book Antiqua" w:cs="Book Antiqua"/>
          <w:color w:val="000000"/>
        </w:rPr>
        <w:t xml:space="preserve"> and treatment dosage and duration </w:t>
      </w:r>
      <w:r w:rsidR="009704B9">
        <w:rPr>
          <w:rFonts w:ascii="Book Antiqua" w:eastAsia="Book Antiqua" w:hAnsi="Book Antiqua" w:cs="Book Antiqua"/>
          <w:color w:val="000000"/>
        </w:rPr>
        <w:t>of</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entecavir.</w:t>
      </w:r>
    </w:p>
    <w:p w14:paraId="0A7A95DB" w14:textId="77777777" w:rsidR="00A77B3E" w:rsidRPr="00E5667A" w:rsidRDefault="00A77B3E" w:rsidP="00E5667A">
      <w:pPr>
        <w:spacing w:line="360" w:lineRule="auto"/>
        <w:jc w:val="both"/>
        <w:rPr>
          <w:rFonts w:ascii="Book Antiqua" w:hAnsi="Book Antiqua"/>
          <w:lang w:eastAsia="zh-CN"/>
        </w:rPr>
      </w:pPr>
    </w:p>
    <w:p w14:paraId="1BD3AD74"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PHARMACOKINETICS AND PHARMACODYNAMICS OF ENTECAVIR</w:t>
      </w:r>
    </w:p>
    <w:p w14:paraId="22B20C24" w14:textId="358771D1"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Generally, NA incorporation into the mitochondrial DNA (mtDNA) </w:t>
      </w:r>
      <w:r w:rsidRPr="00E5667A">
        <w:rPr>
          <w:rFonts w:ascii="Book Antiqua" w:eastAsia="Book Antiqua" w:hAnsi="Book Antiqua" w:cs="Book Antiqua"/>
          <w:i/>
          <w:iCs/>
          <w:color w:val="000000"/>
        </w:rPr>
        <w:t>via</w:t>
      </w:r>
      <w:r w:rsidRPr="00E5667A">
        <w:rPr>
          <w:rFonts w:ascii="Book Antiqua" w:eastAsia="Book Antiqua" w:hAnsi="Book Antiqua" w:cs="Book Antiqua"/>
          <w:color w:val="000000"/>
        </w:rPr>
        <w:t xml:space="preserve"> mitochondrial polymerase γ results in host mitochondrial dysfunction and morphological changes. However, entecavir triphosphate is a poor substrate for mitochondrial polymerase γ and does not significantly inhibit the mitochondrial respiratory function or alter the mtDNA</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synthesis</w:t>
      </w:r>
      <w:r w:rsidRPr="00E5667A">
        <w:rPr>
          <w:rFonts w:ascii="Book Antiqua" w:eastAsia="Book Antiqua" w:hAnsi="Book Antiqua" w:cs="Book Antiqua"/>
          <w:color w:val="000000"/>
          <w:vertAlign w:val="superscript"/>
        </w:rPr>
        <w:t>[2</w:t>
      </w:r>
      <w:r w:rsidR="00505A74">
        <w:rPr>
          <w:rFonts w:ascii="Book Antiqua" w:eastAsia="Book Antiqua" w:hAnsi="Book Antiqua" w:cs="Book Antiqua"/>
          <w:color w:val="000000"/>
          <w:vertAlign w:val="superscript"/>
        </w:rPr>
        <w:t>7</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In the cell line HepG2 and the HBV-transfected cell lines 2.2.15, entecavir showed efficacy at a 50% effective concentration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of 3.8 ± 1.4 n</w:t>
      </w:r>
      <w:r w:rsidR="0043209D">
        <w:rPr>
          <w:rFonts w:ascii="Book Antiqua" w:eastAsia="Book Antiqua" w:hAnsi="Book Antiqua" w:cs="Book Antiqua"/>
          <w:color w:val="000000"/>
        </w:rPr>
        <w:t>mol/L</w:t>
      </w:r>
      <w:r w:rsidRPr="00E5667A">
        <w:rPr>
          <w:rFonts w:ascii="Book Antiqua" w:eastAsia="Book Antiqua" w:hAnsi="Book Antiqua" w:cs="Book Antiqua"/>
          <w:color w:val="000000"/>
        </w:rPr>
        <w:t xml:space="preserve"> (1.1 ± 0.41ng/mL), and 50% cytotoxic concentration (CC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of 30 μ</w:t>
      </w:r>
      <w:r w:rsidR="007F7905">
        <w:rPr>
          <w:rFonts w:ascii="Book Antiqua" w:eastAsia="Book Antiqua" w:hAnsi="Book Antiqua" w:cs="Book Antiqua"/>
          <w:color w:val="000000"/>
        </w:rPr>
        <w:t>mol/L</w:t>
      </w:r>
      <w:r w:rsidRPr="00E5667A">
        <w:rPr>
          <w:rFonts w:ascii="Book Antiqua" w:eastAsia="Book Antiqua" w:hAnsi="Book Antiqua" w:cs="Book Antiqua"/>
          <w:color w:val="000000"/>
        </w:rPr>
        <w:t>. The CC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/EC</w:t>
      </w:r>
      <w:r w:rsidRPr="00E5667A">
        <w:rPr>
          <w:rFonts w:ascii="Book Antiqua" w:eastAsia="Book Antiqua" w:hAnsi="Book Antiqua" w:cs="Book Antiqua"/>
          <w:color w:val="000000"/>
          <w:vertAlign w:val="subscript"/>
        </w:rPr>
        <w:t>50</w:t>
      </w:r>
      <w:r w:rsidR="00315DD2">
        <w:rPr>
          <w:rFonts w:ascii="Book Antiqua" w:eastAsia="Book Antiqua" w:hAnsi="Book Antiqua" w:cs="Book Antiqua"/>
          <w:color w:val="000000"/>
          <w:vertAlign w:val="subscript"/>
        </w:rPr>
        <w:t xml:space="preserve"> </w:t>
      </w:r>
      <w:r w:rsidR="009704B9">
        <w:rPr>
          <w:rFonts w:ascii="Book Antiqua" w:eastAsia="Book Antiqua" w:hAnsi="Book Antiqua" w:cs="Book Antiqua"/>
          <w:color w:val="000000"/>
        </w:rPr>
        <w:t xml:space="preserve">ratio </w:t>
      </w:r>
      <w:r w:rsidRPr="00E5667A">
        <w:rPr>
          <w:rFonts w:ascii="Book Antiqua" w:eastAsia="Book Antiqua" w:hAnsi="Book Antiqua" w:cs="Book Antiqua"/>
          <w:color w:val="000000"/>
        </w:rPr>
        <w:t>of entecavir was 8000, which was the maximal selected index for safety in all of the NAs</w:t>
      </w:r>
      <w:r w:rsidRPr="00E5667A">
        <w:rPr>
          <w:rFonts w:ascii="Book Antiqua" w:eastAsia="Book Antiqua" w:hAnsi="Book Antiqua" w:cs="Book Antiqua"/>
          <w:color w:val="000000"/>
          <w:vertAlign w:val="superscript"/>
        </w:rPr>
        <w:t>[</w:t>
      </w:r>
      <w:r w:rsidR="00505A74">
        <w:rPr>
          <w:rFonts w:ascii="Book Antiqua" w:eastAsia="Book Antiqua" w:hAnsi="Book Antiqua" w:cs="Book Antiqua"/>
          <w:color w:val="000000"/>
          <w:vertAlign w:val="superscript"/>
        </w:rPr>
        <w:t>28</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The poor binding of entecavir to mitochondrial polymerase γ le</w:t>
      </w:r>
      <w:r w:rsidR="009704B9">
        <w:rPr>
          <w:rFonts w:ascii="Book Antiqua" w:eastAsia="Book Antiqua" w:hAnsi="Book Antiqua" w:cs="Book Antiqua"/>
          <w:color w:val="000000"/>
        </w:rPr>
        <w:t>a</w:t>
      </w:r>
      <w:r w:rsidRPr="00E5667A">
        <w:rPr>
          <w:rFonts w:ascii="Book Antiqua" w:eastAsia="Book Antiqua" w:hAnsi="Book Antiqua" w:cs="Book Antiqua"/>
          <w:color w:val="000000"/>
        </w:rPr>
        <w:t>d</w:t>
      </w:r>
      <w:r w:rsidR="009704B9">
        <w:rPr>
          <w:rFonts w:ascii="Book Antiqua" w:eastAsia="Book Antiqua" w:hAnsi="Book Antiqua" w:cs="Book Antiqua"/>
          <w:color w:val="000000"/>
        </w:rPr>
        <w:t>s</w:t>
      </w:r>
      <w:r w:rsidRPr="00E5667A">
        <w:rPr>
          <w:rFonts w:ascii="Book Antiqua" w:eastAsia="Book Antiqua" w:hAnsi="Book Antiqua" w:cs="Book Antiqua"/>
          <w:color w:val="000000"/>
        </w:rPr>
        <w:t xml:space="preserve"> to the selected index.</w:t>
      </w:r>
    </w:p>
    <w:p w14:paraId="2388821E" w14:textId="51B631B3" w:rsidR="00A77B3E" w:rsidRPr="00E5667A" w:rsidRDefault="00346B52" w:rsidP="00E5667A">
      <w:pPr>
        <w:spacing w:line="360" w:lineRule="auto"/>
        <w:ind w:firstLine="420"/>
        <w:jc w:val="both"/>
        <w:rPr>
          <w:rFonts w:ascii="Book Antiqua" w:hAnsi="Book Antiqua"/>
        </w:rPr>
      </w:pPr>
      <w:r w:rsidRPr="00315DD2">
        <w:rPr>
          <w:rFonts w:ascii="Book Antiqua" w:eastAsia="Book Antiqua" w:hAnsi="Book Antiqua" w:cs="Book Antiqua"/>
          <w:color w:val="000000"/>
        </w:rPr>
        <w:t>An</w:t>
      </w:r>
      <w:r w:rsidR="00315DD2">
        <w:rPr>
          <w:rFonts w:ascii="Book Antiqua" w:eastAsia="Book Antiqua" w:hAnsi="Book Antiqua" w:cs="Book Antiqua"/>
          <w:color w:val="000000"/>
        </w:rPr>
        <w:t xml:space="preserve"> </w:t>
      </w:r>
      <w:r w:rsidRPr="00315DD2">
        <w:rPr>
          <w:rFonts w:ascii="Book Antiqua" w:eastAsia="Book Antiqua" w:hAnsi="Book Antiqua" w:cs="Book Antiqua"/>
          <w:i/>
          <w:color w:val="000000"/>
        </w:rPr>
        <w:t>in vitro</w:t>
      </w:r>
      <w:r w:rsidR="001612DD" w:rsidRPr="00E5667A">
        <w:rPr>
          <w:rFonts w:ascii="Book Antiqua" w:eastAsia="Book Antiqua" w:hAnsi="Book Antiqua" w:cs="Book Antiqua"/>
          <w:color w:val="000000"/>
        </w:rPr>
        <w:t xml:space="preserve"> investigation by Liu</w:t>
      </w:r>
      <w:r w:rsidR="00315DD2">
        <w:rPr>
          <w:rFonts w:ascii="Book Antiqua" w:eastAsia="Book Antiqua" w:hAnsi="Book Antiqua" w:cs="Book Antiqua"/>
          <w:color w:val="000000"/>
        </w:rPr>
        <w:t xml:space="preserve"> </w:t>
      </w:r>
      <w:r w:rsidR="001A7FB7" w:rsidRPr="00E5667A">
        <w:rPr>
          <w:rFonts w:ascii="Book Antiqua" w:eastAsia="Book Antiqua" w:hAnsi="Book Antiqua" w:cs="Book Antiqua"/>
          <w:i/>
          <w:iCs/>
          <w:color w:val="000000"/>
        </w:rPr>
        <w:t>et al</w:t>
      </w:r>
      <w:r w:rsidR="001A7FB7" w:rsidRPr="00E5667A">
        <w:rPr>
          <w:rFonts w:ascii="Book Antiqua" w:eastAsia="Book Antiqua" w:hAnsi="Book Antiqua" w:cs="Book Antiqua"/>
          <w:color w:val="000000"/>
          <w:vertAlign w:val="superscript"/>
        </w:rPr>
        <w:t>[</w:t>
      </w:r>
      <w:r w:rsidR="00505A74">
        <w:rPr>
          <w:rFonts w:ascii="Book Antiqua" w:hAnsi="Book Antiqua" w:cs="Book Antiqua"/>
          <w:color w:val="000000"/>
          <w:vertAlign w:val="superscript"/>
          <w:lang w:eastAsia="zh-CN"/>
        </w:rPr>
        <w:t>29</w:t>
      </w:r>
      <w:r w:rsidR="001A7FB7" w:rsidRPr="00E5667A">
        <w:rPr>
          <w:rFonts w:ascii="Book Antiqua" w:eastAsia="Book Antiqua" w:hAnsi="Book Antiqua" w:cs="Book Antiqua"/>
          <w:color w:val="000000"/>
          <w:vertAlign w:val="superscript"/>
        </w:rPr>
        <w:t>]</w:t>
      </w:r>
      <w:r w:rsidR="001612DD" w:rsidRPr="00E5667A">
        <w:rPr>
          <w:rFonts w:ascii="Book Antiqua" w:eastAsia="Book Antiqua" w:hAnsi="Book Antiqua" w:cs="Book Antiqua"/>
          <w:color w:val="000000"/>
        </w:rPr>
        <w:t xml:space="preserve"> showed that the NA concentration varied between the cells and the supernatant samples; thus</w:t>
      </w:r>
      <w:r w:rsidR="009704B9">
        <w:rPr>
          <w:rFonts w:ascii="Book Antiqua" w:eastAsia="Book Antiqua" w:hAnsi="Book Antiqua" w:cs="Book Antiqua"/>
          <w:color w:val="000000"/>
        </w:rPr>
        <w:t>,</w:t>
      </w:r>
      <w:r w:rsidR="001612DD" w:rsidRPr="00E5667A">
        <w:rPr>
          <w:rFonts w:ascii="Book Antiqua" w:eastAsia="Book Antiqua" w:hAnsi="Book Antiqua" w:cs="Book Antiqua"/>
          <w:color w:val="000000"/>
        </w:rPr>
        <w:t xml:space="preserve"> the variability in entecavir and lamivudine concentrations encompasses a wide linear range of measurements</w:t>
      </w:r>
      <w:r w:rsidR="001612DD" w:rsidRPr="00E5667A">
        <w:rPr>
          <w:rFonts w:ascii="Book Antiqua" w:eastAsia="Book Antiqua" w:hAnsi="Book Antiqua" w:cs="Book Antiqua"/>
          <w:color w:val="000000"/>
          <w:vertAlign w:val="superscript"/>
        </w:rPr>
        <w:t>[</w:t>
      </w:r>
      <w:r w:rsidR="00505A74">
        <w:rPr>
          <w:rFonts w:ascii="Book Antiqua" w:eastAsia="Book Antiqua" w:hAnsi="Book Antiqua" w:cs="Book Antiqua"/>
          <w:color w:val="000000"/>
          <w:vertAlign w:val="superscript"/>
        </w:rPr>
        <w:t>29</w:t>
      </w:r>
      <w:r w:rsidR="001612DD" w:rsidRPr="00E5667A">
        <w:rPr>
          <w:rFonts w:ascii="Book Antiqua" w:eastAsia="Book Antiqua" w:hAnsi="Book Antiqua" w:cs="Book Antiqua"/>
          <w:color w:val="000000"/>
          <w:vertAlign w:val="superscript"/>
        </w:rPr>
        <w:t>]</w:t>
      </w:r>
      <w:r w:rsidR="001612DD" w:rsidRPr="00E5667A">
        <w:rPr>
          <w:rFonts w:ascii="Book Antiqua" w:eastAsia="Book Antiqua" w:hAnsi="Book Antiqua" w:cs="Book Antiqua"/>
          <w:color w:val="000000"/>
        </w:rPr>
        <w:t xml:space="preserve">. Therefore, the plasma entecavir concentration was generally thought to predict the antiviral efficacy in the pharmacokinetic studies. The pharmacokinetic parameters of the entecavir dose were reported by Yan </w:t>
      </w:r>
      <w:r w:rsidRPr="00315DD2">
        <w:rPr>
          <w:rFonts w:ascii="Book Antiqua" w:eastAsia="Book Antiqua" w:hAnsi="Book Antiqua" w:cs="Book Antiqua"/>
          <w:i/>
          <w:color w:val="000000"/>
        </w:rPr>
        <w:t>et al</w:t>
      </w:r>
      <w:r w:rsidR="001612DD" w:rsidRPr="00E5667A">
        <w:rPr>
          <w:rFonts w:ascii="Book Antiqua" w:eastAsia="Book Antiqua" w:hAnsi="Book Antiqua" w:cs="Book Antiqua"/>
          <w:color w:val="000000"/>
        </w:rPr>
        <w:t>. For a 0.1mg dose, the mean steady-state (day 14) peak plasma concentration (C</w:t>
      </w:r>
      <w:r w:rsidR="001612DD" w:rsidRPr="00E5667A">
        <w:rPr>
          <w:rFonts w:ascii="Book Antiqua" w:eastAsia="Book Antiqua" w:hAnsi="Book Antiqua" w:cs="Book Antiqua"/>
          <w:color w:val="000000"/>
          <w:vertAlign w:val="subscript"/>
        </w:rPr>
        <w:t>max</w:t>
      </w:r>
      <w:r w:rsidR="001612DD" w:rsidRPr="00E5667A">
        <w:rPr>
          <w:rFonts w:ascii="Book Antiqua" w:eastAsia="Book Antiqua" w:hAnsi="Book Antiqua" w:cs="Book Antiqua"/>
          <w:color w:val="000000"/>
        </w:rPr>
        <w:t>) was 0.60 ng/mL, and the area under the concentration-time curve (AUC) was 2.51 ng</w:t>
      </w:r>
      <w:r w:rsidR="00413C2D" w:rsidRPr="00E5667A">
        <w:rPr>
          <w:rFonts w:ascii="Book Antiqua" w:eastAsia="Book Antiqua" w:hAnsi="Book Antiqua" w:cs="Book Antiqua"/>
          <w:color w:val="000000"/>
        </w:rPr>
        <w:t>/</w:t>
      </w:r>
      <w:r w:rsidR="001612DD" w:rsidRPr="00E5667A">
        <w:rPr>
          <w:rFonts w:ascii="Book Antiqua" w:eastAsia="Book Antiqua" w:hAnsi="Book Antiqua" w:cs="Book Antiqua"/>
          <w:color w:val="000000"/>
        </w:rPr>
        <w:t>h/mL. For doses of 0.5mg and 1.0 mg, the corresponding C</w:t>
      </w:r>
      <w:r w:rsidR="001612DD" w:rsidRPr="00E5667A">
        <w:rPr>
          <w:rFonts w:ascii="Book Antiqua" w:eastAsia="Book Antiqua" w:hAnsi="Book Antiqua" w:cs="Book Antiqua"/>
          <w:color w:val="000000"/>
          <w:vertAlign w:val="subscript"/>
        </w:rPr>
        <w:t>max</w:t>
      </w:r>
      <w:r w:rsidR="001612DD" w:rsidRPr="00E5667A">
        <w:rPr>
          <w:rFonts w:ascii="Book Antiqua" w:eastAsia="Book Antiqua" w:hAnsi="Book Antiqua" w:cs="Book Antiqua"/>
          <w:color w:val="000000"/>
        </w:rPr>
        <w:t xml:space="preserve"> and AUC values were 4.23 ng/mL and 14.78 ng</w:t>
      </w:r>
      <w:r w:rsidR="00413C2D" w:rsidRPr="00E5667A">
        <w:rPr>
          <w:rFonts w:ascii="Book Antiqua" w:eastAsia="Book Antiqua" w:hAnsi="Book Antiqua" w:cs="Book Antiqua"/>
          <w:color w:val="000000"/>
        </w:rPr>
        <w:t>/</w:t>
      </w:r>
      <w:r w:rsidR="001612DD" w:rsidRPr="00E5667A">
        <w:rPr>
          <w:rFonts w:ascii="Book Antiqua" w:eastAsia="Book Antiqua" w:hAnsi="Book Antiqua" w:cs="Book Antiqua"/>
          <w:color w:val="000000"/>
        </w:rPr>
        <w:t>h/mL, and 8.24 ng/mL and 26.38 ng</w:t>
      </w:r>
      <w:r w:rsidR="00413C2D" w:rsidRPr="00E5667A">
        <w:rPr>
          <w:rFonts w:ascii="Book Antiqua" w:eastAsia="Book Antiqua" w:hAnsi="Book Antiqua" w:cs="Book Antiqua"/>
          <w:color w:val="000000"/>
        </w:rPr>
        <w:t>/</w:t>
      </w:r>
      <w:r w:rsidR="001612DD" w:rsidRPr="00E5667A">
        <w:rPr>
          <w:rFonts w:ascii="Book Antiqua" w:eastAsia="Book Antiqua" w:hAnsi="Book Antiqua" w:cs="Book Antiqua"/>
          <w:color w:val="000000"/>
        </w:rPr>
        <w:t>h/mL, respectively. In addition, steady-state (drug-input/clearance) entecavir plasma concentrations were approximately 0.2 ng/mL and 0.4 ng/mL for the 0.5 mg dose and 1.0 mg dose, respectively</w:t>
      </w:r>
      <w:r w:rsidR="001612DD" w:rsidRPr="00E5667A">
        <w:rPr>
          <w:rFonts w:ascii="Book Antiqua" w:eastAsia="Book Antiqua" w:hAnsi="Book Antiqua" w:cs="Book Antiqua"/>
          <w:color w:val="000000"/>
          <w:vertAlign w:val="superscript"/>
        </w:rPr>
        <w:t>[3</w:t>
      </w:r>
      <w:r w:rsidR="00505A74">
        <w:rPr>
          <w:rFonts w:ascii="Book Antiqua" w:eastAsia="Book Antiqua" w:hAnsi="Book Antiqua" w:cs="Book Antiqua"/>
          <w:color w:val="000000"/>
          <w:vertAlign w:val="superscript"/>
        </w:rPr>
        <w:t>0</w:t>
      </w:r>
      <w:r w:rsidR="001612DD" w:rsidRPr="00E5667A">
        <w:rPr>
          <w:rFonts w:ascii="Book Antiqua" w:eastAsia="Book Antiqua" w:hAnsi="Book Antiqua" w:cs="Book Antiqua"/>
          <w:color w:val="000000"/>
          <w:vertAlign w:val="superscript"/>
        </w:rPr>
        <w:t>]</w:t>
      </w:r>
      <w:r w:rsidR="001612DD" w:rsidRPr="00E5667A">
        <w:rPr>
          <w:rFonts w:ascii="Book Antiqua" w:eastAsia="Book Antiqua" w:hAnsi="Book Antiqua" w:cs="Book Antiqua"/>
          <w:color w:val="000000"/>
        </w:rPr>
        <w:t>. As the entecavir dose increased from 0.1 mg to 1.0 mg, the AUC increased, suggesting that an increase in entecavir dose was associated with an increase in efficacy.</w:t>
      </w:r>
    </w:p>
    <w:p w14:paraId="46F485DA" w14:textId="3FE15662" w:rsidR="00A77B3E" w:rsidRPr="00E5667A" w:rsidRDefault="001612DD" w:rsidP="00E5667A">
      <w:pPr>
        <w:spacing w:line="360" w:lineRule="auto"/>
        <w:ind w:firstLine="540"/>
        <w:jc w:val="both"/>
        <w:rPr>
          <w:rFonts w:ascii="Book Antiqua" w:hAnsi="Book Antiqua"/>
        </w:rPr>
      </w:pPr>
      <w:r w:rsidRPr="00E5667A">
        <w:rPr>
          <w:rFonts w:ascii="Book Antiqua" w:eastAsia="Book Antiqua" w:hAnsi="Book Antiqua" w:cs="Book Antiqua"/>
          <w:color w:val="000000"/>
        </w:rPr>
        <w:t>Yurdaydin</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w:t>
      </w:r>
      <w:r w:rsidR="00E80690"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1</w:t>
      </w:r>
      <w:r w:rsidRPr="00E5667A">
        <w:rPr>
          <w:rFonts w:ascii="Book Antiqua" w:eastAsia="Book Antiqua" w:hAnsi="Book Antiqua" w:cs="Book Antiqua"/>
          <w:color w:val="000000"/>
          <w:vertAlign w:val="superscript"/>
        </w:rPr>
        <w:t xml:space="preserve">] </w:t>
      </w:r>
      <w:r w:rsidRPr="00E5667A">
        <w:rPr>
          <w:rFonts w:ascii="Book Antiqua" w:eastAsia="Book Antiqua" w:hAnsi="Book Antiqua" w:cs="Book Antiqua"/>
          <w:color w:val="000000"/>
        </w:rPr>
        <w:t>compared the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xml:space="preserve"> of entecavir with that of lamivudine, adefovir, telbivudine, and tenofovir. They found that the EC</w:t>
      </w:r>
      <w:r w:rsidRPr="00E5667A">
        <w:rPr>
          <w:rFonts w:ascii="Book Antiqua" w:eastAsia="Book Antiqua" w:hAnsi="Book Antiqua" w:cs="Book Antiqua"/>
          <w:color w:val="000000"/>
          <w:vertAlign w:val="subscript"/>
        </w:rPr>
        <w:t>50</w:t>
      </w:r>
      <w:r w:rsidR="00983EA5">
        <w:rPr>
          <w:rFonts w:ascii="Book Antiqua" w:hAnsi="Book Antiqua" w:cs="Book Antiqua" w:hint="eastAsia"/>
          <w:color w:val="000000"/>
          <w:vertAlign w:val="subscript"/>
          <w:lang w:eastAsia="zh-CN"/>
        </w:rPr>
        <w:t xml:space="preserve"> </w:t>
      </w:r>
      <w:r w:rsidRPr="00E5667A">
        <w:rPr>
          <w:rFonts w:ascii="Book Antiqua" w:eastAsia="Book Antiqua" w:hAnsi="Book Antiqua" w:cs="Book Antiqua"/>
          <w:color w:val="000000"/>
        </w:rPr>
        <w:t>of entecavir was lower than that of other NAs (Table 1). TAF is a pro-drug of tenofovir and has been used to treat CHB. The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xml:space="preserve"> of TAF was lower than that of tenofovir but higher than </w:t>
      </w:r>
      <w:r w:rsidR="009704B9" w:rsidRPr="00E5667A">
        <w:rPr>
          <w:rFonts w:ascii="Book Antiqua" w:eastAsia="Book Antiqua" w:hAnsi="Book Antiqua" w:cs="Book Antiqua"/>
          <w:color w:val="000000"/>
        </w:rPr>
        <w:t>th</w:t>
      </w:r>
      <w:r w:rsidR="009704B9">
        <w:rPr>
          <w:rFonts w:ascii="Book Antiqua" w:eastAsia="Book Antiqua" w:hAnsi="Book Antiqua" w:cs="Book Antiqua"/>
          <w:color w:val="000000"/>
        </w:rPr>
        <w:t>at of</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entecavir</w:t>
      </w:r>
      <w:r w:rsidRPr="00E5667A">
        <w:rPr>
          <w:rFonts w:ascii="Book Antiqua" w:eastAsia="Book Antiqua" w:hAnsi="Book Antiqua" w:cs="Book Antiqua"/>
          <w:color w:val="000000"/>
          <w:vertAlign w:val="superscript"/>
        </w:rPr>
        <w:t>[</w:t>
      </w:r>
      <w:r w:rsidR="00E80690"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2</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w:t>
      </w:r>
      <w:r w:rsidR="001A7FB7" w:rsidRPr="00E5667A">
        <w:rPr>
          <w:rFonts w:ascii="Book Antiqua" w:hAnsi="Book Antiqua"/>
          <w:color w:val="000000"/>
        </w:rPr>
        <w:t>Tenofovir conjugating a lipid moiety</w:t>
      </w:r>
      <w:r w:rsidR="001A7FB7" w:rsidRPr="00E5667A">
        <w:rPr>
          <w:rFonts w:ascii="Book Antiqua" w:eastAsia="Book Antiqua" w:hAnsi="Book Antiqua" w:cs="Book Antiqua"/>
          <w:color w:val="000000"/>
        </w:rPr>
        <w:t xml:space="preserve"> (</w:t>
      </w:r>
      <w:r w:rsidRPr="00E5667A">
        <w:rPr>
          <w:rFonts w:ascii="Book Antiqua" w:eastAsia="Book Antiqua" w:hAnsi="Book Antiqua" w:cs="Book Antiqua"/>
          <w:color w:val="000000"/>
        </w:rPr>
        <w:t>CMX-157</w:t>
      </w:r>
      <w:r w:rsidR="001A7FB7" w:rsidRPr="00E5667A">
        <w:rPr>
          <w:rFonts w:ascii="Book Antiqua" w:eastAsia="Book Antiqua" w:hAnsi="Book Antiqua" w:cs="Book Antiqua"/>
          <w:color w:val="000000"/>
        </w:rPr>
        <w:t>)</w:t>
      </w:r>
      <w:r w:rsidRPr="00E5667A">
        <w:rPr>
          <w:rFonts w:ascii="Book Antiqua" w:eastAsia="Book Antiqua" w:hAnsi="Book Antiqua" w:cs="Book Antiqua"/>
          <w:color w:val="000000"/>
        </w:rPr>
        <w:t>, a</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lipid conjugated tenofovir moiety, is in development for treating CHB. The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xml:space="preserve"> of CMX-157 is 1.6</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μM, which is nearly a 5-fold increase in potency over tenofovir, but 1/420 of the efficacy for entecavir</w:t>
      </w:r>
      <w:r w:rsidRPr="00E5667A">
        <w:rPr>
          <w:rFonts w:ascii="Book Antiqua" w:eastAsia="Book Antiqua" w:hAnsi="Book Antiqua" w:cs="Book Antiqua"/>
          <w:color w:val="000000"/>
          <w:vertAlign w:val="superscript"/>
        </w:rPr>
        <w:t>[</w:t>
      </w:r>
      <w:r w:rsidR="00E80690"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3</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Thus, entecavir is the most effective treatment among all of the current and developing therapies (Table 1).</w:t>
      </w:r>
    </w:p>
    <w:p w14:paraId="2DBFC494" w14:textId="77777777" w:rsidR="00A77B3E" w:rsidRPr="00E5667A" w:rsidRDefault="001612DD" w:rsidP="00E5667A">
      <w:pPr>
        <w:spacing w:line="360" w:lineRule="auto"/>
        <w:ind w:firstLineChars="200" w:firstLine="480"/>
        <w:jc w:val="both"/>
        <w:rPr>
          <w:rFonts w:ascii="Book Antiqua" w:hAnsi="Book Antiqua"/>
        </w:rPr>
      </w:pPr>
      <w:r w:rsidRPr="00E5667A">
        <w:rPr>
          <w:rFonts w:ascii="Book Antiqua" w:eastAsia="Book Antiqua" w:hAnsi="Book Antiqua" w:cs="Book Antiqua"/>
          <w:color w:val="000000"/>
        </w:rPr>
        <w:t>The pharmacokinetics and pharmacodynamics data indicate that entecavir is the safest treatment and has great potential in inhibiting HBV replication.</w:t>
      </w:r>
    </w:p>
    <w:p w14:paraId="30E52713" w14:textId="77777777" w:rsidR="00A77B3E" w:rsidRPr="00E5667A" w:rsidRDefault="00A77B3E" w:rsidP="00E5667A">
      <w:pPr>
        <w:spacing w:line="360" w:lineRule="auto"/>
        <w:jc w:val="both"/>
        <w:rPr>
          <w:rFonts w:ascii="Book Antiqua" w:hAnsi="Book Antiqua"/>
        </w:rPr>
      </w:pPr>
    </w:p>
    <w:p w14:paraId="6218DE6A" w14:textId="3CB75748"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EFFICACY AND SAFETY OF ENTECAVIR AT VARIOUS DOSES (0.1</w:t>
      </w:r>
      <w:r w:rsidR="001A7FB7" w:rsidRPr="00E5667A">
        <w:rPr>
          <w:rFonts w:ascii="Book Antiqua" w:eastAsia="宋体" w:hAnsi="Book Antiqua" w:cs="宋体"/>
          <w:b/>
          <w:bCs/>
          <w:caps/>
          <w:color w:val="000000"/>
          <w:u w:val="single"/>
          <w:lang w:eastAsia="zh-CN"/>
        </w:rPr>
        <w:t>-</w:t>
      </w:r>
      <w:r w:rsidRPr="00E5667A">
        <w:rPr>
          <w:rFonts w:ascii="Book Antiqua" w:eastAsia="Book Antiqua" w:hAnsi="Book Antiqua" w:cs="Book Antiqua"/>
          <w:b/>
          <w:bCs/>
          <w:caps/>
          <w:color w:val="000000"/>
          <w:u w:val="single"/>
        </w:rPr>
        <w:t>20 MG/D) IN CLINICAL STUDIES FROM BERGMAN’S REVIEW</w:t>
      </w:r>
    </w:p>
    <w:p w14:paraId="6F197287" w14:textId="12A35409"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color w:val="000000"/>
        </w:rPr>
        <w:t>Bergman KL and Zheng JH presented a review</w:t>
      </w:r>
      <w:r w:rsidR="009704B9">
        <w:rPr>
          <w:rFonts w:ascii="Book Antiqua" w:eastAsia="Book Antiqua" w:hAnsi="Book Antiqua" w:cs="Book Antiqua"/>
          <w:color w:val="000000"/>
        </w:rPr>
        <w:t xml:space="preserve"> entitled</w:t>
      </w:r>
      <w:r w:rsidR="00315DD2">
        <w:rPr>
          <w:rFonts w:ascii="Book Antiqua" w:eastAsia="Book Antiqua" w:hAnsi="Book Antiqua" w:cs="Book Antiqua"/>
          <w:color w:val="000000"/>
        </w:rPr>
        <w:t xml:space="preserve"> </w:t>
      </w:r>
      <w:r w:rsidR="009704B9">
        <w:rPr>
          <w:rFonts w:ascii="Book Antiqua" w:eastAsia="Book Antiqua" w:hAnsi="Book Antiqua" w:cs="Book Antiqua"/>
          <w:color w:val="000000"/>
        </w:rPr>
        <w:t>“C</w:t>
      </w:r>
      <w:r w:rsidR="009704B9" w:rsidRPr="00B44FA3">
        <w:rPr>
          <w:rFonts w:ascii="Book Antiqua" w:eastAsia="Book Antiqua" w:hAnsi="Book Antiqua" w:cs="Book Antiqua"/>
          <w:color w:val="000000"/>
        </w:rPr>
        <w:t xml:space="preserve">linical </w:t>
      </w:r>
      <w:r w:rsidRPr="00B44FA3">
        <w:rPr>
          <w:rFonts w:ascii="Book Antiqua" w:eastAsia="Book Antiqua" w:hAnsi="Book Antiqua" w:cs="Book Antiqua"/>
          <w:color w:val="000000"/>
        </w:rPr>
        <w:t>pharmacology and biopharmaceutics review 021797/S-000</w:t>
      </w:r>
      <w:r w:rsidR="009704B9">
        <w:rPr>
          <w:rFonts w:ascii="Book Antiqua" w:eastAsia="Book Antiqua" w:hAnsi="Book Antiqua" w:cs="Book Antiqua"/>
          <w:color w:val="000000"/>
        </w:rPr>
        <w:t>”</w:t>
      </w:r>
      <w:r w:rsidRPr="00B44FA3">
        <w:rPr>
          <w:rFonts w:ascii="Book Antiqua" w:eastAsia="Book Antiqua" w:hAnsi="Book Antiqua" w:cs="Book Antiqua"/>
          <w:color w:val="000000"/>
        </w:rPr>
        <w:t xml:space="preserve">, </w:t>
      </w:r>
      <w:r w:rsidR="009704B9">
        <w:rPr>
          <w:rFonts w:ascii="Book Antiqua" w:eastAsia="Book Antiqua" w:hAnsi="Book Antiqua" w:cs="Book Antiqua"/>
          <w:color w:val="000000"/>
        </w:rPr>
        <w:t xml:space="preserve">which was </w:t>
      </w:r>
      <w:r w:rsidRPr="00B44FA3">
        <w:rPr>
          <w:rFonts w:ascii="Book Antiqua" w:eastAsia="Book Antiqua" w:hAnsi="Book Antiqua" w:cs="Book Antiqua"/>
          <w:color w:val="000000"/>
        </w:rPr>
        <w:t>published in the U</w:t>
      </w:r>
      <w:r w:rsidR="002B199A" w:rsidRPr="00B44FA3">
        <w:rPr>
          <w:rFonts w:ascii="Book Antiqua" w:eastAsia="Book Antiqua" w:hAnsi="Book Antiqua" w:cs="Book Antiqua"/>
          <w:color w:val="000000"/>
        </w:rPr>
        <w:t>nited States</w:t>
      </w:r>
      <w:r w:rsidRPr="00B44FA3">
        <w:rPr>
          <w:rFonts w:ascii="Book Antiqua" w:eastAsia="Book Antiqua" w:hAnsi="Book Antiqua" w:cs="Book Antiqua"/>
          <w:color w:val="000000"/>
        </w:rPr>
        <w:t xml:space="preserve"> FDA website in 2005</w:t>
      </w:r>
      <w:r w:rsidRPr="00B44FA3">
        <w:rPr>
          <w:rFonts w:ascii="Book Antiqua" w:eastAsia="Book Antiqua" w:hAnsi="Book Antiqua" w:cs="Book Antiqua"/>
          <w:color w:val="000000"/>
          <w:vertAlign w:val="superscript"/>
        </w:rPr>
        <w:t>[</w:t>
      </w:r>
      <w:r w:rsidR="00E80690" w:rsidRPr="00B44FA3">
        <w:rPr>
          <w:rFonts w:ascii="Book Antiqua" w:hAnsi="Book Antiqua" w:cs="Book Antiqua"/>
          <w:color w:val="000000"/>
          <w:vertAlign w:val="superscript"/>
          <w:lang w:eastAsia="zh-CN"/>
        </w:rPr>
        <w:t>3</w:t>
      </w:r>
      <w:r w:rsidR="00505A74" w:rsidRPr="00B44FA3">
        <w:rPr>
          <w:rFonts w:ascii="Book Antiqua" w:hAnsi="Book Antiqua" w:cs="Book Antiqua"/>
          <w:color w:val="000000"/>
          <w:vertAlign w:val="superscript"/>
          <w:lang w:eastAsia="zh-CN"/>
        </w:rPr>
        <w:t>4</w:t>
      </w:r>
      <w:r w:rsidRPr="00B44FA3">
        <w:rPr>
          <w:rFonts w:ascii="Book Antiqua" w:eastAsia="Book Antiqua" w:hAnsi="Book Antiqua" w:cs="Book Antiqua"/>
          <w:color w:val="000000"/>
          <w:vertAlign w:val="superscript"/>
        </w:rPr>
        <w:t>]</w:t>
      </w:r>
      <w:r w:rsidRPr="00B44FA3">
        <w:rPr>
          <w:rFonts w:ascii="Book Antiqua" w:eastAsia="Book Antiqua" w:hAnsi="Book Antiqua" w:cs="Book Antiqua"/>
          <w:color w:val="000000"/>
        </w:rPr>
        <w:t>. In this particular section of the drug approval package published by the FDA, the authors submitted 37 placebo-controlled phases 1, 2, or 3 clinical trials of entecavir, with the registration numbers A1436001</w:t>
      </w:r>
      <w:r w:rsidR="001A7FB7"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 xml:space="preserve">A1436066 (Table 2). Some </w:t>
      </w:r>
      <w:r w:rsidR="003C481D" w:rsidRPr="00B44FA3">
        <w:rPr>
          <w:rFonts w:ascii="Book Antiqua" w:hAnsi="Book Antiqua" w:cs="Book Antiqua"/>
          <w:color w:val="000000"/>
          <w:lang w:eastAsia="zh-CN"/>
        </w:rPr>
        <w:t xml:space="preserve">of </w:t>
      </w:r>
      <w:r w:rsidRPr="00B44FA3">
        <w:rPr>
          <w:rFonts w:ascii="Book Antiqua" w:eastAsia="Book Antiqua" w:hAnsi="Book Antiqua" w:cs="Book Antiqua"/>
          <w:color w:val="000000"/>
        </w:rPr>
        <w:t>main findings in Bergman’s review</w:t>
      </w:r>
      <w:r w:rsidR="00315DD2">
        <w:rPr>
          <w:rFonts w:ascii="Book Antiqua" w:eastAsia="Book Antiqua" w:hAnsi="Book Antiqua" w:cs="Book Antiqua"/>
          <w:color w:val="000000"/>
        </w:rPr>
        <w:t xml:space="preserve"> </w:t>
      </w:r>
      <w:r w:rsidR="009704B9">
        <w:rPr>
          <w:rFonts w:ascii="Book Antiqua" w:hAnsi="Book Antiqua" w:cs="Book Antiqua"/>
          <w:color w:val="000000"/>
          <w:lang w:eastAsia="zh-CN"/>
        </w:rPr>
        <w:t>are</w:t>
      </w:r>
      <w:r w:rsidR="003C481D" w:rsidRPr="00B44FA3">
        <w:rPr>
          <w:rFonts w:ascii="Book Antiqua" w:hAnsi="Book Antiqua" w:cs="Book Antiqua"/>
          <w:color w:val="000000"/>
          <w:lang w:eastAsia="zh-CN"/>
        </w:rPr>
        <w:t>:</w:t>
      </w:r>
    </w:p>
    <w:p w14:paraId="3E4BA612" w14:textId="77777777" w:rsidR="00A77B3E" w:rsidRPr="00B44FA3" w:rsidRDefault="00A77B3E" w:rsidP="00E5667A">
      <w:pPr>
        <w:spacing w:line="360" w:lineRule="auto"/>
        <w:jc w:val="both"/>
        <w:rPr>
          <w:rFonts w:ascii="Book Antiqua" w:hAnsi="Book Antiqua"/>
        </w:rPr>
      </w:pPr>
    </w:p>
    <w:p w14:paraId="772ED248" w14:textId="77777777"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b/>
          <w:bCs/>
          <w:i/>
          <w:iCs/>
          <w:color w:val="000000"/>
        </w:rPr>
        <w:t>FDA has approved using entecavir at doses of 0.5 mg/d and 1.0 mg/d to treat nucleoside-naïve patients and lamivudine refractory patients</w:t>
      </w:r>
    </w:p>
    <w:p w14:paraId="5A461AE0" w14:textId="248AA7DF"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color w:val="000000"/>
        </w:rPr>
        <w:t>Prior to determining the pivotal entecavir dose required for treating CHB, researchers first investigated the characteristics of the exposure-response relationship for safety. The incidence of headache and nausea after taking the medicine (which were the most common treatment emergent adverse events) was defined as the index of safety in the clinical studies A1463004 and A1463005. According to these safety indicators, the incidence of adverse events was greater as the dose of entecavir increased, ranging from 0.5 mg to 40 mg (Table 2</w:t>
      </w:r>
      <w:r w:rsidR="00A43EFD" w:rsidRPr="00B44FA3">
        <w:rPr>
          <w:rFonts w:ascii="Book Antiqua" w:hAnsi="Book Antiqua" w:cs="Book Antiqua"/>
          <w:color w:val="000000"/>
          <w:lang w:eastAsia="zh-CN"/>
        </w:rPr>
        <w:t>a</w:t>
      </w:r>
      <w:r w:rsidRPr="00B44FA3">
        <w:rPr>
          <w:rFonts w:ascii="Book Antiqua" w:eastAsia="Book Antiqua" w:hAnsi="Book Antiqua" w:cs="Book Antiqua"/>
          <w:color w:val="000000"/>
        </w:rPr>
        <w:t xml:space="preserve">). Considering the greater antiviral activity </w:t>
      </w:r>
      <w:r w:rsidRPr="00B44FA3">
        <w:rPr>
          <w:rFonts w:ascii="Book Antiqua" w:eastAsia="Book Antiqua" w:hAnsi="Book Antiqua" w:cs="Book Antiqua"/>
          <w:i/>
          <w:iCs/>
          <w:color w:val="000000"/>
        </w:rPr>
        <w:t>vs</w:t>
      </w:r>
      <w:r w:rsidRPr="00B44FA3">
        <w:rPr>
          <w:rFonts w:ascii="Book Antiqua" w:eastAsia="Book Antiqua" w:hAnsi="Book Antiqua" w:cs="Book Antiqua"/>
          <w:color w:val="000000"/>
        </w:rPr>
        <w:t xml:space="preserve"> the 0.1 mg dose, superiority over lamivudine for antiviral activity response, reduction of HBV DNA to &lt;</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0.7MEq/mL after 22 wk, and an acceptable safety profile, entecavir 0.5 mg/d was selected for treating nucleoside-naïve patients. According to</w:t>
      </w:r>
      <w:r w:rsidR="00571E2C">
        <w:rPr>
          <w:rFonts w:ascii="Book Antiqua" w:eastAsia="Book Antiqua" w:hAnsi="Book Antiqua" w:cs="Book Antiqua"/>
          <w:color w:val="000000"/>
        </w:rPr>
        <w:t xml:space="preserve"> the observation</w:t>
      </w:r>
      <w:r w:rsidRPr="00B44FA3">
        <w:rPr>
          <w:rFonts w:ascii="Book Antiqua" w:eastAsia="Book Antiqua" w:hAnsi="Book Antiqua" w:cs="Book Antiqua"/>
          <w:color w:val="000000"/>
        </w:rPr>
        <w:t xml:space="preserve"> that 1.0 mg/d entecavir exhibited significantly greater antiviral activity than the 0.5 mg/d, with the reduction of HBV DNA to &lt; 400 copies/mL after 24 wk, and an acceptable safety profile, entecavir 1.0 mg/d was determined to treat lamivudine refractory patients. Researchers, however, chose the lower limit of the effective dose to treat CHB (Table 2</w:t>
      </w:r>
      <w:r w:rsidR="00A43EFD" w:rsidRPr="00B44FA3">
        <w:rPr>
          <w:rFonts w:ascii="Book Antiqua" w:hAnsi="Book Antiqua" w:cs="Book Antiqua"/>
          <w:color w:val="000000"/>
          <w:lang w:eastAsia="zh-CN"/>
        </w:rPr>
        <w:t>b</w:t>
      </w:r>
      <w:r w:rsidR="00A5103D" w:rsidRPr="00B44FA3">
        <w:rPr>
          <w:rFonts w:ascii="Book Antiqua" w:hAnsi="Book Antiqua" w:cs="Book Antiqua"/>
          <w:color w:val="000000"/>
          <w:lang w:eastAsia="zh-CN"/>
        </w:rPr>
        <w:t xml:space="preserve"> and</w:t>
      </w:r>
      <w:r w:rsidR="00A43EFD" w:rsidRPr="00B44FA3">
        <w:rPr>
          <w:rFonts w:ascii="Book Antiqua" w:hAnsi="Book Antiqua" w:cs="Book Antiqua"/>
          <w:color w:val="000000"/>
          <w:lang w:eastAsia="zh-CN"/>
        </w:rPr>
        <w:t xml:space="preserve"> c</w:t>
      </w:r>
      <w:r w:rsidRPr="00B44FA3">
        <w:rPr>
          <w:rFonts w:ascii="Book Antiqua" w:eastAsia="Book Antiqua" w:hAnsi="Book Antiqua" w:cs="Book Antiqua"/>
          <w:color w:val="000000"/>
        </w:rPr>
        <w:t>).</w:t>
      </w:r>
    </w:p>
    <w:p w14:paraId="4E81F3FE" w14:textId="77777777" w:rsidR="00A77B3E" w:rsidRPr="00B44FA3" w:rsidRDefault="00A77B3E" w:rsidP="00E5667A">
      <w:pPr>
        <w:spacing w:line="360" w:lineRule="auto"/>
        <w:jc w:val="both"/>
        <w:rPr>
          <w:rFonts w:ascii="Book Antiqua" w:hAnsi="Book Antiqua"/>
        </w:rPr>
      </w:pPr>
    </w:p>
    <w:p w14:paraId="6A7A3156" w14:textId="7656EAFA"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b/>
          <w:bCs/>
          <w:i/>
          <w:iCs/>
          <w:color w:val="000000"/>
        </w:rPr>
        <w:t>Increase in entecavir dose from 0.1 mg/d to 20 mg/d entails increased efficacy (higher AUC value)</w:t>
      </w:r>
    </w:p>
    <w:p w14:paraId="6CC396D1" w14:textId="77777777"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color w:val="000000"/>
        </w:rPr>
        <w:t>Researchers investigated the pharmacokinetic parameters for multiple doses of entecavir (0.1, 0.5, 1.0, 2.5, 5, 10, and 20 mg/d) in healthy volunteers, for up to 14 d; or single doses up to 40 mg/d in the clinical studies. The trough concentrations were used for analysis. Thus, during a 14</w:t>
      </w:r>
      <w:r w:rsidR="00180513">
        <w:rPr>
          <w:rFonts w:ascii="Book Antiqua" w:eastAsia="Book Antiqua" w:hAnsi="Book Antiqua" w:cs="Book Antiqua"/>
          <w:color w:val="000000"/>
        </w:rPr>
        <w:t>-</w:t>
      </w:r>
      <w:r w:rsidRPr="00B44FA3">
        <w:rPr>
          <w:rFonts w:ascii="Book Antiqua" w:eastAsia="Book Antiqua" w:hAnsi="Book Antiqua" w:cs="Book Antiqua"/>
          <w:color w:val="000000"/>
        </w:rPr>
        <w:t>d course of treatment with multiple dosing, a steady-state was attained approximately 9 to 10 d following once-daily dosing (Table 2</w:t>
      </w:r>
      <w:r w:rsidR="00A43EFD" w:rsidRPr="00B44FA3">
        <w:rPr>
          <w:rFonts w:ascii="Book Antiqua" w:hAnsi="Book Antiqua" w:cs="Book Antiqua"/>
          <w:color w:val="000000"/>
          <w:lang w:eastAsia="zh-CN"/>
        </w:rPr>
        <w:t>d</w:t>
      </w:r>
      <w:r w:rsidRPr="00B44FA3">
        <w:rPr>
          <w:rFonts w:ascii="Book Antiqua" w:eastAsia="Book Antiqua" w:hAnsi="Book Antiqua" w:cs="Book Antiqua"/>
          <w:color w:val="000000"/>
        </w:rPr>
        <w:t xml:space="preserve">). The doses of 0.1, 0.5, 1.0, 2.5, 5.0, 10, and 20 mg </w:t>
      </w:r>
      <w:r w:rsidR="00346B52" w:rsidRPr="00315DD2">
        <w:rPr>
          <w:rFonts w:ascii="Book Antiqua" w:eastAsia="Book Antiqua" w:hAnsi="Book Antiqua" w:cs="Book Antiqua"/>
          <w:iCs/>
          <w:color w:val="000000"/>
        </w:rPr>
        <w:t>per</w:t>
      </w:r>
      <w:r w:rsidRPr="00B44FA3">
        <w:rPr>
          <w:rFonts w:ascii="Book Antiqua" w:eastAsia="Book Antiqua" w:hAnsi="Book Antiqua" w:cs="Book Antiqua"/>
          <w:color w:val="000000"/>
        </w:rPr>
        <w:t xml:space="preserve"> day, and their AUC values are depicted in Table 3. The AUC for the 2.5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5.0 mg dose was significantly higher than the 1.0 mg dose. In addition, the AUC for 10</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20 mg/d was significantly higher than that of the 2.5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5.0 mg/d (Table 2</w:t>
      </w:r>
      <w:r w:rsidR="00A43EFD" w:rsidRPr="00B44FA3">
        <w:rPr>
          <w:rFonts w:ascii="Book Antiqua" w:hAnsi="Book Antiqua" w:cs="Book Antiqua"/>
          <w:color w:val="000000"/>
          <w:lang w:eastAsia="zh-CN"/>
        </w:rPr>
        <w:t>d</w:t>
      </w:r>
      <w:r w:rsidRPr="00B44FA3">
        <w:rPr>
          <w:rFonts w:ascii="Book Antiqua" w:eastAsia="Book Antiqua" w:hAnsi="Book Antiqua" w:cs="Book Antiqua"/>
          <w:color w:val="000000"/>
        </w:rPr>
        <w:t>).</w:t>
      </w:r>
    </w:p>
    <w:p w14:paraId="267DC351" w14:textId="77777777" w:rsidR="00A77B3E" w:rsidRPr="00B44FA3" w:rsidRDefault="00A77B3E" w:rsidP="00E5667A">
      <w:pPr>
        <w:spacing w:line="360" w:lineRule="auto"/>
        <w:jc w:val="both"/>
        <w:rPr>
          <w:rFonts w:ascii="Book Antiqua" w:hAnsi="Book Antiqua"/>
        </w:rPr>
      </w:pPr>
    </w:p>
    <w:p w14:paraId="41BAC9C6" w14:textId="33C3D700" w:rsidR="00A77B3E" w:rsidRPr="00B44FA3" w:rsidRDefault="00571E2C" w:rsidP="00E5667A">
      <w:pPr>
        <w:spacing w:line="360" w:lineRule="auto"/>
        <w:jc w:val="both"/>
        <w:rPr>
          <w:rFonts w:ascii="Book Antiqua" w:hAnsi="Book Antiqua"/>
        </w:rPr>
      </w:pPr>
      <w:r>
        <w:rPr>
          <w:rFonts w:ascii="Book Antiqua" w:eastAsia="Book Antiqua" w:hAnsi="Book Antiqua" w:cs="Book Antiqua"/>
          <w:b/>
          <w:bCs/>
          <w:i/>
          <w:iCs/>
          <w:color w:val="000000"/>
        </w:rPr>
        <w:t>D</w:t>
      </w:r>
      <w:r w:rsidR="001612DD" w:rsidRPr="00B44FA3">
        <w:rPr>
          <w:rFonts w:ascii="Book Antiqua" w:eastAsia="Book Antiqua" w:hAnsi="Book Antiqua" w:cs="Book Antiqua"/>
          <w:b/>
          <w:bCs/>
          <w:i/>
          <w:iCs/>
          <w:color w:val="000000"/>
        </w:rPr>
        <w:t>osage related adverse events in entecavir multiple-dose studies</w:t>
      </w:r>
      <w:r w:rsidR="00315DD2">
        <w:rPr>
          <w:rFonts w:ascii="Book Antiqua" w:eastAsia="Book Antiqua" w:hAnsi="Book Antiqua" w:cs="Book Antiqua"/>
          <w:b/>
          <w:bCs/>
          <w:i/>
          <w:iCs/>
          <w:color w:val="000000"/>
        </w:rPr>
        <w:t xml:space="preserve"> </w:t>
      </w:r>
      <w:r w:rsidR="001612DD" w:rsidRPr="00B44FA3">
        <w:rPr>
          <w:rFonts w:ascii="Book Antiqua" w:eastAsia="Book Antiqua" w:hAnsi="Book Antiqua" w:cs="Book Antiqua"/>
          <w:b/>
          <w:bCs/>
          <w:i/>
          <w:iCs/>
          <w:color w:val="000000"/>
        </w:rPr>
        <w:t>(0.5 mg up to 20 mg)</w:t>
      </w:r>
    </w:p>
    <w:p w14:paraId="35DB987B" w14:textId="68A4EDB2"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color w:val="000000"/>
        </w:rPr>
        <w:t xml:space="preserve">Researchers </w:t>
      </w:r>
      <w:r w:rsidR="005E6107">
        <w:rPr>
          <w:rFonts w:ascii="Book Antiqua" w:eastAsia="Book Antiqua" w:hAnsi="Book Antiqua" w:cs="Book Antiqua"/>
          <w:color w:val="000000"/>
        </w:rPr>
        <w:t xml:space="preserve">have </w:t>
      </w:r>
      <w:r w:rsidRPr="00B44FA3">
        <w:rPr>
          <w:rFonts w:ascii="Book Antiqua" w:eastAsia="Book Antiqua" w:hAnsi="Book Antiqua" w:cs="Book Antiqua"/>
          <w:color w:val="000000"/>
        </w:rPr>
        <w:t>assessed the integrated safety data of the entecavir treatment. In the clinical studies A1463001, A1463002, A1463003, A 1463004, A1463005, A1463010, A1463033, A1463034</w:t>
      </w:r>
      <w:r w:rsidR="005E6107">
        <w:rPr>
          <w:rFonts w:ascii="Book Antiqua" w:eastAsia="Book Antiqua" w:hAnsi="Book Antiqua" w:cs="Book Antiqua"/>
          <w:color w:val="000000"/>
        </w:rPr>
        <w:t>,</w:t>
      </w:r>
      <w:r w:rsidRPr="00B44FA3">
        <w:rPr>
          <w:rFonts w:ascii="Book Antiqua" w:eastAsia="Book Antiqua" w:hAnsi="Book Antiqua" w:cs="Book Antiqua"/>
          <w:color w:val="000000"/>
        </w:rPr>
        <w:t xml:space="preserve"> and A1463041, no relationship between the doses administered and the severity of the adverse events was observed (Table 2</w:t>
      </w:r>
      <w:r w:rsidR="00A43EFD" w:rsidRPr="00B44FA3">
        <w:rPr>
          <w:rFonts w:ascii="Book Antiqua" w:hAnsi="Book Antiqua" w:cs="Book Antiqua"/>
          <w:color w:val="000000"/>
          <w:lang w:eastAsia="zh-CN"/>
        </w:rPr>
        <w:t>e</w:t>
      </w:r>
      <w:r w:rsidR="00A5103D" w:rsidRPr="00B44FA3">
        <w:rPr>
          <w:rFonts w:ascii="Book Antiqua" w:hAnsi="Book Antiqua" w:cs="Book Antiqua"/>
          <w:color w:val="000000"/>
          <w:lang w:eastAsia="zh-CN"/>
        </w:rPr>
        <w:t xml:space="preserve"> and</w:t>
      </w:r>
      <w:r w:rsidR="00315DD2">
        <w:rPr>
          <w:rFonts w:ascii="Book Antiqua" w:hAnsi="Book Antiqua" w:cs="Book Antiqua"/>
          <w:color w:val="000000"/>
          <w:lang w:eastAsia="zh-CN"/>
        </w:rPr>
        <w:t xml:space="preserve"> </w:t>
      </w:r>
      <w:r w:rsidR="00A43EFD" w:rsidRPr="00B44FA3">
        <w:rPr>
          <w:rFonts w:ascii="Book Antiqua" w:hAnsi="Book Antiqua" w:cs="Book Antiqua"/>
          <w:color w:val="000000"/>
          <w:lang w:eastAsia="zh-CN"/>
        </w:rPr>
        <w:t>f</w:t>
      </w:r>
      <w:r w:rsidRPr="00B44FA3">
        <w:rPr>
          <w:rFonts w:ascii="Book Antiqua" w:eastAsia="Book Antiqua" w:hAnsi="Book Antiqua" w:cs="Book Antiqua"/>
          <w:color w:val="000000"/>
        </w:rPr>
        <w:t>), which was different from the data regarding the treatment of emergent adverse events in the clinical studies A 1463004 and A1463005 (Table 2</w:t>
      </w:r>
      <w:r w:rsidR="00A43EFD" w:rsidRPr="00B44FA3">
        <w:rPr>
          <w:rFonts w:ascii="Book Antiqua" w:hAnsi="Book Antiqua" w:cs="Book Antiqua"/>
          <w:color w:val="000000"/>
          <w:lang w:eastAsia="zh-CN"/>
        </w:rPr>
        <w:t>a</w:t>
      </w:r>
      <w:r w:rsidRPr="00B44FA3">
        <w:rPr>
          <w:rFonts w:ascii="Book Antiqua" w:eastAsia="Book Antiqua" w:hAnsi="Book Antiqua" w:cs="Book Antiqua"/>
          <w:color w:val="000000"/>
        </w:rPr>
        <w:t>); and no relationship between the predicted entecavir exposure (C</w:t>
      </w:r>
      <w:r w:rsidRPr="00B44FA3">
        <w:rPr>
          <w:rFonts w:ascii="Book Antiqua" w:eastAsia="Book Antiqua" w:hAnsi="Book Antiqua" w:cs="Book Antiqua"/>
          <w:color w:val="000000"/>
          <w:vertAlign w:val="subscript"/>
        </w:rPr>
        <w:t>max</w:t>
      </w:r>
      <w:r w:rsidRPr="00B44FA3">
        <w:rPr>
          <w:rFonts w:ascii="Book Antiqua" w:eastAsia="Book Antiqua" w:hAnsi="Book Antiqua" w:cs="Book Antiqua"/>
          <w:color w:val="000000"/>
        </w:rPr>
        <w:t>, AUC, or C</w:t>
      </w:r>
      <w:r w:rsidRPr="00B44FA3">
        <w:rPr>
          <w:rFonts w:ascii="Book Antiqua" w:eastAsia="Book Antiqua" w:hAnsi="Book Antiqua" w:cs="Book Antiqua"/>
          <w:color w:val="000000"/>
          <w:vertAlign w:val="subscript"/>
        </w:rPr>
        <w:t>min</w:t>
      </w:r>
      <w:r w:rsidRPr="00B44FA3">
        <w:rPr>
          <w:rFonts w:ascii="Book Antiqua" w:eastAsia="Book Antiqua" w:hAnsi="Book Antiqua" w:cs="Book Antiqua"/>
          <w:color w:val="000000"/>
        </w:rPr>
        <w:t xml:space="preserve">) and the severity of adverse events was found for the central nervous system, gastrointestinal, or the digestive system. The overall incidence of adverse events </w:t>
      </w:r>
      <w:r w:rsidR="0067211C">
        <w:rPr>
          <w:rFonts w:ascii="Book Antiqua" w:eastAsia="Book Antiqua" w:hAnsi="Book Antiqua" w:cs="Book Antiqua"/>
          <w:color w:val="000000"/>
        </w:rPr>
        <w:t>with</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an oral entecavir dose of</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0.5 mg or 1.0 mg</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 xml:space="preserve">was comparable to </w:t>
      </w:r>
      <w:r w:rsidR="0067211C">
        <w:rPr>
          <w:rFonts w:ascii="Book Antiqua" w:eastAsia="Book Antiqua" w:hAnsi="Book Antiqua" w:cs="Book Antiqua"/>
          <w:color w:val="000000"/>
        </w:rPr>
        <w:t xml:space="preserve">that of </w:t>
      </w:r>
      <w:r w:rsidRPr="00B44FA3">
        <w:rPr>
          <w:rFonts w:ascii="Book Antiqua" w:eastAsia="Book Antiqua" w:hAnsi="Book Antiqua" w:cs="Book Antiqua"/>
          <w:color w:val="000000"/>
        </w:rPr>
        <w:t>the placebo,</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for example,</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 xml:space="preserve">40% in the entecavir treatment </w:t>
      </w:r>
      <w:r w:rsidRPr="00B44FA3">
        <w:rPr>
          <w:rFonts w:ascii="Book Antiqua" w:eastAsia="Book Antiqua" w:hAnsi="Book Antiqua" w:cs="Book Antiqua"/>
          <w:i/>
          <w:iCs/>
          <w:color w:val="000000"/>
        </w:rPr>
        <w:t>vs</w:t>
      </w:r>
      <w:r w:rsidRPr="00B44FA3">
        <w:rPr>
          <w:rFonts w:ascii="Book Antiqua" w:eastAsia="Book Antiqua" w:hAnsi="Book Antiqua" w:cs="Book Antiqua"/>
          <w:color w:val="000000"/>
        </w:rPr>
        <w:t xml:space="preserve"> 38% in the placebo</w:t>
      </w:r>
      <w:r w:rsidR="00315DD2">
        <w:rPr>
          <w:rFonts w:ascii="Book Antiqua" w:eastAsia="Book Antiqua" w:hAnsi="Book Antiqua" w:cs="Book Antiqua"/>
          <w:color w:val="000000"/>
        </w:rPr>
        <w:t xml:space="preserve"> </w:t>
      </w:r>
      <w:r w:rsidR="0067211C">
        <w:rPr>
          <w:rFonts w:ascii="Book Antiqua" w:eastAsia="Book Antiqua" w:hAnsi="Book Antiqua" w:cs="Book Antiqua"/>
          <w:color w:val="000000"/>
        </w:rPr>
        <w:t>group</w:t>
      </w:r>
      <w:r w:rsidRPr="00B44FA3">
        <w:rPr>
          <w:rFonts w:ascii="Book Antiqua" w:eastAsia="Book Antiqua" w:hAnsi="Book Antiqua" w:cs="Book Antiqua"/>
          <w:color w:val="000000"/>
        </w:rPr>
        <w:t>. In addition, no apparent dose-response relationship was found for the overall incidence of adverse events observed in this double-blind, randomized clinical study (Table 2</w:t>
      </w:r>
      <w:r w:rsidR="00A43EFD" w:rsidRPr="00B44FA3">
        <w:rPr>
          <w:rFonts w:ascii="Book Antiqua" w:hAnsi="Book Antiqua" w:cs="Book Antiqua"/>
          <w:color w:val="000000"/>
          <w:lang w:eastAsia="zh-CN"/>
        </w:rPr>
        <w:t>e</w:t>
      </w:r>
      <w:r w:rsidR="000027B7" w:rsidRPr="00B44FA3">
        <w:rPr>
          <w:rFonts w:ascii="Book Antiqua" w:eastAsia="Book Antiqua" w:hAnsi="Book Antiqua" w:cs="Book Antiqua"/>
          <w:color w:val="000000"/>
        </w:rPr>
        <w:t>)</w:t>
      </w:r>
      <w:r w:rsidRPr="00B44FA3">
        <w:rPr>
          <w:rFonts w:ascii="Book Antiqua" w:eastAsia="Book Antiqua" w:hAnsi="Book Antiqua" w:cs="Book Antiqua"/>
          <w:color w:val="000000"/>
        </w:rPr>
        <w:t xml:space="preserve">.In addition to the 0.5 mg or 1.0 mg dose data, entecavir retained a wide margin of safety at a much higher dose </w:t>
      </w:r>
      <w:r w:rsidR="0067211C">
        <w:rPr>
          <w:rFonts w:ascii="Book Antiqua" w:eastAsia="Book Antiqua" w:hAnsi="Book Antiqua" w:cs="Book Antiqua"/>
          <w:color w:val="000000"/>
        </w:rPr>
        <w:t>(</w:t>
      </w:r>
      <w:r w:rsidRPr="00B44FA3">
        <w:rPr>
          <w:rFonts w:ascii="Book Antiqua" w:eastAsia="Book Antiqua" w:hAnsi="Book Antiqua" w:cs="Book Antiqua"/>
          <w:color w:val="000000"/>
        </w:rPr>
        <w:t>2.5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20 mg/d</w:t>
      </w:r>
      <w:r w:rsidR="0067211C">
        <w:rPr>
          <w:rFonts w:ascii="Book Antiqua" w:eastAsia="Book Antiqua" w:hAnsi="Book Antiqua" w:cs="Book Antiqua"/>
          <w:color w:val="000000"/>
        </w:rPr>
        <w:t>;</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Table 2</w:t>
      </w:r>
      <w:r w:rsidR="00A43EFD" w:rsidRPr="00B44FA3">
        <w:rPr>
          <w:rFonts w:ascii="Book Antiqua" w:hAnsi="Book Antiqua" w:cs="Book Antiqua"/>
          <w:color w:val="000000"/>
          <w:lang w:eastAsia="zh-CN"/>
        </w:rPr>
        <w:t>f</w:t>
      </w:r>
      <w:r w:rsidRPr="00B44FA3">
        <w:rPr>
          <w:rFonts w:ascii="Book Antiqua" w:eastAsia="Book Antiqua" w:hAnsi="Book Antiqua" w:cs="Book Antiqua"/>
          <w:color w:val="000000"/>
        </w:rPr>
        <w:t xml:space="preserve">). Surprisingly, in the clinical studies A1463004 and A1463005, the subjects participated in both the trials </w:t>
      </w:r>
      <w:r w:rsidR="004C576F" w:rsidRPr="00B44FA3">
        <w:rPr>
          <w:rFonts w:ascii="Book Antiqua" w:eastAsia="Book Antiqua" w:hAnsi="Book Antiqua" w:cs="Book Antiqua"/>
          <w:color w:val="000000"/>
        </w:rPr>
        <w:t>(1</w:t>
      </w:r>
      <w:r w:rsidRPr="00B44FA3">
        <w:rPr>
          <w:rFonts w:ascii="Book Antiqua" w:eastAsia="Book Antiqua" w:hAnsi="Book Antiqua" w:cs="Book Antiqua"/>
          <w:color w:val="000000"/>
        </w:rPr>
        <w:t>) most common treatment emergency adverse event study</w:t>
      </w:r>
      <w:r w:rsidR="004C576F" w:rsidRPr="00B44FA3">
        <w:rPr>
          <w:rFonts w:ascii="Book Antiqua" w:eastAsia="Book Antiqua" w:hAnsi="Book Antiqua" w:cs="Book Antiqua"/>
          <w:color w:val="000000"/>
        </w:rPr>
        <w:t>;</w:t>
      </w:r>
      <w:r w:rsidRPr="00B44FA3">
        <w:rPr>
          <w:rFonts w:ascii="Book Antiqua" w:eastAsia="Book Antiqua" w:hAnsi="Book Antiqua" w:cs="Book Antiqua"/>
          <w:color w:val="000000"/>
        </w:rPr>
        <w:t xml:space="preserve"> and </w:t>
      </w:r>
      <w:r w:rsidR="004C576F" w:rsidRPr="00B44FA3">
        <w:rPr>
          <w:rFonts w:ascii="Book Antiqua" w:eastAsia="Book Antiqua" w:hAnsi="Book Antiqua" w:cs="Book Antiqua"/>
          <w:color w:val="000000"/>
        </w:rPr>
        <w:t>(2</w:t>
      </w:r>
      <w:r w:rsidRPr="00B44FA3">
        <w:rPr>
          <w:rFonts w:ascii="Book Antiqua" w:eastAsia="Book Antiqua" w:hAnsi="Book Antiqua" w:cs="Book Antiqua"/>
          <w:color w:val="000000"/>
        </w:rPr>
        <w:t>) the overall incidence of adverse events research. This indicated that the emergency adverse event only occurred at the initial stage of entecavir treatment, and it disappeared with continued entecavir treatment.</w:t>
      </w:r>
    </w:p>
    <w:p w14:paraId="44758192" w14:textId="474DE5B7" w:rsidR="00A77B3E" w:rsidRPr="00B44FA3" w:rsidRDefault="001612DD" w:rsidP="00E5667A">
      <w:pPr>
        <w:spacing w:line="360" w:lineRule="auto"/>
        <w:ind w:firstLine="420"/>
        <w:jc w:val="both"/>
        <w:rPr>
          <w:rFonts w:ascii="Book Antiqua" w:hAnsi="Book Antiqua"/>
        </w:rPr>
      </w:pPr>
      <w:r w:rsidRPr="00B44FA3">
        <w:rPr>
          <w:rFonts w:ascii="Book Antiqua" w:eastAsia="Book Antiqua" w:hAnsi="Book Antiqua" w:cs="Book Antiqua"/>
          <w:color w:val="000000"/>
        </w:rPr>
        <w:t xml:space="preserve">Further studies focused on cardiovascular adverse events during entecavir treatment. First, researchers conducted </w:t>
      </w:r>
      <w:r w:rsidRPr="00B44FA3">
        <w:rPr>
          <w:rFonts w:ascii="Book Antiqua" w:eastAsia="Book Antiqua" w:hAnsi="Book Antiqua" w:cs="Book Antiqua"/>
          <w:i/>
          <w:iCs/>
          <w:color w:val="000000"/>
        </w:rPr>
        <w:t>in vitro</w:t>
      </w:r>
      <w:r w:rsidRPr="00B44FA3">
        <w:rPr>
          <w:rFonts w:ascii="Book Antiqua" w:eastAsia="Book Antiqua" w:hAnsi="Book Antiqua" w:cs="Book Antiqua"/>
          <w:color w:val="000000"/>
        </w:rPr>
        <w:t xml:space="preserve"> studies to assess the cardiovascular safety of entecavir. The researchers evaluated the possibility of entecavir</w:t>
      </w:r>
      <w:r w:rsidR="00315DD2">
        <w:rPr>
          <w:rFonts w:ascii="Book Antiqua" w:eastAsia="Book Antiqua" w:hAnsi="Book Antiqua" w:cs="Book Antiqua"/>
          <w:color w:val="000000"/>
        </w:rPr>
        <w:t xml:space="preserve"> </w:t>
      </w:r>
      <w:r w:rsidR="0067211C">
        <w:rPr>
          <w:rFonts w:ascii="Book Antiqua" w:eastAsia="Book Antiqua" w:hAnsi="Book Antiqua" w:cs="Book Antiqua"/>
          <w:color w:val="000000"/>
        </w:rPr>
        <w:t xml:space="preserve">to </w:t>
      </w:r>
      <w:r w:rsidR="0067211C" w:rsidRPr="00B44FA3">
        <w:rPr>
          <w:rFonts w:ascii="Book Antiqua" w:eastAsia="Book Antiqua" w:hAnsi="Book Antiqua" w:cs="Book Antiqua"/>
          <w:color w:val="000000"/>
        </w:rPr>
        <w:t>interfer</w:t>
      </w:r>
      <w:r w:rsidR="0067211C">
        <w:rPr>
          <w:rFonts w:ascii="Book Antiqua" w:eastAsia="Book Antiqua" w:hAnsi="Book Antiqua" w:cs="Book Antiqua"/>
          <w:color w:val="000000"/>
        </w:rPr>
        <w:t>e</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 xml:space="preserve">with cardiac calcium and potassium currents or the electrophysiological parameters. </w:t>
      </w:r>
      <w:r w:rsidR="0067211C">
        <w:rPr>
          <w:rFonts w:ascii="Book Antiqua" w:eastAsia="Book Antiqua" w:hAnsi="Book Antiqua" w:cs="Book Antiqua"/>
          <w:color w:val="000000"/>
        </w:rPr>
        <w:t>E</w:t>
      </w:r>
      <w:r w:rsidR="0067211C" w:rsidRPr="00B44FA3">
        <w:rPr>
          <w:rFonts w:ascii="Book Antiqua" w:eastAsia="Book Antiqua" w:hAnsi="Book Antiqua" w:cs="Book Antiqua"/>
          <w:color w:val="000000"/>
        </w:rPr>
        <w:t>ntecarir</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w:t>
      </w:r>
      <w:r w:rsidR="0067211C" w:rsidRPr="00B44FA3">
        <w:rPr>
          <w:rFonts w:ascii="Book Antiqua" w:eastAsia="Book Antiqua" w:hAnsi="Book Antiqua" w:cs="Book Antiqua"/>
          <w:color w:val="000000"/>
        </w:rPr>
        <w:t>30 μM</w:t>
      </w:r>
      <w:r w:rsidR="0067211C">
        <w:rPr>
          <w:rFonts w:ascii="Book Antiqua" w:eastAsia="宋体" w:hAnsi="Book Antiqua" w:cs="宋体"/>
          <w:color w:val="000000"/>
          <w:lang w:eastAsia="zh-CN"/>
        </w:rPr>
        <w:t xml:space="preserve">, </w:t>
      </w:r>
      <w:r w:rsidR="004C576F" w:rsidRPr="00B44FA3">
        <w:rPr>
          <w:rFonts w:ascii="Book Antiqua" w:eastAsia="宋体" w:hAnsi="Book Antiqua" w:cs="宋体"/>
          <w:color w:val="000000"/>
          <w:lang w:eastAsia="zh-CN"/>
        </w:rPr>
        <w:t>&gt;</w:t>
      </w:r>
      <w:r w:rsidR="00315DD2">
        <w:rPr>
          <w:rFonts w:ascii="Book Antiqua" w:eastAsia="宋体" w:hAnsi="Book Antiqua" w:cs="宋体"/>
          <w:color w:val="000000"/>
          <w:lang w:eastAsia="zh-CN"/>
        </w:rPr>
        <w:t xml:space="preserve"> </w:t>
      </w:r>
      <w:r w:rsidRPr="00B44FA3">
        <w:rPr>
          <w:rFonts w:ascii="Book Antiqua" w:eastAsia="Book Antiqua" w:hAnsi="Book Antiqua" w:cs="Book Antiqua"/>
          <w:color w:val="000000"/>
        </w:rPr>
        <w:t>10000</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the steady-state human plasma concentrations</w:t>
      </w:r>
      <w:r w:rsidRPr="00B44FA3">
        <w:rPr>
          <w:rFonts w:ascii="Book Antiqua" w:eastAsia="Book Antiqua" w:hAnsi="Book Antiqua" w:cs="Book Antiqua"/>
          <w:color w:val="000000"/>
          <w:vertAlign w:val="superscript"/>
        </w:rPr>
        <w:t>[3</w:t>
      </w:r>
      <w:r w:rsidR="00505A74" w:rsidRPr="00B44FA3">
        <w:rPr>
          <w:rFonts w:ascii="Book Antiqua" w:eastAsia="Book Antiqua" w:hAnsi="Book Antiqua" w:cs="Book Antiqua"/>
          <w:color w:val="000000"/>
          <w:vertAlign w:val="superscript"/>
        </w:rPr>
        <w:t>0</w:t>
      </w:r>
      <w:r w:rsidRPr="00B44FA3">
        <w:rPr>
          <w:rFonts w:ascii="Book Antiqua" w:eastAsia="Book Antiqua" w:hAnsi="Book Antiqua" w:cs="Book Antiqua"/>
          <w:color w:val="000000"/>
          <w:vertAlign w:val="superscript"/>
        </w:rPr>
        <w:t>]</w:t>
      </w:r>
      <w:r w:rsidRPr="00B44FA3">
        <w:rPr>
          <w:rFonts w:ascii="Book Antiqua" w:eastAsia="Book Antiqua" w:hAnsi="Book Antiqua" w:cs="Book Antiqua"/>
          <w:color w:val="000000"/>
        </w:rPr>
        <w:t>) did not have any significant biological effect on the L-type calcium currents or the Purkinje fiber action potential parameters</w:t>
      </w:r>
      <w:r w:rsidR="004C576F" w:rsidRPr="00B44FA3">
        <w:rPr>
          <w:rFonts w:ascii="Book Antiqua" w:eastAsia="Book Antiqua" w:hAnsi="Book Antiqua" w:cs="Book Antiqua"/>
          <w:color w:val="000000"/>
        </w:rPr>
        <w:t>[</w:t>
      </w:r>
      <w:r w:rsidRPr="00B44FA3">
        <w:rPr>
          <w:rFonts w:ascii="Book Antiqua" w:eastAsia="Book Antiqua" w:hAnsi="Book Antiqua" w:cs="Book Antiqua"/>
          <w:color w:val="000000"/>
        </w:rPr>
        <w:t>including the resting membrane potential, overshoot, maximal upstroke velocity, or 50%–90% repolarization (APD</w:t>
      </w:r>
      <w:r w:rsidRPr="00B44FA3">
        <w:rPr>
          <w:rFonts w:ascii="Book Antiqua" w:eastAsia="Book Antiqua" w:hAnsi="Book Antiqua" w:cs="Book Antiqua"/>
          <w:color w:val="000000"/>
          <w:vertAlign w:val="subscript"/>
        </w:rPr>
        <w:t>50</w:t>
      </w:r>
      <w:r w:rsidRPr="00B44FA3">
        <w:rPr>
          <w:rFonts w:ascii="Book Antiqua" w:eastAsia="Book Antiqua" w:hAnsi="Book Antiqua" w:cs="Book Antiqua"/>
          <w:color w:val="000000"/>
        </w:rPr>
        <w:t xml:space="preserve"> and APD</w:t>
      </w:r>
      <w:r w:rsidRPr="00B44FA3">
        <w:rPr>
          <w:rFonts w:ascii="Book Antiqua" w:eastAsia="Book Antiqua" w:hAnsi="Book Antiqua" w:cs="Book Antiqua"/>
          <w:color w:val="000000"/>
          <w:vertAlign w:val="subscript"/>
        </w:rPr>
        <w:t>90</w:t>
      </w:r>
      <w:r w:rsidRPr="00B44FA3">
        <w:rPr>
          <w:rFonts w:ascii="Book Antiqua" w:eastAsia="Book Antiqua" w:hAnsi="Book Antiqua" w:cs="Book Antiqua"/>
          <w:color w:val="000000"/>
        </w:rPr>
        <w:t>)</w:t>
      </w:r>
      <w:r w:rsidR="004C576F" w:rsidRPr="00B44FA3">
        <w:rPr>
          <w:rFonts w:ascii="Book Antiqua" w:eastAsia="Book Antiqua" w:hAnsi="Book Antiqua" w:cs="Book Antiqua"/>
          <w:color w:val="000000"/>
        </w:rPr>
        <w:t>]</w:t>
      </w:r>
      <w:r w:rsidRPr="00B44FA3">
        <w:rPr>
          <w:rFonts w:ascii="Book Antiqua" w:eastAsia="Book Antiqua" w:hAnsi="Book Antiqua" w:cs="Book Antiqua"/>
          <w:color w:val="000000"/>
        </w:rPr>
        <w:t>.</w:t>
      </w:r>
    </w:p>
    <w:p w14:paraId="6AF8A48A" w14:textId="133618F4" w:rsidR="00A77B3E" w:rsidRPr="00B44FA3" w:rsidRDefault="001612DD" w:rsidP="00E5667A">
      <w:pPr>
        <w:spacing w:line="360" w:lineRule="auto"/>
        <w:ind w:firstLine="420"/>
        <w:jc w:val="both"/>
        <w:rPr>
          <w:rFonts w:ascii="Book Antiqua" w:hAnsi="Book Antiqua"/>
        </w:rPr>
      </w:pPr>
      <w:r w:rsidRPr="00B44FA3">
        <w:rPr>
          <w:rFonts w:ascii="Book Antiqua" w:eastAsia="Book Antiqua" w:hAnsi="Book Antiqua" w:cs="Book Antiqua"/>
          <w:color w:val="000000"/>
        </w:rPr>
        <w:t>Furthermore, researchers carried out clinical trials using entecavir doses to evaluate untoward cardiac effects (Table 2</w:t>
      </w:r>
      <w:r w:rsidR="00A43EFD" w:rsidRPr="00B44FA3">
        <w:rPr>
          <w:rFonts w:ascii="Book Antiqua" w:hAnsi="Book Antiqua" w:cs="Book Antiqua"/>
          <w:color w:val="000000"/>
          <w:lang w:eastAsia="zh-CN"/>
        </w:rPr>
        <w:t>f</w:t>
      </w:r>
      <w:r w:rsidRPr="00B44FA3">
        <w:rPr>
          <w:rFonts w:ascii="Book Antiqua" w:eastAsia="Book Antiqua" w:hAnsi="Book Antiqua" w:cs="Book Antiqua"/>
          <w:color w:val="000000"/>
        </w:rPr>
        <w:t>). Electrocardiogram (ECG) parameters were evaluated over a range of entecavir doses (0.1</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40</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mg). The retrospective ECG analysis parameters were used to evaluate</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the effects of entecavir. The results were as follows: (</w:t>
      </w:r>
      <w:r w:rsidR="004C576F" w:rsidRPr="00B44FA3">
        <w:rPr>
          <w:rFonts w:ascii="Book Antiqua" w:eastAsia="Book Antiqua" w:hAnsi="Book Antiqua" w:cs="Book Antiqua"/>
          <w:color w:val="000000"/>
        </w:rPr>
        <w:t>1</w:t>
      </w:r>
      <w:r w:rsidRPr="00B44FA3">
        <w:rPr>
          <w:rFonts w:ascii="Book Antiqua" w:eastAsia="Book Antiqua" w:hAnsi="Book Antiqua" w:cs="Book Antiqua"/>
          <w:color w:val="000000"/>
        </w:rPr>
        <w:t xml:space="preserve">) </w:t>
      </w:r>
      <w:r w:rsidR="00096AA1">
        <w:rPr>
          <w:rFonts w:ascii="Book Antiqua" w:eastAsia="Book Antiqua" w:hAnsi="Book Antiqua" w:cs="Book Antiqua"/>
          <w:color w:val="000000"/>
        </w:rPr>
        <w:t>N</w:t>
      </w:r>
      <w:r w:rsidR="00096AA1" w:rsidRPr="00B44FA3">
        <w:rPr>
          <w:rFonts w:ascii="Book Antiqua" w:eastAsia="Book Antiqua" w:hAnsi="Book Antiqua" w:cs="Book Antiqua"/>
          <w:color w:val="000000"/>
        </w:rPr>
        <w:t xml:space="preserve">o </w:t>
      </w:r>
      <w:r w:rsidRPr="00B44FA3">
        <w:rPr>
          <w:rFonts w:ascii="Book Antiqua" w:eastAsia="Book Antiqua" w:hAnsi="Book Antiqua" w:cs="Book Antiqua"/>
          <w:color w:val="000000"/>
        </w:rPr>
        <w:t>dose-or concentration-dependent relationships between the QT interval or changes in the QTc were observed for entecavir doses of 0.5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20 mg for up to 14 d or as a single dose of 0.5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40 mg</w:t>
      </w:r>
      <w:r w:rsidR="004C576F" w:rsidRPr="00B44FA3">
        <w:rPr>
          <w:rFonts w:ascii="Book Antiqua" w:eastAsia="Book Antiqua" w:hAnsi="Book Antiqua" w:cs="Book Antiqua"/>
          <w:color w:val="000000"/>
        </w:rPr>
        <w:t>; and</w:t>
      </w:r>
      <w:r w:rsidRPr="00B44FA3">
        <w:rPr>
          <w:rFonts w:ascii="Book Antiqua" w:eastAsia="Book Antiqua" w:hAnsi="Book Antiqua" w:cs="Book Antiqua"/>
          <w:color w:val="000000"/>
        </w:rPr>
        <w:t xml:space="preserve"> (</w:t>
      </w:r>
      <w:r w:rsidR="004C576F" w:rsidRPr="00B44FA3">
        <w:rPr>
          <w:rFonts w:ascii="Book Antiqua" w:eastAsia="Book Antiqua" w:hAnsi="Book Antiqua" w:cs="Book Antiqua"/>
          <w:color w:val="000000"/>
        </w:rPr>
        <w:t>2</w:t>
      </w:r>
      <w:r w:rsidRPr="00B44FA3">
        <w:rPr>
          <w:rFonts w:ascii="Book Antiqua" w:eastAsia="Book Antiqua" w:hAnsi="Book Antiqua" w:cs="Book Antiqua"/>
          <w:color w:val="000000"/>
        </w:rPr>
        <w:t xml:space="preserve">) </w:t>
      </w:r>
      <w:r w:rsidR="00096AA1">
        <w:rPr>
          <w:rFonts w:ascii="Book Antiqua" w:eastAsia="Book Antiqua" w:hAnsi="Book Antiqua" w:cs="Book Antiqua"/>
          <w:color w:val="000000"/>
        </w:rPr>
        <w:t>f</w:t>
      </w:r>
      <w:r w:rsidR="00096AA1" w:rsidRPr="00B44FA3">
        <w:rPr>
          <w:rFonts w:ascii="Book Antiqua" w:eastAsia="Book Antiqua" w:hAnsi="Book Antiqua" w:cs="Book Antiqua"/>
          <w:color w:val="000000"/>
        </w:rPr>
        <w:t xml:space="preserve">or </w:t>
      </w:r>
      <w:r w:rsidRPr="00B44FA3">
        <w:rPr>
          <w:rFonts w:ascii="Book Antiqua" w:eastAsia="Book Antiqua" w:hAnsi="Book Antiqua" w:cs="Book Antiqua"/>
          <w:color w:val="000000"/>
        </w:rPr>
        <w:t xml:space="preserve">each additional 10 ng/mL of plasma concentration, an estimated increase in the change in QTcB ranged from-1.22 to 0.22 msec. The estimated slope of the linear regression at </w:t>
      </w:r>
      <w:r w:rsidR="004C576F" w:rsidRPr="00B44FA3">
        <w:rPr>
          <w:rFonts w:ascii="Book Antiqua" w:eastAsia="Book Antiqua" w:hAnsi="Book Antiqua" w:cs="Book Antiqua"/>
          <w:color w:val="000000"/>
        </w:rPr>
        <w:t>d</w:t>
      </w:r>
      <w:r w:rsidRPr="00B44FA3">
        <w:rPr>
          <w:rFonts w:ascii="Book Antiqua" w:eastAsia="Book Antiqua" w:hAnsi="Book Antiqua" w:cs="Book Antiqua"/>
          <w:color w:val="000000"/>
        </w:rPr>
        <w:t xml:space="preserve">ay 1 was slightly greater than zero, whereas the estimated slope on </w:t>
      </w:r>
      <w:r w:rsidR="004C576F" w:rsidRPr="00B44FA3">
        <w:rPr>
          <w:rFonts w:ascii="Book Antiqua" w:eastAsia="Book Antiqua" w:hAnsi="Book Antiqua" w:cs="Book Antiqua"/>
          <w:color w:val="000000"/>
        </w:rPr>
        <w:t>d</w:t>
      </w:r>
      <w:r w:rsidRPr="00B44FA3">
        <w:rPr>
          <w:rFonts w:ascii="Book Antiqua" w:eastAsia="Book Antiqua" w:hAnsi="Book Antiqua" w:cs="Book Antiqua"/>
          <w:color w:val="000000"/>
        </w:rPr>
        <w:t>ay</w:t>
      </w:r>
      <w:r w:rsidR="00096AA1">
        <w:rPr>
          <w:rFonts w:ascii="Book Antiqua" w:eastAsia="Book Antiqua" w:hAnsi="Book Antiqua" w:cs="Book Antiqua"/>
          <w:color w:val="000000"/>
        </w:rPr>
        <w:t>s</w:t>
      </w:r>
      <w:r w:rsidRPr="00B44FA3">
        <w:rPr>
          <w:rFonts w:ascii="Book Antiqua" w:eastAsia="Book Antiqua" w:hAnsi="Book Antiqua" w:cs="Book Antiqua"/>
          <w:color w:val="000000"/>
        </w:rPr>
        <w:t xml:space="preserve"> 7 and 14</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was negative (Table 2</w:t>
      </w:r>
      <w:r w:rsidR="002C241D" w:rsidRPr="00B44FA3">
        <w:rPr>
          <w:rFonts w:ascii="Book Antiqua" w:hAnsi="Book Antiqua" w:cs="Book Antiqua"/>
          <w:color w:val="000000"/>
          <w:lang w:eastAsia="zh-CN"/>
        </w:rPr>
        <w:t>g</w:t>
      </w:r>
      <w:r w:rsidRPr="00B44FA3">
        <w:rPr>
          <w:rFonts w:ascii="Book Antiqua" w:eastAsia="Book Antiqua" w:hAnsi="Book Antiqua" w:cs="Book Antiqua"/>
          <w:color w:val="000000"/>
        </w:rPr>
        <w:t xml:space="preserve">). The </w:t>
      </w:r>
      <w:r w:rsidRPr="00B44FA3">
        <w:rPr>
          <w:rFonts w:ascii="Book Antiqua" w:eastAsia="Book Antiqua" w:hAnsi="Book Antiqua" w:cs="Book Antiqua"/>
          <w:i/>
          <w:iCs/>
          <w:color w:val="000000"/>
        </w:rPr>
        <w:t>in vitro</w:t>
      </w:r>
      <w:r w:rsidRPr="00B44FA3">
        <w:rPr>
          <w:rFonts w:ascii="Book Antiqua" w:eastAsia="Book Antiqua" w:hAnsi="Book Antiqua" w:cs="Book Antiqua"/>
          <w:color w:val="000000"/>
        </w:rPr>
        <w:t xml:space="preserve"> data and the ECG data from six clinical studies suggested that QT or QTc interval prolongation potential of entecavir was minimal. Thus, entecavir therapy was considered safe for the cardiovascular system.</w:t>
      </w:r>
    </w:p>
    <w:p w14:paraId="5FCD2E8D" w14:textId="3BB56040" w:rsidR="00A77B3E" w:rsidRPr="00B44FA3" w:rsidRDefault="001612DD" w:rsidP="00E5667A">
      <w:pPr>
        <w:spacing w:line="360" w:lineRule="auto"/>
        <w:ind w:firstLine="420"/>
        <w:jc w:val="both"/>
        <w:rPr>
          <w:rFonts w:ascii="Book Antiqua" w:hAnsi="Book Antiqua"/>
        </w:rPr>
      </w:pPr>
      <w:r w:rsidRPr="00B44FA3">
        <w:rPr>
          <w:rFonts w:ascii="Book Antiqua" w:eastAsia="Book Antiqua" w:hAnsi="Book Antiqua" w:cs="Book Antiqua"/>
          <w:color w:val="000000"/>
        </w:rPr>
        <w:t xml:space="preserve">In 2005, 0.5 mg/d entecavir for nucleoside-naïve patients and 1.0 mg/d for lamivudine-refractory patients </w:t>
      </w:r>
      <w:r w:rsidR="00096AA1" w:rsidRPr="00B44FA3">
        <w:rPr>
          <w:rFonts w:ascii="Book Antiqua" w:eastAsia="Book Antiqua" w:hAnsi="Book Antiqua" w:cs="Book Antiqua"/>
          <w:color w:val="000000"/>
        </w:rPr>
        <w:t>w</w:t>
      </w:r>
      <w:r w:rsidR="00096AA1">
        <w:rPr>
          <w:rFonts w:ascii="Book Antiqua" w:eastAsia="Book Antiqua" w:hAnsi="Book Antiqua" w:cs="Book Antiqua"/>
          <w:color w:val="000000"/>
        </w:rPr>
        <w:t>ere</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 xml:space="preserve">approved by the FDA for treating CHB, and these doses have been used to this day. </w:t>
      </w:r>
    </w:p>
    <w:p w14:paraId="5D7FD121" w14:textId="77777777" w:rsidR="00A77B3E" w:rsidRPr="00B44FA3" w:rsidRDefault="00A77B3E" w:rsidP="00E5667A">
      <w:pPr>
        <w:spacing w:line="360" w:lineRule="auto"/>
        <w:ind w:firstLine="420"/>
        <w:jc w:val="both"/>
        <w:rPr>
          <w:rFonts w:ascii="Book Antiqua" w:hAnsi="Book Antiqua"/>
        </w:rPr>
      </w:pPr>
    </w:p>
    <w:p w14:paraId="0B86CD23" w14:textId="77777777"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b/>
          <w:bCs/>
          <w:i/>
          <w:iCs/>
          <w:color w:val="000000"/>
        </w:rPr>
        <w:t>Insights from Bergman’s review</w:t>
      </w:r>
    </w:p>
    <w:p w14:paraId="4D786BA4" w14:textId="6DAE0C06" w:rsidR="00A77B3E" w:rsidRPr="00B44FA3" w:rsidRDefault="0043685D" w:rsidP="00E5667A">
      <w:pPr>
        <w:spacing w:line="360" w:lineRule="auto"/>
        <w:jc w:val="both"/>
        <w:rPr>
          <w:rFonts w:ascii="Book Antiqua" w:hAnsi="Book Antiqua"/>
        </w:rPr>
      </w:pPr>
      <w:r>
        <w:rPr>
          <w:rFonts w:ascii="Book Antiqua" w:eastAsia="Book Antiqua" w:hAnsi="Book Antiqua" w:cs="Book Antiqua"/>
          <w:color w:val="000000"/>
        </w:rPr>
        <w:t>D</w:t>
      </w:r>
      <w:r w:rsidR="001612DD" w:rsidRPr="00B44FA3">
        <w:rPr>
          <w:rFonts w:ascii="Book Antiqua" w:eastAsia="Book Antiqua" w:hAnsi="Book Antiqua" w:cs="Book Antiqua"/>
          <w:color w:val="000000"/>
        </w:rPr>
        <w:t>ouble-blind, randomized clinical studies showed that entecavir doses 2.5</w:t>
      </w:r>
      <w:r w:rsidR="004C576F" w:rsidRPr="00B44FA3">
        <w:rPr>
          <w:rFonts w:ascii="Book Antiqua" w:eastAsia="宋体" w:hAnsi="Book Antiqua" w:cs="宋体"/>
          <w:color w:val="000000"/>
          <w:lang w:eastAsia="zh-CN"/>
        </w:rPr>
        <w:t>-</w:t>
      </w:r>
      <w:r w:rsidR="001612DD" w:rsidRPr="00B44FA3">
        <w:rPr>
          <w:rFonts w:ascii="Book Antiqua" w:eastAsia="Book Antiqua" w:hAnsi="Book Antiqua" w:cs="Book Antiqua"/>
          <w:color w:val="000000"/>
        </w:rPr>
        <w:t>20 mg/d for 14 d did not increase adverse events. In addition, three main findings were presented</w:t>
      </w:r>
      <w:r>
        <w:rPr>
          <w:rFonts w:ascii="Book Antiqua" w:eastAsia="Book Antiqua" w:hAnsi="Book Antiqua" w:cs="Book Antiqua"/>
          <w:color w:val="000000"/>
        </w:rPr>
        <w:t>:</w:t>
      </w:r>
      <w:r w:rsidR="001612DD" w:rsidRPr="00B44FA3">
        <w:rPr>
          <w:rFonts w:ascii="Book Antiqua" w:eastAsia="Book Antiqua" w:hAnsi="Book Antiqua" w:cs="Book Antiqua"/>
          <w:color w:val="000000"/>
        </w:rPr>
        <w:t xml:space="preserve"> (</w:t>
      </w:r>
      <w:r w:rsidR="004C576F" w:rsidRPr="00B44FA3">
        <w:rPr>
          <w:rFonts w:ascii="Book Antiqua" w:eastAsia="Book Antiqua" w:hAnsi="Book Antiqua" w:cs="Book Antiqua"/>
          <w:color w:val="000000"/>
        </w:rPr>
        <w:t>1</w:t>
      </w:r>
      <w:r w:rsidR="001612DD" w:rsidRPr="00B44FA3">
        <w:rPr>
          <w:rFonts w:ascii="Book Antiqua" w:eastAsia="Book Antiqua" w:hAnsi="Book Antiqua" w:cs="Book Antiqua"/>
          <w:color w:val="000000"/>
        </w:rPr>
        <w:t xml:space="preserve">) </w:t>
      </w:r>
      <w:r>
        <w:rPr>
          <w:rFonts w:ascii="Book Antiqua" w:eastAsia="Book Antiqua" w:hAnsi="Book Antiqua" w:cs="Book Antiqua"/>
          <w:color w:val="000000"/>
        </w:rPr>
        <w:t>T</w:t>
      </w:r>
      <w:r w:rsidR="001612DD" w:rsidRPr="00B44FA3">
        <w:rPr>
          <w:rFonts w:ascii="Book Antiqua" w:eastAsia="Book Antiqua" w:hAnsi="Book Antiqua" w:cs="Book Antiqua"/>
          <w:color w:val="000000"/>
        </w:rPr>
        <w:t xml:space="preserve">he researchers had completed </w:t>
      </w:r>
      <w:r w:rsidR="004C576F" w:rsidRPr="00B44FA3">
        <w:rPr>
          <w:rFonts w:ascii="Book Antiqua" w:eastAsia="Book Antiqua" w:hAnsi="Book Antiqua" w:cs="Book Antiqua"/>
          <w:color w:val="000000"/>
        </w:rPr>
        <w:t>p</w:t>
      </w:r>
      <w:r w:rsidR="001612DD" w:rsidRPr="00B44FA3">
        <w:rPr>
          <w:rFonts w:ascii="Book Antiqua" w:eastAsia="Book Antiqua" w:hAnsi="Book Antiqua" w:cs="Book Antiqua"/>
          <w:color w:val="000000"/>
        </w:rPr>
        <w:t>hase</w:t>
      </w:r>
      <w:r>
        <w:rPr>
          <w:rFonts w:ascii="Book Antiqua" w:eastAsia="Book Antiqua" w:hAnsi="Book Antiqua" w:cs="Book Antiqua"/>
          <w:color w:val="000000"/>
        </w:rPr>
        <w:t>s</w:t>
      </w:r>
      <w:r w:rsidR="001612DD" w:rsidRPr="00B44FA3">
        <w:rPr>
          <w:rFonts w:ascii="Book Antiqua" w:eastAsia="Book Antiqua" w:hAnsi="Book Antiqua" w:cs="Book Antiqua"/>
          <w:color w:val="000000"/>
        </w:rPr>
        <w:t xml:space="preserve"> 1 and 2 clinical studies for entecavir over </w:t>
      </w:r>
      <w:r>
        <w:rPr>
          <w:rFonts w:ascii="Book Antiqua" w:eastAsia="Book Antiqua" w:hAnsi="Book Antiqua" w:cs="Book Antiqua"/>
          <w:color w:val="000000"/>
        </w:rPr>
        <w:t xml:space="preserve">a </w:t>
      </w:r>
      <w:r w:rsidR="001612DD" w:rsidRPr="00B44FA3">
        <w:rPr>
          <w:rFonts w:ascii="Book Antiqua" w:eastAsia="Book Antiqua" w:hAnsi="Book Antiqua" w:cs="Book Antiqua"/>
          <w:color w:val="000000"/>
        </w:rPr>
        <w:t>range of doses</w:t>
      </w:r>
      <w:r w:rsidR="00315DD2">
        <w:rPr>
          <w:rFonts w:ascii="Book Antiqua" w:eastAsia="Book Antiqua" w:hAnsi="Book Antiqua" w:cs="Book Antiqua"/>
          <w:color w:val="000000"/>
        </w:rPr>
        <w:t xml:space="preserve"> </w:t>
      </w:r>
      <w:r w:rsidR="001612DD" w:rsidRPr="00B44FA3">
        <w:rPr>
          <w:rFonts w:ascii="Book Antiqua" w:eastAsia="Book Antiqua" w:hAnsi="Book Antiqua" w:cs="Book Antiqua"/>
          <w:color w:val="000000"/>
        </w:rPr>
        <w:t>(0.1 up to 20 mg/d); (</w:t>
      </w:r>
      <w:r w:rsidR="004C576F" w:rsidRPr="00B44FA3">
        <w:rPr>
          <w:rFonts w:ascii="Book Antiqua" w:eastAsia="Book Antiqua" w:hAnsi="Book Antiqua" w:cs="Book Antiqua"/>
          <w:color w:val="000000"/>
        </w:rPr>
        <w:t>2</w:t>
      </w:r>
      <w:r w:rsidR="001612DD" w:rsidRPr="00B44FA3">
        <w:rPr>
          <w:rFonts w:ascii="Book Antiqua" w:eastAsia="Book Antiqua" w:hAnsi="Book Antiqua" w:cs="Book Antiqua"/>
          <w:color w:val="000000"/>
        </w:rPr>
        <w:t>) the correlation between AUC values in the plasma and</w:t>
      </w:r>
      <w:r w:rsidR="00315DD2">
        <w:rPr>
          <w:rFonts w:ascii="Book Antiqua" w:eastAsia="Book Antiqua" w:hAnsi="Book Antiqua" w:cs="Book Antiqua"/>
          <w:color w:val="000000"/>
        </w:rPr>
        <w:t xml:space="preserve"> </w:t>
      </w:r>
      <w:r w:rsidR="001612DD" w:rsidRPr="00B44FA3">
        <w:rPr>
          <w:rFonts w:ascii="Book Antiqua" w:eastAsia="Book Antiqua" w:hAnsi="Book Antiqua" w:cs="Book Antiqua"/>
          <w:color w:val="000000"/>
        </w:rPr>
        <w:t xml:space="preserve">the entecavir doses of 0.1, 0.5, 1.0, 2.5, 5, 10, and 20 mg/d implied that using doses higher than 1.0 mg/d might improve the antiviral efficacy; </w:t>
      </w:r>
      <w:r w:rsidR="004C576F" w:rsidRPr="00B44FA3">
        <w:rPr>
          <w:rFonts w:ascii="Book Antiqua" w:eastAsia="Book Antiqua" w:hAnsi="Book Antiqua" w:cs="Book Antiqua"/>
          <w:color w:val="000000"/>
        </w:rPr>
        <w:t xml:space="preserve">and </w:t>
      </w:r>
      <w:r w:rsidR="001612DD" w:rsidRPr="00B44FA3">
        <w:rPr>
          <w:rFonts w:ascii="Book Antiqua" w:eastAsia="Book Antiqua" w:hAnsi="Book Antiqua" w:cs="Book Antiqua"/>
          <w:color w:val="000000"/>
        </w:rPr>
        <w:t>(</w:t>
      </w:r>
      <w:r w:rsidR="004C576F" w:rsidRPr="00B44FA3">
        <w:rPr>
          <w:rFonts w:ascii="Book Antiqua" w:eastAsia="Book Antiqua" w:hAnsi="Book Antiqua" w:cs="Book Antiqua"/>
          <w:color w:val="000000"/>
        </w:rPr>
        <w:t>3</w:t>
      </w:r>
      <w:r w:rsidR="001612DD" w:rsidRPr="00B44FA3">
        <w:rPr>
          <w:rFonts w:ascii="Book Antiqua" w:eastAsia="Book Antiqua" w:hAnsi="Book Antiqua" w:cs="Book Antiqua"/>
          <w:color w:val="000000"/>
        </w:rPr>
        <w:t>) the maximum dose of entecavir can exceed 20 mg/d.</w:t>
      </w:r>
    </w:p>
    <w:p w14:paraId="1FC647B3" w14:textId="77777777" w:rsidR="00A77B3E" w:rsidRPr="00E5667A" w:rsidRDefault="001612DD" w:rsidP="00E5667A">
      <w:pPr>
        <w:spacing w:line="360" w:lineRule="auto"/>
        <w:ind w:firstLine="420"/>
        <w:jc w:val="both"/>
        <w:rPr>
          <w:rFonts w:ascii="Book Antiqua" w:hAnsi="Book Antiqua"/>
        </w:rPr>
      </w:pPr>
      <w:r w:rsidRPr="00B44FA3">
        <w:rPr>
          <w:rFonts w:ascii="Book Antiqua" w:eastAsia="Book Antiqua" w:hAnsi="Book Antiqua" w:cs="Book Antiqua"/>
          <w:color w:val="000000"/>
        </w:rPr>
        <w:t>Thus, Bergman’s review indicated that increasing the dose of entecavir to 2.5</w:t>
      </w:r>
      <w:r w:rsidR="00EC0E60"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20 mg/d may improve its antiviral efficacy, and its use was safe over a broad range of doses (0.5 up to 20 mg/d).</w:t>
      </w:r>
    </w:p>
    <w:p w14:paraId="14B95EB2" w14:textId="77777777" w:rsidR="00A77B3E" w:rsidRPr="00E5667A" w:rsidRDefault="00A77B3E" w:rsidP="00E5667A">
      <w:pPr>
        <w:spacing w:line="360" w:lineRule="auto"/>
        <w:ind w:firstLine="420"/>
        <w:jc w:val="both"/>
        <w:rPr>
          <w:rFonts w:ascii="Book Antiqua" w:hAnsi="Book Antiqua"/>
        </w:rPr>
      </w:pPr>
    </w:p>
    <w:p w14:paraId="26727CC7"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INCREASING DOSE OF ENTECAVIR IN LLV PATIENTS</w:t>
      </w:r>
    </w:p>
    <w:p w14:paraId="112994EB" w14:textId="650D8454" w:rsidR="00A77B3E" w:rsidRPr="00E5667A" w:rsidRDefault="004A779E" w:rsidP="00E5667A">
      <w:pPr>
        <w:spacing w:line="360" w:lineRule="auto"/>
        <w:jc w:val="both"/>
        <w:rPr>
          <w:rFonts w:ascii="Book Antiqua" w:hAnsi="Book Antiqua"/>
        </w:rPr>
      </w:pPr>
      <w:r>
        <w:rPr>
          <w:rFonts w:ascii="Book Antiqua" w:eastAsia="Book Antiqua" w:hAnsi="Book Antiqua" w:cs="Book Antiqua"/>
          <w:color w:val="000000"/>
        </w:rPr>
        <w:t>I</w:t>
      </w:r>
      <w:r w:rsidR="001612DD" w:rsidRPr="00E5667A">
        <w:rPr>
          <w:rFonts w:ascii="Book Antiqua" w:eastAsia="Book Antiqua" w:hAnsi="Book Antiqua" w:cs="Book Antiqua"/>
          <w:color w:val="000000"/>
        </w:rPr>
        <w:t>n summary, data from clinical, pharmacokinetics</w:t>
      </w:r>
      <w:r>
        <w:rPr>
          <w:rFonts w:ascii="Book Antiqua" w:eastAsia="Book Antiqua" w:hAnsi="Book Antiqua" w:cs="Book Antiqua"/>
          <w:color w:val="000000"/>
        </w:rPr>
        <w:t>,</w:t>
      </w:r>
      <w:r w:rsidR="001612DD" w:rsidRPr="00E5667A">
        <w:rPr>
          <w:rFonts w:ascii="Book Antiqua" w:eastAsia="Book Antiqua" w:hAnsi="Book Antiqua" w:cs="Book Antiqua"/>
          <w:color w:val="000000"/>
        </w:rPr>
        <w:t xml:space="preserve"> and pharmacodynamics studies</w:t>
      </w:r>
      <w:r w:rsidR="00315DD2">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and</w:t>
      </w:r>
      <w:r w:rsidR="00315DD2">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the Bergman’s review</w:t>
      </w:r>
      <w:r w:rsidR="00315DD2">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 xml:space="preserve">showed that entecavir doses at over 1.0 mg/d improved efficacy and were safe. We hypothesized that patients with </w:t>
      </w:r>
      <w:r w:rsidR="00315DD2">
        <w:rPr>
          <w:rFonts w:ascii="Book Antiqua" w:eastAsia="Book Antiqua" w:hAnsi="Book Antiqua" w:cs="Book Antiqua"/>
          <w:color w:val="000000"/>
        </w:rPr>
        <w:t>p</w:t>
      </w:r>
      <w:r w:rsidR="00315DD2" w:rsidRPr="00315DD2">
        <w:rPr>
          <w:rFonts w:ascii="Book Antiqua" w:eastAsia="Book Antiqua" w:hAnsi="Book Antiqua" w:cs="Book Antiqua"/>
          <w:color w:val="000000"/>
        </w:rPr>
        <w:t xml:space="preserve">rior </w:t>
      </w:r>
      <w:r w:rsidR="001612DD" w:rsidRPr="00315DD2">
        <w:rPr>
          <w:rFonts w:ascii="Book Antiqua" w:eastAsia="Book Antiqua" w:hAnsi="Book Antiqua" w:cs="Book Antiqua"/>
          <w:color w:val="000000"/>
        </w:rPr>
        <w:t>NA</w:t>
      </w:r>
      <w:r w:rsidR="00315DD2" w:rsidRPr="00315DD2">
        <w:rPr>
          <w:rFonts w:ascii="Book Antiqua" w:hAnsi="Book Antiqua"/>
          <w:lang w:eastAsia="zh-CN"/>
        </w:rPr>
        <w:t xml:space="preserve"> treatment</w:t>
      </w:r>
      <w:r w:rsidR="001612DD" w:rsidRPr="00315DD2">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partial virological response, or LLV should continue monotherapy, at higher doses of 2.5</w:t>
      </w:r>
      <w:r w:rsidR="00EC0E60" w:rsidRPr="00E5667A">
        <w:rPr>
          <w:rFonts w:ascii="Book Antiqua" w:eastAsia="宋体" w:hAnsi="Book Antiqua" w:cs="宋体"/>
          <w:color w:val="000000"/>
          <w:lang w:eastAsia="zh-CN"/>
        </w:rPr>
        <w:t>-</w:t>
      </w:r>
      <w:r w:rsidR="001612DD" w:rsidRPr="00E5667A">
        <w:rPr>
          <w:rFonts w:ascii="Book Antiqua" w:eastAsia="Book Antiqua" w:hAnsi="Book Antiqua" w:cs="Book Antiqua"/>
          <w:color w:val="000000"/>
        </w:rPr>
        <w:t>5.0 mg/d.</w:t>
      </w:r>
    </w:p>
    <w:p w14:paraId="0342BED0" w14:textId="0EE3F8F7"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 xml:space="preserve">The goal of increasing the dose was to maximally inhibit HBV replication during entecavir treatment for 15 years or longer. Compared to the approved </w:t>
      </w:r>
      <w:r w:rsidR="00347B8E" w:rsidRPr="00E5667A">
        <w:rPr>
          <w:rFonts w:ascii="Book Antiqua" w:eastAsia="Book Antiqua" w:hAnsi="Book Antiqua" w:cs="Book Antiqua"/>
          <w:color w:val="000000"/>
        </w:rPr>
        <w:t xml:space="preserve">NAs </w:t>
      </w:r>
      <w:r w:rsidRPr="00E5667A">
        <w:rPr>
          <w:rFonts w:ascii="Book Antiqua" w:eastAsia="Book Antiqua" w:hAnsi="Book Antiqua" w:cs="Book Antiqua"/>
          <w:color w:val="000000"/>
        </w:rPr>
        <w:t>and NAs being newly developed</w:t>
      </w:r>
      <w:r w:rsidRPr="00E5667A">
        <w:rPr>
          <w:rFonts w:ascii="Book Antiqua" w:eastAsia="Book Antiqua" w:hAnsi="Book Antiqua" w:cs="Book Antiqua"/>
          <w:color w:val="000000"/>
          <w:vertAlign w:val="superscript"/>
        </w:rPr>
        <w:t>[4,</w:t>
      </w:r>
      <w:r w:rsidR="000C75BE"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1</w:t>
      </w:r>
      <w:r w:rsidR="000C75BE"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3</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entecavir has the strongest ability </w:t>
      </w:r>
      <w:r w:rsidR="00347B8E">
        <w:rPr>
          <w:rFonts w:ascii="Book Antiqua" w:eastAsia="Book Antiqua" w:hAnsi="Book Antiqua" w:cs="Book Antiqua"/>
          <w:color w:val="000000"/>
        </w:rPr>
        <w:t>to</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inhibit HBV and the broadest safety range. The clinical trials for multiple doses of entecavir, 0.1 mg/d up to 20 mg/d (Table</w:t>
      </w:r>
      <w:r w:rsidR="000027B7" w:rsidRPr="00E5667A">
        <w:rPr>
          <w:rFonts w:ascii="Book Antiqua" w:eastAsia="Book Antiqua" w:hAnsi="Book Antiqua" w:cs="Book Antiqua"/>
          <w:color w:val="000000"/>
        </w:rPr>
        <w:t>s</w:t>
      </w:r>
      <w:r w:rsidRPr="00E5667A">
        <w:rPr>
          <w:rFonts w:ascii="Book Antiqua" w:eastAsia="Book Antiqua" w:hAnsi="Book Antiqua" w:cs="Book Antiqua"/>
          <w:color w:val="000000"/>
        </w:rPr>
        <w:t xml:space="preserve"> 2 and 3)</w:t>
      </w:r>
      <w:r w:rsidR="00347B8E">
        <w:rPr>
          <w:rFonts w:ascii="Book Antiqua" w:eastAsia="Book Antiqua" w:hAnsi="Book Antiqua" w:cs="Book Antiqua"/>
          <w:color w:val="000000"/>
        </w:rPr>
        <w:t>,</w:t>
      </w:r>
      <w:r w:rsidRPr="00E5667A">
        <w:rPr>
          <w:rFonts w:ascii="Book Antiqua" w:eastAsia="Book Antiqua" w:hAnsi="Book Antiqua" w:cs="Book Antiqua"/>
          <w:color w:val="000000"/>
        </w:rPr>
        <w:t xml:space="preserve"> have been conducted</w:t>
      </w:r>
      <w:r w:rsidRPr="00E5667A">
        <w:rPr>
          <w:rFonts w:ascii="Book Antiqua" w:eastAsia="Book Antiqua" w:hAnsi="Book Antiqua" w:cs="Book Antiqua"/>
          <w:color w:val="000000"/>
          <w:vertAlign w:val="superscript"/>
        </w:rPr>
        <w:t>[</w:t>
      </w:r>
      <w:r w:rsidR="000C75BE"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4</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The long-term safety of 1.0 mg/d entecavir has been determined in the clinical treatment of patients with lamivudine </w:t>
      </w:r>
      <w:r w:rsidR="00347B8E" w:rsidRPr="00E5667A">
        <w:rPr>
          <w:rFonts w:ascii="Book Antiqua" w:eastAsia="Book Antiqua" w:hAnsi="Book Antiqua" w:cs="Book Antiqua"/>
          <w:color w:val="000000"/>
        </w:rPr>
        <w:t>refractor</w:t>
      </w:r>
      <w:r w:rsidR="00347B8E">
        <w:rPr>
          <w:rFonts w:ascii="Book Antiqua" w:eastAsia="Book Antiqua" w:hAnsi="Book Antiqua" w:cs="Book Antiqua"/>
          <w:color w:val="000000"/>
        </w:rPr>
        <w:t>iness</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or cirrhosis</w:t>
      </w:r>
      <w:r w:rsidRPr="00E5667A">
        <w:rPr>
          <w:rFonts w:ascii="Book Antiqua" w:eastAsia="Book Antiqua" w:hAnsi="Book Antiqua" w:cs="Book Antiqua"/>
          <w:color w:val="000000"/>
          <w:vertAlign w:val="superscript"/>
        </w:rPr>
        <w:t>[1,3,2</w:t>
      </w:r>
      <w:r w:rsidR="00505A74">
        <w:rPr>
          <w:rFonts w:ascii="Book Antiqua" w:eastAsia="Book Antiqua" w:hAnsi="Book Antiqua" w:cs="Book Antiqua"/>
          <w:color w:val="000000"/>
          <w:vertAlign w:val="superscript"/>
        </w:rPr>
        <w:t>5</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However, no controlled clinical trials have been conducted to assess the long-term toxicity of ingesting entecavir</w:t>
      </w:r>
      <w:r w:rsidR="00315DD2">
        <w:rPr>
          <w:rFonts w:ascii="Book Antiqua" w:eastAsia="Book Antiqua" w:hAnsi="Book Antiqua" w:cs="Book Antiqua"/>
          <w:color w:val="000000"/>
        </w:rPr>
        <w:t xml:space="preserve"> </w:t>
      </w:r>
      <w:r w:rsidR="00347B8E">
        <w:rPr>
          <w:rFonts w:ascii="Book Antiqua" w:eastAsia="Book Antiqua" w:hAnsi="Book Antiqua" w:cs="Book Antiqua"/>
          <w:color w:val="000000"/>
        </w:rPr>
        <w:t>at doses</w:t>
      </w:r>
      <w:r w:rsidRPr="00E5667A">
        <w:rPr>
          <w:rFonts w:ascii="Book Antiqua" w:eastAsia="Book Antiqua" w:hAnsi="Book Antiqua" w:cs="Book Antiqua"/>
          <w:color w:val="000000"/>
        </w:rPr>
        <w:t xml:space="preserve"> above 1.0 mg/d. Thus, we recommend that clinical trials assessing the long-term toxic effects of entecavir at doses of 2.5 and 5.0 mg/d should be conducted to determine if </w:t>
      </w:r>
      <w:r w:rsidR="00347B8E" w:rsidRPr="00E5667A">
        <w:rPr>
          <w:rFonts w:ascii="Book Antiqua" w:eastAsia="Book Antiqua" w:hAnsi="Book Antiqua" w:cs="Book Antiqua"/>
          <w:color w:val="000000"/>
        </w:rPr>
        <w:t>th</w:t>
      </w:r>
      <w:r w:rsidR="00347B8E">
        <w:rPr>
          <w:rFonts w:ascii="Book Antiqua" w:eastAsia="Book Antiqua" w:hAnsi="Book Antiqua" w:cs="Book Antiqua"/>
          <w:color w:val="000000"/>
        </w:rPr>
        <w:t xml:space="preserve">ese </w:t>
      </w:r>
      <w:r w:rsidRPr="00E5667A">
        <w:rPr>
          <w:rFonts w:ascii="Book Antiqua" w:eastAsia="Book Antiqua" w:hAnsi="Book Antiqua" w:cs="Book Antiqua"/>
          <w:color w:val="000000"/>
        </w:rPr>
        <w:t>dose</w:t>
      </w:r>
      <w:r w:rsidR="00347B8E">
        <w:rPr>
          <w:rFonts w:ascii="Book Antiqua" w:eastAsia="Book Antiqua" w:hAnsi="Book Antiqua" w:cs="Book Antiqua"/>
          <w:color w:val="000000"/>
        </w:rPr>
        <w:t>s</w:t>
      </w:r>
      <w:r w:rsidRPr="00E5667A">
        <w:rPr>
          <w:rFonts w:ascii="Book Antiqua" w:eastAsia="Book Antiqua" w:hAnsi="Book Antiqua" w:cs="Book Antiqua"/>
          <w:color w:val="000000"/>
        </w:rPr>
        <w:t xml:space="preserve"> could improve the efficacy of entecavir. Moreover, compared to the development of novel NAs and the HBV inhibitors</w:t>
      </w:r>
      <w:r w:rsidRPr="00E5667A">
        <w:rPr>
          <w:rFonts w:ascii="Book Antiqua" w:eastAsia="Book Antiqua" w:hAnsi="Book Antiqua" w:cs="Book Antiqua"/>
          <w:color w:val="000000"/>
          <w:vertAlign w:val="superscript"/>
        </w:rPr>
        <w:t>[3,3</w:t>
      </w:r>
      <w:r w:rsidR="00505A74">
        <w:rPr>
          <w:rFonts w:ascii="Book Antiqua" w:eastAsia="Book Antiqua" w:hAnsi="Book Antiqua" w:cs="Book Antiqua"/>
          <w:color w:val="000000"/>
          <w:vertAlign w:val="superscript"/>
        </w:rPr>
        <w:t>3</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utilizing an available treatment is cost-effective and potentially a more viable option. However, these views should be evaluated by </w:t>
      </w:r>
      <w:r w:rsidR="00FD794F">
        <w:rPr>
          <w:rFonts w:ascii="Book Antiqua" w:eastAsia="Book Antiqua" w:hAnsi="Book Antiqua" w:cs="Book Antiqua"/>
          <w:color w:val="000000"/>
        </w:rPr>
        <w:t>researchers</w:t>
      </w:r>
      <w:r w:rsidRPr="00E5667A">
        <w:rPr>
          <w:rFonts w:ascii="Book Antiqua" w:eastAsia="Book Antiqua" w:hAnsi="Book Antiqua" w:cs="Book Antiqua"/>
          <w:color w:val="000000"/>
        </w:rPr>
        <w:t>.</w:t>
      </w:r>
    </w:p>
    <w:p w14:paraId="329ED0F5" w14:textId="23CE3FE5" w:rsidR="00A77B3E" w:rsidRPr="00E5667A" w:rsidRDefault="009E5657" w:rsidP="00E5667A">
      <w:pPr>
        <w:spacing w:line="360" w:lineRule="auto"/>
        <w:ind w:firstLineChars="200" w:firstLine="480"/>
        <w:jc w:val="both"/>
        <w:rPr>
          <w:rFonts w:ascii="Book Antiqua" w:hAnsi="Book Antiqua"/>
        </w:rPr>
      </w:pPr>
      <w:bookmarkStart w:id="10" w:name="OLE_LINK1232"/>
      <w:r w:rsidRPr="00E5667A">
        <w:rPr>
          <w:rFonts w:ascii="Book Antiqua" w:eastAsia="Book Antiqua" w:hAnsi="Book Antiqua" w:cs="Book Antiqua"/>
          <w:color w:val="000000"/>
        </w:rPr>
        <w:t>Liu</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and colleagues demonstrated that rapid suppression of HBV within 12 wk of entecavir treatment reduced the incidence of drug-resistant mutations and prolonged the duration of entecavir therapy (seeing the Fig</w:t>
      </w:r>
      <w:r w:rsidR="00017742" w:rsidRPr="00E5667A">
        <w:rPr>
          <w:rFonts w:ascii="Book Antiqua" w:eastAsia="Book Antiqua" w:hAnsi="Book Antiqua" w:cs="Book Antiqua"/>
          <w:color w:val="000000"/>
        </w:rPr>
        <w:t>ure</w:t>
      </w:r>
      <w:r w:rsidRPr="00E5667A">
        <w:rPr>
          <w:rFonts w:ascii="Book Antiqua" w:eastAsia="Book Antiqua" w:hAnsi="Book Antiqua" w:cs="Book Antiqua"/>
          <w:color w:val="000000"/>
        </w:rPr>
        <w:t xml:space="preserve"> 1 in Liu’s paper)</w:t>
      </w:r>
      <w:r w:rsidRPr="00E5667A">
        <w:rPr>
          <w:rFonts w:ascii="Book Antiqua" w:eastAsia="Book Antiqua" w:hAnsi="Book Antiqua" w:cs="Book Antiqua"/>
          <w:color w:val="000000"/>
          <w:vertAlign w:val="superscript"/>
        </w:rPr>
        <w:t>[8]</w:t>
      </w:r>
      <w:bookmarkEnd w:id="10"/>
      <w:r w:rsidR="001612DD" w:rsidRPr="00E5667A">
        <w:rPr>
          <w:rFonts w:ascii="Book Antiqua" w:eastAsia="Book Antiqua" w:hAnsi="Book Antiqua" w:cs="Book Antiqua"/>
          <w:color w:val="000000"/>
        </w:rPr>
        <w:t>. In addition, NA naïve patients with cirrhosis or hepatic decompensation were treated with entecavir</w:t>
      </w:r>
      <w:r w:rsidR="00315DD2">
        <w:rPr>
          <w:rFonts w:ascii="Book Antiqua" w:eastAsia="Book Antiqua" w:hAnsi="Book Antiqua" w:cs="Book Antiqua"/>
          <w:color w:val="000000"/>
        </w:rPr>
        <w:t xml:space="preserve"> </w:t>
      </w:r>
      <w:r w:rsidR="00FD794F">
        <w:rPr>
          <w:rFonts w:ascii="Book Antiqua" w:eastAsia="Book Antiqua" w:hAnsi="Book Antiqua" w:cs="Book Antiqua"/>
          <w:color w:val="000000"/>
        </w:rPr>
        <w:t xml:space="preserve">at a </w:t>
      </w:r>
      <w:r w:rsidR="001612DD" w:rsidRPr="00E5667A">
        <w:rPr>
          <w:rFonts w:ascii="Book Antiqua" w:eastAsia="Book Antiqua" w:hAnsi="Book Antiqua" w:cs="Book Antiqua"/>
          <w:color w:val="000000"/>
        </w:rPr>
        <w:t xml:space="preserve">dose </w:t>
      </w:r>
      <w:r w:rsidR="00FD794F">
        <w:rPr>
          <w:rFonts w:ascii="Book Antiqua" w:eastAsia="Book Antiqua" w:hAnsi="Book Antiqua" w:cs="Book Antiqua"/>
          <w:color w:val="000000"/>
        </w:rPr>
        <w:t xml:space="preserve">of </w:t>
      </w:r>
      <w:r w:rsidR="001612DD" w:rsidRPr="00E5667A">
        <w:rPr>
          <w:rFonts w:ascii="Book Antiqua" w:eastAsia="Book Antiqua" w:hAnsi="Book Antiqua" w:cs="Book Antiqua"/>
          <w:color w:val="000000"/>
        </w:rPr>
        <w:t>1.0 mg/d to improve the entecavir response and to reduce drug-resistant mutations</w:t>
      </w:r>
      <w:r w:rsidR="001612DD" w:rsidRPr="00E5667A">
        <w:rPr>
          <w:rFonts w:ascii="Book Antiqua" w:eastAsia="Book Antiqua" w:hAnsi="Book Antiqua" w:cs="Book Antiqua"/>
          <w:color w:val="000000"/>
          <w:vertAlign w:val="superscript"/>
        </w:rPr>
        <w:t>[</w:t>
      </w:r>
      <w:r w:rsidR="00505A74">
        <w:rPr>
          <w:rFonts w:ascii="Book Antiqua" w:eastAsia="Book Antiqua" w:hAnsi="Book Antiqua" w:cs="Book Antiqua"/>
          <w:color w:val="000000"/>
          <w:vertAlign w:val="superscript"/>
        </w:rPr>
        <w:t>25</w:t>
      </w:r>
      <w:r w:rsidR="001612DD" w:rsidRPr="00E5667A">
        <w:rPr>
          <w:rFonts w:ascii="Book Antiqua" w:eastAsia="Book Antiqua" w:hAnsi="Book Antiqua" w:cs="Book Antiqua"/>
          <w:color w:val="000000"/>
          <w:vertAlign w:val="superscript"/>
        </w:rPr>
        <w:t>,</w:t>
      </w:r>
      <w:r w:rsidR="00505A74">
        <w:rPr>
          <w:rFonts w:ascii="Book Antiqua" w:eastAsia="Book Antiqua" w:hAnsi="Book Antiqua" w:cs="Book Antiqua"/>
          <w:color w:val="000000"/>
          <w:vertAlign w:val="superscript"/>
        </w:rPr>
        <w:t>35</w:t>
      </w:r>
      <w:r w:rsidR="001612DD" w:rsidRPr="00E5667A">
        <w:rPr>
          <w:rFonts w:ascii="Book Antiqua" w:eastAsia="Book Antiqua" w:hAnsi="Book Antiqua" w:cs="Book Antiqua"/>
          <w:color w:val="000000"/>
          <w:vertAlign w:val="superscript"/>
        </w:rPr>
        <w:t>]</w:t>
      </w:r>
      <w:r w:rsidR="001612DD" w:rsidRPr="00E5667A">
        <w:rPr>
          <w:rFonts w:ascii="Book Antiqua" w:eastAsia="Book Antiqua" w:hAnsi="Book Antiqua" w:cs="Book Antiqua"/>
          <w:color w:val="000000"/>
        </w:rPr>
        <w:t>. Inspired by the above research, we suggest that the entecavir dose should be increased to 1.0 mg/d for the treatment of NAs naïve patients with HBV DNA &gt; 2×10</w:t>
      </w:r>
      <w:r w:rsidR="001612DD" w:rsidRPr="00E5667A">
        <w:rPr>
          <w:rFonts w:ascii="Book Antiqua" w:eastAsia="Book Antiqua" w:hAnsi="Book Antiqua" w:cs="Book Antiqua"/>
          <w:color w:val="000000"/>
          <w:vertAlign w:val="superscript"/>
        </w:rPr>
        <w:t xml:space="preserve">6 </w:t>
      </w:r>
      <w:r w:rsidR="001612DD" w:rsidRPr="00E5667A">
        <w:rPr>
          <w:rFonts w:ascii="Book Antiqua" w:eastAsia="Book Antiqua" w:hAnsi="Book Antiqua" w:cs="Book Antiqua"/>
          <w:color w:val="000000"/>
        </w:rPr>
        <w:t>IU/mL.</w:t>
      </w:r>
    </w:p>
    <w:p w14:paraId="11C324F8" w14:textId="5FB7654A"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NAs have been used to treat CHB for the last 20 years. Approximately 150 NA derivatives have been examined, including17 NAs (such as lamivudine, telbivudine, entecavir, adefovir, tenofovir, TAF</w:t>
      </w:r>
      <w:r w:rsidR="00FD794F">
        <w:rPr>
          <w:rFonts w:ascii="Book Antiqua" w:eastAsia="Book Antiqua" w:hAnsi="Book Antiqua" w:cs="Book Antiqua"/>
          <w:color w:val="000000"/>
        </w:rPr>
        <w:t>,</w:t>
      </w:r>
      <w:r w:rsidRPr="00E5667A">
        <w:rPr>
          <w:rFonts w:ascii="Book Antiqua" w:eastAsia="Book Antiqua" w:hAnsi="Book Antiqua" w:cs="Book Antiqua"/>
          <w:color w:val="000000"/>
        </w:rPr>
        <w:t xml:space="preserve"> and GS-7340)</w:t>
      </w:r>
      <w:r w:rsidRPr="00E5667A">
        <w:rPr>
          <w:rFonts w:ascii="Book Antiqua" w:eastAsia="Book Antiqua" w:hAnsi="Book Antiqua" w:cs="Book Antiqua"/>
          <w:color w:val="000000"/>
          <w:vertAlign w:val="superscript"/>
        </w:rPr>
        <w:t>[</w:t>
      </w:r>
      <w:r w:rsidR="000C75BE"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3</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Entecavir, tenofovir</w:t>
      </w:r>
      <w:r w:rsidR="00FD794F">
        <w:rPr>
          <w:rFonts w:ascii="Book Antiqua" w:eastAsia="Book Antiqua" w:hAnsi="Book Antiqua" w:cs="Book Antiqua"/>
          <w:color w:val="000000"/>
        </w:rPr>
        <w:t>,</w:t>
      </w:r>
      <w:r w:rsidRPr="00E5667A">
        <w:rPr>
          <w:rFonts w:ascii="Book Antiqua" w:eastAsia="Book Antiqua" w:hAnsi="Book Antiqua" w:cs="Book Antiqua"/>
          <w:color w:val="000000"/>
        </w:rPr>
        <w:t xml:space="preserve"> and TAF are the most commonly used drugs and are recommended as the first-line therapy based on their highest potency and lowest frequency of developing resistance</w:t>
      </w:r>
      <w:r w:rsidRPr="00E5667A">
        <w:rPr>
          <w:rFonts w:ascii="Book Antiqua" w:eastAsia="Book Antiqua" w:hAnsi="Book Antiqua" w:cs="Book Antiqua"/>
          <w:color w:val="000000"/>
          <w:vertAlign w:val="superscript"/>
        </w:rPr>
        <w:t>[1,3,4,3</w:t>
      </w:r>
      <w:r w:rsidR="00505A74">
        <w:rPr>
          <w:rFonts w:ascii="Book Antiqua" w:eastAsia="Book Antiqua" w:hAnsi="Book Antiqua" w:cs="Book Antiqua"/>
          <w:color w:val="000000"/>
          <w:vertAlign w:val="superscript"/>
        </w:rPr>
        <w:t>2</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Because NAs cannot eradicate cccDNA, half of the patients with entecavir or tenofovir monotherapy will eventually present with LLV. Therefore, increased doses of entecavir could be a viable option for treating the patients with </w:t>
      </w:r>
      <w:r w:rsidR="00315DD2">
        <w:rPr>
          <w:rFonts w:ascii="Book Antiqua" w:eastAsia="Book Antiqua" w:hAnsi="Book Antiqua" w:cs="Book Antiqua"/>
          <w:color w:val="000000"/>
        </w:rPr>
        <w:t xml:space="preserve">prior </w:t>
      </w:r>
      <w:r w:rsidRPr="00E5667A">
        <w:rPr>
          <w:rFonts w:ascii="Book Antiqua" w:eastAsia="Book Antiqua" w:hAnsi="Book Antiqua" w:cs="Book Antiqua"/>
          <w:color w:val="000000"/>
        </w:rPr>
        <w:t>NA</w:t>
      </w:r>
      <w:r w:rsidR="00315DD2">
        <w:rPr>
          <w:rFonts w:ascii="Book Antiqua" w:eastAsia="Book Antiqua" w:hAnsi="Book Antiqua" w:cs="Book Antiqua"/>
          <w:color w:val="000000"/>
        </w:rPr>
        <w:t xml:space="preserve"> treatment</w:t>
      </w:r>
      <w:r w:rsidRPr="00E5667A">
        <w:rPr>
          <w:rFonts w:ascii="Book Antiqua" w:eastAsia="Book Antiqua" w:hAnsi="Book Antiqua" w:cs="Book Antiqua"/>
          <w:color w:val="000000"/>
        </w:rPr>
        <w:t>, partial virological response, or LLV, and could be used in over 50% of the population requiring entecavir treatment. We deduce that increasing the dose of entecavir</w:t>
      </w:r>
      <w:r w:rsidR="00315DD2">
        <w:rPr>
          <w:rFonts w:ascii="Book Antiqua" w:eastAsia="Book Antiqua" w:hAnsi="Book Antiqua" w:cs="Book Antiqua"/>
          <w:color w:val="000000"/>
        </w:rPr>
        <w:t xml:space="preserve"> </w:t>
      </w:r>
      <w:r w:rsidR="00FD794F">
        <w:rPr>
          <w:rFonts w:ascii="Book Antiqua" w:eastAsia="Book Antiqua" w:hAnsi="Book Antiqua" w:cs="Book Antiqua"/>
          <w:color w:val="000000"/>
        </w:rPr>
        <w:t>i</w:t>
      </w:r>
      <w:r w:rsidR="00FD794F" w:rsidRPr="00E5667A">
        <w:rPr>
          <w:rFonts w:ascii="Book Antiqua" w:eastAsia="Book Antiqua" w:hAnsi="Book Antiqua" w:cs="Book Antiqua"/>
          <w:color w:val="000000"/>
        </w:rPr>
        <w:t xml:space="preserve">s </w:t>
      </w:r>
      <w:r w:rsidRPr="00E5667A">
        <w:rPr>
          <w:rFonts w:ascii="Book Antiqua" w:eastAsia="Book Antiqua" w:hAnsi="Book Antiqua" w:cs="Book Antiqua"/>
          <w:color w:val="000000"/>
        </w:rPr>
        <w:t>appropriate for patients on entecavir monotherapy. However, increasing the tenofovir or TAF doses is not a suitable option as their doses could not be safely increased</w:t>
      </w:r>
      <w:r w:rsidRPr="00E5667A">
        <w:rPr>
          <w:rFonts w:ascii="Book Antiqua" w:eastAsia="Book Antiqua" w:hAnsi="Book Antiqua" w:cs="Book Antiqua"/>
          <w:color w:val="000000"/>
          <w:vertAlign w:val="superscript"/>
        </w:rPr>
        <w:t>[</w:t>
      </w:r>
      <w:r w:rsidR="00805AFE" w:rsidRPr="00E5667A">
        <w:rPr>
          <w:rFonts w:ascii="Book Antiqua" w:hAnsi="Book Antiqua" w:cs="Book Antiqua"/>
          <w:color w:val="000000"/>
          <w:vertAlign w:val="superscript"/>
          <w:lang w:eastAsia="zh-CN"/>
        </w:rPr>
        <w:t>3</w:t>
      </w:r>
      <w:r w:rsidR="00805AFE">
        <w:rPr>
          <w:rFonts w:ascii="Book Antiqua" w:hAnsi="Book Antiqua" w:cs="Book Antiqua"/>
          <w:color w:val="000000"/>
          <w:vertAlign w:val="superscript"/>
          <w:lang w:eastAsia="zh-CN"/>
        </w:rPr>
        <w:t>2,</w:t>
      </w:r>
      <w:r w:rsidR="00505A74">
        <w:rPr>
          <w:rFonts w:ascii="Book Antiqua" w:eastAsia="Book Antiqua" w:hAnsi="Book Antiqua" w:cs="Book Antiqua"/>
          <w:color w:val="000000"/>
          <w:vertAlign w:val="superscript"/>
        </w:rPr>
        <w:t>36</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w:t>
      </w:r>
    </w:p>
    <w:p w14:paraId="066E0009" w14:textId="77777777" w:rsidR="00A77B3E" w:rsidRPr="00E5667A" w:rsidRDefault="00A77B3E" w:rsidP="00E5667A">
      <w:pPr>
        <w:spacing w:line="360" w:lineRule="auto"/>
        <w:ind w:firstLine="420"/>
        <w:jc w:val="both"/>
        <w:rPr>
          <w:rFonts w:ascii="Book Antiqua" w:hAnsi="Book Antiqua"/>
        </w:rPr>
      </w:pPr>
    </w:p>
    <w:p w14:paraId="450406C0"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aps/>
          <w:color w:val="000000"/>
          <w:u w:val="single"/>
        </w:rPr>
        <w:t>CONCLUSION</w:t>
      </w:r>
    </w:p>
    <w:p w14:paraId="4683D768" w14:textId="67199D98"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Persistent LLV sheds light on the current plight of NA therapy. </w:t>
      </w:r>
      <w:r w:rsidR="00C87515">
        <w:rPr>
          <w:rFonts w:ascii="Book Antiqua" w:eastAsia="Book Antiqua" w:hAnsi="Book Antiqua" w:cs="Book Antiqua"/>
          <w:color w:val="000000"/>
        </w:rPr>
        <w:t>The m</w:t>
      </w:r>
      <w:r w:rsidR="00C87515" w:rsidRPr="00E5667A">
        <w:rPr>
          <w:rFonts w:ascii="Book Antiqua" w:eastAsia="Book Antiqua" w:hAnsi="Book Antiqua" w:cs="Book Antiqua"/>
          <w:color w:val="000000"/>
        </w:rPr>
        <w:t xml:space="preserve">ajority </w:t>
      </w:r>
      <w:r w:rsidRPr="00E5667A">
        <w:rPr>
          <w:rFonts w:ascii="Book Antiqua" w:eastAsia="Book Antiqua" w:hAnsi="Book Antiqua" w:cs="Book Antiqua"/>
          <w:color w:val="000000"/>
        </w:rPr>
        <w:t>of patients on long-term entecavir or tenofovir treatment eventually reach LLV status resulting in progression of liver disease or HCC. For patients with</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partial virological response</w:t>
      </w:r>
      <w:r w:rsidR="00C87515">
        <w:rPr>
          <w:rFonts w:ascii="Book Antiqua" w:eastAsia="Book Antiqua" w:hAnsi="Book Antiqua" w:cs="Book Antiqua"/>
          <w:color w:val="000000"/>
        </w:rPr>
        <w:t xml:space="preserve"> to</w:t>
      </w:r>
      <w:r w:rsidR="00315DD2">
        <w:rPr>
          <w:rFonts w:ascii="Book Antiqua" w:eastAsia="Book Antiqua" w:hAnsi="Book Antiqua" w:cs="Book Antiqua"/>
          <w:color w:val="000000"/>
        </w:rPr>
        <w:t xml:space="preserve"> </w:t>
      </w:r>
      <w:r w:rsidR="00C87515" w:rsidRPr="00E5667A">
        <w:rPr>
          <w:rFonts w:ascii="Book Antiqua" w:eastAsia="Book Antiqua" w:hAnsi="Book Antiqua" w:cs="Book Antiqua"/>
          <w:color w:val="000000"/>
        </w:rPr>
        <w:t>NA</w:t>
      </w:r>
      <w:r w:rsidRPr="00E5667A">
        <w:rPr>
          <w:rFonts w:ascii="Book Antiqua" w:eastAsia="Book Antiqua" w:hAnsi="Book Antiqua" w:cs="Book Antiqua"/>
          <w:color w:val="000000"/>
        </w:rPr>
        <w:t>, or LLV, three therapeutic options are available, namely</w:t>
      </w:r>
      <w:r w:rsidR="00C87515">
        <w:rPr>
          <w:rFonts w:ascii="Book Antiqua" w:eastAsia="Book Antiqua" w:hAnsi="Book Antiqua" w:cs="Book Antiqua"/>
          <w:color w:val="000000"/>
        </w:rPr>
        <w:t>,</w:t>
      </w:r>
      <w:r w:rsidRPr="00E5667A">
        <w:rPr>
          <w:rFonts w:ascii="Book Antiqua" w:eastAsia="Book Antiqua" w:hAnsi="Book Antiqua" w:cs="Book Antiqua"/>
          <w:color w:val="000000"/>
        </w:rPr>
        <w:t xml:space="preserve"> switching to another antiviral monotherapy, </w:t>
      </w:r>
      <w:r w:rsidR="00AD5791">
        <w:t>IFN</w:t>
      </w:r>
      <w:r w:rsidRPr="00E5667A">
        <w:rPr>
          <w:rFonts w:ascii="Book Antiqua" w:eastAsia="Book Antiqua" w:hAnsi="Book Antiqua" w:cs="Book Antiqua"/>
          <w:color w:val="000000"/>
        </w:rPr>
        <w:t>-α switching therapy, and continuing monotherapy.</w:t>
      </w:r>
    </w:p>
    <w:p w14:paraId="4AEB7A96" w14:textId="6950F332" w:rsidR="00A77B3E" w:rsidRPr="00E5667A" w:rsidRDefault="001612DD" w:rsidP="00E5667A">
      <w:pPr>
        <w:spacing w:line="360" w:lineRule="auto"/>
        <w:ind w:firstLineChars="200" w:firstLine="480"/>
        <w:jc w:val="both"/>
        <w:rPr>
          <w:rFonts w:ascii="Book Antiqua" w:hAnsi="Book Antiqua"/>
        </w:rPr>
      </w:pPr>
      <w:r w:rsidRPr="00E5667A">
        <w:rPr>
          <w:rFonts w:ascii="Book Antiqua" w:eastAsia="Book Antiqua" w:hAnsi="Book Antiqua" w:cs="Book Antiqua"/>
          <w:color w:val="000000"/>
        </w:rPr>
        <w:t>Literature survey indicates that entecavir possesses a strong capacity for inhibiting HBV and a broad dose-range safety. Moreover, entecavir overdose has been used in antiviral therapy in limited patients; thus, an increased dose could be utilized to treatLLV or NA refractory patients.</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The results of</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placebo-controlled </w:t>
      </w:r>
      <w:r w:rsidR="0071306C" w:rsidRPr="00E5667A">
        <w:rPr>
          <w:rFonts w:ascii="Book Antiqua" w:eastAsia="Book Antiqua" w:hAnsi="Book Antiqua" w:cs="Book Antiqua"/>
          <w:color w:val="000000"/>
        </w:rPr>
        <w:t>p</w:t>
      </w:r>
      <w:r w:rsidRPr="00E5667A">
        <w:rPr>
          <w:rFonts w:ascii="Book Antiqua" w:eastAsia="Book Antiqua" w:hAnsi="Book Antiqua" w:cs="Book Antiqua"/>
          <w:color w:val="000000"/>
        </w:rPr>
        <w:t>hase 1, 2, or 3 clinical trials indicate that increasing the dose of entecavir to 2.5</w:t>
      </w:r>
      <w:r w:rsidR="0071306C" w:rsidRPr="00E5667A">
        <w:rPr>
          <w:rFonts w:ascii="Book Antiqua" w:eastAsia="宋体" w:hAnsi="Book Antiqua" w:cs="宋体"/>
          <w:color w:val="000000"/>
          <w:lang w:eastAsia="zh-CN"/>
        </w:rPr>
        <w:t>-</w:t>
      </w:r>
      <w:r w:rsidRPr="00E5667A">
        <w:rPr>
          <w:rFonts w:ascii="Book Antiqua" w:eastAsia="Book Antiqua" w:hAnsi="Book Antiqua" w:cs="Book Antiqua"/>
          <w:color w:val="000000"/>
        </w:rPr>
        <w:t>20 mg/d might improve the antiviral efficacy, and higher entecavir doses (up to 20 mg/d) were considered safe. To decrease the incidence of LLV, we suggest increasing entecavir dose to 1.0 mg/d for the treatment of NA naïve patients with HBV DNA &gt; 2</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10</w:t>
      </w:r>
      <w:r w:rsidRPr="00E5667A">
        <w:rPr>
          <w:rFonts w:ascii="Book Antiqua" w:eastAsia="Book Antiqua" w:hAnsi="Book Antiqua" w:cs="Book Antiqua"/>
          <w:color w:val="000000"/>
          <w:vertAlign w:val="superscript"/>
        </w:rPr>
        <w:t xml:space="preserve">6 </w:t>
      </w:r>
      <w:r w:rsidRPr="00E5667A">
        <w:rPr>
          <w:rFonts w:ascii="Book Antiqua" w:eastAsia="Book Antiqua" w:hAnsi="Book Antiqua" w:cs="Book Antiqua"/>
          <w:color w:val="000000"/>
        </w:rPr>
        <w:t>IU/mL. In addition, clinical trials should be conducted to assess the long-term toxic effects of entecavir at doses of 2.5</w:t>
      </w:r>
      <w:r w:rsidR="0071306C" w:rsidRPr="00E5667A">
        <w:rPr>
          <w:rFonts w:ascii="Book Antiqua" w:eastAsia="宋体" w:hAnsi="Book Antiqua" w:cs="宋体"/>
          <w:color w:val="000000"/>
          <w:lang w:eastAsia="zh-CN"/>
        </w:rPr>
        <w:t>-</w:t>
      </w:r>
      <w:r w:rsidRPr="00E5667A">
        <w:rPr>
          <w:rFonts w:ascii="Book Antiqua" w:eastAsia="Book Antiqua" w:hAnsi="Book Antiqua" w:cs="Book Antiqua"/>
          <w:color w:val="000000"/>
        </w:rPr>
        <w:t xml:space="preserve">5.0 mg/d in patients with </w:t>
      </w:r>
      <w:r w:rsidR="00315DD2">
        <w:rPr>
          <w:rFonts w:ascii="Book Antiqua" w:eastAsia="Book Antiqua" w:hAnsi="Book Antiqua" w:cs="Book Antiqua"/>
          <w:color w:val="000000"/>
        </w:rPr>
        <w:t xml:space="preserve">prior </w:t>
      </w:r>
      <w:r w:rsidRPr="00E5667A">
        <w:rPr>
          <w:rFonts w:ascii="Book Antiqua" w:eastAsia="Book Antiqua" w:hAnsi="Book Antiqua" w:cs="Book Antiqua"/>
          <w:color w:val="000000"/>
        </w:rPr>
        <w:t>NA</w:t>
      </w:r>
      <w:r w:rsidR="00315DD2">
        <w:rPr>
          <w:rFonts w:ascii="Book Antiqua" w:eastAsia="Book Antiqua" w:hAnsi="Book Antiqua" w:cs="Book Antiqua"/>
          <w:color w:val="000000"/>
        </w:rPr>
        <w:t xml:space="preserve"> treatment</w:t>
      </w:r>
      <w:r w:rsidRPr="00E5667A">
        <w:rPr>
          <w:rFonts w:ascii="Book Antiqua" w:eastAsia="Book Antiqua" w:hAnsi="Book Antiqua" w:cs="Book Antiqua"/>
          <w:color w:val="000000"/>
        </w:rPr>
        <w:t>, partial virologic response, or LLV state.</w:t>
      </w:r>
    </w:p>
    <w:p w14:paraId="46CAA31C" w14:textId="77777777" w:rsidR="00A77B3E" w:rsidRPr="00E5667A" w:rsidRDefault="00A77B3E" w:rsidP="00E5667A">
      <w:pPr>
        <w:spacing w:line="360" w:lineRule="auto"/>
        <w:jc w:val="both"/>
        <w:rPr>
          <w:rFonts w:ascii="Book Antiqua" w:hAnsi="Book Antiqua"/>
        </w:rPr>
      </w:pPr>
    </w:p>
    <w:p w14:paraId="66E0421C"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aps/>
          <w:color w:val="000000"/>
          <w:u w:val="single"/>
        </w:rPr>
        <w:t>ACKNOWLEDGEMENTS</w:t>
      </w:r>
    </w:p>
    <w:p w14:paraId="44551D50" w14:textId="1E6EB7A5"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We are very grateful to Prof</w:t>
      </w:r>
      <w:r w:rsidR="00C87515">
        <w:rPr>
          <w:rFonts w:ascii="Book Antiqua" w:eastAsia="Book Antiqua" w:hAnsi="Book Antiqua" w:cs="Book Antiqua"/>
          <w:color w:val="000000"/>
        </w:rPr>
        <w:t>essor</w:t>
      </w:r>
      <w:r w:rsidR="00C56903">
        <w:rPr>
          <w:rFonts w:ascii="Book Antiqua" w:eastAsia="Book Antiqua" w:hAnsi="Book Antiqua" w:cs="Book Antiqua"/>
          <w:color w:val="000000"/>
        </w:rPr>
        <w:t xml:space="preserve"> </w:t>
      </w:r>
      <w:r w:rsidRPr="00E5667A">
        <w:rPr>
          <w:rFonts w:ascii="Book Antiqua" w:eastAsia="Book Antiqua" w:hAnsi="Book Antiqua" w:cs="Book Antiqua"/>
          <w:color w:val="000000"/>
        </w:rPr>
        <w:t>Yun Chen</w:t>
      </w:r>
      <w:r w:rsidR="00C56903">
        <w:rPr>
          <w:rFonts w:ascii="Book Antiqua" w:eastAsia="Book Antiqua" w:hAnsi="Book Antiqua" w:cs="Book Antiqua"/>
          <w:color w:val="000000"/>
        </w:rPr>
        <w:t xml:space="preserve"> </w:t>
      </w:r>
      <w:r w:rsidR="00C87515">
        <w:rPr>
          <w:rFonts w:ascii="Book Antiqua" w:eastAsia="Book Antiqua" w:hAnsi="Book Antiqua" w:cs="Book Antiqua"/>
          <w:color w:val="000000"/>
        </w:rPr>
        <w:t>at</w:t>
      </w:r>
      <w:r w:rsidR="00C56903">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School of Pharmacy, Nanjing Medical University for the comprehensive evaluation of the manuscript and valuable advice on pharmacokinetics and pharmacodynamics. </w:t>
      </w:r>
      <w:r w:rsidR="00C25A30">
        <w:rPr>
          <w:rFonts w:ascii="Book Antiqua" w:eastAsia="Book Antiqua" w:hAnsi="Book Antiqua" w:cs="Book Antiqua"/>
          <w:color w:val="000000"/>
        </w:rPr>
        <w:t>The a</w:t>
      </w:r>
      <w:r w:rsidR="00C25A30" w:rsidRPr="00E5667A">
        <w:rPr>
          <w:rFonts w:ascii="Book Antiqua" w:eastAsia="Book Antiqua" w:hAnsi="Book Antiqua" w:cs="Book Antiqua"/>
          <w:color w:val="000000"/>
        </w:rPr>
        <w:t xml:space="preserve">uthors </w:t>
      </w:r>
      <w:r w:rsidR="007B770B" w:rsidRPr="00E5667A">
        <w:rPr>
          <w:rFonts w:ascii="Book Antiqua" w:eastAsia="Book Antiqua" w:hAnsi="Book Antiqua" w:cs="Book Antiqua"/>
          <w:color w:val="000000"/>
        </w:rPr>
        <w:t>thank</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Mc. Jing Zhong, </w:t>
      </w:r>
      <w:r w:rsidR="00C56903">
        <w:rPr>
          <w:rFonts w:ascii="Book Antiqua" w:eastAsia="Book Antiqua" w:hAnsi="Book Antiqua" w:cs="Book Antiqua"/>
          <w:color w:val="000000"/>
        </w:rPr>
        <w:t>M</w:t>
      </w:r>
      <w:r w:rsidRPr="00E5667A">
        <w:rPr>
          <w:rFonts w:ascii="Book Antiqua" w:eastAsia="Book Antiqua" w:hAnsi="Book Antiqua" w:cs="Book Antiqua"/>
          <w:color w:val="000000"/>
        </w:rPr>
        <w:t xml:space="preserve">edical </w:t>
      </w:r>
      <w:r w:rsidR="00C56903">
        <w:rPr>
          <w:rFonts w:ascii="Book Antiqua" w:eastAsia="Book Antiqua" w:hAnsi="Book Antiqua" w:cs="Book Antiqua"/>
          <w:color w:val="000000"/>
        </w:rPr>
        <w:t>S</w:t>
      </w:r>
      <w:r w:rsidRPr="00E5667A">
        <w:rPr>
          <w:rFonts w:ascii="Book Antiqua" w:eastAsia="Book Antiqua" w:hAnsi="Book Antiqua" w:cs="Book Antiqua"/>
          <w:color w:val="000000"/>
        </w:rPr>
        <w:t xml:space="preserve">cience </w:t>
      </w:r>
      <w:r w:rsidR="00C56903">
        <w:rPr>
          <w:rFonts w:ascii="Book Antiqua" w:eastAsia="Book Antiqua" w:hAnsi="Book Antiqua" w:cs="Book Antiqua"/>
          <w:color w:val="000000"/>
        </w:rPr>
        <w:t>M</w:t>
      </w:r>
      <w:r w:rsidRPr="00E5667A">
        <w:rPr>
          <w:rFonts w:ascii="Book Antiqua" w:eastAsia="Book Antiqua" w:hAnsi="Book Antiqua" w:cs="Book Antiqua"/>
          <w:color w:val="000000"/>
        </w:rPr>
        <w:t xml:space="preserve">anager, Virology from Bristol-Myers Squibb China Medical Affairs for literature search and pharmaceutical professional advice, and Dr. Cun Shan </w:t>
      </w:r>
      <w:r w:rsidR="00C25A30">
        <w:rPr>
          <w:rFonts w:ascii="Book Antiqua" w:eastAsia="Book Antiqua" w:hAnsi="Book Antiqua" w:cs="Book Antiqua"/>
          <w:color w:val="000000"/>
        </w:rPr>
        <w:t>at</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the Department of </w:t>
      </w:r>
      <w:r w:rsidR="00C25A30">
        <w:rPr>
          <w:rFonts w:ascii="Book Antiqua" w:eastAsia="Book Antiqua" w:hAnsi="Book Antiqua" w:cs="Book Antiqua"/>
          <w:color w:val="000000"/>
        </w:rPr>
        <w:t>I</w:t>
      </w:r>
      <w:r w:rsidR="00C25A30" w:rsidRPr="00E5667A">
        <w:rPr>
          <w:rFonts w:ascii="Book Antiqua" w:eastAsia="Book Antiqua" w:hAnsi="Book Antiqua" w:cs="Book Antiqua"/>
          <w:color w:val="000000"/>
        </w:rPr>
        <w:t xml:space="preserve">nfectious </w:t>
      </w:r>
      <w:r w:rsidR="00C25A30">
        <w:rPr>
          <w:rFonts w:ascii="Book Antiqua" w:eastAsia="Book Antiqua" w:hAnsi="Book Antiqua" w:cs="Book Antiqua"/>
          <w:color w:val="000000"/>
        </w:rPr>
        <w:t>D</w:t>
      </w:r>
      <w:r w:rsidR="00C25A30" w:rsidRPr="00E5667A">
        <w:rPr>
          <w:rFonts w:ascii="Book Antiqua" w:eastAsia="Book Antiqua" w:hAnsi="Book Antiqua" w:cs="Book Antiqua"/>
          <w:color w:val="000000"/>
        </w:rPr>
        <w:t>isease</w:t>
      </w:r>
      <w:r w:rsidR="00C25A30">
        <w:rPr>
          <w:rFonts w:ascii="Book Antiqua" w:eastAsia="Book Antiqua" w:hAnsi="Book Antiqua" w:cs="Book Antiqua"/>
          <w:color w:val="000000"/>
        </w:rPr>
        <w:t>s</w:t>
      </w:r>
      <w:r w:rsidRPr="00E5667A">
        <w:rPr>
          <w:rFonts w:ascii="Book Antiqua" w:eastAsia="Book Antiqua" w:hAnsi="Book Antiqua" w:cs="Book Antiqua"/>
          <w:color w:val="000000"/>
        </w:rPr>
        <w:t>,</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Nanjing Zhong-Da Hospital for language modification in the writing of the manuscript.</w:t>
      </w:r>
    </w:p>
    <w:p w14:paraId="10526A8B" w14:textId="77777777" w:rsidR="00A77B3E" w:rsidRPr="00E5667A" w:rsidRDefault="00A77B3E" w:rsidP="00E5667A">
      <w:pPr>
        <w:spacing w:line="360" w:lineRule="auto"/>
        <w:jc w:val="both"/>
        <w:rPr>
          <w:rFonts w:ascii="Book Antiqua" w:hAnsi="Book Antiqua"/>
        </w:rPr>
      </w:pPr>
    </w:p>
    <w:p w14:paraId="44CE203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REFERENCES</w:t>
      </w:r>
    </w:p>
    <w:p w14:paraId="32B720B8"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1 </w:t>
      </w:r>
      <w:r w:rsidRPr="00E5667A">
        <w:rPr>
          <w:rFonts w:ascii="Book Antiqua" w:eastAsia="Book Antiqua" w:hAnsi="Book Antiqua" w:cs="Book Antiqua"/>
          <w:b/>
          <w:bCs/>
          <w:color w:val="000000"/>
        </w:rPr>
        <w:t>Terrault NA</w:t>
      </w:r>
      <w:r w:rsidRPr="00E5667A">
        <w:rPr>
          <w:rFonts w:ascii="Book Antiqua" w:eastAsia="Book Antiqua" w:hAnsi="Book Antiqua" w:cs="Book Antiqua"/>
          <w:color w:val="000000"/>
        </w:rPr>
        <w:t xml:space="preserve">, Bzowej NH, Chang KM, Hwang JP, Jonas MM, Murad MH; American Association for the Study of Liver Diseases. AASLD guidelines for treatment of chronic hepatitis B.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2016; </w:t>
      </w:r>
      <w:r w:rsidRPr="00E5667A">
        <w:rPr>
          <w:rFonts w:ascii="Book Antiqua" w:eastAsia="Book Antiqua" w:hAnsi="Book Antiqua" w:cs="Book Antiqua"/>
          <w:b/>
          <w:bCs/>
          <w:color w:val="000000"/>
        </w:rPr>
        <w:t>63</w:t>
      </w:r>
      <w:r w:rsidRPr="00E5667A">
        <w:rPr>
          <w:rFonts w:ascii="Book Antiqua" w:eastAsia="Book Antiqua" w:hAnsi="Book Antiqua" w:cs="Book Antiqua"/>
          <w:color w:val="000000"/>
        </w:rPr>
        <w:t>: 261-283 [PMID: 26566064 DOI: 10.1002/hep.28156]</w:t>
      </w:r>
    </w:p>
    <w:p w14:paraId="366F0FE8"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2 </w:t>
      </w:r>
      <w:r w:rsidRPr="00E5667A">
        <w:rPr>
          <w:rFonts w:ascii="Book Antiqua" w:eastAsia="Book Antiqua" w:hAnsi="Book Antiqua" w:cs="Book Antiqua"/>
          <w:b/>
          <w:bCs/>
          <w:color w:val="000000"/>
        </w:rPr>
        <w:t>Kim JH</w:t>
      </w:r>
      <w:r w:rsidRPr="00E5667A">
        <w:rPr>
          <w:rFonts w:ascii="Book Antiqua" w:eastAsia="Book Antiqua" w:hAnsi="Book Antiqua" w:cs="Book Antiqua"/>
          <w:color w:val="000000"/>
        </w:rPr>
        <w:t xml:space="preserve">, Sinn DH, Kang W, Gwak GY, Paik YH, Choi MS, Lee JH, Koh KC, Paik SW. Low-level viremia and the increased risk of hepatocellular carcinoma in patients receiving entecavir treatment.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2017; </w:t>
      </w:r>
      <w:r w:rsidRPr="00E5667A">
        <w:rPr>
          <w:rFonts w:ascii="Book Antiqua" w:eastAsia="Book Antiqua" w:hAnsi="Book Antiqua" w:cs="Book Antiqua"/>
          <w:b/>
          <w:bCs/>
          <w:color w:val="000000"/>
        </w:rPr>
        <w:t>66</w:t>
      </w:r>
      <w:r w:rsidRPr="00E5667A">
        <w:rPr>
          <w:rFonts w:ascii="Book Antiqua" w:eastAsia="Book Antiqua" w:hAnsi="Book Antiqua" w:cs="Book Antiqua"/>
          <w:color w:val="000000"/>
        </w:rPr>
        <w:t>: 335-343 [PMID: 28012257 DOI: 10.1002/hep.28916]</w:t>
      </w:r>
    </w:p>
    <w:p w14:paraId="5DC201AF"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3 </w:t>
      </w:r>
      <w:r w:rsidRPr="00E5667A">
        <w:rPr>
          <w:rFonts w:ascii="Book Antiqua" w:eastAsia="Book Antiqua" w:hAnsi="Book Antiqua" w:cs="Book Antiqua"/>
          <w:b/>
          <w:bCs/>
          <w:color w:val="000000"/>
        </w:rPr>
        <w:t>Terrault NA</w:t>
      </w:r>
      <w:r w:rsidRPr="00E5667A">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2018; </w:t>
      </w:r>
      <w:r w:rsidRPr="00E5667A">
        <w:rPr>
          <w:rFonts w:ascii="Book Antiqua" w:eastAsia="Book Antiqua" w:hAnsi="Book Antiqua" w:cs="Book Antiqua"/>
          <w:b/>
          <w:bCs/>
          <w:color w:val="000000"/>
        </w:rPr>
        <w:t>67</w:t>
      </w:r>
      <w:r w:rsidRPr="00E5667A">
        <w:rPr>
          <w:rFonts w:ascii="Book Antiqua" w:eastAsia="Book Antiqua" w:hAnsi="Book Antiqua" w:cs="Book Antiqua"/>
          <w:color w:val="000000"/>
        </w:rPr>
        <w:t>: 1560-1599 [PMID: 29405329 DOI: 10.1002/hep.29800]</w:t>
      </w:r>
    </w:p>
    <w:p w14:paraId="76C77E92"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4 </w:t>
      </w:r>
      <w:r w:rsidRPr="00E5667A">
        <w:rPr>
          <w:rFonts w:ascii="Book Antiqua" w:eastAsia="Book Antiqua" w:hAnsi="Book Antiqua" w:cs="Book Antiqua"/>
          <w:b/>
          <w:bCs/>
          <w:color w:val="000000"/>
        </w:rPr>
        <w:t>Lok AS</w:t>
      </w:r>
      <w:r w:rsidRPr="00E5667A">
        <w:rPr>
          <w:rFonts w:ascii="Book Antiqua" w:eastAsia="Book Antiqua" w:hAnsi="Book Antiqua" w:cs="Book Antiqua"/>
          <w:color w:val="000000"/>
        </w:rPr>
        <w:t xml:space="preserve">, Zoulim F, Dusheiko G, Ghany MG. Hepatitis B cure: From discovery to regulatory approval.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2017; </w:t>
      </w:r>
      <w:r w:rsidRPr="00E5667A">
        <w:rPr>
          <w:rFonts w:ascii="Book Antiqua" w:eastAsia="Book Antiqua" w:hAnsi="Book Antiqua" w:cs="Book Antiqua"/>
          <w:b/>
          <w:bCs/>
          <w:color w:val="000000"/>
        </w:rPr>
        <w:t>66</w:t>
      </w:r>
      <w:r w:rsidRPr="00E5667A">
        <w:rPr>
          <w:rFonts w:ascii="Book Antiqua" w:eastAsia="Book Antiqua" w:hAnsi="Book Antiqua" w:cs="Book Antiqua"/>
          <w:color w:val="000000"/>
        </w:rPr>
        <w:t>: 1296-1313 [PMID: 28762522 DOI: 10.1002/hep.29323]</w:t>
      </w:r>
    </w:p>
    <w:p w14:paraId="5E4FABBC"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5 </w:t>
      </w:r>
      <w:r w:rsidRPr="00E5667A">
        <w:rPr>
          <w:rFonts w:ascii="Book Antiqua" w:eastAsia="Book Antiqua" w:hAnsi="Book Antiqua" w:cs="Book Antiqua"/>
          <w:b/>
          <w:bCs/>
          <w:color w:val="000000"/>
        </w:rPr>
        <w:t>Coffin CS</w:t>
      </w:r>
      <w:r w:rsidRPr="00E5667A">
        <w:rPr>
          <w:rFonts w:ascii="Book Antiqua" w:eastAsia="Book Antiqua" w:hAnsi="Book Antiqua" w:cs="Book Antiqua"/>
          <w:color w:val="000000"/>
        </w:rPr>
        <w:t xml:space="preserve">, Mulrooney-Cousins PM, Peters MG, van Marle G, Roberts JP, Michalak TI, Terrault NA. Molecular characterization of intrahepatic and extrahepatic hepatitis B virus (HBV) reservoirs in patients on suppressive antiviral therapy. </w:t>
      </w:r>
      <w:r w:rsidRPr="00E5667A">
        <w:rPr>
          <w:rFonts w:ascii="Book Antiqua" w:eastAsia="Book Antiqua" w:hAnsi="Book Antiqua" w:cs="Book Antiqua"/>
          <w:i/>
          <w:iCs/>
          <w:color w:val="000000"/>
        </w:rPr>
        <w:t>J Viral Hepat</w:t>
      </w:r>
      <w:r w:rsidRPr="00E5667A">
        <w:rPr>
          <w:rFonts w:ascii="Book Antiqua" w:eastAsia="Book Antiqua" w:hAnsi="Book Antiqua" w:cs="Book Antiqua"/>
          <w:color w:val="000000"/>
        </w:rPr>
        <w:t xml:space="preserve"> 2011; </w:t>
      </w:r>
      <w:r w:rsidRPr="00E5667A">
        <w:rPr>
          <w:rFonts w:ascii="Book Antiqua" w:eastAsia="Book Antiqua" w:hAnsi="Book Antiqua" w:cs="Book Antiqua"/>
          <w:b/>
          <w:bCs/>
          <w:color w:val="000000"/>
        </w:rPr>
        <w:t>18</w:t>
      </w:r>
      <w:r w:rsidRPr="00E5667A">
        <w:rPr>
          <w:rFonts w:ascii="Book Antiqua" w:eastAsia="Book Antiqua" w:hAnsi="Book Antiqua" w:cs="Book Antiqua"/>
          <w:color w:val="000000"/>
        </w:rPr>
        <w:t>: 415-423 [PMID: 20626626 DOI: 10.1111/j.1365-2893.2010.01321.x]</w:t>
      </w:r>
    </w:p>
    <w:p w14:paraId="317C3F83" w14:textId="77777777" w:rsidR="00A77B3E" w:rsidRPr="00E5667A" w:rsidRDefault="001612DD" w:rsidP="00E5667A">
      <w:pPr>
        <w:spacing w:line="360" w:lineRule="auto"/>
        <w:jc w:val="both"/>
        <w:rPr>
          <w:rFonts w:ascii="Book Antiqua" w:eastAsia="Book Antiqua" w:hAnsi="Book Antiqua" w:cs="Book Antiqua"/>
          <w:color w:val="000000"/>
        </w:rPr>
      </w:pPr>
      <w:r w:rsidRPr="00E5667A">
        <w:rPr>
          <w:rFonts w:ascii="Book Antiqua" w:eastAsia="Book Antiqua" w:hAnsi="Book Antiqua" w:cs="Book Antiqua"/>
          <w:color w:val="000000"/>
        </w:rPr>
        <w:t xml:space="preserve">6 </w:t>
      </w:r>
      <w:r w:rsidRPr="00E5667A">
        <w:rPr>
          <w:rFonts w:ascii="Book Antiqua" w:eastAsia="Book Antiqua" w:hAnsi="Book Antiqua" w:cs="Book Antiqua"/>
          <w:b/>
          <w:bCs/>
          <w:color w:val="000000"/>
        </w:rPr>
        <w:t>Tamura K</w:t>
      </w:r>
      <w:r w:rsidRPr="00E5667A">
        <w:rPr>
          <w:rFonts w:ascii="Book Antiqua" w:eastAsia="Book Antiqua" w:hAnsi="Book Antiqua" w:cs="Book Antiqua"/>
          <w:color w:val="000000"/>
        </w:rPr>
        <w:t xml:space="preserve">, Stecher G, Peterson D, Filipski A, Kumar S. MEGA6: Molecular Evolutionary Genetics Analysis version 6.0. </w:t>
      </w:r>
      <w:r w:rsidRPr="00E5667A">
        <w:rPr>
          <w:rFonts w:ascii="Book Antiqua" w:eastAsia="Book Antiqua" w:hAnsi="Book Antiqua" w:cs="Book Antiqua"/>
          <w:i/>
          <w:iCs/>
          <w:color w:val="000000"/>
        </w:rPr>
        <w:t>MolBiolEvol</w:t>
      </w:r>
      <w:r w:rsidRPr="00E5667A">
        <w:rPr>
          <w:rFonts w:ascii="Book Antiqua" w:eastAsia="Book Antiqua" w:hAnsi="Book Antiqua" w:cs="Book Antiqua"/>
          <w:color w:val="000000"/>
        </w:rPr>
        <w:t xml:space="preserve"> 2013; </w:t>
      </w:r>
      <w:r w:rsidRPr="00E5667A">
        <w:rPr>
          <w:rFonts w:ascii="Book Antiqua" w:eastAsia="Book Antiqua" w:hAnsi="Book Antiqua" w:cs="Book Antiqua"/>
          <w:b/>
          <w:bCs/>
          <w:color w:val="000000"/>
        </w:rPr>
        <w:t>30</w:t>
      </w:r>
      <w:r w:rsidRPr="00E5667A">
        <w:rPr>
          <w:rFonts w:ascii="Book Antiqua" w:eastAsia="Book Antiqua" w:hAnsi="Book Antiqua" w:cs="Book Antiqua"/>
          <w:color w:val="000000"/>
        </w:rPr>
        <w:t xml:space="preserve">: 2725-2729 [PMID: 24132122 DOI: </w:t>
      </w:r>
      <w:r w:rsidR="00DF29C0" w:rsidRPr="00E5667A">
        <w:rPr>
          <w:rFonts w:ascii="Book Antiqua" w:eastAsia="Book Antiqua" w:hAnsi="Book Antiqua" w:cs="Book Antiqua"/>
          <w:color w:val="000000"/>
        </w:rPr>
        <w:t>10.1093/molbev/mst197</w:t>
      </w:r>
      <w:r w:rsidRPr="00E5667A">
        <w:rPr>
          <w:rFonts w:ascii="Book Antiqua" w:eastAsia="Book Antiqua" w:hAnsi="Book Antiqua" w:cs="Book Antiqua"/>
          <w:color w:val="000000"/>
        </w:rPr>
        <w:t>]</w:t>
      </w:r>
    </w:p>
    <w:p w14:paraId="069D53D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7 </w:t>
      </w:r>
      <w:r w:rsidRPr="00E5667A">
        <w:rPr>
          <w:rFonts w:ascii="Book Antiqua" w:eastAsia="Book Antiqua" w:hAnsi="Book Antiqua" w:cs="Book Antiqua"/>
          <w:b/>
          <w:bCs/>
          <w:color w:val="000000"/>
        </w:rPr>
        <w:t>Nei M</w:t>
      </w:r>
      <w:r w:rsidRPr="00E5667A">
        <w:rPr>
          <w:rFonts w:ascii="Book Antiqua" w:eastAsia="Book Antiqua" w:hAnsi="Book Antiqua" w:cs="Book Antiqua"/>
          <w:color w:val="000000"/>
        </w:rPr>
        <w:t xml:space="preserve">, Gojobori T. Simple methods for estimating the numbers of synonymous and nonsynonymous nucleotide substitutions. </w:t>
      </w:r>
      <w:r w:rsidRPr="00E5667A">
        <w:rPr>
          <w:rFonts w:ascii="Book Antiqua" w:eastAsia="Book Antiqua" w:hAnsi="Book Antiqua" w:cs="Book Antiqua"/>
          <w:i/>
          <w:iCs/>
          <w:color w:val="000000"/>
        </w:rPr>
        <w:t>MolBiolEvol</w:t>
      </w:r>
      <w:r w:rsidRPr="00E5667A">
        <w:rPr>
          <w:rFonts w:ascii="Book Antiqua" w:eastAsia="Book Antiqua" w:hAnsi="Book Antiqua" w:cs="Book Antiqua"/>
          <w:color w:val="000000"/>
        </w:rPr>
        <w:t xml:space="preserve"> 1986; </w:t>
      </w:r>
      <w:r w:rsidRPr="00E5667A">
        <w:rPr>
          <w:rFonts w:ascii="Book Antiqua" w:eastAsia="Book Antiqua" w:hAnsi="Book Antiqua" w:cs="Book Antiqua"/>
          <w:b/>
          <w:bCs/>
          <w:color w:val="000000"/>
        </w:rPr>
        <w:t>3</w:t>
      </w:r>
      <w:r w:rsidRPr="00E5667A">
        <w:rPr>
          <w:rFonts w:ascii="Book Antiqua" w:eastAsia="Book Antiqua" w:hAnsi="Book Antiqua" w:cs="Book Antiqua"/>
          <w:color w:val="000000"/>
        </w:rPr>
        <w:t>: 418-426 [PMID: 3444411 DOI: 10.1093/oxfordjournals.molbev.a040410]</w:t>
      </w:r>
    </w:p>
    <w:p w14:paraId="5CA725DE" w14:textId="77777777" w:rsidR="00A77B3E" w:rsidRPr="009B2B60"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8 </w:t>
      </w:r>
      <w:r w:rsidRPr="00E5667A">
        <w:rPr>
          <w:rFonts w:ascii="Book Antiqua" w:eastAsia="Book Antiqua" w:hAnsi="Book Antiqua" w:cs="Book Antiqua"/>
          <w:b/>
          <w:bCs/>
          <w:color w:val="000000"/>
        </w:rPr>
        <w:t>Liu F</w:t>
      </w:r>
      <w:r w:rsidRPr="00E5667A">
        <w:rPr>
          <w:rFonts w:ascii="Book Antiqua" w:eastAsia="Book Antiqua" w:hAnsi="Book Antiqua" w:cs="Book Antiqua"/>
          <w:color w:val="000000"/>
        </w:rPr>
        <w:t>, Che</w:t>
      </w:r>
      <w:r w:rsidRPr="009B2B60">
        <w:rPr>
          <w:rFonts w:ascii="Book Antiqua" w:eastAsia="Book Antiqua" w:hAnsi="Book Antiqua" w:cs="Book Antiqua"/>
          <w:color w:val="000000"/>
        </w:rPr>
        <w:t xml:space="preserve">n L, Yu DM, Deng L, Chen R, Jiang Y, Chen L, Huang SY, Yu JL, Gong QM, Zhang XX. Evolutionary patterns of hepatitis B virus quasispecies under different selective pressures: correlation with antiviral efficacy. </w:t>
      </w:r>
      <w:r w:rsidRPr="009B2B60">
        <w:rPr>
          <w:rFonts w:ascii="Book Antiqua" w:eastAsia="Book Antiqua" w:hAnsi="Book Antiqua" w:cs="Book Antiqua"/>
          <w:i/>
          <w:iCs/>
          <w:color w:val="000000"/>
        </w:rPr>
        <w:t>Gut</w:t>
      </w:r>
      <w:r w:rsidRPr="009B2B60">
        <w:rPr>
          <w:rFonts w:ascii="Book Antiqua" w:eastAsia="Book Antiqua" w:hAnsi="Book Antiqua" w:cs="Book Antiqua"/>
          <w:color w:val="000000"/>
        </w:rPr>
        <w:t xml:space="preserve"> 2011; </w:t>
      </w:r>
      <w:r w:rsidRPr="009B2B60">
        <w:rPr>
          <w:rFonts w:ascii="Book Antiqua" w:eastAsia="Book Antiqua" w:hAnsi="Book Antiqua" w:cs="Book Antiqua"/>
          <w:b/>
          <w:bCs/>
          <w:color w:val="000000"/>
        </w:rPr>
        <w:t>60</w:t>
      </w:r>
      <w:r w:rsidRPr="009B2B60">
        <w:rPr>
          <w:rFonts w:ascii="Book Antiqua" w:eastAsia="Book Antiqua" w:hAnsi="Book Antiqua" w:cs="Book Antiqua"/>
          <w:color w:val="000000"/>
        </w:rPr>
        <w:t>: 1269-1277 [PMID: 21292683 DOI: 10.1136/gut.2010.226225]</w:t>
      </w:r>
    </w:p>
    <w:p w14:paraId="136494A9"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9 </w:t>
      </w:r>
      <w:r w:rsidRPr="009B2B60">
        <w:rPr>
          <w:rFonts w:ascii="Book Antiqua" w:eastAsia="Book Antiqua" w:hAnsi="Book Antiqua" w:cs="Book Antiqua"/>
          <w:b/>
          <w:bCs/>
          <w:color w:val="000000"/>
        </w:rPr>
        <w:t>Rawbone RG</w:t>
      </w:r>
      <w:r w:rsidRPr="009B2B60">
        <w:rPr>
          <w:rFonts w:ascii="Book Antiqua" w:eastAsia="Book Antiqua" w:hAnsi="Book Antiqua" w:cs="Book Antiqua"/>
          <w:color w:val="000000"/>
        </w:rPr>
        <w:t xml:space="preserve">. Switching to low tar cigarettes: are the tar league tables relevant? </w:t>
      </w:r>
      <w:r w:rsidRPr="009B2B60">
        <w:rPr>
          <w:rFonts w:ascii="Book Antiqua" w:eastAsia="Book Antiqua" w:hAnsi="Book Antiqua" w:cs="Book Antiqua"/>
          <w:i/>
          <w:iCs/>
          <w:color w:val="000000"/>
        </w:rPr>
        <w:t>Thorax</w:t>
      </w:r>
      <w:r w:rsidRPr="009B2B60">
        <w:rPr>
          <w:rFonts w:ascii="Book Antiqua" w:eastAsia="Book Antiqua" w:hAnsi="Book Antiqua" w:cs="Book Antiqua"/>
          <w:color w:val="000000"/>
        </w:rPr>
        <w:t xml:space="preserve"> 1984; </w:t>
      </w:r>
      <w:r w:rsidRPr="009B2B60">
        <w:rPr>
          <w:rFonts w:ascii="Book Antiqua" w:eastAsia="Book Antiqua" w:hAnsi="Book Antiqua" w:cs="Book Antiqua"/>
          <w:b/>
          <w:bCs/>
          <w:color w:val="000000"/>
        </w:rPr>
        <w:t>39</w:t>
      </w:r>
      <w:r w:rsidRPr="009B2B60">
        <w:rPr>
          <w:rFonts w:ascii="Book Antiqua" w:eastAsia="Book Antiqua" w:hAnsi="Book Antiqua" w:cs="Book Antiqua"/>
          <w:color w:val="000000"/>
        </w:rPr>
        <w:t>: 657-662 [PMID: 6474400 DOI: 10.1371/journal.pone.0140070]</w:t>
      </w:r>
    </w:p>
    <w:p w14:paraId="14A7D729"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10 </w:t>
      </w:r>
      <w:r w:rsidRPr="009B2B60">
        <w:rPr>
          <w:rFonts w:ascii="Book Antiqua" w:eastAsia="Book Antiqua" w:hAnsi="Book Antiqua" w:cs="Book Antiqua"/>
          <w:b/>
          <w:bCs/>
          <w:color w:val="000000"/>
        </w:rPr>
        <w:t>Gao S</w:t>
      </w:r>
      <w:r w:rsidRPr="009B2B60">
        <w:rPr>
          <w:rFonts w:ascii="Book Antiqua" w:eastAsia="Book Antiqua" w:hAnsi="Book Antiqua" w:cs="Book Antiqua"/>
          <w:color w:val="000000"/>
        </w:rPr>
        <w:t xml:space="preserve">, Duan ZP, Chen Y, van der Meer F, Lee SS, Osiowy C, van Marle G, Coffin CS. Compartmental HBV evolution and replication in liver and extrahepatic sites after nucleos/tide analogue therapy in chronic hepatitis B carriers. </w:t>
      </w:r>
      <w:r w:rsidRPr="009B2B60">
        <w:rPr>
          <w:rFonts w:ascii="Book Antiqua" w:eastAsia="Book Antiqua" w:hAnsi="Book Antiqua" w:cs="Book Antiqua"/>
          <w:i/>
          <w:iCs/>
          <w:color w:val="000000"/>
        </w:rPr>
        <w:t>J ClinVirol</w:t>
      </w:r>
      <w:r w:rsidRPr="009B2B60">
        <w:rPr>
          <w:rFonts w:ascii="Book Antiqua" w:eastAsia="Book Antiqua" w:hAnsi="Book Antiqua" w:cs="Book Antiqua"/>
          <w:color w:val="000000"/>
        </w:rPr>
        <w:t xml:space="preserve"> 2017; </w:t>
      </w:r>
      <w:r w:rsidRPr="009B2B60">
        <w:rPr>
          <w:rFonts w:ascii="Book Antiqua" w:eastAsia="Book Antiqua" w:hAnsi="Book Antiqua" w:cs="Book Antiqua"/>
          <w:b/>
          <w:bCs/>
          <w:color w:val="000000"/>
        </w:rPr>
        <w:t>94</w:t>
      </w:r>
      <w:r w:rsidRPr="009B2B60">
        <w:rPr>
          <w:rFonts w:ascii="Book Antiqua" w:eastAsia="Book Antiqua" w:hAnsi="Book Antiqua" w:cs="Book Antiqua"/>
          <w:color w:val="000000"/>
        </w:rPr>
        <w:t>: 8-14 [PMID: 28709006 DOI: 10.1016/j.jcv.2017.06.009]</w:t>
      </w:r>
    </w:p>
    <w:p w14:paraId="05F6097A"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11 </w:t>
      </w:r>
      <w:r w:rsidRPr="009B2B60">
        <w:rPr>
          <w:rFonts w:ascii="Book Antiqua" w:eastAsia="Book Antiqua" w:hAnsi="Book Antiqua" w:cs="Book Antiqua"/>
          <w:b/>
          <w:bCs/>
          <w:color w:val="000000"/>
        </w:rPr>
        <w:t>Coffin CS</w:t>
      </w:r>
      <w:r w:rsidRPr="009B2B60">
        <w:rPr>
          <w:rFonts w:ascii="Book Antiqua" w:eastAsia="Book Antiqua" w:hAnsi="Book Antiqua" w:cs="Book Antiqua"/>
          <w:color w:val="000000"/>
        </w:rPr>
        <w:t xml:space="preserve">, Mulrooney-Cousins PM, van Marle G, Roberts JP, Michalak TI, Terrault NA. Hepatitis B virus quasispecies in hepatic and extrahepatic viral reservoirs in liver transplant recipients on prophylactic therapy. </w:t>
      </w:r>
      <w:r w:rsidRPr="009B2B60">
        <w:rPr>
          <w:rFonts w:ascii="Book Antiqua" w:eastAsia="Book Antiqua" w:hAnsi="Book Antiqua" w:cs="Book Antiqua"/>
          <w:i/>
          <w:iCs/>
          <w:color w:val="000000"/>
        </w:rPr>
        <w:t>Liver Transpl</w:t>
      </w:r>
      <w:r w:rsidRPr="009B2B60">
        <w:rPr>
          <w:rFonts w:ascii="Book Antiqua" w:eastAsia="Book Antiqua" w:hAnsi="Book Antiqua" w:cs="Book Antiqua"/>
          <w:color w:val="000000"/>
        </w:rPr>
        <w:t xml:space="preserve"> 2011; </w:t>
      </w:r>
      <w:r w:rsidRPr="009B2B60">
        <w:rPr>
          <w:rFonts w:ascii="Book Antiqua" w:eastAsia="Book Antiqua" w:hAnsi="Book Antiqua" w:cs="Book Antiqua"/>
          <w:b/>
          <w:bCs/>
          <w:color w:val="000000"/>
        </w:rPr>
        <w:t>17</w:t>
      </w:r>
      <w:r w:rsidRPr="009B2B60">
        <w:rPr>
          <w:rFonts w:ascii="Book Antiqua" w:eastAsia="Book Antiqua" w:hAnsi="Book Antiqua" w:cs="Book Antiqua"/>
          <w:color w:val="000000"/>
        </w:rPr>
        <w:t>: 955-962 [PMID: 21462295 DOI: 10.1002/</w:t>
      </w:r>
      <w:r w:rsidR="00DF29C0" w:rsidRPr="009B2B60">
        <w:rPr>
          <w:rFonts w:ascii="Book Antiqua" w:eastAsia="Book Antiqua" w:hAnsi="Book Antiqua" w:cs="Book Antiqua"/>
          <w:color w:val="000000"/>
        </w:rPr>
        <w:t>l</w:t>
      </w:r>
      <w:r w:rsidRPr="009B2B60">
        <w:rPr>
          <w:rFonts w:ascii="Book Antiqua" w:eastAsia="Book Antiqua" w:hAnsi="Book Antiqua" w:cs="Book Antiqua"/>
          <w:color w:val="000000"/>
        </w:rPr>
        <w:t>t.22312]</w:t>
      </w:r>
    </w:p>
    <w:p w14:paraId="4AD64F08"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12 </w:t>
      </w:r>
      <w:r w:rsidRPr="009B2B60">
        <w:rPr>
          <w:rFonts w:ascii="Book Antiqua" w:eastAsia="Book Antiqua" w:hAnsi="Book Antiqua" w:cs="Book Antiqua"/>
          <w:b/>
          <w:bCs/>
          <w:color w:val="000000"/>
        </w:rPr>
        <w:t>Chen L</w:t>
      </w:r>
      <w:r w:rsidRPr="009B2B60">
        <w:rPr>
          <w:rFonts w:ascii="Book Antiqua" w:eastAsia="Book Antiqua" w:hAnsi="Book Antiqua" w:cs="Book Antiqua"/>
          <w:color w:val="000000"/>
        </w:rPr>
        <w:t xml:space="preserve">, Zhang Q, Yu DM, Wan MB, Zhang XX. Early changes of hepatitis B virus quasispecies during lamivudine treatment and the correlation with antiviral efficacy. </w:t>
      </w:r>
      <w:r w:rsidRPr="009B2B60">
        <w:rPr>
          <w:rFonts w:ascii="Book Antiqua" w:eastAsia="Book Antiqua" w:hAnsi="Book Antiqua" w:cs="Book Antiqua"/>
          <w:i/>
          <w:iCs/>
          <w:color w:val="000000"/>
        </w:rPr>
        <w:t>J Hepatol</w:t>
      </w:r>
      <w:r w:rsidRPr="009B2B60">
        <w:rPr>
          <w:rFonts w:ascii="Book Antiqua" w:eastAsia="Book Antiqua" w:hAnsi="Book Antiqua" w:cs="Book Antiqua"/>
          <w:color w:val="000000"/>
        </w:rPr>
        <w:t xml:space="preserve"> 2009; </w:t>
      </w:r>
      <w:r w:rsidRPr="009B2B60">
        <w:rPr>
          <w:rFonts w:ascii="Book Antiqua" w:eastAsia="Book Antiqua" w:hAnsi="Book Antiqua" w:cs="Book Antiqua"/>
          <w:b/>
          <w:bCs/>
          <w:color w:val="000000"/>
        </w:rPr>
        <w:t>50</w:t>
      </w:r>
      <w:r w:rsidRPr="009B2B60">
        <w:rPr>
          <w:rFonts w:ascii="Book Antiqua" w:eastAsia="Book Antiqua" w:hAnsi="Book Antiqua" w:cs="Book Antiqua"/>
          <w:color w:val="000000"/>
        </w:rPr>
        <w:t>: 895-905 [PMID: 19304333 DOI: 10.1016/j.jhep.2008.12.018]</w:t>
      </w:r>
    </w:p>
    <w:p w14:paraId="1AA2CB36"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13 </w:t>
      </w:r>
      <w:r w:rsidRPr="009B2B60">
        <w:rPr>
          <w:rFonts w:ascii="Book Antiqua" w:eastAsia="Book Antiqua" w:hAnsi="Book Antiqua" w:cs="Book Antiqua"/>
          <w:b/>
          <w:bCs/>
          <w:color w:val="000000"/>
        </w:rPr>
        <w:t>Yin GQ</w:t>
      </w:r>
      <w:r w:rsidRPr="009B2B60">
        <w:rPr>
          <w:rFonts w:ascii="Book Antiqua" w:eastAsia="Book Antiqua" w:hAnsi="Book Antiqua" w:cs="Book Antiqua"/>
          <w:color w:val="000000"/>
        </w:rPr>
        <w:t xml:space="preserve">, Zhong B. Efficacy of interferon for chronic hepatitis B in patients with nucleoside and nucleotide combination therapy failure. </w:t>
      </w:r>
      <w:r w:rsidRPr="009B2B60">
        <w:rPr>
          <w:rFonts w:ascii="Book Antiqua" w:eastAsia="Book Antiqua" w:hAnsi="Book Antiqua" w:cs="Book Antiqua"/>
          <w:i/>
          <w:iCs/>
          <w:color w:val="000000"/>
        </w:rPr>
        <w:t>J Gastroenterol Hepatol</w:t>
      </w:r>
      <w:r w:rsidRPr="009B2B60">
        <w:rPr>
          <w:rFonts w:ascii="Book Antiqua" w:eastAsia="Book Antiqua" w:hAnsi="Book Antiqua" w:cs="Book Antiqua"/>
          <w:color w:val="000000"/>
        </w:rPr>
        <w:t xml:space="preserve"> 2016; </w:t>
      </w:r>
      <w:r w:rsidRPr="009B2B60">
        <w:rPr>
          <w:rFonts w:ascii="Book Antiqua" w:eastAsia="Book Antiqua" w:hAnsi="Book Antiqua" w:cs="Book Antiqua"/>
          <w:b/>
          <w:bCs/>
          <w:color w:val="000000"/>
        </w:rPr>
        <w:t>31</w:t>
      </w:r>
      <w:r w:rsidRPr="009B2B60">
        <w:rPr>
          <w:rFonts w:ascii="Book Antiqua" w:eastAsia="Book Antiqua" w:hAnsi="Book Antiqua" w:cs="Book Antiqua"/>
          <w:color w:val="000000"/>
        </w:rPr>
        <w:t>: 248-255 [PMID: 26456953 DOI: 10.1111/jgh.13191]</w:t>
      </w:r>
    </w:p>
    <w:p w14:paraId="725AA045"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14 </w:t>
      </w:r>
      <w:r w:rsidRPr="009B2B60">
        <w:rPr>
          <w:rFonts w:ascii="Book Antiqua" w:eastAsia="Book Antiqua" w:hAnsi="Book Antiqua" w:cs="Book Antiqua"/>
          <w:b/>
          <w:bCs/>
          <w:color w:val="000000"/>
        </w:rPr>
        <w:t>Reijnders JG</w:t>
      </w:r>
      <w:r w:rsidRPr="009B2B60">
        <w:rPr>
          <w:rFonts w:ascii="Book Antiqua" w:eastAsia="Book Antiqua" w:hAnsi="Book Antiqua" w:cs="Book Antiqua"/>
          <w:color w:val="000000"/>
        </w:rPr>
        <w:t xml:space="preserve">, Pas SD, Schutten M, de Man RA, Janssen HL. Entecavir shows limited efficacy in HBeAg-positive hepatitis B patients with a partial virologic response to adefovir therapy. </w:t>
      </w:r>
      <w:r w:rsidRPr="009B2B60">
        <w:rPr>
          <w:rFonts w:ascii="Book Antiqua" w:eastAsia="Book Antiqua" w:hAnsi="Book Antiqua" w:cs="Book Antiqua"/>
          <w:i/>
          <w:iCs/>
          <w:color w:val="000000"/>
        </w:rPr>
        <w:t>J Hepatol</w:t>
      </w:r>
      <w:r w:rsidRPr="009B2B60">
        <w:rPr>
          <w:rFonts w:ascii="Book Antiqua" w:eastAsia="Book Antiqua" w:hAnsi="Book Antiqua" w:cs="Book Antiqua"/>
          <w:color w:val="000000"/>
        </w:rPr>
        <w:t xml:space="preserve"> 2009; </w:t>
      </w:r>
      <w:r w:rsidRPr="009B2B60">
        <w:rPr>
          <w:rFonts w:ascii="Book Antiqua" w:eastAsia="Book Antiqua" w:hAnsi="Book Antiqua" w:cs="Book Antiqua"/>
          <w:b/>
          <w:bCs/>
          <w:color w:val="000000"/>
        </w:rPr>
        <w:t>50</w:t>
      </w:r>
      <w:r w:rsidRPr="009B2B60">
        <w:rPr>
          <w:rFonts w:ascii="Book Antiqua" w:eastAsia="Book Antiqua" w:hAnsi="Book Antiqua" w:cs="Book Antiqua"/>
          <w:color w:val="000000"/>
        </w:rPr>
        <w:t>: 674-683 [PMID: 19231002 DOI: 10.1016/j.jhep.2008.10.033]</w:t>
      </w:r>
    </w:p>
    <w:p w14:paraId="19C3661D" w14:textId="77777777" w:rsidR="00A77B3E" w:rsidRPr="009B2B60" w:rsidRDefault="001612DD" w:rsidP="00E5667A">
      <w:pPr>
        <w:spacing w:line="360" w:lineRule="auto"/>
        <w:jc w:val="both"/>
        <w:rPr>
          <w:rFonts w:ascii="Book Antiqua" w:eastAsia="Book Antiqua" w:hAnsi="Book Antiqua" w:cs="Book Antiqua"/>
          <w:color w:val="000000"/>
        </w:rPr>
      </w:pPr>
      <w:r w:rsidRPr="009B2B60">
        <w:rPr>
          <w:rFonts w:ascii="Book Antiqua" w:eastAsia="Book Antiqua" w:hAnsi="Book Antiqua" w:cs="Book Antiqua"/>
          <w:color w:val="000000"/>
        </w:rPr>
        <w:t xml:space="preserve">15 </w:t>
      </w:r>
      <w:r w:rsidRPr="009B2B60">
        <w:rPr>
          <w:rFonts w:ascii="Book Antiqua" w:eastAsia="Book Antiqua" w:hAnsi="Book Antiqua" w:cs="Book Antiqua"/>
          <w:b/>
          <w:bCs/>
          <w:color w:val="000000"/>
        </w:rPr>
        <w:t>Shan C</w:t>
      </w:r>
      <w:r w:rsidRPr="009B2B60">
        <w:rPr>
          <w:rFonts w:ascii="Book Antiqua" w:eastAsia="Book Antiqua" w:hAnsi="Book Antiqua" w:cs="Book Antiqua"/>
          <w:color w:val="000000"/>
        </w:rPr>
        <w:t xml:space="preserve">, Yin GQ, Wu P. Efficacy and safety of tenofovir in a kidney transplant patient with chronic hepatitis B and nucleos(t)ide multidrug resistance: a case report. </w:t>
      </w:r>
      <w:r w:rsidRPr="009B2B60">
        <w:rPr>
          <w:rFonts w:ascii="Book Antiqua" w:eastAsia="Book Antiqua" w:hAnsi="Book Antiqua" w:cs="Book Antiqua"/>
          <w:i/>
          <w:iCs/>
          <w:color w:val="000000"/>
        </w:rPr>
        <w:t>J Med Case Rep</w:t>
      </w:r>
      <w:r w:rsidRPr="009B2B60">
        <w:rPr>
          <w:rFonts w:ascii="Book Antiqua" w:eastAsia="Book Antiqua" w:hAnsi="Book Antiqua" w:cs="Book Antiqua"/>
          <w:color w:val="000000"/>
        </w:rPr>
        <w:t xml:space="preserve"> 2014; </w:t>
      </w:r>
      <w:r w:rsidRPr="009B2B60">
        <w:rPr>
          <w:rFonts w:ascii="Book Antiqua" w:eastAsia="Book Antiqua" w:hAnsi="Book Antiqua" w:cs="Book Antiqua"/>
          <w:b/>
          <w:bCs/>
          <w:color w:val="000000"/>
        </w:rPr>
        <w:t>8</w:t>
      </w:r>
      <w:r w:rsidRPr="009B2B60">
        <w:rPr>
          <w:rFonts w:ascii="Book Antiqua" w:eastAsia="Book Antiqua" w:hAnsi="Book Antiqua" w:cs="Book Antiqua"/>
          <w:color w:val="000000"/>
        </w:rPr>
        <w:t>: 281 [PMID: 25146249 DOI: 10.1186/1752-1947-8-281]</w:t>
      </w:r>
    </w:p>
    <w:p w14:paraId="78312180" w14:textId="26CA8915" w:rsidR="00D57615" w:rsidRPr="009B2B60" w:rsidRDefault="00D57615" w:rsidP="00D57615">
      <w:pPr>
        <w:spacing w:line="360" w:lineRule="auto"/>
        <w:jc w:val="both"/>
        <w:rPr>
          <w:rFonts w:ascii="Book Antiqua" w:hAnsi="Book Antiqua"/>
        </w:rPr>
      </w:pPr>
      <w:r w:rsidRPr="009B2B60">
        <w:rPr>
          <w:rFonts w:ascii="Book Antiqua" w:eastAsia="Book Antiqua" w:hAnsi="Book Antiqua" w:cs="Book Antiqua"/>
          <w:color w:val="000000"/>
        </w:rPr>
        <w:t>16</w:t>
      </w:r>
      <w:r w:rsidR="007001F6" w:rsidRPr="009B2B60">
        <w:rPr>
          <w:rFonts w:ascii="Book Antiqua" w:hAnsi="Book Antiqua" w:cs="Book Antiqua" w:hint="eastAsia"/>
          <w:color w:val="000000"/>
          <w:lang w:eastAsia="zh-CN"/>
        </w:rPr>
        <w:t xml:space="preserve"> </w:t>
      </w:r>
      <w:r w:rsidRPr="009B2B60">
        <w:rPr>
          <w:rFonts w:ascii="Book Antiqua" w:eastAsia="Book Antiqua" w:hAnsi="Book Antiqua" w:cs="Book Antiqua"/>
          <w:b/>
          <w:bCs/>
          <w:color w:val="000000"/>
        </w:rPr>
        <w:t>Zoutendijk R</w:t>
      </w:r>
      <w:r w:rsidRPr="009B2B60">
        <w:rPr>
          <w:rFonts w:ascii="Book Antiqua" w:eastAsia="Book Antiqua" w:hAnsi="Book Antiqua" w:cs="Book Antiqua"/>
          <w:color w:val="000000"/>
        </w:rPr>
        <w:t xml:space="preserve">, Reijnders JG, Brown A, Zoulim F, Mutimer D, Deterding K, Petersen J, Hofmann WP, Buti M, Santantonio T, van Bömmel F, Pradat P, Oo Y, Luetgehetmann M, Berg T, Hansen BE, Wedemeyer H, Janssen HL; VIRGIL Surveillance Study Group. Entecavir treatment for chronic hepatitis B: adaptation is not needed for the majority of naïve patients with a partial virological response. </w:t>
      </w:r>
      <w:r w:rsidRPr="009B2B60">
        <w:rPr>
          <w:rFonts w:ascii="Book Antiqua" w:eastAsia="Book Antiqua" w:hAnsi="Book Antiqua" w:cs="Book Antiqua"/>
          <w:i/>
          <w:iCs/>
          <w:color w:val="000000"/>
        </w:rPr>
        <w:t>Hepatology</w:t>
      </w:r>
      <w:r w:rsidRPr="009B2B60">
        <w:rPr>
          <w:rFonts w:ascii="Book Antiqua" w:eastAsia="Book Antiqua" w:hAnsi="Book Antiqua" w:cs="Book Antiqua"/>
          <w:color w:val="000000"/>
        </w:rPr>
        <w:t xml:space="preserve"> 2011; </w:t>
      </w:r>
      <w:r w:rsidRPr="009B2B60">
        <w:rPr>
          <w:rFonts w:ascii="Book Antiqua" w:eastAsia="Book Antiqua" w:hAnsi="Book Antiqua" w:cs="Book Antiqua"/>
          <w:b/>
          <w:bCs/>
          <w:color w:val="000000"/>
        </w:rPr>
        <w:t>54</w:t>
      </w:r>
      <w:r w:rsidRPr="009B2B60">
        <w:rPr>
          <w:rFonts w:ascii="Book Antiqua" w:eastAsia="Book Antiqua" w:hAnsi="Book Antiqua" w:cs="Book Antiqua"/>
          <w:color w:val="000000"/>
        </w:rPr>
        <w:t>: 443-451 [PMID: 21563196 DOI: 10.1002/hep.24406]</w:t>
      </w:r>
    </w:p>
    <w:p w14:paraId="0FDF29D5" w14:textId="42F9BDF3" w:rsidR="00D57615" w:rsidRPr="009B2B60" w:rsidRDefault="00D57615" w:rsidP="00D57615">
      <w:pPr>
        <w:spacing w:line="360" w:lineRule="auto"/>
        <w:jc w:val="both"/>
        <w:rPr>
          <w:rFonts w:ascii="Book Antiqua" w:hAnsi="Book Antiqua"/>
        </w:rPr>
      </w:pPr>
      <w:r w:rsidRPr="009B2B60">
        <w:rPr>
          <w:rFonts w:ascii="Book Antiqua" w:eastAsia="Book Antiqua" w:hAnsi="Book Antiqua" w:cs="Book Antiqua"/>
          <w:color w:val="000000"/>
        </w:rPr>
        <w:t>17</w:t>
      </w:r>
      <w:r w:rsidR="007001F6" w:rsidRPr="009B2B60">
        <w:rPr>
          <w:rFonts w:ascii="Book Antiqua" w:hAnsi="Book Antiqua" w:cs="Book Antiqua" w:hint="eastAsia"/>
          <w:color w:val="000000"/>
          <w:lang w:eastAsia="zh-CN"/>
        </w:rPr>
        <w:t xml:space="preserve"> </w:t>
      </w:r>
      <w:r w:rsidRPr="009B2B60">
        <w:rPr>
          <w:rFonts w:ascii="Book Antiqua" w:eastAsia="Book Antiqua" w:hAnsi="Book Antiqua" w:cs="Book Antiqua"/>
          <w:b/>
          <w:bCs/>
          <w:color w:val="000000"/>
        </w:rPr>
        <w:t>Chang TT</w:t>
      </w:r>
      <w:r w:rsidRPr="009B2B60">
        <w:rPr>
          <w:rFonts w:ascii="Book Antiqua" w:eastAsia="Book Antiqua" w:hAnsi="Book Antiqua" w:cs="Book Antiqua"/>
          <w:color w:val="000000"/>
        </w:rPr>
        <w:t xml:space="preserve">, Lai CL, Kew Yoon S, Lee SS, Coelho HS, Carrilho FJ, Poordad F, Halota W, Horsmans Y, Tsai N, Zhang H, Tenney DJ, Tamez R, Iloeje U. Entecavir treatment for up to 5 years in patients with hepatitis B e antigen-positive chronic hepatitis B. </w:t>
      </w:r>
      <w:r w:rsidRPr="009B2B60">
        <w:rPr>
          <w:rFonts w:ascii="Book Antiqua" w:eastAsia="Book Antiqua" w:hAnsi="Book Antiqua" w:cs="Book Antiqua"/>
          <w:i/>
          <w:iCs/>
          <w:color w:val="000000"/>
        </w:rPr>
        <w:t>Hepatology</w:t>
      </w:r>
      <w:r w:rsidRPr="009B2B60">
        <w:rPr>
          <w:rFonts w:ascii="Book Antiqua" w:eastAsia="Book Antiqua" w:hAnsi="Book Antiqua" w:cs="Book Antiqua"/>
          <w:color w:val="000000"/>
        </w:rPr>
        <w:t xml:space="preserve"> 2010; </w:t>
      </w:r>
      <w:r w:rsidRPr="009B2B60">
        <w:rPr>
          <w:rFonts w:ascii="Book Antiqua" w:eastAsia="Book Antiqua" w:hAnsi="Book Antiqua" w:cs="Book Antiqua"/>
          <w:b/>
          <w:bCs/>
          <w:color w:val="000000"/>
        </w:rPr>
        <w:t>51</w:t>
      </w:r>
      <w:r w:rsidRPr="009B2B60">
        <w:rPr>
          <w:rFonts w:ascii="Book Antiqua" w:eastAsia="Book Antiqua" w:hAnsi="Book Antiqua" w:cs="Book Antiqua"/>
          <w:color w:val="000000"/>
        </w:rPr>
        <w:t>: 422-430 [PMID: 20049753 DOI: 10.1002/hep.23327]</w:t>
      </w:r>
    </w:p>
    <w:p w14:paraId="7F548D71" w14:textId="01F8EC85"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1</w:t>
      </w:r>
      <w:r w:rsidR="00D57615" w:rsidRPr="009B2B60">
        <w:rPr>
          <w:rFonts w:ascii="Book Antiqua" w:eastAsia="Book Antiqua" w:hAnsi="Book Antiqua" w:cs="Book Antiqua"/>
          <w:color w:val="000000"/>
        </w:rPr>
        <w:t>8</w:t>
      </w:r>
      <w:r w:rsidR="007001F6" w:rsidRPr="009B2B60">
        <w:rPr>
          <w:rFonts w:ascii="Book Antiqua" w:hAnsi="Book Antiqua" w:cs="Book Antiqua" w:hint="eastAsia"/>
          <w:color w:val="000000"/>
          <w:lang w:eastAsia="zh-CN"/>
        </w:rPr>
        <w:t xml:space="preserve"> </w:t>
      </w:r>
      <w:r w:rsidRPr="009B2B60">
        <w:rPr>
          <w:rFonts w:ascii="Book Antiqua" w:eastAsia="Book Antiqua" w:hAnsi="Book Antiqua" w:cs="Book Antiqua"/>
          <w:b/>
          <w:bCs/>
          <w:color w:val="000000"/>
        </w:rPr>
        <w:t>Choi HN</w:t>
      </w:r>
      <w:r w:rsidRPr="009B2B60">
        <w:rPr>
          <w:rFonts w:ascii="Book Antiqua" w:eastAsia="Book Antiqua" w:hAnsi="Book Antiqua" w:cs="Book Antiqua"/>
          <w:color w:val="000000"/>
        </w:rPr>
        <w:t xml:space="preserve">, Song JE, Lee HC, Jo HH, Lee CH, Kim BS. Efficacy of prolonged entecavir monotherapy in treatment-naïve chronic hepatitis B patients exhibiting a partial virologic response to entecavir. </w:t>
      </w:r>
      <w:r w:rsidRPr="009B2B60">
        <w:rPr>
          <w:rFonts w:ascii="Book Antiqua" w:eastAsia="Book Antiqua" w:hAnsi="Book Antiqua" w:cs="Book Antiqua"/>
          <w:i/>
          <w:iCs/>
          <w:color w:val="000000"/>
        </w:rPr>
        <w:t>Clin Mol Hepatol</w:t>
      </w:r>
      <w:r w:rsidRPr="009B2B60">
        <w:rPr>
          <w:rFonts w:ascii="Book Antiqua" w:eastAsia="Book Antiqua" w:hAnsi="Book Antiqua" w:cs="Book Antiqua"/>
          <w:color w:val="000000"/>
        </w:rPr>
        <w:t xml:space="preserve"> 2015; </w:t>
      </w:r>
      <w:r w:rsidRPr="009B2B60">
        <w:rPr>
          <w:rFonts w:ascii="Book Antiqua" w:eastAsia="Book Antiqua" w:hAnsi="Book Antiqua" w:cs="Book Antiqua"/>
          <w:b/>
          <w:bCs/>
          <w:color w:val="000000"/>
        </w:rPr>
        <w:t>21</w:t>
      </w:r>
      <w:r w:rsidRPr="009B2B60">
        <w:rPr>
          <w:rFonts w:ascii="Book Antiqua" w:eastAsia="Book Antiqua" w:hAnsi="Book Antiqua" w:cs="Book Antiqua"/>
          <w:color w:val="000000"/>
        </w:rPr>
        <w:t>: 24-31 [PMID: 25834799 DOI: 10.3350/cmh.2015.21.1.24]</w:t>
      </w:r>
    </w:p>
    <w:p w14:paraId="69C329AD" w14:textId="77777777" w:rsidR="00A77B3E" w:rsidRPr="009B2B60" w:rsidRDefault="001612DD" w:rsidP="00E5667A">
      <w:pPr>
        <w:spacing w:line="360" w:lineRule="auto"/>
        <w:jc w:val="both"/>
        <w:rPr>
          <w:rFonts w:ascii="Book Antiqua" w:eastAsia="Book Antiqua" w:hAnsi="Book Antiqua" w:cs="Book Antiqua"/>
          <w:color w:val="000000"/>
        </w:rPr>
      </w:pPr>
      <w:r w:rsidRPr="009B2B60">
        <w:rPr>
          <w:rFonts w:ascii="Book Antiqua" w:eastAsia="Book Antiqua" w:hAnsi="Book Antiqua" w:cs="Book Antiqua"/>
          <w:color w:val="000000"/>
        </w:rPr>
        <w:t xml:space="preserve">19 </w:t>
      </w:r>
      <w:r w:rsidRPr="009B2B60">
        <w:rPr>
          <w:rFonts w:ascii="Book Antiqua" w:eastAsia="Book Antiqua" w:hAnsi="Book Antiqua" w:cs="Book Antiqua"/>
          <w:b/>
          <w:bCs/>
          <w:color w:val="000000"/>
        </w:rPr>
        <w:t>Lok AS</w:t>
      </w:r>
      <w:r w:rsidRPr="009B2B60">
        <w:rPr>
          <w:rFonts w:ascii="Book Antiqua" w:eastAsia="Book Antiqua" w:hAnsi="Book Antiqua" w:cs="Book Antiqua"/>
          <w:color w:val="000000"/>
        </w:rPr>
        <w:t xml:space="preserve">, Trinh H, Carosi G, Akarca US, Gadano A, Habersetzer F, Sievert W, Wong D, Lovegren M, Cohen D, Llamoso C. Efficacy of entecavir with or without tenofovirdisoproxil fumarate for nucleos(t)ide-naïve patients with chronic hepatitis B. </w:t>
      </w:r>
      <w:r w:rsidRPr="009B2B60">
        <w:rPr>
          <w:rFonts w:ascii="Book Antiqua" w:eastAsia="Book Antiqua" w:hAnsi="Book Antiqua" w:cs="Book Antiqua"/>
          <w:i/>
          <w:iCs/>
          <w:color w:val="000000"/>
        </w:rPr>
        <w:t>Gastroenterology</w:t>
      </w:r>
      <w:r w:rsidRPr="009B2B60">
        <w:rPr>
          <w:rFonts w:ascii="Book Antiqua" w:eastAsia="Book Antiqua" w:hAnsi="Book Antiqua" w:cs="Book Antiqua"/>
          <w:color w:val="000000"/>
        </w:rPr>
        <w:t xml:space="preserve"> 2012; </w:t>
      </w:r>
      <w:r w:rsidRPr="009B2B60">
        <w:rPr>
          <w:rFonts w:ascii="Book Antiqua" w:eastAsia="Book Antiqua" w:hAnsi="Book Antiqua" w:cs="Book Antiqua"/>
          <w:b/>
          <w:bCs/>
          <w:color w:val="000000"/>
        </w:rPr>
        <w:t>143</w:t>
      </w:r>
      <w:r w:rsidRPr="009B2B60">
        <w:rPr>
          <w:rFonts w:ascii="Book Antiqua" w:eastAsia="Book Antiqua" w:hAnsi="Book Antiqua" w:cs="Book Antiqua"/>
          <w:color w:val="000000"/>
        </w:rPr>
        <w:t>: 619-628.e1 [PMID: 22643350 DOI: 10.1053/j.gastro.2012.05.037]</w:t>
      </w:r>
    </w:p>
    <w:p w14:paraId="7F22B4F9" w14:textId="45966A9B" w:rsidR="00D57615" w:rsidRPr="009B2B60" w:rsidRDefault="00D57615" w:rsidP="00E5667A">
      <w:pPr>
        <w:spacing w:line="360" w:lineRule="auto"/>
        <w:jc w:val="both"/>
        <w:rPr>
          <w:rFonts w:ascii="Book Antiqua" w:hAnsi="Book Antiqua"/>
        </w:rPr>
      </w:pPr>
      <w:r w:rsidRPr="009B2B60">
        <w:rPr>
          <w:rFonts w:ascii="Book Antiqua" w:eastAsia="Book Antiqua" w:hAnsi="Book Antiqua" w:cs="Book Antiqua"/>
          <w:color w:val="000000"/>
        </w:rPr>
        <w:t>20</w:t>
      </w:r>
      <w:r w:rsidR="007001F6" w:rsidRPr="009B2B60">
        <w:rPr>
          <w:rFonts w:ascii="Book Antiqua" w:hAnsi="Book Antiqua" w:cs="Book Antiqua" w:hint="eastAsia"/>
          <w:color w:val="000000"/>
          <w:lang w:eastAsia="zh-CN"/>
        </w:rPr>
        <w:t xml:space="preserve"> </w:t>
      </w:r>
      <w:r w:rsidRPr="009B2B60">
        <w:rPr>
          <w:rFonts w:ascii="Book Antiqua" w:eastAsia="Book Antiqua" w:hAnsi="Book Antiqua" w:cs="Book Antiqua"/>
          <w:b/>
          <w:bCs/>
          <w:color w:val="000000"/>
        </w:rPr>
        <w:t>Zoutendijk R</w:t>
      </w:r>
      <w:r w:rsidRPr="009B2B60">
        <w:rPr>
          <w:rFonts w:ascii="Book Antiqua" w:eastAsia="Book Antiqua" w:hAnsi="Book Antiqua" w:cs="Book Antiqua"/>
          <w:color w:val="000000"/>
        </w:rPr>
        <w:t xml:space="preserve">, Reijnders JG, Zoulim F, Brown A, Mutimer DJ, Deterding K, Hofmann WP, Petersen J, Fasano M, Buti M, Berg T, Hansen BE, Sonneveld MJ, Wedemeyer H, Janssen HL; VIRGIL Surveillance Study Group. Virological response to entecavir is associated with a better clinical outcome in chronic hepatitis B patients with cirrhosis. </w:t>
      </w:r>
      <w:r w:rsidRPr="009B2B60">
        <w:rPr>
          <w:rFonts w:ascii="Book Antiqua" w:eastAsia="Book Antiqua" w:hAnsi="Book Antiqua" w:cs="Book Antiqua"/>
          <w:i/>
          <w:iCs/>
          <w:color w:val="000000"/>
        </w:rPr>
        <w:t>Gut</w:t>
      </w:r>
      <w:r w:rsidRPr="009B2B60">
        <w:rPr>
          <w:rFonts w:ascii="Book Antiqua" w:eastAsia="Book Antiqua" w:hAnsi="Book Antiqua" w:cs="Book Antiqua"/>
          <w:color w:val="000000"/>
        </w:rPr>
        <w:t xml:space="preserve"> 2013; </w:t>
      </w:r>
      <w:r w:rsidRPr="009B2B60">
        <w:rPr>
          <w:rFonts w:ascii="Book Antiqua" w:eastAsia="Book Antiqua" w:hAnsi="Book Antiqua" w:cs="Book Antiqua"/>
          <w:b/>
          <w:bCs/>
          <w:color w:val="000000"/>
        </w:rPr>
        <w:t>62</w:t>
      </w:r>
      <w:r w:rsidRPr="009B2B60">
        <w:rPr>
          <w:rFonts w:ascii="Book Antiqua" w:eastAsia="Book Antiqua" w:hAnsi="Book Antiqua" w:cs="Book Antiqua"/>
          <w:color w:val="000000"/>
        </w:rPr>
        <w:t>: 760-765 [PMID: 22490523 DOI: 10.1136/gutjnl-2012-302024]</w:t>
      </w:r>
    </w:p>
    <w:p w14:paraId="7185C092"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21 </w:t>
      </w:r>
      <w:r w:rsidRPr="009B2B60">
        <w:rPr>
          <w:rFonts w:ascii="Book Antiqua" w:eastAsia="Book Antiqua" w:hAnsi="Book Antiqua" w:cs="Book Antiqua"/>
          <w:b/>
          <w:bCs/>
          <w:color w:val="000000"/>
        </w:rPr>
        <w:t>Du Jeong I</w:t>
      </w:r>
      <w:r w:rsidRPr="009B2B60">
        <w:rPr>
          <w:rFonts w:ascii="Book Antiqua" w:eastAsia="Book Antiqua" w:hAnsi="Book Antiqua" w:cs="Book Antiqua"/>
          <w:color w:val="000000"/>
        </w:rPr>
        <w:t xml:space="preserve">, Jung SW, Park BR, Lee BU, Park JH, Kim BG, Bang SJ, Shin JW, Park NH. Clinical Course of Partial Virologic Response with Prolonged Tenofovir Therapy in Nuclos(t)ides-Naïve Patients with Chronic Hepatitis B. </w:t>
      </w:r>
      <w:r w:rsidRPr="009B2B60">
        <w:rPr>
          <w:rFonts w:ascii="Book Antiqua" w:eastAsia="Book Antiqua" w:hAnsi="Book Antiqua" w:cs="Book Antiqua"/>
          <w:i/>
          <w:iCs/>
          <w:color w:val="000000"/>
        </w:rPr>
        <w:t>Dig Dis Sci</w:t>
      </w:r>
      <w:r w:rsidRPr="009B2B60">
        <w:rPr>
          <w:rFonts w:ascii="Book Antiqua" w:eastAsia="Book Antiqua" w:hAnsi="Book Antiqua" w:cs="Book Antiqua"/>
          <w:color w:val="000000"/>
        </w:rPr>
        <w:t xml:space="preserve"> 2017; </w:t>
      </w:r>
      <w:r w:rsidRPr="009B2B60">
        <w:rPr>
          <w:rFonts w:ascii="Book Antiqua" w:eastAsia="Book Antiqua" w:hAnsi="Book Antiqua" w:cs="Book Antiqua"/>
          <w:b/>
          <w:bCs/>
          <w:color w:val="000000"/>
        </w:rPr>
        <w:t>62</w:t>
      </w:r>
      <w:r w:rsidRPr="009B2B60">
        <w:rPr>
          <w:rFonts w:ascii="Book Antiqua" w:eastAsia="Book Antiqua" w:hAnsi="Book Antiqua" w:cs="Book Antiqua"/>
          <w:color w:val="000000"/>
        </w:rPr>
        <w:t>: 2908-2914 [PMID: 28871337 DOI: 10.1007/s10620-017-4737-1]</w:t>
      </w:r>
    </w:p>
    <w:p w14:paraId="333994A8"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22 </w:t>
      </w:r>
      <w:r w:rsidRPr="009B2B60">
        <w:rPr>
          <w:rFonts w:ascii="Book Antiqua" w:eastAsia="Book Antiqua" w:hAnsi="Book Antiqua" w:cs="Book Antiqua"/>
          <w:b/>
          <w:bCs/>
          <w:color w:val="000000"/>
        </w:rPr>
        <w:t>Perry CM</w:t>
      </w:r>
      <w:r w:rsidRPr="009B2B60">
        <w:rPr>
          <w:rFonts w:ascii="Book Antiqua" w:eastAsia="Book Antiqua" w:hAnsi="Book Antiqua" w:cs="Book Antiqua"/>
          <w:color w:val="000000"/>
        </w:rPr>
        <w:t xml:space="preserve">, Simpson D. Tenofovir disoproxil fumarate: in chronic hepatitis B. </w:t>
      </w:r>
      <w:r w:rsidRPr="009B2B60">
        <w:rPr>
          <w:rFonts w:ascii="Book Antiqua" w:eastAsia="Book Antiqua" w:hAnsi="Book Antiqua" w:cs="Book Antiqua"/>
          <w:i/>
          <w:iCs/>
          <w:color w:val="000000"/>
        </w:rPr>
        <w:t>Drugs</w:t>
      </w:r>
      <w:r w:rsidRPr="009B2B60">
        <w:rPr>
          <w:rFonts w:ascii="Book Antiqua" w:eastAsia="Book Antiqua" w:hAnsi="Book Antiqua" w:cs="Book Antiqua"/>
          <w:color w:val="000000"/>
        </w:rPr>
        <w:t xml:space="preserve"> 2009; </w:t>
      </w:r>
      <w:r w:rsidRPr="009B2B60">
        <w:rPr>
          <w:rFonts w:ascii="Book Antiqua" w:eastAsia="Book Antiqua" w:hAnsi="Book Antiqua" w:cs="Book Antiqua"/>
          <w:b/>
          <w:bCs/>
          <w:color w:val="000000"/>
        </w:rPr>
        <w:t>69</w:t>
      </w:r>
      <w:r w:rsidRPr="009B2B60">
        <w:rPr>
          <w:rFonts w:ascii="Book Antiqua" w:eastAsia="Book Antiqua" w:hAnsi="Book Antiqua" w:cs="Book Antiqua"/>
          <w:color w:val="000000"/>
        </w:rPr>
        <w:t>: 2245-2256 [PMID: 19852527 DOI: 10.2165/10482940-000000000-00000]</w:t>
      </w:r>
    </w:p>
    <w:p w14:paraId="4308AEFF" w14:textId="77777777" w:rsidR="00A77B3E" w:rsidRPr="009B2B60" w:rsidRDefault="001612DD" w:rsidP="00E5667A">
      <w:pPr>
        <w:spacing w:line="360" w:lineRule="auto"/>
        <w:jc w:val="both"/>
        <w:rPr>
          <w:rFonts w:ascii="Book Antiqua" w:hAnsi="Book Antiqua"/>
        </w:rPr>
      </w:pPr>
      <w:r w:rsidRPr="009B2B60">
        <w:rPr>
          <w:rFonts w:ascii="Book Antiqua" w:eastAsia="Book Antiqua" w:hAnsi="Book Antiqua" w:cs="Book Antiqua"/>
          <w:color w:val="000000"/>
        </w:rPr>
        <w:t xml:space="preserve">23 </w:t>
      </w:r>
      <w:r w:rsidRPr="009B2B60">
        <w:rPr>
          <w:rFonts w:ascii="Book Antiqua" w:eastAsia="Book Antiqua" w:hAnsi="Book Antiqua" w:cs="Book Antiqua"/>
          <w:b/>
          <w:bCs/>
          <w:color w:val="000000"/>
        </w:rPr>
        <w:t>Song JE</w:t>
      </w:r>
      <w:r w:rsidRPr="009B2B60">
        <w:rPr>
          <w:rFonts w:ascii="Book Antiqua" w:eastAsia="Book Antiqua" w:hAnsi="Book Antiqua" w:cs="Book Antiqua"/>
          <w:color w:val="000000"/>
        </w:rPr>
        <w:t xml:space="preserve">, Lee CH, Kim BS. Efficacy of long-term tenofovir disoproxil fumarate therapy in chronic hepatitis B patients with partial virologic response in real practice. </w:t>
      </w:r>
      <w:r w:rsidRPr="009B2B60">
        <w:rPr>
          <w:rFonts w:ascii="Book Antiqua" w:eastAsia="Book Antiqua" w:hAnsi="Book Antiqua" w:cs="Book Antiqua"/>
          <w:i/>
          <w:iCs/>
          <w:color w:val="000000"/>
        </w:rPr>
        <w:t>Korean J Intern Med</w:t>
      </w:r>
      <w:r w:rsidRPr="009B2B60">
        <w:rPr>
          <w:rFonts w:ascii="Book Antiqua" w:eastAsia="Book Antiqua" w:hAnsi="Book Antiqua" w:cs="Book Antiqua"/>
          <w:color w:val="000000"/>
        </w:rPr>
        <w:t xml:space="preserve"> 2019; </w:t>
      </w:r>
      <w:r w:rsidRPr="009B2B60">
        <w:rPr>
          <w:rFonts w:ascii="Book Antiqua" w:eastAsia="Book Antiqua" w:hAnsi="Book Antiqua" w:cs="Book Antiqua"/>
          <w:b/>
          <w:bCs/>
          <w:color w:val="000000"/>
        </w:rPr>
        <w:t>34</w:t>
      </w:r>
      <w:r w:rsidRPr="009B2B60">
        <w:rPr>
          <w:rFonts w:ascii="Book Antiqua" w:eastAsia="Book Antiqua" w:hAnsi="Book Antiqua" w:cs="Book Antiqua"/>
          <w:color w:val="000000"/>
        </w:rPr>
        <w:t>: 802-810 [PMID: 30959583 DOI: 10.3904/kjim.2019.037]</w:t>
      </w:r>
    </w:p>
    <w:p w14:paraId="3F2E4ECB" w14:textId="77777777" w:rsidR="00A77B3E" w:rsidRPr="009B2B60" w:rsidRDefault="001612DD" w:rsidP="00E5667A">
      <w:pPr>
        <w:spacing w:line="360" w:lineRule="auto"/>
        <w:jc w:val="both"/>
        <w:rPr>
          <w:rFonts w:ascii="Book Antiqua" w:eastAsia="Book Antiqua" w:hAnsi="Book Antiqua" w:cs="Book Antiqua"/>
          <w:color w:val="000000"/>
        </w:rPr>
      </w:pPr>
      <w:r w:rsidRPr="009B2B60">
        <w:rPr>
          <w:rFonts w:ascii="Book Antiqua" w:eastAsia="Book Antiqua" w:hAnsi="Book Antiqua" w:cs="Book Antiqua"/>
          <w:color w:val="000000"/>
        </w:rPr>
        <w:t xml:space="preserve">24 </w:t>
      </w:r>
      <w:r w:rsidRPr="009B2B60">
        <w:rPr>
          <w:rFonts w:ascii="Book Antiqua" w:eastAsia="Book Antiqua" w:hAnsi="Book Antiqua" w:cs="Book Antiqua"/>
          <w:b/>
          <w:bCs/>
          <w:color w:val="000000"/>
        </w:rPr>
        <w:t>Lovett GC</w:t>
      </w:r>
      <w:r w:rsidRPr="009B2B60">
        <w:rPr>
          <w:rFonts w:ascii="Book Antiqua" w:eastAsia="Book Antiqua" w:hAnsi="Book Antiqua" w:cs="Book Antiqua"/>
          <w:color w:val="000000"/>
        </w:rPr>
        <w:t xml:space="preserve">, Nguyen T, Iser DM, Holmes JA, Chen R, Demediuk B, Shaw G, Bell SJ, Desmond PV, Thompson AJ. Efficacy and safety of tenofovir in chronic hepatitis B: Australian real world experience. </w:t>
      </w:r>
      <w:r w:rsidRPr="009B2B60">
        <w:rPr>
          <w:rFonts w:ascii="Book Antiqua" w:eastAsia="Book Antiqua" w:hAnsi="Book Antiqua" w:cs="Book Antiqua"/>
          <w:i/>
          <w:iCs/>
          <w:color w:val="000000"/>
        </w:rPr>
        <w:t>World J Hepatol</w:t>
      </w:r>
      <w:r w:rsidRPr="009B2B60">
        <w:rPr>
          <w:rFonts w:ascii="Book Antiqua" w:eastAsia="Book Antiqua" w:hAnsi="Book Antiqua" w:cs="Book Antiqua"/>
          <w:color w:val="000000"/>
        </w:rPr>
        <w:t xml:space="preserve"> 2017; </w:t>
      </w:r>
      <w:r w:rsidRPr="009B2B60">
        <w:rPr>
          <w:rFonts w:ascii="Book Antiqua" w:eastAsia="Book Antiqua" w:hAnsi="Book Antiqua" w:cs="Book Antiqua"/>
          <w:b/>
          <w:bCs/>
          <w:color w:val="000000"/>
        </w:rPr>
        <w:t>9</w:t>
      </w:r>
      <w:r w:rsidRPr="009B2B60">
        <w:rPr>
          <w:rFonts w:ascii="Book Antiqua" w:eastAsia="Book Antiqua" w:hAnsi="Book Antiqua" w:cs="Book Antiqua"/>
          <w:color w:val="000000"/>
        </w:rPr>
        <w:t>: 48-56 [PMID: 28105258 DOI: 10.4254/wjh.v9.i1.48]</w:t>
      </w:r>
    </w:p>
    <w:p w14:paraId="6E9199A2" w14:textId="77777777" w:rsidR="00D57615" w:rsidRPr="009B2B60" w:rsidRDefault="00D57615" w:rsidP="00D57615">
      <w:pPr>
        <w:spacing w:line="360" w:lineRule="auto"/>
        <w:jc w:val="both"/>
        <w:rPr>
          <w:rFonts w:ascii="Book Antiqua" w:hAnsi="Book Antiqua"/>
        </w:rPr>
      </w:pPr>
      <w:r w:rsidRPr="009B2B60">
        <w:rPr>
          <w:rFonts w:ascii="Book Antiqua" w:hAnsi="Book Antiqua"/>
          <w:bCs/>
          <w:color w:val="000000"/>
        </w:rPr>
        <w:t xml:space="preserve">25 </w:t>
      </w:r>
      <w:r w:rsidRPr="009B2B60">
        <w:rPr>
          <w:rFonts w:ascii="Book Antiqua" w:eastAsia="Book Antiqua" w:hAnsi="Book Antiqua" w:cs="Book Antiqua"/>
          <w:color w:val="000000"/>
        </w:rPr>
        <w:t>Guidelines for the Prevention, Care and Treatment of Persons with Chronic Hepatitis B Infection. Geneva: World Health Organization; 2015 Mar [PMID: 26225396]</w:t>
      </w:r>
    </w:p>
    <w:p w14:paraId="62BFDE86" w14:textId="3684904E" w:rsidR="00D57615" w:rsidRPr="009B2B60" w:rsidRDefault="003951F7" w:rsidP="00E5667A">
      <w:pPr>
        <w:spacing w:line="360" w:lineRule="auto"/>
        <w:jc w:val="both"/>
        <w:rPr>
          <w:rFonts w:ascii="Book Antiqua" w:hAnsi="Book Antiqua"/>
          <w:color w:val="000000"/>
          <w:lang w:eastAsia="zh-CN"/>
        </w:rPr>
      </w:pPr>
      <w:r w:rsidRPr="009B2B60">
        <w:rPr>
          <w:rFonts w:ascii="Book Antiqua" w:hAnsi="Book Antiqua"/>
          <w:bCs/>
          <w:color w:val="000000"/>
        </w:rPr>
        <w:t>26</w:t>
      </w:r>
      <w:bookmarkStart w:id="11" w:name="OLE_LINK101"/>
      <w:bookmarkStart w:id="12" w:name="OLE_LINK260"/>
      <w:bookmarkStart w:id="13" w:name="OLE_LINK264"/>
      <w:bookmarkStart w:id="14" w:name="OLE_LINK400"/>
      <w:bookmarkStart w:id="15" w:name="OLE_LINK406"/>
      <w:r w:rsidR="007001F6" w:rsidRPr="009B2B60">
        <w:rPr>
          <w:rFonts w:ascii="Book Antiqua" w:hAnsi="Book Antiqua" w:hint="eastAsia"/>
          <w:bCs/>
          <w:color w:val="000000"/>
          <w:lang w:eastAsia="zh-CN"/>
        </w:rPr>
        <w:t xml:space="preserve"> </w:t>
      </w:r>
      <w:r w:rsidRPr="009B2B60">
        <w:rPr>
          <w:rFonts w:ascii="Book Antiqua" w:hAnsi="Book Antiqua"/>
          <w:color w:val="000000"/>
        </w:rPr>
        <w:t>Baraclude ® prescribing information</w:t>
      </w:r>
      <w:bookmarkEnd w:id="11"/>
      <w:bookmarkEnd w:id="12"/>
      <w:bookmarkEnd w:id="13"/>
      <w:r w:rsidRPr="009B2B60">
        <w:rPr>
          <w:rFonts w:ascii="Book Antiqua" w:hAnsi="Book Antiqua"/>
          <w:color w:val="000000"/>
        </w:rPr>
        <w:t xml:space="preserve">. </w:t>
      </w:r>
      <w:bookmarkStart w:id="16" w:name="OLE_LINK396"/>
      <w:bookmarkStart w:id="17" w:name="OLE_LINK395"/>
      <w:bookmarkStart w:id="18" w:name="OLE_LINK384"/>
      <w:r w:rsidRPr="009B2B60">
        <w:rPr>
          <w:rFonts w:ascii="Book Antiqua" w:eastAsia="宋体" w:hAnsi="Book Antiqua" w:cs="Arial"/>
          <w:bCs/>
        </w:rPr>
        <w:t xml:space="preserve">Available from: </w:t>
      </w:r>
      <w:r w:rsidRPr="009B2B60">
        <w:rPr>
          <w:rFonts w:ascii="Book Antiqua" w:hAnsi="Book Antiqua"/>
          <w:color w:val="000000"/>
        </w:rPr>
        <w:t>https://www.drugs.com/pro/baraclude.html</w:t>
      </w:r>
      <w:bookmarkEnd w:id="14"/>
      <w:bookmarkEnd w:id="15"/>
      <w:bookmarkEnd w:id="16"/>
      <w:bookmarkEnd w:id="17"/>
      <w:bookmarkEnd w:id="18"/>
    </w:p>
    <w:p w14:paraId="75C8B27D" w14:textId="16A0E292" w:rsidR="00A77B3E" w:rsidRPr="009B2B60" w:rsidRDefault="00DD2B45" w:rsidP="00E5667A">
      <w:pPr>
        <w:spacing w:line="360" w:lineRule="auto"/>
        <w:jc w:val="both"/>
        <w:rPr>
          <w:rFonts w:ascii="Book Antiqua" w:hAnsi="Book Antiqua"/>
        </w:rPr>
      </w:pPr>
      <w:r w:rsidRPr="009B2B60">
        <w:rPr>
          <w:rFonts w:ascii="Book Antiqua" w:eastAsia="Book Antiqua" w:hAnsi="Book Antiqua" w:cs="Book Antiqua"/>
          <w:color w:val="000000"/>
        </w:rPr>
        <w:t>2</w:t>
      </w:r>
      <w:r w:rsidR="00505A74" w:rsidRPr="009B2B60">
        <w:rPr>
          <w:rFonts w:ascii="Book Antiqua" w:hAnsi="Book Antiqua" w:cs="Book Antiqua"/>
          <w:color w:val="000000"/>
          <w:lang w:eastAsia="zh-CN"/>
        </w:rPr>
        <w:t>7</w:t>
      </w:r>
      <w:r w:rsidR="007001F6" w:rsidRPr="009B2B60">
        <w:rPr>
          <w:rFonts w:ascii="Book Antiqua" w:hAnsi="Book Antiqua" w:cs="Book Antiqua" w:hint="eastAsia"/>
          <w:color w:val="000000"/>
          <w:lang w:eastAsia="zh-CN"/>
        </w:rPr>
        <w:t xml:space="preserve"> </w:t>
      </w:r>
      <w:r w:rsidR="001612DD" w:rsidRPr="009B2B60">
        <w:rPr>
          <w:rFonts w:ascii="Book Antiqua" w:eastAsia="Book Antiqua" w:hAnsi="Book Antiqua" w:cs="Book Antiqua"/>
          <w:b/>
          <w:bCs/>
          <w:color w:val="000000"/>
        </w:rPr>
        <w:t>Innaimo SF</w:t>
      </w:r>
      <w:r w:rsidR="001612DD" w:rsidRPr="009B2B60">
        <w:rPr>
          <w:rFonts w:ascii="Book Antiqua" w:eastAsia="Book Antiqua" w:hAnsi="Book Antiqua" w:cs="Book Antiqua"/>
          <w:color w:val="000000"/>
        </w:rPr>
        <w:t xml:space="preserve">, Seifer M, Bisacchi GS, Standring DN, Zahler R, Colonno RJ. Identification of BMS-200475 as a potent and selective inhibitor of hepatitis B virus. </w:t>
      </w:r>
      <w:r w:rsidR="001612DD" w:rsidRPr="009B2B60">
        <w:rPr>
          <w:rFonts w:ascii="Book Antiqua" w:eastAsia="Book Antiqua" w:hAnsi="Book Antiqua" w:cs="Book Antiqua"/>
          <w:i/>
          <w:iCs/>
          <w:color w:val="000000"/>
        </w:rPr>
        <w:t>Antimicrob Agents Chemother</w:t>
      </w:r>
      <w:r w:rsidR="001612DD" w:rsidRPr="009B2B60">
        <w:rPr>
          <w:rFonts w:ascii="Book Antiqua" w:eastAsia="Book Antiqua" w:hAnsi="Book Antiqua" w:cs="Book Antiqua"/>
          <w:color w:val="000000"/>
        </w:rPr>
        <w:t xml:space="preserve"> 1997; </w:t>
      </w:r>
      <w:r w:rsidR="001612DD" w:rsidRPr="009B2B60">
        <w:rPr>
          <w:rFonts w:ascii="Book Antiqua" w:eastAsia="Book Antiqua" w:hAnsi="Book Antiqua" w:cs="Book Antiqua"/>
          <w:b/>
          <w:bCs/>
          <w:color w:val="000000"/>
        </w:rPr>
        <w:t>41</w:t>
      </w:r>
      <w:r w:rsidR="001612DD" w:rsidRPr="009B2B60">
        <w:rPr>
          <w:rFonts w:ascii="Book Antiqua" w:eastAsia="Book Antiqua" w:hAnsi="Book Antiqua" w:cs="Book Antiqua"/>
          <w:color w:val="000000"/>
        </w:rPr>
        <w:t>: 1444-1448 [PMID: 9210663 DOI: 10.1128/AAC.41.7.1444]</w:t>
      </w:r>
    </w:p>
    <w:p w14:paraId="2F745042" w14:textId="429466F6" w:rsidR="00A77B3E" w:rsidRPr="009B2B60" w:rsidRDefault="00505A74" w:rsidP="00E5667A">
      <w:pPr>
        <w:spacing w:line="360" w:lineRule="auto"/>
        <w:jc w:val="both"/>
        <w:rPr>
          <w:rFonts w:ascii="Book Antiqua" w:hAnsi="Book Antiqua"/>
        </w:rPr>
      </w:pPr>
      <w:r w:rsidRPr="009B2B60">
        <w:rPr>
          <w:rFonts w:ascii="Book Antiqua" w:hAnsi="Book Antiqua" w:cs="Book Antiqua"/>
          <w:color w:val="000000"/>
          <w:lang w:eastAsia="zh-CN"/>
        </w:rPr>
        <w:t>28</w:t>
      </w:r>
      <w:r w:rsidR="007001F6" w:rsidRPr="009B2B60">
        <w:rPr>
          <w:rFonts w:ascii="Book Antiqua" w:hAnsi="Book Antiqua" w:cs="Book Antiqua" w:hint="eastAsia"/>
          <w:color w:val="000000"/>
          <w:lang w:eastAsia="zh-CN"/>
        </w:rPr>
        <w:t xml:space="preserve"> </w:t>
      </w:r>
      <w:r w:rsidR="001612DD" w:rsidRPr="009B2B60">
        <w:rPr>
          <w:rFonts w:ascii="Book Antiqua" w:eastAsia="Book Antiqua" w:hAnsi="Book Antiqua" w:cs="Book Antiqua"/>
          <w:b/>
          <w:bCs/>
          <w:color w:val="000000"/>
        </w:rPr>
        <w:t>Rivkin A</w:t>
      </w:r>
      <w:r w:rsidR="001612DD" w:rsidRPr="009B2B60">
        <w:rPr>
          <w:rFonts w:ascii="Book Antiqua" w:eastAsia="Book Antiqua" w:hAnsi="Book Antiqua" w:cs="Book Antiqua"/>
          <w:color w:val="000000"/>
        </w:rPr>
        <w:t xml:space="preserve">. A review of entecavir in the treatment of chronic hepatitis B infection. </w:t>
      </w:r>
      <w:r w:rsidR="001612DD" w:rsidRPr="009B2B60">
        <w:rPr>
          <w:rFonts w:ascii="Book Antiqua" w:eastAsia="Book Antiqua" w:hAnsi="Book Antiqua" w:cs="Book Antiqua"/>
          <w:i/>
          <w:iCs/>
          <w:color w:val="000000"/>
        </w:rPr>
        <w:t>Curr Med Res Opin</w:t>
      </w:r>
      <w:r w:rsidR="001612DD" w:rsidRPr="009B2B60">
        <w:rPr>
          <w:rFonts w:ascii="Book Antiqua" w:eastAsia="Book Antiqua" w:hAnsi="Book Antiqua" w:cs="Book Antiqua"/>
          <w:color w:val="000000"/>
        </w:rPr>
        <w:t xml:space="preserve"> 2005; </w:t>
      </w:r>
      <w:r w:rsidR="001612DD" w:rsidRPr="009B2B60">
        <w:rPr>
          <w:rFonts w:ascii="Book Antiqua" w:eastAsia="Book Antiqua" w:hAnsi="Book Antiqua" w:cs="Book Antiqua"/>
          <w:b/>
          <w:bCs/>
          <w:color w:val="000000"/>
        </w:rPr>
        <w:t>21</w:t>
      </w:r>
      <w:r w:rsidR="001612DD" w:rsidRPr="009B2B60">
        <w:rPr>
          <w:rFonts w:ascii="Book Antiqua" w:eastAsia="Book Antiqua" w:hAnsi="Book Antiqua" w:cs="Book Antiqua"/>
          <w:color w:val="000000"/>
        </w:rPr>
        <w:t>: 1845-1856 [PMID: 16307706 DOI: 10.1185/030079905X65268]</w:t>
      </w:r>
    </w:p>
    <w:p w14:paraId="1C37CEB8" w14:textId="3520B389" w:rsidR="00A77B3E" w:rsidRPr="009B2B60" w:rsidRDefault="00505A74" w:rsidP="00E5667A">
      <w:pPr>
        <w:spacing w:line="360" w:lineRule="auto"/>
        <w:jc w:val="both"/>
        <w:rPr>
          <w:rFonts w:ascii="Book Antiqua" w:hAnsi="Book Antiqua"/>
        </w:rPr>
      </w:pPr>
      <w:r w:rsidRPr="009B2B60">
        <w:rPr>
          <w:rFonts w:ascii="Book Antiqua" w:hAnsi="Book Antiqua" w:cs="Book Antiqua"/>
          <w:color w:val="000000"/>
          <w:lang w:eastAsia="zh-CN"/>
        </w:rPr>
        <w:t>29</w:t>
      </w:r>
      <w:r w:rsidR="007001F6" w:rsidRPr="009B2B60">
        <w:rPr>
          <w:rFonts w:ascii="Book Antiqua" w:hAnsi="Book Antiqua" w:cs="Book Antiqua" w:hint="eastAsia"/>
          <w:color w:val="000000"/>
          <w:lang w:eastAsia="zh-CN"/>
        </w:rPr>
        <w:t xml:space="preserve"> </w:t>
      </w:r>
      <w:r w:rsidR="001612DD" w:rsidRPr="009B2B60">
        <w:rPr>
          <w:rFonts w:ascii="Book Antiqua" w:eastAsia="Book Antiqua" w:hAnsi="Book Antiqua" w:cs="Book Antiqua"/>
          <w:b/>
          <w:bCs/>
          <w:color w:val="000000"/>
        </w:rPr>
        <w:t>Liu YT</w:t>
      </w:r>
      <w:r w:rsidR="001612DD" w:rsidRPr="009B2B60">
        <w:rPr>
          <w:rFonts w:ascii="Book Antiqua" w:eastAsia="Book Antiqua" w:hAnsi="Book Antiqua" w:cs="Book Antiqua"/>
          <w:color w:val="000000"/>
        </w:rPr>
        <w:t xml:space="preserve">, Liu W, Zhu GY, Wang FL, Chen Q. Involvement of multidrug resistance protein 4 in the hepatocyte efflux of lamivudine and entecavir. </w:t>
      </w:r>
      <w:r w:rsidR="001612DD" w:rsidRPr="009B2B60">
        <w:rPr>
          <w:rFonts w:ascii="Book Antiqua" w:eastAsia="Book Antiqua" w:hAnsi="Book Antiqua" w:cs="Book Antiqua"/>
          <w:i/>
          <w:iCs/>
          <w:color w:val="000000"/>
        </w:rPr>
        <w:t>Mol Med Rep</w:t>
      </w:r>
      <w:r w:rsidR="001612DD" w:rsidRPr="009B2B60">
        <w:rPr>
          <w:rFonts w:ascii="Book Antiqua" w:eastAsia="Book Antiqua" w:hAnsi="Book Antiqua" w:cs="Book Antiqua"/>
          <w:color w:val="000000"/>
        </w:rPr>
        <w:t xml:space="preserve"> 2018; </w:t>
      </w:r>
      <w:r w:rsidR="001612DD" w:rsidRPr="009B2B60">
        <w:rPr>
          <w:rFonts w:ascii="Book Antiqua" w:eastAsia="Book Antiqua" w:hAnsi="Book Antiqua" w:cs="Book Antiqua"/>
          <w:b/>
          <w:bCs/>
          <w:color w:val="000000"/>
        </w:rPr>
        <w:t>17</w:t>
      </w:r>
      <w:r w:rsidR="001612DD" w:rsidRPr="009B2B60">
        <w:rPr>
          <w:rFonts w:ascii="Book Antiqua" w:eastAsia="Book Antiqua" w:hAnsi="Book Antiqua" w:cs="Book Antiqua"/>
          <w:color w:val="000000"/>
        </w:rPr>
        <w:t>: 7113-7121 [PMID: 29568871 DOI: 10.3892/mmr.2018.8779]</w:t>
      </w:r>
    </w:p>
    <w:p w14:paraId="24021B0C" w14:textId="523EBD30" w:rsidR="00A77B3E" w:rsidRPr="009B2B60" w:rsidRDefault="00DD2B45" w:rsidP="00E5667A">
      <w:pPr>
        <w:spacing w:line="360" w:lineRule="auto"/>
        <w:jc w:val="both"/>
        <w:rPr>
          <w:rFonts w:ascii="Book Antiqua" w:hAnsi="Book Antiqua"/>
        </w:rPr>
      </w:pPr>
      <w:r w:rsidRPr="009B2B60">
        <w:rPr>
          <w:rFonts w:ascii="Book Antiqua" w:hAnsi="Book Antiqua" w:cs="Book Antiqua"/>
          <w:color w:val="000000"/>
          <w:lang w:eastAsia="zh-CN"/>
        </w:rPr>
        <w:t>3</w:t>
      </w:r>
      <w:r w:rsidR="00505A74" w:rsidRPr="009B2B60">
        <w:rPr>
          <w:rFonts w:ascii="Book Antiqua" w:hAnsi="Book Antiqua" w:cs="Book Antiqua"/>
          <w:color w:val="000000"/>
          <w:lang w:eastAsia="zh-CN"/>
        </w:rPr>
        <w:t>0</w:t>
      </w:r>
      <w:r w:rsidR="007001F6" w:rsidRPr="009B2B60">
        <w:rPr>
          <w:rFonts w:ascii="Book Antiqua" w:hAnsi="Book Antiqua" w:cs="Book Antiqua" w:hint="eastAsia"/>
          <w:color w:val="000000"/>
          <w:lang w:eastAsia="zh-CN"/>
        </w:rPr>
        <w:t xml:space="preserve"> </w:t>
      </w:r>
      <w:r w:rsidR="001612DD" w:rsidRPr="009B2B60">
        <w:rPr>
          <w:rFonts w:ascii="Book Antiqua" w:eastAsia="Book Antiqua" w:hAnsi="Book Antiqua" w:cs="Book Antiqua"/>
          <w:b/>
          <w:bCs/>
          <w:color w:val="000000"/>
        </w:rPr>
        <w:t>Yan JH</w:t>
      </w:r>
      <w:r w:rsidR="001612DD" w:rsidRPr="009B2B60">
        <w:rPr>
          <w:rFonts w:ascii="Book Antiqua" w:eastAsia="Book Antiqua" w:hAnsi="Book Antiqua" w:cs="Book Antiqua"/>
          <w:color w:val="000000"/>
        </w:rPr>
        <w:t xml:space="preserve">, Bifano M, Olsen S, Smith RA, Zhang D, Grasela DM, LaCreta F. Entecavir pharmacokinetics, safety, and tolerability after multiple ascending doses in healthy subjects. </w:t>
      </w:r>
      <w:r w:rsidR="001612DD" w:rsidRPr="009B2B60">
        <w:rPr>
          <w:rFonts w:ascii="Book Antiqua" w:eastAsia="Book Antiqua" w:hAnsi="Book Antiqua" w:cs="Book Antiqua"/>
          <w:i/>
          <w:iCs/>
          <w:color w:val="000000"/>
        </w:rPr>
        <w:t>J ClinPharmacol</w:t>
      </w:r>
      <w:r w:rsidR="001612DD" w:rsidRPr="009B2B60">
        <w:rPr>
          <w:rFonts w:ascii="Book Antiqua" w:eastAsia="Book Antiqua" w:hAnsi="Book Antiqua" w:cs="Book Antiqua"/>
          <w:color w:val="000000"/>
        </w:rPr>
        <w:t xml:space="preserve"> 2006; </w:t>
      </w:r>
      <w:r w:rsidR="001612DD" w:rsidRPr="009B2B60">
        <w:rPr>
          <w:rFonts w:ascii="Book Antiqua" w:eastAsia="Book Antiqua" w:hAnsi="Book Antiqua" w:cs="Book Antiqua"/>
          <w:b/>
          <w:bCs/>
          <w:color w:val="000000"/>
        </w:rPr>
        <w:t>46</w:t>
      </w:r>
      <w:r w:rsidR="001612DD" w:rsidRPr="009B2B60">
        <w:rPr>
          <w:rFonts w:ascii="Book Antiqua" w:eastAsia="Book Antiqua" w:hAnsi="Book Antiqua" w:cs="Book Antiqua"/>
          <w:color w:val="000000"/>
        </w:rPr>
        <w:t>: 1250-1258 [PMID: 17050790 DOI: 10.1177/0091270006293304]</w:t>
      </w:r>
    </w:p>
    <w:p w14:paraId="7FD469A8" w14:textId="4BECC1C3" w:rsidR="00A77B3E" w:rsidRPr="009B2B60" w:rsidRDefault="00DD2B45" w:rsidP="00E5667A">
      <w:pPr>
        <w:spacing w:line="360" w:lineRule="auto"/>
        <w:jc w:val="both"/>
        <w:rPr>
          <w:rFonts w:ascii="Book Antiqua" w:hAnsi="Book Antiqua"/>
        </w:rPr>
      </w:pPr>
      <w:r w:rsidRPr="009B2B60">
        <w:rPr>
          <w:rFonts w:ascii="Book Antiqua" w:hAnsi="Book Antiqua" w:cs="Book Antiqua"/>
          <w:color w:val="000000"/>
          <w:lang w:eastAsia="zh-CN"/>
        </w:rPr>
        <w:t>3</w:t>
      </w:r>
      <w:r w:rsidR="00505A74" w:rsidRPr="009B2B60">
        <w:rPr>
          <w:rFonts w:ascii="Book Antiqua" w:hAnsi="Book Antiqua" w:cs="Book Antiqua"/>
          <w:color w:val="000000"/>
          <w:lang w:eastAsia="zh-CN"/>
        </w:rPr>
        <w:t>1</w:t>
      </w:r>
      <w:r w:rsidR="007001F6" w:rsidRPr="009B2B60">
        <w:rPr>
          <w:rFonts w:ascii="Book Antiqua" w:hAnsi="Book Antiqua" w:cs="Book Antiqua" w:hint="eastAsia"/>
          <w:color w:val="000000"/>
          <w:lang w:eastAsia="zh-CN"/>
        </w:rPr>
        <w:t xml:space="preserve"> </w:t>
      </w:r>
      <w:r w:rsidR="001612DD" w:rsidRPr="009B2B60">
        <w:rPr>
          <w:rFonts w:ascii="Book Antiqua" w:eastAsia="Book Antiqua" w:hAnsi="Book Antiqua" w:cs="Book Antiqua"/>
          <w:b/>
          <w:bCs/>
          <w:color w:val="000000"/>
        </w:rPr>
        <w:t>Yurdaydin C</w:t>
      </w:r>
      <w:r w:rsidR="001612DD" w:rsidRPr="009B2B60">
        <w:rPr>
          <w:rFonts w:ascii="Book Antiqua" w:eastAsia="Book Antiqua" w:hAnsi="Book Antiqua" w:cs="Book Antiqua"/>
          <w:color w:val="000000"/>
        </w:rPr>
        <w:t xml:space="preserve">. Entecavir: a step forward in combating hepatitis B disease. </w:t>
      </w:r>
      <w:r w:rsidR="001612DD" w:rsidRPr="009B2B60">
        <w:rPr>
          <w:rFonts w:ascii="Book Antiqua" w:eastAsia="Book Antiqua" w:hAnsi="Book Antiqua" w:cs="Book Antiqua"/>
          <w:i/>
          <w:iCs/>
          <w:color w:val="000000"/>
        </w:rPr>
        <w:t>Expert OpinPharmacother</w:t>
      </w:r>
      <w:r w:rsidR="001612DD" w:rsidRPr="009B2B60">
        <w:rPr>
          <w:rFonts w:ascii="Book Antiqua" w:eastAsia="Book Antiqua" w:hAnsi="Book Antiqua" w:cs="Book Antiqua"/>
          <w:color w:val="000000"/>
        </w:rPr>
        <w:t xml:space="preserve"> 2008; </w:t>
      </w:r>
      <w:r w:rsidR="001612DD" w:rsidRPr="009B2B60">
        <w:rPr>
          <w:rFonts w:ascii="Book Antiqua" w:eastAsia="Book Antiqua" w:hAnsi="Book Antiqua" w:cs="Book Antiqua"/>
          <w:b/>
          <w:bCs/>
          <w:color w:val="000000"/>
        </w:rPr>
        <w:t>9</w:t>
      </w:r>
      <w:r w:rsidR="001612DD" w:rsidRPr="009B2B60">
        <w:rPr>
          <w:rFonts w:ascii="Book Antiqua" w:eastAsia="Book Antiqua" w:hAnsi="Book Antiqua" w:cs="Book Antiqua"/>
          <w:color w:val="000000"/>
        </w:rPr>
        <w:t>: 3095-3109 [PMID: 19006481 DOI: 10.1517/14656560802515546]</w:t>
      </w:r>
    </w:p>
    <w:p w14:paraId="12E64B1E" w14:textId="54D2422F" w:rsidR="00A77B3E" w:rsidRPr="009B2B60" w:rsidRDefault="00505A74" w:rsidP="00E5667A">
      <w:pPr>
        <w:spacing w:line="360" w:lineRule="auto"/>
        <w:jc w:val="both"/>
        <w:rPr>
          <w:rFonts w:ascii="Book Antiqua" w:hAnsi="Book Antiqua"/>
        </w:rPr>
      </w:pPr>
      <w:r w:rsidRPr="009B2B60">
        <w:rPr>
          <w:rFonts w:ascii="Book Antiqua" w:hAnsi="Book Antiqua" w:cs="Book Antiqua"/>
          <w:color w:val="000000"/>
          <w:lang w:eastAsia="zh-CN"/>
        </w:rPr>
        <w:t>32</w:t>
      </w:r>
      <w:r w:rsidR="007001F6" w:rsidRPr="009B2B60">
        <w:rPr>
          <w:rFonts w:ascii="Book Antiqua" w:hAnsi="Book Antiqua" w:cs="Book Antiqua" w:hint="eastAsia"/>
          <w:color w:val="000000"/>
          <w:lang w:eastAsia="zh-CN"/>
        </w:rPr>
        <w:t xml:space="preserve"> </w:t>
      </w:r>
      <w:r w:rsidR="001612DD" w:rsidRPr="009B2B60">
        <w:rPr>
          <w:rFonts w:ascii="Book Antiqua" w:eastAsia="Book Antiqua" w:hAnsi="Book Antiqua" w:cs="Book Antiqua"/>
          <w:b/>
          <w:bCs/>
          <w:color w:val="000000"/>
        </w:rPr>
        <w:t>Gibson AK</w:t>
      </w:r>
      <w:r w:rsidR="001612DD" w:rsidRPr="009B2B60">
        <w:rPr>
          <w:rFonts w:ascii="Book Antiqua" w:eastAsia="Book Antiqua" w:hAnsi="Book Antiqua" w:cs="Book Antiqua"/>
          <w:color w:val="000000"/>
        </w:rPr>
        <w:t xml:space="preserve">, Shah BM, Nambiar PH, Schafer JJ. Tenofovir Alafenamide. </w:t>
      </w:r>
      <w:r w:rsidR="001612DD" w:rsidRPr="009B2B60">
        <w:rPr>
          <w:rFonts w:ascii="Book Antiqua" w:eastAsia="Book Antiqua" w:hAnsi="Book Antiqua" w:cs="Book Antiqua"/>
          <w:i/>
          <w:iCs/>
          <w:color w:val="000000"/>
        </w:rPr>
        <w:t>Ann Pharmacother</w:t>
      </w:r>
      <w:r w:rsidR="001612DD" w:rsidRPr="009B2B60">
        <w:rPr>
          <w:rFonts w:ascii="Book Antiqua" w:eastAsia="Book Antiqua" w:hAnsi="Book Antiqua" w:cs="Book Antiqua"/>
          <w:color w:val="000000"/>
        </w:rPr>
        <w:t xml:space="preserve"> 2016; </w:t>
      </w:r>
      <w:r w:rsidR="001612DD" w:rsidRPr="009B2B60">
        <w:rPr>
          <w:rFonts w:ascii="Book Antiqua" w:eastAsia="Book Antiqua" w:hAnsi="Book Antiqua" w:cs="Book Antiqua"/>
          <w:b/>
          <w:bCs/>
          <w:color w:val="000000"/>
        </w:rPr>
        <w:t>50</w:t>
      </w:r>
      <w:r w:rsidR="001612DD" w:rsidRPr="009B2B60">
        <w:rPr>
          <w:rFonts w:ascii="Book Antiqua" w:eastAsia="Book Antiqua" w:hAnsi="Book Antiqua" w:cs="Book Antiqua"/>
          <w:color w:val="000000"/>
        </w:rPr>
        <w:t>: 942-952 [PMID: 27465879 DOI: 10.1177/1060028016660812]</w:t>
      </w:r>
    </w:p>
    <w:p w14:paraId="27DC85C2" w14:textId="2141F7F1" w:rsidR="00A77B3E" w:rsidRPr="009B2B60" w:rsidRDefault="00DD2B45" w:rsidP="00E5667A">
      <w:pPr>
        <w:spacing w:line="360" w:lineRule="auto"/>
        <w:jc w:val="both"/>
        <w:rPr>
          <w:rFonts w:ascii="Book Antiqua" w:hAnsi="Book Antiqua"/>
        </w:rPr>
      </w:pPr>
      <w:r w:rsidRPr="009B2B60">
        <w:rPr>
          <w:rFonts w:ascii="Book Antiqua" w:hAnsi="Book Antiqua" w:cs="Book Antiqua"/>
          <w:color w:val="000000"/>
          <w:lang w:eastAsia="zh-CN"/>
        </w:rPr>
        <w:t>3</w:t>
      </w:r>
      <w:r w:rsidR="00505A74" w:rsidRPr="009B2B60">
        <w:rPr>
          <w:rFonts w:ascii="Book Antiqua" w:hAnsi="Book Antiqua" w:cs="Book Antiqua"/>
          <w:color w:val="000000"/>
          <w:lang w:eastAsia="zh-CN"/>
        </w:rPr>
        <w:t>3</w:t>
      </w:r>
      <w:r w:rsidR="007001F6" w:rsidRPr="009B2B60">
        <w:rPr>
          <w:rFonts w:ascii="Book Antiqua" w:hAnsi="Book Antiqua" w:cs="Book Antiqua" w:hint="eastAsia"/>
          <w:color w:val="000000"/>
          <w:lang w:eastAsia="zh-CN"/>
        </w:rPr>
        <w:t xml:space="preserve"> </w:t>
      </w:r>
      <w:r w:rsidR="001612DD" w:rsidRPr="009B2B60">
        <w:rPr>
          <w:rFonts w:ascii="Book Antiqua" w:eastAsia="Book Antiqua" w:hAnsi="Book Antiqua" w:cs="Book Antiqua"/>
          <w:b/>
          <w:bCs/>
          <w:color w:val="000000"/>
        </w:rPr>
        <w:t>Pei Y</w:t>
      </w:r>
      <w:r w:rsidR="001612DD" w:rsidRPr="009B2B60">
        <w:rPr>
          <w:rFonts w:ascii="Book Antiqua" w:eastAsia="Book Antiqua" w:hAnsi="Book Antiqua" w:cs="Book Antiqua"/>
          <w:color w:val="000000"/>
        </w:rPr>
        <w:t xml:space="preserve">, Wang C, Yan SF, Liu G. Past, Current, and Future Developments of Therapeutic Agents for Treatment of Chronic Hepatitis B Virus Infection. </w:t>
      </w:r>
      <w:r w:rsidR="001612DD" w:rsidRPr="009B2B60">
        <w:rPr>
          <w:rFonts w:ascii="Book Antiqua" w:eastAsia="Book Antiqua" w:hAnsi="Book Antiqua" w:cs="Book Antiqua"/>
          <w:i/>
          <w:iCs/>
          <w:color w:val="000000"/>
        </w:rPr>
        <w:t>J Med Chem</w:t>
      </w:r>
      <w:r w:rsidR="001612DD" w:rsidRPr="009B2B60">
        <w:rPr>
          <w:rFonts w:ascii="Book Antiqua" w:eastAsia="Book Antiqua" w:hAnsi="Book Antiqua" w:cs="Book Antiqua"/>
          <w:color w:val="000000"/>
        </w:rPr>
        <w:t xml:space="preserve"> 2017; </w:t>
      </w:r>
      <w:r w:rsidR="001612DD" w:rsidRPr="009B2B60">
        <w:rPr>
          <w:rFonts w:ascii="Book Antiqua" w:eastAsia="Book Antiqua" w:hAnsi="Book Antiqua" w:cs="Book Antiqua"/>
          <w:b/>
          <w:bCs/>
          <w:color w:val="000000"/>
        </w:rPr>
        <w:t>60</w:t>
      </w:r>
      <w:r w:rsidR="001612DD" w:rsidRPr="009B2B60">
        <w:rPr>
          <w:rFonts w:ascii="Book Antiqua" w:eastAsia="Book Antiqua" w:hAnsi="Book Antiqua" w:cs="Book Antiqua"/>
          <w:color w:val="000000"/>
        </w:rPr>
        <w:t>: 6461-6479 [PMID: 28383274 DOI: 10.1021/acs.jmedchem.6b01442]</w:t>
      </w:r>
    </w:p>
    <w:p w14:paraId="52041E5F" w14:textId="56937C15" w:rsidR="00A77B3E" w:rsidRPr="009B2B60" w:rsidRDefault="00DD2B45" w:rsidP="00E5667A">
      <w:pPr>
        <w:spacing w:line="360" w:lineRule="auto"/>
        <w:jc w:val="both"/>
        <w:rPr>
          <w:rFonts w:ascii="Book Antiqua" w:eastAsia="Book Antiqua" w:hAnsi="Book Antiqua" w:cs="Book Antiqua"/>
          <w:color w:val="000000"/>
        </w:rPr>
      </w:pPr>
      <w:r w:rsidRPr="009B2B60">
        <w:rPr>
          <w:rFonts w:ascii="Book Antiqua" w:hAnsi="Book Antiqua" w:cs="Book Antiqua"/>
          <w:color w:val="000000"/>
          <w:lang w:eastAsia="zh-CN"/>
        </w:rPr>
        <w:t>3</w:t>
      </w:r>
      <w:r w:rsidR="00505A74" w:rsidRPr="009B2B60">
        <w:rPr>
          <w:rFonts w:ascii="Book Antiqua" w:hAnsi="Book Antiqua" w:cs="Book Antiqua"/>
          <w:color w:val="000000"/>
          <w:lang w:eastAsia="zh-CN"/>
        </w:rPr>
        <w:t>4</w:t>
      </w:r>
      <w:r w:rsidR="007001F6" w:rsidRPr="009B2B60">
        <w:rPr>
          <w:rFonts w:ascii="Book Antiqua" w:hAnsi="Book Antiqua" w:cs="Book Antiqua" w:hint="eastAsia"/>
          <w:color w:val="000000"/>
          <w:lang w:eastAsia="zh-CN"/>
        </w:rPr>
        <w:t xml:space="preserve"> </w:t>
      </w:r>
      <w:r w:rsidR="001612DD" w:rsidRPr="009B2B60">
        <w:rPr>
          <w:rFonts w:ascii="Book Antiqua" w:eastAsia="Book Antiqua" w:hAnsi="Book Antiqua" w:cs="Book Antiqua"/>
          <w:b/>
          <w:bCs/>
          <w:color w:val="000000"/>
        </w:rPr>
        <w:t>Bergman KL,</w:t>
      </w:r>
      <w:r w:rsidR="001612DD" w:rsidRPr="009B2B60">
        <w:rPr>
          <w:rFonts w:ascii="Book Antiqua" w:eastAsia="Book Antiqua" w:hAnsi="Book Antiqua" w:cs="Book Antiqua"/>
          <w:color w:val="000000"/>
        </w:rPr>
        <w:t xml:space="preserve"> Zheng JH. Clinical pharmacology and biopharmaceutics review 021797/S-000.</w:t>
      </w:r>
      <w:r w:rsidR="007001F6" w:rsidRPr="009B2B60">
        <w:rPr>
          <w:rFonts w:ascii="Book Antiqua" w:hAnsi="Book Antiqua" w:cs="Book Antiqua" w:hint="eastAsia"/>
          <w:color w:val="000000"/>
          <w:lang w:eastAsia="zh-CN"/>
        </w:rPr>
        <w:t xml:space="preserve"> </w:t>
      </w:r>
      <w:r w:rsidR="0036140E" w:rsidRPr="009B2B60">
        <w:rPr>
          <w:rFonts w:ascii="Book Antiqua" w:eastAsia="宋体" w:hAnsi="Book Antiqua" w:cs="Arial"/>
          <w:bCs/>
        </w:rPr>
        <w:t xml:space="preserve">Availablefrom: </w:t>
      </w:r>
      <w:r w:rsidR="00505A74" w:rsidRPr="009B2B60">
        <w:rPr>
          <w:rFonts w:ascii="Book Antiqua" w:eastAsia="Book Antiqua" w:hAnsi="Book Antiqua" w:cs="Book Antiqua"/>
          <w:color w:val="000000"/>
        </w:rPr>
        <w:t>https://www.accessdata.fda.gov/drugsatfda_docs/nda/2005/21797_BARACLUDE_biopharmr.PDF</w:t>
      </w:r>
    </w:p>
    <w:p w14:paraId="030DF383" w14:textId="77777777" w:rsidR="00505A74" w:rsidRPr="009B2B60" w:rsidRDefault="00505A74" w:rsidP="00505A74">
      <w:pPr>
        <w:spacing w:line="360" w:lineRule="auto"/>
        <w:jc w:val="both"/>
        <w:rPr>
          <w:rFonts w:ascii="Book Antiqua" w:hAnsi="Book Antiqua"/>
        </w:rPr>
      </w:pPr>
      <w:r w:rsidRPr="009B2B60">
        <w:rPr>
          <w:rFonts w:ascii="Book Antiqua" w:eastAsia="Book Antiqua" w:hAnsi="Book Antiqua" w:cs="Book Antiqua"/>
          <w:color w:val="000000"/>
        </w:rPr>
        <w:t xml:space="preserve">35 </w:t>
      </w:r>
      <w:r w:rsidRPr="009B2B60">
        <w:rPr>
          <w:rFonts w:ascii="Book Antiqua" w:eastAsia="Book Antiqua" w:hAnsi="Book Antiqua" w:cs="Book Antiqua"/>
          <w:b/>
          <w:bCs/>
          <w:color w:val="000000"/>
        </w:rPr>
        <w:t>Kearney BP</w:t>
      </w:r>
      <w:r w:rsidRPr="009B2B60">
        <w:rPr>
          <w:rFonts w:ascii="Book Antiqua" w:eastAsia="Book Antiqua" w:hAnsi="Book Antiqua" w:cs="Book Antiqua"/>
          <w:color w:val="000000"/>
        </w:rPr>
        <w:t xml:space="preserve">, Flaherty JF, Shah J. Tenofovir disoproxil fumarate: clinical pharmacology and pharmacokinetics. </w:t>
      </w:r>
      <w:r w:rsidRPr="009B2B60">
        <w:rPr>
          <w:rFonts w:ascii="Book Antiqua" w:eastAsia="Book Antiqua" w:hAnsi="Book Antiqua" w:cs="Book Antiqua"/>
          <w:i/>
          <w:iCs/>
          <w:color w:val="000000"/>
        </w:rPr>
        <w:t>ClinPharmacokinet</w:t>
      </w:r>
      <w:r w:rsidRPr="009B2B60">
        <w:rPr>
          <w:rFonts w:ascii="Book Antiqua" w:eastAsia="Book Antiqua" w:hAnsi="Book Antiqua" w:cs="Book Antiqua"/>
          <w:color w:val="000000"/>
        </w:rPr>
        <w:t xml:space="preserve"> 2004; </w:t>
      </w:r>
      <w:r w:rsidRPr="009B2B60">
        <w:rPr>
          <w:rFonts w:ascii="Book Antiqua" w:eastAsia="Book Antiqua" w:hAnsi="Book Antiqua" w:cs="Book Antiqua"/>
          <w:b/>
          <w:bCs/>
          <w:color w:val="000000"/>
        </w:rPr>
        <w:t>43</w:t>
      </w:r>
      <w:r w:rsidRPr="009B2B60">
        <w:rPr>
          <w:rFonts w:ascii="Book Antiqua" w:eastAsia="Book Antiqua" w:hAnsi="Book Antiqua" w:cs="Book Antiqua"/>
          <w:color w:val="000000"/>
        </w:rPr>
        <w:t>: 595-612 [PMID: 15217303 DOI: 10.2165/00003088-200443090-00003]</w:t>
      </w:r>
    </w:p>
    <w:p w14:paraId="4943A9A1" w14:textId="77777777" w:rsidR="00505A74" w:rsidRPr="00E5667A" w:rsidRDefault="00505A74" w:rsidP="00505A74">
      <w:pPr>
        <w:spacing w:line="360" w:lineRule="auto"/>
        <w:jc w:val="both"/>
        <w:rPr>
          <w:rFonts w:ascii="Book Antiqua" w:hAnsi="Book Antiqua" w:cs="Book Antiqua"/>
          <w:color w:val="000000"/>
          <w:lang w:eastAsia="zh-CN"/>
        </w:rPr>
      </w:pPr>
      <w:r w:rsidRPr="009B2B60">
        <w:rPr>
          <w:rFonts w:ascii="Book Antiqua" w:eastAsia="Book Antiqua" w:hAnsi="Book Antiqua" w:cs="Book Antiqua"/>
          <w:color w:val="000000"/>
        </w:rPr>
        <w:t xml:space="preserve">36 </w:t>
      </w:r>
      <w:r w:rsidRPr="009B2B60">
        <w:rPr>
          <w:rFonts w:ascii="Book Antiqua" w:eastAsia="Book Antiqua" w:hAnsi="Book Antiqua" w:cs="Book Antiqua"/>
          <w:b/>
          <w:bCs/>
          <w:color w:val="000000"/>
        </w:rPr>
        <w:t>Liaw YF</w:t>
      </w:r>
      <w:r w:rsidRPr="009B2B60">
        <w:rPr>
          <w:rFonts w:ascii="Book Antiqua" w:eastAsia="Book Antiqua" w:hAnsi="Book Antiqua" w:cs="Book Antiqua"/>
          <w:color w:val="000000"/>
        </w:rPr>
        <w:t xml:space="preserve">, Raptopoulou-Gigi M, Cheinquer H, Sarin SK, Tanwandee T, Leung N, Peng CY, Myers RP, Brown RS Jr, Jeffers L, Tsai N, Bialkowska J, Tang S, Beebe S, Cooney E. Efficacy and safety of entecavir </w:t>
      </w:r>
      <w:r w:rsidRPr="009B2B60">
        <w:rPr>
          <w:rFonts w:ascii="Book Antiqua" w:eastAsia="Book Antiqua" w:hAnsi="Book Antiqua" w:cs="Book Antiqua"/>
          <w:i/>
          <w:iCs/>
          <w:color w:val="000000"/>
        </w:rPr>
        <w:t>vs</w:t>
      </w:r>
      <w:r w:rsidRPr="009B2B60">
        <w:rPr>
          <w:rFonts w:ascii="Book Antiqua" w:eastAsia="Book Antiqua" w:hAnsi="Book Antiqua" w:cs="Book Antiqua"/>
          <w:color w:val="000000"/>
        </w:rPr>
        <w:t xml:space="preserve"> adefovir in chronic hepatitis B patients with hepatic decompensation: a randomized, open-label study. </w:t>
      </w:r>
      <w:r w:rsidRPr="009B2B60">
        <w:rPr>
          <w:rFonts w:ascii="Book Antiqua" w:eastAsia="Book Antiqua" w:hAnsi="Book Antiqua" w:cs="Book Antiqua"/>
          <w:i/>
          <w:iCs/>
          <w:color w:val="000000"/>
        </w:rPr>
        <w:t>Hepatology</w:t>
      </w:r>
      <w:r w:rsidRPr="009B2B60">
        <w:rPr>
          <w:rFonts w:ascii="Book Antiqua" w:eastAsia="Book Antiqua" w:hAnsi="Book Antiqua" w:cs="Book Antiqua"/>
          <w:color w:val="000000"/>
        </w:rPr>
        <w:t xml:space="preserve"> 2011; </w:t>
      </w:r>
      <w:r w:rsidRPr="009B2B60">
        <w:rPr>
          <w:rFonts w:ascii="Book Antiqua" w:eastAsia="Book Antiqua" w:hAnsi="Book Antiqua" w:cs="Book Antiqua"/>
          <w:b/>
          <w:bCs/>
          <w:color w:val="000000"/>
        </w:rPr>
        <w:t>54</w:t>
      </w:r>
      <w:r w:rsidRPr="009B2B60">
        <w:rPr>
          <w:rFonts w:ascii="Book Antiqua" w:eastAsia="Book Antiqua" w:hAnsi="Book Antiqua" w:cs="Book Antiqua"/>
          <w:color w:val="000000"/>
        </w:rPr>
        <w:t>: 91-</w:t>
      </w:r>
      <w:r w:rsidRPr="00E5667A">
        <w:rPr>
          <w:rFonts w:ascii="Book Antiqua" w:eastAsia="Book Antiqua" w:hAnsi="Book Antiqua" w:cs="Book Antiqua"/>
          <w:color w:val="000000"/>
        </w:rPr>
        <w:t>100 [PMID: 21503940 DOI: 10.1002/hep.24361]</w:t>
      </w:r>
    </w:p>
    <w:p w14:paraId="43CF5271" w14:textId="77777777" w:rsidR="00505A74" w:rsidRPr="00B0368D" w:rsidRDefault="00505A74" w:rsidP="00E5667A">
      <w:pPr>
        <w:spacing w:line="360" w:lineRule="auto"/>
        <w:jc w:val="both"/>
        <w:rPr>
          <w:rFonts w:ascii="Book Antiqua" w:hAnsi="Book Antiqua" w:cs="Book Antiqua"/>
          <w:color w:val="000000"/>
          <w:lang w:eastAsia="zh-CN"/>
        </w:rPr>
      </w:pPr>
    </w:p>
    <w:p w14:paraId="039A9870" w14:textId="77777777" w:rsidR="00A77B3E" w:rsidRPr="00E5667A" w:rsidRDefault="00A77B3E" w:rsidP="00E5667A">
      <w:pPr>
        <w:spacing w:line="360" w:lineRule="auto"/>
        <w:jc w:val="both"/>
        <w:rPr>
          <w:rFonts w:ascii="Book Antiqua" w:hAnsi="Book Antiqua"/>
        </w:rPr>
        <w:sectPr w:rsidR="00A77B3E" w:rsidRPr="00E5667A">
          <w:pgSz w:w="12240" w:h="15840"/>
          <w:pgMar w:top="1440" w:right="1440" w:bottom="1440" w:left="1440" w:header="720" w:footer="720" w:gutter="0"/>
          <w:cols w:space="720"/>
          <w:docGrid w:linePitch="360"/>
        </w:sectPr>
      </w:pPr>
    </w:p>
    <w:p w14:paraId="5CD6BCE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Footnotes</w:t>
      </w:r>
    </w:p>
    <w:p w14:paraId="351AD1CD"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Conflict-of-interest statement: </w:t>
      </w:r>
      <w:r w:rsidRPr="00E5667A">
        <w:rPr>
          <w:rFonts w:ascii="Book Antiqua" w:eastAsia="Book Antiqua" w:hAnsi="Book Antiqua" w:cs="Book Antiqua"/>
          <w:color w:val="000000"/>
        </w:rPr>
        <w:t>The authors declare no conflict of interests.</w:t>
      </w:r>
    </w:p>
    <w:p w14:paraId="60EF690E" w14:textId="77777777" w:rsidR="00A77B3E" w:rsidRPr="00E5667A" w:rsidRDefault="00A77B3E" w:rsidP="00E5667A">
      <w:pPr>
        <w:spacing w:line="360" w:lineRule="auto"/>
        <w:jc w:val="both"/>
        <w:rPr>
          <w:rFonts w:ascii="Book Antiqua" w:hAnsi="Book Antiqua"/>
        </w:rPr>
      </w:pPr>
    </w:p>
    <w:p w14:paraId="5B9E3825"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Open-Access: </w:t>
      </w:r>
      <w:r w:rsidRPr="00E5667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DCB928" w14:textId="77777777" w:rsidR="00A77B3E" w:rsidRPr="00E5667A" w:rsidRDefault="00A77B3E" w:rsidP="00E5667A">
      <w:pPr>
        <w:spacing w:line="360" w:lineRule="auto"/>
        <w:jc w:val="both"/>
        <w:rPr>
          <w:rFonts w:ascii="Book Antiqua" w:hAnsi="Book Antiqua"/>
        </w:rPr>
      </w:pPr>
    </w:p>
    <w:p w14:paraId="31B82BF1"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Manuscript source: </w:t>
      </w:r>
      <w:r w:rsidRPr="00E5667A">
        <w:rPr>
          <w:rFonts w:ascii="Book Antiqua" w:eastAsia="Book Antiqua" w:hAnsi="Book Antiqua" w:cs="Book Antiqua"/>
          <w:color w:val="000000"/>
        </w:rPr>
        <w:t xml:space="preserve">Invited </w:t>
      </w:r>
      <w:r w:rsidR="00915CA4" w:rsidRPr="00E5667A">
        <w:rPr>
          <w:rFonts w:ascii="Book Antiqua" w:eastAsia="Book Antiqua" w:hAnsi="Book Antiqua" w:cs="Book Antiqua"/>
          <w:color w:val="000000"/>
        </w:rPr>
        <w:t>m</w:t>
      </w:r>
      <w:r w:rsidRPr="00E5667A">
        <w:rPr>
          <w:rFonts w:ascii="Book Antiqua" w:eastAsia="Book Antiqua" w:hAnsi="Book Antiqua" w:cs="Book Antiqua"/>
          <w:color w:val="000000"/>
        </w:rPr>
        <w:t>anuscript</w:t>
      </w:r>
    </w:p>
    <w:p w14:paraId="017A926C" w14:textId="77777777" w:rsidR="00A77B3E" w:rsidRPr="00E5667A" w:rsidRDefault="00A77B3E" w:rsidP="00E5667A">
      <w:pPr>
        <w:spacing w:line="360" w:lineRule="auto"/>
        <w:jc w:val="both"/>
        <w:rPr>
          <w:rFonts w:ascii="Book Antiqua" w:hAnsi="Book Antiqua"/>
        </w:rPr>
      </w:pPr>
    </w:p>
    <w:p w14:paraId="564FF2D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Peer-review started: </w:t>
      </w:r>
      <w:r w:rsidRPr="00E5667A">
        <w:rPr>
          <w:rFonts w:ascii="Book Antiqua" w:eastAsia="Book Antiqua" w:hAnsi="Book Antiqua" w:cs="Book Antiqua"/>
          <w:color w:val="000000"/>
        </w:rPr>
        <w:t>October 21, 2020</w:t>
      </w:r>
    </w:p>
    <w:p w14:paraId="5424892F"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First decision: </w:t>
      </w:r>
      <w:r w:rsidRPr="00E5667A">
        <w:rPr>
          <w:rFonts w:ascii="Book Antiqua" w:eastAsia="Book Antiqua" w:hAnsi="Book Antiqua" w:cs="Book Antiqua"/>
          <w:color w:val="000000"/>
        </w:rPr>
        <w:t>December 3, 2020</w:t>
      </w:r>
    </w:p>
    <w:p w14:paraId="18AFBC46" w14:textId="7B02B3B6"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Article in press: </w:t>
      </w:r>
      <w:r w:rsidR="00FD1FB7" w:rsidRPr="00881FEC">
        <w:rPr>
          <w:rFonts w:ascii="Book Antiqua" w:eastAsia="Book Antiqua" w:hAnsi="Book Antiqua" w:cs="Book Antiqua"/>
          <w:color w:val="000000"/>
        </w:rPr>
        <w:t>January 21, 2021</w:t>
      </w:r>
    </w:p>
    <w:p w14:paraId="28D687FF" w14:textId="77777777" w:rsidR="00A77B3E" w:rsidRPr="00E5667A" w:rsidRDefault="00A77B3E" w:rsidP="00E5667A">
      <w:pPr>
        <w:spacing w:line="360" w:lineRule="auto"/>
        <w:jc w:val="both"/>
        <w:rPr>
          <w:rFonts w:ascii="Book Antiqua" w:hAnsi="Book Antiqua"/>
        </w:rPr>
      </w:pPr>
    </w:p>
    <w:p w14:paraId="492C0ED0"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Specialty type: </w:t>
      </w:r>
      <w:r w:rsidRPr="00E5667A">
        <w:rPr>
          <w:rFonts w:ascii="Book Antiqua" w:eastAsia="Book Antiqua" w:hAnsi="Book Antiqua" w:cs="Book Antiqua"/>
          <w:color w:val="000000"/>
        </w:rPr>
        <w:t xml:space="preserve">Gastroenterology and </w:t>
      </w:r>
      <w:r w:rsidR="00915CA4" w:rsidRPr="00E5667A">
        <w:rPr>
          <w:rFonts w:ascii="Book Antiqua" w:eastAsia="Book Antiqua" w:hAnsi="Book Antiqua" w:cs="Book Antiqua"/>
          <w:color w:val="000000"/>
        </w:rPr>
        <w:t>h</w:t>
      </w:r>
      <w:r w:rsidRPr="00E5667A">
        <w:rPr>
          <w:rFonts w:ascii="Book Antiqua" w:eastAsia="Book Antiqua" w:hAnsi="Book Antiqua" w:cs="Book Antiqua"/>
          <w:color w:val="000000"/>
        </w:rPr>
        <w:t>epatology</w:t>
      </w:r>
    </w:p>
    <w:p w14:paraId="3A411ED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Country/Territory of origin: </w:t>
      </w:r>
      <w:r w:rsidRPr="00E5667A">
        <w:rPr>
          <w:rFonts w:ascii="Book Antiqua" w:eastAsia="Book Antiqua" w:hAnsi="Book Antiqua" w:cs="Book Antiqua"/>
          <w:color w:val="000000"/>
        </w:rPr>
        <w:t>China</w:t>
      </w:r>
    </w:p>
    <w:p w14:paraId="6F494A23"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Peer-review report’s scientific quality classification</w:t>
      </w:r>
    </w:p>
    <w:p w14:paraId="69AE22B7"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A (Excellent): 0</w:t>
      </w:r>
    </w:p>
    <w:p w14:paraId="5876A603"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B (Very good): B, B</w:t>
      </w:r>
    </w:p>
    <w:p w14:paraId="5ACBB1A1"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C (Good): 0</w:t>
      </w:r>
    </w:p>
    <w:p w14:paraId="536A66F2"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D (Fair): 0</w:t>
      </w:r>
    </w:p>
    <w:p w14:paraId="33FC3C9D"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E (Poor): 0</w:t>
      </w:r>
    </w:p>
    <w:p w14:paraId="6EAE1FAF" w14:textId="77777777" w:rsidR="00A77B3E" w:rsidRPr="00E5667A" w:rsidRDefault="00A77B3E" w:rsidP="00E5667A">
      <w:pPr>
        <w:spacing w:line="360" w:lineRule="auto"/>
        <w:jc w:val="both"/>
        <w:rPr>
          <w:rFonts w:ascii="Book Antiqua" w:hAnsi="Book Antiqua"/>
        </w:rPr>
      </w:pPr>
    </w:p>
    <w:p w14:paraId="290275CF" w14:textId="57793213" w:rsidR="00A77B3E" w:rsidRPr="0005684E" w:rsidRDefault="001612DD" w:rsidP="00E5667A">
      <w:pPr>
        <w:spacing w:line="360" w:lineRule="auto"/>
        <w:jc w:val="both"/>
        <w:rPr>
          <w:rFonts w:ascii="Book Antiqua" w:hAnsi="Book Antiqua" w:cs="Book Antiqua"/>
          <w:b/>
          <w:color w:val="000000"/>
          <w:lang w:eastAsia="zh-CN"/>
        </w:rPr>
      </w:pPr>
      <w:r w:rsidRPr="00E5667A">
        <w:rPr>
          <w:rFonts w:ascii="Book Antiqua" w:eastAsia="Book Antiqua" w:hAnsi="Book Antiqua" w:cs="Book Antiqua"/>
          <w:b/>
          <w:color w:val="000000"/>
        </w:rPr>
        <w:t xml:space="preserve">P-Reviewer: </w:t>
      </w:r>
      <w:r w:rsidRPr="00E5667A">
        <w:rPr>
          <w:rFonts w:ascii="Book Antiqua" w:eastAsia="Book Antiqua" w:hAnsi="Book Antiqua" w:cs="Book Antiqua"/>
          <w:color w:val="000000"/>
        </w:rPr>
        <w:t>Farag N, Romano L</w:t>
      </w:r>
      <w:r w:rsidRPr="00E5667A">
        <w:rPr>
          <w:rFonts w:ascii="Book Antiqua" w:eastAsia="Book Antiqua" w:hAnsi="Book Antiqua" w:cs="Book Antiqua"/>
          <w:b/>
          <w:color w:val="000000"/>
        </w:rPr>
        <w:t xml:space="preserve"> S-Editor: </w:t>
      </w:r>
      <w:r w:rsidR="00915CA4" w:rsidRPr="00E5667A">
        <w:rPr>
          <w:rFonts w:ascii="Book Antiqua" w:eastAsia="Book Antiqua" w:hAnsi="Book Antiqua" w:cs="Book Antiqua"/>
          <w:color w:val="000000"/>
        </w:rPr>
        <w:t>F</w:t>
      </w:r>
      <w:r w:rsidRPr="00E5667A">
        <w:rPr>
          <w:rFonts w:ascii="Book Antiqua" w:eastAsia="Book Antiqua" w:hAnsi="Book Antiqua" w:cs="Book Antiqua"/>
          <w:color w:val="000000"/>
        </w:rPr>
        <w:t>a</w:t>
      </w:r>
      <w:r w:rsidR="00915CA4" w:rsidRPr="00E5667A">
        <w:rPr>
          <w:rFonts w:ascii="Book Antiqua" w:eastAsia="Book Antiqua" w:hAnsi="Book Antiqua" w:cs="Book Antiqua"/>
          <w:color w:val="000000"/>
        </w:rPr>
        <w:t>n</w:t>
      </w:r>
      <w:r w:rsidRPr="00E5667A">
        <w:rPr>
          <w:rFonts w:ascii="Book Antiqua" w:eastAsia="Book Antiqua" w:hAnsi="Book Antiqua" w:cs="Book Antiqua"/>
          <w:color w:val="000000"/>
        </w:rPr>
        <w:t xml:space="preserve"> J</w:t>
      </w:r>
      <w:r w:rsidR="00915CA4" w:rsidRPr="00E5667A">
        <w:rPr>
          <w:rFonts w:ascii="Book Antiqua" w:eastAsia="Book Antiqua" w:hAnsi="Book Antiqua" w:cs="Book Antiqua"/>
          <w:color w:val="000000"/>
        </w:rPr>
        <w:t>R</w:t>
      </w:r>
      <w:r w:rsidRPr="00E5667A">
        <w:rPr>
          <w:rFonts w:ascii="Book Antiqua" w:eastAsia="Book Antiqua" w:hAnsi="Book Antiqua" w:cs="Book Antiqua"/>
          <w:b/>
          <w:color w:val="000000"/>
        </w:rPr>
        <w:t xml:space="preserve"> L-Editor: </w:t>
      </w:r>
      <w:r w:rsidR="00346B52" w:rsidRPr="00C56903">
        <w:rPr>
          <w:rFonts w:ascii="Book Antiqua" w:eastAsia="Book Antiqua" w:hAnsi="Book Antiqua" w:cs="Book Antiqua"/>
          <w:color w:val="000000"/>
        </w:rPr>
        <w:t>Wang TQ</w:t>
      </w:r>
      <w:r w:rsidRPr="00E5667A">
        <w:rPr>
          <w:rFonts w:ascii="Book Antiqua" w:eastAsia="Book Antiqua" w:hAnsi="Book Antiqua" w:cs="Book Antiqua"/>
          <w:b/>
          <w:color w:val="000000"/>
        </w:rPr>
        <w:t xml:space="preserve"> P-Editor: </w:t>
      </w:r>
      <w:r w:rsidR="0005684E" w:rsidRPr="0005684E">
        <w:rPr>
          <w:rFonts w:ascii="Book Antiqua" w:hAnsi="Book Antiqua" w:cs="Book Antiqua" w:hint="eastAsia"/>
          <w:color w:val="000000"/>
          <w:lang w:eastAsia="zh-CN"/>
        </w:rPr>
        <w:t>Ma YJ</w:t>
      </w:r>
    </w:p>
    <w:p w14:paraId="5E6E5C24" w14:textId="77777777" w:rsidR="00381814" w:rsidRPr="003E7BE4" w:rsidRDefault="006E339D" w:rsidP="00E5667A">
      <w:pPr>
        <w:adjustRightInd w:val="0"/>
        <w:snapToGrid w:val="0"/>
        <w:spacing w:line="360" w:lineRule="auto"/>
        <w:jc w:val="both"/>
        <w:rPr>
          <w:rFonts w:ascii="Book Antiqua" w:hAnsi="Book Antiqua"/>
        </w:rPr>
      </w:pPr>
      <w:r w:rsidRPr="00E5667A">
        <w:rPr>
          <w:rFonts w:ascii="Book Antiqua" w:eastAsia="Book Antiqua" w:hAnsi="Book Antiqua" w:cs="Book Antiqua"/>
          <w:b/>
          <w:color w:val="000000"/>
        </w:rPr>
        <w:br w:type="page"/>
      </w:r>
      <w:r w:rsidR="0019210C" w:rsidRPr="007B770B">
        <w:rPr>
          <w:rFonts w:ascii="Book Antiqua" w:hAnsi="Book Antiqua"/>
          <w:b/>
          <w:bCs/>
          <w:color w:val="000000"/>
        </w:rPr>
        <w:t xml:space="preserve">Table 1 Relative potencies of various nucleos(t)ide analogs for inhibiting </w:t>
      </w:r>
      <w:r w:rsidR="0019210C" w:rsidRPr="007B770B">
        <w:rPr>
          <w:rFonts w:ascii="Book Antiqua" w:eastAsia="Book Antiqua" w:hAnsi="Book Antiqua" w:cs="Book Antiqua"/>
          <w:b/>
          <w:bCs/>
          <w:color w:val="000000"/>
        </w:rPr>
        <w:t>hepatitis B virus</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176"/>
        <w:gridCol w:w="2038"/>
        <w:gridCol w:w="3677"/>
      </w:tblGrid>
      <w:tr w:rsidR="00381814" w:rsidRPr="00E5667A" w14:paraId="74189F20" w14:textId="77777777" w:rsidTr="00333AF3">
        <w:tc>
          <w:tcPr>
            <w:tcW w:w="880" w:type="pct"/>
            <w:tcBorders>
              <w:top w:val="single" w:sz="4" w:space="0" w:color="auto"/>
              <w:bottom w:val="single" w:sz="4" w:space="0" w:color="auto"/>
            </w:tcBorders>
          </w:tcPr>
          <w:p w14:paraId="4AD1B807" w14:textId="77777777" w:rsidR="00381814" w:rsidRPr="003E7BE4" w:rsidRDefault="00A11C5C" w:rsidP="00E5667A">
            <w:pPr>
              <w:adjustRightInd w:val="0"/>
              <w:snapToGrid w:val="0"/>
              <w:spacing w:line="360" w:lineRule="auto"/>
              <w:jc w:val="both"/>
              <w:rPr>
                <w:rFonts w:ascii="Book Antiqua" w:hAnsi="Book Antiqua" w:cs="Times New Roman"/>
                <w:b/>
                <w:bCs/>
              </w:rPr>
            </w:pPr>
            <w:r w:rsidRPr="003E7BE4">
              <w:rPr>
                <w:rFonts w:ascii="Book Antiqua" w:hAnsi="Book Antiqua"/>
                <w:b/>
                <w:bCs/>
              </w:rPr>
              <w:t>Drug</w:t>
            </w:r>
          </w:p>
        </w:tc>
        <w:tc>
          <w:tcPr>
            <w:tcW w:w="1136" w:type="pct"/>
            <w:tcBorders>
              <w:top w:val="single" w:sz="4" w:space="0" w:color="auto"/>
              <w:bottom w:val="single" w:sz="4" w:space="0" w:color="auto"/>
            </w:tcBorders>
          </w:tcPr>
          <w:p w14:paraId="6A8DD469" w14:textId="34617AB6" w:rsidR="00381814" w:rsidRPr="003E7BE4" w:rsidRDefault="00A11C5C" w:rsidP="00E5667A">
            <w:pPr>
              <w:pStyle w:val="Pa24"/>
              <w:snapToGrid w:val="0"/>
              <w:spacing w:line="360" w:lineRule="auto"/>
              <w:jc w:val="both"/>
              <w:rPr>
                <w:rFonts w:ascii="Book Antiqua" w:hAnsi="Book Antiqua" w:cs="Times New Roman"/>
              </w:rPr>
            </w:pPr>
            <w:r w:rsidRPr="003E7BE4">
              <w:rPr>
                <w:rFonts w:ascii="Book Antiqua" w:hAnsi="Book Antiqua" w:cs="Times New Roman"/>
                <w:b/>
                <w:bCs/>
                <w:color w:val="000000"/>
              </w:rPr>
              <w:t>EC</w:t>
            </w:r>
            <w:r w:rsidRPr="008C4714">
              <w:rPr>
                <w:rStyle w:val="A14"/>
                <w:rFonts w:ascii="Book Antiqua" w:hAnsi="Book Antiqua" w:cs="Times New Roman"/>
                <w:sz w:val="24"/>
                <w:szCs w:val="24"/>
                <w:vertAlign w:val="subscript"/>
              </w:rPr>
              <w:t>50</w:t>
            </w:r>
            <w:r w:rsidR="00C56903">
              <w:rPr>
                <w:rStyle w:val="A14"/>
                <w:rFonts w:ascii="Book Antiqua" w:hAnsi="Book Antiqua" w:cs="Times New Roman"/>
                <w:sz w:val="24"/>
                <w:szCs w:val="24"/>
                <w:vertAlign w:val="subscript"/>
              </w:rPr>
              <w:t xml:space="preserve"> </w:t>
            </w:r>
            <w:r w:rsidRPr="003E7BE4">
              <w:rPr>
                <w:rFonts w:ascii="Book Antiqua" w:hAnsi="Book Antiqua" w:cs="Times New Roman"/>
                <w:b/>
                <w:bCs/>
                <w:color w:val="000000"/>
              </w:rPr>
              <w:t>(nM)</w:t>
            </w:r>
            <w:r w:rsidR="001B4FCF">
              <w:rPr>
                <w:rFonts w:ascii="Book Antiqua" w:hAnsi="Book Antiqua" w:cs="Times New Roman"/>
                <w:b/>
                <w:bCs/>
                <w:color w:val="000000"/>
              </w:rPr>
              <w:t>,</w:t>
            </w:r>
            <w:r w:rsidRPr="003E7BE4">
              <w:rPr>
                <w:rFonts w:ascii="Book Antiqua" w:hAnsi="Book Antiqua" w:cs="Times New Roman"/>
                <w:b/>
                <w:bCs/>
                <w:color w:val="000000"/>
              </w:rPr>
              <w:t xml:space="preserve"> mean ± SD</w:t>
            </w:r>
          </w:p>
        </w:tc>
        <w:tc>
          <w:tcPr>
            <w:tcW w:w="1064" w:type="pct"/>
            <w:tcBorders>
              <w:top w:val="single" w:sz="4" w:space="0" w:color="auto"/>
              <w:bottom w:val="single" w:sz="4" w:space="0" w:color="auto"/>
            </w:tcBorders>
          </w:tcPr>
          <w:p w14:paraId="5E1AA140" w14:textId="77777777" w:rsidR="00381814" w:rsidRPr="003E7BE4" w:rsidRDefault="00A11C5C" w:rsidP="00E5667A">
            <w:pPr>
              <w:pStyle w:val="Pa24"/>
              <w:snapToGrid w:val="0"/>
              <w:spacing w:line="360" w:lineRule="auto"/>
              <w:jc w:val="both"/>
              <w:rPr>
                <w:rFonts w:ascii="Book Antiqua" w:hAnsi="Book Antiqua" w:cs="Times New Roman"/>
              </w:rPr>
            </w:pPr>
            <w:r w:rsidRPr="003E7BE4">
              <w:rPr>
                <w:rFonts w:ascii="Book Antiqua" w:hAnsi="Book Antiqua" w:cs="Times New Roman"/>
                <w:b/>
                <w:bCs/>
                <w:color w:val="000000"/>
              </w:rPr>
              <w:t>Difference (fold) from entecavir EC</w:t>
            </w:r>
            <w:r w:rsidRPr="008C4714">
              <w:rPr>
                <w:rStyle w:val="A14"/>
                <w:rFonts w:ascii="Book Antiqua" w:hAnsi="Book Antiqua" w:cs="Times New Roman"/>
                <w:sz w:val="24"/>
                <w:szCs w:val="24"/>
                <w:vertAlign w:val="subscript"/>
              </w:rPr>
              <w:t>50</w:t>
            </w:r>
          </w:p>
        </w:tc>
        <w:tc>
          <w:tcPr>
            <w:tcW w:w="1921" w:type="pct"/>
            <w:tcBorders>
              <w:top w:val="single" w:sz="4" w:space="0" w:color="auto"/>
              <w:bottom w:val="single" w:sz="4" w:space="0" w:color="auto"/>
            </w:tcBorders>
          </w:tcPr>
          <w:p w14:paraId="3EA8FDAD" w14:textId="77777777" w:rsidR="00381814" w:rsidRPr="003E7BE4" w:rsidRDefault="00A11C5C" w:rsidP="002C4973">
            <w:pPr>
              <w:pStyle w:val="Pa24"/>
              <w:snapToGrid w:val="0"/>
              <w:spacing w:line="360" w:lineRule="auto"/>
              <w:jc w:val="both"/>
              <w:rPr>
                <w:rFonts w:ascii="Book Antiqua" w:hAnsi="Book Antiqua" w:cs="Times New Roman"/>
                <w:b/>
                <w:bCs/>
                <w:color w:val="000000"/>
              </w:rPr>
            </w:pPr>
            <w:r w:rsidRPr="003E7BE4">
              <w:rPr>
                <w:rFonts w:ascii="Book Antiqua" w:hAnsi="Book Antiqua" w:cs="Times New Roman"/>
                <w:b/>
                <w:bCs/>
              </w:rPr>
              <w:t>Ref</w:t>
            </w:r>
            <w:r w:rsidR="002C4973">
              <w:rPr>
                <w:rFonts w:ascii="Book Antiqua" w:hAnsi="Book Antiqua" w:cs="Times New Roman"/>
                <w:b/>
                <w:bCs/>
              </w:rPr>
              <w:t>.</w:t>
            </w:r>
          </w:p>
        </w:tc>
      </w:tr>
      <w:tr w:rsidR="00381814" w:rsidRPr="00E5667A" w14:paraId="0426D2B7" w14:textId="77777777" w:rsidTr="00333AF3">
        <w:tc>
          <w:tcPr>
            <w:tcW w:w="880" w:type="pct"/>
            <w:tcBorders>
              <w:top w:val="single" w:sz="4" w:space="0" w:color="auto"/>
            </w:tcBorders>
          </w:tcPr>
          <w:p w14:paraId="6F9D8130" w14:textId="77777777" w:rsidR="00381814" w:rsidRPr="003E7BE4" w:rsidRDefault="00A11C5C" w:rsidP="00E5667A">
            <w:pPr>
              <w:pStyle w:val="Pa25"/>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Entecavir</w:t>
            </w:r>
          </w:p>
        </w:tc>
        <w:tc>
          <w:tcPr>
            <w:tcW w:w="1136" w:type="pct"/>
            <w:tcBorders>
              <w:top w:val="single" w:sz="4" w:space="0" w:color="auto"/>
            </w:tcBorders>
          </w:tcPr>
          <w:p w14:paraId="0872044E"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5.3 ± 2.5</w:t>
            </w:r>
          </w:p>
        </w:tc>
        <w:tc>
          <w:tcPr>
            <w:tcW w:w="1064" w:type="pct"/>
            <w:tcBorders>
              <w:top w:val="single" w:sz="4" w:space="0" w:color="auto"/>
            </w:tcBorders>
          </w:tcPr>
          <w:p w14:paraId="191BCD2D"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1</w:t>
            </w:r>
          </w:p>
        </w:tc>
        <w:tc>
          <w:tcPr>
            <w:tcW w:w="1921" w:type="pct"/>
            <w:tcBorders>
              <w:top w:val="single" w:sz="4" w:space="0" w:color="auto"/>
            </w:tcBorders>
          </w:tcPr>
          <w:p w14:paraId="5A9AEA99" w14:textId="209F3340" w:rsidR="003D494C" w:rsidRPr="003E7BE4" w:rsidRDefault="00A11C5C" w:rsidP="00E5667A">
            <w:pPr>
              <w:pStyle w:val="Pa25"/>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00C56903">
              <w:rPr>
                <w:rFonts w:ascii="Book Antiqua" w:hAnsi="Book Antiqua" w:cs="Times New Roman"/>
                <w:color w:val="000000"/>
              </w:rPr>
              <w:t xml:space="preserve"> </w:t>
            </w:r>
            <w:r w:rsidRPr="003E7BE4">
              <w:rPr>
                <w:rFonts w:ascii="Book Antiqua" w:hAnsi="Book Antiqua" w:cs="Times New Roman"/>
                <w:i/>
                <w:color w:val="000000"/>
              </w:rPr>
              <w:t>et al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w:t>
            </w:r>
            <w:r w:rsidR="00C56903">
              <w:rPr>
                <w:rFonts w:ascii="Book Antiqua" w:hAnsi="Book Antiqua" w:cs="Times New Roman"/>
                <w:color w:val="000000"/>
              </w:rPr>
              <w:t xml:space="preserve"> </w:t>
            </w:r>
            <w:r w:rsidRPr="003E7BE4">
              <w:rPr>
                <w:rFonts w:ascii="Book Antiqua" w:hAnsi="Book Antiqua" w:cs="Times New Roman"/>
                <w:color w:val="000000"/>
              </w:rPr>
              <w:t>2008</w:t>
            </w:r>
          </w:p>
        </w:tc>
      </w:tr>
      <w:tr w:rsidR="00381814" w:rsidRPr="00E5667A" w14:paraId="16202664" w14:textId="77777777" w:rsidTr="00333AF3">
        <w:tc>
          <w:tcPr>
            <w:tcW w:w="880" w:type="pct"/>
          </w:tcPr>
          <w:p w14:paraId="606E75DE" w14:textId="77777777" w:rsidR="00381814" w:rsidRPr="003E7BE4" w:rsidRDefault="00A11C5C" w:rsidP="00E5667A">
            <w:pPr>
              <w:pStyle w:val="Pa26"/>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TAF</w:t>
            </w:r>
          </w:p>
        </w:tc>
        <w:tc>
          <w:tcPr>
            <w:tcW w:w="1136" w:type="pct"/>
          </w:tcPr>
          <w:p w14:paraId="08ACB91E"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86.6</w:t>
            </w:r>
          </w:p>
        </w:tc>
        <w:tc>
          <w:tcPr>
            <w:tcW w:w="1064" w:type="pct"/>
          </w:tcPr>
          <w:p w14:paraId="654663DA"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16</w:t>
            </w:r>
          </w:p>
        </w:tc>
        <w:tc>
          <w:tcPr>
            <w:tcW w:w="1921" w:type="pct"/>
          </w:tcPr>
          <w:p w14:paraId="587185A0" w14:textId="77777777" w:rsidR="003D494C" w:rsidRPr="003E7BE4" w:rsidRDefault="00A11C5C" w:rsidP="00E5667A">
            <w:pPr>
              <w:adjustRightInd w:val="0"/>
              <w:snapToGrid w:val="0"/>
              <w:spacing w:line="360" w:lineRule="auto"/>
              <w:jc w:val="both"/>
              <w:rPr>
                <w:rFonts w:ascii="Book Antiqua" w:hAnsi="Book Antiqua" w:cs="Times New Roman"/>
                <w:kern w:val="0"/>
                <w:lang w:eastAsia="en-US"/>
              </w:rPr>
            </w:pPr>
            <w:r w:rsidRPr="003E7BE4">
              <w:rPr>
                <w:rFonts w:ascii="Book Antiqua" w:eastAsia="Frutiger" w:hAnsi="Book Antiqua" w:cs="Times New Roman"/>
                <w:color w:val="000000"/>
              </w:rPr>
              <w:t xml:space="preserve">Gibson </w:t>
            </w:r>
            <w:r w:rsidRPr="003E7BE4">
              <w:rPr>
                <w:rFonts w:ascii="Book Antiqua" w:eastAsia="Frutiger" w:hAnsi="Book Antiqua" w:cs="Times New Roman"/>
                <w:i/>
                <w:color w:val="000000"/>
              </w:rPr>
              <w:t>et al</w:t>
            </w:r>
            <w:r w:rsidR="007531F8" w:rsidRPr="003E7BE4">
              <w:rPr>
                <w:rFonts w:ascii="Book Antiqua" w:hAnsi="Book Antiqua"/>
                <w:vertAlign w:val="superscript"/>
              </w:rPr>
              <w:t>[3</w:t>
            </w:r>
            <w:r w:rsidR="00127CB2">
              <w:rPr>
                <w:rFonts w:ascii="Book Antiqua" w:hAnsi="Book Antiqua"/>
                <w:vertAlign w:val="superscript"/>
              </w:rPr>
              <w:t>2</w:t>
            </w:r>
            <w:r w:rsidR="007531F8" w:rsidRPr="003E7BE4">
              <w:rPr>
                <w:rFonts w:ascii="Book Antiqua" w:hAnsi="Book Antiqua"/>
                <w:vertAlign w:val="superscript"/>
              </w:rPr>
              <w:t>]</w:t>
            </w:r>
            <w:r w:rsidR="007531F8" w:rsidRPr="00E5667A">
              <w:rPr>
                <w:rFonts w:ascii="Book Antiqua" w:hAnsi="Book Antiqua" w:cs="Times New Roman"/>
              </w:rPr>
              <w:t xml:space="preserve">, </w:t>
            </w:r>
            <w:r w:rsidRPr="003E7BE4">
              <w:rPr>
                <w:rFonts w:ascii="Book Antiqua" w:eastAsia="Frutiger" w:hAnsi="Book Antiqua" w:cs="Times New Roman"/>
                <w:color w:val="000000"/>
              </w:rPr>
              <w:t>2016</w:t>
            </w:r>
          </w:p>
        </w:tc>
      </w:tr>
      <w:tr w:rsidR="00381814" w:rsidRPr="00E5667A" w14:paraId="2ABC88E6" w14:textId="77777777" w:rsidTr="00333AF3">
        <w:tc>
          <w:tcPr>
            <w:tcW w:w="880" w:type="pct"/>
          </w:tcPr>
          <w:p w14:paraId="6A6D86F1" w14:textId="77777777" w:rsidR="00381814" w:rsidRPr="003E7BE4" w:rsidRDefault="00A11C5C" w:rsidP="00E5667A">
            <w:pPr>
              <w:pStyle w:val="Pa25"/>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Lamivudine</w:t>
            </w:r>
          </w:p>
        </w:tc>
        <w:tc>
          <w:tcPr>
            <w:tcW w:w="1136" w:type="pct"/>
          </w:tcPr>
          <w:p w14:paraId="06DEC9BC"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1491 ± 1033</w:t>
            </w:r>
          </w:p>
        </w:tc>
        <w:tc>
          <w:tcPr>
            <w:tcW w:w="1064" w:type="pct"/>
          </w:tcPr>
          <w:p w14:paraId="2BEDE047"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281</w:t>
            </w:r>
          </w:p>
        </w:tc>
        <w:tc>
          <w:tcPr>
            <w:tcW w:w="1921" w:type="pct"/>
          </w:tcPr>
          <w:p w14:paraId="5FC1D95C" w14:textId="0A69DC25" w:rsidR="003D494C" w:rsidRPr="003E7BE4" w:rsidRDefault="00A11C5C" w:rsidP="00E5667A">
            <w:pPr>
              <w:pStyle w:val="Pa25"/>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00C56903">
              <w:rPr>
                <w:rFonts w:ascii="Book Antiqua" w:hAnsi="Book Antiqua" w:cs="Times New Roman"/>
                <w:color w:val="000000"/>
              </w:rPr>
              <w:t xml:space="preserve"> </w:t>
            </w:r>
            <w:r w:rsidRPr="003E7BE4">
              <w:rPr>
                <w:rFonts w:ascii="Book Antiqua" w:hAnsi="Book Antiqua" w:cs="Times New Roman"/>
                <w:i/>
                <w:color w:val="000000"/>
              </w:rPr>
              <w:t>et al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 xml:space="preserve">, </w:t>
            </w:r>
            <w:r w:rsidRPr="003E7BE4">
              <w:rPr>
                <w:rFonts w:ascii="Book Antiqua" w:hAnsi="Book Antiqua" w:cs="Times New Roman"/>
                <w:color w:val="000000"/>
              </w:rPr>
              <w:t>2008</w:t>
            </w:r>
          </w:p>
        </w:tc>
      </w:tr>
      <w:tr w:rsidR="00381814" w:rsidRPr="00E5667A" w14:paraId="5F608443" w14:textId="77777777" w:rsidTr="00333AF3">
        <w:tc>
          <w:tcPr>
            <w:tcW w:w="880" w:type="pct"/>
          </w:tcPr>
          <w:p w14:paraId="1DDC974E" w14:textId="77777777" w:rsidR="00381814" w:rsidRPr="003E7BE4" w:rsidRDefault="00A11C5C" w:rsidP="00E5667A">
            <w:pPr>
              <w:pStyle w:val="Pa26"/>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CMX-157</w:t>
            </w:r>
          </w:p>
        </w:tc>
        <w:tc>
          <w:tcPr>
            <w:tcW w:w="1136" w:type="pct"/>
          </w:tcPr>
          <w:p w14:paraId="32A54435"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 xml:space="preserve">1600 </w:t>
            </w:r>
          </w:p>
        </w:tc>
        <w:tc>
          <w:tcPr>
            <w:tcW w:w="1064" w:type="pct"/>
          </w:tcPr>
          <w:p w14:paraId="093679ED"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420</w:t>
            </w:r>
          </w:p>
        </w:tc>
        <w:tc>
          <w:tcPr>
            <w:tcW w:w="1921" w:type="pct"/>
          </w:tcPr>
          <w:p w14:paraId="09F03651" w14:textId="1A2F38B5" w:rsidR="003D494C" w:rsidRPr="003E7BE4" w:rsidRDefault="00A11C5C" w:rsidP="00E5667A">
            <w:pPr>
              <w:adjustRightInd w:val="0"/>
              <w:snapToGrid w:val="0"/>
              <w:spacing w:line="360" w:lineRule="auto"/>
              <w:jc w:val="both"/>
              <w:rPr>
                <w:rFonts w:ascii="Book Antiqua" w:hAnsi="Book Antiqua" w:cs="Times New Roman"/>
                <w:kern w:val="0"/>
                <w:lang w:eastAsia="en-US"/>
              </w:rPr>
            </w:pPr>
            <w:r w:rsidRPr="003E7BE4">
              <w:rPr>
                <w:rFonts w:ascii="Book Antiqua" w:eastAsia="Frutiger" w:hAnsi="Book Antiqua" w:cs="Times New Roman"/>
                <w:color w:val="000000"/>
              </w:rPr>
              <w:t xml:space="preserve">Pei </w:t>
            </w:r>
            <w:r w:rsidRPr="003E7BE4">
              <w:rPr>
                <w:rFonts w:ascii="Book Antiqua" w:eastAsia="Frutiger" w:hAnsi="Book Antiqua" w:cs="Times New Roman"/>
                <w:i/>
                <w:color w:val="000000"/>
              </w:rPr>
              <w:t>et al</w:t>
            </w:r>
            <w:r w:rsidR="007531F8" w:rsidRPr="003E7BE4">
              <w:rPr>
                <w:rFonts w:ascii="Book Antiqua" w:hAnsi="Book Antiqua"/>
                <w:vertAlign w:val="superscript"/>
              </w:rPr>
              <w:t>[3</w:t>
            </w:r>
            <w:r w:rsidR="00127CB2">
              <w:rPr>
                <w:rFonts w:ascii="Book Antiqua" w:hAnsi="Book Antiqua"/>
                <w:vertAlign w:val="superscript"/>
              </w:rPr>
              <w:t>3</w:t>
            </w:r>
            <w:r w:rsidR="007531F8" w:rsidRPr="003E7BE4">
              <w:rPr>
                <w:rFonts w:ascii="Book Antiqua" w:hAnsi="Book Antiqua"/>
                <w:vertAlign w:val="superscript"/>
              </w:rPr>
              <w:t>]</w:t>
            </w:r>
            <w:r w:rsidR="007531F8" w:rsidRPr="00E5667A">
              <w:rPr>
                <w:rFonts w:ascii="Book Antiqua" w:hAnsi="Book Antiqua" w:cs="Times New Roman"/>
              </w:rPr>
              <w:t>,</w:t>
            </w:r>
            <w:r w:rsidR="00C56903">
              <w:rPr>
                <w:rFonts w:ascii="Book Antiqua" w:hAnsi="Book Antiqua" w:cs="Times New Roman"/>
              </w:rPr>
              <w:t xml:space="preserve"> </w:t>
            </w:r>
            <w:r w:rsidRPr="003E7BE4">
              <w:rPr>
                <w:rFonts w:ascii="Book Antiqua" w:eastAsia="Frutiger" w:hAnsi="Book Antiqua" w:cs="Times New Roman"/>
                <w:color w:val="000000"/>
              </w:rPr>
              <w:t>2017</w:t>
            </w:r>
          </w:p>
        </w:tc>
      </w:tr>
      <w:tr w:rsidR="00381814" w:rsidRPr="00E5667A" w14:paraId="156A468E" w14:textId="77777777" w:rsidTr="00333AF3">
        <w:tc>
          <w:tcPr>
            <w:tcW w:w="880" w:type="pct"/>
          </w:tcPr>
          <w:p w14:paraId="14BED915" w14:textId="77777777" w:rsidR="00381814" w:rsidRPr="003E7BE4" w:rsidRDefault="00A11C5C" w:rsidP="00E5667A">
            <w:pPr>
              <w:pStyle w:val="Pa26"/>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Tenofovir</w:t>
            </w:r>
          </w:p>
        </w:tc>
        <w:tc>
          <w:tcPr>
            <w:tcW w:w="1136" w:type="pct"/>
          </w:tcPr>
          <w:p w14:paraId="789AACD4" w14:textId="77777777" w:rsidR="00381814" w:rsidRPr="003E7BE4" w:rsidRDefault="00A11C5C" w:rsidP="00E5667A">
            <w:pPr>
              <w:pStyle w:val="Pa26"/>
              <w:snapToGrid w:val="0"/>
              <w:spacing w:line="360" w:lineRule="auto"/>
              <w:jc w:val="both"/>
              <w:rPr>
                <w:rFonts w:ascii="Book Antiqua" w:hAnsi="Book Antiqua" w:cs="Times New Roman"/>
                <w:color w:val="000000"/>
              </w:rPr>
            </w:pPr>
            <w:r w:rsidRPr="003E7BE4">
              <w:rPr>
                <w:rFonts w:ascii="Book Antiqua" w:hAnsi="Book Antiqua" w:cs="Times New Roman"/>
                <w:color w:val="000000"/>
              </w:rPr>
              <w:t>2482 ± 1938</w:t>
            </w:r>
          </w:p>
        </w:tc>
        <w:tc>
          <w:tcPr>
            <w:tcW w:w="1064" w:type="pct"/>
          </w:tcPr>
          <w:p w14:paraId="60E535AD" w14:textId="77777777" w:rsidR="00381814" w:rsidRPr="003E7BE4" w:rsidRDefault="00A11C5C" w:rsidP="00E5667A">
            <w:pPr>
              <w:pStyle w:val="Pa26"/>
              <w:snapToGrid w:val="0"/>
              <w:spacing w:line="360" w:lineRule="auto"/>
              <w:jc w:val="both"/>
              <w:rPr>
                <w:rFonts w:ascii="Book Antiqua" w:hAnsi="Book Antiqua" w:cs="Times New Roman"/>
                <w:color w:val="000000"/>
              </w:rPr>
            </w:pPr>
            <w:r w:rsidRPr="003E7BE4">
              <w:rPr>
                <w:rFonts w:ascii="Book Antiqua" w:hAnsi="Book Antiqua" w:cs="Times New Roman"/>
                <w:color w:val="000000"/>
              </w:rPr>
              <w:t>468</w:t>
            </w:r>
          </w:p>
        </w:tc>
        <w:tc>
          <w:tcPr>
            <w:tcW w:w="1921" w:type="pct"/>
          </w:tcPr>
          <w:p w14:paraId="54492701" w14:textId="752B4F7F" w:rsidR="003D494C" w:rsidRPr="003E7BE4" w:rsidRDefault="00A11C5C" w:rsidP="00E5667A">
            <w:pPr>
              <w:pStyle w:val="Pa26"/>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00C56903">
              <w:rPr>
                <w:rFonts w:ascii="Book Antiqua" w:hAnsi="Book Antiqua" w:cs="Times New Roman"/>
                <w:color w:val="000000"/>
              </w:rPr>
              <w:t xml:space="preserve"> </w:t>
            </w:r>
            <w:r w:rsidRPr="003E7BE4">
              <w:rPr>
                <w:rFonts w:ascii="Book Antiqua" w:hAnsi="Book Antiqua" w:cs="Times New Roman"/>
                <w:i/>
                <w:color w:val="000000"/>
              </w:rPr>
              <w:t>et al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w:t>
            </w:r>
            <w:r w:rsidR="00C56903">
              <w:rPr>
                <w:rFonts w:ascii="Book Antiqua" w:hAnsi="Book Antiqua" w:cs="Times New Roman"/>
                <w:color w:val="000000"/>
              </w:rPr>
              <w:t xml:space="preserve"> </w:t>
            </w:r>
            <w:r w:rsidRPr="003E7BE4">
              <w:rPr>
                <w:rFonts w:ascii="Book Antiqua" w:hAnsi="Book Antiqua" w:cs="Times New Roman"/>
                <w:color w:val="000000"/>
              </w:rPr>
              <w:t>2008</w:t>
            </w:r>
          </w:p>
        </w:tc>
      </w:tr>
      <w:tr w:rsidR="00381814" w:rsidRPr="00E5667A" w14:paraId="7385A012" w14:textId="77777777" w:rsidTr="00333AF3">
        <w:tc>
          <w:tcPr>
            <w:tcW w:w="880" w:type="pct"/>
          </w:tcPr>
          <w:p w14:paraId="29216C5C" w14:textId="77777777" w:rsidR="00381814" w:rsidRPr="003E7BE4" w:rsidRDefault="00A11C5C" w:rsidP="00E5667A">
            <w:pPr>
              <w:pStyle w:val="Pa25"/>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Adefovir</w:t>
            </w:r>
          </w:p>
        </w:tc>
        <w:tc>
          <w:tcPr>
            <w:tcW w:w="1136" w:type="pct"/>
          </w:tcPr>
          <w:p w14:paraId="0246D6CC"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2636 ± 1549</w:t>
            </w:r>
          </w:p>
        </w:tc>
        <w:tc>
          <w:tcPr>
            <w:tcW w:w="1064" w:type="pct"/>
          </w:tcPr>
          <w:p w14:paraId="72AB0D9F"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497</w:t>
            </w:r>
          </w:p>
        </w:tc>
        <w:tc>
          <w:tcPr>
            <w:tcW w:w="1921" w:type="pct"/>
          </w:tcPr>
          <w:p w14:paraId="273691D7" w14:textId="1995B173" w:rsidR="003D494C" w:rsidRPr="003E7BE4" w:rsidRDefault="00A11C5C" w:rsidP="00E5667A">
            <w:pPr>
              <w:pStyle w:val="Pa25"/>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Pr="003E7BE4">
              <w:rPr>
                <w:rFonts w:ascii="Book Antiqua" w:hAnsi="Book Antiqua" w:cs="Times New Roman"/>
                <w:i/>
                <w:color w:val="000000"/>
              </w:rPr>
              <w:t xml:space="preserve"> et a</w:t>
            </w:r>
            <w:r w:rsidR="00AF1F44" w:rsidRPr="00E5667A">
              <w:rPr>
                <w:rFonts w:ascii="Book Antiqua" w:hAnsi="Book Antiqua" w:cs="Times New Roman"/>
                <w:i/>
                <w:color w:val="000000"/>
              </w:rPr>
              <w:t>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w:t>
            </w:r>
            <w:r w:rsidR="00C56903">
              <w:rPr>
                <w:rFonts w:ascii="Book Antiqua" w:hAnsi="Book Antiqua" w:cs="Times New Roman"/>
                <w:color w:val="000000"/>
              </w:rPr>
              <w:t xml:space="preserve"> </w:t>
            </w:r>
            <w:r w:rsidRPr="003E7BE4">
              <w:rPr>
                <w:rFonts w:ascii="Book Antiqua" w:hAnsi="Book Antiqua" w:cs="Times New Roman"/>
                <w:color w:val="000000"/>
              </w:rPr>
              <w:t>2008</w:t>
            </w:r>
          </w:p>
        </w:tc>
      </w:tr>
      <w:tr w:rsidR="00381814" w:rsidRPr="00E5667A" w14:paraId="44EE25D0" w14:textId="77777777" w:rsidTr="00333AF3">
        <w:tc>
          <w:tcPr>
            <w:tcW w:w="880" w:type="pct"/>
          </w:tcPr>
          <w:p w14:paraId="685AD0DE" w14:textId="77777777" w:rsidR="00381814" w:rsidRPr="003E7BE4" w:rsidRDefault="00A11C5C" w:rsidP="00E5667A">
            <w:pPr>
              <w:pStyle w:val="Pa25"/>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Telbivudine</w:t>
            </w:r>
          </w:p>
        </w:tc>
        <w:tc>
          <w:tcPr>
            <w:tcW w:w="1136" w:type="pct"/>
          </w:tcPr>
          <w:p w14:paraId="7F0BB813"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8950 ± 4803</w:t>
            </w:r>
          </w:p>
        </w:tc>
        <w:tc>
          <w:tcPr>
            <w:tcW w:w="1064" w:type="pct"/>
          </w:tcPr>
          <w:p w14:paraId="7FA1B286"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1689</w:t>
            </w:r>
          </w:p>
        </w:tc>
        <w:tc>
          <w:tcPr>
            <w:tcW w:w="1921" w:type="pct"/>
          </w:tcPr>
          <w:p w14:paraId="794AC82C" w14:textId="1EC55B6D" w:rsidR="003D494C" w:rsidRPr="003E7BE4" w:rsidRDefault="00A11C5C" w:rsidP="00E5667A">
            <w:pPr>
              <w:pStyle w:val="Pa25"/>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00C56903">
              <w:rPr>
                <w:rFonts w:ascii="Book Antiqua" w:hAnsi="Book Antiqua" w:cs="Times New Roman"/>
                <w:color w:val="000000"/>
              </w:rPr>
              <w:t xml:space="preserve"> </w:t>
            </w:r>
            <w:r w:rsidRPr="003E7BE4">
              <w:rPr>
                <w:rFonts w:ascii="Book Antiqua" w:hAnsi="Book Antiqua" w:cs="Times New Roman"/>
                <w:i/>
                <w:color w:val="000000"/>
              </w:rPr>
              <w:t>et al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w:t>
            </w:r>
            <w:r w:rsidRPr="003E7BE4">
              <w:rPr>
                <w:rFonts w:ascii="Book Antiqua" w:hAnsi="Book Antiqua" w:cs="Times New Roman"/>
                <w:color w:val="000000"/>
              </w:rPr>
              <w:t xml:space="preserve"> 2008</w:t>
            </w:r>
          </w:p>
        </w:tc>
      </w:tr>
    </w:tbl>
    <w:p w14:paraId="7F2D70B4" w14:textId="4D8F3242" w:rsidR="00381814" w:rsidRPr="003E7BE4" w:rsidRDefault="00A11C5C" w:rsidP="00E5667A">
      <w:pPr>
        <w:autoSpaceDE w:val="0"/>
        <w:autoSpaceDN w:val="0"/>
        <w:adjustRightInd w:val="0"/>
        <w:snapToGrid w:val="0"/>
        <w:spacing w:line="360" w:lineRule="auto"/>
        <w:jc w:val="both"/>
        <w:rPr>
          <w:rFonts w:ascii="Book Antiqua" w:hAnsi="Book Antiqua"/>
          <w:color w:val="000000"/>
        </w:rPr>
      </w:pPr>
      <w:r w:rsidRPr="003E7BE4">
        <w:rPr>
          <w:rFonts w:ascii="Book Antiqua" w:hAnsi="Book Antiqua"/>
          <w:color w:val="000000"/>
        </w:rPr>
        <w:t>EC</w:t>
      </w:r>
      <w:r w:rsidRPr="003E7BE4">
        <w:rPr>
          <w:rStyle w:val="A15"/>
          <w:rFonts w:ascii="Book Antiqua" w:hAnsi="Book Antiqua" w:cs="Times New Roman"/>
          <w:sz w:val="24"/>
          <w:szCs w:val="24"/>
          <w:vertAlign w:val="subscript"/>
        </w:rPr>
        <w:t>50</w:t>
      </w:r>
      <w:r w:rsidRPr="003E7BE4">
        <w:rPr>
          <w:rFonts w:ascii="Book Antiqua" w:hAnsi="Book Antiqua"/>
          <w:color w:val="000000"/>
        </w:rPr>
        <w:t xml:space="preserve">: Effective concentration of nucleos(t)ide analogs that </w:t>
      </w:r>
      <w:r w:rsidR="001B4FCF" w:rsidRPr="003E7BE4">
        <w:rPr>
          <w:rFonts w:ascii="Book Antiqua" w:hAnsi="Book Antiqua"/>
          <w:color w:val="000000"/>
        </w:rPr>
        <w:t>result</w:t>
      </w:r>
      <w:r w:rsidR="001B4FCF">
        <w:rPr>
          <w:rFonts w:ascii="Book Antiqua" w:hAnsi="Book Antiqua"/>
          <w:color w:val="000000"/>
        </w:rPr>
        <w:t>s</w:t>
      </w:r>
      <w:r w:rsidR="00C56903">
        <w:rPr>
          <w:rFonts w:ascii="Book Antiqua" w:hAnsi="Book Antiqua"/>
          <w:color w:val="000000"/>
        </w:rPr>
        <w:t xml:space="preserve"> </w:t>
      </w:r>
      <w:r w:rsidRPr="003E7BE4">
        <w:rPr>
          <w:rFonts w:ascii="Book Antiqua" w:hAnsi="Book Antiqua"/>
          <w:color w:val="000000"/>
        </w:rPr>
        <w:t>in 50% inhibition of HBV DNA production; TAF: Tenofovir alafenamide; CMX-157: Tenofovir</w:t>
      </w:r>
      <w:r w:rsidR="00C56903">
        <w:rPr>
          <w:rFonts w:ascii="Book Antiqua" w:hAnsi="Book Antiqua"/>
          <w:color w:val="000000"/>
        </w:rPr>
        <w:t xml:space="preserve"> </w:t>
      </w:r>
      <w:r w:rsidR="001B4FCF" w:rsidRPr="003E7BE4">
        <w:rPr>
          <w:rFonts w:ascii="Book Antiqua" w:hAnsi="Book Antiqua"/>
          <w:color w:val="000000"/>
        </w:rPr>
        <w:t>conjugat</w:t>
      </w:r>
      <w:r w:rsidR="001B4FCF">
        <w:rPr>
          <w:rFonts w:ascii="Book Antiqua" w:hAnsi="Book Antiqua"/>
          <w:color w:val="000000"/>
        </w:rPr>
        <w:t>ed with</w:t>
      </w:r>
      <w:r w:rsidR="00C56903">
        <w:rPr>
          <w:rFonts w:ascii="Book Antiqua" w:hAnsi="Book Antiqua"/>
          <w:color w:val="000000"/>
        </w:rPr>
        <w:t xml:space="preserve"> </w:t>
      </w:r>
      <w:r w:rsidRPr="003E7BE4">
        <w:rPr>
          <w:rFonts w:ascii="Book Antiqua" w:hAnsi="Book Antiqua"/>
          <w:color w:val="000000"/>
        </w:rPr>
        <w:t>a lipid moiety.</w:t>
      </w:r>
    </w:p>
    <w:p w14:paraId="0D49A8EC" w14:textId="7B0142A3" w:rsidR="00381814" w:rsidRPr="003E7BE4" w:rsidRDefault="00A11C5C" w:rsidP="00E5667A">
      <w:pPr>
        <w:adjustRightInd w:val="0"/>
        <w:snapToGrid w:val="0"/>
        <w:spacing w:line="360" w:lineRule="auto"/>
        <w:jc w:val="both"/>
        <w:rPr>
          <w:rFonts w:ascii="Book Antiqua" w:hAnsi="Book Antiqua"/>
          <w:b/>
        </w:rPr>
      </w:pPr>
      <w:r w:rsidRPr="003E7BE4">
        <w:rPr>
          <w:rFonts w:ascii="Book Antiqua" w:hAnsi="Book Antiqua"/>
          <w:color w:val="000000"/>
        </w:rPr>
        <w:br w:type="page"/>
      </w:r>
      <w:r w:rsidRPr="003E7BE4">
        <w:rPr>
          <w:rFonts w:ascii="Book Antiqua" w:hAnsi="Book Antiqua"/>
          <w:b/>
        </w:rPr>
        <w:t>Table 2</w:t>
      </w:r>
      <w:r w:rsidR="009549EA">
        <w:rPr>
          <w:rFonts w:ascii="Book Antiqua" w:hAnsi="Book Antiqua" w:hint="eastAsia"/>
          <w:b/>
          <w:lang w:eastAsia="zh-CN"/>
        </w:rPr>
        <w:t xml:space="preserve"> </w:t>
      </w:r>
      <w:r w:rsidRPr="009C07F9">
        <w:rPr>
          <w:rFonts w:ascii="Book Antiqua" w:hAnsi="Book Antiqua"/>
          <w:b/>
        </w:rPr>
        <w:t>Summary of</w:t>
      </w:r>
      <w:r w:rsidR="00C56903">
        <w:rPr>
          <w:rFonts w:ascii="Book Antiqua" w:hAnsi="Book Antiqua"/>
          <w:b/>
        </w:rPr>
        <w:t xml:space="preserve"> </w:t>
      </w:r>
      <w:r w:rsidRPr="009C07F9">
        <w:rPr>
          <w:rFonts w:ascii="Book Antiqua" w:hAnsi="Book Antiqua"/>
          <w:b/>
        </w:rPr>
        <w:t>principal findings from Bergman’s</w:t>
      </w:r>
      <w:r w:rsidR="00C56903">
        <w:rPr>
          <w:rFonts w:ascii="Book Antiqua" w:hAnsi="Book Antiqua"/>
          <w:b/>
        </w:rPr>
        <w:t xml:space="preserve"> </w:t>
      </w:r>
      <w:r w:rsidRPr="009C07F9">
        <w:rPr>
          <w:rFonts w:ascii="Book Antiqua" w:hAnsi="Book Antiqua"/>
          <w:b/>
        </w:rPr>
        <w:t xml:space="preserve">review on the </w:t>
      </w:r>
      <w:r w:rsidR="001B4FCF">
        <w:rPr>
          <w:rFonts w:ascii="Book Antiqua" w:eastAsia="Book Antiqua" w:hAnsi="Book Antiqua" w:cs="Book Antiqua"/>
          <w:b/>
          <w:color w:val="000000"/>
        </w:rPr>
        <w:t>F</w:t>
      </w:r>
      <w:r w:rsidR="001B4FCF" w:rsidRPr="007B770B">
        <w:rPr>
          <w:rFonts w:ascii="Book Antiqua" w:eastAsia="Book Antiqua" w:hAnsi="Book Antiqua" w:cs="Book Antiqua"/>
          <w:b/>
          <w:color w:val="000000"/>
        </w:rPr>
        <w:t xml:space="preserve">ood </w:t>
      </w:r>
      <w:r w:rsidR="009C07F9" w:rsidRPr="007B770B">
        <w:rPr>
          <w:rFonts w:ascii="Book Antiqua" w:eastAsia="Book Antiqua" w:hAnsi="Book Antiqua" w:cs="Book Antiqua"/>
          <w:b/>
          <w:color w:val="000000"/>
        </w:rPr>
        <w:t xml:space="preserve">and </w:t>
      </w:r>
      <w:r w:rsidR="001B4FCF">
        <w:rPr>
          <w:rFonts w:ascii="Book Antiqua" w:eastAsia="Book Antiqua" w:hAnsi="Book Antiqua" w:cs="Book Antiqua"/>
          <w:b/>
          <w:color w:val="000000"/>
        </w:rPr>
        <w:t>D</w:t>
      </w:r>
      <w:r w:rsidR="001B4FCF" w:rsidRPr="007B770B">
        <w:rPr>
          <w:rFonts w:ascii="Book Antiqua" w:eastAsia="Book Antiqua" w:hAnsi="Book Antiqua" w:cs="Book Antiqua"/>
          <w:b/>
          <w:color w:val="000000"/>
        </w:rPr>
        <w:t xml:space="preserve">rug </w:t>
      </w:r>
      <w:r w:rsidR="001B4FCF">
        <w:rPr>
          <w:rFonts w:ascii="Book Antiqua" w:eastAsia="Book Antiqua" w:hAnsi="Book Antiqua" w:cs="Book Antiqua"/>
          <w:b/>
          <w:color w:val="000000"/>
        </w:rPr>
        <w:t>A</w:t>
      </w:r>
      <w:r w:rsidR="001B4FCF" w:rsidRPr="007B770B">
        <w:rPr>
          <w:rFonts w:ascii="Book Antiqua" w:eastAsia="Book Antiqua" w:hAnsi="Book Antiqua" w:cs="Book Antiqua"/>
          <w:b/>
          <w:color w:val="000000"/>
        </w:rPr>
        <w:t>dministration</w:t>
      </w:r>
      <w:r w:rsidR="00C56903">
        <w:rPr>
          <w:rFonts w:ascii="Book Antiqua" w:eastAsia="Book Antiqua" w:hAnsi="Book Antiqua" w:cs="Book Antiqua"/>
          <w:b/>
          <w:color w:val="000000"/>
        </w:rPr>
        <w:t xml:space="preserve"> </w:t>
      </w:r>
      <w:r w:rsidRPr="009C07F9">
        <w:rPr>
          <w:rFonts w:ascii="Book Antiqua" w:hAnsi="Book Antiqua"/>
          <w:b/>
        </w:rPr>
        <w:t>website</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3501"/>
        <w:gridCol w:w="2015"/>
        <w:gridCol w:w="1762"/>
      </w:tblGrid>
      <w:tr w:rsidR="00381814" w:rsidRPr="00E5667A" w14:paraId="2212EB4E" w14:textId="77777777" w:rsidTr="001405EF">
        <w:tc>
          <w:tcPr>
            <w:tcW w:w="1200" w:type="pct"/>
            <w:tcBorders>
              <w:top w:val="single" w:sz="4" w:space="0" w:color="auto"/>
              <w:bottom w:val="single" w:sz="4" w:space="0" w:color="auto"/>
            </w:tcBorders>
          </w:tcPr>
          <w:p w14:paraId="5DE21F34" w14:textId="2AF3C763" w:rsidR="00381814" w:rsidRPr="004A0B20" w:rsidRDefault="001B4FCF" w:rsidP="001B4FCF">
            <w:pPr>
              <w:adjustRightInd w:val="0"/>
              <w:snapToGrid w:val="0"/>
              <w:spacing w:line="360" w:lineRule="auto"/>
              <w:jc w:val="both"/>
              <w:rPr>
                <w:rFonts w:ascii="Book Antiqua" w:hAnsi="Book Antiqua" w:cs="Times New Roman"/>
                <w:b/>
                <w:highlight w:val="yellow"/>
              </w:rPr>
            </w:pPr>
            <w:r>
              <w:rPr>
                <w:rFonts w:ascii="Book Antiqua" w:hAnsi="Book Antiqua" w:cs="Times New Roman"/>
                <w:b/>
              </w:rPr>
              <w:t>R</w:t>
            </w:r>
            <w:r w:rsidR="00A11C5C" w:rsidRPr="004A0B20">
              <w:rPr>
                <w:rFonts w:ascii="Book Antiqua" w:hAnsi="Book Antiqua" w:cs="Times New Roman"/>
                <w:b/>
              </w:rPr>
              <w:t>esearch project in Bergman’s review</w:t>
            </w:r>
          </w:p>
        </w:tc>
        <w:tc>
          <w:tcPr>
            <w:tcW w:w="1828" w:type="pct"/>
            <w:tcBorders>
              <w:top w:val="single" w:sz="4" w:space="0" w:color="auto"/>
              <w:bottom w:val="single" w:sz="4" w:space="0" w:color="auto"/>
            </w:tcBorders>
          </w:tcPr>
          <w:p w14:paraId="46D3F3F1" w14:textId="6534E885" w:rsidR="00381814" w:rsidRPr="003E7BE4" w:rsidRDefault="001B4FCF" w:rsidP="00E5667A">
            <w:pPr>
              <w:adjustRightInd w:val="0"/>
              <w:snapToGrid w:val="0"/>
              <w:spacing w:line="360" w:lineRule="auto"/>
              <w:jc w:val="both"/>
              <w:rPr>
                <w:rFonts w:ascii="Book Antiqua" w:hAnsi="Book Antiqua" w:cs="Times New Roman"/>
                <w:b/>
              </w:rPr>
            </w:pPr>
            <w:r>
              <w:rPr>
                <w:rFonts w:ascii="Book Antiqua" w:hAnsi="Book Antiqua" w:cs="Times New Roman"/>
                <w:b/>
              </w:rPr>
              <w:t>C</w:t>
            </w:r>
            <w:r w:rsidR="00A11C5C" w:rsidRPr="003E7BE4">
              <w:rPr>
                <w:rFonts w:ascii="Book Antiqua" w:hAnsi="Book Antiqua" w:cs="Times New Roman"/>
                <w:b/>
              </w:rPr>
              <w:t>ontent of research project</w:t>
            </w:r>
          </w:p>
        </w:tc>
        <w:tc>
          <w:tcPr>
            <w:tcW w:w="1052" w:type="pct"/>
            <w:tcBorders>
              <w:top w:val="single" w:sz="4" w:space="0" w:color="auto"/>
              <w:bottom w:val="single" w:sz="4" w:space="0" w:color="auto"/>
            </w:tcBorders>
          </w:tcPr>
          <w:p w14:paraId="4C424D86" w14:textId="77777777" w:rsidR="00381814" w:rsidRPr="003E7BE4" w:rsidRDefault="00A11C5C" w:rsidP="00E5667A">
            <w:pPr>
              <w:adjustRightInd w:val="0"/>
              <w:snapToGrid w:val="0"/>
              <w:spacing w:line="360" w:lineRule="auto"/>
              <w:jc w:val="both"/>
              <w:rPr>
                <w:rFonts w:ascii="Book Antiqua" w:hAnsi="Book Antiqua" w:cs="Times New Roman"/>
                <w:b/>
              </w:rPr>
            </w:pPr>
            <w:r w:rsidRPr="003E7BE4">
              <w:rPr>
                <w:rFonts w:ascii="Book Antiqua" w:hAnsi="Book Antiqua" w:cs="Times New Roman"/>
                <w:b/>
              </w:rPr>
              <w:t>Registration number of clinic studies</w:t>
            </w:r>
          </w:p>
        </w:tc>
        <w:tc>
          <w:tcPr>
            <w:tcW w:w="920" w:type="pct"/>
            <w:tcBorders>
              <w:top w:val="single" w:sz="4" w:space="0" w:color="auto"/>
              <w:bottom w:val="single" w:sz="4" w:space="0" w:color="auto"/>
            </w:tcBorders>
          </w:tcPr>
          <w:p w14:paraId="26A4F9E1" w14:textId="77777777" w:rsidR="00DD2B45" w:rsidRPr="003E7BE4" w:rsidRDefault="00A11C5C" w:rsidP="00E5667A">
            <w:pPr>
              <w:adjustRightInd w:val="0"/>
              <w:snapToGrid w:val="0"/>
              <w:spacing w:line="360" w:lineRule="auto"/>
              <w:jc w:val="both"/>
              <w:rPr>
                <w:rFonts w:ascii="Book Antiqua" w:hAnsi="Book Antiqua" w:cs="Times New Roman"/>
                <w:b/>
              </w:rPr>
            </w:pPr>
            <w:r w:rsidRPr="003E7BE4">
              <w:rPr>
                <w:rFonts w:ascii="Book Antiqua" w:hAnsi="Book Antiqua" w:cs="Times New Roman"/>
                <w:b/>
              </w:rPr>
              <w:t>Page in Bergman’s review</w:t>
            </w:r>
          </w:p>
        </w:tc>
      </w:tr>
      <w:tr w:rsidR="00381814" w:rsidRPr="00E5667A" w14:paraId="7CFE9A13" w14:textId="77777777" w:rsidTr="001405EF">
        <w:tc>
          <w:tcPr>
            <w:tcW w:w="1200" w:type="pct"/>
            <w:tcBorders>
              <w:top w:val="single" w:sz="4" w:space="0" w:color="auto"/>
            </w:tcBorders>
          </w:tcPr>
          <w:p w14:paraId="4AD9DC83" w14:textId="77777777" w:rsidR="00381814" w:rsidRPr="00456EE4" w:rsidRDefault="00456EE4" w:rsidP="00E5667A">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a</w:t>
            </w:r>
            <w:r>
              <w:rPr>
                <w:rFonts w:ascii="Book Antiqua" w:hAnsi="Book Antiqua" w:cs="Times New Roman"/>
              </w:rPr>
              <w:t>)</w:t>
            </w:r>
            <w:r w:rsidR="00A11C5C" w:rsidRPr="00456EE4">
              <w:rPr>
                <w:rFonts w:ascii="Book Antiqua" w:hAnsi="Book Antiqua" w:cs="Times New Roman"/>
              </w:rPr>
              <w:t xml:space="preserve"> Treatment of emergent adverse events</w:t>
            </w:r>
          </w:p>
        </w:tc>
        <w:tc>
          <w:tcPr>
            <w:tcW w:w="1828" w:type="pct"/>
            <w:tcBorders>
              <w:top w:val="single" w:sz="4" w:space="0" w:color="auto"/>
            </w:tcBorders>
          </w:tcPr>
          <w:p w14:paraId="22ED6AE1" w14:textId="742CA14B"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 xml:space="preserve">Treatment of emergent adverse events in the clinical studies </w:t>
            </w:r>
            <w:r w:rsidR="001B4FCF">
              <w:rPr>
                <w:rFonts w:ascii="Book Antiqua" w:hAnsi="Book Antiqua" w:cs="Times New Roman"/>
              </w:rPr>
              <w:t>in which</w:t>
            </w:r>
            <w:r w:rsidR="00C56903">
              <w:rPr>
                <w:rFonts w:ascii="Book Antiqua" w:hAnsi="Book Antiqua" w:cs="Times New Roman"/>
              </w:rPr>
              <w:t xml:space="preserve"> </w:t>
            </w:r>
            <w:r w:rsidRPr="003E7BE4">
              <w:rPr>
                <w:rFonts w:ascii="Book Antiqua" w:hAnsi="Book Antiqua" w:cs="Times New Roman"/>
              </w:rPr>
              <w:t>entecavir doses from 0.5 to 40 mg</w:t>
            </w:r>
            <w:r w:rsidR="00FA320F" w:rsidRPr="00E5667A">
              <w:rPr>
                <w:rFonts w:ascii="Book Antiqua" w:hAnsi="Book Antiqua" w:cs="Times New Roman"/>
              </w:rPr>
              <w:t>/d</w:t>
            </w:r>
            <w:r w:rsidRPr="003E7BE4">
              <w:rPr>
                <w:rFonts w:ascii="Book Antiqua" w:hAnsi="Book Antiqua" w:cs="Times New Roman"/>
              </w:rPr>
              <w:t xml:space="preserve"> were used to select the pivotal doses of entecavir</w:t>
            </w:r>
          </w:p>
        </w:tc>
        <w:tc>
          <w:tcPr>
            <w:tcW w:w="1052" w:type="pct"/>
            <w:tcBorders>
              <w:top w:val="single" w:sz="4" w:space="0" w:color="auto"/>
            </w:tcBorders>
          </w:tcPr>
          <w:p w14:paraId="0929F2B0"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 1463004, A1463005</w:t>
            </w:r>
          </w:p>
        </w:tc>
        <w:tc>
          <w:tcPr>
            <w:tcW w:w="920" w:type="pct"/>
            <w:tcBorders>
              <w:top w:val="single" w:sz="4" w:space="0" w:color="auto"/>
            </w:tcBorders>
          </w:tcPr>
          <w:p w14:paraId="294FFF37" w14:textId="6F34A025"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17</w:t>
            </w:r>
            <w:r w:rsidR="001B4FCF">
              <w:rPr>
                <w:rFonts w:ascii="Book Antiqua" w:hAnsi="Book Antiqua" w:cs="Times New Roman"/>
              </w:rPr>
              <w:t xml:space="preserve"> and</w:t>
            </w:r>
            <w:r w:rsidRPr="003E7BE4">
              <w:rPr>
                <w:rFonts w:ascii="Book Antiqua" w:hAnsi="Book Antiqua" w:cs="Times New Roman"/>
              </w:rPr>
              <w:t>18</w:t>
            </w:r>
          </w:p>
        </w:tc>
      </w:tr>
      <w:tr w:rsidR="00381814" w:rsidRPr="00E5667A" w14:paraId="5FD93B95" w14:textId="77777777" w:rsidTr="00CB1DE1">
        <w:trPr>
          <w:trHeight w:val="2352"/>
        </w:trPr>
        <w:tc>
          <w:tcPr>
            <w:tcW w:w="1200" w:type="pct"/>
          </w:tcPr>
          <w:p w14:paraId="4E69B47A" w14:textId="77777777" w:rsidR="00381814" w:rsidRPr="00456EE4" w:rsidRDefault="00456EE4" w:rsidP="00E5667A">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b</w:t>
            </w:r>
            <w:r>
              <w:rPr>
                <w:rFonts w:ascii="Book Antiqua" w:hAnsi="Book Antiqua" w:cs="Times New Roman"/>
              </w:rPr>
              <w:t>)</w:t>
            </w:r>
            <w:r w:rsidR="00A11C5C" w:rsidRPr="00456EE4">
              <w:rPr>
                <w:rFonts w:ascii="Book Antiqua" w:hAnsi="Book Antiqua" w:cs="Times New Roman"/>
              </w:rPr>
              <w:t xml:space="preserve"> Entecavir 0.5 and 1.0 mg</w:t>
            </w:r>
            <w:r w:rsidR="00FA320F" w:rsidRPr="00456EE4">
              <w:rPr>
                <w:rFonts w:ascii="Book Antiqua" w:hAnsi="Book Antiqua" w:cs="Times New Roman"/>
              </w:rPr>
              <w:t>/d</w:t>
            </w:r>
            <w:r w:rsidR="00A11C5C" w:rsidRPr="00456EE4">
              <w:rPr>
                <w:rFonts w:ascii="Book Antiqua" w:hAnsi="Book Antiqua" w:cs="Times New Roman"/>
              </w:rPr>
              <w:t xml:space="preserve"> for current treatment</w:t>
            </w:r>
          </w:p>
        </w:tc>
        <w:tc>
          <w:tcPr>
            <w:tcW w:w="1828" w:type="pct"/>
          </w:tcPr>
          <w:p w14:paraId="483D839D" w14:textId="413520BD" w:rsidR="00DD2B45"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The dose and dose regimen</w:t>
            </w:r>
            <w:r w:rsidR="00C56903">
              <w:rPr>
                <w:rFonts w:ascii="Book Antiqua" w:hAnsi="Book Antiqua" w:cs="Times New Roman"/>
              </w:rPr>
              <w:t xml:space="preserve"> </w:t>
            </w:r>
            <w:r w:rsidRPr="003E7BE4">
              <w:rPr>
                <w:rFonts w:ascii="Book Antiqua" w:hAnsi="Book Antiqua" w:cs="Times New Roman"/>
              </w:rPr>
              <w:t>of</w:t>
            </w:r>
            <w:r w:rsidR="00C56903">
              <w:rPr>
                <w:rFonts w:ascii="Book Antiqua" w:hAnsi="Book Antiqua" w:cs="Times New Roman"/>
              </w:rPr>
              <w:t xml:space="preserve"> </w:t>
            </w:r>
            <w:r w:rsidRPr="003E7BE4">
              <w:rPr>
                <w:rFonts w:ascii="Book Antiqua" w:hAnsi="Book Antiqua" w:cs="Times New Roman"/>
              </w:rPr>
              <w:t>0.5</w:t>
            </w:r>
            <w:r w:rsidR="00C56903">
              <w:rPr>
                <w:rFonts w:ascii="Book Antiqua" w:hAnsi="Book Antiqua" w:cs="Times New Roman"/>
              </w:rPr>
              <w:t xml:space="preserve"> </w:t>
            </w:r>
            <w:r w:rsidRPr="003E7BE4">
              <w:rPr>
                <w:rFonts w:ascii="Book Antiqua" w:hAnsi="Book Antiqua" w:cs="Times New Roman"/>
              </w:rPr>
              <w:t>mg</w:t>
            </w:r>
            <w:r w:rsidR="00FA320F" w:rsidRPr="00E5667A">
              <w:rPr>
                <w:rFonts w:ascii="Book Antiqua" w:hAnsi="Book Antiqua" w:cs="Times New Roman"/>
              </w:rPr>
              <w:t>/d</w:t>
            </w:r>
            <w:r w:rsidRPr="003E7BE4">
              <w:rPr>
                <w:rFonts w:ascii="Book Antiqua" w:hAnsi="Book Antiqua" w:cs="Times New Roman"/>
              </w:rPr>
              <w:t xml:space="preserve"> for NA naïve patient</w:t>
            </w:r>
            <w:r w:rsidR="001B4FCF">
              <w:rPr>
                <w:rFonts w:ascii="Book Antiqua" w:hAnsi="Book Antiqua" w:cs="Times New Roman"/>
              </w:rPr>
              <w:t>s</w:t>
            </w:r>
            <w:r w:rsidRPr="003E7BE4">
              <w:rPr>
                <w:rFonts w:ascii="Book Antiqua" w:hAnsi="Book Antiqua" w:cs="Times New Roman"/>
              </w:rPr>
              <w:t xml:space="preserve"> and 1</w:t>
            </w:r>
            <w:r w:rsidR="00C56903">
              <w:rPr>
                <w:rFonts w:ascii="Book Antiqua" w:hAnsi="Book Antiqua" w:cs="Times New Roman"/>
              </w:rPr>
              <w:t xml:space="preserve"> </w:t>
            </w:r>
            <w:r w:rsidRPr="003E7BE4">
              <w:rPr>
                <w:rFonts w:ascii="Book Antiqua" w:hAnsi="Book Antiqua" w:cs="Times New Roman"/>
              </w:rPr>
              <w:t>mg</w:t>
            </w:r>
            <w:r w:rsidR="00FA320F" w:rsidRPr="00E5667A">
              <w:rPr>
                <w:rFonts w:ascii="Book Antiqua" w:hAnsi="Book Antiqua" w:cs="Times New Roman"/>
              </w:rPr>
              <w:t>/d</w:t>
            </w:r>
            <w:r w:rsidRPr="003E7BE4">
              <w:rPr>
                <w:rFonts w:ascii="Book Antiqua" w:hAnsi="Book Antiqua" w:cs="Times New Roman"/>
              </w:rPr>
              <w:t xml:space="preserve"> for lamivudine</w:t>
            </w:r>
            <w:r w:rsidR="00C56903">
              <w:rPr>
                <w:rFonts w:ascii="Book Antiqua" w:hAnsi="Book Antiqua" w:cs="Times New Roman"/>
              </w:rPr>
              <w:t xml:space="preserve"> </w:t>
            </w:r>
            <w:r w:rsidRPr="003E7BE4">
              <w:rPr>
                <w:rFonts w:ascii="Book Antiqua" w:hAnsi="Book Antiqua" w:cs="Times New Roman"/>
              </w:rPr>
              <w:t>refractory patient</w:t>
            </w:r>
            <w:r w:rsidR="001B4FCF">
              <w:rPr>
                <w:rFonts w:ascii="Book Antiqua" w:hAnsi="Book Antiqua" w:cs="Times New Roman"/>
              </w:rPr>
              <w:t>s</w:t>
            </w:r>
            <w:r w:rsidRPr="003E7BE4">
              <w:rPr>
                <w:rFonts w:ascii="Book Antiqua" w:hAnsi="Book Antiqua" w:cs="Times New Roman"/>
              </w:rPr>
              <w:t xml:space="preserve"> were determined to treat CHB</w:t>
            </w:r>
          </w:p>
        </w:tc>
        <w:tc>
          <w:tcPr>
            <w:tcW w:w="1052" w:type="pct"/>
          </w:tcPr>
          <w:p w14:paraId="7AEEE8F6"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A1463002, A1463005, A1463014, A1463022, A1463027</w:t>
            </w:r>
          </w:p>
        </w:tc>
        <w:tc>
          <w:tcPr>
            <w:tcW w:w="920" w:type="pct"/>
          </w:tcPr>
          <w:p w14:paraId="3A6C17C9" w14:textId="3C23A89F"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23</w:t>
            </w:r>
            <w:r w:rsidR="001B4FCF">
              <w:rPr>
                <w:rFonts w:ascii="Book Antiqua" w:hAnsi="Book Antiqua" w:cs="Times New Roman"/>
              </w:rPr>
              <w:t xml:space="preserve"> and </w:t>
            </w:r>
            <w:r w:rsidRPr="003E7BE4">
              <w:rPr>
                <w:rFonts w:ascii="Book Antiqua" w:hAnsi="Book Antiqua" w:cs="Times New Roman"/>
              </w:rPr>
              <w:t>24</w:t>
            </w:r>
          </w:p>
        </w:tc>
      </w:tr>
      <w:tr w:rsidR="00381814" w:rsidRPr="00E5667A" w14:paraId="6D3F79FD" w14:textId="77777777" w:rsidTr="00CB1DE1">
        <w:trPr>
          <w:trHeight w:val="1988"/>
        </w:trPr>
        <w:tc>
          <w:tcPr>
            <w:tcW w:w="1200" w:type="pct"/>
          </w:tcPr>
          <w:p w14:paraId="2BCF9A7F" w14:textId="77777777" w:rsidR="00381814" w:rsidRPr="00456EE4" w:rsidRDefault="00456EE4" w:rsidP="00E5667A">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c</w:t>
            </w:r>
            <w:r>
              <w:rPr>
                <w:rFonts w:ascii="Book Antiqua" w:hAnsi="Book Antiqua" w:cs="Times New Roman"/>
              </w:rPr>
              <w:t>)</w:t>
            </w:r>
            <w:r w:rsidR="00A11C5C" w:rsidRPr="00456EE4">
              <w:rPr>
                <w:rFonts w:ascii="Book Antiqua" w:hAnsi="Book Antiqua" w:cs="Times New Roman"/>
              </w:rPr>
              <w:t xml:space="preserve"> Exposure-response: HBV DNA changes for 0.1 up to 1.0 mg</w:t>
            </w:r>
            <w:r w:rsidR="00FA320F" w:rsidRPr="00456EE4">
              <w:rPr>
                <w:rFonts w:ascii="Book Antiqua" w:hAnsi="Book Antiqua" w:cs="Times New Roman"/>
              </w:rPr>
              <w:t>/d</w:t>
            </w:r>
          </w:p>
        </w:tc>
        <w:tc>
          <w:tcPr>
            <w:tcW w:w="1828" w:type="pct"/>
          </w:tcPr>
          <w:p w14:paraId="5666CC08" w14:textId="487CC9A5"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HBV DNA changes for 0.1, 0.5, and 1.0 mg</w:t>
            </w:r>
            <w:r w:rsidR="00FA320F" w:rsidRPr="00E5667A">
              <w:rPr>
                <w:rFonts w:ascii="Book Antiqua" w:hAnsi="Book Antiqua" w:cs="Times New Roman"/>
              </w:rPr>
              <w:t>/d</w:t>
            </w:r>
            <w:r w:rsidRPr="003E7BE4">
              <w:rPr>
                <w:rFonts w:ascii="Book Antiqua" w:hAnsi="Book Antiqua" w:cs="Times New Roman"/>
              </w:rPr>
              <w:t xml:space="preserve"> were reported</w:t>
            </w:r>
          </w:p>
        </w:tc>
        <w:tc>
          <w:tcPr>
            <w:tcW w:w="1052" w:type="pct"/>
          </w:tcPr>
          <w:p w14:paraId="40AE3D33"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A1463004, A143005, A1463014, A1463017</w:t>
            </w:r>
          </w:p>
        </w:tc>
        <w:tc>
          <w:tcPr>
            <w:tcW w:w="920" w:type="pct"/>
          </w:tcPr>
          <w:p w14:paraId="776EB5C0" w14:textId="7650AD15" w:rsidR="00381814" w:rsidRPr="003E7BE4" w:rsidRDefault="00A11C5C" w:rsidP="001B4FCF">
            <w:pPr>
              <w:adjustRightInd w:val="0"/>
              <w:snapToGrid w:val="0"/>
              <w:spacing w:line="360" w:lineRule="auto"/>
              <w:jc w:val="both"/>
              <w:rPr>
                <w:rFonts w:ascii="Book Antiqua" w:hAnsi="Book Antiqua" w:cs="Times New Roman"/>
                <w:b/>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11</w:t>
            </w:r>
            <w:r w:rsidR="001B4FCF">
              <w:rPr>
                <w:rFonts w:ascii="Book Antiqua" w:hAnsi="Book Antiqua" w:cs="Times New Roman"/>
              </w:rPr>
              <w:t>-</w:t>
            </w:r>
            <w:r w:rsidRPr="003E7BE4">
              <w:rPr>
                <w:rFonts w:ascii="Book Antiqua" w:hAnsi="Book Antiqua" w:cs="Times New Roman"/>
              </w:rPr>
              <w:t xml:space="preserve">17 </w:t>
            </w:r>
          </w:p>
        </w:tc>
      </w:tr>
      <w:tr w:rsidR="00381814" w:rsidRPr="00E5667A" w14:paraId="79979CC3" w14:textId="77777777" w:rsidTr="001405EF">
        <w:tc>
          <w:tcPr>
            <w:tcW w:w="1200" w:type="pct"/>
          </w:tcPr>
          <w:p w14:paraId="3737C6D6" w14:textId="17B0BEE2" w:rsidR="00381814" w:rsidRPr="00456EE4" w:rsidRDefault="00456EE4" w:rsidP="00E5667A">
            <w:pPr>
              <w:adjustRightInd w:val="0"/>
              <w:snapToGrid w:val="0"/>
              <w:spacing w:line="360" w:lineRule="auto"/>
              <w:ind w:left="120" w:hangingChars="50" w:hanging="120"/>
              <w:jc w:val="both"/>
              <w:rPr>
                <w:rFonts w:ascii="Book Antiqua" w:hAnsi="Book Antiqua" w:cs="Times New Roman"/>
                <w:kern w:val="0"/>
              </w:rPr>
            </w:pPr>
            <w:r>
              <w:rPr>
                <w:rFonts w:ascii="Book Antiqua" w:hAnsi="Book Antiqua" w:cs="Times New Roman"/>
              </w:rPr>
              <w:t>(</w:t>
            </w:r>
            <w:r w:rsidR="00A11C5C" w:rsidRPr="00456EE4">
              <w:rPr>
                <w:rFonts w:ascii="Book Antiqua" w:hAnsi="Book Antiqua" w:cs="Times New Roman"/>
              </w:rPr>
              <w:t>d</w:t>
            </w:r>
            <w:r>
              <w:rPr>
                <w:rFonts w:ascii="Book Antiqua" w:hAnsi="Book Antiqua" w:cs="Times New Roman"/>
              </w:rPr>
              <w:t>)</w:t>
            </w:r>
            <w:r w:rsidR="00C56903">
              <w:rPr>
                <w:rFonts w:ascii="Book Antiqua" w:hAnsi="Book Antiqua" w:cs="Times New Roman"/>
              </w:rPr>
              <w:t xml:space="preserve"> </w:t>
            </w:r>
            <w:r w:rsidR="00A11C5C" w:rsidRPr="00456EE4">
              <w:rPr>
                <w:rFonts w:ascii="Book Antiqua" w:hAnsi="Book Antiqua" w:cs="Times New Roman"/>
              </w:rPr>
              <w:t>Pharmacokinetics of multiple doses</w:t>
            </w:r>
          </w:p>
        </w:tc>
        <w:tc>
          <w:tcPr>
            <w:tcW w:w="1828" w:type="pct"/>
          </w:tcPr>
          <w:p w14:paraId="71D3D72E"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Entecavir multiple dose pharmacokinetic parameters from 0.5 to 20 mg</w:t>
            </w:r>
            <w:r w:rsidR="00FA320F" w:rsidRPr="00E5667A">
              <w:rPr>
                <w:rFonts w:ascii="Book Antiqua" w:hAnsi="Book Antiqua" w:cs="Times New Roman"/>
              </w:rPr>
              <w:t>/d</w:t>
            </w:r>
            <w:r w:rsidRPr="003E7BE4">
              <w:rPr>
                <w:rFonts w:ascii="Book Antiqua" w:hAnsi="Book Antiqua" w:cs="Times New Roman"/>
              </w:rPr>
              <w:t xml:space="preserve"> were presented</w:t>
            </w:r>
          </w:p>
        </w:tc>
        <w:tc>
          <w:tcPr>
            <w:tcW w:w="1052" w:type="pct"/>
          </w:tcPr>
          <w:p w14:paraId="66F2FEF0" w14:textId="77777777" w:rsidR="00381814" w:rsidRPr="003E7BE4" w:rsidRDefault="00A11C5C" w:rsidP="00E5667A">
            <w:pPr>
              <w:adjustRightInd w:val="0"/>
              <w:snapToGrid w:val="0"/>
              <w:spacing w:line="360" w:lineRule="auto"/>
              <w:jc w:val="both"/>
              <w:rPr>
                <w:rFonts w:ascii="Book Antiqua" w:hAnsi="Book Antiqua" w:cs="Times New Roman"/>
                <w:kern w:val="0"/>
              </w:rPr>
            </w:pPr>
            <w:r w:rsidRPr="003E7BE4">
              <w:rPr>
                <w:rFonts w:ascii="Book Antiqua" w:hAnsi="Book Antiqua" w:cs="Times New Roman"/>
              </w:rPr>
              <w:t>A1463002, A1463033</w:t>
            </w:r>
          </w:p>
        </w:tc>
        <w:tc>
          <w:tcPr>
            <w:tcW w:w="920" w:type="pct"/>
          </w:tcPr>
          <w:p w14:paraId="132B2784"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Page 25</w:t>
            </w:r>
          </w:p>
        </w:tc>
      </w:tr>
      <w:tr w:rsidR="00381814" w:rsidRPr="00E5667A" w14:paraId="61826A1C" w14:textId="77777777" w:rsidTr="00CB1DE1">
        <w:trPr>
          <w:trHeight w:val="709"/>
        </w:trPr>
        <w:tc>
          <w:tcPr>
            <w:tcW w:w="1200" w:type="pct"/>
          </w:tcPr>
          <w:p w14:paraId="4865CC51" w14:textId="4754B501" w:rsidR="00381814" w:rsidRPr="00456EE4" w:rsidRDefault="00456EE4" w:rsidP="001B4FCF">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e</w:t>
            </w:r>
            <w:r>
              <w:rPr>
                <w:rFonts w:ascii="Book Antiqua" w:hAnsi="Book Antiqua" w:cs="Times New Roman"/>
              </w:rPr>
              <w:t>)</w:t>
            </w:r>
            <w:r w:rsidR="00C56903">
              <w:rPr>
                <w:rFonts w:ascii="Book Antiqua" w:hAnsi="Book Antiqua" w:cs="Times New Roman"/>
              </w:rPr>
              <w:t xml:space="preserve"> </w:t>
            </w:r>
            <w:r w:rsidR="001B4FCF">
              <w:rPr>
                <w:rFonts w:ascii="Book Antiqua" w:hAnsi="Book Antiqua" w:cs="Times New Roman"/>
              </w:rPr>
              <w:t>O</w:t>
            </w:r>
            <w:r w:rsidR="00A11C5C" w:rsidRPr="00456EE4">
              <w:rPr>
                <w:rFonts w:ascii="Book Antiqua" w:hAnsi="Book Antiqua" w:cs="Times New Roman"/>
              </w:rPr>
              <w:t>verall incidence of adverse events for doses 0.5 and 1.0 mg</w:t>
            </w:r>
            <w:r w:rsidR="00FA320F" w:rsidRPr="00456EE4">
              <w:rPr>
                <w:rFonts w:ascii="Book Antiqua" w:hAnsi="Book Antiqua" w:cs="Times New Roman"/>
              </w:rPr>
              <w:t>/d</w:t>
            </w:r>
          </w:p>
        </w:tc>
        <w:tc>
          <w:tcPr>
            <w:tcW w:w="1828" w:type="pct"/>
          </w:tcPr>
          <w:p w14:paraId="045C136D" w14:textId="3D84D018"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No apparent dose-response relationship in the overall incidence of adverse events for doses of 0.5 and 1.0 mg</w:t>
            </w:r>
            <w:r w:rsidR="00FA320F" w:rsidRPr="00E5667A">
              <w:rPr>
                <w:rFonts w:ascii="Book Antiqua" w:hAnsi="Book Antiqua" w:cs="Times New Roman"/>
              </w:rPr>
              <w:t>/d</w:t>
            </w:r>
            <w:r w:rsidR="001B4FCF" w:rsidRPr="003E7BE4">
              <w:rPr>
                <w:rFonts w:ascii="Book Antiqua" w:hAnsi="Book Antiqua" w:cs="Times New Roman"/>
              </w:rPr>
              <w:t>w</w:t>
            </w:r>
            <w:r w:rsidR="001B4FCF">
              <w:rPr>
                <w:rFonts w:ascii="Book Antiqua" w:hAnsi="Book Antiqua" w:cs="Times New Roman"/>
              </w:rPr>
              <w:t>as</w:t>
            </w:r>
            <w:r w:rsidRPr="003E7BE4">
              <w:rPr>
                <w:rFonts w:ascii="Book Antiqua" w:hAnsi="Book Antiqua" w:cs="Times New Roman"/>
              </w:rPr>
              <w:t>found</w:t>
            </w:r>
          </w:p>
        </w:tc>
        <w:tc>
          <w:tcPr>
            <w:tcW w:w="1052" w:type="pct"/>
          </w:tcPr>
          <w:p w14:paraId="5B61E176"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 xml:space="preserve">A 1463004, A1463005, A1403014, </w:t>
            </w:r>
          </w:p>
        </w:tc>
        <w:tc>
          <w:tcPr>
            <w:tcW w:w="920" w:type="pct"/>
          </w:tcPr>
          <w:p w14:paraId="551353CB" w14:textId="6869A174"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18</w:t>
            </w:r>
            <w:r w:rsidR="001B4FCF">
              <w:rPr>
                <w:rFonts w:ascii="Book Antiqua" w:hAnsi="Book Antiqua" w:cs="Times New Roman"/>
              </w:rPr>
              <w:t xml:space="preserve"> and</w:t>
            </w:r>
            <w:r w:rsidR="00C56903">
              <w:rPr>
                <w:rFonts w:ascii="Book Antiqua" w:hAnsi="Book Antiqua" w:cs="Times New Roman"/>
              </w:rPr>
              <w:t xml:space="preserve"> </w:t>
            </w:r>
            <w:r w:rsidRPr="003E7BE4">
              <w:rPr>
                <w:rFonts w:ascii="Book Antiqua" w:hAnsi="Book Antiqua" w:cs="Times New Roman"/>
              </w:rPr>
              <w:t>19</w:t>
            </w:r>
          </w:p>
        </w:tc>
      </w:tr>
      <w:tr w:rsidR="00381814" w:rsidRPr="00E5667A" w14:paraId="799E03F5" w14:textId="77777777" w:rsidTr="001405EF">
        <w:tc>
          <w:tcPr>
            <w:tcW w:w="1200" w:type="pct"/>
          </w:tcPr>
          <w:p w14:paraId="632DAC6E" w14:textId="3B6AD0CB" w:rsidR="00381814" w:rsidRPr="00456EE4" w:rsidRDefault="00456EE4" w:rsidP="001B4FCF">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f</w:t>
            </w:r>
            <w:r>
              <w:rPr>
                <w:rFonts w:ascii="Book Antiqua" w:hAnsi="Book Antiqua" w:cs="Times New Roman"/>
              </w:rPr>
              <w:t>)</w:t>
            </w:r>
            <w:r w:rsidR="00C56903">
              <w:rPr>
                <w:rFonts w:ascii="Book Antiqua" w:hAnsi="Book Antiqua" w:cs="Times New Roman"/>
              </w:rPr>
              <w:t xml:space="preserve"> </w:t>
            </w:r>
            <w:r w:rsidR="001B4FCF">
              <w:rPr>
                <w:rFonts w:ascii="Book Antiqua" w:hAnsi="Book Antiqua" w:cs="Times New Roman"/>
              </w:rPr>
              <w:t>D</w:t>
            </w:r>
            <w:r w:rsidR="00A11C5C" w:rsidRPr="00456EE4">
              <w:rPr>
                <w:rFonts w:ascii="Book Antiqua" w:hAnsi="Book Antiqua" w:cs="Times New Roman"/>
              </w:rPr>
              <w:t>oses and adverse events for multiple dose therapy, 0.5 mg up to 20 mg</w:t>
            </w:r>
            <w:r w:rsidR="00FA320F" w:rsidRPr="00456EE4">
              <w:rPr>
                <w:rFonts w:ascii="Book Antiqua" w:hAnsi="Book Antiqua" w:cs="Times New Roman"/>
              </w:rPr>
              <w:t>/d</w:t>
            </w:r>
          </w:p>
        </w:tc>
        <w:tc>
          <w:tcPr>
            <w:tcW w:w="1828" w:type="pct"/>
          </w:tcPr>
          <w:p w14:paraId="6A3CE641" w14:textId="0BD8D836"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The dose and adverse events with entecavir multiple doses, 0.5 mg up to 20 mg daily</w:t>
            </w:r>
            <w:r w:rsidR="001B4FCF">
              <w:rPr>
                <w:rFonts w:ascii="Book Antiqua" w:hAnsi="Book Antiqua" w:cs="Times New Roman"/>
              </w:rPr>
              <w:t>,</w:t>
            </w:r>
            <w:r w:rsidRPr="003E7BE4">
              <w:rPr>
                <w:rFonts w:ascii="Book Antiqua" w:hAnsi="Book Antiqua" w:cs="Times New Roman"/>
              </w:rPr>
              <w:t xml:space="preserve"> were reported in nine clinical</w:t>
            </w:r>
            <w:r w:rsidR="00C56903">
              <w:rPr>
                <w:rFonts w:ascii="Book Antiqua" w:hAnsi="Book Antiqua" w:cs="Times New Roman"/>
              </w:rPr>
              <w:t xml:space="preserve"> </w:t>
            </w:r>
            <w:r w:rsidRPr="003E7BE4">
              <w:rPr>
                <w:rFonts w:ascii="Book Antiqua" w:hAnsi="Book Antiqua" w:cs="Times New Roman"/>
              </w:rPr>
              <w:t>trials</w:t>
            </w:r>
          </w:p>
        </w:tc>
        <w:tc>
          <w:tcPr>
            <w:tcW w:w="1052" w:type="pct"/>
          </w:tcPr>
          <w:p w14:paraId="3D5A33D7"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 1463001, A1463002, A1463003, A 1463004, A1463005, A1463010, A1463033, A1463034, A1463041</w:t>
            </w:r>
          </w:p>
        </w:tc>
        <w:tc>
          <w:tcPr>
            <w:tcW w:w="920" w:type="pct"/>
          </w:tcPr>
          <w:p w14:paraId="48838BFB" w14:textId="77777777" w:rsidR="00381814" w:rsidRPr="003E7BE4" w:rsidRDefault="00A11C5C" w:rsidP="00E5667A">
            <w:pPr>
              <w:adjustRightInd w:val="0"/>
              <w:snapToGrid w:val="0"/>
              <w:spacing w:line="360" w:lineRule="auto"/>
              <w:jc w:val="both"/>
              <w:rPr>
                <w:rFonts w:ascii="Book Antiqua" w:hAnsi="Book Antiqua" w:cs="Times New Roman"/>
                <w:b/>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17, 21,</w:t>
            </w:r>
            <w:r w:rsidR="001B4FCF">
              <w:rPr>
                <w:rFonts w:ascii="Book Antiqua" w:hAnsi="Book Antiqua" w:cs="Times New Roman"/>
              </w:rPr>
              <w:t xml:space="preserve"> and</w:t>
            </w:r>
            <w:r w:rsidRPr="003E7BE4">
              <w:rPr>
                <w:rFonts w:ascii="Book Antiqua" w:hAnsi="Book Antiqua" w:cs="Times New Roman"/>
              </w:rPr>
              <w:t xml:space="preserve"> 23</w:t>
            </w:r>
          </w:p>
        </w:tc>
      </w:tr>
      <w:tr w:rsidR="00381814" w:rsidRPr="00E5667A" w14:paraId="4DA5BD28" w14:textId="77777777" w:rsidTr="001405EF">
        <w:tc>
          <w:tcPr>
            <w:tcW w:w="1200" w:type="pct"/>
          </w:tcPr>
          <w:p w14:paraId="3E0ABDCC" w14:textId="77777777" w:rsidR="00381814" w:rsidRPr="00456EE4" w:rsidRDefault="00456EE4" w:rsidP="00E5667A">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g</w:t>
            </w:r>
            <w:r>
              <w:rPr>
                <w:rFonts w:ascii="Book Antiqua" w:hAnsi="Book Antiqua" w:cs="Times New Roman"/>
              </w:rPr>
              <w:t>)</w:t>
            </w:r>
            <w:r w:rsidR="00A11C5C" w:rsidRPr="00456EE4">
              <w:rPr>
                <w:rFonts w:ascii="Book Antiqua" w:hAnsi="Book Antiqua" w:cs="Times New Roman"/>
              </w:rPr>
              <w:t xml:space="preserve"> Cardiovascular safety</w:t>
            </w:r>
          </w:p>
        </w:tc>
        <w:tc>
          <w:tcPr>
            <w:tcW w:w="1828" w:type="pct"/>
          </w:tcPr>
          <w:p w14:paraId="3D201540"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 xml:space="preserve">The studies for cardiovascular safety included </w:t>
            </w:r>
            <w:r w:rsidR="00346B52" w:rsidRPr="00C56903">
              <w:rPr>
                <w:rFonts w:ascii="Book Antiqua" w:hAnsi="Book Antiqua"/>
                <w:i/>
              </w:rPr>
              <w:t>in vitro</w:t>
            </w:r>
            <w:r w:rsidRPr="003E7BE4">
              <w:rPr>
                <w:rFonts w:ascii="Book Antiqua" w:hAnsi="Book Antiqua" w:cs="Times New Roman"/>
              </w:rPr>
              <w:t xml:space="preserve"> investigations and six clinical studies, in which the safety of entecavir was assessed at doses of 0.5 mg/d to 20 mg/d and a single dose of 40 mg.</w:t>
            </w:r>
          </w:p>
        </w:tc>
        <w:tc>
          <w:tcPr>
            <w:tcW w:w="1052" w:type="pct"/>
          </w:tcPr>
          <w:p w14:paraId="12DBFF6F"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A1463001, A1463002, A1463010, A1463033, A1463034, A1463041</w:t>
            </w:r>
          </w:p>
        </w:tc>
        <w:tc>
          <w:tcPr>
            <w:tcW w:w="920" w:type="pct"/>
          </w:tcPr>
          <w:p w14:paraId="1CE30E3B" w14:textId="00077A14" w:rsidR="00381814" w:rsidRPr="003E7BE4" w:rsidRDefault="00A11C5C" w:rsidP="00C56903">
            <w:pPr>
              <w:adjustRightInd w:val="0"/>
              <w:snapToGrid w:val="0"/>
              <w:spacing w:line="360" w:lineRule="auto"/>
              <w:jc w:val="both"/>
              <w:rPr>
                <w:rFonts w:ascii="Book Antiqua" w:hAnsi="Book Antiqua" w:cs="Times New Roman"/>
                <w:b/>
              </w:rPr>
            </w:pPr>
            <w:r w:rsidRPr="003E7BE4">
              <w:rPr>
                <w:rFonts w:ascii="Book Antiqua" w:hAnsi="Book Antiqua" w:cs="Times New Roman"/>
              </w:rPr>
              <w:t>Page</w:t>
            </w:r>
            <w:r w:rsidR="00C56903">
              <w:rPr>
                <w:rFonts w:ascii="Book Antiqua" w:hAnsi="Book Antiqua" w:cs="Times New Roman"/>
              </w:rPr>
              <w:t>s</w:t>
            </w:r>
            <w:r w:rsidRPr="003E7BE4">
              <w:rPr>
                <w:rFonts w:ascii="Book Antiqua" w:hAnsi="Book Antiqua" w:cs="Times New Roman"/>
              </w:rPr>
              <w:t xml:space="preserve"> 21</w:t>
            </w:r>
            <w:r w:rsidR="00C56903">
              <w:rPr>
                <w:rFonts w:ascii="Book Antiqua" w:hAnsi="Book Antiqua" w:cs="Times New Roman"/>
              </w:rPr>
              <w:t xml:space="preserve"> and</w:t>
            </w:r>
            <w:r w:rsidRPr="003E7BE4">
              <w:rPr>
                <w:rFonts w:ascii="Book Antiqua" w:hAnsi="Book Antiqua" w:cs="Times New Roman"/>
              </w:rPr>
              <w:t xml:space="preserve"> 23</w:t>
            </w:r>
          </w:p>
        </w:tc>
      </w:tr>
    </w:tbl>
    <w:p w14:paraId="6A568B8F" w14:textId="77777777" w:rsidR="00CB1DE1" w:rsidRPr="007B770B" w:rsidRDefault="00CB1DE1" w:rsidP="00CB1DE1">
      <w:pPr>
        <w:adjustRightInd w:val="0"/>
        <w:snapToGrid w:val="0"/>
        <w:spacing w:line="360" w:lineRule="auto"/>
        <w:jc w:val="both"/>
        <w:rPr>
          <w:rFonts w:ascii="Book Antiqua" w:hAnsi="Book Antiqua"/>
          <w:lang w:eastAsia="zh-CN"/>
        </w:rPr>
      </w:pPr>
      <w:r w:rsidRPr="007B770B">
        <w:rPr>
          <w:rFonts w:ascii="Book Antiqua" w:hAnsi="Book Antiqua"/>
          <w:lang w:eastAsia="zh-CN"/>
        </w:rPr>
        <w:t xml:space="preserve">NA: </w:t>
      </w:r>
      <w:r w:rsidRPr="007B770B">
        <w:rPr>
          <w:rFonts w:ascii="Book Antiqua" w:eastAsia="Book Antiqua" w:hAnsi="Book Antiqua" w:cs="Book Antiqua"/>
          <w:color w:val="000000"/>
        </w:rPr>
        <w:t>Nucleos(t)ide analogs</w:t>
      </w:r>
      <w:r w:rsidRPr="007B770B">
        <w:rPr>
          <w:rFonts w:ascii="Book Antiqua" w:hAnsi="Book Antiqua"/>
          <w:lang w:eastAsia="zh-CN"/>
        </w:rPr>
        <w:t xml:space="preserve">; CHB: </w:t>
      </w:r>
      <w:r w:rsidRPr="007B770B">
        <w:rPr>
          <w:rFonts w:ascii="Book Antiqua" w:eastAsia="Book Antiqua" w:hAnsi="Book Antiqua" w:cs="Book Antiqua"/>
          <w:color w:val="000000"/>
        </w:rPr>
        <w:t>Chronic hepatitis B virus infection</w:t>
      </w:r>
      <w:r w:rsidRPr="007B770B">
        <w:rPr>
          <w:rFonts w:ascii="Book Antiqua" w:hAnsi="Book Antiqua"/>
          <w:lang w:eastAsia="zh-CN"/>
        </w:rPr>
        <w:t xml:space="preserve">; HBV: </w:t>
      </w:r>
      <w:r w:rsidRPr="007B770B">
        <w:rPr>
          <w:rFonts w:ascii="Book Antiqua" w:eastAsia="Book Antiqua" w:hAnsi="Book Antiqua" w:cs="Book Antiqua"/>
          <w:color w:val="000000"/>
        </w:rPr>
        <w:t>Hepatitis B virus</w:t>
      </w:r>
      <w:r w:rsidRPr="007B770B">
        <w:rPr>
          <w:rFonts w:ascii="Book Antiqua" w:hAnsi="Book Antiqua"/>
          <w:lang w:eastAsia="zh-CN"/>
        </w:rPr>
        <w:t>.</w:t>
      </w:r>
    </w:p>
    <w:p w14:paraId="1534D999" w14:textId="77777777" w:rsidR="00381814" w:rsidRPr="003E7BE4" w:rsidRDefault="00381814" w:rsidP="00E5667A">
      <w:pPr>
        <w:adjustRightInd w:val="0"/>
        <w:snapToGrid w:val="0"/>
        <w:spacing w:line="360" w:lineRule="auto"/>
        <w:jc w:val="both"/>
        <w:rPr>
          <w:rFonts w:ascii="Book Antiqua" w:hAnsi="Book Antiqua"/>
        </w:rPr>
      </w:pPr>
    </w:p>
    <w:p w14:paraId="278C8498" w14:textId="77777777" w:rsidR="007929C2" w:rsidRPr="007B770B" w:rsidRDefault="00A11C5C" w:rsidP="007929C2">
      <w:pPr>
        <w:adjustRightInd w:val="0"/>
        <w:snapToGrid w:val="0"/>
        <w:spacing w:line="360" w:lineRule="auto"/>
        <w:jc w:val="both"/>
        <w:rPr>
          <w:rFonts w:ascii="Book Antiqua" w:hAnsi="Book Antiqua"/>
          <w:b/>
        </w:rPr>
      </w:pPr>
      <w:r w:rsidRPr="003E7BE4">
        <w:rPr>
          <w:rFonts w:ascii="Book Antiqua" w:hAnsi="Book Antiqua"/>
          <w:color w:val="000000"/>
        </w:rPr>
        <w:br w:type="page"/>
      </w:r>
      <w:r w:rsidR="007929C2" w:rsidRPr="007B770B">
        <w:rPr>
          <w:rFonts w:ascii="Book Antiqua" w:hAnsi="Book Antiqua"/>
          <w:b/>
        </w:rPr>
        <w:t>Table 3 Pharmacokinetic parameters of entecavir multiple doses in Bergman’s review</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7929C2" w:rsidRPr="007B770B" w14:paraId="37FB5DAD" w14:textId="77777777" w:rsidTr="00C87515">
        <w:tc>
          <w:tcPr>
            <w:tcW w:w="1000" w:type="pct"/>
            <w:tcBorders>
              <w:top w:val="single" w:sz="4" w:space="0" w:color="auto"/>
              <w:bottom w:val="single" w:sz="4" w:space="0" w:color="auto"/>
            </w:tcBorders>
          </w:tcPr>
          <w:p w14:paraId="54C79608" w14:textId="77777777" w:rsidR="007929C2" w:rsidRPr="007B770B" w:rsidRDefault="00657A56" w:rsidP="00C87515">
            <w:pPr>
              <w:adjustRightInd w:val="0"/>
              <w:snapToGrid w:val="0"/>
              <w:spacing w:line="360" w:lineRule="auto"/>
              <w:jc w:val="both"/>
              <w:rPr>
                <w:rFonts w:ascii="Book Antiqua" w:hAnsi="Book Antiqua" w:cs="Times New Roman"/>
                <w:b/>
                <w:bCs/>
              </w:rPr>
            </w:pPr>
            <w:bookmarkStart w:id="19" w:name="_Hlk24711059"/>
            <w:r>
              <w:rPr>
                <w:rFonts w:ascii="Book Antiqua" w:hAnsi="Book Antiqua" w:cs="Times New Roman"/>
                <w:b/>
                <w:bCs/>
              </w:rPr>
              <w:t>Dose (mg/d</w:t>
            </w:r>
            <w:r w:rsidR="007929C2" w:rsidRPr="007B770B">
              <w:rPr>
                <w:rFonts w:ascii="Book Antiqua" w:hAnsi="Book Antiqua" w:cs="Times New Roman"/>
                <w:b/>
                <w:bCs/>
              </w:rPr>
              <w:t>)</w:t>
            </w:r>
          </w:p>
        </w:tc>
        <w:tc>
          <w:tcPr>
            <w:tcW w:w="1000" w:type="pct"/>
            <w:tcBorders>
              <w:top w:val="single" w:sz="4" w:space="0" w:color="auto"/>
              <w:bottom w:val="single" w:sz="4" w:space="0" w:color="auto"/>
            </w:tcBorders>
          </w:tcPr>
          <w:p w14:paraId="07D39072" w14:textId="77777777" w:rsidR="007929C2" w:rsidRPr="007B770B" w:rsidRDefault="007929C2" w:rsidP="00C87515">
            <w:pPr>
              <w:adjustRightInd w:val="0"/>
              <w:snapToGrid w:val="0"/>
              <w:spacing w:line="360" w:lineRule="auto"/>
              <w:jc w:val="both"/>
              <w:rPr>
                <w:rFonts w:ascii="Book Antiqua" w:hAnsi="Book Antiqua" w:cs="Times New Roman"/>
                <w:b/>
                <w:bCs/>
                <w:lang w:val="pt-BR"/>
              </w:rPr>
            </w:pPr>
            <w:r w:rsidRPr="007B770B">
              <w:rPr>
                <w:rFonts w:ascii="Book Antiqua" w:hAnsi="Book Antiqua" w:cs="Times New Roman"/>
                <w:b/>
                <w:bCs/>
                <w:lang w:val="pt-BR"/>
              </w:rPr>
              <w:t>AUC (</w:t>
            </w:r>
            <w:r w:rsidRPr="007B770B">
              <w:rPr>
                <w:rFonts w:ascii="Book Antiqua" w:eastAsia="Book Antiqua" w:hAnsi="Book Antiqua" w:cs="Book Antiqua"/>
                <w:b/>
                <w:bCs/>
                <w:color w:val="000000"/>
                <w:lang w:val="pt-BR"/>
              </w:rPr>
              <w:t>ng</w:t>
            </w:r>
            <w:r>
              <w:rPr>
                <w:rFonts w:ascii="Book Antiqua" w:eastAsia="Book Antiqua" w:hAnsi="Book Antiqua" w:cs="Book Antiqua"/>
                <w:b/>
                <w:bCs/>
                <w:color w:val="000000"/>
                <w:lang w:val="pt-BR"/>
              </w:rPr>
              <w:t>/</w:t>
            </w:r>
            <w:r w:rsidRPr="007B770B">
              <w:rPr>
                <w:rFonts w:ascii="Book Antiqua" w:hAnsi="Book Antiqua" w:cs="Times New Roman"/>
                <w:b/>
                <w:bCs/>
                <w:lang w:val="pt-BR"/>
              </w:rPr>
              <w:t>h/mL)</w:t>
            </w:r>
          </w:p>
        </w:tc>
        <w:tc>
          <w:tcPr>
            <w:tcW w:w="1000" w:type="pct"/>
            <w:tcBorders>
              <w:top w:val="single" w:sz="4" w:space="0" w:color="auto"/>
              <w:bottom w:val="single" w:sz="4" w:space="0" w:color="auto"/>
            </w:tcBorders>
          </w:tcPr>
          <w:p w14:paraId="5A59093A" w14:textId="77777777" w:rsidR="007929C2" w:rsidRPr="007B770B" w:rsidRDefault="007929C2" w:rsidP="00C87515">
            <w:pPr>
              <w:adjustRightInd w:val="0"/>
              <w:snapToGrid w:val="0"/>
              <w:spacing w:line="360" w:lineRule="auto"/>
              <w:jc w:val="both"/>
              <w:rPr>
                <w:rFonts w:ascii="Book Antiqua" w:hAnsi="Book Antiqua" w:cs="Times New Roman"/>
                <w:b/>
                <w:bCs/>
              </w:rPr>
            </w:pPr>
            <w:r w:rsidRPr="007B770B">
              <w:rPr>
                <w:rFonts w:ascii="Book Antiqua" w:hAnsi="Book Antiqua" w:cs="Times New Roman"/>
                <w:b/>
                <w:bCs/>
              </w:rPr>
              <w:t>C</w:t>
            </w:r>
            <w:r w:rsidRPr="007B770B">
              <w:rPr>
                <w:rFonts w:ascii="Book Antiqua" w:hAnsi="Book Antiqua" w:cs="Times New Roman"/>
                <w:b/>
                <w:bCs/>
                <w:vertAlign w:val="subscript"/>
              </w:rPr>
              <w:t>max</w:t>
            </w:r>
            <w:r w:rsidRPr="007B770B">
              <w:rPr>
                <w:rFonts w:ascii="Book Antiqua" w:hAnsi="Book Antiqua" w:cs="Times New Roman"/>
                <w:b/>
                <w:bCs/>
              </w:rPr>
              <w:t xml:space="preserve"> (ng/mL)</w:t>
            </w:r>
          </w:p>
        </w:tc>
        <w:tc>
          <w:tcPr>
            <w:tcW w:w="1000" w:type="pct"/>
            <w:tcBorders>
              <w:top w:val="single" w:sz="4" w:space="0" w:color="auto"/>
              <w:bottom w:val="single" w:sz="4" w:space="0" w:color="auto"/>
            </w:tcBorders>
          </w:tcPr>
          <w:p w14:paraId="24C3EF88" w14:textId="77777777" w:rsidR="007929C2" w:rsidRPr="007B770B" w:rsidRDefault="007929C2" w:rsidP="00C87515">
            <w:pPr>
              <w:adjustRightInd w:val="0"/>
              <w:snapToGrid w:val="0"/>
              <w:spacing w:line="360" w:lineRule="auto"/>
              <w:jc w:val="both"/>
              <w:rPr>
                <w:rFonts w:ascii="Book Antiqua" w:hAnsi="Book Antiqua" w:cs="Times New Roman"/>
                <w:b/>
                <w:bCs/>
              </w:rPr>
            </w:pPr>
            <w:r w:rsidRPr="007B770B">
              <w:rPr>
                <w:rFonts w:ascii="Book Antiqua" w:hAnsi="Book Antiqua" w:cs="Times New Roman"/>
                <w:b/>
                <w:bCs/>
              </w:rPr>
              <w:t>T</w:t>
            </w:r>
            <w:r w:rsidRPr="007B770B">
              <w:rPr>
                <w:rFonts w:ascii="Book Antiqua" w:hAnsi="Book Antiqua" w:cs="Times New Roman"/>
                <w:b/>
                <w:bCs/>
                <w:vertAlign w:val="subscript"/>
              </w:rPr>
              <w:t>max</w:t>
            </w:r>
            <w:r w:rsidRPr="007B770B">
              <w:rPr>
                <w:rFonts w:ascii="Book Antiqua" w:hAnsi="Book Antiqua" w:cs="Times New Roman"/>
                <w:b/>
                <w:bCs/>
              </w:rPr>
              <w:t xml:space="preserve"> (h)</w:t>
            </w:r>
          </w:p>
        </w:tc>
        <w:tc>
          <w:tcPr>
            <w:tcW w:w="1000" w:type="pct"/>
            <w:tcBorders>
              <w:top w:val="single" w:sz="4" w:space="0" w:color="auto"/>
              <w:bottom w:val="single" w:sz="4" w:space="0" w:color="auto"/>
            </w:tcBorders>
          </w:tcPr>
          <w:p w14:paraId="0BC8F8BF" w14:textId="77777777" w:rsidR="007929C2" w:rsidRPr="007B770B" w:rsidRDefault="007929C2" w:rsidP="00C87515">
            <w:pPr>
              <w:adjustRightInd w:val="0"/>
              <w:snapToGrid w:val="0"/>
              <w:spacing w:line="360" w:lineRule="auto"/>
              <w:jc w:val="both"/>
              <w:rPr>
                <w:rFonts w:ascii="Book Antiqua" w:hAnsi="Book Antiqua" w:cs="Times New Roman"/>
                <w:b/>
                <w:bCs/>
              </w:rPr>
            </w:pPr>
            <w:r w:rsidRPr="007B770B">
              <w:rPr>
                <w:rFonts w:ascii="Book Antiqua" w:hAnsi="Book Antiqua" w:cs="Times New Roman"/>
                <w:b/>
                <w:bCs/>
              </w:rPr>
              <w:t>T</w:t>
            </w:r>
            <w:r w:rsidRPr="007B770B">
              <w:rPr>
                <w:rFonts w:ascii="Book Antiqua" w:hAnsi="Book Antiqua" w:cs="Times New Roman"/>
                <w:b/>
                <w:bCs/>
                <w:vertAlign w:val="subscript"/>
              </w:rPr>
              <w:t>1/2</w:t>
            </w:r>
            <w:r w:rsidRPr="007B770B">
              <w:rPr>
                <w:rFonts w:ascii="Book Antiqua" w:hAnsi="Book Antiqua" w:cs="Times New Roman"/>
                <w:b/>
                <w:bCs/>
              </w:rPr>
              <w:t xml:space="preserve"> (h)</w:t>
            </w:r>
          </w:p>
        </w:tc>
      </w:tr>
      <w:tr w:rsidR="007929C2" w:rsidRPr="007B770B" w14:paraId="6CC0ECCA" w14:textId="77777777" w:rsidTr="00C87515">
        <w:tc>
          <w:tcPr>
            <w:tcW w:w="1000" w:type="pct"/>
            <w:tcBorders>
              <w:top w:val="single" w:sz="4" w:space="0" w:color="auto"/>
            </w:tcBorders>
          </w:tcPr>
          <w:p w14:paraId="414588B8" w14:textId="77777777" w:rsidR="007929C2" w:rsidRPr="007B770B" w:rsidRDefault="007929C2" w:rsidP="00C87515">
            <w:pPr>
              <w:adjustRightInd w:val="0"/>
              <w:snapToGrid w:val="0"/>
              <w:spacing w:line="360" w:lineRule="auto"/>
              <w:jc w:val="both"/>
              <w:rPr>
                <w:rFonts w:ascii="Book Antiqua" w:hAnsi="Book Antiqua" w:cs="Times New Roman"/>
                <w:bCs/>
              </w:rPr>
            </w:pPr>
            <w:r w:rsidRPr="007B770B">
              <w:rPr>
                <w:rFonts w:ascii="Book Antiqua" w:hAnsi="Book Antiqua" w:cs="Times New Roman"/>
                <w:bCs/>
              </w:rPr>
              <w:t>20</w:t>
            </w:r>
          </w:p>
        </w:tc>
        <w:tc>
          <w:tcPr>
            <w:tcW w:w="1000" w:type="pct"/>
            <w:tcBorders>
              <w:top w:val="single" w:sz="4" w:space="0" w:color="auto"/>
            </w:tcBorders>
          </w:tcPr>
          <w:p w14:paraId="239AD0A4"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545.6 </w:t>
            </w:r>
            <w:r w:rsidRPr="007B770B">
              <w:rPr>
                <w:rFonts w:ascii="Book Antiqua" w:hAnsi="Book Antiqua" w:cs="Times New Roman"/>
                <w:kern w:val="0"/>
              </w:rPr>
              <w:t>± 57.9</w:t>
            </w:r>
          </w:p>
        </w:tc>
        <w:tc>
          <w:tcPr>
            <w:tcW w:w="1000" w:type="pct"/>
            <w:tcBorders>
              <w:top w:val="single" w:sz="4" w:space="0" w:color="auto"/>
            </w:tcBorders>
          </w:tcPr>
          <w:p w14:paraId="0542D63C"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179.8 </w:t>
            </w:r>
            <w:r w:rsidRPr="007B770B">
              <w:rPr>
                <w:rFonts w:ascii="Book Antiqua" w:hAnsi="Book Antiqua" w:cs="Times New Roman"/>
                <w:kern w:val="0"/>
              </w:rPr>
              <w:t>± 34.8</w:t>
            </w:r>
          </w:p>
        </w:tc>
        <w:tc>
          <w:tcPr>
            <w:tcW w:w="1000" w:type="pct"/>
            <w:tcBorders>
              <w:top w:val="single" w:sz="4" w:space="0" w:color="auto"/>
            </w:tcBorders>
          </w:tcPr>
          <w:p w14:paraId="7021672E"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1.0</w:t>
            </w:r>
          </w:p>
        </w:tc>
        <w:tc>
          <w:tcPr>
            <w:tcW w:w="1000" w:type="pct"/>
            <w:tcBorders>
              <w:top w:val="single" w:sz="4" w:space="0" w:color="auto"/>
            </w:tcBorders>
          </w:tcPr>
          <w:p w14:paraId="4C803011"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142.5 </w:t>
            </w:r>
            <w:r w:rsidRPr="007B770B">
              <w:rPr>
                <w:rFonts w:ascii="Book Antiqua" w:hAnsi="Book Antiqua" w:cs="Times New Roman"/>
                <w:kern w:val="0"/>
              </w:rPr>
              <w:t>± 55.5</w:t>
            </w:r>
          </w:p>
        </w:tc>
      </w:tr>
      <w:tr w:rsidR="007929C2" w:rsidRPr="007B770B" w14:paraId="0E850C55" w14:textId="77777777" w:rsidTr="00C87515">
        <w:tc>
          <w:tcPr>
            <w:tcW w:w="1000" w:type="pct"/>
          </w:tcPr>
          <w:p w14:paraId="404901CF" w14:textId="77777777" w:rsidR="007929C2" w:rsidRPr="007B770B" w:rsidRDefault="007929C2" w:rsidP="00C87515">
            <w:pPr>
              <w:adjustRightInd w:val="0"/>
              <w:snapToGrid w:val="0"/>
              <w:spacing w:line="360" w:lineRule="auto"/>
              <w:jc w:val="both"/>
              <w:rPr>
                <w:rFonts w:ascii="Book Antiqua" w:hAnsi="Book Antiqua" w:cs="Times New Roman"/>
                <w:bCs/>
              </w:rPr>
            </w:pPr>
            <w:r w:rsidRPr="007B770B">
              <w:rPr>
                <w:rFonts w:ascii="Book Antiqua" w:hAnsi="Book Antiqua" w:cs="Times New Roman"/>
                <w:bCs/>
              </w:rPr>
              <w:t>10</w:t>
            </w:r>
          </w:p>
        </w:tc>
        <w:tc>
          <w:tcPr>
            <w:tcW w:w="1000" w:type="pct"/>
          </w:tcPr>
          <w:p w14:paraId="4BD748ED"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304.3 </w:t>
            </w:r>
            <w:r w:rsidRPr="007B770B">
              <w:rPr>
                <w:rFonts w:ascii="Book Antiqua" w:hAnsi="Book Antiqua" w:cs="Times New Roman"/>
                <w:kern w:val="0"/>
              </w:rPr>
              <w:t>± 35.6</w:t>
            </w:r>
          </w:p>
        </w:tc>
        <w:tc>
          <w:tcPr>
            <w:tcW w:w="1000" w:type="pct"/>
          </w:tcPr>
          <w:p w14:paraId="1D158710"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99.9 </w:t>
            </w:r>
            <w:r w:rsidRPr="007B770B">
              <w:rPr>
                <w:rFonts w:ascii="Book Antiqua" w:hAnsi="Book Antiqua" w:cs="Times New Roman"/>
                <w:kern w:val="0"/>
              </w:rPr>
              <w:t>± 13.7</w:t>
            </w:r>
          </w:p>
        </w:tc>
        <w:tc>
          <w:tcPr>
            <w:tcW w:w="1000" w:type="pct"/>
          </w:tcPr>
          <w:p w14:paraId="5DEB37EB"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0.75</w:t>
            </w:r>
          </w:p>
        </w:tc>
        <w:tc>
          <w:tcPr>
            <w:tcW w:w="1000" w:type="pct"/>
          </w:tcPr>
          <w:p w14:paraId="23CD1AAC"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127.5 </w:t>
            </w:r>
            <w:r w:rsidRPr="007B770B">
              <w:rPr>
                <w:rFonts w:ascii="Book Antiqua" w:hAnsi="Book Antiqua" w:cs="Times New Roman"/>
                <w:kern w:val="0"/>
              </w:rPr>
              <w:t>± 41.8</w:t>
            </w:r>
          </w:p>
        </w:tc>
      </w:tr>
      <w:tr w:rsidR="007929C2" w:rsidRPr="007B770B" w14:paraId="685835FE" w14:textId="77777777" w:rsidTr="00C87515">
        <w:tc>
          <w:tcPr>
            <w:tcW w:w="1000" w:type="pct"/>
          </w:tcPr>
          <w:p w14:paraId="2136D62C" w14:textId="77777777" w:rsidR="007929C2" w:rsidRPr="007B770B" w:rsidRDefault="007929C2" w:rsidP="00C87515">
            <w:pPr>
              <w:adjustRightInd w:val="0"/>
              <w:snapToGrid w:val="0"/>
              <w:spacing w:line="360" w:lineRule="auto"/>
              <w:jc w:val="both"/>
              <w:rPr>
                <w:rFonts w:ascii="Book Antiqua" w:hAnsi="Book Antiqua" w:cs="Times New Roman"/>
                <w:bCs/>
              </w:rPr>
            </w:pPr>
            <w:r w:rsidRPr="007B770B">
              <w:rPr>
                <w:rFonts w:ascii="Book Antiqua" w:hAnsi="Book Antiqua" w:cs="Times New Roman"/>
                <w:bCs/>
              </w:rPr>
              <w:t>5.0</w:t>
            </w:r>
          </w:p>
        </w:tc>
        <w:tc>
          <w:tcPr>
            <w:tcW w:w="1000" w:type="pct"/>
          </w:tcPr>
          <w:p w14:paraId="4FC31FCA"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145.8 </w:t>
            </w:r>
            <w:r w:rsidRPr="007B770B">
              <w:rPr>
                <w:rFonts w:ascii="Book Antiqua" w:hAnsi="Book Antiqua" w:cs="Times New Roman"/>
                <w:kern w:val="0"/>
              </w:rPr>
              <w:t>± 28.4</w:t>
            </w:r>
          </w:p>
        </w:tc>
        <w:tc>
          <w:tcPr>
            <w:tcW w:w="1000" w:type="pct"/>
          </w:tcPr>
          <w:p w14:paraId="0BA75F01"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46.2 </w:t>
            </w:r>
            <w:r w:rsidRPr="007B770B">
              <w:rPr>
                <w:rFonts w:ascii="Book Antiqua" w:hAnsi="Book Antiqua" w:cs="Times New Roman"/>
                <w:kern w:val="0"/>
              </w:rPr>
              <w:t>± 6.4</w:t>
            </w:r>
          </w:p>
        </w:tc>
        <w:tc>
          <w:tcPr>
            <w:tcW w:w="1000" w:type="pct"/>
          </w:tcPr>
          <w:p w14:paraId="2EF45BF1"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0.88</w:t>
            </w:r>
          </w:p>
        </w:tc>
        <w:tc>
          <w:tcPr>
            <w:tcW w:w="1000" w:type="pct"/>
          </w:tcPr>
          <w:p w14:paraId="6F77F754"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91.3 </w:t>
            </w:r>
            <w:r w:rsidRPr="007B770B">
              <w:rPr>
                <w:rFonts w:ascii="Book Antiqua" w:hAnsi="Book Antiqua" w:cs="Times New Roman"/>
                <w:kern w:val="0"/>
              </w:rPr>
              <w:t>± 57.9</w:t>
            </w:r>
          </w:p>
        </w:tc>
      </w:tr>
      <w:tr w:rsidR="007929C2" w:rsidRPr="007B770B" w14:paraId="17D90CF9" w14:textId="77777777" w:rsidTr="00C87515">
        <w:tc>
          <w:tcPr>
            <w:tcW w:w="1000" w:type="pct"/>
          </w:tcPr>
          <w:p w14:paraId="1B1C4172" w14:textId="77777777" w:rsidR="007929C2" w:rsidRPr="007B770B" w:rsidRDefault="007929C2" w:rsidP="00C87515">
            <w:pPr>
              <w:adjustRightInd w:val="0"/>
              <w:snapToGrid w:val="0"/>
              <w:spacing w:line="360" w:lineRule="auto"/>
              <w:jc w:val="both"/>
              <w:rPr>
                <w:rFonts w:ascii="Book Antiqua" w:hAnsi="Book Antiqua" w:cs="Times New Roman"/>
                <w:bCs/>
              </w:rPr>
            </w:pPr>
            <w:r w:rsidRPr="007B770B">
              <w:rPr>
                <w:rFonts w:ascii="Book Antiqua" w:hAnsi="Book Antiqua" w:cs="Times New Roman"/>
                <w:bCs/>
              </w:rPr>
              <w:t>2.5</w:t>
            </w:r>
          </w:p>
        </w:tc>
        <w:tc>
          <w:tcPr>
            <w:tcW w:w="1000" w:type="pct"/>
          </w:tcPr>
          <w:p w14:paraId="260762AB"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71.6 </w:t>
            </w:r>
            <w:r w:rsidRPr="007B770B">
              <w:rPr>
                <w:rFonts w:ascii="Book Antiqua" w:hAnsi="Book Antiqua" w:cs="Times New Roman"/>
                <w:kern w:val="0"/>
              </w:rPr>
              <w:t>± 10.3</w:t>
            </w:r>
          </w:p>
        </w:tc>
        <w:tc>
          <w:tcPr>
            <w:tcW w:w="1000" w:type="pct"/>
          </w:tcPr>
          <w:p w14:paraId="04611311"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22.8 </w:t>
            </w:r>
            <w:r w:rsidRPr="007B770B">
              <w:rPr>
                <w:rFonts w:ascii="Book Antiqua" w:hAnsi="Book Antiqua" w:cs="Times New Roman"/>
                <w:kern w:val="0"/>
              </w:rPr>
              <w:t>± 5.7</w:t>
            </w:r>
          </w:p>
        </w:tc>
        <w:tc>
          <w:tcPr>
            <w:tcW w:w="1000" w:type="pct"/>
          </w:tcPr>
          <w:p w14:paraId="1B251798"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0.75</w:t>
            </w:r>
          </w:p>
        </w:tc>
        <w:tc>
          <w:tcPr>
            <w:tcW w:w="1000" w:type="pct"/>
          </w:tcPr>
          <w:p w14:paraId="7906E055"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 xml:space="preserve">115.7 </w:t>
            </w:r>
            <w:r w:rsidRPr="007B770B">
              <w:rPr>
                <w:rFonts w:ascii="Book Antiqua" w:hAnsi="Book Antiqua" w:cs="Times New Roman"/>
                <w:kern w:val="0"/>
              </w:rPr>
              <w:t xml:space="preserve">± </w:t>
            </w:r>
            <w:r w:rsidRPr="007B770B">
              <w:rPr>
                <w:rFonts w:ascii="Book Antiqua" w:hAnsi="Book Antiqua" w:cs="Times New Roman"/>
              </w:rPr>
              <w:t>37.2</w:t>
            </w:r>
          </w:p>
        </w:tc>
      </w:tr>
      <w:tr w:rsidR="007929C2" w:rsidRPr="007B770B" w14:paraId="67BC2E7E" w14:textId="77777777" w:rsidTr="00C87515">
        <w:tc>
          <w:tcPr>
            <w:tcW w:w="1000" w:type="pct"/>
          </w:tcPr>
          <w:p w14:paraId="7CD37C1A" w14:textId="77777777" w:rsidR="007929C2" w:rsidRPr="007B770B" w:rsidRDefault="007929C2" w:rsidP="00C87515">
            <w:pPr>
              <w:adjustRightInd w:val="0"/>
              <w:snapToGrid w:val="0"/>
              <w:spacing w:line="360" w:lineRule="auto"/>
              <w:jc w:val="both"/>
              <w:rPr>
                <w:rFonts w:ascii="Book Antiqua" w:hAnsi="Book Antiqua" w:cs="Times New Roman"/>
                <w:bCs/>
              </w:rPr>
            </w:pPr>
            <w:bookmarkStart w:id="20" w:name="_Hlk24710926"/>
            <w:r w:rsidRPr="007B770B">
              <w:rPr>
                <w:rFonts w:ascii="Book Antiqua" w:hAnsi="Book Antiqua" w:cs="Times New Roman"/>
                <w:bCs/>
              </w:rPr>
              <w:t>1.0</w:t>
            </w:r>
          </w:p>
        </w:tc>
        <w:tc>
          <w:tcPr>
            <w:tcW w:w="1000" w:type="pct"/>
          </w:tcPr>
          <w:p w14:paraId="584CF4DE"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26.38 </w:t>
            </w:r>
            <w:r w:rsidRPr="007B770B">
              <w:rPr>
                <w:rFonts w:ascii="Book Antiqua" w:hAnsi="Book Antiqua" w:cs="Times New Roman"/>
                <w:kern w:val="0"/>
              </w:rPr>
              <w:t>± 12</w:t>
            </w:r>
          </w:p>
        </w:tc>
        <w:tc>
          <w:tcPr>
            <w:tcW w:w="1000" w:type="pct"/>
          </w:tcPr>
          <w:p w14:paraId="1B5AD991"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8.24 </w:t>
            </w:r>
            <w:r w:rsidRPr="007B770B">
              <w:rPr>
                <w:rFonts w:ascii="Book Antiqua" w:hAnsi="Book Antiqua" w:cs="Times New Roman"/>
                <w:kern w:val="0"/>
              </w:rPr>
              <w:t>± 16</w:t>
            </w:r>
          </w:p>
        </w:tc>
        <w:tc>
          <w:tcPr>
            <w:tcW w:w="1000" w:type="pct"/>
          </w:tcPr>
          <w:p w14:paraId="07595F41"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0.75</w:t>
            </w:r>
          </w:p>
        </w:tc>
        <w:tc>
          <w:tcPr>
            <w:tcW w:w="1000" w:type="pct"/>
          </w:tcPr>
          <w:p w14:paraId="0AA7F059"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148.89 </w:t>
            </w:r>
            <w:r w:rsidRPr="007B770B">
              <w:rPr>
                <w:rFonts w:ascii="Book Antiqua" w:hAnsi="Book Antiqua" w:cs="Times New Roman"/>
                <w:kern w:val="0"/>
              </w:rPr>
              <w:t>± 39.5</w:t>
            </w:r>
          </w:p>
        </w:tc>
      </w:tr>
      <w:tr w:rsidR="007929C2" w:rsidRPr="007B770B" w14:paraId="1F7A8624" w14:textId="77777777" w:rsidTr="00C87515">
        <w:tc>
          <w:tcPr>
            <w:tcW w:w="1000" w:type="pct"/>
          </w:tcPr>
          <w:p w14:paraId="39507F66" w14:textId="77777777" w:rsidR="007929C2" w:rsidRPr="007B770B" w:rsidRDefault="007929C2" w:rsidP="00C87515">
            <w:pPr>
              <w:adjustRightInd w:val="0"/>
              <w:snapToGrid w:val="0"/>
              <w:spacing w:line="360" w:lineRule="auto"/>
              <w:jc w:val="both"/>
              <w:rPr>
                <w:rFonts w:ascii="Book Antiqua" w:hAnsi="Book Antiqua" w:cs="Times New Roman"/>
                <w:bCs/>
              </w:rPr>
            </w:pPr>
            <w:bookmarkStart w:id="21" w:name="_Hlk24710899"/>
            <w:bookmarkEnd w:id="20"/>
            <w:r w:rsidRPr="007B770B">
              <w:rPr>
                <w:rFonts w:ascii="Book Antiqua" w:hAnsi="Book Antiqua" w:cs="Times New Roman"/>
                <w:bCs/>
              </w:rPr>
              <w:t>0.5</w:t>
            </w:r>
          </w:p>
        </w:tc>
        <w:tc>
          <w:tcPr>
            <w:tcW w:w="1000" w:type="pct"/>
          </w:tcPr>
          <w:p w14:paraId="60344DE9"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14.78 </w:t>
            </w:r>
            <w:r w:rsidRPr="007B770B">
              <w:rPr>
                <w:rFonts w:ascii="Book Antiqua" w:hAnsi="Book Antiqua" w:cs="Times New Roman"/>
                <w:kern w:val="0"/>
              </w:rPr>
              <w:t>± 17</w:t>
            </w:r>
          </w:p>
        </w:tc>
        <w:tc>
          <w:tcPr>
            <w:tcW w:w="1000" w:type="pct"/>
          </w:tcPr>
          <w:p w14:paraId="519DC606"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4.23 </w:t>
            </w:r>
            <w:r w:rsidRPr="007B770B">
              <w:rPr>
                <w:rFonts w:ascii="Book Antiqua" w:hAnsi="Book Antiqua" w:cs="Times New Roman"/>
                <w:kern w:val="0"/>
              </w:rPr>
              <w:t>± 9</w:t>
            </w:r>
          </w:p>
        </w:tc>
        <w:tc>
          <w:tcPr>
            <w:tcW w:w="1000" w:type="pct"/>
          </w:tcPr>
          <w:p w14:paraId="2CC2C0FA"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1.0</w:t>
            </w:r>
          </w:p>
        </w:tc>
        <w:tc>
          <w:tcPr>
            <w:tcW w:w="1000" w:type="pct"/>
          </w:tcPr>
          <w:p w14:paraId="467206C5"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129.9 </w:t>
            </w:r>
            <w:r w:rsidRPr="007B770B">
              <w:rPr>
                <w:rFonts w:ascii="Book Antiqua" w:hAnsi="Book Antiqua" w:cs="Times New Roman"/>
                <w:kern w:val="0"/>
              </w:rPr>
              <w:t>± 17.28</w:t>
            </w:r>
          </w:p>
        </w:tc>
      </w:tr>
      <w:tr w:rsidR="007929C2" w:rsidRPr="007B770B" w14:paraId="05DA886C" w14:textId="77777777" w:rsidTr="00C87515">
        <w:tc>
          <w:tcPr>
            <w:tcW w:w="1000" w:type="pct"/>
          </w:tcPr>
          <w:p w14:paraId="3A78CD00" w14:textId="77777777" w:rsidR="007929C2" w:rsidRPr="007B770B" w:rsidRDefault="007929C2" w:rsidP="00C87515">
            <w:pPr>
              <w:adjustRightInd w:val="0"/>
              <w:snapToGrid w:val="0"/>
              <w:spacing w:line="360" w:lineRule="auto"/>
              <w:jc w:val="both"/>
              <w:rPr>
                <w:rFonts w:ascii="Book Antiqua" w:hAnsi="Book Antiqua" w:cs="Times New Roman"/>
                <w:bCs/>
              </w:rPr>
            </w:pPr>
            <w:bookmarkStart w:id="22" w:name="_Hlk24710874"/>
            <w:bookmarkEnd w:id="21"/>
            <w:r w:rsidRPr="007B770B">
              <w:rPr>
                <w:rFonts w:ascii="Book Antiqua" w:hAnsi="Book Antiqua" w:cs="Times New Roman"/>
                <w:bCs/>
              </w:rPr>
              <w:t>0.1</w:t>
            </w:r>
          </w:p>
        </w:tc>
        <w:tc>
          <w:tcPr>
            <w:tcW w:w="1000" w:type="pct"/>
          </w:tcPr>
          <w:p w14:paraId="475D3C23"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2.5 </w:t>
            </w:r>
            <w:r w:rsidRPr="007B770B">
              <w:rPr>
                <w:rFonts w:ascii="Book Antiqua" w:hAnsi="Book Antiqua" w:cs="Times New Roman"/>
                <w:kern w:val="0"/>
              </w:rPr>
              <w:t>± 21</w:t>
            </w:r>
          </w:p>
        </w:tc>
        <w:tc>
          <w:tcPr>
            <w:tcW w:w="1000" w:type="pct"/>
          </w:tcPr>
          <w:p w14:paraId="5ED8DAF6"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0.6 </w:t>
            </w:r>
            <w:r w:rsidRPr="007B770B">
              <w:rPr>
                <w:rFonts w:ascii="Book Antiqua" w:hAnsi="Book Antiqua" w:cs="Times New Roman"/>
                <w:kern w:val="0"/>
              </w:rPr>
              <w:t>± 29</w:t>
            </w:r>
          </w:p>
        </w:tc>
        <w:tc>
          <w:tcPr>
            <w:tcW w:w="1000" w:type="pct"/>
          </w:tcPr>
          <w:p w14:paraId="4054FDD0"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1.0</w:t>
            </w:r>
          </w:p>
        </w:tc>
        <w:tc>
          <w:tcPr>
            <w:tcW w:w="1000" w:type="pct"/>
          </w:tcPr>
          <w:p w14:paraId="1799E45D"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127.69 </w:t>
            </w:r>
            <w:r w:rsidRPr="007B770B">
              <w:rPr>
                <w:rFonts w:ascii="Book Antiqua" w:hAnsi="Book Antiqua" w:cs="Times New Roman"/>
                <w:kern w:val="0"/>
              </w:rPr>
              <w:t>± 91.44</w:t>
            </w:r>
          </w:p>
        </w:tc>
      </w:tr>
    </w:tbl>
    <w:bookmarkEnd w:id="19"/>
    <w:bookmarkEnd w:id="22"/>
    <w:p w14:paraId="2BB05966" w14:textId="39E2FEBF" w:rsidR="007929C2" w:rsidRPr="007B770B" w:rsidRDefault="007929C2" w:rsidP="007929C2">
      <w:pPr>
        <w:adjustRightInd w:val="0"/>
        <w:snapToGrid w:val="0"/>
        <w:spacing w:line="360" w:lineRule="auto"/>
        <w:jc w:val="both"/>
        <w:rPr>
          <w:rFonts w:ascii="Book Antiqua" w:hAnsi="Book Antiqua"/>
        </w:rPr>
      </w:pPr>
      <w:r w:rsidRPr="007B770B">
        <w:rPr>
          <w:rFonts w:ascii="Book Antiqua" w:hAnsi="Book Antiqua"/>
        </w:rPr>
        <w:t xml:space="preserve">Data </w:t>
      </w:r>
      <w:r w:rsidR="001474D9">
        <w:rPr>
          <w:rFonts w:ascii="Book Antiqua" w:hAnsi="Book Antiqua"/>
        </w:rPr>
        <w:t xml:space="preserve">are </w:t>
      </w:r>
      <w:r w:rsidRPr="007B770B">
        <w:rPr>
          <w:rFonts w:ascii="Book Antiqua" w:hAnsi="Book Antiqua"/>
        </w:rPr>
        <w:t xml:space="preserve">presented as </w:t>
      </w:r>
      <w:r w:rsidR="001474D9">
        <w:rPr>
          <w:rFonts w:ascii="Book Antiqua" w:hAnsi="Book Antiqua"/>
        </w:rPr>
        <w:t xml:space="preserve">the </w:t>
      </w:r>
      <w:r w:rsidRPr="007B770B">
        <w:rPr>
          <w:rFonts w:ascii="Book Antiqua" w:hAnsi="Book Antiqua"/>
        </w:rPr>
        <w:t xml:space="preserve">mean ± SD. Source: A1463002 and A1463033 clinical </w:t>
      </w:r>
      <w:r w:rsidR="001474D9" w:rsidRPr="007B770B">
        <w:rPr>
          <w:rFonts w:ascii="Book Antiqua" w:hAnsi="Book Antiqua"/>
        </w:rPr>
        <w:t>stud</w:t>
      </w:r>
      <w:r w:rsidR="001474D9">
        <w:rPr>
          <w:rFonts w:ascii="Book Antiqua" w:hAnsi="Book Antiqua"/>
        </w:rPr>
        <w:t>ies</w:t>
      </w:r>
      <w:r w:rsidRPr="007B770B">
        <w:rPr>
          <w:rFonts w:ascii="Book Antiqua" w:hAnsi="Book Antiqua"/>
        </w:rPr>
        <w:t xml:space="preserve">; AUC: </w:t>
      </w:r>
      <w:r w:rsidRPr="007B770B">
        <w:rPr>
          <w:rFonts w:ascii="Book Antiqua" w:eastAsia="Book Antiqua" w:hAnsi="Book Antiqua" w:cs="Book Antiqua"/>
          <w:color w:val="000000"/>
        </w:rPr>
        <w:t>Area under the concentration-time curve.</w:t>
      </w:r>
    </w:p>
    <w:p w14:paraId="27626071" w14:textId="305E817D" w:rsidR="00DF234B" w:rsidRDefault="00DF234B">
      <w:pPr>
        <w:rPr>
          <w:rFonts w:ascii="Book Antiqua" w:hAnsi="Book Antiqua"/>
          <w:color w:val="000000"/>
        </w:rPr>
      </w:pPr>
      <w:r>
        <w:rPr>
          <w:rFonts w:ascii="Book Antiqua" w:hAnsi="Book Antiqua"/>
          <w:color w:val="000000"/>
        </w:rPr>
        <w:br w:type="page"/>
      </w:r>
    </w:p>
    <w:p w14:paraId="43E6AF4F" w14:textId="77777777" w:rsidR="00DF234B" w:rsidRDefault="00DF234B" w:rsidP="00DF234B">
      <w:pPr>
        <w:jc w:val="center"/>
        <w:rPr>
          <w:rFonts w:ascii="Book Antiqua" w:hAnsi="Book Antiqua"/>
          <w:lang w:eastAsia="zh-CN"/>
        </w:rPr>
      </w:pPr>
    </w:p>
    <w:p w14:paraId="03E04018" w14:textId="77777777" w:rsidR="00DF234B" w:rsidRDefault="00DF234B" w:rsidP="00DF234B">
      <w:pPr>
        <w:jc w:val="center"/>
        <w:rPr>
          <w:rFonts w:ascii="Book Antiqua" w:hAnsi="Book Antiqua"/>
          <w:lang w:eastAsia="zh-CN"/>
        </w:rPr>
      </w:pPr>
    </w:p>
    <w:p w14:paraId="4D079CC1" w14:textId="77777777" w:rsidR="00DF234B" w:rsidRDefault="00DF234B" w:rsidP="00DF234B">
      <w:pPr>
        <w:jc w:val="center"/>
        <w:rPr>
          <w:rFonts w:ascii="Book Antiqua" w:hAnsi="Book Antiqua"/>
          <w:lang w:eastAsia="zh-CN"/>
        </w:rPr>
      </w:pPr>
    </w:p>
    <w:p w14:paraId="38156F41" w14:textId="77777777" w:rsidR="00DF234B" w:rsidRDefault="00DF234B" w:rsidP="00DF234B">
      <w:pPr>
        <w:jc w:val="center"/>
        <w:rPr>
          <w:rFonts w:ascii="Book Antiqua" w:hAnsi="Book Antiqua"/>
          <w:lang w:eastAsia="zh-CN"/>
        </w:rPr>
      </w:pPr>
    </w:p>
    <w:p w14:paraId="2959F3F8" w14:textId="77777777" w:rsidR="00DF234B" w:rsidRDefault="00DF234B" w:rsidP="00DF234B">
      <w:pPr>
        <w:jc w:val="center"/>
        <w:rPr>
          <w:rFonts w:ascii="Book Antiqua" w:hAnsi="Book Antiqua"/>
          <w:lang w:eastAsia="zh-CN"/>
        </w:rPr>
      </w:pPr>
    </w:p>
    <w:p w14:paraId="7AF14563" w14:textId="77777777" w:rsidR="00DF234B" w:rsidRDefault="00DF234B" w:rsidP="00DF234B">
      <w:pPr>
        <w:jc w:val="center"/>
        <w:rPr>
          <w:rFonts w:ascii="Book Antiqua" w:hAnsi="Book Antiqua"/>
          <w:lang w:eastAsia="zh-CN"/>
        </w:rPr>
      </w:pPr>
      <w:r>
        <w:rPr>
          <w:rFonts w:ascii="Book Antiqua" w:hAnsi="Book Antiqua"/>
          <w:noProof/>
          <w:lang w:eastAsia="zh-CN"/>
        </w:rPr>
        <w:drawing>
          <wp:inline distT="0" distB="0" distL="0" distR="0" wp14:anchorId="37A23618" wp14:editId="650218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FFCE12" w14:textId="77777777" w:rsidR="00DF234B" w:rsidRDefault="00DF234B" w:rsidP="00DF234B">
      <w:pPr>
        <w:jc w:val="center"/>
        <w:rPr>
          <w:rFonts w:ascii="Book Antiqua" w:hAnsi="Book Antiqua"/>
          <w:lang w:eastAsia="zh-CN"/>
        </w:rPr>
      </w:pPr>
    </w:p>
    <w:p w14:paraId="3491399E" w14:textId="77777777" w:rsidR="00DF234B" w:rsidRPr="00763D22" w:rsidRDefault="00DF234B" w:rsidP="00DF234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25C3B43" w14:textId="77777777" w:rsidR="00DF234B" w:rsidRPr="00763D22" w:rsidRDefault="00DF234B" w:rsidP="00DF23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75A6383" w14:textId="77777777" w:rsidR="00DF234B" w:rsidRPr="00763D22" w:rsidRDefault="00DF234B" w:rsidP="00DF23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A88131" w14:textId="77777777" w:rsidR="00DF234B" w:rsidRPr="00763D22" w:rsidRDefault="00DF234B" w:rsidP="00DF23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70FE29" w14:textId="77777777" w:rsidR="00DF234B" w:rsidRPr="00763D22" w:rsidRDefault="00DF234B" w:rsidP="00DF23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D317B3" w14:textId="77777777" w:rsidR="00DF234B" w:rsidRPr="00763D22" w:rsidRDefault="00DF234B" w:rsidP="00DF234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A411FB1" w14:textId="77777777" w:rsidR="00DF234B" w:rsidRDefault="00DF234B" w:rsidP="00DF234B">
      <w:pPr>
        <w:jc w:val="center"/>
        <w:rPr>
          <w:rFonts w:ascii="Book Antiqua" w:hAnsi="Book Antiqua"/>
          <w:lang w:eastAsia="zh-CN"/>
        </w:rPr>
      </w:pPr>
    </w:p>
    <w:p w14:paraId="3F69B845" w14:textId="77777777" w:rsidR="00DF234B" w:rsidRDefault="00DF234B" w:rsidP="00DF234B">
      <w:pPr>
        <w:jc w:val="center"/>
        <w:rPr>
          <w:rFonts w:ascii="Book Antiqua" w:hAnsi="Book Antiqua"/>
          <w:lang w:eastAsia="zh-CN"/>
        </w:rPr>
      </w:pPr>
    </w:p>
    <w:p w14:paraId="55CF0947" w14:textId="77777777" w:rsidR="00DF234B" w:rsidRDefault="00DF234B" w:rsidP="00DF234B">
      <w:pPr>
        <w:jc w:val="center"/>
        <w:rPr>
          <w:rFonts w:ascii="Book Antiqua" w:hAnsi="Book Antiqua"/>
          <w:lang w:eastAsia="zh-CN"/>
        </w:rPr>
      </w:pPr>
    </w:p>
    <w:p w14:paraId="02A3DD4F" w14:textId="77777777" w:rsidR="00DF234B" w:rsidRDefault="00DF234B" w:rsidP="00DF234B">
      <w:pPr>
        <w:jc w:val="center"/>
        <w:rPr>
          <w:rFonts w:ascii="Book Antiqua" w:hAnsi="Book Antiqua"/>
          <w:lang w:eastAsia="zh-CN"/>
        </w:rPr>
      </w:pPr>
      <w:r>
        <w:rPr>
          <w:rFonts w:ascii="Book Antiqua" w:hAnsi="Book Antiqua"/>
          <w:noProof/>
          <w:lang w:eastAsia="zh-CN"/>
        </w:rPr>
        <w:drawing>
          <wp:inline distT="0" distB="0" distL="0" distR="0" wp14:anchorId="1C7E4166" wp14:editId="329FA0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6DE47B" w14:textId="77777777" w:rsidR="00DF234B" w:rsidRDefault="00DF234B" w:rsidP="00DF234B">
      <w:pPr>
        <w:jc w:val="center"/>
        <w:rPr>
          <w:rFonts w:ascii="Book Antiqua" w:hAnsi="Book Antiqua"/>
          <w:lang w:eastAsia="zh-CN"/>
        </w:rPr>
      </w:pPr>
    </w:p>
    <w:p w14:paraId="09E33927" w14:textId="77777777" w:rsidR="00DF234B" w:rsidRDefault="00DF234B" w:rsidP="00DF234B">
      <w:pPr>
        <w:jc w:val="center"/>
        <w:rPr>
          <w:rFonts w:ascii="Book Antiqua" w:hAnsi="Book Antiqua"/>
          <w:lang w:eastAsia="zh-CN"/>
        </w:rPr>
      </w:pPr>
    </w:p>
    <w:p w14:paraId="6D1437F3" w14:textId="77777777" w:rsidR="00DF234B" w:rsidRDefault="00DF234B" w:rsidP="00DF234B">
      <w:pPr>
        <w:jc w:val="center"/>
        <w:rPr>
          <w:rFonts w:ascii="Book Antiqua" w:hAnsi="Book Antiqua"/>
          <w:lang w:eastAsia="zh-CN"/>
        </w:rPr>
      </w:pPr>
    </w:p>
    <w:p w14:paraId="3BB35A9E" w14:textId="77777777" w:rsidR="00DF234B" w:rsidRDefault="00DF234B" w:rsidP="00DF234B">
      <w:pPr>
        <w:jc w:val="center"/>
        <w:rPr>
          <w:rFonts w:ascii="Book Antiqua" w:hAnsi="Book Antiqua"/>
          <w:lang w:eastAsia="zh-CN"/>
        </w:rPr>
      </w:pPr>
    </w:p>
    <w:p w14:paraId="6AA8241B" w14:textId="77777777" w:rsidR="00DF234B" w:rsidRDefault="00DF234B" w:rsidP="00DF234B">
      <w:pPr>
        <w:jc w:val="center"/>
        <w:rPr>
          <w:rFonts w:ascii="Book Antiqua" w:hAnsi="Book Antiqua"/>
          <w:lang w:eastAsia="zh-CN"/>
        </w:rPr>
      </w:pPr>
    </w:p>
    <w:p w14:paraId="4F7E0F4D" w14:textId="77777777" w:rsidR="00DF234B" w:rsidRDefault="00DF234B" w:rsidP="00DF234B">
      <w:pPr>
        <w:jc w:val="center"/>
        <w:rPr>
          <w:rFonts w:ascii="Book Antiqua" w:hAnsi="Book Antiqua"/>
          <w:lang w:eastAsia="zh-CN"/>
        </w:rPr>
      </w:pPr>
    </w:p>
    <w:p w14:paraId="321DE19A" w14:textId="77777777" w:rsidR="00DF234B" w:rsidRDefault="00DF234B" w:rsidP="00DF234B">
      <w:pPr>
        <w:jc w:val="center"/>
        <w:rPr>
          <w:rFonts w:ascii="Book Antiqua" w:hAnsi="Book Antiqua"/>
          <w:lang w:eastAsia="zh-CN"/>
        </w:rPr>
      </w:pPr>
    </w:p>
    <w:p w14:paraId="3F64A89D" w14:textId="77777777" w:rsidR="00DF234B" w:rsidRDefault="00DF234B" w:rsidP="00DF234B">
      <w:pPr>
        <w:jc w:val="center"/>
        <w:rPr>
          <w:rFonts w:ascii="Book Antiqua" w:hAnsi="Book Antiqua"/>
          <w:lang w:eastAsia="zh-CN"/>
        </w:rPr>
      </w:pPr>
    </w:p>
    <w:p w14:paraId="13A55672" w14:textId="77777777" w:rsidR="00DF234B" w:rsidRDefault="00DF234B" w:rsidP="00DF234B">
      <w:pPr>
        <w:jc w:val="center"/>
        <w:rPr>
          <w:rFonts w:ascii="Book Antiqua" w:hAnsi="Book Antiqua"/>
          <w:lang w:eastAsia="zh-CN"/>
        </w:rPr>
      </w:pPr>
    </w:p>
    <w:p w14:paraId="48F20ADC" w14:textId="77777777" w:rsidR="00DF234B" w:rsidRPr="00763D22" w:rsidRDefault="00DF234B" w:rsidP="00DF234B">
      <w:pPr>
        <w:jc w:val="right"/>
        <w:rPr>
          <w:rFonts w:ascii="Book Antiqua" w:hAnsi="Book Antiqua"/>
          <w:color w:val="000000" w:themeColor="text1"/>
          <w:lang w:eastAsia="zh-CN"/>
        </w:rPr>
      </w:pPr>
    </w:p>
    <w:p w14:paraId="089783A6" w14:textId="77777777" w:rsidR="00DF234B" w:rsidRPr="00763D22" w:rsidRDefault="00DF234B" w:rsidP="00DF234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49A76AC" w14:textId="77777777" w:rsidR="0021620E" w:rsidRPr="00E5667A" w:rsidRDefault="0021620E" w:rsidP="007929C2">
      <w:pPr>
        <w:adjustRightInd w:val="0"/>
        <w:snapToGrid w:val="0"/>
        <w:spacing w:line="360" w:lineRule="auto"/>
        <w:jc w:val="both"/>
        <w:rPr>
          <w:rFonts w:ascii="Book Antiqua" w:hAnsi="Book Antiqua"/>
          <w:color w:val="000000"/>
        </w:rPr>
      </w:pPr>
      <w:bookmarkStart w:id="23" w:name="_GoBack"/>
      <w:bookmarkEnd w:id="23"/>
    </w:p>
    <w:sectPr w:rsidR="0021620E" w:rsidRPr="00E5667A" w:rsidSect="006B0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28FEE" w14:textId="77777777" w:rsidR="00733CF1" w:rsidRDefault="00733CF1" w:rsidP="009E5657">
      <w:r>
        <w:separator/>
      </w:r>
    </w:p>
  </w:endnote>
  <w:endnote w:type="continuationSeparator" w:id="0">
    <w:p w14:paraId="09D54BEE" w14:textId="77777777" w:rsidR="00733CF1" w:rsidRDefault="00733CF1" w:rsidP="009E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rutiger">
    <w:altName w:val="微软雅黑"/>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9B97" w14:textId="77777777" w:rsidR="00315DD2" w:rsidRPr="006C7DD1" w:rsidRDefault="00315DD2" w:rsidP="006C7DD1">
    <w:pPr>
      <w:pStyle w:val="a4"/>
      <w:jc w:val="right"/>
      <w:rPr>
        <w:rFonts w:ascii="Book Antiqua" w:hAnsi="Book Antiqua"/>
        <w:color w:val="000000" w:themeColor="text1"/>
        <w:sz w:val="24"/>
        <w:szCs w:val="24"/>
      </w:rPr>
    </w:pPr>
    <w:r w:rsidRPr="006C7DD1">
      <w:rPr>
        <w:rFonts w:ascii="Book Antiqua" w:hAnsi="Book Antiqua"/>
        <w:color w:val="000000" w:themeColor="text1"/>
        <w:sz w:val="24"/>
        <w:szCs w:val="24"/>
      </w:rPr>
      <w:fldChar w:fldCharType="begin"/>
    </w:r>
    <w:r w:rsidRPr="006C7DD1">
      <w:rPr>
        <w:rFonts w:ascii="Book Antiqua" w:hAnsi="Book Antiqua"/>
        <w:color w:val="000000" w:themeColor="text1"/>
        <w:sz w:val="24"/>
        <w:szCs w:val="24"/>
      </w:rPr>
      <w:instrText>PAGE  \* Arabic  \* MERGEFORMAT</w:instrText>
    </w:r>
    <w:r w:rsidRPr="006C7DD1">
      <w:rPr>
        <w:rFonts w:ascii="Book Antiqua" w:hAnsi="Book Antiqua"/>
        <w:color w:val="000000" w:themeColor="text1"/>
        <w:sz w:val="24"/>
        <w:szCs w:val="24"/>
      </w:rPr>
      <w:fldChar w:fldCharType="separate"/>
    </w:r>
    <w:r w:rsidR="00733CF1" w:rsidRPr="00733CF1">
      <w:rPr>
        <w:rFonts w:ascii="Book Antiqua" w:hAnsi="Book Antiqua"/>
        <w:noProof/>
        <w:color w:val="000000" w:themeColor="text1"/>
        <w:sz w:val="24"/>
        <w:szCs w:val="24"/>
        <w:lang w:val="zh-CN" w:eastAsia="zh-CN"/>
      </w:rPr>
      <w:t>1</w:t>
    </w:r>
    <w:r w:rsidRPr="006C7DD1">
      <w:rPr>
        <w:rFonts w:ascii="Book Antiqua" w:hAnsi="Book Antiqua"/>
        <w:color w:val="000000" w:themeColor="text1"/>
        <w:sz w:val="24"/>
        <w:szCs w:val="24"/>
      </w:rPr>
      <w:fldChar w:fldCharType="end"/>
    </w:r>
    <w:r w:rsidRPr="006C7DD1">
      <w:rPr>
        <w:rFonts w:ascii="Book Antiqua" w:hAnsi="Book Antiqua"/>
        <w:color w:val="000000" w:themeColor="text1"/>
        <w:sz w:val="24"/>
        <w:szCs w:val="24"/>
        <w:lang w:val="zh-CN" w:eastAsia="zh-CN"/>
      </w:rPr>
      <w:t xml:space="preserve"> / </w:t>
    </w:r>
    <w:fldSimple w:instr="NUMPAGES  \* Arabic  \* MERGEFORMAT">
      <w:r w:rsidR="00733CF1" w:rsidRPr="00733CF1">
        <w:rPr>
          <w:rFonts w:ascii="Book Antiqua" w:hAnsi="Book Antiqua"/>
          <w:noProof/>
          <w:color w:val="000000" w:themeColor="text1"/>
          <w:sz w:val="24"/>
          <w:szCs w:val="24"/>
          <w:lang w:val="zh-CN" w:eastAsia="zh-CN"/>
        </w:rPr>
        <w:t>1</w:t>
      </w:r>
    </w:fldSimple>
  </w:p>
  <w:p w14:paraId="0CDFDB02" w14:textId="77777777" w:rsidR="00315DD2" w:rsidRPr="006C7DD1" w:rsidRDefault="00315DD2" w:rsidP="006C7DD1">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2ECC" w14:textId="77777777" w:rsidR="00733CF1" w:rsidRDefault="00733CF1" w:rsidP="009E5657">
      <w:r>
        <w:separator/>
      </w:r>
    </w:p>
  </w:footnote>
  <w:footnote w:type="continuationSeparator" w:id="0">
    <w:p w14:paraId="039B55EC" w14:textId="77777777" w:rsidR="00733CF1" w:rsidRDefault="00733CF1" w:rsidP="009E5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7B7"/>
    <w:rsid w:val="00017742"/>
    <w:rsid w:val="0005684E"/>
    <w:rsid w:val="00057A1F"/>
    <w:rsid w:val="000764CC"/>
    <w:rsid w:val="0009135B"/>
    <w:rsid w:val="00096AA1"/>
    <w:rsid w:val="000A0FF7"/>
    <w:rsid w:val="000C2033"/>
    <w:rsid w:val="000C75BE"/>
    <w:rsid w:val="000D5F1F"/>
    <w:rsid w:val="00100EE9"/>
    <w:rsid w:val="00127CB2"/>
    <w:rsid w:val="00137E78"/>
    <w:rsid w:val="001405EF"/>
    <w:rsid w:val="001474D9"/>
    <w:rsid w:val="001612DD"/>
    <w:rsid w:val="00161B2F"/>
    <w:rsid w:val="00162AE4"/>
    <w:rsid w:val="0017284B"/>
    <w:rsid w:val="00180513"/>
    <w:rsid w:val="00182BC7"/>
    <w:rsid w:val="001873CE"/>
    <w:rsid w:val="0019210C"/>
    <w:rsid w:val="001978B9"/>
    <w:rsid w:val="001A7FB7"/>
    <w:rsid w:val="001B4FCF"/>
    <w:rsid w:val="001F730C"/>
    <w:rsid w:val="00206DFF"/>
    <w:rsid w:val="0021620E"/>
    <w:rsid w:val="00220A20"/>
    <w:rsid w:val="00221217"/>
    <w:rsid w:val="002279E4"/>
    <w:rsid w:val="00237902"/>
    <w:rsid w:val="00257E63"/>
    <w:rsid w:val="00264D13"/>
    <w:rsid w:val="002958D5"/>
    <w:rsid w:val="002B199A"/>
    <w:rsid w:val="002C241D"/>
    <w:rsid w:val="002C3A80"/>
    <w:rsid w:val="002C4973"/>
    <w:rsid w:val="002D3B05"/>
    <w:rsid w:val="002D5819"/>
    <w:rsid w:val="002E308E"/>
    <w:rsid w:val="002F24A4"/>
    <w:rsid w:val="003076AA"/>
    <w:rsid w:val="00315DD2"/>
    <w:rsid w:val="00326467"/>
    <w:rsid w:val="00333AF3"/>
    <w:rsid w:val="003437C4"/>
    <w:rsid w:val="00346B52"/>
    <w:rsid w:val="00347B8E"/>
    <w:rsid w:val="0036140E"/>
    <w:rsid w:val="0036374F"/>
    <w:rsid w:val="00367A50"/>
    <w:rsid w:val="00373709"/>
    <w:rsid w:val="00381814"/>
    <w:rsid w:val="003951F7"/>
    <w:rsid w:val="003C11A4"/>
    <w:rsid w:val="003C481D"/>
    <w:rsid w:val="003D494C"/>
    <w:rsid w:val="003E7BE4"/>
    <w:rsid w:val="003F6E5F"/>
    <w:rsid w:val="00400A49"/>
    <w:rsid w:val="00412315"/>
    <w:rsid w:val="00413C2D"/>
    <w:rsid w:val="00431C4C"/>
    <w:rsid w:val="0043209D"/>
    <w:rsid w:val="00434EA0"/>
    <w:rsid w:val="0043685D"/>
    <w:rsid w:val="00450654"/>
    <w:rsid w:val="00456EE4"/>
    <w:rsid w:val="004A0B20"/>
    <w:rsid w:val="004A1C34"/>
    <w:rsid w:val="004A49FA"/>
    <w:rsid w:val="004A779E"/>
    <w:rsid w:val="004C576F"/>
    <w:rsid w:val="004C5BB3"/>
    <w:rsid w:val="004C6CA2"/>
    <w:rsid w:val="004E26A4"/>
    <w:rsid w:val="004F5F77"/>
    <w:rsid w:val="00505A74"/>
    <w:rsid w:val="005440EB"/>
    <w:rsid w:val="0054544A"/>
    <w:rsid w:val="005511DF"/>
    <w:rsid w:val="00563D8B"/>
    <w:rsid w:val="00571E2C"/>
    <w:rsid w:val="00592081"/>
    <w:rsid w:val="005B3556"/>
    <w:rsid w:val="005D37D8"/>
    <w:rsid w:val="005E6107"/>
    <w:rsid w:val="005F771C"/>
    <w:rsid w:val="00617DA1"/>
    <w:rsid w:val="006236B1"/>
    <w:rsid w:val="00657A56"/>
    <w:rsid w:val="0067211C"/>
    <w:rsid w:val="006A6F78"/>
    <w:rsid w:val="006B071C"/>
    <w:rsid w:val="006C7229"/>
    <w:rsid w:val="006C7DD1"/>
    <w:rsid w:val="006D2547"/>
    <w:rsid w:val="006E2C83"/>
    <w:rsid w:val="006E339D"/>
    <w:rsid w:val="006E69B0"/>
    <w:rsid w:val="007001F6"/>
    <w:rsid w:val="00710CC3"/>
    <w:rsid w:val="0071306C"/>
    <w:rsid w:val="0072656B"/>
    <w:rsid w:val="00733CF1"/>
    <w:rsid w:val="007531F8"/>
    <w:rsid w:val="007929C2"/>
    <w:rsid w:val="0079467F"/>
    <w:rsid w:val="007B770B"/>
    <w:rsid w:val="007C449E"/>
    <w:rsid w:val="007D5E97"/>
    <w:rsid w:val="007F0969"/>
    <w:rsid w:val="007F7905"/>
    <w:rsid w:val="00802394"/>
    <w:rsid w:val="00805AFE"/>
    <w:rsid w:val="00814976"/>
    <w:rsid w:val="00816074"/>
    <w:rsid w:val="008732F4"/>
    <w:rsid w:val="00881FEC"/>
    <w:rsid w:val="0088598A"/>
    <w:rsid w:val="008C4714"/>
    <w:rsid w:val="008E093A"/>
    <w:rsid w:val="00915CA4"/>
    <w:rsid w:val="00915FDA"/>
    <w:rsid w:val="009549EA"/>
    <w:rsid w:val="00965B18"/>
    <w:rsid w:val="009704B9"/>
    <w:rsid w:val="00974E1D"/>
    <w:rsid w:val="00983EA5"/>
    <w:rsid w:val="00991C54"/>
    <w:rsid w:val="0099734A"/>
    <w:rsid w:val="009B01AF"/>
    <w:rsid w:val="009B2B60"/>
    <w:rsid w:val="009B5401"/>
    <w:rsid w:val="009C07F9"/>
    <w:rsid w:val="009D5CA9"/>
    <w:rsid w:val="009E5657"/>
    <w:rsid w:val="009F3423"/>
    <w:rsid w:val="009F4DD7"/>
    <w:rsid w:val="00A02E48"/>
    <w:rsid w:val="00A11C5C"/>
    <w:rsid w:val="00A15172"/>
    <w:rsid w:val="00A439C3"/>
    <w:rsid w:val="00A43EFD"/>
    <w:rsid w:val="00A44813"/>
    <w:rsid w:val="00A45845"/>
    <w:rsid w:val="00A5103D"/>
    <w:rsid w:val="00A77B3E"/>
    <w:rsid w:val="00AC3AE6"/>
    <w:rsid w:val="00AC4CDC"/>
    <w:rsid w:val="00AD5791"/>
    <w:rsid w:val="00AF1F44"/>
    <w:rsid w:val="00B0368D"/>
    <w:rsid w:val="00B44FA3"/>
    <w:rsid w:val="00BA117E"/>
    <w:rsid w:val="00BB4772"/>
    <w:rsid w:val="00BC48EC"/>
    <w:rsid w:val="00BC74F3"/>
    <w:rsid w:val="00BE4EA9"/>
    <w:rsid w:val="00BF382F"/>
    <w:rsid w:val="00BF5FA0"/>
    <w:rsid w:val="00C25A19"/>
    <w:rsid w:val="00C25A30"/>
    <w:rsid w:val="00C56903"/>
    <w:rsid w:val="00C72A6B"/>
    <w:rsid w:val="00C86CF3"/>
    <w:rsid w:val="00C87515"/>
    <w:rsid w:val="00C93B14"/>
    <w:rsid w:val="00CA298F"/>
    <w:rsid w:val="00CA2A55"/>
    <w:rsid w:val="00CB1DE1"/>
    <w:rsid w:val="00CB3A3B"/>
    <w:rsid w:val="00CD7288"/>
    <w:rsid w:val="00D33916"/>
    <w:rsid w:val="00D36661"/>
    <w:rsid w:val="00D57615"/>
    <w:rsid w:val="00D91F05"/>
    <w:rsid w:val="00DB54EE"/>
    <w:rsid w:val="00DC01E0"/>
    <w:rsid w:val="00DD2B45"/>
    <w:rsid w:val="00DF067E"/>
    <w:rsid w:val="00DF1EC8"/>
    <w:rsid w:val="00DF234B"/>
    <w:rsid w:val="00DF29C0"/>
    <w:rsid w:val="00E00A07"/>
    <w:rsid w:val="00E5667A"/>
    <w:rsid w:val="00E80690"/>
    <w:rsid w:val="00EC0E60"/>
    <w:rsid w:val="00F00614"/>
    <w:rsid w:val="00F14A7E"/>
    <w:rsid w:val="00F14E65"/>
    <w:rsid w:val="00F2190E"/>
    <w:rsid w:val="00F2405B"/>
    <w:rsid w:val="00F25D8A"/>
    <w:rsid w:val="00F32B27"/>
    <w:rsid w:val="00F41409"/>
    <w:rsid w:val="00F551D0"/>
    <w:rsid w:val="00F87A9D"/>
    <w:rsid w:val="00F906E9"/>
    <w:rsid w:val="00FA320F"/>
    <w:rsid w:val="00FA5E17"/>
    <w:rsid w:val="00FB0A47"/>
    <w:rsid w:val="00FD1FB7"/>
    <w:rsid w:val="00FD4892"/>
    <w:rsid w:val="00FD794F"/>
    <w:rsid w:val="00FE6B56"/>
    <w:rsid w:val="00FF1029"/>
    <w:rsid w:val="00FF49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1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5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5657"/>
    <w:rPr>
      <w:sz w:val="18"/>
      <w:szCs w:val="18"/>
    </w:rPr>
  </w:style>
  <w:style w:type="paragraph" w:styleId="a4">
    <w:name w:val="footer"/>
    <w:basedOn w:val="a"/>
    <w:link w:val="Char0"/>
    <w:uiPriority w:val="99"/>
    <w:unhideWhenUsed/>
    <w:rsid w:val="009E5657"/>
    <w:pPr>
      <w:tabs>
        <w:tab w:val="center" w:pos="4153"/>
        <w:tab w:val="right" w:pos="8306"/>
      </w:tabs>
      <w:snapToGrid w:val="0"/>
    </w:pPr>
    <w:rPr>
      <w:sz w:val="18"/>
      <w:szCs w:val="18"/>
    </w:rPr>
  </w:style>
  <w:style w:type="character" w:customStyle="1" w:styleId="Char0">
    <w:name w:val="页脚 Char"/>
    <w:basedOn w:val="a0"/>
    <w:link w:val="a4"/>
    <w:uiPriority w:val="99"/>
    <w:rsid w:val="009E5657"/>
    <w:rPr>
      <w:sz w:val="18"/>
      <w:szCs w:val="18"/>
    </w:rPr>
  </w:style>
  <w:style w:type="table" w:styleId="a5">
    <w:name w:val="Table Grid"/>
    <w:basedOn w:val="a1"/>
    <w:uiPriority w:val="59"/>
    <w:rsid w:val="006E339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4">
    <w:name w:val="Pa24"/>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character" w:customStyle="1" w:styleId="A14">
    <w:name w:val="A14"/>
    <w:uiPriority w:val="99"/>
    <w:rsid w:val="006E339D"/>
    <w:rPr>
      <w:rFonts w:cs="Frutiger"/>
      <w:b/>
      <w:bCs/>
      <w:color w:val="000000"/>
      <w:sz w:val="12"/>
      <w:szCs w:val="12"/>
    </w:rPr>
  </w:style>
  <w:style w:type="paragraph" w:customStyle="1" w:styleId="Pa25">
    <w:name w:val="Pa25"/>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paragraph" w:customStyle="1" w:styleId="Pa26">
    <w:name w:val="Pa26"/>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character" w:customStyle="1" w:styleId="A15">
    <w:name w:val="A15"/>
    <w:uiPriority w:val="99"/>
    <w:rsid w:val="006E339D"/>
    <w:rPr>
      <w:rFonts w:cs="Frutiger"/>
      <w:color w:val="000000"/>
      <w:sz w:val="9"/>
      <w:szCs w:val="9"/>
    </w:rPr>
  </w:style>
  <w:style w:type="character" w:styleId="a6">
    <w:name w:val="Hyperlink"/>
    <w:basedOn w:val="a0"/>
    <w:unhideWhenUsed/>
    <w:rsid w:val="003076AA"/>
    <w:rPr>
      <w:color w:val="0000FF" w:themeColor="hyperlink"/>
      <w:u w:val="single"/>
    </w:rPr>
  </w:style>
  <w:style w:type="paragraph" w:styleId="a7">
    <w:name w:val="Revision"/>
    <w:hidden/>
    <w:uiPriority w:val="99"/>
    <w:semiHidden/>
    <w:rsid w:val="002D5819"/>
    <w:rPr>
      <w:sz w:val="24"/>
      <w:szCs w:val="24"/>
    </w:rPr>
  </w:style>
  <w:style w:type="character" w:customStyle="1" w:styleId="UnresolvedMention1">
    <w:name w:val="Unresolved Mention1"/>
    <w:basedOn w:val="a0"/>
    <w:uiPriority w:val="99"/>
    <w:semiHidden/>
    <w:unhideWhenUsed/>
    <w:rsid w:val="00505A74"/>
    <w:rPr>
      <w:color w:val="605E5C"/>
      <w:shd w:val="clear" w:color="auto" w:fill="E1DFDD"/>
    </w:rPr>
  </w:style>
  <w:style w:type="paragraph" w:styleId="a8">
    <w:name w:val="Balloon Text"/>
    <w:basedOn w:val="a"/>
    <w:link w:val="Char1"/>
    <w:semiHidden/>
    <w:unhideWhenUsed/>
    <w:rsid w:val="004C6CA2"/>
    <w:rPr>
      <w:sz w:val="18"/>
      <w:szCs w:val="18"/>
    </w:rPr>
  </w:style>
  <w:style w:type="character" w:customStyle="1" w:styleId="Char1">
    <w:name w:val="批注框文本 Char"/>
    <w:basedOn w:val="a0"/>
    <w:link w:val="a8"/>
    <w:semiHidden/>
    <w:rsid w:val="004C6CA2"/>
    <w:rPr>
      <w:sz w:val="18"/>
      <w:szCs w:val="18"/>
    </w:rPr>
  </w:style>
  <w:style w:type="character" w:styleId="a9">
    <w:name w:val="annotation reference"/>
    <w:basedOn w:val="a0"/>
    <w:semiHidden/>
    <w:unhideWhenUsed/>
    <w:rsid w:val="004C6CA2"/>
    <w:rPr>
      <w:sz w:val="21"/>
      <w:szCs w:val="21"/>
    </w:rPr>
  </w:style>
  <w:style w:type="paragraph" w:styleId="aa">
    <w:name w:val="annotation text"/>
    <w:basedOn w:val="a"/>
    <w:link w:val="Char2"/>
    <w:semiHidden/>
    <w:unhideWhenUsed/>
    <w:rsid w:val="004C6CA2"/>
  </w:style>
  <w:style w:type="character" w:customStyle="1" w:styleId="Char2">
    <w:name w:val="批注文字 Char"/>
    <w:basedOn w:val="a0"/>
    <w:link w:val="aa"/>
    <w:semiHidden/>
    <w:rsid w:val="004C6CA2"/>
    <w:rPr>
      <w:sz w:val="24"/>
      <w:szCs w:val="24"/>
    </w:rPr>
  </w:style>
  <w:style w:type="paragraph" w:styleId="ab">
    <w:name w:val="annotation subject"/>
    <w:basedOn w:val="aa"/>
    <w:next w:val="aa"/>
    <w:link w:val="Char3"/>
    <w:semiHidden/>
    <w:unhideWhenUsed/>
    <w:rsid w:val="004C6CA2"/>
    <w:rPr>
      <w:b/>
      <w:bCs/>
    </w:rPr>
  </w:style>
  <w:style w:type="character" w:customStyle="1" w:styleId="Char3">
    <w:name w:val="批注主题 Char"/>
    <w:basedOn w:val="Char2"/>
    <w:link w:val="ab"/>
    <w:semiHidden/>
    <w:rsid w:val="004C6CA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5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5657"/>
    <w:rPr>
      <w:sz w:val="18"/>
      <w:szCs w:val="18"/>
    </w:rPr>
  </w:style>
  <w:style w:type="paragraph" w:styleId="a4">
    <w:name w:val="footer"/>
    <w:basedOn w:val="a"/>
    <w:link w:val="Char0"/>
    <w:uiPriority w:val="99"/>
    <w:unhideWhenUsed/>
    <w:rsid w:val="009E5657"/>
    <w:pPr>
      <w:tabs>
        <w:tab w:val="center" w:pos="4153"/>
        <w:tab w:val="right" w:pos="8306"/>
      </w:tabs>
      <w:snapToGrid w:val="0"/>
    </w:pPr>
    <w:rPr>
      <w:sz w:val="18"/>
      <w:szCs w:val="18"/>
    </w:rPr>
  </w:style>
  <w:style w:type="character" w:customStyle="1" w:styleId="Char0">
    <w:name w:val="页脚 Char"/>
    <w:basedOn w:val="a0"/>
    <w:link w:val="a4"/>
    <w:uiPriority w:val="99"/>
    <w:rsid w:val="009E5657"/>
    <w:rPr>
      <w:sz w:val="18"/>
      <w:szCs w:val="18"/>
    </w:rPr>
  </w:style>
  <w:style w:type="table" w:styleId="a5">
    <w:name w:val="Table Grid"/>
    <w:basedOn w:val="a1"/>
    <w:uiPriority w:val="59"/>
    <w:rsid w:val="006E339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4">
    <w:name w:val="Pa24"/>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character" w:customStyle="1" w:styleId="A14">
    <w:name w:val="A14"/>
    <w:uiPriority w:val="99"/>
    <w:rsid w:val="006E339D"/>
    <w:rPr>
      <w:rFonts w:cs="Frutiger"/>
      <w:b/>
      <w:bCs/>
      <w:color w:val="000000"/>
      <w:sz w:val="12"/>
      <w:szCs w:val="12"/>
    </w:rPr>
  </w:style>
  <w:style w:type="paragraph" w:customStyle="1" w:styleId="Pa25">
    <w:name w:val="Pa25"/>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paragraph" w:customStyle="1" w:styleId="Pa26">
    <w:name w:val="Pa26"/>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character" w:customStyle="1" w:styleId="A15">
    <w:name w:val="A15"/>
    <w:uiPriority w:val="99"/>
    <w:rsid w:val="006E339D"/>
    <w:rPr>
      <w:rFonts w:cs="Frutiger"/>
      <w:color w:val="000000"/>
      <w:sz w:val="9"/>
      <w:szCs w:val="9"/>
    </w:rPr>
  </w:style>
  <w:style w:type="character" w:styleId="a6">
    <w:name w:val="Hyperlink"/>
    <w:basedOn w:val="a0"/>
    <w:unhideWhenUsed/>
    <w:rsid w:val="003076AA"/>
    <w:rPr>
      <w:color w:val="0000FF" w:themeColor="hyperlink"/>
      <w:u w:val="single"/>
    </w:rPr>
  </w:style>
  <w:style w:type="paragraph" w:styleId="a7">
    <w:name w:val="Revision"/>
    <w:hidden/>
    <w:uiPriority w:val="99"/>
    <w:semiHidden/>
    <w:rsid w:val="002D5819"/>
    <w:rPr>
      <w:sz w:val="24"/>
      <w:szCs w:val="24"/>
    </w:rPr>
  </w:style>
  <w:style w:type="character" w:customStyle="1" w:styleId="UnresolvedMention1">
    <w:name w:val="Unresolved Mention1"/>
    <w:basedOn w:val="a0"/>
    <w:uiPriority w:val="99"/>
    <w:semiHidden/>
    <w:unhideWhenUsed/>
    <w:rsid w:val="00505A74"/>
    <w:rPr>
      <w:color w:val="605E5C"/>
      <w:shd w:val="clear" w:color="auto" w:fill="E1DFDD"/>
    </w:rPr>
  </w:style>
  <w:style w:type="paragraph" w:styleId="a8">
    <w:name w:val="Balloon Text"/>
    <w:basedOn w:val="a"/>
    <w:link w:val="Char1"/>
    <w:semiHidden/>
    <w:unhideWhenUsed/>
    <w:rsid w:val="004C6CA2"/>
    <w:rPr>
      <w:sz w:val="18"/>
      <w:szCs w:val="18"/>
    </w:rPr>
  </w:style>
  <w:style w:type="character" w:customStyle="1" w:styleId="Char1">
    <w:name w:val="批注框文本 Char"/>
    <w:basedOn w:val="a0"/>
    <w:link w:val="a8"/>
    <w:semiHidden/>
    <w:rsid w:val="004C6CA2"/>
    <w:rPr>
      <w:sz w:val="18"/>
      <w:szCs w:val="18"/>
    </w:rPr>
  </w:style>
  <w:style w:type="character" w:styleId="a9">
    <w:name w:val="annotation reference"/>
    <w:basedOn w:val="a0"/>
    <w:semiHidden/>
    <w:unhideWhenUsed/>
    <w:rsid w:val="004C6CA2"/>
    <w:rPr>
      <w:sz w:val="21"/>
      <w:szCs w:val="21"/>
    </w:rPr>
  </w:style>
  <w:style w:type="paragraph" w:styleId="aa">
    <w:name w:val="annotation text"/>
    <w:basedOn w:val="a"/>
    <w:link w:val="Char2"/>
    <w:semiHidden/>
    <w:unhideWhenUsed/>
    <w:rsid w:val="004C6CA2"/>
  </w:style>
  <w:style w:type="character" w:customStyle="1" w:styleId="Char2">
    <w:name w:val="批注文字 Char"/>
    <w:basedOn w:val="a0"/>
    <w:link w:val="aa"/>
    <w:semiHidden/>
    <w:rsid w:val="004C6CA2"/>
    <w:rPr>
      <w:sz w:val="24"/>
      <w:szCs w:val="24"/>
    </w:rPr>
  </w:style>
  <w:style w:type="paragraph" w:styleId="ab">
    <w:name w:val="annotation subject"/>
    <w:basedOn w:val="aa"/>
    <w:next w:val="aa"/>
    <w:link w:val="Char3"/>
    <w:semiHidden/>
    <w:unhideWhenUsed/>
    <w:rsid w:val="004C6CA2"/>
    <w:rPr>
      <w:b/>
      <w:bCs/>
    </w:rPr>
  </w:style>
  <w:style w:type="character" w:customStyle="1" w:styleId="Char3">
    <w:name w:val="批注主题 Char"/>
    <w:basedOn w:val="Char2"/>
    <w:link w:val="ab"/>
    <w:semiHidden/>
    <w:rsid w:val="004C6CA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bi.nlm.nih.gov/pubmed/?term=Zoutendijk%20R%5BAuthor%5D&amp;cauthor=true&amp;cauthor_uid=21563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5F32-9EF1-4629-B498-1A8A28DA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6969</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15</cp:revision>
  <dcterms:created xsi:type="dcterms:W3CDTF">2021-02-03T00:56:00Z</dcterms:created>
  <dcterms:modified xsi:type="dcterms:W3CDTF">2021-02-25T04:48:00Z</dcterms:modified>
</cp:coreProperties>
</file>