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37786"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E6D1762"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60852</w:t>
      </w:r>
    </w:p>
    <w:p w14:paraId="1A27044A"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5DC3DC2" w14:textId="77777777" w:rsidR="00FC0E9A" w:rsidRDefault="00FC0E9A">
      <w:pPr>
        <w:spacing w:line="360" w:lineRule="auto"/>
        <w:jc w:val="both"/>
        <w:rPr>
          <w:rFonts w:ascii="Book Antiqua" w:hAnsi="Book Antiqua"/>
        </w:rPr>
      </w:pPr>
    </w:p>
    <w:p w14:paraId="4D3A2221" w14:textId="77777777" w:rsidR="00FC0E9A" w:rsidRDefault="008C0FEC">
      <w:pPr>
        <w:spacing w:line="360" w:lineRule="auto"/>
        <w:jc w:val="both"/>
        <w:rPr>
          <w:rFonts w:ascii="Book Antiqua" w:hAnsi="Book Antiqua"/>
        </w:rPr>
      </w:pPr>
      <w:r>
        <w:rPr>
          <w:rFonts w:ascii="Book Antiqua" w:eastAsia="Book Antiqua" w:hAnsi="Book Antiqua" w:cs="Book Antiqua"/>
          <w:b/>
          <w:i/>
          <w:color w:val="000000"/>
        </w:rPr>
        <w:t>Clinical and Translational Research</w:t>
      </w:r>
    </w:p>
    <w:p w14:paraId="4A3C1FFC" w14:textId="77777777" w:rsidR="00FC0E9A" w:rsidRDefault="008C0FEC">
      <w:pPr>
        <w:spacing w:line="360" w:lineRule="auto"/>
        <w:jc w:val="both"/>
        <w:rPr>
          <w:rFonts w:ascii="Book Antiqua" w:hAnsi="Book Antiqua"/>
        </w:rPr>
      </w:pPr>
      <w:bookmarkStart w:id="0" w:name="OLE_LINK305"/>
      <w:r>
        <w:rPr>
          <w:rFonts w:ascii="Book Antiqua" w:eastAsia="Book Antiqua" w:hAnsi="Book Antiqua" w:cs="Book Antiqua"/>
          <w:b/>
          <w:color w:val="000000"/>
        </w:rPr>
        <w:t>Circulating tumor cells with epithelial-mesenchymal transition markers as potential biomarkers for the diagnosis of lung cancer</w:t>
      </w:r>
    </w:p>
    <w:bookmarkEnd w:id="0"/>
    <w:p w14:paraId="7FA3D1C5" w14:textId="77777777" w:rsidR="00FC0E9A" w:rsidRDefault="00FC0E9A">
      <w:pPr>
        <w:spacing w:line="360" w:lineRule="auto"/>
        <w:jc w:val="both"/>
        <w:rPr>
          <w:rFonts w:ascii="Book Antiqua" w:hAnsi="Book Antiqua"/>
        </w:rPr>
      </w:pPr>
    </w:p>
    <w:p w14:paraId="4AB380DB"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Jiang SS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346"/>
      <w:bookmarkStart w:id="2" w:name="OLE_LINK306"/>
      <w:r>
        <w:rPr>
          <w:rFonts w:ascii="Book Antiqua" w:eastAsia="Book Antiqua" w:hAnsi="Book Antiqua" w:cs="Book Antiqua"/>
          <w:color w:val="000000"/>
        </w:rPr>
        <w:t>CTCs categorized by EMT markers in LC</w:t>
      </w:r>
    </w:p>
    <w:bookmarkEnd w:id="1"/>
    <w:bookmarkEnd w:id="2"/>
    <w:p w14:paraId="63632900" w14:textId="77777777" w:rsidR="00FC0E9A" w:rsidRDefault="00FC0E9A">
      <w:pPr>
        <w:spacing w:line="360" w:lineRule="auto"/>
        <w:jc w:val="both"/>
        <w:rPr>
          <w:rFonts w:ascii="Book Antiqua" w:hAnsi="Book Antiqua"/>
        </w:rPr>
      </w:pPr>
    </w:p>
    <w:p w14:paraId="6E28BDDD"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Sha-Sha Jiang, Chun-Guo Mao, Yong-Geng Feng, Bin Jiang, Shao-Lin Tao, Qun-You Tan, Bo Deng</w:t>
      </w:r>
    </w:p>
    <w:p w14:paraId="2C08B176" w14:textId="77777777" w:rsidR="00FC0E9A" w:rsidRDefault="00FC0E9A">
      <w:pPr>
        <w:spacing w:line="360" w:lineRule="auto"/>
        <w:jc w:val="both"/>
        <w:rPr>
          <w:rFonts w:ascii="Book Antiqua" w:hAnsi="Book Antiqua"/>
        </w:rPr>
      </w:pPr>
    </w:p>
    <w:p w14:paraId="648CBE2D"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Sha-Sha Jiang, Chun-Guo Mao, Yong-Geng Feng, Bin Jiang, Shao-Lin Tao, Qun-You Tan, Bo Deng, </w:t>
      </w:r>
      <w:bookmarkStart w:id="3" w:name="OLE_LINK312"/>
      <w:bookmarkStart w:id="4" w:name="OLE_LINK307"/>
      <w:bookmarkStart w:id="5" w:name="OLE_LINK315"/>
      <w:bookmarkStart w:id="6" w:name="OLE_LINK321"/>
      <w:bookmarkStart w:id="7" w:name="OLE_LINK311"/>
      <w:bookmarkStart w:id="8" w:name="OLE_LINK317"/>
      <w:bookmarkStart w:id="9" w:name="OLE_LINK319"/>
      <w:bookmarkStart w:id="10" w:name="OLE_LINK308"/>
      <w:r>
        <w:rPr>
          <w:rFonts w:ascii="Book Antiqua" w:eastAsia="Book Antiqua" w:hAnsi="Book Antiqua" w:cs="Book Antiqua"/>
          <w:color w:val="000000"/>
        </w:rPr>
        <w:t>Department of Thoracic Surgery</w:t>
      </w:r>
      <w:bookmarkEnd w:id="3"/>
      <w:bookmarkEnd w:id="4"/>
      <w:bookmarkEnd w:id="5"/>
      <w:bookmarkEnd w:id="6"/>
      <w:bookmarkEnd w:id="7"/>
      <w:bookmarkEnd w:id="8"/>
      <w:bookmarkEnd w:id="9"/>
      <w:bookmarkEnd w:id="10"/>
      <w:r>
        <w:rPr>
          <w:rFonts w:ascii="Book Antiqua" w:eastAsia="Book Antiqua" w:hAnsi="Book Antiqua" w:cs="Book Antiqua"/>
          <w:color w:val="000000"/>
        </w:rPr>
        <w:t xml:space="preserve">, </w:t>
      </w:r>
      <w:bookmarkStart w:id="11" w:name="OLE_LINK313"/>
      <w:bookmarkStart w:id="12" w:name="OLE_LINK314"/>
      <w:bookmarkStart w:id="13" w:name="OLE_LINK316"/>
      <w:bookmarkStart w:id="14" w:name="OLE_LINK318"/>
      <w:bookmarkStart w:id="15" w:name="OLE_LINK320"/>
      <w:bookmarkStart w:id="16" w:name="OLE_LINK310"/>
      <w:bookmarkStart w:id="17" w:name="OLE_LINK322"/>
      <w:bookmarkStart w:id="18" w:name="OLE_LINK309"/>
      <w:r>
        <w:rPr>
          <w:rFonts w:ascii="Book Antiqua" w:eastAsia="Book Antiqua" w:hAnsi="Book Antiqua" w:cs="Book Antiqua"/>
          <w:color w:val="000000"/>
        </w:rPr>
        <w:t>Institute of Surgery Research, Daping Hospital, Army Medical University</w:t>
      </w:r>
      <w:bookmarkEnd w:id="11"/>
      <w:bookmarkEnd w:id="12"/>
      <w:bookmarkEnd w:id="13"/>
      <w:bookmarkEnd w:id="14"/>
      <w:bookmarkEnd w:id="15"/>
      <w:bookmarkEnd w:id="16"/>
      <w:bookmarkEnd w:id="17"/>
      <w:bookmarkEnd w:id="18"/>
      <w:r>
        <w:rPr>
          <w:rFonts w:ascii="Book Antiqua" w:eastAsia="Book Antiqua" w:hAnsi="Book Antiqua" w:cs="Book Antiqua"/>
          <w:color w:val="000000"/>
        </w:rPr>
        <w:t>, Chongqing 400042, China</w:t>
      </w:r>
    </w:p>
    <w:p w14:paraId="0668BB0A" w14:textId="77777777" w:rsidR="00FC0E9A" w:rsidRDefault="00FC0E9A">
      <w:pPr>
        <w:spacing w:line="360" w:lineRule="auto"/>
        <w:jc w:val="both"/>
        <w:rPr>
          <w:rFonts w:ascii="Book Antiqua" w:hAnsi="Book Antiqua"/>
        </w:rPr>
      </w:pPr>
    </w:p>
    <w:p w14:paraId="7ADC1751"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Jiang SS and Mao CG performed the research and wrote the paper; Feng YG and Jiang B designed the research and supervised the study; Tao SL and Tan QY designed the research and contributed to the analyses; Deng B provided clinical advice and supervised the report.</w:t>
      </w:r>
    </w:p>
    <w:p w14:paraId="68777077" w14:textId="77777777" w:rsidR="00FC0E9A" w:rsidRDefault="00FC0E9A">
      <w:pPr>
        <w:spacing w:line="360" w:lineRule="auto"/>
        <w:jc w:val="both"/>
        <w:rPr>
          <w:rFonts w:ascii="Book Antiqua" w:hAnsi="Book Antiqua"/>
        </w:rPr>
      </w:pPr>
    </w:p>
    <w:p w14:paraId="492270C1"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19" w:name="OLE_LINK330"/>
      <w:bookmarkStart w:id="20" w:name="OLE_LINK331"/>
      <w:bookmarkStart w:id="21" w:name="OLE_LINK347"/>
      <w:r>
        <w:rPr>
          <w:rFonts w:ascii="Book Antiqua" w:eastAsia="Book Antiqua" w:hAnsi="Book Antiqua" w:cs="Book Antiqua"/>
          <w:color w:val="000000"/>
        </w:rPr>
        <w:t>National Natural Science Foundation of China</w:t>
      </w:r>
      <w:bookmarkEnd w:id="19"/>
      <w:bookmarkEnd w:id="20"/>
      <w:r>
        <w:rPr>
          <w:rFonts w:ascii="Book Antiqua" w:eastAsia="Book Antiqua" w:hAnsi="Book Antiqua" w:cs="Book Antiqua"/>
          <w:color w:val="000000"/>
        </w:rPr>
        <w:t xml:space="preserve">, No. </w:t>
      </w:r>
      <w:bookmarkStart w:id="22" w:name="OLE_LINK333"/>
      <w:bookmarkStart w:id="23" w:name="OLE_LINK332"/>
      <w:r>
        <w:rPr>
          <w:rFonts w:ascii="Book Antiqua" w:eastAsia="Book Antiqua" w:hAnsi="Book Antiqua" w:cs="Book Antiqua"/>
          <w:color w:val="000000"/>
        </w:rPr>
        <w:t>81572285</w:t>
      </w:r>
      <w:bookmarkEnd w:id="22"/>
      <w:bookmarkEnd w:id="23"/>
      <w:r>
        <w:rPr>
          <w:rFonts w:ascii="Book Antiqua" w:eastAsia="Book Antiqua" w:hAnsi="Book Antiqua" w:cs="Book Antiqua"/>
          <w:color w:val="000000"/>
        </w:rPr>
        <w:t>;</w:t>
      </w:r>
      <w:r>
        <w:rPr>
          <w:rFonts w:ascii="Book Antiqua" w:eastAsiaTheme="minorEastAsia" w:hAnsi="Book Antiqua" w:hint="eastAsia"/>
          <w:lang w:eastAsia="zh-CN"/>
        </w:rPr>
        <w:t xml:space="preserve"> </w:t>
      </w:r>
      <w:bookmarkStart w:id="24" w:name="OLE_LINK334"/>
      <w:bookmarkStart w:id="25" w:name="OLE_LINK335"/>
      <w:r>
        <w:rPr>
          <w:rFonts w:ascii="Book Antiqua" w:eastAsia="Book Antiqua" w:hAnsi="Book Antiqua" w:cs="Book Antiqua"/>
          <w:color w:val="000000"/>
        </w:rPr>
        <w:t>The Natural Science Foundation of Chongqing City</w:t>
      </w:r>
      <w:bookmarkEnd w:id="24"/>
      <w:bookmarkEnd w:id="25"/>
      <w:r>
        <w:rPr>
          <w:rFonts w:ascii="Book Antiqua" w:eastAsia="Book Antiqua" w:hAnsi="Book Antiqua" w:cs="Book Antiqua"/>
          <w:color w:val="000000"/>
        </w:rPr>
        <w:t xml:space="preserve">, No. </w:t>
      </w:r>
      <w:bookmarkStart w:id="26" w:name="OLE_LINK337"/>
      <w:bookmarkStart w:id="27" w:name="OLE_LINK336"/>
      <w:r>
        <w:rPr>
          <w:rFonts w:ascii="Book Antiqua" w:eastAsiaTheme="minorEastAsia" w:hAnsi="Book Antiqua" w:cs="Book Antiqua" w:hint="eastAsia"/>
          <w:color w:val="000000"/>
          <w:lang w:eastAsia="zh-CN"/>
        </w:rPr>
        <w:t>cstc</w:t>
      </w:r>
      <w:r>
        <w:rPr>
          <w:rFonts w:ascii="Book Antiqua" w:eastAsia="Book Antiqua" w:hAnsi="Book Antiqua" w:cs="Book Antiqua"/>
          <w:color w:val="000000"/>
        </w:rPr>
        <w:t>2018jcyjAX0592</w:t>
      </w:r>
      <w:bookmarkEnd w:id="26"/>
      <w:bookmarkEnd w:id="27"/>
      <w:r>
        <w:rPr>
          <w:rFonts w:ascii="Book Antiqua" w:eastAsia="Book Antiqua" w:hAnsi="Book Antiqua" w:cs="Book Antiqua"/>
          <w:color w:val="000000"/>
        </w:rPr>
        <w:t>;</w:t>
      </w:r>
      <w:r>
        <w:rPr>
          <w:rFonts w:ascii="Book Antiqua" w:eastAsiaTheme="minorEastAsia" w:hAnsi="Book Antiqua" w:hint="eastAsia"/>
          <w:lang w:eastAsia="zh-CN"/>
        </w:rPr>
        <w:t xml:space="preserve"> </w:t>
      </w:r>
      <w:bookmarkStart w:id="28" w:name="OLE_LINK338"/>
      <w:bookmarkStart w:id="29" w:name="OLE_LINK339"/>
      <w:r>
        <w:rPr>
          <w:rFonts w:ascii="Book Antiqua" w:eastAsiaTheme="minorEastAsia" w:hAnsi="Book Antiqua" w:hint="eastAsia"/>
          <w:lang w:eastAsia="zh-CN"/>
        </w:rPr>
        <w:t>and</w:t>
      </w:r>
      <w:r>
        <w:rPr>
          <w:rFonts w:ascii="Book Antiqua" w:eastAsiaTheme="minorEastAsia" w:hAnsi="Book Antiqua"/>
          <w:lang w:eastAsia="zh-CN"/>
        </w:rPr>
        <w:t xml:space="preserve"> </w:t>
      </w:r>
      <w:r>
        <w:rPr>
          <w:rFonts w:ascii="Book Antiqua" w:eastAsia="Book Antiqua" w:hAnsi="Book Antiqua" w:cs="Book Antiqua"/>
          <w:color w:val="000000"/>
        </w:rPr>
        <w:t>The Army Medical University Clinical Medical Research Talent Training Program</w:t>
      </w:r>
      <w:bookmarkEnd w:id="28"/>
      <w:bookmarkEnd w:id="29"/>
      <w:r>
        <w:rPr>
          <w:rFonts w:ascii="Book Antiqua" w:eastAsia="Book Antiqua" w:hAnsi="Book Antiqua" w:cs="Book Antiqua"/>
          <w:color w:val="000000"/>
        </w:rPr>
        <w:t xml:space="preserve">, No. </w:t>
      </w:r>
      <w:bookmarkStart w:id="30" w:name="OLE_LINK341"/>
      <w:bookmarkStart w:id="31" w:name="OLE_LINK340"/>
      <w:r>
        <w:rPr>
          <w:rFonts w:ascii="Book Antiqua" w:eastAsia="Book Antiqua" w:hAnsi="Book Antiqua" w:cs="Book Antiqua"/>
          <w:color w:val="000000"/>
        </w:rPr>
        <w:t>2018XLC3062</w:t>
      </w:r>
      <w:bookmarkEnd w:id="30"/>
      <w:bookmarkEnd w:id="31"/>
      <w:r>
        <w:rPr>
          <w:rFonts w:ascii="Book Antiqua" w:eastAsia="Book Antiqua" w:hAnsi="Book Antiqua" w:cs="Book Antiqua"/>
          <w:color w:val="000000"/>
        </w:rPr>
        <w:t>.</w:t>
      </w:r>
    </w:p>
    <w:bookmarkEnd w:id="21"/>
    <w:p w14:paraId="494C68B1" w14:textId="77777777" w:rsidR="00FC0E9A" w:rsidRDefault="00FC0E9A">
      <w:pPr>
        <w:spacing w:line="360" w:lineRule="auto"/>
        <w:jc w:val="both"/>
        <w:rPr>
          <w:rFonts w:ascii="Book Antiqua" w:hAnsi="Book Antiqua"/>
        </w:rPr>
      </w:pPr>
    </w:p>
    <w:p w14:paraId="13591A35"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Corresponding author: Bo Deng, MD, PhD, Professor, Surgeon, </w:t>
      </w:r>
      <w:bookmarkStart w:id="32" w:name="OLE_LINK324"/>
      <w:bookmarkStart w:id="33" w:name="OLE_LINK325"/>
      <w:r>
        <w:rPr>
          <w:rFonts w:ascii="Book Antiqua" w:eastAsia="Book Antiqua" w:hAnsi="Book Antiqua" w:cs="Book Antiqua"/>
          <w:color w:val="000000"/>
        </w:rPr>
        <w:t>Department of Thoracic Surgery</w:t>
      </w:r>
      <w:bookmarkEnd w:id="32"/>
      <w:bookmarkEnd w:id="33"/>
      <w:r>
        <w:rPr>
          <w:rFonts w:ascii="Book Antiqua" w:eastAsia="Book Antiqua" w:hAnsi="Book Antiqua" w:cs="Book Antiqua"/>
          <w:color w:val="000000"/>
        </w:rPr>
        <w:t xml:space="preserve">, </w:t>
      </w:r>
      <w:bookmarkStart w:id="34" w:name="OLE_LINK326"/>
      <w:bookmarkStart w:id="35" w:name="OLE_LINK327"/>
      <w:r>
        <w:rPr>
          <w:rFonts w:ascii="Book Antiqua" w:eastAsia="Book Antiqua" w:hAnsi="Book Antiqua" w:cs="Book Antiqua"/>
          <w:color w:val="000000"/>
        </w:rPr>
        <w:t xml:space="preserve">Institute of Surgery Research, Daping Hospital, Army Medical </w:t>
      </w:r>
      <w:r>
        <w:rPr>
          <w:rFonts w:ascii="Book Antiqua" w:eastAsia="Book Antiqua" w:hAnsi="Book Antiqua" w:cs="Book Antiqua"/>
          <w:color w:val="000000"/>
        </w:rPr>
        <w:lastRenderedPageBreak/>
        <w:t>University</w:t>
      </w:r>
      <w:bookmarkEnd w:id="34"/>
      <w:bookmarkEnd w:id="35"/>
      <w:r>
        <w:rPr>
          <w:rFonts w:ascii="Book Antiqua" w:eastAsia="Book Antiqua" w:hAnsi="Book Antiqua" w:cs="Book Antiqua"/>
          <w:color w:val="000000"/>
        </w:rPr>
        <w:t xml:space="preserve">, </w:t>
      </w:r>
      <w:bookmarkStart w:id="36" w:name="OLE_LINK328"/>
      <w:bookmarkStart w:id="37" w:name="OLE_LINK329"/>
      <w:r>
        <w:rPr>
          <w:rFonts w:ascii="Book Antiqua" w:eastAsia="Book Antiqua" w:hAnsi="Book Antiqua" w:cs="Book Antiqua"/>
          <w:color w:val="000000"/>
        </w:rPr>
        <w:t>No. 10 Changjiang Branch Street, Yuzhong District</w:t>
      </w:r>
      <w:bookmarkEnd w:id="36"/>
      <w:bookmarkEnd w:id="37"/>
      <w:r>
        <w:rPr>
          <w:rFonts w:ascii="Book Antiqua" w:eastAsia="Book Antiqua" w:hAnsi="Book Antiqua" w:cs="Book Antiqua"/>
          <w:color w:val="000000"/>
        </w:rPr>
        <w:t xml:space="preserve">, Chongqing 400042, China. </w:t>
      </w:r>
      <w:bookmarkStart w:id="38" w:name="OLE_LINK323"/>
      <w:r>
        <w:rPr>
          <w:rFonts w:ascii="Book Antiqua" w:eastAsia="Book Antiqua" w:hAnsi="Book Antiqua" w:cs="Book Antiqua"/>
          <w:color w:val="000000"/>
        </w:rPr>
        <w:t>dengbo@tmmu.edu.cn</w:t>
      </w:r>
      <w:bookmarkEnd w:id="38"/>
    </w:p>
    <w:p w14:paraId="5C4F16CE" w14:textId="77777777" w:rsidR="00FC0E9A" w:rsidRDefault="00FC0E9A">
      <w:pPr>
        <w:spacing w:line="360" w:lineRule="auto"/>
        <w:jc w:val="both"/>
        <w:rPr>
          <w:rFonts w:ascii="Book Antiqua" w:hAnsi="Book Antiqua"/>
        </w:rPr>
      </w:pPr>
    </w:p>
    <w:p w14:paraId="612AB579"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20, 2020</w:t>
      </w:r>
    </w:p>
    <w:p w14:paraId="3E80DE97"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19, 2021</w:t>
      </w:r>
    </w:p>
    <w:p w14:paraId="70E81574"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4, 2021</w:t>
      </w:r>
    </w:p>
    <w:p w14:paraId="128BF1BD"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April</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26</w:t>
      </w:r>
      <w:r>
        <w:rPr>
          <w:rFonts w:ascii="Book Antiqua" w:eastAsia="Book Antiqua" w:hAnsi="Book Antiqua" w:cs="Book Antiqua" w:hint="eastAsia"/>
          <w:color w:val="000000"/>
        </w:rPr>
        <w:t>, 2021</w:t>
      </w:r>
    </w:p>
    <w:p w14:paraId="024D293D" w14:textId="77777777" w:rsidR="00FC0E9A" w:rsidRDefault="00FC0E9A">
      <w:pPr>
        <w:spacing w:line="360" w:lineRule="auto"/>
        <w:jc w:val="both"/>
        <w:rPr>
          <w:rFonts w:ascii="Book Antiqua" w:hAnsi="Book Antiqua"/>
        </w:rPr>
      </w:pPr>
    </w:p>
    <w:p w14:paraId="1769D481" w14:textId="77777777" w:rsidR="00810AC3" w:rsidRDefault="00810AC3">
      <w:pPr>
        <w:spacing w:line="360" w:lineRule="auto"/>
        <w:jc w:val="both"/>
        <w:rPr>
          <w:rFonts w:ascii="Book Antiqua" w:hAnsi="Book Antiqua"/>
        </w:rPr>
      </w:pPr>
    </w:p>
    <w:p w14:paraId="403FF0A9"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Abstract</w:t>
      </w:r>
    </w:p>
    <w:p w14:paraId="70006CAB"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BACKGROUND</w:t>
      </w:r>
    </w:p>
    <w:p w14:paraId="5B55BDD4" w14:textId="77777777" w:rsidR="00FC0E9A" w:rsidRDefault="008C0FEC">
      <w:pPr>
        <w:spacing w:line="360" w:lineRule="auto"/>
        <w:jc w:val="both"/>
        <w:rPr>
          <w:rFonts w:ascii="Book Antiqua" w:hAnsi="Book Antiqua"/>
        </w:rPr>
      </w:pPr>
      <w:bookmarkStart w:id="39" w:name="OLE_LINK351"/>
      <w:bookmarkStart w:id="40" w:name="OLE_LINK350"/>
      <w:r>
        <w:rPr>
          <w:rFonts w:ascii="Book Antiqua" w:eastAsia="Book Antiqua" w:hAnsi="Book Antiqua" w:cs="Book Antiqua"/>
          <w:color w:val="000000"/>
        </w:rPr>
        <w:t xml:space="preserve">Circulating tumor cells (CTCs) can be clustered into three subtypes according to epithelial-mesenchymal transition (EMT) markers: CTCs with epithelial markers (E-CTCs), CTCs with mesenchymal markers (M-CTCs), and CTCs with both markers (E&amp;M-CTCs). CTC detection has clinical implications in the diagnosis of lung cancer (LC). </w:t>
      </w:r>
    </w:p>
    <w:bookmarkEnd w:id="39"/>
    <w:bookmarkEnd w:id="40"/>
    <w:p w14:paraId="03604277" w14:textId="77777777" w:rsidR="00FC0E9A" w:rsidRDefault="00FC0E9A">
      <w:pPr>
        <w:spacing w:line="360" w:lineRule="auto"/>
        <w:jc w:val="both"/>
        <w:rPr>
          <w:rFonts w:ascii="Book Antiqua" w:hAnsi="Book Antiqua"/>
        </w:rPr>
      </w:pPr>
    </w:p>
    <w:p w14:paraId="1EE2778B"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AIM</w:t>
      </w:r>
    </w:p>
    <w:p w14:paraId="7110DEB1"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To clarify the diagnostic value of CTCs categorized by EMT markers in LC.</w:t>
      </w:r>
    </w:p>
    <w:p w14:paraId="2F3C2C48" w14:textId="77777777" w:rsidR="00FC0E9A" w:rsidRDefault="00FC0E9A">
      <w:pPr>
        <w:spacing w:line="360" w:lineRule="auto"/>
        <w:jc w:val="both"/>
        <w:rPr>
          <w:rFonts w:ascii="Book Antiqua" w:hAnsi="Book Antiqua"/>
        </w:rPr>
      </w:pPr>
    </w:p>
    <w:p w14:paraId="327B82ED"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METHODS</w:t>
      </w:r>
    </w:p>
    <w:p w14:paraId="475A7D7D" w14:textId="77777777" w:rsidR="00FC0E9A" w:rsidRDefault="008C0FEC">
      <w:pPr>
        <w:spacing w:line="360" w:lineRule="auto"/>
        <w:jc w:val="both"/>
        <w:rPr>
          <w:rFonts w:ascii="Book Antiqua" w:hAnsi="Book Antiqua"/>
        </w:rPr>
      </w:pPr>
      <w:bookmarkStart w:id="41" w:name="OLE_LINK353"/>
      <w:bookmarkStart w:id="42" w:name="OLE_LINK352"/>
      <w:r>
        <w:rPr>
          <w:rFonts w:ascii="Book Antiqua" w:eastAsia="Book Antiqua" w:hAnsi="Book Antiqua" w:cs="Book Antiqua"/>
          <w:color w:val="000000"/>
        </w:rPr>
        <w:t>The study included 106 patients with lung adenocarcinoma, including 42 ground-glass opacities (GGO) and 64 solid lesions, who underwent surgery between July 2015 and December 2019. Eleven patients with benign tumors and seventeen healthy controls were included. CTCs in peripheral blood and associated EMT markers were detected preoperatively using the CanPatrol</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technique. The diagnostic power of CTCs for discriminating LC cases from controls was analyzed by the receiver operating characteristic (ROC) curve. The CytoploRare technique was used in 20 cases and 18 controls for validation, and Kappa values were calculated to evaluate consistency between techniques.</w:t>
      </w:r>
    </w:p>
    <w:bookmarkEnd w:id="41"/>
    <w:bookmarkEnd w:id="42"/>
    <w:p w14:paraId="758CF182" w14:textId="77777777" w:rsidR="00FC0E9A" w:rsidRDefault="00FC0E9A">
      <w:pPr>
        <w:spacing w:line="360" w:lineRule="auto"/>
        <w:jc w:val="both"/>
        <w:rPr>
          <w:rFonts w:ascii="Book Antiqua" w:hAnsi="Book Antiqua"/>
        </w:rPr>
      </w:pPr>
    </w:p>
    <w:p w14:paraId="3B1A04E8"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RESULTS</w:t>
      </w:r>
    </w:p>
    <w:p w14:paraId="703B1BB5"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Of the 106 LC cases, 94 (89.6%) had at least one CTC. CTCs were detectable in 35 (83.3%) of 42 GGO cases. Total CTCs and E&amp;M-CTCs were significantly more frequent in LC cases than in benign or healthy controls. The proportion of M-CTCs plus E&amp;M-CTCs increased gradually from healthy controls, to</w:t>
      </w:r>
      <w:r>
        <w:rPr>
          <w:rFonts w:ascii="Book Antiqua" w:eastAsiaTheme="minorEastAsia" w:hAnsi="Book Antiqua" w:hint="eastAsia"/>
          <w:lang w:eastAsia="zh-CN"/>
        </w:rPr>
        <w:t xml:space="preserve"> </w:t>
      </w:r>
      <w:r>
        <w:rPr>
          <w:rFonts w:ascii="Book Antiqua" w:eastAsia="Book Antiqua" w:hAnsi="Book Antiqua" w:cs="Book Antiqua"/>
          <w:color w:val="000000"/>
        </w:rPr>
        <w:t>benign controls, to LC cases. The area under the ROC curve of total CTCs and E&amp;M-CTCs was &gt; 0.8 and &gt; 10.75, respectively. The combined sensitivity of total-CTCs and E&amp;M-CTCs was 85.85% for LC patients (80.95% for GGO patients) and the specificity was 78.57%. The Kappa value was 0.415, indicating relative consistency between CanPatrol</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and CytoploRare. </w:t>
      </w:r>
    </w:p>
    <w:p w14:paraId="26A2F062" w14:textId="77777777" w:rsidR="00FC0E9A" w:rsidRDefault="00FC0E9A">
      <w:pPr>
        <w:spacing w:line="360" w:lineRule="auto"/>
        <w:jc w:val="both"/>
        <w:rPr>
          <w:rFonts w:ascii="Book Antiqua" w:hAnsi="Book Antiqua"/>
        </w:rPr>
      </w:pPr>
    </w:p>
    <w:p w14:paraId="53EC9C5E"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CONCLUSION</w:t>
      </w:r>
    </w:p>
    <w:p w14:paraId="3737A7E7" w14:textId="77777777" w:rsidR="00FC0E9A" w:rsidRDefault="008C0FEC">
      <w:pPr>
        <w:spacing w:line="360" w:lineRule="auto"/>
        <w:jc w:val="both"/>
        <w:rPr>
          <w:rFonts w:ascii="Book Antiqua" w:hAnsi="Book Antiqua"/>
        </w:rPr>
      </w:pPr>
      <w:bookmarkStart w:id="43" w:name="OLE_LINK355"/>
      <w:bookmarkStart w:id="44" w:name="OLE_LINK354"/>
      <w:r>
        <w:rPr>
          <w:rFonts w:ascii="Book Antiqua" w:eastAsia="Book Antiqua" w:hAnsi="Book Antiqua" w:cs="Book Antiqua"/>
          <w:color w:val="000000"/>
        </w:rPr>
        <w:t>CTC detection is valuable for distinguishing LC from controls, and particularly E&amp;M-CTC detection warrants further study.</w:t>
      </w:r>
    </w:p>
    <w:bookmarkEnd w:id="43"/>
    <w:bookmarkEnd w:id="44"/>
    <w:p w14:paraId="6D311604" w14:textId="77777777" w:rsidR="00FC0E9A" w:rsidRDefault="00FC0E9A">
      <w:pPr>
        <w:spacing w:line="360" w:lineRule="auto"/>
        <w:jc w:val="both"/>
        <w:rPr>
          <w:rFonts w:ascii="Book Antiqua" w:hAnsi="Book Antiqua"/>
        </w:rPr>
      </w:pPr>
    </w:p>
    <w:p w14:paraId="0F269423"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45" w:name="OLE_LINK348"/>
      <w:bookmarkStart w:id="46" w:name="OLE_LINK349"/>
      <w:r>
        <w:rPr>
          <w:rFonts w:ascii="Book Antiqua" w:eastAsia="Book Antiqua" w:hAnsi="Book Antiqua" w:cs="Book Antiqua"/>
          <w:color w:val="000000"/>
        </w:rPr>
        <w:t>Circulating tumor cells; Epithelial-to-mesenchymal transition; Diagnosis; Lung cancer; Ground-glass opacities; CanPatrol</w:t>
      </w:r>
    </w:p>
    <w:bookmarkEnd w:id="45"/>
    <w:bookmarkEnd w:id="46"/>
    <w:p w14:paraId="27DD3C5C" w14:textId="77777777" w:rsidR="007A464A" w:rsidRDefault="007A464A" w:rsidP="007A464A">
      <w:pPr>
        <w:spacing w:line="360" w:lineRule="auto"/>
        <w:jc w:val="both"/>
        <w:rPr>
          <w:lang w:eastAsia="zh-CN"/>
        </w:rPr>
      </w:pPr>
    </w:p>
    <w:p w14:paraId="6D616AC3" w14:textId="77777777" w:rsidR="007A464A" w:rsidRPr="00026CB8" w:rsidRDefault="007A464A" w:rsidP="007A464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60DBFC8" w14:textId="77777777" w:rsidR="00FC0E9A" w:rsidRDefault="00FC0E9A">
      <w:pPr>
        <w:spacing w:line="360" w:lineRule="auto"/>
        <w:jc w:val="both"/>
        <w:rPr>
          <w:rFonts w:ascii="Book Antiqua" w:hAnsi="Book Antiqua"/>
        </w:rPr>
      </w:pPr>
    </w:p>
    <w:p w14:paraId="44C8A288" w14:textId="5584A3C2" w:rsidR="0048456E" w:rsidRDefault="0048456E">
      <w:pPr>
        <w:spacing w:line="360" w:lineRule="auto"/>
        <w:jc w:val="both"/>
        <w:rPr>
          <w:rFonts w:ascii="Book Antiqua" w:eastAsiaTheme="minorEastAsia" w:hAnsi="Book Antiqua" w:cs="Book Antiqua" w:hint="eastAsia"/>
          <w:color w:val="000000"/>
          <w:lang w:eastAsia="zh-CN"/>
        </w:rPr>
      </w:pPr>
      <w:bookmarkStart w:id="47" w:name="OLE_LINK343"/>
      <w:bookmarkStart w:id="48" w:name="OLE_LINK342"/>
      <w:r w:rsidRPr="0048456E">
        <w:rPr>
          <w:rFonts w:ascii="Book Antiqua" w:eastAsiaTheme="minorEastAsia" w:hAnsi="Book Antiqua" w:cs="Book Antiqua" w:hint="eastAsia"/>
          <w:b/>
          <w:color w:val="000000"/>
          <w:lang w:eastAsia="zh-CN"/>
        </w:rPr>
        <w:t xml:space="preserve">Citation: </w:t>
      </w:r>
      <w:r w:rsidR="008C0FEC">
        <w:rPr>
          <w:rFonts w:ascii="Book Antiqua" w:eastAsia="Book Antiqua" w:hAnsi="Book Antiqua" w:cs="Book Antiqua"/>
          <w:color w:val="000000"/>
        </w:rPr>
        <w:t xml:space="preserve">Jiang SS, Mao CG, Feng YG, Jiang B, Tao SL, Tan QY, Deng B. Circulating tumor cells with epithelial-mesenchymal transition markers as potential biomarkers for the diagnosis of lung cancer. </w:t>
      </w:r>
      <w:r w:rsidR="008C0FEC">
        <w:rPr>
          <w:rFonts w:ascii="Book Antiqua" w:eastAsia="Book Antiqua" w:hAnsi="Book Antiqua" w:cs="Book Antiqua"/>
          <w:i/>
          <w:iCs/>
          <w:color w:val="000000"/>
        </w:rPr>
        <w:t>World J Clin Cases</w:t>
      </w:r>
      <w:r w:rsidR="008C0FEC">
        <w:rPr>
          <w:rFonts w:ascii="Book Antiqua" w:eastAsia="Book Antiqua" w:hAnsi="Book Antiqua" w:cs="Book Antiqua"/>
          <w:color w:val="000000"/>
        </w:rPr>
        <w:t xml:space="preserve"> 2021;</w:t>
      </w:r>
      <w:r w:rsidR="008C0FEC">
        <w:rPr>
          <w:rFonts w:ascii="Book Antiqua" w:eastAsia="宋体" w:hAnsi="Book Antiqua" w:cs="Book Antiqua" w:hint="eastAsia"/>
          <w:color w:val="000000"/>
          <w:lang w:eastAsia="zh-CN"/>
        </w:rPr>
        <w:t xml:space="preserve"> </w:t>
      </w:r>
      <w:r w:rsidR="008C0FEC">
        <w:rPr>
          <w:rFonts w:ascii="Book Antiqua" w:eastAsia="Book Antiqua" w:hAnsi="Book Antiqua" w:cs="Book Antiqua" w:hint="eastAsia"/>
          <w:color w:val="000000"/>
        </w:rPr>
        <w:t xml:space="preserve">9(12): </w:t>
      </w:r>
      <w:r w:rsidR="00761F39" w:rsidRPr="00761F39">
        <w:rPr>
          <w:rFonts w:ascii="Book Antiqua" w:eastAsia="Book Antiqua" w:hAnsi="Book Antiqua" w:cs="Book Antiqua"/>
          <w:color w:val="000000"/>
        </w:rPr>
        <w:t>2721-2730</w:t>
      </w:r>
      <w:r w:rsidR="008C0FEC">
        <w:rPr>
          <w:rFonts w:ascii="Book Antiqua" w:eastAsia="Book Antiqua" w:hAnsi="Book Antiqua" w:cs="Book Antiqua" w:hint="eastAsia"/>
          <w:color w:val="000000"/>
        </w:rPr>
        <w:t xml:space="preserve">  </w:t>
      </w:r>
    </w:p>
    <w:p w14:paraId="633A0CFF" w14:textId="77777777" w:rsidR="0048456E" w:rsidRDefault="008C0FEC">
      <w:pPr>
        <w:spacing w:line="360" w:lineRule="auto"/>
        <w:jc w:val="both"/>
        <w:rPr>
          <w:rFonts w:ascii="Book Antiqua" w:eastAsiaTheme="minorEastAsia" w:hAnsi="Book Antiqua" w:cs="Book Antiqua" w:hint="eastAsia"/>
          <w:color w:val="000000"/>
          <w:lang w:eastAsia="zh-CN"/>
        </w:rPr>
      </w:pPr>
      <w:r w:rsidRPr="0048456E">
        <w:rPr>
          <w:rFonts w:ascii="Book Antiqua" w:eastAsia="Book Antiqua" w:hAnsi="Book Antiqua" w:cs="Book Antiqua" w:hint="eastAsia"/>
          <w:b/>
          <w:color w:val="000000"/>
        </w:rPr>
        <w:t>URL:</w:t>
      </w:r>
      <w:r>
        <w:rPr>
          <w:rFonts w:ascii="Book Antiqua" w:eastAsia="Book Antiqua" w:hAnsi="Book Antiqua" w:cs="Book Antiqua" w:hint="eastAsia"/>
          <w:color w:val="000000"/>
        </w:rPr>
        <w:t xml:space="preserve"> https://www.wjgnet.com/2307</w:t>
      </w:r>
      <w:r w:rsidR="00D245E8">
        <w:rPr>
          <w:rFonts w:ascii="Book Antiqua" w:eastAsiaTheme="minorEastAsia" w:hAnsi="Book Antiqua" w:cs="Book Antiqua" w:hint="eastAsia"/>
          <w:color w:val="000000"/>
          <w:lang w:eastAsia="zh-CN"/>
        </w:rPr>
        <w:t>-</w:t>
      </w:r>
      <w:r>
        <w:rPr>
          <w:rFonts w:ascii="Book Antiqua" w:eastAsia="Book Antiqua" w:hAnsi="Book Antiqua" w:cs="Book Antiqua" w:hint="eastAsia"/>
          <w:color w:val="000000"/>
        </w:rPr>
        <w:t>8960/full/v9/i12/</w:t>
      </w:r>
      <w:r w:rsidR="00761F39">
        <w:rPr>
          <w:rFonts w:ascii="Book Antiqua" w:eastAsiaTheme="minorEastAsia" w:hAnsi="Book Antiqua" w:cs="Book Antiqua" w:hint="eastAsia"/>
          <w:color w:val="000000"/>
          <w:lang w:eastAsia="zh-CN"/>
        </w:rPr>
        <w:t>2721</w:t>
      </w:r>
      <w:r>
        <w:rPr>
          <w:rFonts w:ascii="Book Antiqua" w:eastAsia="Book Antiqua" w:hAnsi="Book Antiqua" w:cs="Book Antiqua" w:hint="eastAsia"/>
          <w:color w:val="000000"/>
        </w:rPr>
        <w:t xml:space="preserve">.htm  </w:t>
      </w:r>
    </w:p>
    <w:p w14:paraId="688336EB" w14:textId="45118C52" w:rsidR="00FC0E9A" w:rsidRPr="00761F39" w:rsidRDefault="008C0FEC">
      <w:pPr>
        <w:spacing w:line="360" w:lineRule="auto"/>
        <w:jc w:val="both"/>
        <w:rPr>
          <w:rFonts w:ascii="Book Antiqua" w:eastAsiaTheme="minorEastAsia" w:hAnsi="Book Antiqua"/>
          <w:lang w:eastAsia="zh-CN"/>
        </w:rPr>
      </w:pPr>
      <w:r w:rsidRPr="0048456E">
        <w:rPr>
          <w:rFonts w:ascii="Book Antiqua" w:eastAsia="Book Antiqua" w:hAnsi="Book Antiqua" w:cs="Book Antiqua" w:hint="eastAsia"/>
          <w:b/>
          <w:color w:val="000000"/>
        </w:rPr>
        <w:t>DOI:</w:t>
      </w:r>
      <w:r>
        <w:rPr>
          <w:rFonts w:ascii="Book Antiqua" w:eastAsia="Book Antiqua" w:hAnsi="Book Antiqua" w:cs="Book Antiqua" w:hint="eastAsia"/>
          <w:color w:val="000000"/>
        </w:rPr>
        <w:t xml:space="preserve"> https://dx.doi.org/10.12998/wjcc.v9.i12.</w:t>
      </w:r>
      <w:r w:rsidR="00761F39">
        <w:rPr>
          <w:rFonts w:ascii="Book Antiqua" w:eastAsiaTheme="minorEastAsia" w:hAnsi="Book Antiqua" w:cs="Book Antiqua" w:hint="eastAsia"/>
          <w:color w:val="000000"/>
          <w:lang w:eastAsia="zh-CN"/>
        </w:rPr>
        <w:t>2721</w:t>
      </w:r>
    </w:p>
    <w:bookmarkEnd w:id="47"/>
    <w:bookmarkEnd w:id="48"/>
    <w:p w14:paraId="0CDEB85B" w14:textId="77777777" w:rsidR="00FC0E9A" w:rsidRDefault="00FC0E9A">
      <w:pPr>
        <w:spacing w:line="360" w:lineRule="auto"/>
        <w:jc w:val="both"/>
        <w:rPr>
          <w:rFonts w:ascii="Book Antiqua" w:eastAsia="Book Antiqua" w:hAnsi="Book Antiqua" w:cs="Book Antiqua"/>
          <w:color w:val="000000"/>
        </w:rPr>
      </w:pPr>
    </w:p>
    <w:p w14:paraId="57532C83"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49" w:name="OLE_LINK344"/>
      <w:bookmarkStart w:id="50" w:name="OLE_LINK345"/>
      <w:r>
        <w:rPr>
          <w:rFonts w:ascii="Book Antiqua" w:eastAsia="Book Antiqua" w:hAnsi="Book Antiqua" w:cs="Book Antiqua"/>
          <w:color w:val="000000"/>
        </w:rPr>
        <w:t>Circulating tumor cells (CTCs) with epithelial markers (E-CTCs), CTCs with mesenchymal markers (M-CTCs), and CTCs with both markers (E&amp;M-CTCs) are three subtypes of CTCs. Detection of E&amp;M-CTCs have good diagnostic value for distinguishing lung cancer from controls.</w:t>
      </w:r>
    </w:p>
    <w:bookmarkEnd w:id="49"/>
    <w:bookmarkEnd w:id="50"/>
    <w:p w14:paraId="2CDF72EF" w14:textId="520A21FE" w:rsidR="00FC0E9A" w:rsidRDefault="00FC0E9A">
      <w:pPr>
        <w:spacing w:line="360" w:lineRule="auto"/>
        <w:jc w:val="both"/>
        <w:rPr>
          <w:rFonts w:ascii="Book Antiqua" w:hAnsi="Book Antiqua"/>
        </w:rPr>
      </w:pPr>
    </w:p>
    <w:p w14:paraId="13491065" w14:textId="103B0296" w:rsidR="00FC0E9A" w:rsidRDefault="008C0FEC">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506B6CC"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Circulating tumor cells (CTCs) destroy the integrity of the base membrane, detach from the primary site, and spread through the peripheral blood, and they have the potential to form distant metastases in the appropriate microenvironment</w:t>
      </w:r>
      <w:r>
        <w:rPr>
          <w:rFonts w:ascii="Book Antiqua" w:eastAsia="Book Antiqua" w:hAnsi="Book Antiqua" w:cs="Book Antiqua"/>
          <w:color w:val="000000"/>
          <w:vertAlign w:val="superscript"/>
        </w:rPr>
        <w:t>[</w:t>
      </w:r>
      <w:hyperlink w:anchor="_ENREF_1" w:tooltip="Wu, 2015 #38" w:history="1">
        <w:r>
          <w:rPr>
            <w:rFonts w:ascii="Book Antiqua" w:eastAsia="Book Antiqua" w:hAnsi="Book Antiqua" w:cs="Book Antiqua"/>
            <w:color w:val="000000"/>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D9FB496" w14:textId="77777777" w:rsidR="00FC0E9A" w:rsidRDefault="008C0FEC" w:rsidP="00D245E8">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The epithelial-to-mesenchymal transition (EMT), which is characterized by the upregulation of mesenchymal markers (</w:t>
      </w:r>
      <w:r>
        <w:rPr>
          <w:rFonts w:ascii="Book Antiqua" w:eastAsia="Book Antiqua" w:hAnsi="Book Antiqua" w:cs="Book Antiqua"/>
          <w:i/>
          <w:color w:val="000000"/>
        </w:rPr>
        <w:t>e.g.</w:t>
      </w:r>
      <w:r>
        <w:rPr>
          <w:rFonts w:ascii="Book Antiqua" w:eastAsia="Book Antiqua" w:hAnsi="Book Antiqua" w:cs="Book Antiqua"/>
          <w:color w:val="000000"/>
        </w:rPr>
        <w:t>, cytokeratin [CK] 8, 18, and 19 and epithelial cell adhesion molecule [EpCAM]) and downregulation of epithelial markers (</w:t>
      </w:r>
      <w:r>
        <w:rPr>
          <w:rFonts w:ascii="Book Antiqua" w:eastAsia="Book Antiqua" w:hAnsi="Book Antiqua" w:cs="Book Antiqua"/>
          <w:i/>
          <w:iCs/>
          <w:color w:val="000000"/>
        </w:rPr>
        <w:t>e.g.,</w:t>
      </w:r>
      <w:r>
        <w:rPr>
          <w:rFonts w:ascii="Book Antiqua" w:eastAsia="Book Antiqua" w:hAnsi="Book Antiqua" w:cs="Book Antiqua"/>
          <w:color w:val="000000"/>
        </w:rPr>
        <w:t xml:space="preserve"> vimentin and Twist), can lead to the transformation of epithelial cells into mesenchymal cells</w:t>
      </w:r>
      <w:r>
        <w:rPr>
          <w:rFonts w:ascii="Book Antiqua" w:eastAsia="Book Antiqua" w:hAnsi="Book Antiqua" w:cs="Book Antiqua"/>
          <w:color w:val="000000"/>
          <w:vertAlign w:val="superscript"/>
        </w:rPr>
        <w:t>[</w:t>
      </w:r>
      <w:hyperlink w:anchor="_ENREF_2" w:tooltip="Cao, 2016 #148" w:history="1">
        <w:r>
          <w:rPr>
            <w:rFonts w:ascii="Book Antiqua" w:eastAsia="Book Antiqua" w:hAnsi="Book Antiqua" w:cs="Book Antiqua"/>
            <w:color w:val="000000"/>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This process can also promote tumor progression, metastasis, and chemotherapy resistance</w:t>
      </w:r>
      <w:r>
        <w:rPr>
          <w:rFonts w:ascii="Book Antiqua" w:eastAsia="Book Antiqua" w:hAnsi="Book Antiqua" w:cs="Book Antiqua"/>
          <w:color w:val="000000"/>
          <w:vertAlign w:val="superscript"/>
        </w:rPr>
        <w:t>[</w:t>
      </w:r>
      <w:hyperlink w:anchor="_ENREF_3" w:tooltip="Yin, 2020 #92" w:history="1">
        <w:r>
          <w:rPr>
            <w:rFonts w:ascii="Book Antiqua" w:eastAsia="Book Antiqua" w:hAnsi="Book Antiqua" w:cs="Book Antiqua"/>
            <w:color w:val="000000"/>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CTCs include a variety of subtypes and are divided into groups according to the expression of EMT markers</w:t>
      </w:r>
      <w:r>
        <w:rPr>
          <w:rFonts w:ascii="Book Antiqua" w:eastAsia="Book Antiqua" w:hAnsi="Book Antiqua" w:cs="Book Antiqua"/>
          <w:color w:val="000000"/>
          <w:vertAlign w:val="superscript"/>
        </w:rPr>
        <w:t>[</w:t>
      </w:r>
      <w:hyperlink w:anchor="_ENREF_4" w:tooltip="Zhao, 2019 #109" w:history="1">
        <w:r>
          <w:rPr>
            <w:rFonts w:ascii="Book Antiqua" w:eastAsia="Book Antiqua" w:hAnsi="Book Antiqua" w:cs="Book Antiqua"/>
            <w:color w:val="000000"/>
            <w:vertAlign w:val="superscript"/>
          </w:rPr>
          <w:t>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Recent studies suggest that restricted EMT can generate hybrid CTCs with both epithelial and mesenchymal markers, as well as enhance their survival and carcinogenic abilities</w:t>
      </w:r>
      <w:r>
        <w:rPr>
          <w:rFonts w:ascii="Book Antiqua" w:eastAsia="Book Antiqua" w:hAnsi="Book Antiqua" w:cs="Book Antiqua"/>
          <w:color w:val="000000"/>
          <w:vertAlign w:val="superscript"/>
        </w:rPr>
        <w:t>[</w:t>
      </w:r>
      <w:hyperlink w:anchor="_ENREF_5" w:tooltip="Liu, 2019 #162" w:history="1">
        <w:r>
          <w:rPr>
            <w:rFonts w:ascii="Book Antiqua" w:eastAsia="Book Antiqua" w:hAnsi="Book Antiqua" w:cs="Book Antiqua"/>
            <w:color w:val="000000"/>
            <w:vertAlign w:val="superscript"/>
          </w:rPr>
          <w:t>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EMT process in these CTCs may lead to cancer metastasis and poor prognosis</w:t>
      </w:r>
      <w:r>
        <w:rPr>
          <w:rFonts w:ascii="Book Antiqua" w:eastAsia="Book Antiqua" w:hAnsi="Book Antiqua" w:cs="Book Antiqua"/>
          <w:color w:val="000000"/>
          <w:vertAlign w:val="superscript"/>
        </w:rPr>
        <w:t>[3,</w:t>
      </w:r>
      <w:hyperlink w:anchor="_ENREF_6" w:tooltip="Liu, 2018 #220" w:history="1">
        <w:r>
          <w:rPr>
            <w:rFonts w:ascii="Book Antiqua" w:eastAsia="Book Antiqua" w:hAnsi="Book Antiqua" w:cs="Book Antiqua"/>
            <w:color w:val="000000"/>
            <w:vertAlign w:val="superscript"/>
          </w:rPr>
          <w:t>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CTCs are used as biomarkers for the diagnosis of lung cancer (LC), pancreatic cancer, and gastric cancer</w:t>
      </w:r>
      <w:r>
        <w:rPr>
          <w:rFonts w:ascii="Book Antiqua" w:eastAsia="Book Antiqua" w:hAnsi="Book Antiqua" w:cs="Book Antiqua"/>
          <w:color w:val="000000"/>
          <w:vertAlign w:val="superscript"/>
        </w:rPr>
        <w:t>[</w:t>
      </w:r>
      <w:hyperlink w:anchor="_ENREF_7" w:tooltip="Zhou, 2017 #271" w:history="1">
        <w:r>
          <w:rPr>
            <w:rFonts w:ascii="Book Antiqua" w:eastAsia="Book Antiqua" w:hAnsi="Book Antiqua" w:cs="Book Antiqua"/>
            <w:color w:val="000000"/>
            <w:vertAlign w:val="superscript"/>
          </w:rPr>
          <w:t>7-9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 meta-analysis found that the sensitivity and specificity (95% confidence interval [CI]) of CTCs for the diagnosis of LC is 75% (95%CI: 54-88) and 92% (95%CI: 82-97), respectively</w:t>
      </w:r>
      <w:r>
        <w:rPr>
          <w:rFonts w:ascii="Book Antiqua" w:eastAsia="Book Antiqua" w:hAnsi="Book Antiqua" w:cs="Book Antiqua"/>
          <w:color w:val="000000"/>
          <w:vertAlign w:val="superscript"/>
        </w:rPr>
        <w:t>[</w:t>
      </w:r>
      <w:hyperlink w:anchor="_ENREF_8" w:tooltip="Huang, 2018 #270" w:history="1">
        <w:r>
          <w:rPr>
            <w:rFonts w:ascii="Book Antiqua" w:eastAsia="Book Antiqua" w:hAnsi="Book Antiqua" w:cs="Book Antiqua"/>
            <w:color w:val="000000"/>
            <w:vertAlign w:val="superscript"/>
          </w:rPr>
          <w:t>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 pilot study from our group found that CTCs can be detected in early-stage lung adenocarcinoma (LUAD)</w:t>
      </w:r>
      <w:r>
        <w:rPr>
          <w:rFonts w:ascii="Book Antiqua" w:eastAsia="Book Antiqua" w:hAnsi="Book Antiqua" w:cs="Book Antiqua"/>
          <w:color w:val="000000"/>
          <w:vertAlign w:val="superscript"/>
        </w:rPr>
        <w:t>[</w:t>
      </w:r>
      <w:hyperlink w:anchor="_ENREF_10" w:tooltip="Jin, 2017 #32" w:history="1">
        <w:r>
          <w:rPr>
            <w:rFonts w:ascii="Book Antiqua" w:eastAsia="Book Antiqua" w:hAnsi="Book Antiqua" w:cs="Book Antiqua"/>
            <w:color w:val="000000"/>
            <w:vertAlign w:val="superscript"/>
          </w:rPr>
          <w:t>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DF975E" w14:textId="77777777" w:rsidR="00FC0E9A" w:rsidRDefault="008C0FEC" w:rsidP="00D245E8">
      <w:pPr>
        <w:spacing w:line="360" w:lineRule="auto"/>
        <w:ind w:firstLineChars="112" w:firstLine="269"/>
        <w:jc w:val="both"/>
        <w:rPr>
          <w:rFonts w:ascii="Book Antiqua" w:hAnsi="Book Antiqua"/>
        </w:rPr>
      </w:pPr>
      <w:r>
        <w:rPr>
          <w:rFonts w:ascii="Book Antiqua" w:eastAsia="Book Antiqua" w:hAnsi="Book Antiqua" w:cs="Book Antiqua"/>
          <w:color w:val="000000"/>
        </w:rPr>
        <w:t xml:space="preserve">Herein, we clarified the diagnostic value of CTCs categorized by the expression of EMT markers in LC. </w:t>
      </w:r>
    </w:p>
    <w:p w14:paraId="26BE9F75" w14:textId="77777777" w:rsidR="00FC0E9A" w:rsidRDefault="00FC0E9A">
      <w:pPr>
        <w:spacing w:line="360" w:lineRule="auto"/>
        <w:jc w:val="both"/>
        <w:rPr>
          <w:rFonts w:ascii="Book Antiqua" w:hAnsi="Book Antiqua"/>
        </w:rPr>
      </w:pPr>
    </w:p>
    <w:p w14:paraId="79F808B8" w14:textId="77777777" w:rsidR="00FC0E9A" w:rsidRDefault="008C0FEC">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B73640B" w14:textId="77777777" w:rsidR="00FC0E9A" w:rsidRDefault="008C0FEC">
      <w:pPr>
        <w:spacing w:line="360" w:lineRule="auto"/>
        <w:jc w:val="both"/>
        <w:rPr>
          <w:rFonts w:ascii="Book Antiqua" w:eastAsia="Book Antiqua" w:hAnsi="Book Antiqua" w:cs="Book Antiqua"/>
          <w:b/>
          <w:bCs/>
          <w:i/>
          <w:iCs/>
          <w:color w:val="000000"/>
        </w:rPr>
      </w:pPr>
      <w:bookmarkStart w:id="51" w:name="OLE_LINK356"/>
      <w:bookmarkStart w:id="52" w:name="OLE_LINK357"/>
      <w:r>
        <w:rPr>
          <w:rFonts w:ascii="Book Antiqua" w:eastAsia="Book Antiqua" w:hAnsi="Book Antiqua" w:cs="Book Antiqua"/>
          <w:b/>
          <w:bCs/>
          <w:i/>
          <w:iCs/>
          <w:color w:val="000000"/>
        </w:rPr>
        <w:t xml:space="preserve">Patients </w:t>
      </w:r>
    </w:p>
    <w:p w14:paraId="54D1D4BC"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The study protocol was reviewed and approved by the Ethics Committee of Daping Hospital, Army Medical University 2019, No. 183, and all patients who agreed to participate in the study signed an informed consent. </w:t>
      </w:r>
    </w:p>
    <w:p w14:paraId="10DB08DE" w14:textId="77777777" w:rsidR="00FC0E9A" w:rsidRDefault="008C0FEC" w:rsidP="00D245E8">
      <w:pPr>
        <w:spacing w:line="360" w:lineRule="auto"/>
        <w:ind w:firstLineChars="112" w:firstLine="269"/>
        <w:jc w:val="both"/>
        <w:rPr>
          <w:rFonts w:ascii="Book Antiqua" w:hAnsi="Book Antiqua"/>
        </w:rPr>
      </w:pPr>
      <w:r>
        <w:rPr>
          <w:rFonts w:ascii="Book Antiqua" w:eastAsia="Book Antiqua" w:hAnsi="Book Antiqua" w:cs="Book Antiqua"/>
          <w:color w:val="000000"/>
        </w:rPr>
        <w:t>The study was performed between July 2015 and December 2019 and included 106 patients with LUAD. Computed tomography (CT) performed before thoracoscopic surgery indicated that 42 patients had ground glass opacity (GGO) and 64 had solid lesions. A total of 28 controls were recruited, including 11 benign tumor cases (benign controls) and 17 healthy controls who underwent physical and radiographical examination to exclude the possibility of an occult tumor. Postoperative pathological results were reviewed by professional pathologists. Subjects with bronchiectasis, viral hepatitis, or ischemic cardiac or cerebrovascular disease were excluded from the study. Demographic-clinical data of patients and controls are shown in Table 1.</w:t>
      </w:r>
    </w:p>
    <w:p w14:paraId="3DEFD496" w14:textId="77777777" w:rsidR="00FC0E9A" w:rsidRDefault="00FC0E9A">
      <w:pPr>
        <w:spacing w:line="360" w:lineRule="auto"/>
        <w:jc w:val="both"/>
        <w:rPr>
          <w:rFonts w:ascii="Book Antiqua" w:hAnsi="Book Antiqua"/>
        </w:rPr>
      </w:pPr>
    </w:p>
    <w:p w14:paraId="34BB5137" w14:textId="77777777" w:rsidR="00FC0E9A" w:rsidRDefault="008C0FEC">
      <w:pPr>
        <w:spacing w:line="360" w:lineRule="auto"/>
        <w:jc w:val="both"/>
        <w:rPr>
          <w:rFonts w:ascii="Book Antiqua" w:hAnsi="Book Antiqua"/>
          <w:i/>
          <w:iCs/>
        </w:rPr>
      </w:pPr>
      <w:r>
        <w:rPr>
          <w:rFonts w:ascii="Book Antiqua" w:eastAsia="Book Antiqua" w:hAnsi="Book Antiqua" w:cs="Book Antiqua"/>
          <w:b/>
          <w:bCs/>
          <w:i/>
          <w:iCs/>
          <w:color w:val="000000"/>
        </w:rPr>
        <w:t>Detection of CTCs and associated EMT markers by the CanPatrol</w:t>
      </w:r>
      <w:r>
        <w:rPr>
          <w:rFonts w:ascii="Book Antiqua" w:eastAsia="Book Antiqua" w:hAnsi="Book Antiqua" w:cs="Book Antiqua"/>
          <w:b/>
          <w:bCs/>
          <w:i/>
          <w:iCs/>
          <w:color w:val="000000"/>
          <w:vertAlign w:val="superscript"/>
        </w:rPr>
        <w:t>TM</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technique</w:t>
      </w:r>
    </w:p>
    <w:p w14:paraId="112772D7"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At 1 or 2 d prior to surgery, 10 mL peripheral blood was collected from the median cubital vein of patients and controls and transferred into a sample preservation tube containing ammonium chloride dissolution buffer (Surexam Biotechnology, Guangzhou, China). The samples were incubated for 30 min at room temperature. CTCs and associated EMT markers were detected using CanPatrol</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as follows</w:t>
      </w:r>
      <w:r>
        <w:rPr>
          <w:rFonts w:ascii="Book Antiqua" w:eastAsia="Book Antiqua" w:hAnsi="Book Antiqua" w:cs="Book Antiqua"/>
          <w:color w:val="000000"/>
          <w:vertAlign w:val="superscript"/>
        </w:rPr>
        <w:t>[1,</w:t>
      </w:r>
      <w:hyperlink w:anchor="_ENREF_11" w:tooltip="Liu, 2016 #33" w:history="1">
        <w:r>
          <w:rPr>
            <w:rFonts w:ascii="Book Antiqua" w:eastAsia="Book Antiqua" w:hAnsi="Book Antiqua" w:cs="Book Antiqua"/>
            <w:color w:val="000000"/>
            <w:u w:val="single" w:color="0000EE"/>
            <w:vertAlign w:val="superscript"/>
          </w:rPr>
          <w:t>11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(1) Red blood cells were lysed and removed using red blood cell lysis buffer, and cluster of differentiation-positive (CD45+) leukocytes were depleted from blood samples using magnetic beads. (2) CTCs were enriched using a calibrated 8 μm pore membrane filter. (3) RNA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(ISH) was used to identify CTCs using the branched DNA signal amplification assay and EMT markers such as CK 8, 18, and 19, EpCAM, vimentin, and Twist were detected according to a recently published protocol</w:t>
      </w:r>
      <w:r>
        <w:rPr>
          <w:rFonts w:ascii="Book Antiqua" w:eastAsia="Book Antiqua" w:hAnsi="Book Antiqua" w:cs="Book Antiqua"/>
          <w:color w:val="000000"/>
          <w:vertAlign w:val="superscript"/>
        </w:rPr>
        <w:t>[</w:t>
      </w:r>
      <w:hyperlink w:anchor="_ENREF_12" w:tooltip="Wu, 2015 #37" w:history="1">
        <w:r>
          <w:rPr>
            <w:rFonts w:ascii="Book Antiqua" w:eastAsia="Book Antiqua" w:hAnsi="Book Antiqua" w:cs="Book Antiqua"/>
            <w:color w:val="000000"/>
            <w:u w:val="single" w:color="0000EE"/>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16D5D00" w14:textId="77777777" w:rsidR="00FC0E9A" w:rsidRDefault="00FC0E9A">
      <w:pPr>
        <w:spacing w:line="360" w:lineRule="auto"/>
        <w:jc w:val="both"/>
        <w:rPr>
          <w:rFonts w:ascii="Book Antiqua" w:hAnsi="Book Antiqua"/>
        </w:rPr>
      </w:pPr>
    </w:p>
    <w:p w14:paraId="4B9599FF" w14:textId="77777777" w:rsidR="00FC0E9A" w:rsidRDefault="008C0FEC">
      <w:pPr>
        <w:spacing w:line="360" w:lineRule="auto"/>
        <w:jc w:val="both"/>
        <w:rPr>
          <w:rFonts w:ascii="Book Antiqua" w:hAnsi="Book Antiqua"/>
          <w:i/>
          <w:iCs/>
        </w:rPr>
      </w:pPr>
      <w:r>
        <w:rPr>
          <w:rFonts w:ascii="Book Antiqua" w:eastAsia="Book Antiqua" w:hAnsi="Book Antiqua" w:cs="Book Antiqua"/>
          <w:b/>
          <w:bCs/>
          <w:i/>
          <w:iCs/>
          <w:color w:val="000000"/>
        </w:rPr>
        <w:t>Detection of folate receptor-positive CTCs using CytoploRare validation</w:t>
      </w:r>
    </w:p>
    <w:p w14:paraId="4541B30A"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Peripheral blood (3 mL) was collected before surgery and stored in a vacuum tube containing ethylenediamine tetraacetic acid. Red blood cell lysis buffer was used to lyse erythrocytes, and magnetic beads were used to deplete CD45+ leukocytes. The folate receptor, which is only expressed on tumor cells, and a synthesized oligonucleotide were used to label the CTCs. The conjugate was annealed and extended using a reverse transcriptase primer prior to amplification. The enriched CTCs were stained by immunofluorescence. Cells expressing the folate ligand and cytokeratin, which were stained with the nuclear stain 4′,6-diamidino- 2-phenylindole, were defined as folate receptor positive (FR+) CTCs. These procedures were completed within 1 h</w:t>
      </w:r>
      <w:r>
        <w:rPr>
          <w:rFonts w:ascii="Book Antiqua" w:eastAsia="Book Antiqua" w:hAnsi="Book Antiqua" w:cs="Book Antiqua"/>
          <w:color w:val="000000"/>
          <w:vertAlign w:val="superscript"/>
        </w:rPr>
        <w:t>[</w:t>
      </w:r>
      <w:hyperlink w:anchor="_ENREF_13" w:tooltip="Zhao, 2015 #40"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hyperlink w:anchor="_ENREF_14" w:tooltip="Yu, 2013 #39" w:history="1">
        <w:r>
          <w:rPr>
            <w:rFonts w:ascii="Book Antiqua" w:eastAsia="Book Antiqua" w:hAnsi="Book Antiqua" w:cs="Book Antiqua"/>
            <w:color w:val="000000"/>
            <w:u w:val="single" w:color="0000EE"/>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threshold for positivity was an FR+ CTC value ≥ 8.7 FU/3 mL</w:t>
      </w:r>
      <w:r>
        <w:rPr>
          <w:rFonts w:ascii="Book Antiqua" w:eastAsia="Book Antiqua" w:hAnsi="Book Antiqua" w:cs="Book Antiqua"/>
          <w:color w:val="000000"/>
          <w:vertAlign w:val="superscript"/>
        </w:rPr>
        <w:t>[</w:t>
      </w:r>
      <w:hyperlink w:anchor="_ENREF_13" w:tooltip="Zhao, 2015 #40"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hyperlink w:anchor="_ENREF_14" w:tooltip="Yu, 2013 #39" w:history="1">
        <w:r>
          <w:rPr>
            <w:rFonts w:ascii="Book Antiqua" w:eastAsia="Book Antiqua" w:hAnsi="Book Antiqua" w:cs="Book Antiqua"/>
            <w:color w:val="000000"/>
            <w:u w:val="single" w:color="0000EE"/>
            <w:vertAlign w:val="superscript"/>
          </w:rPr>
          <w:t>14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7E5397" w14:textId="77777777" w:rsidR="00FC0E9A" w:rsidRDefault="00FC0E9A">
      <w:pPr>
        <w:spacing w:line="360" w:lineRule="auto"/>
        <w:jc w:val="both"/>
        <w:rPr>
          <w:rFonts w:ascii="Book Antiqua" w:hAnsi="Book Antiqua"/>
        </w:rPr>
      </w:pPr>
    </w:p>
    <w:p w14:paraId="7D5969DF" w14:textId="77777777" w:rsidR="00FC0E9A" w:rsidRDefault="008C0FEC">
      <w:pPr>
        <w:spacing w:line="360" w:lineRule="auto"/>
        <w:jc w:val="both"/>
        <w:rPr>
          <w:rFonts w:ascii="Book Antiqua" w:hAnsi="Book Antiqua"/>
          <w:i/>
          <w:iCs/>
        </w:rPr>
      </w:pPr>
      <w:r>
        <w:rPr>
          <w:rFonts w:ascii="Book Antiqua" w:eastAsia="Book Antiqua" w:hAnsi="Book Antiqua" w:cs="Book Antiqua"/>
          <w:b/>
          <w:bCs/>
          <w:i/>
          <w:iCs/>
          <w:color w:val="000000"/>
        </w:rPr>
        <w:t>Data analysis</w:t>
      </w:r>
    </w:p>
    <w:p w14:paraId="6A3F7BAE" w14:textId="77777777"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Student-Newman-Keuls test was used to analyze the variance among groups. Positive rates were compared using the c² test, and comparisons between two groups were performed using the Kappa Concordance Test. Cutoff values were determined using receiver operating characteristic (ROC) curves. Statistical analyses were performed using SPSS Version 23.0 software for Windows (SPSS, Inc., Chicago, IL, United States). A value of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(two-sided) was considered statistically significant.</w:t>
      </w:r>
    </w:p>
    <w:p w14:paraId="2078C32A" w14:textId="47E1AA13" w:rsidR="00FC0E9A" w:rsidRDefault="00810AC3" w:rsidP="00810AC3">
      <w:pPr>
        <w:spacing w:line="360" w:lineRule="auto"/>
        <w:ind w:firstLineChars="100" w:firstLine="240"/>
        <w:jc w:val="both"/>
        <w:rPr>
          <w:rFonts w:ascii="Book Antiqua" w:eastAsia="Book Antiqua" w:hAnsi="Book Antiqua" w:cs="Book Antiqua"/>
          <w:color w:val="000000"/>
        </w:rPr>
      </w:pPr>
      <w:r w:rsidRPr="00810AC3">
        <w:rPr>
          <w:rFonts w:ascii="Book Antiqua" w:eastAsia="Book Antiqua" w:hAnsi="Book Antiqua" w:cs="Book Antiqua"/>
          <w:color w:val="000000"/>
        </w:rPr>
        <w:t>Sensitivity = True positive/(true positive + false negative), Specificity</w:t>
      </w:r>
      <w:r w:rsidR="00D95A55">
        <w:rPr>
          <w:rFonts w:ascii="Book Antiqua" w:eastAsia="Book Antiqua" w:hAnsi="Book Antiqua" w:cs="Book Antiqua"/>
          <w:color w:val="000000"/>
        </w:rPr>
        <w:t xml:space="preserve"> </w:t>
      </w:r>
      <w:r w:rsidRPr="00810AC3">
        <w:rPr>
          <w:rFonts w:ascii="Book Antiqua" w:eastAsia="Book Antiqua" w:hAnsi="Book Antiqua" w:cs="Book Antiqua"/>
          <w:color w:val="000000"/>
        </w:rPr>
        <w:t>= True negative/(true negative + false positive).</w:t>
      </w:r>
    </w:p>
    <w:p w14:paraId="1241CE26" w14:textId="77777777" w:rsidR="00810AC3" w:rsidRDefault="00810AC3" w:rsidP="00810AC3">
      <w:pPr>
        <w:spacing w:line="360" w:lineRule="auto"/>
        <w:ind w:firstLineChars="100" w:firstLine="240"/>
        <w:jc w:val="both"/>
        <w:rPr>
          <w:rFonts w:ascii="Book Antiqua" w:eastAsia="Book Antiqua" w:hAnsi="Book Antiqua" w:cs="Book Antiqua"/>
          <w:color w:val="000000"/>
        </w:rPr>
      </w:pPr>
    </w:p>
    <w:bookmarkEnd w:id="51"/>
    <w:bookmarkEnd w:id="52"/>
    <w:p w14:paraId="26C4F9B3" w14:textId="77777777" w:rsidR="00FC0E9A" w:rsidRDefault="008C0FEC">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DAC16ED" w14:textId="77777777" w:rsidR="00FC0E9A" w:rsidRDefault="008C0FEC">
      <w:pPr>
        <w:spacing w:line="360" w:lineRule="auto"/>
        <w:jc w:val="both"/>
        <w:rPr>
          <w:rFonts w:ascii="Book Antiqua" w:hAnsi="Book Antiqua"/>
          <w:i/>
          <w:iCs/>
        </w:rPr>
      </w:pPr>
      <w:r>
        <w:rPr>
          <w:rFonts w:ascii="Book Antiqua" w:eastAsia="Book Antiqua" w:hAnsi="Book Antiqua" w:cs="Book Antiqua"/>
          <w:b/>
          <w:bCs/>
          <w:i/>
          <w:iCs/>
          <w:color w:val="000000"/>
        </w:rPr>
        <w:t>Distribution of CTCs in patients and controls</w:t>
      </w:r>
    </w:p>
    <w:p w14:paraId="7DF86633"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As shown in Figure 1A, epithelial (E) and mesenchymal (M), and E&amp;M markers were detected in CTCs. Therefore, CTCs were divided into three subtypes according to the associated markers, </w:t>
      </w:r>
      <w:r>
        <w:rPr>
          <w:rFonts w:ascii="Book Antiqua" w:eastAsia="Book Antiqua" w:hAnsi="Book Antiqua" w:cs="Book Antiqua"/>
          <w:i/>
          <w:iCs/>
          <w:color w:val="000000"/>
        </w:rPr>
        <w:t>i.e.</w:t>
      </w:r>
      <w:r>
        <w:rPr>
          <w:rFonts w:ascii="Book Antiqua" w:eastAsia="Book Antiqua" w:hAnsi="Book Antiqua" w:cs="Book Antiqua"/>
          <w:color w:val="000000"/>
        </w:rPr>
        <w:t xml:space="preserve"> E-CTCs, M-CTCs and E&amp;M-CTCs.</w:t>
      </w:r>
    </w:p>
    <w:p w14:paraId="3D75A624" w14:textId="77777777" w:rsidR="00FC0E9A" w:rsidRDefault="008C0FEC" w:rsidP="00D245E8">
      <w:pPr>
        <w:spacing w:line="360" w:lineRule="auto"/>
        <w:ind w:firstLineChars="112" w:firstLine="269"/>
        <w:jc w:val="both"/>
        <w:rPr>
          <w:rFonts w:ascii="Book Antiqua" w:hAnsi="Book Antiqua"/>
        </w:rPr>
      </w:pPr>
      <w:r>
        <w:rPr>
          <w:rFonts w:ascii="Book Antiqua" w:eastAsia="Book Antiqua" w:hAnsi="Book Antiqua" w:cs="Book Antiqua"/>
          <w:color w:val="000000"/>
        </w:rPr>
        <w:t xml:space="preserve">Of the 106 LC cases, 94 (88.6%) had at least one CTC, whereas CTCs were only detectable in 4 of 11 benign controls and 6 of 17 healthy controls. The detection rate of CTCs was significantly higher in LC cases than in benign or healthy controls (Figure 1B). E-CTCs were detected in 53 (53/106) LC cases, 3 benign controls (3/11), and 5 healthy controls (5/17) (Figure 1B). There was no significant difference in the incidence of E-CTCs among LC cases, benign cases, and healthy controls. The incidence of M-CTCs was significantly higher in LC cases than in healthy controls (52/106 </w:t>
      </w:r>
      <w:r>
        <w:rPr>
          <w:rFonts w:ascii="Book Antiqua" w:eastAsia="Book Antiqua" w:hAnsi="Book Antiqua" w:cs="Book Antiqua"/>
          <w:i/>
          <w:iCs/>
          <w:color w:val="000000"/>
        </w:rPr>
        <w:t>vs</w:t>
      </w:r>
      <w:r>
        <w:rPr>
          <w:rFonts w:ascii="Book Antiqua" w:eastAsia="Book Antiqua" w:hAnsi="Book Antiqua" w:cs="Book Antiqua"/>
          <w:color w:val="000000"/>
        </w:rPr>
        <w:t xml:space="preserve"> 0/17;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whereas there was no significant difference between LC cases and benign controls (52/106 </w:t>
      </w:r>
      <w:r>
        <w:rPr>
          <w:rFonts w:ascii="Book Antiqua" w:eastAsia="Book Antiqua" w:hAnsi="Book Antiqua" w:cs="Book Antiqua"/>
          <w:i/>
          <w:iCs/>
          <w:color w:val="000000"/>
        </w:rPr>
        <w:t>vs</w:t>
      </w:r>
      <w:r>
        <w:rPr>
          <w:rFonts w:ascii="Book Antiqua" w:eastAsia="Book Antiqua" w:hAnsi="Book Antiqua" w:cs="Book Antiqua"/>
          <w:color w:val="000000"/>
        </w:rPr>
        <w:t xml:space="preserve"> 3/11). The incidence of E&amp;M-CTCs was significantly higher in LC cases than in benign controls (74/106 </w:t>
      </w:r>
      <w:r>
        <w:rPr>
          <w:rFonts w:ascii="Book Antiqua" w:eastAsia="Book Antiqua" w:hAnsi="Book Antiqua" w:cs="Book Antiqua"/>
          <w:i/>
          <w:iCs/>
          <w:color w:val="000000"/>
        </w:rPr>
        <w:t>vs</w:t>
      </w:r>
      <w:r>
        <w:rPr>
          <w:rFonts w:ascii="Book Antiqua" w:eastAsia="Book Antiqua" w:hAnsi="Book Antiqua" w:cs="Book Antiqua"/>
          <w:color w:val="000000"/>
        </w:rPr>
        <w:t xml:space="preserve"> 4/11;</w:t>
      </w:r>
      <w:r>
        <w:rPr>
          <w:rFonts w:ascii="Book Antiqua" w:eastAsia="Book Antiqua" w:hAnsi="Book Antiqua" w:cs="Book Antiqua"/>
          <w:i/>
          <w:iCs/>
          <w:color w:val="000000"/>
        </w:rPr>
        <w:t xml:space="preserve"> P </w:t>
      </w:r>
      <w:r>
        <w:rPr>
          <w:rFonts w:ascii="Book Antiqua" w:eastAsia="Book Antiqua" w:hAnsi="Book Antiqua" w:cs="Book Antiqua"/>
          <w:color w:val="000000"/>
        </w:rPr>
        <w:t xml:space="preserve">&lt; 0.05) and in healthy controls (74/106 </w:t>
      </w:r>
      <w:r>
        <w:rPr>
          <w:rFonts w:ascii="Book Antiqua" w:eastAsia="Book Antiqua" w:hAnsi="Book Antiqua" w:cs="Book Antiqua"/>
          <w:i/>
          <w:color w:val="000000"/>
        </w:rPr>
        <w:t>vs</w:t>
      </w:r>
      <w:r>
        <w:rPr>
          <w:rFonts w:ascii="Book Antiqua" w:eastAsia="Book Antiqua" w:hAnsi="Book Antiqua" w:cs="Book Antiqua"/>
          <w:color w:val="000000"/>
        </w:rPr>
        <w:t xml:space="preserve"> 1/17;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CTCs were detectable in 35 (83.3%) of 42 GGO cases including E-CTCs in 20 cases, M-CTCs in 19 cases, and E&amp;M-CTCs in 28 cases. There was no significant correlation between CTC number and pathological and demographic features such as tumor size, age, and gender (data not shown). </w:t>
      </w:r>
    </w:p>
    <w:p w14:paraId="65739768" w14:textId="77777777" w:rsidR="00FC0E9A" w:rsidRDefault="008C0FEC" w:rsidP="00D245E8">
      <w:pPr>
        <w:spacing w:line="360" w:lineRule="auto"/>
        <w:ind w:firstLineChars="112" w:firstLine="269"/>
        <w:jc w:val="both"/>
        <w:rPr>
          <w:rFonts w:ascii="Book Antiqua" w:hAnsi="Book Antiqua"/>
        </w:rPr>
      </w:pPr>
      <w:r>
        <w:rPr>
          <w:rFonts w:ascii="Book Antiqua" w:eastAsia="Book Antiqua" w:hAnsi="Book Antiqua" w:cs="Book Antiqua"/>
          <w:color w:val="000000"/>
        </w:rPr>
        <w:t>The number of CTCs, M-CTCs, and E&amp;M-CTCs was significantly higher in LC cases than in healthy controls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whereas there was no difference between LC cases and benign controls (Figure 1C). The proportions of M-CTCs plus E&amp;M-CTCs increased gradually from healthy controls, to benign controls, to LC cases (LC </w:t>
      </w:r>
      <w:r>
        <w:rPr>
          <w:rFonts w:ascii="Book Antiqua" w:eastAsia="Book Antiqua" w:hAnsi="Book Antiqua" w:cs="Book Antiqua"/>
          <w:i/>
          <w:iCs/>
          <w:color w:val="000000"/>
        </w:rPr>
        <w:t>vs</w:t>
      </w:r>
      <w:r>
        <w:rPr>
          <w:rFonts w:ascii="Book Antiqua" w:eastAsia="Book Antiqua" w:hAnsi="Book Antiqua" w:cs="Book Antiqua"/>
          <w:color w:val="000000"/>
        </w:rPr>
        <w:t xml:space="preserve"> benign controls: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0.405; benign controls </w:t>
      </w:r>
      <w:r>
        <w:rPr>
          <w:rFonts w:ascii="Book Antiqua" w:eastAsia="Book Antiqua" w:hAnsi="Book Antiqua" w:cs="Book Antiqua"/>
          <w:i/>
          <w:iCs/>
          <w:color w:val="000000"/>
        </w:rPr>
        <w:t>vs</w:t>
      </w:r>
      <w:r>
        <w:rPr>
          <w:rFonts w:ascii="Book Antiqua" w:eastAsia="Book Antiqua" w:hAnsi="Book Antiqua" w:cs="Book Antiqua"/>
          <w:color w:val="000000"/>
        </w:rPr>
        <w:t xml:space="preserve"> healthy controls: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0.086; LC </w:t>
      </w:r>
      <w:r>
        <w:rPr>
          <w:rFonts w:ascii="Book Antiqua" w:eastAsia="Book Antiqua" w:hAnsi="Book Antiqua" w:cs="Book Antiqua"/>
          <w:i/>
          <w:iCs/>
          <w:color w:val="000000"/>
        </w:rPr>
        <w:t>vs</w:t>
      </w:r>
      <w:r>
        <w:rPr>
          <w:rFonts w:ascii="Book Antiqua" w:eastAsia="Book Antiqua" w:hAnsi="Book Antiqua" w:cs="Book Antiqua"/>
          <w:color w:val="000000"/>
        </w:rPr>
        <w:t xml:space="preserve"> healthy controls: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(Figure 1D). The proportion of M-CTCs plus E&amp;M-CTCs in GGO cases was similar to that in other LC cases. </w:t>
      </w:r>
    </w:p>
    <w:p w14:paraId="1E8452F1" w14:textId="77777777" w:rsidR="00FC0E9A" w:rsidRDefault="00FC0E9A">
      <w:pPr>
        <w:spacing w:line="360" w:lineRule="auto"/>
        <w:jc w:val="both"/>
        <w:rPr>
          <w:rFonts w:ascii="Book Antiqua" w:hAnsi="Book Antiqua"/>
        </w:rPr>
      </w:pPr>
    </w:p>
    <w:p w14:paraId="556E9914" w14:textId="77777777" w:rsidR="00FC0E9A" w:rsidRDefault="008C0FEC">
      <w:pPr>
        <w:spacing w:line="360" w:lineRule="auto"/>
        <w:jc w:val="both"/>
        <w:rPr>
          <w:rFonts w:ascii="Book Antiqua" w:hAnsi="Book Antiqua"/>
          <w:i/>
          <w:iCs/>
        </w:rPr>
      </w:pPr>
      <w:r>
        <w:rPr>
          <w:rFonts w:ascii="Book Antiqua" w:eastAsia="Book Antiqua" w:hAnsi="Book Antiqua" w:cs="Book Antiqua"/>
          <w:b/>
          <w:bCs/>
          <w:i/>
          <w:iCs/>
          <w:color w:val="000000"/>
        </w:rPr>
        <w:t xml:space="preserve">Cut-off and diagnostic value of CTCs determined by ROC curve analysis </w:t>
      </w:r>
    </w:p>
    <w:p w14:paraId="0EF37095"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As shown in Figure 2 and Table 2, the area under the ROC curve (AUC) of total CTCs and E&amp;M-CTCs was &gt; 0.8 and &gt; 0.75, respectively, indicating their potential diagnostic value for discriminating LC cases from controls. Compared to GGO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the AUC of total CTCs or E&amp;M-CTCs remained &gt; 0.75. </w:t>
      </w:r>
    </w:p>
    <w:p w14:paraId="2C32AF37" w14:textId="77777777" w:rsidR="00FC0E9A" w:rsidRDefault="008C0FEC" w:rsidP="00D245E8">
      <w:pPr>
        <w:spacing w:line="360" w:lineRule="auto"/>
        <w:ind w:firstLineChars="112" w:firstLine="269"/>
        <w:jc w:val="both"/>
        <w:rPr>
          <w:rFonts w:ascii="Book Antiqua" w:hAnsi="Book Antiqua"/>
        </w:rPr>
      </w:pPr>
      <w:r>
        <w:rPr>
          <w:rFonts w:ascii="Book Antiqua" w:eastAsia="Book Antiqua" w:hAnsi="Book Antiqua" w:cs="Book Antiqua"/>
          <w:color w:val="000000"/>
        </w:rPr>
        <w:t xml:space="preserve">The most effective cut-off for positivity according to the AUC was determined to be total CTCs ≥ 2/5 mL and E&amp;M-CTCs ≥ 1/5 mL (Table 2). These cut-off values were used to determine the sensitivity of total CTCs and E&amp;M-CTCs for diagnosing LUAD, which showed that their sensitivity was higher than that of E-CTCs and M-CTCs (Table 2). After defining either total CTCs ≥ 2/5 mL or E&amp;M-CTCs ≥ 1/5 mL for positivity, the sensitivity was 85.85% for LC patients and 80.95% for GGO patients, and the specificity was 78.57%. </w:t>
      </w:r>
    </w:p>
    <w:p w14:paraId="2F789577" w14:textId="77777777" w:rsidR="00FC0E9A" w:rsidRDefault="00FC0E9A">
      <w:pPr>
        <w:spacing w:line="360" w:lineRule="auto"/>
        <w:jc w:val="both"/>
        <w:rPr>
          <w:rFonts w:ascii="Book Antiqua" w:hAnsi="Book Antiqua"/>
        </w:rPr>
      </w:pPr>
    </w:p>
    <w:p w14:paraId="400AD0D2" w14:textId="77777777" w:rsidR="00FC0E9A" w:rsidRDefault="008C0FEC">
      <w:pPr>
        <w:spacing w:line="360" w:lineRule="auto"/>
        <w:jc w:val="both"/>
        <w:rPr>
          <w:rFonts w:ascii="Book Antiqua" w:hAnsi="Book Antiqua"/>
          <w:i/>
          <w:iCs/>
        </w:rPr>
      </w:pPr>
      <w:r>
        <w:rPr>
          <w:rFonts w:ascii="Book Antiqua" w:eastAsia="Book Antiqua" w:hAnsi="Book Antiqua" w:cs="Book Antiqua"/>
          <w:b/>
          <w:bCs/>
          <w:i/>
          <w:iCs/>
          <w:color w:val="000000"/>
        </w:rPr>
        <w:t>Validation of CanPatrol</w:t>
      </w:r>
      <w:r>
        <w:rPr>
          <w:rFonts w:ascii="Book Antiqua" w:eastAsia="Book Antiqua" w:hAnsi="Book Antiqua" w:cs="Book Antiqua"/>
          <w:b/>
          <w:bCs/>
          <w:i/>
          <w:iCs/>
          <w:color w:val="000000"/>
          <w:vertAlign w:val="superscript"/>
        </w:rPr>
        <w:t>TM</w:t>
      </w:r>
      <w:r>
        <w:rPr>
          <w:rFonts w:ascii="Book Antiqua" w:eastAsia="Book Antiqua" w:hAnsi="Book Antiqua" w:cs="Book Antiqua"/>
          <w:b/>
          <w:bCs/>
          <w:i/>
          <w:iCs/>
          <w:color w:val="000000"/>
        </w:rPr>
        <w:t xml:space="preserve"> using CytoploRare</w:t>
      </w:r>
    </w:p>
    <w:p w14:paraId="79F9D2EA"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The Canpatrol</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method was validated using CytoploRare in 20 LC cases, 7 benign cases, and 11 healthy controls. As shown in Table 3, the Kappa values reached 0.415, indicating that the detection rate of total CTCs and E&amp;M-CTCs was comparable to that of FR+ CTCs (detected by CytoploRare). Although M-CTCs also had a </w:t>
      </w:r>
      <w:r>
        <w:rPr>
          <w:rFonts w:ascii="Book Antiqua" w:eastAsia="Book Antiqua" w:hAnsi="Book Antiqua" w:cs="Book Antiqua"/>
          <w:i/>
          <w:iCs/>
          <w:color w:val="000000"/>
        </w:rPr>
        <w:t xml:space="preserve">P </w:t>
      </w:r>
      <w:r>
        <w:rPr>
          <w:rFonts w:ascii="Book Antiqua" w:eastAsia="Book Antiqua" w:hAnsi="Book Antiqua" w:cs="Book Antiqua"/>
          <w:color w:val="000000"/>
        </w:rPr>
        <w:t>value of &lt; 0.05 compared with FR+ CTCs, this index was excluded because of the low Kappa value (data not shown).</w:t>
      </w:r>
    </w:p>
    <w:p w14:paraId="001D57EB" w14:textId="77777777" w:rsidR="00FC0E9A" w:rsidRDefault="00FC0E9A">
      <w:pPr>
        <w:spacing w:line="360" w:lineRule="auto"/>
        <w:jc w:val="both"/>
        <w:rPr>
          <w:rFonts w:ascii="Book Antiqua" w:hAnsi="Book Antiqua"/>
        </w:rPr>
      </w:pPr>
    </w:p>
    <w:p w14:paraId="00C27E0F" w14:textId="77777777" w:rsidR="00FC0E9A" w:rsidRDefault="008C0FE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06AB4F5"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Detection and measurement of CTCs is a noninvasive liquid biopsy method that can provide reliable information on the diagnostic, prognostic, and/or predictive biomarkers of different types of cancer compared with invasive diagnostic modalities</w:t>
      </w:r>
      <w:r>
        <w:rPr>
          <w:rFonts w:ascii="Book Antiqua" w:eastAsia="Book Antiqua" w:hAnsi="Book Antiqua" w:cs="Book Antiqua"/>
          <w:color w:val="000000"/>
          <w:vertAlign w:val="superscript"/>
        </w:rPr>
        <w:t>[</w:t>
      </w:r>
      <w:hyperlink w:anchor="_ENREF_15" w:tooltip="Deng, 2018 #258" w:history="1">
        <w:r>
          <w:rPr>
            <w:rFonts w:ascii="Book Antiqua" w:eastAsia="Book Antiqua" w:hAnsi="Book Antiqua" w:cs="Book Antiqua"/>
            <w:color w:val="000000"/>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CTC detection is performed in two steps: enrichment and identification. CTC enrichment is based on distinguishing tumor cell morphology and sorting cell surface markers. For example, CellSearch enriches CTCs by sorting the surface marker EpCAM using magnetic beads. ISET is a method of enriching cells by filtering cells through filter membranes based on cell size. Ficoll separation enriches cells by density gradient centrifugation based on different cell densities</w:t>
      </w:r>
      <w:r>
        <w:rPr>
          <w:rFonts w:ascii="Book Antiqua" w:eastAsia="Book Antiqua" w:hAnsi="Book Antiqua" w:cs="Book Antiqua"/>
          <w:color w:val="000000"/>
          <w:vertAlign w:val="superscript"/>
        </w:rPr>
        <w:t>[</w:t>
      </w:r>
      <w:hyperlink w:anchor="_ENREF_16" w:tooltip="Geeurickx, 2020 #86" w:history="1">
        <w:r>
          <w:rPr>
            <w:rFonts w:ascii="Book Antiqua" w:eastAsia="Book Antiqua" w:hAnsi="Book Antiqua" w:cs="Book Antiqua"/>
            <w:color w:val="000000"/>
            <w:vertAlign w:val="superscript"/>
          </w:rPr>
          <w:t>16</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CTC identification is achieved using polymerase chain reaction (PCR), immunofluorescence, and ISH</w:t>
      </w:r>
      <w:r>
        <w:rPr>
          <w:rFonts w:ascii="Book Antiqua" w:eastAsia="Book Antiqua" w:hAnsi="Book Antiqua" w:cs="Book Antiqua"/>
          <w:color w:val="000000"/>
          <w:vertAlign w:val="superscript"/>
        </w:rPr>
        <w:t>[</w:t>
      </w:r>
      <w:hyperlink w:anchor="_ENREF_17" w:tooltip="Liu, 2018 #218" w:history="1">
        <w:r>
          <w:rPr>
            <w:rFonts w:ascii="Book Antiqua" w:eastAsia="Book Antiqua" w:hAnsi="Book Antiqua" w:cs="Book Antiqua"/>
            <w:color w:val="000000"/>
            <w:vertAlign w:val="superscript"/>
          </w:rPr>
          <w:t>17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8ACE2FF" w14:textId="77777777" w:rsidR="00FC0E9A" w:rsidRDefault="008C0FEC">
      <w:pPr>
        <w:spacing w:line="360" w:lineRule="auto"/>
        <w:ind w:firstLine="270"/>
        <w:jc w:val="both"/>
        <w:rPr>
          <w:rFonts w:ascii="Book Antiqua" w:hAnsi="Book Antiqua"/>
        </w:rPr>
      </w:pPr>
      <w:r>
        <w:rPr>
          <w:rFonts w:ascii="Book Antiqua" w:eastAsia="Book Antiqua" w:hAnsi="Book Antiqua" w:cs="Book Antiqua"/>
          <w:color w:val="000000"/>
        </w:rPr>
        <w:t>Most of the methods currently used in the clinic provide simultaneous enrichment and identification of CTCs. In this study, CanPatrol</w:t>
      </w:r>
      <w:r>
        <w:rPr>
          <w:rFonts w:ascii="Book Antiqua" w:eastAsia="Book Antiqua" w:hAnsi="Book Antiqua" w:cs="Book Antiqua"/>
          <w:color w:val="000000"/>
          <w:vertAlign w:val="superscript"/>
        </w:rPr>
        <w:t xml:space="preserve">TM </w:t>
      </w:r>
      <w:r>
        <w:rPr>
          <w:rFonts w:ascii="Book Antiqua" w:eastAsia="Book Antiqua" w:hAnsi="Book Antiqua" w:cs="Book Antiqua"/>
          <w:color w:val="000000"/>
        </w:rPr>
        <w:t>was used to enrich CTCs through an 8-micron filter membrane, and RNA ISH was used to identify and characterize the enriched cells based on branch DNA signal amplification technology. In addition, the expanded lanes in the CanPatrol</w:t>
      </w:r>
      <w:r>
        <w:rPr>
          <w:rFonts w:ascii="Book Antiqua" w:eastAsia="Book Antiqua" w:hAnsi="Book Antiqua" w:cs="Book Antiqua"/>
          <w:color w:val="000000"/>
          <w:vertAlign w:val="superscript"/>
        </w:rPr>
        <w:t xml:space="preserve">TM </w:t>
      </w:r>
      <w:r>
        <w:rPr>
          <w:rFonts w:ascii="Book Antiqua" w:eastAsia="Book Antiqua" w:hAnsi="Book Antiqua" w:cs="Book Antiqua"/>
          <w:color w:val="000000"/>
        </w:rPr>
        <w:t>system allow the detection of EMT markers such as EpCAM, CK 8, 18, and 19, vimentin, and Twist. The expression of these markers allows the classification of CTCs into different subtypes, namely, E-CTCs, M-CTCs, and E&amp;M-CTCs</w:t>
      </w:r>
      <w:r>
        <w:rPr>
          <w:rFonts w:ascii="Book Antiqua" w:eastAsia="Book Antiqua" w:hAnsi="Book Antiqua" w:cs="Book Antiqua"/>
          <w:color w:val="000000"/>
          <w:vertAlign w:val="superscript"/>
        </w:rPr>
        <w:t>[</w:t>
      </w:r>
      <w:hyperlink w:anchor="_ENREF_12" w:tooltip="Wu, 2015 #37" w:history="1">
        <w:r>
          <w:rPr>
            <w:rFonts w:ascii="Book Antiqua" w:eastAsia="Book Antiqua" w:hAnsi="Book Antiqua" w:cs="Book Antiqua"/>
            <w:color w:val="000000"/>
            <w:vertAlign w:val="superscript"/>
          </w:rPr>
          <w:t>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A recent study</w:t>
      </w:r>
      <w:r>
        <w:rPr>
          <w:rFonts w:ascii="Book Antiqua" w:eastAsia="Book Antiqua" w:hAnsi="Book Antiqua" w:cs="Book Antiqua"/>
          <w:color w:val="000000"/>
          <w:vertAlign w:val="superscript"/>
        </w:rPr>
        <w:t>[</w:t>
      </w:r>
      <w:hyperlink w:anchor="_ENREF_18" w:tooltip="Li, 2020 #323" w:history="1">
        <w:r>
          <w:rPr>
            <w:rFonts w:ascii="Book Antiqua" w:eastAsia="Book Antiqua" w:hAnsi="Book Antiqua" w:cs="Book Antiqua"/>
            <w:color w:val="000000"/>
            <w:vertAlign w:val="superscript"/>
          </w:rPr>
          <w:t>18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the sensitivity and specificity of total CTCs detected by CanPatrol™ technology for the diagnosis of LC is 81.6% and 86.8%, respectively, which is consistent with the present results. </w:t>
      </w:r>
    </w:p>
    <w:p w14:paraId="7B8D3470" w14:textId="77777777" w:rsidR="00FC0E9A" w:rsidRDefault="008C0FEC">
      <w:pPr>
        <w:spacing w:line="360" w:lineRule="auto"/>
        <w:ind w:firstLine="270"/>
        <w:jc w:val="both"/>
        <w:rPr>
          <w:rFonts w:ascii="Book Antiqua" w:hAnsi="Book Antiqua"/>
        </w:rPr>
      </w:pPr>
      <w:r>
        <w:rPr>
          <w:rFonts w:ascii="Book Antiqua" w:eastAsia="Book Antiqua" w:hAnsi="Book Antiqua" w:cs="Book Antiqua"/>
          <w:color w:val="000000"/>
        </w:rPr>
        <w:t>We used a widely used method, CytoploRare, to validate the CanPatrol</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results. The FR is a glycoprotein that is highly expressed on the cell surface and can be detected on lung and ovarian cancer cells</w:t>
      </w:r>
      <w:r>
        <w:rPr>
          <w:rFonts w:ascii="Book Antiqua" w:eastAsia="Book Antiqua" w:hAnsi="Book Antiqua" w:cs="Book Antiqua"/>
          <w:color w:val="000000"/>
          <w:vertAlign w:val="superscript"/>
        </w:rPr>
        <w:t>[</w:t>
      </w:r>
      <w:hyperlink w:anchor="_ENREF_19" w:tooltip="Zhou, 2019 #267" w:history="1">
        <w:r>
          <w:rPr>
            <w:rFonts w:ascii="Book Antiqua" w:eastAsia="Book Antiqua" w:hAnsi="Book Antiqua" w:cs="Book Antiqua"/>
            <w:color w:val="000000"/>
            <w:vertAlign w:val="superscript"/>
          </w:rPr>
          <w:t>19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Samples consisting of 3 mL peripheral blood were used to enrich FR+ CTCs; white blood cells were removed using immunomagnetic beads, and FR, a tumor-specific ligand, as well as a synthesized oligonucleotide were labeled on the cells. Quantitative PCR was used to analyze the conjugates. FR CTCs were defined as cells expressing folate ligands and cytokeratin with positive nuclear staining</w:t>
      </w:r>
      <w:r>
        <w:rPr>
          <w:rFonts w:ascii="Book Antiqua" w:eastAsia="Book Antiqua" w:hAnsi="Book Antiqua" w:cs="Book Antiqua"/>
          <w:color w:val="000000"/>
          <w:vertAlign w:val="superscript"/>
        </w:rPr>
        <w:t>[</w:t>
      </w:r>
      <w:hyperlink w:anchor="_ENREF_13" w:tooltip="Zhao, 2015 #40" w:history="1">
        <w:r>
          <w:rPr>
            <w:rFonts w:ascii="Book Antiqua" w:eastAsia="Book Antiqua" w:hAnsi="Book Antiqua" w:cs="Book Antiqua"/>
            <w:color w:val="000000"/>
            <w:vertAlign w:val="superscript"/>
          </w:rPr>
          <w:t>13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The sensitivity and specificity of this technology for the detection of FR+ CTCs is 81.94% and 73.08%, respectively</w:t>
      </w:r>
      <w:r>
        <w:rPr>
          <w:rFonts w:ascii="Book Antiqua" w:eastAsia="Book Antiqua" w:hAnsi="Book Antiqua" w:cs="Book Antiqua"/>
          <w:color w:val="000000"/>
          <w:vertAlign w:val="superscript"/>
        </w:rPr>
        <w:t>[</w:t>
      </w:r>
      <w:hyperlink w:anchor="_ENREF_20" w:tooltip="Xue, 2018 #324" w:history="1">
        <w:r>
          <w:rPr>
            <w:rFonts w:ascii="Book Antiqua" w:eastAsia="Book Antiqua" w:hAnsi="Book Antiqua" w:cs="Book Antiqua"/>
            <w:color w:val="000000"/>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Kappa values indicated a relatively similar detection efficacy for CanPatrol</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and CytoploRare, suggesting acceptable consistency. However, further studies with a larger sample size are necessary to confirm these results. </w:t>
      </w:r>
    </w:p>
    <w:p w14:paraId="7321AACA" w14:textId="77777777" w:rsidR="00FC0E9A" w:rsidRDefault="008C0FEC">
      <w:pPr>
        <w:spacing w:line="360" w:lineRule="auto"/>
        <w:ind w:firstLine="270"/>
        <w:jc w:val="both"/>
        <w:rPr>
          <w:rFonts w:ascii="Book Antiqua" w:hAnsi="Book Antiqua"/>
        </w:rPr>
      </w:pPr>
      <w:r>
        <w:rPr>
          <w:rFonts w:ascii="Book Antiqua" w:eastAsia="Book Antiqua" w:hAnsi="Book Antiqua" w:cs="Book Antiqua"/>
          <w:color w:val="000000"/>
        </w:rPr>
        <w:t>Another advantage of CanPatrol</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is that it can identify CTCs based on mesenchymal markers, whereas current CTCs monitoring methods, including CellSearch and MACS, are based on the detection of EpCAM, and thereby do not detect M-CTCs or E&amp;M-CTCs. CTCs undergoing EMT should receive increased attention because they are characterized by higher aggressiveness and carcinogenicity</w:t>
      </w:r>
      <w:r>
        <w:rPr>
          <w:rFonts w:ascii="Book Antiqua" w:eastAsia="Book Antiqua" w:hAnsi="Book Antiqua" w:cs="Book Antiqua"/>
          <w:color w:val="000000"/>
          <w:vertAlign w:val="superscript"/>
        </w:rPr>
        <w:t>[</w:t>
      </w:r>
      <w:hyperlink w:anchor="_ENREF_21" w:tooltip="Yu, 2013 #275" w:history="1">
        <w:r>
          <w:rPr>
            <w:rFonts w:ascii="Book Antiqua" w:eastAsia="Book Antiqua" w:hAnsi="Book Antiqua" w:cs="Book Antiqua"/>
            <w:color w:val="000000"/>
            <w:vertAlign w:val="superscript"/>
          </w:rPr>
          <w:t>21</w:t>
        </w:r>
      </w:hyperlink>
      <w:r>
        <w:rPr>
          <w:rFonts w:ascii="Book Antiqua" w:eastAsia="Book Antiqua" w:hAnsi="Book Antiqua" w:cs="Book Antiqua"/>
          <w:color w:val="000000"/>
          <w:vertAlign w:val="superscript"/>
        </w:rPr>
        <w:t>,</w:t>
      </w:r>
      <w:hyperlink w:anchor="_ENREF_22" w:tooltip="Effenberger, 2018 #280" w:history="1">
        <w:r>
          <w:rPr>
            <w:rFonts w:ascii="Book Antiqua" w:eastAsia="Book Antiqua" w:hAnsi="Book Antiqua" w:cs="Book Antiqua"/>
            <w:color w:val="000000"/>
            <w:vertAlign w:val="superscript"/>
          </w:rPr>
          <w:t>22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Tumor cells are more likely to form E&amp;M-CTCs than M-CTCs to obtain both mesenchymal and epithelial cell characteristics</w:t>
      </w:r>
      <w:r>
        <w:rPr>
          <w:rFonts w:ascii="Book Antiqua" w:eastAsia="Book Antiqua" w:hAnsi="Book Antiqua" w:cs="Book Antiqua"/>
          <w:color w:val="000000"/>
          <w:vertAlign w:val="superscript"/>
        </w:rPr>
        <w:t>[</w:t>
      </w:r>
      <w:hyperlink w:anchor="_ENREF_5" w:tooltip="Liu, 2019 #162" w:history="1">
        <w:r>
          <w:rPr>
            <w:rFonts w:ascii="Book Antiqua" w:eastAsia="Book Antiqua" w:hAnsi="Book Antiqua" w:cs="Book Antiqua"/>
            <w:color w:val="000000"/>
            <w:vertAlign w:val="superscript"/>
          </w:rPr>
          <w:t>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DA1FC32" w14:textId="77777777" w:rsidR="00FC0E9A" w:rsidRDefault="008C0FEC">
      <w:pPr>
        <w:spacing w:line="360" w:lineRule="auto"/>
        <w:ind w:firstLine="270"/>
        <w:jc w:val="both"/>
        <w:rPr>
          <w:rFonts w:ascii="Book Antiqua" w:hAnsi="Book Antiqua"/>
        </w:rPr>
      </w:pPr>
      <w:r>
        <w:rPr>
          <w:rFonts w:ascii="Book Antiqua" w:eastAsia="Book Antiqua" w:hAnsi="Book Antiqua" w:cs="Book Antiqua"/>
          <w:color w:val="000000"/>
        </w:rPr>
        <w:t>TelomeScan F35, which uses a telomerase-specific replication-selective adenovirus (OBP-1101) to detect CTCs using EMT markers, was used to show that CTCs with EMT-markers are effective for the early diagnosis of non-small cell lung cancer [mean sensitivity: 69.1% (59.6%, 40.0%, 85.7%, and 75.0% for stage I, II, III, and IV, respectively)]</w:t>
      </w:r>
      <w:r>
        <w:rPr>
          <w:rFonts w:ascii="Book Antiqua" w:eastAsia="Book Antiqua" w:hAnsi="Book Antiqua" w:cs="Book Antiqua"/>
          <w:color w:val="000000"/>
          <w:vertAlign w:val="superscript"/>
        </w:rPr>
        <w:t>[</w:t>
      </w:r>
      <w:hyperlink w:anchor="_ENREF_23" w:tooltip="Togo, 2017 #266" w:history="1">
        <w:r>
          <w:rPr>
            <w:rFonts w:ascii="Book Antiqua" w:eastAsia="Book Antiqua" w:hAnsi="Book Antiqua" w:cs="Book Antiqua"/>
            <w:color w:val="000000"/>
            <w:vertAlign w:val="superscript"/>
          </w:rPr>
          <w:t>23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A54EAE5" w14:textId="77777777" w:rsidR="00FC0E9A" w:rsidRDefault="008C0FEC">
      <w:pPr>
        <w:spacing w:line="360" w:lineRule="auto"/>
        <w:ind w:firstLine="270"/>
        <w:jc w:val="both"/>
        <w:rPr>
          <w:rFonts w:ascii="Book Antiqua" w:hAnsi="Book Antiqua"/>
        </w:rPr>
      </w:pPr>
      <w:r>
        <w:rPr>
          <w:rFonts w:ascii="Book Antiqua" w:eastAsia="Book Antiqua" w:hAnsi="Book Antiqua" w:cs="Book Antiqua"/>
          <w:color w:val="000000"/>
        </w:rPr>
        <w:t>In this study, we found that E&amp;M-CTCs had a greater discriminative power for the diagnosis of LC than E-CTCs or M-CTCs. In addition, we showed that CTCs can be present in benign and healthy controls. However, E&amp;M-CTCs were detected in one case in the control group that corresponded to a smoker. Similarly, CTCs can be recognized as a “sentinel” in cases associated with inflammatory diseases such as chronic obstructive pulmonary disease</w:t>
      </w:r>
      <w:r>
        <w:rPr>
          <w:rFonts w:ascii="Book Antiqua" w:eastAsia="Book Antiqua" w:hAnsi="Book Antiqua" w:cs="Book Antiqua"/>
          <w:color w:val="000000"/>
          <w:vertAlign w:val="superscript"/>
        </w:rPr>
        <w:t>[24]</w:t>
      </w:r>
      <w:r>
        <w:rPr>
          <w:rFonts w:ascii="Book Antiqua" w:eastAsia="Book Antiqua" w:hAnsi="Book Antiqua" w:cs="Book Antiqua"/>
          <w:color w:val="000000"/>
        </w:rPr>
        <w:t>. In patients with benign colon diseases, CTCs can also be detected with both the CellSearch system (11.3%) and the CK19-EPISPOT assay (18.9%), because inflammatory epithelial cells from these benign lesions may enter the peripheral blood</w:t>
      </w:r>
      <w:r>
        <w:rPr>
          <w:rFonts w:ascii="Book Antiqua" w:eastAsia="Book Antiqua" w:hAnsi="Book Antiqua" w:cs="Book Antiqua"/>
          <w:color w:val="000000"/>
          <w:vertAlign w:val="superscript"/>
        </w:rPr>
        <w:t>[25]</w:t>
      </w:r>
      <w:r>
        <w:rPr>
          <w:rFonts w:ascii="Book Antiqua" w:eastAsia="Book Antiqua" w:hAnsi="Book Antiqua" w:cs="Book Antiqua"/>
          <w:color w:val="000000"/>
        </w:rPr>
        <w:t>. In 232 patients with benign breast diseases, the CTC detection rate reached 15.95%</w:t>
      </w:r>
      <w:r>
        <w:rPr>
          <w:rFonts w:ascii="Book Antiqua" w:eastAsia="Book Antiqua" w:hAnsi="Book Antiqua" w:cs="Book Antiqua"/>
          <w:color w:val="000000"/>
          <w:vertAlign w:val="superscript"/>
        </w:rPr>
        <w:t>[26]</w:t>
      </w:r>
      <w:r>
        <w:rPr>
          <w:rFonts w:ascii="Book Antiqua" w:eastAsia="Book Antiqua" w:hAnsi="Book Antiqua" w:cs="Book Antiqua"/>
          <w:color w:val="000000"/>
        </w:rPr>
        <w:t>. Herein, we hypothesized that tumor cells or debris, which can be shed from the benign tumor into the peripheral blood, are captured and recognized as CTCs by CanPatrol</w:t>
      </w:r>
      <w:r>
        <w:rPr>
          <w:rFonts w:ascii="Book Antiqua" w:eastAsia="Book Antiqua" w:hAnsi="Book Antiqua" w:cs="Book Antiqua"/>
          <w:color w:val="000000"/>
          <w:vertAlign w:val="superscript"/>
        </w:rPr>
        <w:t>TM</w:t>
      </w:r>
      <w:r>
        <w:rPr>
          <w:rFonts w:ascii="Book Antiqua" w:eastAsia="Book Antiqua" w:hAnsi="Book Antiqua" w:cs="Book Antiqua"/>
          <w:color w:val="000000"/>
        </w:rPr>
        <w:t xml:space="preserve">. However, we cannot completely rule out that these CTCs in the controls were not malignant because CTCs may appear at a very early stage of cancer development, even if the lesion is undetectable by systemic physical and radiological examinations. Whether these “benign” tumors or diseases were in a premalignant stage requires long-term follow-up. </w:t>
      </w:r>
    </w:p>
    <w:p w14:paraId="26C44037" w14:textId="77777777" w:rsidR="00FC0E9A" w:rsidRDefault="008C0FEC">
      <w:pPr>
        <w:spacing w:line="360" w:lineRule="auto"/>
        <w:ind w:firstLine="270"/>
        <w:jc w:val="both"/>
        <w:rPr>
          <w:rFonts w:ascii="Book Antiqua" w:hAnsi="Book Antiqua"/>
        </w:rPr>
      </w:pPr>
      <w:r>
        <w:rPr>
          <w:rFonts w:ascii="Book Antiqua" w:eastAsia="Book Antiqua" w:hAnsi="Book Antiqua" w:cs="Book Antiqua"/>
          <w:color w:val="000000"/>
        </w:rPr>
        <w:t xml:space="preserve">In this study, the proportions of M-CTCs and E&amp;M-CTCs were highest in LC patients compared with benign and healthy controls, supporting the critical role of the EMT process in CTCs in promoting tumor invasion, migration, and metastatic growth. </w:t>
      </w:r>
    </w:p>
    <w:p w14:paraId="51E03C8B" w14:textId="77777777" w:rsidR="00FC0E9A" w:rsidRDefault="008C0FEC">
      <w:pPr>
        <w:spacing w:line="360" w:lineRule="auto"/>
        <w:ind w:firstLine="270"/>
        <w:jc w:val="both"/>
        <w:rPr>
          <w:rFonts w:ascii="Book Antiqua" w:hAnsi="Book Antiqua"/>
        </w:rPr>
      </w:pPr>
      <w:r>
        <w:rPr>
          <w:rFonts w:ascii="Book Antiqua" w:eastAsia="Book Antiqua" w:hAnsi="Book Antiqua" w:cs="Book Antiqua"/>
          <w:color w:val="000000"/>
        </w:rPr>
        <w:t>Detection of E&amp;M-CTCs is effective for distinguishing LC, including GGO and solid lesions, from controls, thus providing a new method for discriminating between malignant and benign pulmonary nodes in clinical practice. Because the study only included two benign cases presented as GGO, we were unable to determine the diagnostic value of E&amp;M-CTCs for discriminating between malignant and benign GGO. Intriguingly, fibrosis can be found in either benign or malignant lung GGO</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However, very few published studies have focused on CTCs and GGO, not to mention CTCs and fibrosis. Furthermore, pathological reports from our hospital did not clearly describe the fibrosis condition of these GGO cases. Therefore, we are going to design further clinical trials regarding CTCs in GGO, which will consider the fibrosis condition and the expressions of relevant biomarkers,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bookmarkStart w:id="53" w:name="OLE_LINK297"/>
      <w:bookmarkStart w:id="54" w:name="OLE_LINK298"/>
      <w:r>
        <w:rPr>
          <w:rFonts w:ascii="Book Antiqua" w:eastAsia="Book Antiqua" w:hAnsi="Book Antiqua" w:cs="Book Antiqua"/>
          <w:color w:val="000000"/>
        </w:rPr>
        <w:t>CXCL4</w:t>
      </w:r>
      <w:bookmarkEnd w:id="53"/>
      <w:bookmarkEnd w:id="54"/>
      <w:r>
        <w:rPr>
          <w:rFonts w:ascii="Book Antiqua" w:eastAsia="Book Antiqua" w:hAnsi="Book Antiqua" w:cs="Book Antiqua"/>
          <w:color w:val="000000"/>
        </w:rPr>
        <w:t xml:space="preserve"> and LECT2</w:t>
      </w:r>
      <w:r>
        <w:rPr>
          <w:rFonts w:ascii="Book Antiqua" w:eastAsia="Book Antiqua" w:hAnsi="Book Antiqua" w:cs="Book Antiqua"/>
          <w:color w:val="000000"/>
          <w:vertAlign w:val="superscript"/>
        </w:rPr>
        <w:t>[29,30]</w:t>
      </w:r>
      <w:r>
        <w:rPr>
          <w:rFonts w:ascii="Book Antiqua" w:eastAsia="Book Antiqua" w:hAnsi="Book Antiqua" w:cs="Book Antiqua"/>
          <w:color w:val="000000"/>
        </w:rPr>
        <w:t>. Additional studies with a large sample size and a multicenter design are warranted in the near future.</w:t>
      </w:r>
    </w:p>
    <w:p w14:paraId="227F940A" w14:textId="77777777" w:rsidR="00FC0E9A" w:rsidRDefault="00FC0E9A">
      <w:pPr>
        <w:spacing w:line="360" w:lineRule="auto"/>
        <w:jc w:val="both"/>
        <w:rPr>
          <w:rFonts w:ascii="Book Antiqua" w:hAnsi="Book Antiqua"/>
        </w:rPr>
      </w:pPr>
    </w:p>
    <w:p w14:paraId="135EFA8F" w14:textId="77777777" w:rsidR="00FC0E9A" w:rsidRDefault="008C0FEC">
      <w:pPr>
        <w:spacing w:line="360" w:lineRule="auto"/>
        <w:jc w:val="both"/>
        <w:rPr>
          <w:rFonts w:ascii="Book Antiqua" w:hAnsi="Book Antiqua"/>
          <w:u w:val="single"/>
        </w:rPr>
      </w:pPr>
      <w:r>
        <w:rPr>
          <w:rFonts w:ascii="Book Antiqua" w:eastAsia="Book Antiqua" w:hAnsi="Book Antiqua" w:cs="Book Antiqua"/>
          <w:b/>
          <w:caps/>
          <w:color w:val="000000"/>
          <w:u w:val="single"/>
        </w:rPr>
        <w:t>CONCLUSION</w:t>
      </w:r>
    </w:p>
    <w:p w14:paraId="3DBEF8E5" w14:textId="77777777" w:rsidR="00FC0E9A" w:rsidRDefault="008C0FEC">
      <w:pPr>
        <w:spacing w:line="360" w:lineRule="auto"/>
        <w:jc w:val="both"/>
        <w:rPr>
          <w:rFonts w:ascii="Book Antiqua" w:hAnsi="Book Antiqua"/>
        </w:rPr>
      </w:pPr>
      <w:bookmarkStart w:id="55" w:name="OLE_LINK359"/>
      <w:bookmarkStart w:id="56" w:name="OLE_LINK358"/>
      <w:r>
        <w:rPr>
          <w:rFonts w:ascii="Book Antiqua" w:eastAsia="Book Antiqua" w:hAnsi="Book Antiqua" w:cs="Book Antiqua"/>
          <w:color w:val="000000"/>
        </w:rPr>
        <w:t xml:space="preserve">In conclusion, after defining total CTCs ≥ 2/5 mL or E&amp;M-CTCs ≥ 1/5 mL as the cut-off for positivity, the sensitivity and specificity for LC diagnosis were 85.85% and 78.57%, respectively. CTC detection is valuable for distinguishing LC from controls. </w:t>
      </w:r>
    </w:p>
    <w:bookmarkEnd w:id="55"/>
    <w:bookmarkEnd w:id="56"/>
    <w:p w14:paraId="625F44D4" w14:textId="77777777" w:rsidR="00FC0E9A" w:rsidRDefault="00FC0E9A">
      <w:pPr>
        <w:spacing w:line="360" w:lineRule="auto"/>
        <w:jc w:val="both"/>
        <w:rPr>
          <w:rFonts w:ascii="Book Antiqua" w:hAnsi="Book Antiqua"/>
        </w:rPr>
      </w:pPr>
    </w:p>
    <w:p w14:paraId="7BE05879" w14:textId="77777777" w:rsidR="00FC0E9A" w:rsidRDefault="008C0FEC">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8AF0387" w14:textId="77777777" w:rsidR="00FC0E9A" w:rsidRDefault="008C0FEC">
      <w:pPr>
        <w:spacing w:line="360" w:lineRule="auto"/>
        <w:jc w:val="both"/>
        <w:rPr>
          <w:rFonts w:ascii="Book Antiqua" w:hAnsi="Book Antiqua"/>
        </w:rPr>
      </w:pPr>
      <w:r>
        <w:rPr>
          <w:rFonts w:ascii="Book Antiqua" w:eastAsia="Book Antiqua" w:hAnsi="Book Antiqua" w:cs="Book Antiqua"/>
          <w:b/>
          <w:i/>
          <w:color w:val="000000"/>
        </w:rPr>
        <w:t>Research background</w:t>
      </w:r>
    </w:p>
    <w:p w14:paraId="1D274FB3" w14:textId="77777777" w:rsidR="00FC0E9A" w:rsidRDefault="008C0FEC">
      <w:pPr>
        <w:spacing w:line="360" w:lineRule="auto"/>
        <w:jc w:val="both"/>
        <w:rPr>
          <w:rFonts w:ascii="Book Antiqua" w:hAnsi="Book Antiqua"/>
        </w:rPr>
      </w:pPr>
      <w:bookmarkStart w:id="57" w:name="OLE_LINK360"/>
      <w:bookmarkStart w:id="58" w:name="OLE_LINK361"/>
      <w:r>
        <w:rPr>
          <w:rFonts w:ascii="Book Antiqua" w:eastAsia="Book Antiqua" w:hAnsi="Book Antiqua" w:cs="Book Antiqua"/>
          <w:color w:val="000000"/>
        </w:rPr>
        <w:t xml:space="preserve">Circulating tumor cells (CTCs) can be clustered into three subtypes according to surface biomarkers. CTC detection has clinical implications in the diagnosis of lung cancer (LC). </w:t>
      </w:r>
    </w:p>
    <w:bookmarkEnd w:id="57"/>
    <w:bookmarkEnd w:id="58"/>
    <w:p w14:paraId="082950F6" w14:textId="77777777" w:rsidR="00FC0E9A" w:rsidRDefault="00FC0E9A">
      <w:pPr>
        <w:spacing w:line="360" w:lineRule="auto"/>
        <w:jc w:val="both"/>
        <w:rPr>
          <w:rFonts w:ascii="Book Antiqua" w:hAnsi="Book Antiqua"/>
        </w:rPr>
      </w:pPr>
    </w:p>
    <w:p w14:paraId="3413930F" w14:textId="77777777" w:rsidR="00FC0E9A" w:rsidRDefault="008C0FEC">
      <w:pPr>
        <w:spacing w:line="360" w:lineRule="auto"/>
        <w:jc w:val="both"/>
        <w:rPr>
          <w:rFonts w:ascii="Book Antiqua" w:hAnsi="Book Antiqua"/>
        </w:rPr>
      </w:pPr>
      <w:r>
        <w:rPr>
          <w:rFonts w:ascii="Book Antiqua" w:eastAsia="Book Antiqua" w:hAnsi="Book Antiqua" w:cs="Book Antiqua"/>
          <w:b/>
          <w:i/>
          <w:color w:val="000000"/>
        </w:rPr>
        <w:t>Research motivation</w:t>
      </w:r>
    </w:p>
    <w:p w14:paraId="6DFD67EF"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CTCs categorized by epithelial-mesenchymal transition (EMT)</w:t>
      </w:r>
      <w:r>
        <w:rPr>
          <w:rFonts w:ascii="Book Antiqua" w:eastAsia="宋体" w:hAnsi="Book Antiqua" w:cs="Book Antiqua"/>
          <w:color w:val="000000"/>
          <w:lang w:eastAsia="zh-CN"/>
        </w:rPr>
        <w:t xml:space="preserve"> </w:t>
      </w:r>
      <w:r>
        <w:rPr>
          <w:rFonts w:ascii="Book Antiqua" w:eastAsia="Book Antiqua" w:hAnsi="Book Antiqua" w:cs="Book Antiqua"/>
          <w:color w:val="000000"/>
        </w:rPr>
        <w:t>markers have diagnostic value in LC and ground-glass opacities (GGO) patients.</w:t>
      </w:r>
    </w:p>
    <w:p w14:paraId="7F72845D" w14:textId="77777777" w:rsidR="00810AC3" w:rsidRDefault="00810AC3">
      <w:pPr>
        <w:spacing w:line="360" w:lineRule="auto"/>
        <w:jc w:val="both"/>
        <w:rPr>
          <w:rFonts w:ascii="Book Antiqua" w:eastAsia="Book Antiqua" w:hAnsi="Book Antiqua" w:cs="Book Antiqua"/>
          <w:b/>
          <w:i/>
          <w:color w:val="000000"/>
        </w:rPr>
      </w:pPr>
    </w:p>
    <w:p w14:paraId="2D893296" w14:textId="42DEFBE6" w:rsidR="00FC0E9A" w:rsidRDefault="008C0FEC">
      <w:pPr>
        <w:spacing w:line="360" w:lineRule="auto"/>
        <w:jc w:val="both"/>
        <w:rPr>
          <w:rFonts w:ascii="Book Antiqua" w:hAnsi="Book Antiqua"/>
        </w:rPr>
      </w:pPr>
      <w:r>
        <w:rPr>
          <w:rFonts w:ascii="Book Antiqua" w:eastAsia="Book Antiqua" w:hAnsi="Book Antiqua" w:cs="Book Antiqua"/>
          <w:b/>
          <w:i/>
          <w:color w:val="000000"/>
        </w:rPr>
        <w:t>Research objectives</w:t>
      </w:r>
    </w:p>
    <w:p w14:paraId="03667A97" w14:textId="77777777" w:rsidR="00FC0E9A" w:rsidRDefault="008C0FEC">
      <w:pPr>
        <w:spacing w:line="360" w:lineRule="auto"/>
        <w:jc w:val="both"/>
        <w:rPr>
          <w:rFonts w:ascii="Book Antiqua" w:hAnsi="Book Antiqua"/>
        </w:rPr>
      </w:pPr>
      <w:bookmarkStart w:id="59" w:name="OLE_LINK362"/>
      <w:r>
        <w:rPr>
          <w:rFonts w:ascii="Book Antiqua" w:eastAsia="Book Antiqua" w:hAnsi="Book Antiqua" w:cs="Book Antiqua"/>
          <w:color w:val="000000"/>
        </w:rPr>
        <w:t>To clarify the diagnostic value of CTCs categorized by the expression of EMT markers in LC and GGO patients</w:t>
      </w:r>
    </w:p>
    <w:bookmarkEnd w:id="59"/>
    <w:p w14:paraId="0D799B05" w14:textId="77777777" w:rsidR="00FC0E9A" w:rsidRDefault="00FC0E9A">
      <w:pPr>
        <w:spacing w:line="360" w:lineRule="auto"/>
        <w:jc w:val="both"/>
        <w:rPr>
          <w:rFonts w:ascii="Book Antiqua" w:hAnsi="Book Antiqua"/>
        </w:rPr>
      </w:pPr>
    </w:p>
    <w:p w14:paraId="0D3CD015" w14:textId="77777777" w:rsidR="00FC0E9A" w:rsidRDefault="008C0FEC">
      <w:pPr>
        <w:spacing w:line="360" w:lineRule="auto"/>
        <w:jc w:val="both"/>
        <w:rPr>
          <w:rFonts w:ascii="Book Antiqua" w:hAnsi="Book Antiqua"/>
        </w:rPr>
      </w:pPr>
      <w:r>
        <w:rPr>
          <w:rFonts w:ascii="Book Antiqua" w:eastAsia="Book Antiqua" w:hAnsi="Book Antiqua" w:cs="Book Antiqua"/>
          <w:b/>
          <w:i/>
          <w:color w:val="000000"/>
        </w:rPr>
        <w:t>Research methods</w:t>
      </w:r>
    </w:p>
    <w:p w14:paraId="7107711F"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Of the 106 patients with lung adenocarcinoma comprising the study cohort, 42 had GGO and 64 had solid lesions; 11 patients with benign tumors and 17 healthy controls were included as controls. Total CTCs and CTCs with both markers (E&amp;M-CTCs) of these patients were detected, the diagnostic value of CTCs categorized by the expression of EMT markers. CytoploRare technique was used in 20 cases and 18 controls for validation.</w:t>
      </w:r>
    </w:p>
    <w:p w14:paraId="458B94A4" w14:textId="77777777" w:rsidR="00FC0E9A" w:rsidRDefault="00FC0E9A">
      <w:pPr>
        <w:spacing w:line="360" w:lineRule="auto"/>
        <w:jc w:val="both"/>
        <w:rPr>
          <w:rFonts w:ascii="Book Antiqua" w:hAnsi="Book Antiqua"/>
        </w:rPr>
      </w:pPr>
    </w:p>
    <w:p w14:paraId="16D24474" w14:textId="77777777" w:rsidR="00FC0E9A" w:rsidRDefault="008C0FEC">
      <w:pPr>
        <w:spacing w:line="360" w:lineRule="auto"/>
        <w:jc w:val="both"/>
        <w:rPr>
          <w:rFonts w:ascii="Book Antiqua" w:hAnsi="Book Antiqua"/>
        </w:rPr>
      </w:pPr>
      <w:r>
        <w:rPr>
          <w:rFonts w:ascii="Book Antiqua" w:eastAsia="Book Antiqua" w:hAnsi="Book Antiqua" w:cs="Book Antiqua"/>
          <w:b/>
          <w:i/>
          <w:color w:val="000000"/>
        </w:rPr>
        <w:t>Research results</w:t>
      </w:r>
    </w:p>
    <w:p w14:paraId="1B98C6B2" w14:textId="77777777" w:rsidR="00FC0E9A" w:rsidRDefault="008C0FEC">
      <w:pPr>
        <w:spacing w:line="360" w:lineRule="auto"/>
        <w:jc w:val="both"/>
        <w:rPr>
          <w:rFonts w:ascii="Book Antiqua" w:hAnsi="Book Antiqua"/>
        </w:rPr>
      </w:pPr>
      <w:bookmarkStart w:id="60" w:name="OLE_LINK364"/>
      <w:bookmarkStart w:id="61" w:name="OLE_LINK363"/>
      <w:r>
        <w:rPr>
          <w:rFonts w:ascii="Book Antiqua" w:eastAsia="Book Antiqua" w:hAnsi="Book Antiqua" w:cs="Book Antiqua"/>
          <w:color w:val="000000"/>
        </w:rPr>
        <w:t>Total CTCs and E&amp;M-CTCs were significantly more frequent in LC cases than in benign or healthy controls.</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area under the receiver operating characteristic curve of total CTCs and E&amp;M-CTCs was &gt; 0.8 and &gt; 0.75, respectively.</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combined sensitivity of total-CTCs and E&amp;M-CTCs was 85.85% for LC patients (80.95% for GGO patients) and the specificity was 78.57%.</w:t>
      </w:r>
    </w:p>
    <w:bookmarkEnd w:id="60"/>
    <w:bookmarkEnd w:id="61"/>
    <w:p w14:paraId="4F0B691D" w14:textId="77777777" w:rsidR="00FC0E9A" w:rsidRDefault="00FC0E9A">
      <w:pPr>
        <w:spacing w:line="360" w:lineRule="auto"/>
        <w:jc w:val="both"/>
        <w:rPr>
          <w:rFonts w:ascii="Book Antiqua" w:hAnsi="Book Antiqua"/>
        </w:rPr>
      </w:pPr>
    </w:p>
    <w:p w14:paraId="03CC5E32" w14:textId="77777777" w:rsidR="00FC0E9A" w:rsidRDefault="008C0FEC">
      <w:pPr>
        <w:spacing w:line="360" w:lineRule="auto"/>
        <w:jc w:val="both"/>
        <w:rPr>
          <w:rFonts w:ascii="Book Antiqua" w:hAnsi="Book Antiqua"/>
        </w:rPr>
      </w:pPr>
      <w:r>
        <w:rPr>
          <w:rFonts w:ascii="Book Antiqua" w:eastAsia="Book Antiqua" w:hAnsi="Book Antiqua" w:cs="Book Antiqua"/>
          <w:b/>
          <w:i/>
          <w:color w:val="000000"/>
        </w:rPr>
        <w:t>Research conclusions</w:t>
      </w:r>
    </w:p>
    <w:p w14:paraId="524663C7"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CTC detection is valuable for distinguishing LC as well as GGO patients from controls. </w:t>
      </w:r>
    </w:p>
    <w:p w14:paraId="716EAB4C" w14:textId="77777777" w:rsidR="00FC0E9A" w:rsidRDefault="00FC0E9A">
      <w:pPr>
        <w:spacing w:line="360" w:lineRule="auto"/>
        <w:jc w:val="both"/>
        <w:rPr>
          <w:rFonts w:ascii="Book Antiqua" w:hAnsi="Book Antiqua"/>
        </w:rPr>
      </w:pPr>
    </w:p>
    <w:p w14:paraId="3DAE72ED" w14:textId="77777777" w:rsidR="00FC0E9A" w:rsidRDefault="008C0FEC">
      <w:pPr>
        <w:spacing w:line="360" w:lineRule="auto"/>
        <w:jc w:val="both"/>
        <w:rPr>
          <w:rFonts w:ascii="Book Antiqua" w:hAnsi="Book Antiqua"/>
        </w:rPr>
      </w:pPr>
      <w:r>
        <w:rPr>
          <w:rFonts w:ascii="Book Antiqua" w:eastAsia="Book Antiqua" w:hAnsi="Book Antiqua" w:cs="Book Antiqua"/>
          <w:b/>
          <w:i/>
          <w:color w:val="000000"/>
        </w:rPr>
        <w:t>Research perspectives</w:t>
      </w:r>
    </w:p>
    <w:p w14:paraId="687BD2B9" w14:textId="77777777" w:rsidR="00FC0E9A" w:rsidRDefault="008C0FEC">
      <w:pPr>
        <w:spacing w:line="360" w:lineRule="auto"/>
        <w:jc w:val="both"/>
        <w:rPr>
          <w:rFonts w:ascii="Book Antiqua" w:hAnsi="Book Antiqua"/>
        </w:rPr>
      </w:pPr>
      <w:bookmarkStart w:id="62" w:name="OLE_LINK365"/>
      <w:bookmarkStart w:id="63" w:name="OLE_LINK366"/>
      <w:r>
        <w:rPr>
          <w:rFonts w:ascii="Book Antiqua" w:eastAsia="Book Antiqua" w:hAnsi="Book Antiqua" w:cs="Book Antiqua"/>
          <w:color w:val="000000"/>
        </w:rPr>
        <w:t xml:space="preserve">Epithelial (E)-, mesenchymal (M)-, and E&amp;M markers can be identified in CTC. Therefore, CTCs were clustered into three subtypes, as </w:t>
      </w:r>
      <w:r>
        <w:rPr>
          <w:rFonts w:ascii="Book Antiqua" w:eastAsia="Book Antiqua" w:hAnsi="Book Antiqua" w:cs="Book Antiqua"/>
          <w:i/>
          <w:iCs/>
          <w:color w:val="000000"/>
        </w:rPr>
        <w:t>per</w:t>
      </w:r>
      <w:r>
        <w:rPr>
          <w:rFonts w:ascii="Book Antiqua" w:eastAsia="Book Antiqua" w:hAnsi="Book Antiqua" w:cs="Book Antiqua"/>
          <w:color w:val="000000"/>
        </w:rPr>
        <w:t xml:space="preserve"> the markers on CTC, </w:t>
      </w:r>
      <w:r>
        <w:rPr>
          <w:rFonts w:ascii="Book Antiqua" w:eastAsia="Book Antiqua" w:hAnsi="Book Antiqua" w:cs="Book Antiqua"/>
          <w:i/>
          <w:iCs/>
          <w:color w:val="000000"/>
        </w:rPr>
        <w:t>i.e.</w:t>
      </w:r>
      <w:r>
        <w:rPr>
          <w:rFonts w:ascii="Book Antiqua" w:eastAsia="Book Antiqua" w:hAnsi="Book Antiqua" w:cs="Book Antiqua"/>
          <w:color w:val="000000"/>
        </w:rPr>
        <w:t xml:space="preserve"> E-CTC, M-CTC and E&amp;M-CTC.</w:t>
      </w:r>
      <w:r>
        <w:rPr>
          <w:rFonts w:ascii="Book Antiqua" w:eastAsiaTheme="minorEastAsia" w:hAnsi="Book Antiqua" w:hint="eastAsia"/>
          <w:lang w:eastAsia="zh-CN"/>
        </w:rPr>
        <w:t xml:space="preserve"> </w:t>
      </w:r>
      <w:r>
        <w:rPr>
          <w:rFonts w:ascii="Book Antiqua" w:eastAsia="Book Antiqua" w:hAnsi="Book Antiqua" w:cs="Book Antiqua"/>
          <w:color w:val="000000"/>
        </w:rPr>
        <w:t>Detection of E&amp;M-CTC has good diagnostic value in distinguishing lung cancer, providing a new method to discriminate between malignant and benign pulmonary node in clinical practice.</w:t>
      </w:r>
    </w:p>
    <w:bookmarkEnd w:id="62"/>
    <w:bookmarkEnd w:id="63"/>
    <w:p w14:paraId="7150013C" w14:textId="77777777" w:rsidR="00FC0E9A" w:rsidRDefault="00FC0E9A">
      <w:pPr>
        <w:spacing w:line="360" w:lineRule="auto"/>
        <w:jc w:val="both"/>
        <w:rPr>
          <w:rFonts w:ascii="Book Antiqua" w:hAnsi="Book Antiqua"/>
        </w:rPr>
      </w:pPr>
    </w:p>
    <w:p w14:paraId="254C4892" w14:textId="77777777" w:rsidR="00FC0E9A" w:rsidRDefault="008C0FEC">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7A88C08F" w14:textId="77777777" w:rsidR="00FC0E9A" w:rsidRDefault="008C0FEC">
      <w:pPr>
        <w:spacing w:line="360" w:lineRule="auto"/>
        <w:jc w:val="both"/>
        <w:rPr>
          <w:rFonts w:ascii="Book Antiqua" w:eastAsiaTheme="minorEastAsia" w:hAnsi="Book Antiqua"/>
          <w:lang w:eastAsia="zh-CN"/>
        </w:rPr>
      </w:pPr>
      <w:r>
        <w:rPr>
          <w:rFonts w:ascii="Book Antiqua" w:eastAsia="Book Antiqua" w:hAnsi="Book Antiqua" w:cs="Book Antiqua"/>
          <w:color w:val="000000"/>
        </w:rPr>
        <w:t>We thank Dr. Xu-Rui Jin for reviewing the statistical methods of this study</w:t>
      </w:r>
      <w:r>
        <w:rPr>
          <w:rFonts w:ascii="Book Antiqua" w:eastAsiaTheme="minorEastAsia" w:hAnsi="Book Antiqua" w:hint="eastAsia"/>
          <w:lang w:eastAsia="zh-CN"/>
        </w:rPr>
        <w:t>.</w:t>
      </w:r>
    </w:p>
    <w:p w14:paraId="6B501EA4" w14:textId="77777777" w:rsidR="00FC0E9A" w:rsidRDefault="00FC0E9A">
      <w:pPr>
        <w:spacing w:line="360" w:lineRule="auto"/>
        <w:jc w:val="both"/>
        <w:rPr>
          <w:rFonts w:ascii="Book Antiqua" w:eastAsiaTheme="minorEastAsia" w:hAnsi="Book Antiqua"/>
          <w:lang w:eastAsia="zh-CN"/>
        </w:rPr>
      </w:pPr>
    </w:p>
    <w:p w14:paraId="7BB45A9B"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REFERENCES</w:t>
      </w:r>
    </w:p>
    <w:p w14:paraId="5104F534" w14:textId="77777777" w:rsidR="00FC0E9A" w:rsidRDefault="008C0FEC">
      <w:pPr>
        <w:spacing w:line="360" w:lineRule="auto"/>
        <w:jc w:val="both"/>
        <w:rPr>
          <w:rFonts w:ascii="Book Antiqua" w:eastAsia="Book Antiqua" w:hAnsi="Book Antiqua" w:cs="Book Antiqua"/>
          <w:color w:val="000000"/>
        </w:rPr>
      </w:pPr>
      <w:bookmarkStart w:id="64" w:name="OLE_LINK271"/>
      <w:bookmarkStart w:id="65" w:name="OLE_LINK272"/>
      <w:bookmarkStart w:id="66" w:name="OLE_LINK291"/>
      <w:bookmarkStart w:id="67" w:name="OLE_LINK367"/>
      <w:r>
        <w:rPr>
          <w:rFonts w:ascii="Book Antiqua" w:eastAsia="Book Antiqua" w:hAnsi="Book Antiqua" w:cs="Book Antiqua"/>
          <w:color w:val="000000"/>
        </w:rPr>
        <w:t xml:space="preserve">1 </w:t>
      </w:r>
      <w:r>
        <w:rPr>
          <w:rFonts w:ascii="Book Antiqua" w:eastAsia="Book Antiqua" w:hAnsi="Book Antiqua" w:cs="Book Antiqua"/>
          <w:b/>
          <w:bCs/>
          <w:color w:val="000000"/>
        </w:rPr>
        <w:t>Wu S,</w:t>
      </w:r>
      <w:r>
        <w:rPr>
          <w:rFonts w:ascii="Book Antiqua" w:eastAsia="Book Antiqua" w:hAnsi="Book Antiqua" w:cs="Book Antiqua"/>
          <w:color w:val="000000"/>
        </w:rPr>
        <w:t xml:space="preserve"> Liu Z, Liu S, Lin L, Yang W, Xu J. </w:t>
      </w:r>
      <w:bookmarkStart w:id="68" w:name="OLE_LINK281"/>
      <w:bookmarkStart w:id="69" w:name="OLE_LINK282"/>
      <w:r>
        <w:rPr>
          <w:rFonts w:ascii="Book Antiqua" w:eastAsia="Book Antiqua" w:hAnsi="Book Antiqua" w:cs="Book Antiqua"/>
          <w:color w:val="000000"/>
        </w:rPr>
        <w:t>Enrichment and enumeration of circulating tumor cells by efficient depletion of leukocyte fractions.</w:t>
      </w:r>
      <w:bookmarkEnd w:id="68"/>
      <w:bookmarkEnd w:id="69"/>
      <w:r>
        <w:rPr>
          <w:rFonts w:ascii="Book Antiqua" w:eastAsia="Book Antiqua" w:hAnsi="Book Antiqua" w:cs="Book Antiqua"/>
          <w:color w:val="000000"/>
        </w:rPr>
        <w:t xml:space="preserve">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53: </w:t>
      </w:r>
      <w:r>
        <w:rPr>
          <w:rFonts w:ascii="Book Antiqua" w:eastAsia="Book Antiqua" w:hAnsi="Book Antiqua" w:cs="Book Antiqua"/>
          <w:color w:val="000000"/>
        </w:rPr>
        <w:t xml:space="preserve">337 [PMID: 25568985 DOI: 10.1515/cclm-2015-5000] </w:t>
      </w:r>
    </w:p>
    <w:p w14:paraId="463FA056"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Cao Z</w:t>
      </w:r>
      <w:r>
        <w:rPr>
          <w:rFonts w:ascii="Book Antiqua" w:eastAsia="Book Antiqua" w:hAnsi="Book Antiqua" w:cs="Book Antiqua"/>
          <w:color w:val="000000"/>
        </w:rPr>
        <w:t xml:space="preserve">, Livas T, Kyprianou N. Anoikis and EMT: Lethal "Liaisons" during Cancer Progression. </w:t>
      </w:r>
      <w:r>
        <w:rPr>
          <w:rFonts w:ascii="Book Antiqua" w:eastAsia="Book Antiqua" w:hAnsi="Book Antiqua" w:cs="Book Antiqua"/>
          <w:i/>
          <w:iCs/>
          <w:color w:val="000000"/>
        </w:rPr>
        <w:t>Crit Rev Oncog</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155-168 [PMID: 27915969 DOI: 10.1615/CritRevOncog.2016016955]</w:t>
      </w:r>
    </w:p>
    <w:p w14:paraId="11F6D1EC"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Yin W</w:t>
      </w:r>
      <w:r>
        <w:rPr>
          <w:rFonts w:ascii="Book Antiqua" w:eastAsia="Book Antiqua" w:hAnsi="Book Antiqua" w:cs="Book Antiqua"/>
          <w:color w:val="000000"/>
        </w:rPr>
        <w:t xml:space="preserve">, Han YM, Li ZL, Huang ZX, Huang L, Zhong XG. Clinical significance of perioperative EMT-CTC in rectal cancer patients receiving open/laparoscopic surgery. </w:t>
      </w:r>
      <w:r>
        <w:rPr>
          <w:rFonts w:ascii="Book Antiqua" w:eastAsia="Book Antiqua" w:hAnsi="Book Antiqua" w:cs="Book Antiqua"/>
          <w:i/>
          <w:iCs/>
          <w:color w:val="000000"/>
        </w:rPr>
        <w:t>Neoplasma</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1131-1138 [PMID: 32412772 DOI: 10.4149/neo_2020_190709N611]</w:t>
      </w:r>
    </w:p>
    <w:p w14:paraId="44DFF392"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Zhao XH</w:t>
      </w:r>
      <w:r>
        <w:rPr>
          <w:rFonts w:ascii="Book Antiqua" w:eastAsia="Book Antiqua" w:hAnsi="Book Antiqua" w:cs="Book Antiqua"/>
          <w:color w:val="000000"/>
        </w:rPr>
        <w:t xml:space="preserve">, Wang ZR, Chen CL, Di L, Bi ZF, Li ZH, Liu YM. Molecular detection of epithelial-mesenchymal transition markers in circulating tumor cells from pancreatic cancer patients: Potential role in clinical practice.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138-150 [PMID: 30643364 DOI: 10.3748/wjg.v25.i1.138]</w:t>
      </w:r>
    </w:p>
    <w:p w14:paraId="5E9001A7" w14:textId="77777777"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Liu X,</w:t>
      </w:r>
      <w:r>
        <w:rPr>
          <w:rFonts w:ascii="Book Antiqua" w:eastAsia="Book Antiqua" w:hAnsi="Book Antiqua" w:cs="Book Antiqua"/>
          <w:color w:val="000000"/>
        </w:rPr>
        <w:t xml:space="preserve"> Li J, Cadilha BL, Markota A, Voigt C, Huang Z, Lin PP, Wang DD, Dai J, Kranz G, Krandick A, Libl D, Zitzelsberger H, Zagorski I, Braselmann H, Pan M, Zhu S, Huang Y, Niedermeyer S, Reichel CA, Uhl B, Briukhovetska D, Suárez J, Kobold S, Gires O, Wang H. Epithelial-type systemic breast carcinoma cells with a restricted mesenchymal transition are a major source of metastasis.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xml:space="preserve"> eaav4275 [PMID: 31223646 DOI: 10.1126/sciadv.aav4275]</w:t>
      </w:r>
    </w:p>
    <w:p w14:paraId="559C46CC"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Liu DG</w:t>
      </w:r>
      <w:r>
        <w:rPr>
          <w:rFonts w:ascii="Book Antiqua" w:eastAsia="Book Antiqua" w:hAnsi="Book Antiqua" w:cs="Book Antiqua"/>
          <w:color w:val="000000"/>
        </w:rPr>
        <w:t xml:space="preserve">, Xue L, Li J, Yang Q, Peng JZ. Epithelial-mesenchymal transition and GALC expression of circulating tumor cells indicate metastasis and poor prognosis in non-small cell lung cancer. </w:t>
      </w:r>
      <w:r>
        <w:rPr>
          <w:rFonts w:ascii="Book Antiqua" w:eastAsia="Book Antiqua" w:hAnsi="Book Antiqua" w:cs="Book Antiqua"/>
          <w:i/>
          <w:iCs/>
          <w:color w:val="000000"/>
        </w:rPr>
        <w:t>Cancer Biomark</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417-426 [PMID: 29758927 DOI: 10.3233/CBM-170995]</w:t>
      </w:r>
    </w:p>
    <w:p w14:paraId="6754E5DC"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Zhou J</w:t>
      </w:r>
      <w:r>
        <w:rPr>
          <w:rFonts w:ascii="Book Antiqua" w:eastAsia="Book Antiqua" w:hAnsi="Book Antiqua" w:cs="Book Antiqua"/>
          <w:color w:val="000000"/>
        </w:rPr>
        <w:t xml:space="preserve">, Ma X, Bi F, Liu M. Clinical significance of circulating tumor cells in gastric cancer patients.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25713-25720 [PMID: 28147337 DOI: 10.18632/oncotarget.14879]</w:t>
      </w:r>
    </w:p>
    <w:p w14:paraId="3F031C63"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Shi Y, Huang J, Wang X, Zhang R, Chen H. Circulating tumor cells as a potential biomarker in diagnosis of lung cancer: a systematic review and meta-analysis. </w:t>
      </w:r>
      <w:r>
        <w:rPr>
          <w:rFonts w:ascii="Book Antiqua" w:eastAsia="Book Antiqua" w:hAnsi="Book Antiqua" w:cs="Book Antiqua"/>
          <w:i/>
          <w:iCs/>
          <w:color w:val="000000"/>
        </w:rPr>
        <w:t>Clin Respir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639-645 [PMID: 27778482 DOI: 10.1111/crj.12573]</w:t>
      </w:r>
    </w:p>
    <w:p w14:paraId="7564D848" w14:textId="77777777"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Xie ZB</w:t>
      </w:r>
      <w:r>
        <w:rPr>
          <w:rFonts w:ascii="Book Antiqua" w:eastAsia="Book Antiqua" w:hAnsi="Book Antiqua" w:cs="Book Antiqua"/>
          <w:color w:val="000000"/>
        </w:rPr>
        <w:t xml:space="preserve">, Yao L, Jin C, Fu DL. Circulating tumor cells in pancreatic cancer patients: efficacy in diagnosis and value in prognosis. </w:t>
      </w:r>
      <w:r>
        <w:rPr>
          <w:rFonts w:ascii="Book Antiqua" w:eastAsia="Book Antiqua" w:hAnsi="Book Antiqua" w:cs="Book Antiqua"/>
          <w:i/>
          <w:iCs/>
          <w:color w:val="000000"/>
        </w:rPr>
        <w:t>Discov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121-128 [PMID: 27755967]</w:t>
      </w:r>
    </w:p>
    <w:p w14:paraId="38CA2596" w14:textId="77777777"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Jin XR,</w:t>
      </w:r>
      <w:r>
        <w:rPr>
          <w:rFonts w:ascii="Book Antiqua" w:eastAsia="Book Antiqua" w:hAnsi="Book Antiqua" w:cs="Book Antiqua"/>
          <w:color w:val="000000"/>
        </w:rPr>
        <w:t xml:space="preserve"> Zhu LY, Qian K, Feng YG, Zhou JH, Wang RW, Bai L, Deng B, Liang N, Tan QY. Circulating tumor cells in early stage lung adenocarcinoma: a case series report and literature review.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xml:space="preserve"> 23130-23141 [PMID: </w:t>
      </w:r>
      <w:bookmarkStart w:id="70" w:name="OLE_LINK292"/>
      <w:bookmarkStart w:id="71" w:name="OLE_LINK378"/>
      <w:bookmarkStart w:id="72" w:name="OLE_LINK293"/>
      <w:r>
        <w:rPr>
          <w:rFonts w:ascii="Book Antiqua" w:eastAsia="Book Antiqua" w:hAnsi="Book Antiqua" w:cs="Book Antiqua"/>
          <w:color w:val="000000"/>
        </w:rPr>
        <w:t>28423562</w:t>
      </w:r>
      <w:bookmarkEnd w:id="70"/>
      <w:bookmarkEnd w:id="71"/>
      <w:bookmarkEnd w:id="72"/>
      <w:r>
        <w:rPr>
          <w:rFonts w:ascii="Book Antiqua" w:eastAsia="Book Antiqua" w:hAnsi="Book Antiqua" w:cs="Book Antiqua"/>
          <w:color w:val="000000"/>
        </w:rPr>
        <w:t xml:space="preserve"> DOI: 10.18632/oncotarget.15506]</w:t>
      </w:r>
    </w:p>
    <w:p w14:paraId="3E10C6D5" w14:textId="77777777"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w:t>
      </w:r>
      <w:r>
        <w:rPr>
          <w:rFonts w:ascii="Book Antiqua" w:eastAsia="Book Antiqua" w:hAnsi="Book Antiqua" w:cs="Book Antiqua"/>
          <w:b/>
          <w:bCs/>
          <w:color w:val="000000"/>
        </w:rPr>
        <w:t xml:space="preserve"> Liu YK,</w:t>
      </w:r>
      <w:r>
        <w:rPr>
          <w:rFonts w:ascii="Book Antiqua" w:eastAsia="Book Antiqua" w:hAnsi="Book Antiqua" w:cs="Book Antiqua"/>
          <w:color w:val="000000"/>
        </w:rPr>
        <w:t xml:space="preserve"> Hu BS, Li ZL, He X, Li Y, Lu LG. </w:t>
      </w:r>
      <w:bookmarkStart w:id="73" w:name="OLE_LINK285"/>
      <w:bookmarkStart w:id="74" w:name="OLE_LINK286"/>
      <w:r>
        <w:rPr>
          <w:rFonts w:ascii="Book Antiqua" w:eastAsia="Book Antiqua" w:hAnsi="Book Antiqua" w:cs="Book Antiqua"/>
          <w:color w:val="000000"/>
        </w:rPr>
        <w:t>An improved strategy to detect the epithelial-mesenchymal transition process in circulating tumor cells in hepatocellular carcinoma patients</w:t>
      </w:r>
      <w:bookmarkEnd w:id="73"/>
      <w:bookmarkEnd w:id="74"/>
      <w:r>
        <w:rPr>
          <w:rFonts w:ascii="Book Antiqua" w:eastAsia="Book Antiqua" w:hAnsi="Book Antiqua" w:cs="Book Antiqua"/>
          <w:color w:val="000000"/>
        </w:rPr>
        <w:t xml:space="preserv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10: </w:t>
      </w:r>
      <w:r>
        <w:rPr>
          <w:rFonts w:ascii="Book Antiqua" w:eastAsia="Book Antiqua" w:hAnsi="Book Antiqua" w:cs="Book Antiqua"/>
          <w:color w:val="000000"/>
        </w:rPr>
        <w:t>640-646 [PMID: 27115761 DOI: 10.1007/s12072-016-9732-7]</w:t>
      </w:r>
    </w:p>
    <w:p w14:paraId="24A89CF7" w14:textId="77777777"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Wu S,</w:t>
      </w:r>
      <w:r>
        <w:rPr>
          <w:rFonts w:ascii="Book Antiqua" w:eastAsia="Book Antiqua" w:hAnsi="Book Antiqua" w:cs="Book Antiqua"/>
          <w:color w:val="000000"/>
        </w:rPr>
        <w:t xml:space="preserve"> Liu S, Liu Z, Huang J, Pu X, Li J, Yang D, Deng H, Yang N, Xu J. Classification of circulating tumor cells by epithelial-mesenchymal transition markers.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xml:space="preserve"> e0123976 [PMID: 25909322 DOI: 10.1371/journal.pone.0123976]</w:t>
      </w:r>
    </w:p>
    <w:p w14:paraId="739A836C" w14:textId="77777777"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w:t>
      </w:r>
      <w:r>
        <w:rPr>
          <w:rFonts w:ascii="Book Antiqua" w:eastAsia="宋体" w:hAnsi="Book Antiqua" w:cs="Book Antiqua"/>
          <w:color w:val="000000"/>
          <w:lang w:eastAsia="zh-CN"/>
        </w:rPr>
        <w:t xml:space="preserve"> </w:t>
      </w:r>
      <w:r>
        <w:rPr>
          <w:rFonts w:ascii="Book Antiqua" w:eastAsia="Book Antiqua" w:hAnsi="Book Antiqua" w:cs="Book Antiqua"/>
          <w:b/>
          <w:bCs/>
          <w:color w:val="000000"/>
        </w:rPr>
        <w:t>Chen X,</w:t>
      </w:r>
      <w:r>
        <w:rPr>
          <w:rFonts w:ascii="Book Antiqua" w:eastAsia="Book Antiqua" w:hAnsi="Book Antiqua" w:cs="Book Antiqua"/>
          <w:color w:val="000000"/>
        </w:rPr>
        <w:t xml:space="preserve"> Zhou F, Li X, Yang G, Zhang L, Ren S, Zhao C, Deng Q, Li W, Gao G, Li A, Zhou C. Folate Receptor-Positive Circulating Tumor Cell Detected by LT-PCR-Based Method as a Diagnostic Biomarker for Non-Small-Cell Lung Cancer. </w:t>
      </w:r>
      <w:r>
        <w:rPr>
          <w:rFonts w:ascii="Book Antiqua" w:eastAsia="Book Antiqua" w:hAnsi="Book Antiqua" w:cs="Book Antiqua"/>
          <w:i/>
          <w:iCs/>
          <w:color w:val="000000"/>
        </w:rPr>
        <w:t xml:space="preserve">J Thorac Oncol </w:t>
      </w:r>
      <w:r>
        <w:rPr>
          <w:rFonts w:ascii="Book Antiqua" w:eastAsia="Book Antiqua" w:hAnsi="Book Antiqua" w:cs="Book Antiqua"/>
          <w:color w:val="000000"/>
        </w:rPr>
        <w:t xml:space="preserve">2015; </w:t>
      </w:r>
      <w:r>
        <w:rPr>
          <w:rFonts w:ascii="Book Antiqua" w:eastAsia="Book Antiqua" w:hAnsi="Book Antiqua" w:cs="Book Antiqua"/>
          <w:b/>
          <w:bCs/>
          <w:color w:val="000000"/>
        </w:rPr>
        <w:t>10:</w:t>
      </w:r>
      <w:r>
        <w:rPr>
          <w:rFonts w:ascii="Book Antiqua" w:eastAsia="Book Antiqua" w:hAnsi="Book Antiqua" w:cs="Book Antiqua"/>
          <w:color w:val="000000"/>
        </w:rPr>
        <w:t xml:space="preserve"> 1163-1171 [PMID: 26200270 DOI: 10.1097/JTO.0000000000000606]</w:t>
      </w:r>
    </w:p>
    <w:p w14:paraId="09B0C252" w14:textId="77777777"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Yu Y,</w:t>
      </w:r>
      <w:r>
        <w:rPr>
          <w:rFonts w:ascii="Book Antiqua" w:eastAsia="Book Antiqua" w:hAnsi="Book Antiqua" w:cs="Book Antiqua"/>
          <w:color w:val="000000"/>
        </w:rPr>
        <w:t xml:space="preserve"> Chen Z, Dong J, Wei P, Hu R, Zhou C, Sun N, Luo M, Yang W, Yao R, Gao Y, Li J, Yang G, He W, He J. Folate receptor-positive circulating tumor cells as a novel diagnostic biomarker in non-small cell lung cancer. </w:t>
      </w:r>
      <w:r>
        <w:rPr>
          <w:rFonts w:ascii="Book Antiqua" w:eastAsia="Book Antiqua" w:hAnsi="Book Antiqua" w:cs="Book Antiqua"/>
          <w:i/>
          <w:iCs/>
          <w:color w:val="000000"/>
        </w:rPr>
        <w:t xml:space="preserve">Transl Oncol </w:t>
      </w:r>
      <w:r>
        <w:rPr>
          <w:rFonts w:ascii="Book Antiqua" w:eastAsia="Book Antiqua" w:hAnsi="Book Antiqua" w:cs="Book Antiqua"/>
          <w:color w:val="000000"/>
        </w:rPr>
        <w:t xml:space="preserve">2013; </w:t>
      </w:r>
      <w:r>
        <w:rPr>
          <w:rFonts w:ascii="Book Antiqua" w:eastAsia="Book Antiqua" w:hAnsi="Book Antiqua" w:cs="Book Antiqua"/>
          <w:b/>
          <w:bCs/>
          <w:color w:val="000000"/>
        </w:rPr>
        <w:t>6:</w:t>
      </w:r>
      <w:r>
        <w:rPr>
          <w:rFonts w:ascii="Book Antiqua" w:eastAsia="Book Antiqua" w:hAnsi="Book Antiqua" w:cs="Book Antiqua"/>
          <w:color w:val="000000"/>
        </w:rPr>
        <w:t xml:space="preserve"> 697-702 [PMID: 24466372 DOI: 10.1593/tlo.13535]</w:t>
      </w:r>
    </w:p>
    <w:p w14:paraId="5D1B6F79"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Deng CJ</w:t>
      </w:r>
      <w:r>
        <w:rPr>
          <w:rFonts w:ascii="Book Antiqua" w:eastAsia="Book Antiqua" w:hAnsi="Book Antiqua" w:cs="Book Antiqua"/>
          <w:color w:val="000000"/>
        </w:rPr>
        <w:t xml:space="preserve">, Dai FQ, Qian K, Tan QY, Wang RW, Deng B, Zhou JH. Clinical updates of approaches for biopsy of pulmonary lesions based on systematic review. </w:t>
      </w:r>
      <w:r>
        <w:rPr>
          <w:rFonts w:ascii="Book Antiqua" w:eastAsia="Book Antiqua" w:hAnsi="Book Antiqua" w:cs="Book Antiqua"/>
          <w:i/>
          <w:iCs/>
          <w:color w:val="000000"/>
        </w:rPr>
        <w:t>BMC Pulm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xml:space="preserve">: 146 [PMID: </w:t>
      </w:r>
      <w:bookmarkStart w:id="75" w:name="OLE_LINK379"/>
      <w:bookmarkStart w:id="76" w:name="OLE_LINK380"/>
      <w:r>
        <w:rPr>
          <w:rFonts w:ascii="Book Antiqua" w:eastAsia="Book Antiqua" w:hAnsi="Book Antiqua" w:cs="Book Antiqua"/>
          <w:color w:val="000000"/>
        </w:rPr>
        <w:t>30176840</w:t>
      </w:r>
      <w:bookmarkEnd w:id="75"/>
      <w:bookmarkEnd w:id="76"/>
      <w:r>
        <w:rPr>
          <w:rFonts w:ascii="Book Antiqua" w:eastAsia="Book Antiqua" w:hAnsi="Book Antiqua" w:cs="Book Antiqua"/>
          <w:color w:val="000000"/>
        </w:rPr>
        <w:t xml:space="preserve"> DOI: 10.1186/s12890-018-0713-6]</w:t>
      </w:r>
    </w:p>
    <w:p w14:paraId="00904AD4"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Geeurickx E</w:t>
      </w:r>
      <w:r>
        <w:rPr>
          <w:rFonts w:ascii="Book Antiqua" w:eastAsia="Book Antiqua" w:hAnsi="Book Antiqua" w:cs="Book Antiqua"/>
          <w:color w:val="000000"/>
        </w:rPr>
        <w:t xml:space="preserve">, Hendrix A. Targets, pitfalls and reference materials for liquid biopsy tests in cancer diagnostics. </w:t>
      </w:r>
      <w:r>
        <w:rPr>
          <w:rFonts w:ascii="Book Antiqua" w:eastAsia="Book Antiqua" w:hAnsi="Book Antiqua" w:cs="Book Antiqua"/>
          <w:i/>
          <w:iCs/>
          <w:color w:val="000000"/>
        </w:rPr>
        <w:t>Mol Aspects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100828 [PMID: 31711714 DOI: 10.1016/j.mam.2019.10.005]</w:t>
      </w:r>
    </w:p>
    <w:p w14:paraId="3A9360A3"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Liu X</w:t>
      </w:r>
      <w:r>
        <w:rPr>
          <w:rFonts w:ascii="Book Antiqua" w:eastAsia="Book Antiqua" w:hAnsi="Book Antiqua" w:cs="Book Antiqua"/>
          <w:color w:val="000000"/>
        </w:rPr>
        <w:t xml:space="preserve">, Zhang Z, Zhang B, Zheng Y, Zheng C, Liu B, Zheng S, Dong K, Dong R. Circulating tumor cells detection in neuroblastoma patients by EpCAM-independent enrichment and immunostaining-fluorescence in situ hybridization.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244-250 [PMID: 30104180 DOI: 10.1016/j.ebiom.2018.08.005]</w:t>
      </w:r>
    </w:p>
    <w:p w14:paraId="42EF1AD8"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Li J</w:t>
      </w:r>
      <w:r>
        <w:rPr>
          <w:rFonts w:ascii="Book Antiqua" w:eastAsia="Book Antiqua" w:hAnsi="Book Antiqua" w:cs="Book Antiqua"/>
          <w:color w:val="000000"/>
        </w:rPr>
        <w:t xml:space="preserve">, Liao Y, Ran Y, Wang G, Wu W, Qiu Y, Liu J, Wen N, Jing T, Wang H, Zhang S. Evaluation of sensitivity and specificity of CanPatrol™ technology for detection of circulating tumor cells in patients with non-small cell lung cancer. </w:t>
      </w:r>
      <w:r>
        <w:rPr>
          <w:rFonts w:ascii="Book Antiqua" w:eastAsia="Book Antiqua" w:hAnsi="Book Antiqua" w:cs="Book Antiqua"/>
          <w:i/>
          <w:iCs/>
          <w:color w:val="000000"/>
        </w:rPr>
        <w:t>BMC Pulm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274 [PMID: 33081780 DOI: 10.1186/s12890-020-01314-4]</w:t>
      </w:r>
    </w:p>
    <w:p w14:paraId="69E5964D"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Zhou Q</w:t>
      </w:r>
      <w:r>
        <w:rPr>
          <w:rFonts w:ascii="Book Antiqua" w:eastAsia="Book Antiqua" w:hAnsi="Book Antiqua" w:cs="Book Antiqua"/>
          <w:color w:val="000000"/>
        </w:rPr>
        <w:t xml:space="preserve">, Geng Q, Wang L, Huang J, Liao M, Li Y, Ding Z, Yang S, Zhao H, Shen Q, Pan C, Lou J, Lu S, Chen C, Luo Q. Value of folate receptor-positive circulating tumour cells in the clinical management of indeterminate lung nodules: A non-invasive biomarker for predicting malignancy and tumour invasiveness.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236-243 [PMID: 30872130 DOI: 10.1016/j.ebiom.2019.02.028]</w:t>
      </w:r>
    </w:p>
    <w:p w14:paraId="27C3ECE7"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Xue Y</w:t>
      </w:r>
      <w:r>
        <w:rPr>
          <w:rFonts w:ascii="Book Antiqua" w:eastAsia="Book Antiqua" w:hAnsi="Book Antiqua" w:cs="Book Antiqua"/>
          <w:color w:val="000000"/>
        </w:rPr>
        <w:t xml:space="preserve">, Cong W, Xie S, Shu J, Feng G, Gao H. Folate-receptor-positive circulating tumor cells as an efficacious biomarker for the diagnosis of small pulmonary nodules. </w:t>
      </w:r>
      <w:r>
        <w:rPr>
          <w:rFonts w:ascii="Book Antiqua" w:eastAsia="Book Antiqua" w:hAnsi="Book Antiqua" w:cs="Book Antiqua"/>
          <w:i/>
          <w:iCs/>
          <w:color w:val="000000"/>
        </w:rPr>
        <w:t>J Cancer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1620-1626 [PMID: 30589049 DOI: 10.4103/jcrt.JCRT_905_17]</w:t>
      </w:r>
    </w:p>
    <w:p w14:paraId="22642719"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Yu M</w:t>
      </w:r>
      <w:r>
        <w:rPr>
          <w:rFonts w:ascii="Book Antiqua" w:eastAsia="Book Antiqua" w:hAnsi="Book Antiqua" w:cs="Book Antiqua"/>
          <w:color w:val="000000"/>
        </w:rPr>
        <w:t xml:space="preserve">, Bardia A, Wittner BS, Stott SL, Smas ME, Ting DT, Isakoff SJ, Ciciliano JC, Wells MN, Shah AM, Concannon KF, Donaldson MC, Sequist LV, Brachtel E, Sgroi D, Baselga J, Ramaswamy S, Toner M, Haber DA, Maheswaran S. Circulating breast tumor cells exhibit dynamic changes in epithelial and mesenchymal composition.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339</w:t>
      </w:r>
      <w:r>
        <w:rPr>
          <w:rFonts w:ascii="Book Antiqua" w:eastAsia="Book Antiqua" w:hAnsi="Book Antiqua" w:cs="Book Antiqua"/>
          <w:color w:val="000000"/>
        </w:rPr>
        <w:t>: 580-584 [PMID: 23372014 DOI: 10.1126/science.1228522]</w:t>
      </w:r>
    </w:p>
    <w:p w14:paraId="773CA100"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Effenberger KE</w:t>
      </w:r>
      <w:r>
        <w:rPr>
          <w:rFonts w:ascii="Book Antiqua" w:eastAsia="Book Antiqua" w:hAnsi="Book Antiqua" w:cs="Book Antiqua"/>
          <w:color w:val="000000"/>
        </w:rPr>
        <w:t xml:space="preserve">, Schroeder C, Hanssen A, Wolter S, Eulenburg C, Tachezy M, Gebauer F, Izbicki JR, Pantel K, Bockhorn M. Improved Risk Stratification by Circulating Tumor Cell Counts in Pancreatic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2844-2850 [PMID: 29559560 DOI: 10.1158/1078-0432.CCR-18-0120]</w:t>
      </w:r>
    </w:p>
    <w:p w14:paraId="6BF982AB"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Togo S</w:t>
      </w:r>
      <w:r>
        <w:rPr>
          <w:rFonts w:ascii="Book Antiqua" w:eastAsia="Book Antiqua" w:hAnsi="Book Antiqua" w:cs="Book Antiqua"/>
          <w:color w:val="000000"/>
        </w:rPr>
        <w:t xml:space="preserve">, Katagiri N, Namba Y, Tulafu M, Nagahama K, Kadoya K, Takamochi K, Oh S, Suzuki K, Sakurai F, Mizuguchi H, Urata Y, Takahashi K. Sensitive detection of viable circulating tumor cells using a novel conditionally telomerase-selective replicating adenovirus in non-small cell lung cancer patients.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34884-34895 [PMID: 28432274 DOI: 10.18632/oncotarget.16818]</w:t>
      </w:r>
    </w:p>
    <w:p w14:paraId="5E16DC1F"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Ilie M</w:t>
      </w:r>
      <w:r>
        <w:rPr>
          <w:rFonts w:ascii="Book Antiqua" w:eastAsia="Book Antiqua" w:hAnsi="Book Antiqua" w:cs="Book Antiqua"/>
          <w:color w:val="000000"/>
        </w:rPr>
        <w:t xml:space="preserve">, Hofman V, Long-Mira E, Selva E, Vignaud JM, Padovani B, Mouroux J, Marquette CH, Hofman P. "Sentinel" circulating tumor cells allow early diagnosis of lung cancer in patients with chronic obstructive pulmonary disease.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e111597 [PMID: 25360587 DOI: 10.1371/journal.pone.0111597]</w:t>
      </w:r>
    </w:p>
    <w:p w14:paraId="2E0770CC"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Pantel K</w:t>
      </w:r>
      <w:r>
        <w:rPr>
          <w:rFonts w:ascii="Book Antiqua" w:eastAsia="Book Antiqua" w:hAnsi="Book Antiqua" w:cs="Book Antiqua"/>
          <w:color w:val="000000"/>
        </w:rPr>
        <w:t xml:space="preserve">, Denève E, Nocca D, Coffy A, Vendrell JP, Maudelonde T, Riethdorf S, Alix-Panabières C. Circulating epithelial cells in patients with benign colon diseases.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58</w:t>
      </w:r>
      <w:r>
        <w:rPr>
          <w:rFonts w:ascii="Book Antiqua" w:eastAsia="Book Antiqua" w:hAnsi="Book Antiqua" w:cs="Book Antiqua"/>
          <w:color w:val="000000"/>
        </w:rPr>
        <w:t>: 936-940 [PMID: 22205690 DOI: 10.1373/clinchem.2011.175570]</w:t>
      </w:r>
    </w:p>
    <w:p w14:paraId="6E7F0C49"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Jin L</w:t>
      </w:r>
      <w:r>
        <w:rPr>
          <w:rFonts w:ascii="Book Antiqua" w:eastAsia="Book Antiqua" w:hAnsi="Book Antiqua" w:cs="Book Antiqua"/>
          <w:color w:val="000000"/>
        </w:rPr>
        <w:t>, Zhao W, Zhang J, Chen W, Xie T, Wang L, Fan W, Xie S, Shen J, Zheng H, Hu W, Wei Q, Dong M, Wang Q, Shen J, Liu Y. Evaluation of the diagnostic value of circulating tumor cells with CytoSorter</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CTC capture system in patients with breast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1638-1647 [PMID: 31908156 DOI: 10.1002/cam4.2825]</w:t>
      </w:r>
    </w:p>
    <w:p w14:paraId="1B0745FB"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Qin Y</w:t>
      </w:r>
      <w:r>
        <w:rPr>
          <w:rFonts w:ascii="Book Antiqua" w:eastAsia="Book Antiqua" w:hAnsi="Book Antiqua" w:cs="Book Antiqua"/>
          <w:color w:val="000000"/>
        </w:rPr>
        <w:t xml:space="preserve">, Xu Y, Ma D, Tian Z, Huang C, Zhou X, He J, Liu L, Guo C, Wang G, Zhang J, Wang Y, Liu H. Clinical characteristics of resected solitary ground-glass opacities: Comparison between benign and malignant nodules. </w:t>
      </w:r>
      <w:r>
        <w:rPr>
          <w:rFonts w:ascii="Book Antiqua" w:eastAsia="Book Antiqua" w:hAnsi="Book Antiqua" w:cs="Book Antiqua"/>
          <w:i/>
          <w:iCs/>
          <w:color w:val="000000"/>
        </w:rPr>
        <w:t>Thorac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2767-2774 [PMID: 32844603 DOI: 10.1111/1759-7714.13575]</w:t>
      </w:r>
    </w:p>
    <w:p w14:paraId="01147299"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Lv YG</w:t>
      </w:r>
      <w:r>
        <w:rPr>
          <w:rFonts w:ascii="Book Antiqua" w:eastAsia="Book Antiqua" w:hAnsi="Book Antiqua" w:cs="Book Antiqua"/>
          <w:color w:val="000000"/>
        </w:rPr>
        <w:t xml:space="preserve">, Bao JH, Xu DU, Yan QH, Li YJ, Yuan DL, Ma JH. Characteristic analysis of pulmonary ground-glass lesions with the help of 64-slice CT technology.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3212-3217 [PMID: 28770963]</w:t>
      </w:r>
    </w:p>
    <w:p w14:paraId="087D04D8"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van Bon L</w:t>
      </w:r>
      <w:r>
        <w:rPr>
          <w:rFonts w:ascii="Book Antiqua" w:eastAsia="Book Antiqua" w:hAnsi="Book Antiqua" w:cs="Book Antiqua"/>
          <w:color w:val="000000"/>
        </w:rPr>
        <w:t xml:space="preserve">, Affandi AJ, Broen J, Christmann RB, Marijnissen RJ, Stawski L, Farina GA, Stifano G, Mathes AL, Cossu M, York M, Collins C, Wenink M, Huijbens R, Hesselstrand R, Saxne T, DiMarzio M, Wuttge D, Agarwal SK, Reveille JD, Assassi S, Mayes M, Deng Y, Drenth JP, de Graaf J, den Heijer M, Kallenberg CG, Bijl M, Loof A, van den Berg WB, Joosten LA, Smith V, de Keyser F, Scorza R, Lunardi C, van Riel PL, Vonk M, van Heerde W, Meller S, Homey B, Beretta L, Roest M, Trojanowska M, Lafyatis R, Radstake TR. Proteome-wide analysis and CXCL4 as a biomarker in systemic sclerosis.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433-443 [PMID: 24350901 DOI: 10.1056/NEJMoa1114576]</w:t>
      </w:r>
    </w:p>
    <w:p w14:paraId="3F2F7ADB"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Xu M</w:t>
      </w:r>
      <w:r>
        <w:rPr>
          <w:rFonts w:ascii="Book Antiqua" w:eastAsia="Book Antiqua" w:hAnsi="Book Antiqua" w:cs="Book Antiqua"/>
          <w:color w:val="000000"/>
        </w:rPr>
        <w:t xml:space="preserve">, Xu HH, Lin Y, Sun X, Wang LJ, Fang ZP, Su XH, Liang XJ, Hu Y, Liu ZM, Cheng Y, Wei Y, Li J, Li L, Liu HJ, Cheng Z, Tang N, Peng C, Li T, Liu T, Qiao L, Wu D, Ding YQ, Zhou WJ. LECT2, a Ligand for Tie1, Plays a Crucial Role in Liver Fibrogenesis.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1478-1492.e20 [PMID: 31474362 DOI: 10.1016/j.cell.2019.07.021]</w:t>
      </w:r>
    </w:p>
    <w:bookmarkEnd w:id="64"/>
    <w:bookmarkEnd w:id="65"/>
    <w:bookmarkEnd w:id="66"/>
    <w:bookmarkEnd w:id="67"/>
    <w:p w14:paraId="1B89053B" w14:textId="77777777" w:rsidR="00FC0E9A" w:rsidRDefault="00FC0E9A">
      <w:pPr>
        <w:spacing w:line="360" w:lineRule="auto"/>
        <w:jc w:val="both"/>
        <w:rPr>
          <w:rFonts w:ascii="Book Antiqua" w:hAnsi="Book Antiqua"/>
        </w:rPr>
        <w:sectPr w:rsidR="00FC0E9A">
          <w:footerReference w:type="default" r:id="rId8"/>
          <w:pgSz w:w="12240" w:h="15840"/>
          <w:pgMar w:top="1440" w:right="1440" w:bottom="1440" w:left="1440" w:header="720" w:footer="720" w:gutter="0"/>
          <w:cols w:space="720"/>
          <w:docGrid w:linePitch="360"/>
        </w:sectPr>
      </w:pPr>
    </w:p>
    <w:p w14:paraId="729A662C"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Footnotes</w:t>
      </w:r>
    </w:p>
    <w:p w14:paraId="284E999A"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protocol was reviewed and approved by the Ethics Committee of Daping Hospital, Army Medical University 2019, No. 183.</w:t>
      </w:r>
    </w:p>
    <w:p w14:paraId="6A6766E9" w14:textId="77777777" w:rsidR="00FC0E9A" w:rsidRDefault="00FC0E9A">
      <w:pPr>
        <w:spacing w:line="360" w:lineRule="auto"/>
        <w:jc w:val="both"/>
        <w:rPr>
          <w:rFonts w:ascii="Book Antiqua" w:hAnsi="Book Antiqua"/>
        </w:rPr>
      </w:pPr>
    </w:p>
    <w:p w14:paraId="1BE3DACE" w14:textId="77777777" w:rsidR="00FC0E9A" w:rsidRDefault="008C0FEC">
      <w:pPr>
        <w:spacing w:line="360" w:lineRule="auto"/>
        <w:jc w:val="both"/>
        <w:rPr>
          <w:rFonts w:ascii="Book Antiqua" w:hAnsi="Book Antiqua"/>
          <w:color w:val="000000" w:themeColor="text1"/>
        </w:rPr>
      </w:pPr>
      <w:r>
        <w:rPr>
          <w:rFonts w:ascii="Book Antiqua" w:eastAsia="Book Antiqua" w:hAnsi="Book Antiqua" w:cs="Book Antiqua"/>
          <w:b/>
          <w:bCs/>
          <w:color w:val="000000"/>
        </w:rPr>
        <w:t xml:space="preserve">Clinical trial registration statement: </w:t>
      </w:r>
      <w:bookmarkStart w:id="77" w:name="OLE_LINK368"/>
      <w:bookmarkStart w:id="78" w:name="OLE_LINK369"/>
      <w:r>
        <w:rPr>
          <w:rFonts w:ascii="Book Antiqua" w:hAnsi="Book Antiqua"/>
          <w:color w:val="000000" w:themeColor="text1"/>
        </w:rPr>
        <w:t>This study is registered at https://clinicaltrials.gov/. The registration identification number is NCT02951897.</w:t>
      </w:r>
    </w:p>
    <w:bookmarkEnd w:id="77"/>
    <w:bookmarkEnd w:id="78"/>
    <w:p w14:paraId="0F4DC25E" w14:textId="77777777" w:rsidR="00FC0E9A" w:rsidRDefault="00FC0E9A">
      <w:pPr>
        <w:spacing w:line="360" w:lineRule="auto"/>
        <w:jc w:val="both"/>
        <w:rPr>
          <w:rFonts w:ascii="Book Antiqua" w:hAnsi="Book Antiqua"/>
        </w:rPr>
      </w:pPr>
    </w:p>
    <w:p w14:paraId="35264619"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79" w:name="OLE_LINK370"/>
      <w:bookmarkStart w:id="80" w:name="OLE_LINK371"/>
      <w:r>
        <w:rPr>
          <w:rFonts w:ascii="Book Antiqua" w:eastAsia="Book Antiqua" w:hAnsi="Book Antiqua" w:cs="Book Antiqua"/>
          <w:color w:val="000000"/>
        </w:rPr>
        <w:t xml:space="preserve">All patients who agreed to participate in the study signed an informed consent. </w:t>
      </w:r>
    </w:p>
    <w:bookmarkEnd w:id="79"/>
    <w:bookmarkEnd w:id="80"/>
    <w:p w14:paraId="185BFE88" w14:textId="77777777" w:rsidR="00FC0E9A" w:rsidRDefault="00FC0E9A">
      <w:pPr>
        <w:spacing w:line="360" w:lineRule="auto"/>
        <w:jc w:val="both"/>
        <w:rPr>
          <w:rFonts w:ascii="Book Antiqua" w:hAnsi="Book Antiqua"/>
        </w:rPr>
      </w:pPr>
    </w:p>
    <w:p w14:paraId="1C406BE5"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81" w:name="OLE_LINK372"/>
      <w:bookmarkStart w:id="82" w:name="OLE_LINK373"/>
      <w:r>
        <w:rPr>
          <w:rFonts w:ascii="Book Antiqua" w:eastAsia="Book Antiqua" w:hAnsi="Book Antiqua" w:cs="Book Antiqua"/>
          <w:color w:val="000000"/>
        </w:rPr>
        <w:t>The authors declare that they have no financial relationships to disclose.</w:t>
      </w:r>
    </w:p>
    <w:bookmarkEnd w:id="81"/>
    <w:bookmarkEnd w:id="82"/>
    <w:p w14:paraId="6E77E46A" w14:textId="77777777" w:rsidR="00FC0E9A" w:rsidRDefault="00FC0E9A">
      <w:pPr>
        <w:spacing w:line="360" w:lineRule="auto"/>
        <w:jc w:val="both"/>
        <w:rPr>
          <w:rFonts w:ascii="Book Antiqua" w:hAnsi="Book Antiqua"/>
        </w:rPr>
      </w:pPr>
    </w:p>
    <w:p w14:paraId="0882A781"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760B00C" w14:textId="77777777" w:rsidR="00FC0E9A" w:rsidRDefault="00FC0E9A">
      <w:pPr>
        <w:spacing w:line="360" w:lineRule="auto"/>
        <w:jc w:val="both"/>
        <w:rPr>
          <w:rFonts w:ascii="Book Antiqua" w:hAnsi="Book Antiqua"/>
        </w:rPr>
      </w:pPr>
    </w:p>
    <w:p w14:paraId="734E67F7" w14:textId="77777777" w:rsidR="00FC0E9A" w:rsidRDefault="008C0FE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F763FF" w14:textId="77777777" w:rsidR="00FC0E9A" w:rsidRDefault="00FC0E9A">
      <w:pPr>
        <w:spacing w:line="360" w:lineRule="auto"/>
        <w:jc w:val="both"/>
        <w:rPr>
          <w:rFonts w:ascii="Book Antiqua" w:hAnsi="Book Antiqua"/>
        </w:rPr>
      </w:pPr>
    </w:p>
    <w:p w14:paraId="2AC3EB74"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92C955C" w14:textId="77777777" w:rsidR="00FC0E9A" w:rsidRDefault="00FC0E9A">
      <w:pPr>
        <w:spacing w:line="360" w:lineRule="auto"/>
        <w:jc w:val="both"/>
        <w:rPr>
          <w:rFonts w:ascii="Book Antiqua" w:hAnsi="Book Antiqua"/>
        </w:rPr>
      </w:pPr>
    </w:p>
    <w:p w14:paraId="7E6ACA8D"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20, 2020</w:t>
      </w:r>
    </w:p>
    <w:p w14:paraId="61E98526"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12, 2021</w:t>
      </w:r>
    </w:p>
    <w:p w14:paraId="56A5DB72"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March 4, 2021</w:t>
      </w:r>
    </w:p>
    <w:p w14:paraId="33E079AF" w14:textId="77777777" w:rsidR="00FC0E9A" w:rsidRDefault="00FC0E9A">
      <w:pPr>
        <w:spacing w:line="360" w:lineRule="auto"/>
        <w:jc w:val="both"/>
        <w:rPr>
          <w:rFonts w:ascii="Book Antiqua" w:hAnsi="Book Antiqua"/>
        </w:rPr>
      </w:pPr>
    </w:p>
    <w:p w14:paraId="45A8FD2D"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83" w:name="OLE_LINK2066"/>
      <w:bookmarkStart w:id="84" w:name="OLE_LINK1952"/>
      <w:bookmarkStart w:id="85" w:name="OLE_LINK1953"/>
      <w:r>
        <w:rPr>
          <w:rFonts w:ascii="Book Antiqua" w:eastAsia="微软雅黑" w:hAnsi="Book Antiqua" w:cs="宋体"/>
        </w:rPr>
        <w:t>Medicine, research and experimental</w:t>
      </w:r>
      <w:bookmarkEnd w:id="83"/>
      <w:bookmarkEnd w:id="84"/>
      <w:bookmarkEnd w:id="85"/>
    </w:p>
    <w:p w14:paraId="7F056F93"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E965E81" w14:textId="77777777" w:rsidR="00FC0E9A" w:rsidRDefault="008C0FE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B43755"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Grade A (Excellent): 0</w:t>
      </w:r>
    </w:p>
    <w:p w14:paraId="51BB81C2"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Grade B (Very good): B, B</w:t>
      </w:r>
    </w:p>
    <w:p w14:paraId="216DCD10"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Grade C (Good): C</w:t>
      </w:r>
    </w:p>
    <w:p w14:paraId="0C60B3A3"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Grade D (Fair): D, D</w:t>
      </w:r>
    </w:p>
    <w:p w14:paraId="74D81900" w14:textId="77777777" w:rsidR="00FC0E9A" w:rsidRDefault="008C0FEC">
      <w:pPr>
        <w:spacing w:line="360" w:lineRule="auto"/>
        <w:jc w:val="both"/>
        <w:rPr>
          <w:rFonts w:ascii="Book Antiqua" w:hAnsi="Book Antiqua"/>
        </w:rPr>
      </w:pPr>
      <w:r>
        <w:rPr>
          <w:rFonts w:ascii="Book Antiqua" w:eastAsia="Book Antiqua" w:hAnsi="Book Antiqua" w:cs="Book Antiqua"/>
          <w:color w:val="000000"/>
        </w:rPr>
        <w:t>Grade E (Poor): 0</w:t>
      </w:r>
    </w:p>
    <w:p w14:paraId="21441C53" w14:textId="77777777" w:rsidR="00FC0E9A" w:rsidRDefault="00FC0E9A">
      <w:pPr>
        <w:spacing w:line="360" w:lineRule="auto"/>
        <w:jc w:val="both"/>
        <w:rPr>
          <w:rFonts w:ascii="Book Antiqua" w:hAnsi="Book Antiqua"/>
        </w:rPr>
      </w:pPr>
    </w:p>
    <w:p w14:paraId="4CFF516D" w14:textId="77777777" w:rsidR="00FC0E9A" w:rsidRDefault="008C0FEC">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Brody AR, Pasini L, Ullah M</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Yuan YY</w:t>
      </w:r>
    </w:p>
    <w:p w14:paraId="0874D975" w14:textId="77777777" w:rsidR="00FC0E9A" w:rsidRDefault="00FC0E9A">
      <w:pPr>
        <w:spacing w:line="360" w:lineRule="auto"/>
        <w:jc w:val="both"/>
        <w:rPr>
          <w:rFonts w:ascii="Book Antiqua" w:hAnsi="Book Antiqua"/>
        </w:rPr>
      </w:pPr>
    </w:p>
    <w:p w14:paraId="432AC49A" w14:textId="77777777" w:rsidR="00810AC3" w:rsidRDefault="00810AC3">
      <w:pPr>
        <w:spacing w:line="360" w:lineRule="auto"/>
        <w:jc w:val="both"/>
        <w:rPr>
          <w:rFonts w:ascii="Book Antiqua" w:hAnsi="Book Antiqua"/>
        </w:rPr>
      </w:pPr>
    </w:p>
    <w:p w14:paraId="2CCCDCA9" w14:textId="77777777" w:rsidR="00FC0E9A" w:rsidRDefault="008C0FE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A3A16B0" w14:textId="77777777" w:rsidR="00FC0E9A" w:rsidRDefault="008C0FEC">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4DAF5051" wp14:editId="59A92192">
            <wp:extent cx="5943600" cy="2080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951620" cy="2084093"/>
                    </a:xfrm>
                    <a:prstGeom prst="rect">
                      <a:avLst/>
                    </a:prstGeom>
                  </pic:spPr>
                </pic:pic>
              </a:graphicData>
            </a:graphic>
          </wp:inline>
        </w:drawing>
      </w:r>
    </w:p>
    <w:p w14:paraId="318528DE" w14:textId="77777777" w:rsidR="00FC0E9A" w:rsidRDefault="008C0FEC">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4879B854" wp14:editId="00A143A3">
            <wp:extent cx="5941695" cy="25450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cstate="print"/>
                    <a:stretch>
                      <a:fillRect/>
                    </a:stretch>
                  </pic:blipFill>
                  <pic:spPr>
                    <a:xfrm>
                      <a:off x="0" y="0"/>
                      <a:ext cx="5989632" cy="2565799"/>
                    </a:xfrm>
                    <a:prstGeom prst="rect">
                      <a:avLst/>
                    </a:prstGeom>
                  </pic:spPr>
                </pic:pic>
              </a:graphicData>
            </a:graphic>
          </wp:inline>
        </w:drawing>
      </w:r>
    </w:p>
    <w:p w14:paraId="5C7D98B3" w14:textId="77777777" w:rsidR="00FC0E9A" w:rsidRDefault="008C0FEC">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45AC84E1" wp14:editId="06727C37">
            <wp:extent cx="5745480" cy="27724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cstate="print"/>
                    <a:stretch>
                      <a:fillRect/>
                    </a:stretch>
                  </pic:blipFill>
                  <pic:spPr>
                    <a:xfrm>
                      <a:off x="0" y="0"/>
                      <a:ext cx="5747945" cy="2773490"/>
                    </a:xfrm>
                    <a:prstGeom prst="rect">
                      <a:avLst/>
                    </a:prstGeom>
                  </pic:spPr>
                </pic:pic>
              </a:graphicData>
            </a:graphic>
          </wp:inline>
        </w:drawing>
      </w:r>
    </w:p>
    <w:p w14:paraId="5957F2E0" w14:textId="77777777" w:rsidR="00FC0E9A" w:rsidRDefault="008C0FEC">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71140C11" wp14:editId="291FC9F5">
            <wp:extent cx="5136515" cy="2865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stretch>
                      <a:fillRect/>
                    </a:stretch>
                  </pic:blipFill>
                  <pic:spPr>
                    <a:xfrm>
                      <a:off x="0" y="0"/>
                      <a:ext cx="5157967" cy="2877508"/>
                    </a:xfrm>
                    <a:prstGeom prst="rect">
                      <a:avLst/>
                    </a:prstGeom>
                  </pic:spPr>
                </pic:pic>
              </a:graphicData>
            </a:graphic>
          </wp:inline>
        </w:drawing>
      </w:r>
    </w:p>
    <w:p w14:paraId="1E0D7224" w14:textId="77777777"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Distribution of circulating tumor cells in lung cancer patients and controls.</w:t>
      </w:r>
      <w:r>
        <w:rPr>
          <w:rFonts w:ascii="Book Antiqua" w:eastAsia="Book Antiqua" w:hAnsi="Book Antiqua" w:cs="Book Antiqua"/>
          <w:color w:val="000000"/>
        </w:rPr>
        <w:t xml:space="preserve"> A: Circulating tumor cells (CTCs) with epithelial markers, CTCs with mesenchymal markers (M-CTCs), and CTCs with both marker (E&amp;M-CTCs) can be identified in one CTC; B: Positive rate of CTCs in lung cancer cases was significantly higher than those in benign or healthy controls; C: The numbers of CTCs, M-CTCs, and E&amp;M-CTCs in lung cancer cases were significantly higher than those in healthy controls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however, there was no disparity between lung cancer and benign controls; D: The proportions of M-CTCs plus E&amp;M-CTCs increased gradually in healthy controls, benign controls, and lung cancer cases. </w:t>
      </w:r>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color w:val="000000"/>
          <w:vertAlign w:val="superscript"/>
        </w:rPr>
        <w:t>c</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GGO: Ground-glass opacities.</w:t>
      </w:r>
    </w:p>
    <w:p w14:paraId="04E07EBD" w14:textId="77777777"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hAnsi="Book Antiqua"/>
          <w:noProof/>
          <w:lang w:eastAsia="zh-CN"/>
        </w:rPr>
        <w:drawing>
          <wp:inline distT="0" distB="0" distL="0" distR="0" wp14:anchorId="4393977E" wp14:editId="10278E4C">
            <wp:extent cx="5943600" cy="25634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cstate="print"/>
                    <a:stretch>
                      <a:fillRect/>
                    </a:stretch>
                  </pic:blipFill>
                  <pic:spPr>
                    <a:xfrm>
                      <a:off x="0" y="0"/>
                      <a:ext cx="5943600" cy="2563495"/>
                    </a:xfrm>
                    <a:prstGeom prst="rect">
                      <a:avLst/>
                    </a:prstGeom>
                  </pic:spPr>
                </pic:pic>
              </a:graphicData>
            </a:graphic>
          </wp:inline>
        </w:drawing>
      </w:r>
    </w:p>
    <w:p w14:paraId="336AB9DB" w14:textId="77777777" w:rsidR="00FC0E9A" w:rsidRDefault="008C0FEC">
      <w:pPr>
        <w:spacing w:line="360" w:lineRule="auto"/>
        <w:jc w:val="both"/>
        <w:rPr>
          <w:rFonts w:ascii="Book Antiqua" w:eastAsia="Book Antiqua" w:hAnsi="Book Antiqua" w:cs="Book Antiqua"/>
          <w:color w:val="000000"/>
        </w:rPr>
      </w:pPr>
      <w:bookmarkStart w:id="86" w:name="OLE_LINK376"/>
      <w:bookmarkStart w:id="87" w:name="OLE_LINK377"/>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Receiver operating characteristic curve of all lung cancer patients and ground-glass opacities patients. </w:t>
      </w:r>
      <w:r>
        <w:rPr>
          <w:rFonts w:ascii="Book Antiqua" w:eastAsia="Book Antiqua" w:hAnsi="Book Antiqua" w:cs="Book Antiqua"/>
          <w:color w:val="000000"/>
        </w:rPr>
        <w:t xml:space="preserve">A: Area under the receiver operating characteristic curve (AUC) of total circulating tumor cells (CTCs) and CTCs with both markers (E&amp;M-CTCs) for lung cancer diagnosis were 0.828 and 0.7648, respectively; B: AUCs of total CTCs and E&amp;M-CTCs for ground-glass opacity (GGO) diagnosis were 0.7963 and 0.7504, respectively. </w:t>
      </w:r>
    </w:p>
    <w:bookmarkEnd w:id="86"/>
    <w:bookmarkEnd w:id="87"/>
    <w:p w14:paraId="75319822" w14:textId="77777777" w:rsidR="008E4A0F" w:rsidRDefault="008E4A0F">
      <w:pPr>
        <w:spacing w:line="360" w:lineRule="auto"/>
        <w:jc w:val="both"/>
        <w:rPr>
          <w:rFonts w:ascii="Book Antiqua" w:hAnsi="Book Antiqua"/>
          <w:b/>
        </w:rPr>
      </w:pPr>
    </w:p>
    <w:p w14:paraId="256537B0" w14:textId="77777777" w:rsidR="008E4A0F" w:rsidRDefault="008E4A0F">
      <w:pPr>
        <w:spacing w:line="360" w:lineRule="auto"/>
        <w:jc w:val="both"/>
        <w:rPr>
          <w:rFonts w:ascii="Book Antiqua" w:hAnsi="Book Antiqua"/>
          <w:b/>
        </w:rPr>
      </w:pPr>
    </w:p>
    <w:p w14:paraId="2068CBF2" w14:textId="4EEE1E14" w:rsidR="00FC0E9A" w:rsidRDefault="008C0FEC">
      <w:pPr>
        <w:spacing w:line="360" w:lineRule="auto"/>
        <w:jc w:val="both"/>
        <w:rPr>
          <w:rFonts w:ascii="Book Antiqua" w:hAnsi="Book Antiqua"/>
          <w:b/>
        </w:rPr>
      </w:pPr>
      <w:r>
        <w:rPr>
          <w:rFonts w:ascii="Book Antiqua" w:hAnsi="Book Antiqua"/>
          <w:b/>
        </w:rPr>
        <w:t>Table 1</w:t>
      </w:r>
      <w:r w:rsidR="004115F8">
        <w:rPr>
          <w:rFonts w:ascii="Book Antiqua" w:eastAsiaTheme="minorEastAsia" w:hAnsi="Book Antiqua" w:hint="eastAsia"/>
          <w:b/>
          <w:lang w:eastAsia="zh-CN"/>
        </w:rPr>
        <w:t xml:space="preserve"> </w:t>
      </w:r>
      <w:r>
        <w:rPr>
          <w:rFonts w:ascii="Book Antiqua" w:hAnsi="Book Antiqua"/>
          <w:b/>
        </w:rPr>
        <w:t>Demographic and clinical data of cases and controls</w:t>
      </w:r>
    </w:p>
    <w:tbl>
      <w:tblPr>
        <w:tblW w:w="7540" w:type="dxa"/>
        <w:tblInd w:w="108" w:type="dxa"/>
        <w:tblLook w:val="04A0" w:firstRow="1" w:lastRow="0" w:firstColumn="1" w:lastColumn="0" w:noHBand="0" w:noVBand="1"/>
      </w:tblPr>
      <w:tblGrid>
        <w:gridCol w:w="1360"/>
        <w:gridCol w:w="1100"/>
        <w:gridCol w:w="920"/>
        <w:gridCol w:w="2240"/>
        <w:gridCol w:w="960"/>
        <w:gridCol w:w="960"/>
      </w:tblGrid>
      <w:tr w:rsidR="00A75CB6" w:rsidRPr="00A75CB6" w14:paraId="2E329109" w14:textId="77777777" w:rsidTr="00A75CB6">
        <w:trPr>
          <w:trHeight w:val="936"/>
        </w:trPr>
        <w:tc>
          <w:tcPr>
            <w:tcW w:w="1360" w:type="dxa"/>
            <w:tcBorders>
              <w:top w:val="single" w:sz="4" w:space="0" w:color="auto"/>
              <w:left w:val="nil"/>
              <w:bottom w:val="single" w:sz="4" w:space="0" w:color="auto"/>
              <w:right w:val="nil"/>
            </w:tcBorders>
            <w:shd w:val="clear" w:color="auto" w:fill="auto"/>
            <w:vAlign w:val="center"/>
            <w:hideMark/>
          </w:tcPr>
          <w:p w14:paraId="6FD01258" w14:textId="77777777" w:rsidR="00A75CB6" w:rsidRPr="00A75CB6" w:rsidRDefault="00A75CB6" w:rsidP="00A75CB6">
            <w:pPr>
              <w:rPr>
                <w:rFonts w:ascii="Book Antiqua" w:eastAsia="宋体" w:hAnsi="Book Antiqua" w:cs="宋体"/>
                <w:b/>
                <w:bCs/>
                <w:color w:val="000000"/>
                <w:lang w:eastAsia="zh-CN"/>
              </w:rPr>
            </w:pPr>
            <w:r w:rsidRPr="00A75CB6">
              <w:rPr>
                <w:rFonts w:ascii="Book Antiqua" w:eastAsia="宋体" w:hAnsi="Book Antiqua" w:cs="宋体"/>
                <w:b/>
                <w:bCs/>
                <w:color w:val="000000"/>
                <w:lang w:eastAsia="zh-CN"/>
              </w:rPr>
              <w:t xml:space="preserve">Subjects </w:t>
            </w:r>
          </w:p>
        </w:tc>
        <w:tc>
          <w:tcPr>
            <w:tcW w:w="1100" w:type="dxa"/>
            <w:tcBorders>
              <w:top w:val="single" w:sz="4" w:space="0" w:color="auto"/>
              <w:left w:val="nil"/>
              <w:bottom w:val="single" w:sz="4" w:space="0" w:color="auto"/>
              <w:right w:val="nil"/>
            </w:tcBorders>
            <w:shd w:val="clear" w:color="auto" w:fill="auto"/>
            <w:vAlign w:val="center"/>
            <w:hideMark/>
          </w:tcPr>
          <w:p w14:paraId="1C5CBEBF" w14:textId="77777777" w:rsidR="00A75CB6" w:rsidRPr="00A75CB6" w:rsidRDefault="00A75CB6" w:rsidP="00A75CB6">
            <w:pPr>
              <w:jc w:val="both"/>
              <w:rPr>
                <w:rFonts w:ascii="Book Antiqua" w:eastAsia="宋体" w:hAnsi="Book Antiqua" w:cs="宋体"/>
                <w:b/>
                <w:bCs/>
                <w:color w:val="000000"/>
                <w:lang w:eastAsia="zh-CN"/>
              </w:rPr>
            </w:pPr>
            <w:r w:rsidRPr="00A75CB6">
              <w:rPr>
                <w:rFonts w:ascii="Book Antiqua" w:eastAsia="宋体" w:hAnsi="Book Antiqua" w:cs="宋体"/>
                <w:b/>
                <w:bCs/>
                <w:color w:val="000000"/>
                <w:lang w:eastAsia="zh-CN"/>
              </w:rPr>
              <w:t>Gender (</w:t>
            </w:r>
            <w:r w:rsidRPr="00A75CB6">
              <w:rPr>
                <w:rFonts w:ascii="Book Antiqua" w:eastAsia="宋体" w:hAnsi="Book Antiqua" w:cs="宋体"/>
                <w:b/>
                <w:bCs/>
                <w:i/>
                <w:iCs/>
                <w:color w:val="000000"/>
                <w:lang w:eastAsia="zh-CN"/>
              </w:rPr>
              <w:t>n</w:t>
            </w:r>
            <w:r w:rsidRPr="00A75CB6">
              <w:rPr>
                <w:rFonts w:ascii="Book Antiqua" w:eastAsia="宋体" w:hAnsi="Book Antiqua" w:cs="宋体"/>
                <w:b/>
                <w:bCs/>
                <w:color w:val="000000"/>
                <w:lang w:eastAsia="zh-CN"/>
              </w:rPr>
              <w:t>)</w:t>
            </w:r>
          </w:p>
        </w:tc>
        <w:tc>
          <w:tcPr>
            <w:tcW w:w="920" w:type="dxa"/>
            <w:tcBorders>
              <w:top w:val="single" w:sz="4" w:space="0" w:color="auto"/>
              <w:left w:val="nil"/>
              <w:bottom w:val="single" w:sz="4" w:space="0" w:color="auto"/>
              <w:right w:val="nil"/>
            </w:tcBorders>
            <w:shd w:val="clear" w:color="auto" w:fill="auto"/>
            <w:vAlign w:val="center"/>
            <w:hideMark/>
          </w:tcPr>
          <w:p w14:paraId="2D0E53C5" w14:textId="77777777" w:rsidR="00A75CB6" w:rsidRPr="00A75CB6" w:rsidRDefault="00A75CB6" w:rsidP="00A75CB6">
            <w:pPr>
              <w:jc w:val="both"/>
              <w:rPr>
                <w:rFonts w:ascii="Book Antiqua" w:eastAsia="宋体" w:hAnsi="Book Antiqua" w:cs="宋体"/>
                <w:b/>
                <w:bCs/>
                <w:color w:val="000000"/>
                <w:lang w:eastAsia="zh-CN"/>
              </w:rPr>
            </w:pPr>
            <w:r w:rsidRPr="00A75CB6">
              <w:rPr>
                <w:rFonts w:ascii="Book Antiqua" w:eastAsia="宋体" w:hAnsi="Book Antiqua" w:cs="宋体"/>
                <w:b/>
                <w:bCs/>
                <w:color w:val="000000"/>
                <w:lang w:eastAsia="zh-CN"/>
              </w:rPr>
              <w:t>Mean age in yr</w:t>
            </w:r>
          </w:p>
        </w:tc>
        <w:tc>
          <w:tcPr>
            <w:tcW w:w="2240" w:type="dxa"/>
            <w:tcBorders>
              <w:top w:val="single" w:sz="4" w:space="0" w:color="auto"/>
              <w:left w:val="nil"/>
              <w:bottom w:val="single" w:sz="4" w:space="0" w:color="auto"/>
              <w:right w:val="nil"/>
            </w:tcBorders>
            <w:shd w:val="clear" w:color="auto" w:fill="auto"/>
            <w:vAlign w:val="center"/>
            <w:hideMark/>
          </w:tcPr>
          <w:p w14:paraId="19B070C1" w14:textId="77777777" w:rsidR="00A75CB6" w:rsidRPr="00A75CB6" w:rsidRDefault="00A75CB6" w:rsidP="00A75CB6">
            <w:pPr>
              <w:jc w:val="both"/>
              <w:rPr>
                <w:rFonts w:ascii="Book Antiqua" w:eastAsia="宋体" w:hAnsi="Book Antiqua" w:cs="宋体"/>
                <w:b/>
                <w:bCs/>
                <w:color w:val="000000"/>
                <w:lang w:eastAsia="zh-CN"/>
              </w:rPr>
            </w:pPr>
            <w:r w:rsidRPr="00A75CB6">
              <w:rPr>
                <w:rFonts w:ascii="Book Antiqua" w:eastAsia="宋体" w:hAnsi="Book Antiqua" w:cs="宋体"/>
                <w:b/>
                <w:bCs/>
                <w:color w:val="000000"/>
                <w:lang w:eastAsia="zh-CN"/>
              </w:rPr>
              <w:t>Pathologic features (</w:t>
            </w:r>
            <w:r w:rsidRPr="00A75CB6">
              <w:rPr>
                <w:rFonts w:ascii="Book Antiqua" w:eastAsia="宋体" w:hAnsi="Book Antiqua" w:cs="宋体"/>
                <w:b/>
                <w:bCs/>
                <w:i/>
                <w:iCs/>
                <w:color w:val="000000"/>
                <w:lang w:eastAsia="zh-CN"/>
              </w:rPr>
              <w:t>n</w:t>
            </w:r>
            <w:r w:rsidRPr="00A75CB6">
              <w:rPr>
                <w:rFonts w:ascii="Book Antiqua" w:eastAsia="宋体" w:hAnsi="Book Antiqua" w:cs="宋体"/>
                <w:b/>
                <w:bCs/>
                <w:color w:val="000000"/>
                <w:lang w:eastAsia="zh-CN"/>
              </w:rPr>
              <w:t>)</w:t>
            </w:r>
          </w:p>
        </w:tc>
        <w:tc>
          <w:tcPr>
            <w:tcW w:w="960" w:type="dxa"/>
            <w:tcBorders>
              <w:top w:val="single" w:sz="4" w:space="0" w:color="auto"/>
              <w:left w:val="nil"/>
              <w:bottom w:val="single" w:sz="4" w:space="0" w:color="auto"/>
              <w:right w:val="nil"/>
            </w:tcBorders>
            <w:shd w:val="clear" w:color="auto" w:fill="auto"/>
            <w:vAlign w:val="center"/>
            <w:hideMark/>
          </w:tcPr>
          <w:p w14:paraId="20E25AD5" w14:textId="77777777" w:rsidR="00A75CB6" w:rsidRPr="00A75CB6" w:rsidRDefault="00A75CB6" w:rsidP="00A75CB6">
            <w:pPr>
              <w:jc w:val="both"/>
              <w:rPr>
                <w:rFonts w:ascii="Book Antiqua" w:eastAsia="宋体" w:hAnsi="Book Antiqua" w:cs="宋体"/>
                <w:b/>
                <w:bCs/>
                <w:color w:val="000000"/>
                <w:lang w:eastAsia="zh-CN"/>
              </w:rPr>
            </w:pPr>
            <w:r w:rsidRPr="00A75CB6">
              <w:rPr>
                <w:rFonts w:ascii="Book Antiqua" w:eastAsia="宋体" w:hAnsi="Book Antiqua" w:cs="宋体"/>
                <w:b/>
                <w:bCs/>
                <w:color w:val="000000"/>
                <w:lang w:eastAsia="zh-CN"/>
              </w:rPr>
              <w:t>Stage (</w:t>
            </w:r>
            <w:r w:rsidRPr="00A75CB6">
              <w:rPr>
                <w:rFonts w:ascii="Book Antiqua" w:eastAsia="宋体" w:hAnsi="Book Antiqua" w:cs="宋体"/>
                <w:b/>
                <w:bCs/>
                <w:i/>
                <w:iCs/>
                <w:color w:val="000000"/>
                <w:lang w:eastAsia="zh-CN"/>
              </w:rPr>
              <w:t>n</w:t>
            </w:r>
            <w:r w:rsidRPr="00A75CB6">
              <w:rPr>
                <w:rFonts w:ascii="Book Antiqua" w:eastAsia="宋体" w:hAnsi="Book Antiqua" w:cs="宋体"/>
                <w:b/>
                <w:bCs/>
                <w:color w:val="000000"/>
                <w:lang w:eastAsia="zh-CN"/>
              </w:rPr>
              <w:t xml:space="preserve">) </w:t>
            </w:r>
          </w:p>
        </w:tc>
        <w:tc>
          <w:tcPr>
            <w:tcW w:w="960" w:type="dxa"/>
            <w:tcBorders>
              <w:top w:val="single" w:sz="4" w:space="0" w:color="auto"/>
              <w:left w:val="nil"/>
              <w:bottom w:val="single" w:sz="4" w:space="0" w:color="auto"/>
              <w:right w:val="nil"/>
            </w:tcBorders>
            <w:shd w:val="clear" w:color="auto" w:fill="auto"/>
            <w:vAlign w:val="center"/>
            <w:hideMark/>
          </w:tcPr>
          <w:p w14:paraId="26C35221" w14:textId="77777777" w:rsidR="00A75CB6" w:rsidRPr="00A75CB6" w:rsidRDefault="00A75CB6" w:rsidP="00A75CB6">
            <w:pPr>
              <w:jc w:val="both"/>
              <w:rPr>
                <w:rFonts w:ascii="Book Antiqua" w:eastAsia="宋体" w:hAnsi="Book Antiqua" w:cs="宋体"/>
                <w:b/>
                <w:bCs/>
                <w:color w:val="000000"/>
                <w:lang w:eastAsia="zh-CN"/>
              </w:rPr>
            </w:pPr>
            <w:r w:rsidRPr="00A75CB6">
              <w:rPr>
                <w:rFonts w:ascii="Book Antiqua" w:eastAsia="宋体" w:hAnsi="Book Antiqua" w:cs="宋体"/>
                <w:b/>
                <w:bCs/>
                <w:color w:val="000000"/>
                <w:lang w:eastAsia="zh-CN"/>
              </w:rPr>
              <w:t>Size in cm</w:t>
            </w:r>
          </w:p>
        </w:tc>
      </w:tr>
      <w:tr w:rsidR="00A75CB6" w:rsidRPr="00A75CB6" w14:paraId="5A67A8B7" w14:textId="77777777" w:rsidTr="00A75CB6">
        <w:trPr>
          <w:trHeight w:val="1260"/>
        </w:trPr>
        <w:tc>
          <w:tcPr>
            <w:tcW w:w="1360" w:type="dxa"/>
            <w:tcBorders>
              <w:top w:val="single" w:sz="4" w:space="0" w:color="auto"/>
              <w:left w:val="nil"/>
              <w:bottom w:val="nil"/>
              <w:right w:val="nil"/>
            </w:tcBorders>
            <w:shd w:val="clear" w:color="auto" w:fill="auto"/>
            <w:vAlign w:val="center"/>
            <w:hideMark/>
          </w:tcPr>
          <w:p w14:paraId="64F2BFF6" w14:textId="77777777" w:rsidR="00A75CB6" w:rsidRPr="00A75CB6" w:rsidRDefault="00A75CB6" w:rsidP="00A75CB6">
            <w:pPr>
              <w:rPr>
                <w:rFonts w:ascii="Book Antiqua" w:eastAsia="宋体" w:hAnsi="Book Antiqua" w:cs="宋体"/>
                <w:color w:val="000000"/>
                <w:lang w:eastAsia="zh-CN"/>
              </w:rPr>
            </w:pPr>
            <w:r w:rsidRPr="00A75CB6">
              <w:rPr>
                <w:rFonts w:ascii="Book Antiqua" w:eastAsia="宋体" w:hAnsi="Book Antiqua" w:cs="宋体"/>
                <w:color w:val="000000"/>
                <w:lang w:eastAsia="zh-CN"/>
              </w:rPr>
              <w:t>Lung cancer patients (</w:t>
            </w:r>
            <w:r w:rsidRPr="00A75CB6">
              <w:rPr>
                <w:rFonts w:ascii="Book Antiqua" w:eastAsia="宋体" w:hAnsi="Book Antiqua" w:cs="宋体"/>
                <w:i/>
                <w:iCs/>
                <w:color w:val="000000"/>
                <w:lang w:eastAsia="zh-CN"/>
              </w:rPr>
              <w:t>n</w:t>
            </w:r>
            <w:r w:rsidRPr="00A75CB6">
              <w:rPr>
                <w:rFonts w:ascii="Book Antiqua" w:eastAsia="宋体" w:hAnsi="Book Antiqua" w:cs="宋体"/>
                <w:color w:val="000000"/>
                <w:lang w:eastAsia="zh-CN"/>
              </w:rPr>
              <w:t xml:space="preserve"> = 106) </w:t>
            </w:r>
          </w:p>
        </w:tc>
        <w:tc>
          <w:tcPr>
            <w:tcW w:w="1100" w:type="dxa"/>
            <w:tcBorders>
              <w:top w:val="single" w:sz="4" w:space="0" w:color="auto"/>
              <w:left w:val="nil"/>
              <w:bottom w:val="nil"/>
              <w:right w:val="nil"/>
            </w:tcBorders>
            <w:shd w:val="clear" w:color="auto" w:fill="auto"/>
            <w:vAlign w:val="center"/>
            <w:hideMark/>
          </w:tcPr>
          <w:p w14:paraId="4FBB3B53"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Male (47), Female (59)</w:t>
            </w:r>
          </w:p>
        </w:tc>
        <w:tc>
          <w:tcPr>
            <w:tcW w:w="920" w:type="dxa"/>
            <w:tcBorders>
              <w:top w:val="single" w:sz="4" w:space="0" w:color="auto"/>
              <w:left w:val="nil"/>
              <w:bottom w:val="nil"/>
              <w:right w:val="nil"/>
            </w:tcBorders>
            <w:shd w:val="clear" w:color="auto" w:fill="auto"/>
            <w:vAlign w:val="center"/>
            <w:hideMark/>
          </w:tcPr>
          <w:p w14:paraId="5CDFBBC3"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59</w:t>
            </w:r>
          </w:p>
        </w:tc>
        <w:tc>
          <w:tcPr>
            <w:tcW w:w="2240" w:type="dxa"/>
            <w:tcBorders>
              <w:top w:val="single" w:sz="4" w:space="0" w:color="auto"/>
              <w:left w:val="nil"/>
              <w:bottom w:val="nil"/>
              <w:right w:val="nil"/>
            </w:tcBorders>
            <w:shd w:val="clear" w:color="auto" w:fill="auto"/>
            <w:vAlign w:val="center"/>
            <w:hideMark/>
          </w:tcPr>
          <w:p w14:paraId="0E33152A"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AAH (1)</w:t>
            </w:r>
          </w:p>
        </w:tc>
        <w:tc>
          <w:tcPr>
            <w:tcW w:w="960" w:type="dxa"/>
            <w:tcBorders>
              <w:top w:val="single" w:sz="4" w:space="0" w:color="auto"/>
              <w:left w:val="nil"/>
              <w:bottom w:val="nil"/>
              <w:right w:val="nil"/>
            </w:tcBorders>
            <w:shd w:val="clear" w:color="auto" w:fill="auto"/>
            <w:vAlign w:val="center"/>
            <w:hideMark/>
          </w:tcPr>
          <w:p w14:paraId="58BFA042" w14:textId="0313E363" w:rsidR="00A75CB6" w:rsidRPr="00A75CB6" w:rsidRDefault="00567DAB" w:rsidP="00A75CB6">
            <w:pPr>
              <w:jc w:val="both"/>
              <w:rPr>
                <w:rFonts w:eastAsia="宋体"/>
                <w:color w:val="000000"/>
                <w:lang w:eastAsia="zh-CN"/>
              </w:rPr>
            </w:pPr>
            <w:r>
              <w:rPr>
                <w:rFonts w:eastAsia="宋体" w:hint="eastAsia"/>
                <w:color w:val="000000"/>
                <w:lang w:eastAsia="zh-CN"/>
              </w:rPr>
              <w:t>I</w:t>
            </w:r>
            <w:r w:rsidR="00A75CB6" w:rsidRPr="00A75CB6">
              <w:rPr>
                <w:rFonts w:ascii="Book Antiqua" w:eastAsia="宋体" w:hAnsi="Book Antiqua"/>
                <w:color w:val="000000"/>
                <w:lang w:eastAsia="zh-CN"/>
              </w:rPr>
              <w:t>a (84)</w:t>
            </w:r>
          </w:p>
        </w:tc>
        <w:tc>
          <w:tcPr>
            <w:tcW w:w="960" w:type="dxa"/>
            <w:tcBorders>
              <w:top w:val="single" w:sz="4" w:space="0" w:color="auto"/>
              <w:left w:val="nil"/>
              <w:bottom w:val="nil"/>
              <w:right w:val="nil"/>
            </w:tcBorders>
            <w:shd w:val="clear" w:color="auto" w:fill="auto"/>
            <w:vAlign w:val="center"/>
            <w:hideMark/>
          </w:tcPr>
          <w:p w14:paraId="4A73E010"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2.03 ± 1.06</w:t>
            </w:r>
          </w:p>
        </w:tc>
      </w:tr>
      <w:tr w:rsidR="00A75CB6" w:rsidRPr="00A75CB6" w14:paraId="4B9D8ACD" w14:textId="77777777" w:rsidTr="00A75CB6">
        <w:trPr>
          <w:trHeight w:val="312"/>
        </w:trPr>
        <w:tc>
          <w:tcPr>
            <w:tcW w:w="1360" w:type="dxa"/>
            <w:tcBorders>
              <w:top w:val="nil"/>
              <w:left w:val="nil"/>
              <w:bottom w:val="nil"/>
              <w:right w:val="nil"/>
            </w:tcBorders>
            <w:shd w:val="clear" w:color="auto" w:fill="auto"/>
            <w:vAlign w:val="center"/>
            <w:hideMark/>
          </w:tcPr>
          <w:p w14:paraId="55C06BB1" w14:textId="77777777" w:rsidR="00A75CB6" w:rsidRPr="00A75CB6" w:rsidRDefault="00A75CB6" w:rsidP="00A75CB6">
            <w:pPr>
              <w:jc w:val="both"/>
              <w:rPr>
                <w:rFonts w:ascii="Book Antiqua" w:eastAsia="宋体" w:hAnsi="Book Antiqua" w:cs="宋体"/>
                <w:color w:val="000000"/>
                <w:lang w:eastAsia="zh-CN"/>
              </w:rPr>
            </w:pPr>
          </w:p>
        </w:tc>
        <w:tc>
          <w:tcPr>
            <w:tcW w:w="1100" w:type="dxa"/>
            <w:tcBorders>
              <w:top w:val="nil"/>
              <w:left w:val="nil"/>
              <w:bottom w:val="nil"/>
              <w:right w:val="nil"/>
            </w:tcBorders>
            <w:shd w:val="clear" w:color="auto" w:fill="auto"/>
            <w:vAlign w:val="center"/>
            <w:hideMark/>
          </w:tcPr>
          <w:p w14:paraId="51F03EC4" w14:textId="77777777" w:rsidR="00A75CB6" w:rsidRPr="00A75CB6" w:rsidRDefault="00A75CB6" w:rsidP="00A75CB6">
            <w:pPr>
              <w:rPr>
                <w:sz w:val="20"/>
                <w:szCs w:val="20"/>
                <w:lang w:eastAsia="zh-CN"/>
              </w:rPr>
            </w:pPr>
          </w:p>
        </w:tc>
        <w:tc>
          <w:tcPr>
            <w:tcW w:w="920" w:type="dxa"/>
            <w:tcBorders>
              <w:top w:val="nil"/>
              <w:left w:val="nil"/>
              <w:bottom w:val="nil"/>
              <w:right w:val="nil"/>
            </w:tcBorders>
            <w:shd w:val="clear" w:color="auto" w:fill="auto"/>
            <w:vAlign w:val="center"/>
            <w:hideMark/>
          </w:tcPr>
          <w:p w14:paraId="08A4BA66" w14:textId="77777777" w:rsidR="00A75CB6" w:rsidRPr="00A75CB6" w:rsidRDefault="00A75CB6" w:rsidP="00A75CB6">
            <w:pPr>
              <w:jc w:val="both"/>
              <w:rPr>
                <w:sz w:val="20"/>
                <w:szCs w:val="20"/>
                <w:lang w:eastAsia="zh-CN"/>
              </w:rPr>
            </w:pPr>
          </w:p>
        </w:tc>
        <w:tc>
          <w:tcPr>
            <w:tcW w:w="2240" w:type="dxa"/>
            <w:tcBorders>
              <w:top w:val="nil"/>
              <w:left w:val="nil"/>
              <w:bottom w:val="nil"/>
              <w:right w:val="nil"/>
            </w:tcBorders>
            <w:shd w:val="clear" w:color="auto" w:fill="auto"/>
            <w:vAlign w:val="center"/>
            <w:hideMark/>
          </w:tcPr>
          <w:p w14:paraId="328FA2B0"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AIS (10)</w:t>
            </w:r>
          </w:p>
        </w:tc>
        <w:tc>
          <w:tcPr>
            <w:tcW w:w="960" w:type="dxa"/>
            <w:tcBorders>
              <w:top w:val="nil"/>
              <w:left w:val="nil"/>
              <w:bottom w:val="nil"/>
              <w:right w:val="nil"/>
            </w:tcBorders>
            <w:shd w:val="clear" w:color="auto" w:fill="auto"/>
            <w:vAlign w:val="center"/>
            <w:hideMark/>
          </w:tcPr>
          <w:p w14:paraId="4B61064A" w14:textId="2062CBEF" w:rsidR="00A75CB6" w:rsidRPr="00A75CB6" w:rsidRDefault="00567DAB" w:rsidP="00A75CB6">
            <w:pPr>
              <w:jc w:val="both"/>
              <w:rPr>
                <w:rFonts w:eastAsia="宋体"/>
                <w:color w:val="000000"/>
                <w:lang w:eastAsia="zh-CN"/>
              </w:rPr>
            </w:pPr>
            <w:r>
              <w:rPr>
                <w:rFonts w:eastAsia="宋体" w:hint="eastAsia"/>
                <w:color w:val="000000"/>
                <w:lang w:eastAsia="zh-CN"/>
              </w:rPr>
              <w:t>I</w:t>
            </w:r>
            <w:r w:rsidR="00A75CB6" w:rsidRPr="00A75CB6">
              <w:rPr>
                <w:rFonts w:ascii="Book Antiqua" w:eastAsia="宋体" w:hAnsi="Book Antiqua"/>
                <w:color w:val="000000"/>
                <w:lang w:eastAsia="zh-CN"/>
              </w:rPr>
              <w:t>b (10)</w:t>
            </w:r>
          </w:p>
        </w:tc>
        <w:tc>
          <w:tcPr>
            <w:tcW w:w="960" w:type="dxa"/>
            <w:tcBorders>
              <w:top w:val="nil"/>
              <w:left w:val="nil"/>
              <w:bottom w:val="nil"/>
              <w:right w:val="nil"/>
            </w:tcBorders>
            <w:shd w:val="clear" w:color="auto" w:fill="auto"/>
            <w:noWrap/>
            <w:vAlign w:val="bottom"/>
            <w:hideMark/>
          </w:tcPr>
          <w:p w14:paraId="643B223E" w14:textId="77777777" w:rsidR="00A75CB6" w:rsidRPr="00A75CB6" w:rsidRDefault="00A75CB6" w:rsidP="00A75CB6">
            <w:pPr>
              <w:jc w:val="both"/>
              <w:rPr>
                <w:rFonts w:eastAsia="宋体"/>
                <w:color w:val="000000"/>
                <w:lang w:eastAsia="zh-CN"/>
              </w:rPr>
            </w:pPr>
          </w:p>
        </w:tc>
      </w:tr>
      <w:tr w:rsidR="00A75CB6" w:rsidRPr="00A75CB6" w14:paraId="6FDD02D9" w14:textId="77777777" w:rsidTr="00A75CB6">
        <w:trPr>
          <w:trHeight w:val="312"/>
        </w:trPr>
        <w:tc>
          <w:tcPr>
            <w:tcW w:w="1360" w:type="dxa"/>
            <w:tcBorders>
              <w:top w:val="nil"/>
              <w:left w:val="nil"/>
              <w:bottom w:val="nil"/>
              <w:right w:val="nil"/>
            </w:tcBorders>
            <w:shd w:val="clear" w:color="auto" w:fill="auto"/>
            <w:vAlign w:val="center"/>
            <w:hideMark/>
          </w:tcPr>
          <w:p w14:paraId="75E2B1FC" w14:textId="77777777" w:rsidR="00A75CB6" w:rsidRPr="00A75CB6" w:rsidRDefault="00A75CB6" w:rsidP="00A75CB6">
            <w:pPr>
              <w:rPr>
                <w:sz w:val="20"/>
                <w:szCs w:val="20"/>
                <w:lang w:eastAsia="zh-CN"/>
              </w:rPr>
            </w:pPr>
          </w:p>
        </w:tc>
        <w:tc>
          <w:tcPr>
            <w:tcW w:w="1100" w:type="dxa"/>
            <w:tcBorders>
              <w:top w:val="nil"/>
              <w:left w:val="nil"/>
              <w:bottom w:val="nil"/>
              <w:right w:val="nil"/>
            </w:tcBorders>
            <w:shd w:val="clear" w:color="auto" w:fill="auto"/>
            <w:vAlign w:val="center"/>
            <w:hideMark/>
          </w:tcPr>
          <w:p w14:paraId="14D316BF" w14:textId="77777777" w:rsidR="00A75CB6" w:rsidRPr="00A75CB6" w:rsidRDefault="00A75CB6" w:rsidP="00A75CB6">
            <w:pPr>
              <w:rPr>
                <w:sz w:val="20"/>
                <w:szCs w:val="20"/>
                <w:lang w:eastAsia="zh-CN"/>
              </w:rPr>
            </w:pPr>
          </w:p>
        </w:tc>
        <w:tc>
          <w:tcPr>
            <w:tcW w:w="920" w:type="dxa"/>
            <w:tcBorders>
              <w:top w:val="nil"/>
              <w:left w:val="nil"/>
              <w:bottom w:val="nil"/>
              <w:right w:val="nil"/>
            </w:tcBorders>
            <w:shd w:val="clear" w:color="auto" w:fill="auto"/>
            <w:vAlign w:val="center"/>
            <w:hideMark/>
          </w:tcPr>
          <w:p w14:paraId="011C5D28" w14:textId="77777777" w:rsidR="00A75CB6" w:rsidRPr="00A75CB6" w:rsidRDefault="00A75CB6" w:rsidP="00A75CB6">
            <w:pPr>
              <w:rPr>
                <w:sz w:val="20"/>
                <w:szCs w:val="20"/>
                <w:lang w:eastAsia="zh-CN"/>
              </w:rPr>
            </w:pPr>
          </w:p>
        </w:tc>
        <w:tc>
          <w:tcPr>
            <w:tcW w:w="2240" w:type="dxa"/>
            <w:tcBorders>
              <w:top w:val="nil"/>
              <w:left w:val="nil"/>
              <w:bottom w:val="nil"/>
              <w:right w:val="nil"/>
            </w:tcBorders>
            <w:shd w:val="clear" w:color="auto" w:fill="auto"/>
            <w:vAlign w:val="center"/>
            <w:hideMark/>
          </w:tcPr>
          <w:p w14:paraId="382E6AC0"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MIA (11)</w:t>
            </w:r>
          </w:p>
        </w:tc>
        <w:tc>
          <w:tcPr>
            <w:tcW w:w="960" w:type="dxa"/>
            <w:tcBorders>
              <w:top w:val="nil"/>
              <w:left w:val="nil"/>
              <w:bottom w:val="nil"/>
              <w:right w:val="nil"/>
            </w:tcBorders>
            <w:shd w:val="clear" w:color="auto" w:fill="auto"/>
            <w:vAlign w:val="center"/>
            <w:hideMark/>
          </w:tcPr>
          <w:p w14:paraId="67C20976" w14:textId="2AF290B5" w:rsidR="00A75CB6" w:rsidRPr="00A75CB6" w:rsidRDefault="00567DAB" w:rsidP="00A75CB6">
            <w:pPr>
              <w:jc w:val="both"/>
              <w:rPr>
                <w:rFonts w:eastAsia="宋体"/>
                <w:color w:val="000000"/>
                <w:lang w:eastAsia="zh-CN"/>
              </w:rPr>
            </w:pPr>
            <w:r>
              <w:rPr>
                <w:rFonts w:eastAsia="宋体" w:hint="eastAsia"/>
                <w:color w:val="000000"/>
                <w:lang w:eastAsia="zh-CN"/>
              </w:rPr>
              <w:t>II</w:t>
            </w:r>
            <w:r w:rsidR="00A75CB6" w:rsidRPr="00A75CB6">
              <w:rPr>
                <w:rFonts w:ascii="Book Antiqua" w:eastAsia="宋体" w:hAnsi="Book Antiqua"/>
                <w:color w:val="000000"/>
                <w:lang w:eastAsia="zh-CN"/>
              </w:rPr>
              <w:t>a (2)</w:t>
            </w:r>
          </w:p>
        </w:tc>
        <w:tc>
          <w:tcPr>
            <w:tcW w:w="960" w:type="dxa"/>
            <w:tcBorders>
              <w:top w:val="nil"/>
              <w:left w:val="nil"/>
              <w:bottom w:val="nil"/>
              <w:right w:val="nil"/>
            </w:tcBorders>
            <w:shd w:val="clear" w:color="auto" w:fill="auto"/>
            <w:noWrap/>
            <w:vAlign w:val="bottom"/>
            <w:hideMark/>
          </w:tcPr>
          <w:p w14:paraId="19F1E4A3" w14:textId="77777777" w:rsidR="00A75CB6" w:rsidRPr="00A75CB6" w:rsidRDefault="00A75CB6" w:rsidP="00A75CB6">
            <w:pPr>
              <w:jc w:val="both"/>
              <w:rPr>
                <w:rFonts w:eastAsia="宋体"/>
                <w:color w:val="000000"/>
                <w:lang w:eastAsia="zh-CN"/>
              </w:rPr>
            </w:pPr>
          </w:p>
        </w:tc>
      </w:tr>
      <w:tr w:rsidR="00A75CB6" w:rsidRPr="00A75CB6" w14:paraId="1B0BCC4D" w14:textId="77777777" w:rsidTr="00A75CB6">
        <w:trPr>
          <w:trHeight w:val="312"/>
        </w:trPr>
        <w:tc>
          <w:tcPr>
            <w:tcW w:w="1360" w:type="dxa"/>
            <w:tcBorders>
              <w:top w:val="nil"/>
              <w:left w:val="nil"/>
              <w:bottom w:val="nil"/>
              <w:right w:val="nil"/>
            </w:tcBorders>
            <w:shd w:val="clear" w:color="auto" w:fill="auto"/>
            <w:vAlign w:val="center"/>
            <w:hideMark/>
          </w:tcPr>
          <w:p w14:paraId="0CC34389" w14:textId="77777777" w:rsidR="00A75CB6" w:rsidRPr="00A75CB6" w:rsidRDefault="00A75CB6" w:rsidP="00A75CB6">
            <w:pPr>
              <w:rPr>
                <w:sz w:val="20"/>
                <w:szCs w:val="20"/>
                <w:lang w:eastAsia="zh-CN"/>
              </w:rPr>
            </w:pPr>
          </w:p>
        </w:tc>
        <w:tc>
          <w:tcPr>
            <w:tcW w:w="1100" w:type="dxa"/>
            <w:tcBorders>
              <w:top w:val="nil"/>
              <w:left w:val="nil"/>
              <w:bottom w:val="nil"/>
              <w:right w:val="nil"/>
            </w:tcBorders>
            <w:shd w:val="clear" w:color="auto" w:fill="auto"/>
            <w:vAlign w:val="center"/>
            <w:hideMark/>
          </w:tcPr>
          <w:p w14:paraId="3A028642" w14:textId="77777777" w:rsidR="00A75CB6" w:rsidRPr="00A75CB6" w:rsidRDefault="00A75CB6" w:rsidP="00A75CB6">
            <w:pPr>
              <w:rPr>
                <w:sz w:val="20"/>
                <w:szCs w:val="20"/>
                <w:lang w:eastAsia="zh-CN"/>
              </w:rPr>
            </w:pPr>
          </w:p>
        </w:tc>
        <w:tc>
          <w:tcPr>
            <w:tcW w:w="920" w:type="dxa"/>
            <w:tcBorders>
              <w:top w:val="nil"/>
              <w:left w:val="nil"/>
              <w:bottom w:val="nil"/>
              <w:right w:val="nil"/>
            </w:tcBorders>
            <w:shd w:val="clear" w:color="auto" w:fill="auto"/>
            <w:vAlign w:val="center"/>
            <w:hideMark/>
          </w:tcPr>
          <w:p w14:paraId="0DE56141" w14:textId="77777777" w:rsidR="00A75CB6" w:rsidRPr="00A75CB6" w:rsidRDefault="00A75CB6" w:rsidP="00A75CB6">
            <w:pPr>
              <w:rPr>
                <w:sz w:val="20"/>
                <w:szCs w:val="20"/>
                <w:lang w:eastAsia="zh-CN"/>
              </w:rPr>
            </w:pPr>
          </w:p>
        </w:tc>
        <w:tc>
          <w:tcPr>
            <w:tcW w:w="2240" w:type="dxa"/>
            <w:tcBorders>
              <w:top w:val="nil"/>
              <w:left w:val="nil"/>
              <w:bottom w:val="nil"/>
              <w:right w:val="nil"/>
            </w:tcBorders>
            <w:shd w:val="clear" w:color="auto" w:fill="auto"/>
            <w:vAlign w:val="center"/>
            <w:hideMark/>
          </w:tcPr>
          <w:p w14:paraId="33D0B4D5"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IAC (83)</w:t>
            </w:r>
          </w:p>
        </w:tc>
        <w:tc>
          <w:tcPr>
            <w:tcW w:w="960" w:type="dxa"/>
            <w:tcBorders>
              <w:top w:val="nil"/>
              <w:left w:val="nil"/>
              <w:bottom w:val="nil"/>
              <w:right w:val="nil"/>
            </w:tcBorders>
            <w:shd w:val="clear" w:color="auto" w:fill="auto"/>
            <w:vAlign w:val="center"/>
            <w:hideMark/>
          </w:tcPr>
          <w:p w14:paraId="68B62E63" w14:textId="22C33E0C" w:rsidR="00A75CB6" w:rsidRPr="00A75CB6" w:rsidRDefault="00567DAB" w:rsidP="00A75CB6">
            <w:pPr>
              <w:jc w:val="both"/>
              <w:rPr>
                <w:rFonts w:eastAsia="宋体"/>
                <w:color w:val="000000"/>
                <w:lang w:eastAsia="zh-CN"/>
              </w:rPr>
            </w:pPr>
            <w:r>
              <w:rPr>
                <w:rFonts w:eastAsia="宋体" w:hint="eastAsia"/>
                <w:color w:val="000000"/>
                <w:lang w:eastAsia="zh-CN"/>
              </w:rPr>
              <w:t>II</w:t>
            </w:r>
            <w:r w:rsidR="00A75CB6" w:rsidRPr="00A75CB6">
              <w:rPr>
                <w:rFonts w:ascii="Book Antiqua" w:eastAsia="宋体" w:hAnsi="Book Antiqua"/>
                <w:color w:val="000000"/>
                <w:lang w:eastAsia="zh-CN"/>
              </w:rPr>
              <w:t>b (7)</w:t>
            </w:r>
          </w:p>
        </w:tc>
        <w:tc>
          <w:tcPr>
            <w:tcW w:w="960" w:type="dxa"/>
            <w:tcBorders>
              <w:top w:val="nil"/>
              <w:left w:val="nil"/>
              <w:bottom w:val="nil"/>
              <w:right w:val="nil"/>
            </w:tcBorders>
            <w:shd w:val="clear" w:color="auto" w:fill="auto"/>
            <w:noWrap/>
            <w:vAlign w:val="bottom"/>
            <w:hideMark/>
          </w:tcPr>
          <w:p w14:paraId="301E7218" w14:textId="77777777" w:rsidR="00A75CB6" w:rsidRPr="00A75CB6" w:rsidRDefault="00A75CB6" w:rsidP="00A75CB6">
            <w:pPr>
              <w:jc w:val="both"/>
              <w:rPr>
                <w:rFonts w:eastAsia="宋体"/>
                <w:color w:val="000000"/>
                <w:lang w:eastAsia="zh-CN"/>
              </w:rPr>
            </w:pPr>
          </w:p>
        </w:tc>
      </w:tr>
      <w:tr w:rsidR="00A75CB6" w:rsidRPr="00A75CB6" w14:paraId="492FD1D3" w14:textId="77777777" w:rsidTr="00A75CB6">
        <w:trPr>
          <w:trHeight w:val="312"/>
        </w:trPr>
        <w:tc>
          <w:tcPr>
            <w:tcW w:w="1360" w:type="dxa"/>
            <w:tcBorders>
              <w:top w:val="nil"/>
              <w:left w:val="nil"/>
              <w:bottom w:val="nil"/>
              <w:right w:val="nil"/>
            </w:tcBorders>
            <w:shd w:val="clear" w:color="auto" w:fill="auto"/>
            <w:vAlign w:val="center"/>
            <w:hideMark/>
          </w:tcPr>
          <w:p w14:paraId="2EA967B0" w14:textId="77777777" w:rsidR="00A75CB6" w:rsidRPr="00A75CB6" w:rsidRDefault="00A75CB6" w:rsidP="00A75CB6">
            <w:pPr>
              <w:rPr>
                <w:sz w:val="20"/>
                <w:szCs w:val="20"/>
                <w:lang w:eastAsia="zh-CN"/>
              </w:rPr>
            </w:pPr>
          </w:p>
        </w:tc>
        <w:tc>
          <w:tcPr>
            <w:tcW w:w="1100" w:type="dxa"/>
            <w:tcBorders>
              <w:top w:val="nil"/>
              <w:left w:val="nil"/>
              <w:bottom w:val="nil"/>
              <w:right w:val="nil"/>
            </w:tcBorders>
            <w:shd w:val="clear" w:color="auto" w:fill="auto"/>
            <w:vAlign w:val="center"/>
            <w:hideMark/>
          </w:tcPr>
          <w:p w14:paraId="33FB89E1" w14:textId="77777777" w:rsidR="00A75CB6" w:rsidRPr="00A75CB6" w:rsidRDefault="00A75CB6" w:rsidP="00A75CB6">
            <w:pPr>
              <w:rPr>
                <w:sz w:val="20"/>
                <w:szCs w:val="20"/>
                <w:lang w:eastAsia="zh-CN"/>
              </w:rPr>
            </w:pPr>
          </w:p>
        </w:tc>
        <w:tc>
          <w:tcPr>
            <w:tcW w:w="920" w:type="dxa"/>
            <w:tcBorders>
              <w:top w:val="nil"/>
              <w:left w:val="nil"/>
              <w:bottom w:val="nil"/>
              <w:right w:val="nil"/>
            </w:tcBorders>
            <w:shd w:val="clear" w:color="auto" w:fill="auto"/>
            <w:vAlign w:val="center"/>
            <w:hideMark/>
          </w:tcPr>
          <w:p w14:paraId="53E54664" w14:textId="77777777" w:rsidR="00A75CB6" w:rsidRPr="00A75CB6" w:rsidRDefault="00A75CB6" w:rsidP="00A75CB6">
            <w:pPr>
              <w:rPr>
                <w:sz w:val="20"/>
                <w:szCs w:val="20"/>
                <w:lang w:eastAsia="zh-CN"/>
              </w:rPr>
            </w:pPr>
          </w:p>
        </w:tc>
        <w:tc>
          <w:tcPr>
            <w:tcW w:w="2240" w:type="dxa"/>
            <w:tcBorders>
              <w:top w:val="nil"/>
              <w:left w:val="nil"/>
              <w:bottom w:val="nil"/>
              <w:right w:val="nil"/>
            </w:tcBorders>
            <w:shd w:val="clear" w:color="auto" w:fill="auto"/>
            <w:vAlign w:val="center"/>
            <w:hideMark/>
          </w:tcPr>
          <w:p w14:paraId="1DCA5960" w14:textId="77777777" w:rsidR="00A75CB6" w:rsidRPr="00A75CB6" w:rsidRDefault="00A75CB6" w:rsidP="00A75CB6">
            <w:pPr>
              <w:rPr>
                <w:sz w:val="20"/>
                <w:szCs w:val="20"/>
                <w:lang w:eastAsia="zh-CN"/>
              </w:rPr>
            </w:pPr>
          </w:p>
        </w:tc>
        <w:tc>
          <w:tcPr>
            <w:tcW w:w="960" w:type="dxa"/>
            <w:tcBorders>
              <w:top w:val="nil"/>
              <w:left w:val="nil"/>
              <w:bottom w:val="nil"/>
              <w:right w:val="nil"/>
            </w:tcBorders>
            <w:shd w:val="clear" w:color="auto" w:fill="auto"/>
            <w:vAlign w:val="center"/>
            <w:hideMark/>
          </w:tcPr>
          <w:p w14:paraId="76D372B1" w14:textId="3AEBEAE1" w:rsidR="00A75CB6" w:rsidRPr="00A75CB6" w:rsidRDefault="00567DAB" w:rsidP="00A75CB6">
            <w:pPr>
              <w:jc w:val="both"/>
              <w:rPr>
                <w:rFonts w:eastAsia="宋体"/>
                <w:color w:val="000000"/>
                <w:lang w:eastAsia="zh-CN"/>
              </w:rPr>
            </w:pPr>
            <w:r>
              <w:rPr>
                <w:rFonts w:eastAsia="宋体" w:hint="eastAsia"/>
                <w:color w:val="000000"/>
                <w:lang w:eastAsia="zh-CN"/>
              </w:rPr>
              <w:t>III</w:t>
            </w:r>
            <w:r w:rsidR="00A75CB6" w:rsidRPr="00A75CB6">
              <w:rPr>
                <w:rFonts w:eastAsia="宋体"/>
                <w:color w:val="000000"/>
                <w:lang w:eastAsia="zh-CN"/>
              </w:rPr>
              <w:t xml:space="preserve"> </w:t>
            </w:r>
            <w:r w:rsidR="00A75CB6" w:rsidRPr="00A75CB6">
              <w:rPr>
                <w:rFonts w:ascii="Book Antiqua" w:eastAsia="宋体" w:hAnsi="Book Antiqua"/>
                <w:color w:val="000000"/>
                <w:lang w:eastAsia="zh-CN"/>
              </w:rPr>
              <w:t>(3)</w:t>
            </w:r>
          </w:p>
        </w:tc>
        <w:tc>
          <w:tcPr>
            <w:tcW w:w="960" w:type="dxa"/>
            <w:tcBorders>
              <w:top w:val="nil"/>
              <w:left w:val="nil"/>
              <w:bottom w:val="nil"/>
              <w:right w:val="nil"/>
            </w:tcBorders>
            <w:shd w:val="clear" w:color="auto" w:fill="auto"/>
            <w:noWrap/>
            <w:vAlign w:val="bottom"/>
            <w:hideMark/>
          </w:tcPr>
          <w:p w14:paraId="28E3E0B2" w14:textId="77777777" w:rsidR="00A75CB6" w:rsidRPr="00A75CB6" w:rsidRDefault="00A75CB6" w:rsidP="00A75CB6">
            <w:pPr>
              <w:jc w:val="both"/>
              <w:rPr>
                <w:rFonts w:eastAsia="宋体"/>
                <w:color w:val="000000"/>
                <w:lang w:eastAsia="zh-CN"/>
              </w:rPr>
            </w:pPr>
          </w:p>
        </w:tc>
      </w:tr>
      <w:tr w:rsidR="00A75CB6" w:rsidRPr="00A75CB6" w14:paraId="1F997637" w14:textId="77777777" w:rsidTr="00A75CB6">
        <w:trPr>
          <w:trHeight w:val="948"/>
        </w:trPr>
        <w:tc>
          <w:tcPr>
            <w:tcW w:w="1360" w:type="dxa"/>
            <w:tcBorders>
              <w:top w:val="nil"/>
              <w:left w:val="nil"/>
              <w:bottom w:val="nil"/>
              <w:right w:val="nil"/>
            </w:tcBorders>
            <w:shd w:val="clear" w:color="auto" w:fill="auto"/>
            <w:vAlign w:val="center"/>
            <w:hideMark/>
          </w:tcPr>
          <w:p w14:paraId="4A91583B" w14:textId="77777777" w:rsidR="00A75CB6" w:rsidRPr="00A75CB6" w:rsidRDefault="00A75CB6" w:rsidP="00A75CB6">
            <w:pPr>
              <w:rPr>
                <w:rFonts w:ascii="Book Antiqua" w:eastAsia="宋体" w:hAnsi="Book Antiqua" w:cs="宋体"/>
                <w:color w:val="000000"/>
                <w:lang w:eastAsia="zh-CN"/>
              </w:rPr>
            </w:pPr>
            <w:r w:rsidRPr="00A75CB6">
              <w:rPr>
                <w:rFonts w:ascii="Book Antiqua" w:eastAsia="宋体" w:hAnsi="Book Antiqua" w:cs="宋体"/>
                <w:color w:val="000000"/>
                <w:lang w:eastAsia="zh-CN"/>
              </w:rPr>
              <w:t>Benign controls (</w:t>
            </w:r>
            <w:r w:rsidRPr="00A75CB6">
              <w:rPr>
                <w:rFonts w:ascii="Book Antiqua" w:eastAsia="宋体" w:hAnsi="Book Antiqua" w:cs="宋体"/>
                <w:i/>
                <w:iCs/>
                <w:color w:val="000000"/>
                <w:lang w:eastAsia="zh-CN"/>
              </w:rPr>
              <w:t>n</w:t>
            </w:r>
            <w:r w:rsidRPr="00A75CB6">
              <w:rPr>
                <w:rFonts w:ascii="Book Antiqua" w:eastAsia="宋体" w:hAnsi="Book Antiqua" w:cs="宋体"/>
                <w:color w:val="000000"/>
                <w:lang w:eastAsia="zh-CN"/>
              </w:rPr>
              <w:t xml:space="preserve"> = 11) </w:t>
            </w:r>
          </w:p>
        </w:tc>
        <w:tc>
          <w:tcPr>
            <w:tcW w:w="1100" w:type="dxa"/>
            <w:tcBorders>
              <w:top w:val="nil"/>
              <w:left w:val="nil"/>
              <w:bottom w:val="nil"/>
              <w:right w:val="nil"/>
            </w:tcBorders>
            <w:shd w:val="clear" w:color="auto" w:fill="auto"/>
            <w:vAlign w:val="center"/>
            <w:hideMark/>
          </w:tcPr>
          <w:p w14:paraId="44F29B56"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Male (4), Female (7)</w:t>
            </w:r>
          </w:p>
        </w:tc>
        <w:tc>
          <w:tcPr>
            <w:tcW w:w="920" w:type="dxa"/>
            <w:tcBorders>
              <w:top w:val="nil"/>
              <w:left w:val="nil"/>
              <w:bottom w:val="nil"/>
              <w:right w:val="nil"/>
            </w:tcBorders>
            <w:shd w:val="clear" w:color="auto" w:fill="auto"/>
            <w:vAlign w:val="center"/>
            <w:hideMark/>
          </w:tcPr>
          <w:p w14:paraId="2A3E0C28"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49</w:t>
            </w:r>
          </w:p>
        </w:tc>
        <w:tc>
          <w:tcPr>
            <w:tcW w:w="2240" w:type="dxa"/>
            <w:tcBorders>
              <w:top w:val="nil"/>
              <w:left w:val="nil"/>
              <w:bottom w:val="nil"/>
              <w:right w:val="nil"/>
            </w:tcBorders>
            <w:shd w:val="clear" w:color="auto" w:fill="auto"/>
            <w:vAlign w:val="center"/>
            <w:hideMark/>
          </w:tcPr>
          <w:p w14:paraId="2965332C"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val="it-IT" w:eastAsia="zh-CN"/>
              </w:rPr>
              <w:t>IPT (6)</w:t>
            </w:r>
            <w:r w:rsidRPr="00A75CB6">
              <w:rPr>
                <w:rFonts w:ascii="Book Antiqua" w:eastAsia="宋体" w:hAnsi="Book Antiqua" w:cs="宋体"/>
                <w:color w:val="000000"/>
                <w:vertAlign w:val="superscript"/>
                <w:lang w:val="it-IT" w:eastAsia="zh-CN"/>
              </w:rPr>
              <w:t>1</w:t>
            </w:r>
          </w:p>
        </w:tc>
        <w:tc>
          <w:tcPr>
            <w:tcW w:w="960" w:type="dxa"/>
            <w:tcBorders>
              <w:top w:val="nil"/>
              <w:left w:val="nil"/>
              <w:bottom w:val="nil"/>
              <w:right w:val="nil"/>
            </w:tcBorders>
            <w:shd w:val="clear" w:color="auto" w:fill="auto"/>
            <w:vAlign w:val="center"/>
            <w:hideMark/>
          </w:tcPr>
          <w:p w14:paraId="2A68F441"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NA</w:t>
            </w:r>
          </w:p>
        </w:tc>
        <w:tc>
          <w:tcPr>
            <w:tcW w:w="960" w:type="dxa"/>
            <w:tcBorders>
              <w:top w:val="nil"/>
              <w:left w:val="nil"/>
              <w:bottom w:val="nil"/>
              <w:right w:val="nil"/>
            </w:tcBorders>
            <w:shd w:val="clear" w:color="auto" w:fill="auto"/>
            <w:noWrap/>
            <w:vAlign w:val="bottom"/>
            <w:hideMark/>
          </w:tcPr>
          <w:p w14:paraId="176F3037" w14:textId="77777777" w:rsidR="00A75CB6" w:rsidRPr="00A75CB6" w:rsidRDefault="00A75CB6" w:rsidP="00A75CB6">
            <w:pPr>
              <w:jc w:val="both"/>
              <w:rPr>
                <w:rFonts w:ascii="Book Antiqua" w:eastAsia="宋体" w:hAnsi="Book Antiqua" w:cs="宋体"/>
                <w:color w:val="000000"/>
                <w:lang w:eastAsia="zh-CN"/>
              </w:rPr>
            </w:pPr>
          </w:p>
        </w:tc>
      </w:tr>
      <w:tr w:rsidR="00A75CB6" w:rsidRPr="00A75CB6" w14:paraId="760E62B3" w14:textId="77777777" w:rsidTr="00A75CB6">
        <w:trPr>
          <w:trHeight w:val="312"/>
        </w:trPr>
        <w:tc>
          <w:tcPr>
            <w:tcW w:w="1360" w:type="dxa"/>
            <w:tcBorders>
              <w:top w:val="nil"/>
              <w:left w:val="nil"/>
              <w:bottom w:val="nil"/>
              <w:right w:val="nil"/>
            </w:tcBorders>
            <w:shd w:val="clear" w:color="auto" w:fill="auto"/>
            <w:vAlign w:val="center"/>
            <w:hideMark/>
          </w:tcPr>
          <w:p w14:paraId="5D58D35A" w14:textId="77777777" w:rsidR="00A75CB6" w:rsidRPr="00A75CB6" w:rsidRDefault="00A75CB6" w:rsidP="00A75CB6">
            <w:pPr>
              <w:rPr>
                <w:sz w:val="20"/>
                <w:szCs w:val="20"/>
                <w:lang w:eastAsia="zh-CN"/>
              </w:rPr>
            </w:pPr>
          </w:p>
        </w:tc>
        <w:tc>
          <w:tcPr>
            <w:tcW w:w="1100" w:type="dxa"/>
            <w:tcBorders>
              <w:top w:val="nil"/>
              <w:left w:val="nil"/>
              <w:bottom w:val="nil"/>
              <w:right w:val="nil"/>
            </w:tcBorders>
            <w:shd w:val="clear" w:color="auto" w:fill="auto"/>
            <w:vAlign w:val="center"/>
            <w:hideMark/>
          </w:tcPr>
          <w:p w14:paraId="33B10674" w14:textId="77777777" w:rsidR="00A75CB6" w:rsidRPr="00A75CB6" w:rsidRDefault="00A75CB6" w:rsidP="00A75CB6">
            <w:pPr>
              <w:rPr>
                <w:sz w:val="20"/>
                <w:szCs w:val="20"/>
                <w:lang w:eastAsia="zh-CN"/>
              </w:rPr>
            </w:pPr>
          </w:p>
        </w:tc>
        <w:tc>
          <w:tcPr>
            <w:tcW w:w="920" w:type="dxa"/>
            <w:tcBorders>
              <w:top w:val="nil"/>
              <w:left w:val="nil"/>
              <w:bottom w:val="nil"/>
              <w:right w:val="nil"/>
            </w:tcBorders>
            <w:shd w:val="clear" w:color="auto" w:fill="auto"/>
            <w:vAlign w:val="center"/>
            <w:hideMark/>
          </w:tcPr>
          <w:p w14:paraId="2951530E" w14:textId="77777777" w:rsidR="00A75CB6" w:rsidRPr="00A75CB6" w:rsidRDefault="00A75CB6" w:rsidP="00A75CB6">
            <w:pPr>
              <w:jc w:val="both"/>
              <w:rPr>
                <w:sz w:val="20"/>
                <w:szCs w:val="20"/>
                <w:lang w:eastAsia="zh-CN"/>
              </w:rPr>
            </w:pPr>
          </w:p>
        </w:tc>
        <w:tc>
          <w:tcPr>
            <w:tcW w:w="2240" w:type="dxa"/>
            <w:tcBorders>
              <w:top w:val="nil"/>
              <w:left w:val="nil"/>
              <w:bottom w:val="nil"/>
              <w:right w:val="nil"/>
            </w:tcBorders>
            <w:shd w:val="clear" w:color="auto" w:fill="auto"/>
            <w:vAlign w:val="center"/>
            <w:hideMark/>
          </w:tcPr>
          <w:p w14:paraId="2FEBFB6E"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val="it-IT" w:eastAsia="zh-CN"/>
              </w:rPr>
              <w:t>Tuberculoma (2)</w:t>
            </w:r>
          </w:p>
        </w:tc>
        <w:tc>
          <w:tcPr>
            <w:tcW w:w="960" w:type="dxa"/>
            <w:tcBorders>
              <w:top w:val="nil"/>
              <w:left w:val="nil"/>
              <w:bottom w:val="nil"/>
              <w:right w:val="nil"/>
            </w:tcBorders>
            <w:shd w:val="clear" w:color="auto" w:fill="auto"/>
            <w:vAlign w:val="center"/>
            <w:hideMark/>
          </w:tcPr>
          <w:p w14:paraId="0B197F69" w14:textId="77777777" w:rsidR="00A75CB6" w:rsidRPr="00A75CB6" w:rsidRDefault="00A75CB6" w:rsidP="00A75CB6">
            <w:pPr>
              <w:jc w:val="both"/>
              <w:rPr>
                <w:rFonts w:ascii="Book Antiqua" w:eastAsia="宋体" w:hAnsi="Book Antiqua" w:cs="宋体"/>
                <w:color w:val="000000"/>
                <w:lang w:eastAsia="zh-CN"/>
              </w:rPr>
            </w:pPr>
          </w:p>
        </w:tc>
        <w:tc>
          <w:tcPr>
            <w:tcW w:w="960" w:type="dxa"/>
            <w:tcBorders>
              <w:top w:val="nil"/>
              <w:left w:val="nil"/>
              <w:bottom w:val="nil"/>
              <w:right w:val="nil"/>
            </w:tcBorders>
            <w:shd w:val="clear" w:color="auto" w:fill="auto"/>
            <w:vAlign w:val="center"/>
            <w:hideMark/>
          </w:tcPr>
          <w:p w14:paraId="6C398774" w14:textId="77777777" w:rsidR="00A75CB6" w:rsidRPr="00A75CB6" w:rsidRDefault="00A75CB6" w:rsidP="00A75CB6">
            <w:pPr>
              <w:jc w:val="both"/>
              <w:rPr>
                <w:sz w:val="20"/>
                <w:szCs w:val="20"/>
                <w:lang w:eastAsia="zh-CN"/>
              </w:rPr>
            </w:pPr>
          </w:p>
        </w:tc>
      </w:tr>
      <w:tr w:rsidR="00A75CB6" w:rsidRPr="00A75CB6" w14:paraId="61A6659A" w14:textId="77777777" w:rsidTr="00A75CB6">
        <w:trPr>
          <w:trHeight w:val="312"/>
        </w:trPr>
        <w:tc>
          <w:tcPr>
            <w:tcW w:w="1360" w:type="dxa"/>
            <w:tcBorders>
              <w:top w:val="nil"/>
              <w:left w:val="nil"/>
              <w:bottom w:val="nil"/>
              <w:right w:val="nil"/>
            </w:tcBorders>
            <w:shd w:val="clear" w:color="auto" w:fill="auto"/>
            <w:vAlign w:val="center"/>
            <w:hideMark/>
          </w:tcPr>
          <w:p w14:paraId="20ED6D15" w14:textId="77777777" w:rsidR="00A75CB6" w:rsidRPr="00A75CB6" w:rsidRDefault="00A75CB6" w:rsidP="00A75CB6">
            <w:pPr>
              <w:jc w:val="both"/>
              <w:rPr>
                <w:sz w:val="20"/>
                <w:szCs w:val="20"/>
                <w:lang w:eastAsia="zh-CN"/>
              </w:rPr>
            </w:pPr>
          </w:p>
        </w:tc>
        <w:tc>
          <w:tcPr>
            <w:tcW w:w="1100" w:type="dxa"/>
            <w:tcBorders>
              <w:top w:val="nil"/>
              <w:left w:val="nil"/>
              <w:bottom w:val="nil"/>
              <w:right w:val="nil"/>
            </w:tcBorders>
            <w:shd w:val="clear" w:color="auto" w:fill="auto"/>
            <w:vAlign w:val="center"/>
            <w:hideMark/>
          </w:tcPr>
          <w:p w14:paraId="4F7E8270" w14:textId="77777777" w:rsidR="00A75CB6" w:rsidRPr="00A75CB6" w:rsidRDefault="00A75CB6" w:rsidP="00A75CB6">
            <w:pPr>
              <w:rPr>
                <w:sz w:val="20"/>
                <w:szCs w:val="20"/>
                <w:lang w:eastAsia="zh-CN"/>
              </w:rPr>
            </w:pPr>
          </w:p>
        </w:tc>
        <w:tc>
          <w:tcPr>
            <w:tcW w:w="920" w:type="dxa"/>
            <w:tcBorders>
              <w:top w:val="nil"/>
              <w:left w:val="nil"/>
              <w:bottom w:val="nil"/>
              <w:right w:val="nil"/>
            </w:tcBorders>
            <w:shd w:val="clear" w:color="auto" w:fill="auto"/>
            <w:vAlign w:val="center"/>
            <w:hideMark/>
          </w:tcPr>
          <w:p w14:paraId="435EEB4A" w14:textId="77777777" w:rsidR="00A75CB6" w:rsidRPr="00A75CB6" w:rsidRDefault="00A75CB6" w:rsidP="00A75CB6">
            <w:pPr>
              <w:rPr>
                <w:sz w:val="20"/>
                <w:szCs w:val="20"/>
                <w:lang w:eastAsia="zh-CN"/>
              </w:rPr>
            </w:pPr>
          </w:p>
        </w:tc>
        <w:tc>
          <w:tcPr>
            <w:tcW w:w="2240" w:type="dxa"/>
            <w:tcBorders>
              <w:top w:val="nil"/>
              <w:left w:val="nil"/>
              <w:bottom w:val="nil"/>
              <w:right w:val="nil"/>
            </w:tcBorders>
            <w:shd w:val="clear" w:color="auto" w:fill="auto"/>
            <w:vAlign w:val="center"/>
            <w:hideMark/>
          </w:tcPr>
          <w:p w14:paraId="2B753F3D"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val="it-IT" w:eastAsia="zh-CN"/>
              </w:rPr>
              <w:t>Hamartoma (1)</w:t>
            </w:r>
          </w:p>
        </w:tc>
        <w:tc>
          <w:tcPr>
            <w:tcW w:w="960" w:type="dxa"/>
            <w:tcBorders>
              <w:top w:val="nil"/>
              <w:left w:val="nil"/>
              <w:bottom w:val="nil"/>
              <w:right w:val="nil"/>
            </w:tcBorders>
            <w:shd w:val="clear" w:color="auto" w:fill="auto"/>
            <w:vAlign w:val="center"/>
            <w:hideMark/>
          </w:tcPr>
          <w:p w14:paraId="4C07DA55" w14:textId="77777777" w:rsidR="00A75CB6" w:rsidRPr="00A75CB6" w:rsidRDefault="00A75CB6" w:rsidP="00A75CB6">
            <w:pPr>
              <w:jc w:val="both"/>
              <w:rPr>
                <w:rFonts w:ascii="Book Antiqua" w:eastAsia="宋体" w:hAnsi="Book Antiqua" w:cs="宋体"/>
                <w:color w:val="000000"/>
                <w:lang w:eastAsia="zh-CN"/>
              </w:rPr>
            </w:pPr>
          </w:p>
        </w:tc>
        <w:tc>
          <w:tcPr>
            <w:tcW w:w="960" w:type="dxa"/>
            <w:tcBorders>
              <w:top w:val="nil"/>
              <w:left w:val="nil"/>
              <w:bottom w:val="nil"/>
              <w:right w:val="nil"/>
            </w:tcBorders>
            <w:shd w:val="clear" w:color="auto" w:fill="auto"/>
            <w:vAlign w:val="center"/>
            <w:hideMark/>
          </w:tcPr>
          <w:p w14:paraId="644FBA2E" w14:textId="77777777" w:rsidR="00A75CB6" w:rsidRPr="00A75CB6" w:rsidRDefault="00A75CB6" w:rsidP="00A75CB6">
            <w:pPr>
              <w:rPr>
                <w:sz w:val="20"/>
                <w:szCs w:val="20"/>
                <w:lang w:eastAsia="zh-CN"/>
              </w:rPr>
            </w:pPr>
          </w:p>
        </w:tc>
      </w:tr>
      <w:tr w:rsidR="00A75CB6" w:rsidRPr="00A75CB6" w14:paraId="6F251B83" w14:textId="77777777" w:rsidTr="00A75CB6">
        <w:trPr>
          <w:trHeight w:val="312"/>
        </w:trPr>
        <w:tc>
          <w:tcPr>
            <w:tcW w:w="1360" w:type="dxa"/>
            <w:tcBorders>
              <w:top w:val="nil"/>
              <w:left w:val="nil"/>
              <w:bottom w:val="nil"/>
              <w:right w:val="nil"/>
            </w:tcBorders>
            <w:shd w:val="clear" w:color="auto" w:fill="auto"/>
            <w:vAlign w:val="center"/>
            <w:hideMark/>
          </w:tcPr>
          <w:p w14:paraId="4794BE8E" w14:textId="77777777" w:rsidR="00A75CB6" w:rsidRPr="00A75CB6" w:rsidRDefault="00A75CB6" w:rsidP="00A75CB6">
            <w:pPr>
              <w:rPr>
                <w:sz w:val="20"/>
                <w:szCs w:val="20"/>
                <w:lang w:eastAsia="zh-CN"/>
              </w:rPr>
            </w:pPr>
          </w:p>
        </w:tc>
        <w:tc>
          <w:tcPr>
            <w:tcW w:w="1100" w:type="dxa"/>
            <w:tcBorders>
              <w:top w:val="nil"/>
              <w:left w:val="nil"/>
              <w:bottom w:val="nil"/>
              <w:right w:val="nil"/>
            </w:tcBorders>
            <w:shd w:val="clear" w:color="auto" w:fill="auto"/>
            <w:vAlign w:val="center"/>
            <w:hideMark/>
          </w:tcPr>
          <w:p w14:paraId="305F1FDC" w14:textId="77777777" w:rsidR="00A75CB6" w:rsidRPr="00A75CB6" w:rsidRDefault="00A75CB6" w:rsidP="00A75CB6">
            <w:pPr>
              <w:rPr>
                <w:sz w:val="20"/>
                <w:szCs w:val="20"/>
                <w:lang w:eastAsia="zh-CN"/>
              </w:rPr>
            </w:pPr>
          </w:p>
        </w:tc>
        <w:tc>
          <w:tcPr>
            <w:tcW w:w="920" w:type="dxa"/>
            <w:tcBorders>
              <w:top w:val="nil"/>
              <w:left w:val="nil"/>
              <w:bottom w:val="nil"/>
              <w:right w:val="nil"/>
            </w:tcBorders>
            <w:shd w:val="clear" w:color="auto" w:fill="auto"/>
            <w:vAlign w:val="center"/>
            <w:hideMark/>
          </w:tcPr>
          <w:p w14:paraId="4C55FF55" w14:textId="77777777" w:rsidR="00A75CB6" w:rsidRPr="00A75CB6" w:rsidRDefault="00A75CB6" w:rsidP="00A75CB6">
            <w:pPr>
              <w:rPr>
                <w:sz w:val="20"/>
                <w:szCs w:val="20"/>
                <w:lang w:eastAsia="zh-CN"/>
              </w:rPr>
            </w:pPr>
          </w:p>
        </w:tc>
        <w:tc>
          <w:tcPr>
            <w:tcW w:w="2240" w:type="dxa"/>
            <w:tcBorders>
              <w:top w:val="nil"/>
              <w:left w:val="nil"/>
              <w:bottom w:val="nil"/>
              <w:right w:val="nil"/>
            </w:tcBorders>
            <w:shd w:val="clear" w:color="auto" w:fill="auto"/>
            <w:vAlign w:val="center"/>
            <w:hideMark/>
          </w:tcPr>
          <w:p w14:paraId="1A313380"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val="it-IT" w:eastAsia="zh-CN"/>
              </w:rPr>
              <w:t>Fibroma (1)</w:t>
            </w:r>
          </w:p>
        </w:tc>
        <w:tc>
          <w:tcPr>
            <w:tcW w:w="960" w:type="dxa"/>
            <w:tcBorders>
              <w:top w:val="nil"/>
              <w:left w:val="nil"/>
              <w:bottom w:val="nil"/>
              <w:right w:val="nil"/>
            </w:tcBorders>
            <w:shd w:val="clear" w:color="auto" w:fill="auto"/>
            <w:vAlign w:val="center"/>
            <w:hideMark/>
          </w:tcPr>
          <w:p w14:paraId="6C91843F" w14:textId="77777777" w:rsidR="00A75CB6" w:rsidRPr="00A75CB6" w:rsidRDefault="00A75CB6" w:rsidP="00A75CB6">
            <w:pPr>
              <w:jc w:val="both"/>
              <w:rPr>
                <w:rFonts w:ascii="Book Antiqua" w:eastAsia="宋体" w:hAnsi="Book Antiqua" w:cs="宋体"/>
                <w:color w:val="000000"/>
                <w:lang w:eastAsia="zh-CN"/>
              </w:rPr>
            </w:pPr>
          </w:p>
        </w:tc>
        <w:tc>
          <w:tcPr>
            <w:tcW w:w="960" w:type="dxa"/>
            <w:tcBorders>
              <w:top w:val="nil"/>
              <w:left w:val="nil"/>
              <w:bottom w:val="nil"/>
              <w:right w:val="nil"/>
            </w:tcBorders>
            <w:shd w:val="clear" w:color="auto" w:fill="auto"/>
            <w:vAlign w:val="center"/>
            <w:hideMark/>
          </w:tcPr>
          <w:p w14:paraId="258B616B" w14:textId="77777777" w:rsidR="00A75CB6" w:rsidRPr="00A75CB6" w:rsidRDefault="00A75CB6" w:rsidP="00A75CB6">
            <w:pPr>
              <w:rPr>
                <w:sz w:val="20"/>
                <w:szCs w:val="20"/>
                <w:lang w:eastAsia="zh-CN"/>
              </w:rPr>
            </w:pPr>
          </w:p>
        </w:tc>
      </w:tr>
      <w:tr w:rsidR="00A75CB6" w:rsidRPr="00A75CB6" w14:paraId="76514E9A" w14:textId="77777777" w:rsidTr="00A75CB6">
        <w:trPr>
          <w:trHeight w:val="312"/>
        </w:trPr>
        <w:tc>
          <w:tcPr>
            <w:tcW w:w="1360" w:type="dxa"/>
            <w:tcBorders>
              <w:top w:val="nil"/>
              <w:left w:val="nil"/>
              <w:bottom w:val="nil"/>
              <w:right w:val="nil"/>
            </w:tcBorders>
            <w:shd w:val="clear" w:color="auto" w:fill="auto"/>
            <w:vAlign w:val="center"/>
            <w:hideMark/>
          </w:tcPr>
          <w:p w14:paraId="7D9D6207" w14:textId="77777777" w:rsidR="00A75CB6" w:rsidRPr="00A75CB6" w:rsidRDefault="00A75CB6" w:rsidP="00A75CB6">
            <w:pPr>
              <w:rPr>
                <w:sz w:val="20"/>
                <w:szCs w:val="20"/>
                <w:lang w:eastAsia="zh-CN"/>
              </w:rPr>
            </w:pPr>
          </w:p>
        </w:tc>
        <w:tc>
          <w:tcPr>
            <w:tcW w:w="1100" w:type="dxa"/>
            <w:tcBorders>
              <w:top w:val="nil"/>
              <w:left w:val="nil"/>
              <w:bottom w:val="nil"/>
              <w:right w:val="nil"/>
            </w:tcBorders>
            <w:shd w:val="clear" w:color="auto" w:fill="auto"/>
            <w:vAlign w:val="center"/>
            <w:hideMark/>
          </w:tcPr>
          <w:p w14:paraId="19C6A70C" w14:textId="77777777" w:rsidR="00A75CB6" w:rsidRPr="00A75CB6" w:rsidRDefault="00A75CB6" w:rsidP="00A75CB6">
            <w:pPr>
              <w:rPr>
                <w:sz w:val="20"/>
                <w:szCs w:val="20"/>
                <w:lang w:eastAsia="zh-CN"/>
              </w:rPr>
            </w:pPr>
          </w:p>
        </w:tc>
        <w:tc>
          <w:tcPr>
            <w:tcW w:w="920" w:type="dxa"/>
            <w:tcBorders>
              <w:top w:val="nil"/>
              <w:left w:val="nil"/>
              <w:bottom w:val="nil"/>
              <w:right w:val="nil"/>
            </w:tcBorders>
            <w:shd w:val="clear" w:color="auto" w:fill="auto"/>
            <w:vAlign w:val="center"/>
            <w:hideMark/>
          </w:tcPr>
          <w:p w14:paraId="75033E9D" w14:textId="77777777" w:rsidR="00A75CB6" w:rsidRPr="00A75CB6" w:rsidRDefault="00A75CB6" w:rsidP="00A75CB6">
            <w:pPr>
              <w:rPr>
                <w:sz w:val="20"/>
                <w:szCs w:val="20"/>
                <w:lang w:eastAsia="zh-CN"/>
              </w:rPr>
            </w:pPr>
          </w:p>
        </w:tc>
        <w:tc>
          <w:tcPr>
            <w:tcW w:w="2240" w:type="dxa"/>
            <w:tcBorders>
              <w:top w:val="nil"/>
              <w:left w:val="nil"/>
              <w:bottom w:val="nil"/>
              <w:right w:val="nil"/>
            </w:tcBorders>
            <w:shd w:val="clear" w:color="auto" w:fill="auto"/>
            <w:vAlign w:val="center"/>
            <w:hideMark/>
          </w:tcPr>
          <w:p w14:paraId="18860346"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val="it-IT" w:eastAsia="zh-CN"/>
              </w:rPr>
              <w:t>Pleural tumor (1)</w:t>
            </w:r>
          </w:p>
        </w:tc>
        <w:tc>
          <w:tcPr>
            <w:tcW w:w="960" w:type="dxa"/>
            <w:tcBorders>
              <w:top w:val="nil"/>
              <w:left w:val="nil"/>
              <w:bottom w:val="nil"/>
              <w:right w:val="nil"/>
            </w:tcBorders>
            <w:shd w:val="clear" w:color="auto" w:fill="auto"/>
            <w:vAlign w:val="center"/>
            <w:hideMark/>
          </w:tcPr>
          <w:p w14:paraId="6838602E" w14:textId="77777777" w:rsidR="00A75CB6" w:rsidRPr="00A75CB6" w:rsidRDefault="00A75CB6" w:rsidP="00A75CB6">
            <w:pPr>
              <w:jc w:val="both"/>
              <w:rPr>
                <w:rFonts w:ascii="Book Antiqua" w:eastAsia="宋体" w:hAnsi="Book Antiqua" w:cs="宋体"/>
                <w:color w:val="000000"/>
                <w:lang w:eastAsia="zh-CN"/>
              </w:rPr>
            </w:pPr>
          </w:p>
        </w:tc>
        <w:tc>
          <w:tcPr>
            <w:tcW w:w="960" w:type="dxa"/>
            <w:tcBorders>
              <w:top w:val="nil"/>
              <w:left w:val="nil"/>
              <w:bottom w:val="nil"/>
              <w:right w:val="nil"/>
            </w:tcBorders>
            <w:shd w:val="clear" w:color="auto" w:fill="auto"/>
            <w:vAlign w:val="center"/>
            <w:hideMark/>
          </w:tcPr>
          <w:p w14:paraId="55CEB70D" w14:textId="77777777" w:rsidR="00A75CB6" w:rsidRPr="00A75CB6" w:rsidRDefault="00A75CB6" w:rsidP="00A75CB6">
            <w:pPr>
              <w:rPr>
                <w:sz w:val="20"/>
                <w:szCs w:val="20"/>
                <w:lang w:eastAsia="zh-CN"/>
              </w:rPr>
            </w:pPr>
          </w:p>
        </w:tc>
      </w:tr>
      <w:tr w:rsidR="00A75CB6" w:rsidRPr="00A75CB6" w14:paraId="120A9B66" w14:textId="77777777" w:rsidTr="00A75CB6">
        <w:trPr>
          <w:trHeight w:val="1260"/>
        </w:trPr>
        <w:tc>
          <w:tcPr>
            <w:tcW w:w="1360" w:type="dxa"/>
            <w:tcBorders>
              <w:top w:val="nil"/>
              <w:left w:val="nil"/>
              <w:bottom w:val="single" w:sz="8" w:space="0" w:color="auto"/>
              <w:right w:val="nil"/>
            </w:tcBorders>
            <w:shd w:val="clear" w:color="auto" w:fill="auto"/>
            <w:vAlign w:val="center"/>
            <w:hideMark/>
          </w:tcPr>
          <w:p w14:paraId="284164D4"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Healthy controls (</w:t>
            </w:r>
            <w:r w:rsidRPr="00A75CB6">
              <w:rPr>
                <w:rFonts w:ascii="Book Antiqua" w:eastAsia="宋体" w:hAnsi="Book Antiqua" w:cs="宋体"/>
                <w:i/>
                <w:iCs/>
                <w:color w:val="000000"/>
                <w:lang w:eastAsia="zh-CN"/>
              </w:rPr>
              <w:t>n</w:t>
            </w:r>
            <w:r w:rsidRPr="00A75CB6">
              <w:rPr>
                <w:rFonts w:ascii="Book Antiqua" w:eastAsia="宋体" w:hAnsi="Book Antiqua" w:cs="宋体"/>
                <w:color w:val="000000"/>
                <w:lang w:eastAsia="zh-CN"/>
              </w:rPr>
              <w:t xml:space="preserve"> = 17)</w:t>
            </w:r>
          </w:p>
        </w:tc>
        <w:tc>
          <w:tcPr>
            <w:tcW w:w="1100" w:type="dxa"/>
            <w:tcBorders>
              <w:top w:val="nil"/>
              <w:left w:val="nil"/>
              <w:bottom w:val="single" w:sz="8" w:space="0" w:color="auto"/>
              <w:right w:val="nil"/>
            </w:tcBorders>
            <w:shd w:val="clear" w:color="auto" w:fill="auto"/>
            <w:vAlign w:val="center"/>
            <w:hideMark/>
          </w:tcPr>
          <w:p w14:paraId="6FC5EEA8"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Male (10), Female (7)</w:t>
            </w:r>
          </w:p>
        </w:tc>
        <w:tc>
          <w:tcPr>
            <w:tcW w:w="920" w:type="dxa"/>
            <w:tcBorders>
              <w:top w:val="nil"/>
              <w:left w:val="nil"/>
              <w:bottom w:val="single" w:sz="8" w:space="0" w:color="auto"/>
              <w:right w:val="nil"/>
            </w:tcBorders>
            <w:shd w:val="clear" w:color="auto" w:fill="auto"/>
            <w:vAlign w:val="center"/>
            <w:hideMark/>
          </w:tcPr>
          <w:p w14:paraId="1761947A"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31</w:t>
            </w:r>
          </w:p>
        </w:tc>
        <w:tc>
          <w:tcPr>
            <w:tcW w:w="2240" w:type="dxa"/>
            <w:tcBorders>
              <w:top w:val="nil"/>
              <w:left w:val="nil"/>
              <w:bottom w:val="single" w:sz="8" w:space="0" w:color="auto"/>
              <w:right w:val="nil"/>
            </w:tcBorders>
            <w:shd w:val="clear" w:color="auto" w:fill="auto"/>
            <w:vAlign w:val="center"/>
            <w:hideMark/>
          </w:tcPr>
          <w:p w14:paraId="1589C019"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NA</w:t>
            </w:r>
          </w:p>
        </w:tc>
        <w:tc>
          <w:tcPr>
            <w:tcW w:w="960" w:type="dxa"/>
            <w:tcBorders>
              <w:top w:val="nil"/>
              <w:left w:val="nil"/>
              <w:bottom w:val="single" w:sz="8" w:space="0" w:color="auto"/>
              <w:right w:val="nil"/>
            </w:tcBorders>
            <w:shd w:val="clear" w:color="auto" w:fill="auto"/>
            <w:vAlign w:val="center"/>
            <w:hideMark/>
          </w:tcPr>
          <w:p w14:paraId="609B4643"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NA</w:t>
            </w:r>
          </w:p>
        </w:tc>
        <w:tc>
          <w:tcPr>
            <w:tcW w:w="960" w:type="dxa"/>
            <w:tcBorders>
              <w:top w:val="nil"/>
              <w:left w:val="nil"/>
              <w:bottom w:val="single" w:sz="8" w:space="0" w:color="auto"/>
              <w:right w:val="nil"/>
            </w:tcBorders>
            <w:shd w:val="clear" w:color="auto" w:fill="auto"/>
            <w:vAlign w:val="center"/>
            <w:hideMark/>
          </w:tcPr>
          <w:p w14:paraId="3FE3679C" w14:textId="77777777" w:rsidR="00A75CB6" w:rsidRPr="00A75CB6" w:rsidRDefault="00A75CB6" w:rsidP="00A75CB6">
            <w:pPr>
              <w:jc w:val="both"/>
              <w:rPr>
                <w:rFonts w:ascii="Book Antiqua" w:eastAsia="宋体" w:hAnsi="Book Antiqua" w:cs="宋体"/>
                <w:color w:val="000000"/>
                <w:lang w:eastAsia="zh-CN"/>
              </w:rPr>
            </w:pPr>
            <w:r w:rsidRPr="00A75CB6">
              <w:rPr>
                <w:rFonts w:ascii="Book Antiqua" w:eastAsia="宋体" w:hAnsi="Book Antiqua" w:cs="宋体"/>
                <w:color w:val="000000"/>
                <w:lang w:eastAsia="zh-CN"/>
              </w:rPr>
              <w:t>NA</w:t>
            </w:r>
          </w:p>
        </w:tc>
      </w:tr>
    </w:tbl>
    <w:p w14:paraId="4BD8CD7C" w14:textId="47BFF847" w:rsidR="00890F39" w:rsidRPr="00986829" w:rsidRDefault="00890F39" w:rsidP="00890F39">
      <w:pPr>
        <w:spacing w:line="360" w:lineRule="auto"/>
        <w:jc w:val="both"/>
        <w:rPr>
          <w:rFonts w:ascii="Book Antiqua" w:eastAsiaTheme="minorEastAsia" w:hAnsi="Book Antiqua"/>
          <w:lang w:eastAsia="zh-CN"/>
        </w:rPr>
      </w:pPr>
      <w:r>
        <w:rPr>
          <w:rFonts w:ascii="Book Antiqua" w:hAnsi="Book Antiqua"/>
          <w:vertAlign w:val="superscript"/>
        </w:rPr>
        <w:t>1</w:t>
      </w:r>
      <w:r>
        <w:rPr>
          <w:rFonts w:ascii="Book Antiqua" w:hAnsi="Book Antiqua"/>
        </w:rPr>
        <w:t xml:space="preserve">One inflammatory pseudotumor and one pleural tumor cases presented as ground-glass opacity. AAH: Atypical adenomatous hyperplasia; AIS: Adenocarcinoma </w:t>
      </w:r>
      <w:r>
        <w:rPr>
          <w:rFonts w:ascii="Book Antiqua" w:hAnsi="Book Antiqua"/>
          <w:i/>
          <w:iCs/>
        </w:rPr>
        <w:t>in situ</w:t>
      </w:r>
      <w:r>
        <w:rPr>
          <w:rFonts w:ascii="Book Antiqua" w:hAnsi="Book Antiqua"/>
        </w:rPr>
        <w:t>; IAC: Invasive adenocarcinoma; IPT: Inflammatory pseudotumor</w:t>
      </w:r>
      <w:r>
        <w:rPr>
          <w:rFonts w:ascii="Book Antiqua" w:eastAsia="Book Antiqua" w:hAnsi="Book Antiqua" w:cs="Book Antiqua"/>
          <w:color w:val="000000"/>
        </w:rPr>
        <w:t xml:space="preserve">; </w:t>
      </w:r>
      <w:r>
        <w:rPr>
          <w:rFonts w:ascii="Book Antiqua" w:hAnsi="Book Antiqua"/>
        </w:rPr>
        <w:t>MIA: Minimally invasive adenocarcinoma</w:t>
      </w:r>
      <w:r w:rsidR="00DF3D88">
        <w:rPr>
          <w:rFonts w:ascii="Book Antiqua" w:eastAsiaTheme="minorEastAsia" w:hAnsi="Book Antiqua" w:hint="eastAsia"/>
          <w:lang w:eastAsia="zh-CN"/>
        </w:rPr>
        <w:t>;</w:t>
      </w:r>
      <w:r w:rsidR="00986829">
        <w:rPr>
          <w:rFonts w:ascii="Book Antiqua" w:eastAsiaTheme="minorEastAsia" w:hAnsi="Book Antiqua" w:hint="eastAsia"/>
          <w:lang w:eastAsia="zh-CN"/>
        </w:rPr>
        <w:t xml:space="preserve"> NA: </w:t>
      </w:r>
      <w:r w:rsidR="00986829" w:rsidRPr="00986829">
        <w:rPr>
          <w:rFonts w:ascii="Book Antiqua" w:eastAsiaTheme="minorEastAsia" w:hAnsi="Book Antiqua"/>
          <w:lang w:eastAsia="zh-CN"/>
        </w:rPr>
        <w:t>Not available</w:t>
      </w:r>
      <w:r w:rsidR="00986829">
        <w:rPr>
          <w:rFonts w:ascii="Book Antiqua" w:eastAsiaTheme="minorEastAsia" w:hAnsi="Book Antiqua" w:hint="eastAsia"/>
          <w:lang w:eastAsia="zh-CN"/>
        </w:rPr>
        <w:t>.</w:t>
      </w:r>
      <w:r w:rsidR="000D516F">
        <w:rPr>
          <w:rFonts w:ascii="Book Antiqua" w:eastAsiaTheme="minorEastAsia" w:hAnsi="Book Antiqua" w:hint="eastAsia"/>
          <w:lang w:eastAsia="zh-CN"/>
        </w:rPr>
        <w:t xml:space="preserve"> </w:t>
      </w:r>
    </w:p>
    <w:p w14:paraId="760BDE02" w14:textId="536B83C9" w:rsidR="00A75CB6" w:rsidRDefault="00A75CB6">
      <w:pPr>
        <w:spacing w:line="360" w:lineRule="auto"/>
        <w:jc w:val="both"/>
        <w:rPr>
          <w:rFonts w:ascii="Book Antiqua" w:hAnsi="Book Antiqua"/>
        </w:rPr>
      </w:pPr>
    </w:p>
    <w:p w14:paraId="5EAB90D5" w14:textId="77777777" w:rsidR="00A75CB6" w:rsidRDefault="00A75CB6">
      <w:pPr>
        <w:spacing w:line="360" w:lineRule="auto"/>
        <w:jc w:val="both"/>
        <w:rPr>
          <w:rFonts w:ascii="Book Antiqua" w:hAnsi="Book Antiqua"/>
        </w:rPr>
      </w:pPr>
    </w:p>
    <w:p w14:paraId="55D3EA8C" w14:textId="71917B90" w:rsidR="00FC0E9A" w:rsidRDefault="008C0FEC">
      <w:pPr>
        <w:spacing w:line="360" w:lineRule="auto"/>
        <w:jc w:val="both"/>
        <w:rPr>
          <w:rFonts w:ascii="Book Antiqua" w:hAnsi="Book Antiqua"/>
        </w:rPr>
      </w:pPr>
      <w:r>
        <w:rPr>
          <w:rFonts w:ascii="Book Antiqua" w:hAnsi="Book Antiqua"/>
          <w:b/>
        </w:rPr>
        <w:t>Table 2</w:t>
      </w:r>
      <w:r w:rsidR="004115F8">
        <w:rPr>
          <w:rFonts w:ascii="Book Antiqua" w:eastAsiaTheme="minorEastAsia" w:hAnsi="Book Antiqua" w:hint="eastAsia"/>
          <w:b/>
          <w:lang w:eastAsia="zh-CN"/>
        </w:rPr>
        <w:t xml:space="preserve"> </w:t>
      </w:r>
      <w:r>
        <w:rPr>
          <w:rFonts w:ascii="Book Antiqua" w:hAnsi="Book Antiqua"/>
          <w:b/>
        </w:rPr>
        <w:t xml:space="preserve">Area under the </w:t>
      </w:r>
      <w:r>
        <w:rPr>
          <w:rFonts w:ascii="Book Antiqua" w:eastAsia="Book Antiqua" w:hAnsi="Book Antiqua" w:cs="Book Antiqua"/>
          <w:b/>
          <w:bCs/>
          <w:color w:val="000000"/>
        </w:rPr>
        <w:t>receiver operating characteristic</w:t>
      </w:r>
      <w:r>
        <w:rPr>
          <w:rFonts w:ascii="Book Antiqua" w:hAnsi="Book Antiqua"/>
          <w:b/>
        </w:rPr>
        <w:t xml:space="preserve"> curve, </w:t>
      </w:r>
      <w:r>
        <w:rPr>
          <w:rFonts w:ascii="Book Antiqua" w:hAnsi="Book Antiqua"/>
          <w:b/>
          <w:bCs/>
          <w:i/>
          <w:iCs/>
        </w:rPr>
        <w:t>P</w:t>
      </w:r>
      <w:r>
        <w:rPr>
          <w:rFonts w:ascii="Book Antiqua" w:hAnsi="Book Antiqua"/>
          <w:b/>
        </w:rPr>
        <w:t xml:space="preserve"> value, sensitivity and specificity of </w:t>
      </w:r>
      <w:r>
        <w:rPr>
          <w:rFonts w:ascii="Book Antiqua" w:eastAsia="Book Antiqua" w:hAnsi="Book Antiqua" w:cs="Book Antiqua"/>
          <w:b/>
          <w:bCs/>
          <w:color w:val="000000"/>
        </w:rPr>
        <w:t>circulating tumor cells</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292"/>
        <w:gridCol w:w="872"/>
        <w:gridCol w:w="1070"/>
        <w:gridCol w:w="1380"/>
        <w:gridCol w:w="902"/>
        <w:gridCol w:w="1108"/>
        <w:gridCol w:w="1429"/>
        <w:gridCol w:w="1415"/>
      </w:tblGrid>
      <w:tr w:rsidR="00755CF1" w:rsidRPr="00755CF1" w14:paraId="27A36BFF" w14:textId="77777777" w:rsidTr="00755CF1">
        <w:trPr>
          <w:trHeight w:val="312"/>
        </w:trPr>
        <w:tc>
          <w:tcPr>
            <w:tcW w:w="0" w:type="auto"/>
            <w:tcBorders>
              <w:bottom w:val="single" w:sz="4" w:space="0" w:color="auto"/>
            </w:tcBorders>
            <w:shd w:val="clear" w:color="auto" w:fill="auto"/>
            <w:noWrap/>
            <w:vAlign w:val="center"/>
            <w:hideMark/>
          </w:tcPr>
          <w:p w14:paraId="1025474F" w14:textId="77777777" w:rsidR="00755CF1" w:rsidRPr="00755CF1" w:rsidRDefault="00755CF1" w:rsidP="00755CF1">
            <w:pPr>
              <w:jc w:val="both"/>
              <w:rPr>
                <w:rFonts w:ascii="Book Antiqua" w:eastAsia="宋体" w:hAnsi="Book Antiqua" w:cs="宋体"/>
                <w:b/>
                <w:bCs/>
                <w:color w:val="000000"/>
                <w:lang w:eastAsia="zh-CN"/>
              </w:rPr>
            </w:pPr>
            <w:r w:rsidRPr="00755CF1">
              <w:rPr>
                <w:rFonts w:ascii="Book Antiqua" w:eastAsia="宋体" w:hAnsi="Book Antiqua" w:cs="宋体"/>
                <w:b/>
                <w:bCs/>
                <w:color w:val="000000"/>
                <w:lang w:eastAsia="zh-CN"/>
              </w:rPr>
              <w:t>Subjects</w:t>
            </w:r>
          </w:p>
        </w:tc>
        <w:tc>
          <w:tcPr>
            <w:tcW w:w="0" w:type="auto"/>
            <w:gridSpan w:val="3"/>
            <w:tcBorders>
              <w:bottom w:val="single" w:sz="4" w:space="0" w:color="auto"/>
            </w:tcBorders>
            <w:shd w:val="clear" w:color="auto" w:fill="auto"/>
            <w:noWrap/>
            <w:vAlign w:val="center"/>
            <w:hideMark/>
          </w:tcPr>
          <w:p w14:paraId="012D5EEB" w14:textId="77777777" w:rsidR="00755CF1" w:rsidRPr="00755CF1" w:rsidRDefault="00755CF1" w:rsidP="00755CF1">
            <w:pPr>
              <w:jc w:val="both"/>
              <w:rPr>
                <w:rFonts w:ascii="Book Antiqua" w:eastAsia="宋体" w:hAnsi="Book Antiqua" w:cs="宋体"/>
                <w:b/>
                <w:bCs/>
                <w:color w:val="000000"/>
                <w:lang w:eastAsia="zh-CN"/>
              </w:rPr>
            </w:pPr>
            <w:r w:rsidRPr="00755CF1">
              <w:rPr>
                <w:rFonts w:ascii="Book Antiqua" w:eastAsia="宋体" w:hAnsi="Book Antiqua" w:cs="宋体"/>
                <w:b/>
                <w:bCs/>
                <w:color w:val="000000"/>
                <w:lang w:eastAsia="zh-CN"/>
              </w:rPr>
              <w:t xml:space="preserve">All lung cancer patients, </w:t>
            </w:r>
            <w:r w:rsidRPr="00755CF1">
              <w:rPr>
                <w:rFonts w:ascii="Book Antiqua" w:eastAsia="宋体" w:hAnsi="Book Antiqua" w:cs="宋体"/>
                <w:b/>
                <w:bCs/>
                <w:i/>
                <w:iCs/>
                <w:color w:val="000000"/>
                <w:lang w:eastAsia="zh-CN"/>
              </w:rPr>
              <w:t>n</w:t>
            </w:r>
            <w:r w:rsidRPr="00755CF1">
              <w:rPr>
                <w:rFonts w:ascii="Book Antiqua" w:eastAsia="宋体" w:hAnsi="Book Antiqua" w:cs="宋体"/>
                <w:b/>
                <w:bCs/>
                <w:color w:val="000000"/>
                <w:lang w:eastAsia="zh-CN"/>
              </w:rPr>
              <w:t xml:space="preserve"> = 106</w:t>
            </w:r>
          </w:p>
        </w:tc>
        <w:tc>
          <w:tcPr>
            <w:tcW w:w="0" w:type="auto"/>
            <w:gridSpan w:val="4"/>
            <w:tcBorders>
              <w:bottom w:val="single" w:sz="4" w:space="0" w:color="auto"/>
            </w:tcBorders>
            <w:shd w:val="clear" w:color="auto" w:fill="auto"/>
            <w:noWrap/>
            <w:vAlign w:val="center"/>
            <w:hideMark/>
          </w:tcPr>
          <w:p w14:paraId="449F2035" w14:textId="77777777" w:rsidR="00755CF1" w:rsidRPr="00755CF1" w:rsidRDefault="00755CF1" w:rsidP="00755CF1">
            <w:pPr>
              <w:jc w:val="both"/>
              <w:rPr>
                <w:rFonts w:ascii="Book Antiqua" w:eastAsia="宋体" w:hAnsi="Book Antiqua" w:cs="宋体"/>
                <w:b/>
                <w:bCs/>
                <w:color w:val="000000"/>
                <w:lang w:eastAsia="zh-CN"/>
              </w:rPr>
            </w:pPr>
            <w:r w:rsidRPr="00755CF1">
              <w:rPr>
                <w:rFonts w:ascii="Book Antiqua" w:eastAsia="宋体" w:hAnsi="Book Antiqua" w:cs="宋体"/>
                <w:b/>
                <w:bCs/>
                <w:color w:val="000000"/>
                <w:lang w:eastAsia="zh-CN"/>
              </w:rPr>
              <w:t xml:space="preserve">Lung cancer patients presenting as GGO, </w:t>
            </w:r>
            <w:r w:rsidRPr="00755CF1">
              <w:rPr>
                <w:rFonts w:ascii="Book Antiqua" w:eastAsia="宋体" w:hAnsi="Book Antiqua" w:cs="宋体"/>
                <w:b/>
                <w:bCs/>
                <w:i/>
                <w:iCs/>
                <w:color w:val="000000"/>
                <w:lang w:eastAsia="zh-CN"/>
              </w:rPr>
              <w:t>n</w:t>
            </w:r>
            <w:r w:rsidRPr="00755CF1">
              <w:rPr>
                <w:rFonts w:ascii="Book Antiqua" w:eastAsia="宋体" w:hAnsi="Book Antiqua" w:cs="宋体"/>
                <w:b/>
                <w:bCs/>
                <w:color w:val="000000"/>
                <w:lang w:eastAsia="zh-CN"/>
              </w:rPr>
              <w:t xml:space="preserve"> = 42</w:t>
            </w:r>
          </w:p>
        </w:tc>
      </w:tr>
      <w:tr w:rsidR="00755CF1" w:rsidRPr="00755CF1" w14:paraId="125ACC2C" w14:textId="77777777" w:rsidTr="00755CF1">
        <w:trPr>
          <w:trHeight w:val="624"/>
        </w:trPr>
        <w:tc>
          <w:tcPr>
            <w:tcW w:w="0" w:type="auto"/>
            <w:tcBorders>
              <w:top w:val="single" w:sz="4" w:space="0" w:color="auto"/>
              <w:bottom w:val="single" w:sz="4" w:space="0" w:color="auto"/>
            </w:tcBorders>
            <w:shd w:val="clear" w:color="auto" w:fill="auto"/>
            <w:noWrap/>
            <w:vAlign w:val="center"/>
            <w:hideMark/>
          </w:tcPr>
          <w:p w14:paraId="4372D34E" w14:textId="77777777" w:rsidR="00755CF1" w:rsidRPr="00755CF1" w:rsidRDefault="00755CF1" w:rsidP="00755CF1">
            <w:pPr>
              <w:jc w:val="both"/>
              <w:rPr>
                <w:rFonts w:ascii="Book Antiqua" w:eastAsia="宋体" w:hAnsi="Book Antiqua" w:cs="宋体"/>
                <w:b/>
                <w:bCs/>
                <w:color w:val="000000"/>
                <w:lang w:eastAsia="zh-CN"/>
              </w:rPr>
            </w:pPr>
          </w:p>
        </w:tc>
        <w:tc>
          <w:tcPr>
            <w:tcW w:w="0" w:type="auto"/>
            <w:tcBorders>
              <w:top w:val="single" w:sz="4" w:space="0" w:color="auto"/>
              <w:bottom w:val="single" w:sz="4" w:space="0" w:color="auto"/>
            </w:tcBorders>
            <w:shd w:val="clear" w:color="auto" w:fill="auto"/>
            <w:noWrap/>
            <w:vAlign w:val="center"/>
            <w:hideMark/>
          </w:tcPr>
          <w:p w14:paraId="27211D9F" w14:textId="77777777" w:rsidR="00755CF1" w:rsidRPr="00755CF1" w:rsidRDefault="00755CF1" w:rsidP="00755CF1">
            <w:pPr>
              <w:jc w:val="both"/>
              <w:rPr>
                <w:rFonts w:ascii="Book Antiqua" w:eastAsia="宋体" w:hAnsi="Book Antiqua" w:cs="宋体"/>
                <w:b/>
                <w:bCs/>
                <w:color w:val="000000"/>
                <w:lang w:eastAsia="zh-CN"/>
              </w:rPr>
            </w:pPr>
            <w:r w:rsidRPr="00755CF1">
              <w:rPr>
                <w:rFonts w:ascii="Book Antiqua" w:eastAsia="宋体" w:hAnsi="Book Antiqua" w:cs="宋体"/>
                <w:b/>
                <w:bCs/>
                <w:color w:val="000000"/>
                <w:lang w:eastAsia="zh-CN"/>
              </w:rPr>
              <w:t>AUC</w:t>
            </w:r>
          </w:p>
        </w:tc>
        <w:tc>
          <w:tcPr>
            <w:tcW w:w="0" w:type="auto"/>
            <w:tcBorders>
              <w:top w:val="single" w:sz="4" w:space="0" w:color="auto"/>
              <w:bottom w:val="single" w:sz="4" w:space="0" w:color="auto"/>
            </w:tcBorders>
            <w:shd w:val="clear" w:color="auto" w:fill="auto"/>
            <w:noWrap/>
            <w:vAlign w:val="center"/>
            <w:hideMark/>
          </w:tcPr>
          <w:p w14:paraId="3C7A1EC6" w14:textId="77777777" w:rsidR="00755CF1" w:rsidRPr="00755CF1" w:rsidRDefault="00755CF1" w:rsidP="00755CF1">
            <w:pPr>
              <w:jc w:val="both"/>
              <w:rPr>
                <w:rFonts w:ascii="Book Antiqua" w:eastAsia="宋体" w:hAnsi="Book Antiqua" w:cs="宋体"/>
                <w:b/>
                <w:bCs/>
                <w:i/>
                <w:iCs/>
                <w:color w:val="000000"/>
                <w:lang w:eastAsia="zh-CN"/>
              </w:rPr>
            </w:pPr>
            <w:r w:rsidRPr="00755CF1">
              <w:rPr>
                <w:rFonts w:ascii="Book Antiqua" w:eastAsia="宋体" w:hAnsi="Book Antiqua" w:cs="宋体"/>
                <w:b/>
                <w:bCs/>
                <w:i/>
                <w:iCs/>
                <w:color w:val="000000"/>
                <w:lang w:eastAsia="zh-CN"/>
              </w:rPr>
              <w:t>P</w:t>
            </w:r>
            <w:r w:rsidRPr="00755CF1">
              <w:rPr>
                <w:rFonts w:ascii="Book Antiqua" w:eastAsia="宋体" w:hAnsi="Book Antiqua" w:cs="宋体"/>
                <w:b/>
                <w:bCs/>
                <w:color w:val="000000"/>
                <w:lang w:eastAsia="zh-CN"/>
              </w:rPr>
              <w:t xml:space="preserve"> value</w:t>
            </w:r>
          </w:p>
        </w:tc>
        <w:tc>
          <w:tcPr>
            <w:tcW w:w="0" w:type="auto"/>
            <w:tcBorders>
              <w:top w:val="single" w:sz="4" w:space="0" w:color="auto"/>
              <w:bottom w:val="single" w:sz="4" w:space="0" w:color="auto"/>
            </w:tcBorders>
            <w:shd w:val="clear" w:color="auto" w:fill="auto"/>
            <w:noWrap/>
            <w:vAlign w:val="center"/>
            <w:hideMark/>
          </w:tcPr>
          <w:p w14:paraId="33FB6CBE" w14:textId="77777777" w:rsidR="00755CF1" w:rsidRPr="00755CF1" w:rsidRDefault="00755CF1" w:rsidP="00755CF1">
            <w:pPr>
              <w:jc w:val="both"/>
              <w:rPr>
                <w:rFonts w:ascii="Book Antiqua" w:eastAsia="宋体" w:hAnsi="Book Antiqua" w:cs="宋体"/>
                <w:b/>
                <w:bCs/>
                <w:color w:val="000000"/>
                <w:lang w:eastAsia="zh-CN"/>
              </w:rPr>
            </w:pPr>
            <w:r w:rsidRPr="00755CF1">
              <w:rPr>
                <w:rFonts w:ascii="Book Antiqua" w:eastAsia="宋体" w:hAnsi="Book Antiqua" w:cs="宋体"/>
                <w:b/>
                <w:bCs/>
                <w:color w:val="000000"/>
                <w:lang w:eastAsia="zh-CN"/>
              </w:rPr>
              <w:t>Sensitivity</w:t>
            </w:r>
          </w:p>
        </w:tc>
        <w:tc>
          <w:tcPr>
            <w:tcW w:w="0" w:type="auto"/>
            <w:tcBorders>
              <w:top w:val="single" w:sz="4" w:space="0" w:color="auto"/>
              <w:bottom w:val="single" w:sz="4" w:space="0" w:color="auto"/>
            </w:tcBorders>
            <w:shd w:val="clear" w:color="auto" w:fill="auto"/>
            <w:noWrap/>
            <w:vAlign w:val="center"/>
            <w:hideMark/>
          </w:tcPr>
          <w:p w14:paraId="4F87948E" w14:textId="77777777" w:rsidR="00755CF1" w:rsidRPr="00755CF1" w:rsidRDefault="00755CF1" w:rsidP="00755CF1">
            <w:pPr>
              <w:jc w:val="both"/>
              <w:rPr>
                <w:rFonts w:ascii="Book Antiqua" w:eastAsia="宋体" w:hAnsi="Book Antiqua" w:cs="宋体"/>
                <w:b/>
                <w:bCs/>
                <w:color w:val="000000"/>
                <w:lang w:eastAsia="zh-CN"/>
              </w:rPr>
            </w:pPr>
            <w:r w:rsidRPr="00755CF1">
              <w:rPr>
                <w:rFonts w:ascii="Book Antiqua" w:eastAsia="宋体" w:hAnsi="Book Antiqua" w:cs="宋体"/>
                <w:b/>
                <w:bCs/>
                <w:color w:val="000000"/>
                <w:lang w:eastAsia="zh-CN"/>
              </w:rPr>
              <w:t>AUC</w:t>
            </w:r>
          </w:p>
        </w:tc>
        <w:tc>
          <w:tcPr>
            <w:tcW w:w="0" w:type="auto"/>
            <w:tcBorders>
              <w:top w:val="single" w:sz="4" w:space="0" w:color="auto"/>
              <w:bottom w:val="single" w:sz="4" w:space="0" w:color="auto"/>
            </w:tcBorders>
            <w:shd w:val="clear" w:color="auto" w:fill="auto"/>
            <w:noWrap/>
            <w:vAlign w:val="center"/>
            <w:hideMark/>
          </w:tcPr>
          <w:p w14:paraId="1F5AFC21" w14:textId="77777777" w:rsidR="00755CF1" w:rsidRPr="00755CF1" w:rsidRDefault="00755CF1" w:rsidP="00755CF1">
            <w:pPr>
              <w:jc w:val="both"/>
              <w:rPr>
                <w:rFonts w:ascii="Book Antiqua" w:eastAsia="宋体" w:hAnsi="Book Antiqua" w:cs="宋体"/>
                <w:b/>
                <w:bCs/>
                <w:i/>
                <w:iCs/>
                <w:color w:val="000000"/>
                <w:lang w:eastAsia="zh-CN"/>
              </w:rPr>
            </w:pPr>
            <w:r w:rsidRPr="00755CF1">
              <w:rPr>
                <w:rFonts w:ascii="Book Antiqua" w:eastAsia="宋体" w:hAnsi="Book Antiqua" w:cs="宋体"/>
                <w:b/>
                <w:bCs/>
                <w:i/>
                <w:iCs/>
                <w:color w:val="000000"/>
                <w:lang w:eastAsia="zh-CN"/>
              </w:rPr>
              <w:t>P</w:t>
            </w:r>
            <w:r w:rsidRPr="00755CF1">
              <w:rPr>
                <w:rFonts w:ascii="Book Antiqua" w:eastAsia="宋体" w:hAnsi="Book Antiqua" w:cs="宋体"/>
                <w:b/>
                <w:bCs/>
                <w:color w:val="000000"/>
                <w:lang w:eastAsia="zh-CN"/>
              </w:rPr>
              <w:t xml:space="preserve"> value</w:t>
            </w:r>
          </w:p>
        </w:tc>
        <w:tc>
          <w:tcPr>
            <w:tcW w:w="0" w:type="auto"/>
            <w:tcBorders>
              <w:top w:val="single" w:sz="4" w:space="0" w:color="auto"/>
              <w:bottom w:val="single" w:sz="4" w:space="0" w:color="auto"/>
            </w:tcBorders>
            <w:shd w:val="clear" w:color="auto" w:fill="auto"/>
            <w:noWrap/>
            <w:vAlign w:val="center"/>
            <w:hideMark/>
          </w:tcPr>
          <w:p w14:paraId="00875117" w14:textId="77777777" w:rsidR="00755CF1" w:rsidRPr="00755CF1" w:rsidRDefault="00755CF1" w:rsidP="00755CF1">
            <w:pPr>
              <w:jc w:val="both"/>
              <w:rPr>
                <w:rFonts w:ascii="Book Antiqua" w:eastAsia="宋体" w:hAnsi="Book Antiqua" w:cs="宋体"/>
                <w:b/>
                <w:bCs/>
                <w:color w:val="000000"/>
                <w:lang w:eastAsia="zh-CN"/>
              </w:rPr>
            </w:pPr>
            <w:r w:rsidRPr="00755CF1">
              <w:rPr>
                <w:rFonts w:ascii="Book Antiqua" w:eastAsia="宋体" w:hAnsi="Book Antiqua" w:cs="宋体"/>
                <w:b/>
                <w:bCs/>
                <w:color w:val="000000"/>
                <w:lang w:eastAsia="zh-CN"/>
              </w:rPr>
              <w:t>Sensitivity</w:t>
            </w:r>
          </w:p>
        </w:tc>
        <w:tc>
          <w:tcPr>
            <w:tcW w:w="0" w:type="auto"/>
            <w:tcBorders>
              <w:top w:val="single" w:sz="4" w:space="0" w:color="auto"/>
              <w:bottom w:val="single" w:sz="4" w:space="0" w:color="auto"/>
            </w:tcBorders>
            <w:shd w:val="clear" w:color="auto" w:fill="auto"/>
            <w:noWrap/>
            <w:vAlign w:val="center"/>
            <w:hideMark/>
          </w:tcPr>
          <w:p w14:paraId="623E7D53" w14:textId="77777777" w:rsidR="00755CF1" w:rsidRPr="00755CF1" w:rsidRDefault="00755CF1" w:rsidP="00755CF1">
            <w:pPr>
              <w:jc w:val="both"/>
              <w:rPr>
                <w:rFonts w:ascii="Book Antiqua" w:eastAsia="宋体" w:hAnsi="Book Antiqua" w:cs="宋体"/>
                <w:b/>
                <w:bCs/>
                <w:color w:val="000000"/>
                <w:lang w:eastAsia="zh-CN"/>
              </w:rPr>
            </w:pPr>
            <w:r w:rsidRPr="00755CF1">
              <w:rPr>
                <w:rFonts w:ascii="Book Antiqua" w:eastAsia="宋体" w:hAnsi="Book Antiqua" w:cs="宋体"/>
                <w:b/>
                <w:bCs/>
                <w:color w:val="000000"/>
                <w:lang w:eastAsia="zh-CN"/>
              </w:rPr>
              <w:t>Specificity</w:t>
            </w:r>
          </w:p>
        </w:tc>
      </w:tr>
      <w:tr w:rsidR="00755CF1" w:rsidRPr="00755CF1" w14:paraId="64808469" w14:textId="77777777" w:rsidTr="00755CF1">
        <w:trPr>
          <w:trHeight w:val="312"/>
        </w:trPr>
        <w:tc>
          <w:tcPr>
            <w:tcW w:w="0" w:type="auto"/>
            <w:tcBorders>
              <w:top w:val="single" w:sz="4" w:space="0" w:color="auto"/>
            </w:tcBorders>
            <w:shd w:val="clear" w:color="auto" w:fill="auto"/>
            <w:noWrap/>
            <w:vAlign w:val="center"/>
            <w:hideMark/>
          </w:tcPr>
          <w:p w14:paraId="40576BF5"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Total CTCs</w:t>
            </w:r>
          </w:p>
        </w:tc>
        <w:tc>
          <w:tcPr>
            <w:tcW w:w="0" w:type="auto"/>
            <w:tcBorders>
              <w:top w:val="single" w:sz="4" w:space="0" w:color="auto"/>
            </w:tcBorders>
            <w:shd w:val="clear" w:color="auto" w:fill="auto"/>
            <w:noWrap/>
            <w:vAlign w:val="center"/>
            <w:hideMark/>
          </w:tcPr>
          <w:p w14:paraId="74D563C7"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0.828</w:t>
            </w:r>
          </w:p>
        </w:tc>
        <w:tc>
          <w:tcPr>
            <w:tcW w:w="0" w:type="auto"/>
            <w:tcBorders>
              <w:top w:val="single" w:sz="4" w:space="0" w:color="auto"/>
            </w:tcBorders>
            <w:shd w:val="clear" w:color="auto" w:fill="auto"/>
            <w:noWrap/>
            <w:vAlign w:val="center"/>
            <w:hideMark/>
          </w:tcPr>
          <w:p w14:paraId="3961B7F6"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&lt; 0.0001</w:t>
            </w:r>
          </w:p>
        </w:tc>
        <w:tc>
          <w:tcPr>
            <w:tcW w:w="0" w:type="auto"/>
            <w:tcBorders>
              <w:top w:val="single" w:sz="4" w:space="0" w:color="auto"/>
            </w:tcBorders>
            <w:shd w:val="clear" w:color="auto" w:fill="auto"/>
            <w:noWrap/>
            <w:vAlign w:val="center"/>
            <w:hideMark/>
          </w:tcPr>
          <w:p w14:paraId="74DB3D25"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79.24%</w:t>
            </w:r>
          </w:p>
        </w:tc>
        <w:tc>
          <w:tcPr>
            <w:tcW w:w="0" w:type="auto"/>
            <w:tcBorders>
              <w:top w:val="single" w:sz="4" w:space="0" w:color="auto"/>
            </w:tcBorders>
            <w:shd w:val="clear" w:color="auto" w:fill="auto"/>
            <w:noWrap/>
            <w:vAlign w:val="center"/>
            <w:hideMark/>
          </w:tcPr>
          <w:p w14:paraId="19C59A0C"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0.7963</w:t>
            </w:r>
          </w:p>
        </w:tc>
        <w:tc>
          <w:tcPr>
            <w:tcW w:w="0" w:type="auto"/>
            <w:tcBorders>
              <w:top w:val="single" w:sz="4" w:space="0" w:color="auto"/>
            </w:tcBorders>
            <w:shd w:val="clear" w:color="auto" w:fill="auto"/>
            <w:noWrap/>
            <w:vAlign w:val="center"/>
            <w:hideMark/>
          </w:tcPr>
          <w:p w14:paraId="4CB37D86"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&lt; 0.0001</w:t>
            </w:r>
          </w:p>
        </w:tc>
        <w:tc>
          <w:tcPr>
            <w:tcW w:w="0" w:type="auto"/>
            <w:tcBorders>
              <w:top w:val="single" w:sz="4" w:space="0" w:color="auto"/>
            </w:tcBorders>
            <w:shd w:val="clear" w:color="auto" w:fill="auto"/>
            <w:noWrap/>
            <w:vAlign w:val="center"/>
            <w:hideMark/>
          </w:tcPr>
          <w:p w14:paraId="1CE35C3E"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71.42%</w:t>
            </w:r>
          </w:p>
        </w:tc>
        <w:tc>
          <w:tcPr>
            <w:tcW w:w="0" w:type="auto"/>
            <w:tcBorders>
              <w:top w:val="single" w:sz="4" w:space="0" w:color="auto"/>
            </w:tcBorders>
            <w:shd w:val="clear" w:color="auto" w:fill="auto"/>
            <w:noWrap/>
            <w:vAlign w:val="center"/>
            <w:hideMark/>
          </w:tcPr>
          <w:p w14:paraId="595672D7"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82.14%</w:t>
            </w:r>
          </w:p>
        </w:tc>
      </w:tr>
      <w:tr w:rsidR="00755CF1" w:rsidRPr="00755CF1" w14:paraId="51C40E78" w14:textId="77777777" w:rsidTr="00755CF1">
        <w:trPr>
          <w:trHeight w:val="312"/>
        </w:trPr>
        <w:tc>
          <w:tcPr>
            <w:tcW w:w="0" w:type="auto"/>
            <w:shd w:val="clear" w:color="auto" w:fill="auto"/>
            <w:noWrap/>
            <w:vAlign w:val="center"/>
            <w:hideMark/>
          </w:tcPr>
          <w:p w14:paraId="316495F9"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E-CTCs</w:t>
            </w:r>
          </w:p>
        </w:tc>
        <w:tc>
          <w:tcPr>
            <w:tcW w:w="0" w:type="auto"/>
            <w:shd w:val="clear" w:color="auto" w:fill="auto"/>
            <w:noWrap/>
            <w:vAlign w:val="center"/>
            <w:hideMark/>
          </w:tcPr>
          <w:p w14:paraId="7ADA4586"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0.6193</w:t>
            </w:r>
          </w:p>
        </w:tc>
        <w:tc>
          <w:tcPr>
            <w:tcW w:w="0" w:type="auto"/>
            <w:shd w:val="clear" w:color="auto" w:fill="auto"/>
            <w:noWrap/>
            <w:vAlign w:val="center"/>
            <w:hideMark/>
          </w:tcPr>
          <w:p w14:paraId="22AA1E3E"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0.0527</w:t>
            </w:r>
          </w:p>
        </w:tc>
        <w:tc>
          <w:tcPr>
            <w:tcW w:w="0" w:type="auto"/>
            <w:shd w:val="clear" w:color="auto" w:fill="auto"/>
            <w:noWrap/>
            <w:vAlign w:val="center"/>
            <w:hideMark/>
          </w:tcPr>
          <w:p w14:paraId="7356EE09"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50.00%</w:t>
            </w:r>
          </w:p>
        </w:tc>
        <w:tc>
          <w:tcPr>
            <w:tcW w:w="0" w:type="auto"/>
            <w:shd w:val="clear" w:color="auto" w:fill="auto"/>
            <w:noWrap/>
            <w:vAlign w:val="center"/>
            <w:hideMark/>
          </w:tcPr>
          <w:p w14:paraId="68F6D457"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0.6029</w:t>
            </w:r>
          </w:p>
        </w:tc>
        <w:tc>
          <w:tcPr>
            <w:tcW w:w="0" w:type="auto"/>
            <w:shd w:val="clear" w:color="auto" w:fill="auto"/>
            <w:noWrap/>
            <w:vAlign w:val="center"/>
            <w:hideMark/>
          </w:tcPr>
          <w:p w14:paraId="603CFE39"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0.1469</w:t>
            </w:r>
          </w:p>
        </w:tc>
        <w:tc>
          <w:tcPr>
            <w:tcW w:w="0" w:type="auto"/>
            <w:shd w:val="clear" w:color="auto" w:fill="auto"/>
            <w:noWrap/>
            <w:vAlign w:val="center"/>
            <w:hideMark/>
          </w:tcPr>
          <w:p w14:paraId="1EF1AAC6"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47.62%</w:t>
            </w:r>
          </w:p>
        </w:tc>
        <w:tc>
          <w:tcPr>
            <w:tcW w:w="0" w:type="auto"/>
            <w:shd w:val="clear" w:color="auto" w:fill="auto"/>
            <w:noWrap/>
            <w:vAlign w:val="center"/>
            <w:hideMark/>
          </w:tcPr>
          <w:p w14:paraId="38312E25"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71.43%</w:t>
            </w:r>
          </w:p>
        </w:tc>
      </w:tr>
      <w:tr w:rsidR="00755CF1" w:rsidRPr="00755CF1" w14:paraId="4158D18A" w14:textId="77777777" w:rsidTr="00755CF1">
        <w:trPr>
          <w:trHeight w:val="312"/>
        </w:trPr>
        <w:tc>
          <w:tcPr>
            <w:tcW w:w="0" w:type="auto"/>
            <w:shd w:val="clear" w:color="auto" w:fill="auto"/>
            <w:noWrap/>
            <w:vAlign w:val="center"/>
            <w:hideMark/>
          </w:tcPr>
          <w:p w14:paraId="696BE0F1"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M-CTCs</w:t>
            </w:r>
          </w:p>
        </w:tc>
        <w:tc>
          <w:tcPr>
            <w:tcW w:w="0" w:type="auto"/>
            <w:shd w:val="clear" w:color="auto" w:fill="auto"/>
            <w:noWrap/>
            <w:vAlign w:val="center"/>
            <w:hideMark/>
          </w:tcPr>
          <w:p w14:paraId="6AA16519"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0.6892</w:t>
            </w:r>
          </w:p>
        </w:tc>
        <w:tc>
          <w:tcPr>
            <w:tcW w:w="0" w:type="auto"/>
            <w:shd w:val="clear" w:color="auto" w:fill="auto"/>
            <w:noWrap/>
            <w:vAlign w:val="center"/>
            <w:hideMark/>
          </w:tcPr>
          <w:p w14:paraId="4CB07155"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0.0021</w:t>
            </w:r>
          </w:p>
        </w:tc>
        <w:tc>
          <w:tcPr>
            <w:tcW w:w="0" w:type="auto"/>
            <w:shd w:val="clear" w:color="auto" w:fill="auto"/>
            <w:noWrap/>
            <w:vAlign w:val="center"/>
            <w:hideMark/>
          </w:tcPr>
          <w:p w14:paraId="27F8B062"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49.05%</w:t>
            </w:r>
          </w:p>
        </w:tc>
        <w:tc>
          <w:tcPr>
            <w:tcW w:w="0" w:type="auto"/>
            <w:shd w:val="clear" w:color="auto" w:fill="auto"/>
            <w:noWrap/>
            <w:vAlign w:val="center"/>
            <w:hideMark/>
          </w:tcPr>
          <w:p w14:paraId="0A9365AA"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0.6722</w:t>
            </w:r>
          </w:p>
        </w:tc>
        <w:tc>
          <w:tcPr>
            <w:tcW w:w="0" w:type="auto"/>
            <w:shd w:val="clear" w:color="auto" w:fill="auto"/>
            <w:noWrap/>
            <w:vAlign w:val="center"/>
            <w:hideMark/>
          </w:tcPr>
          <w:p w14:paraId="53AFD7DD"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0.0152</w:t>
            </w:r>
          </w:p>
        </w:tc>
        <w:tc>
          <w:tcPr>
            <w:tcW w:w="0" w:type="auto"/>
            <w:shd w:val="clear" w:color="auto" w:fill="auto"/>
            <w:noWrap/>
            <w:vAlign w:val="center"/>
            <w:hideMark/>
          </w:tcPr>
          <w:p w14:paraId="1BF92077"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42.85%</w:t>
            </w:r>
          </w:p>
        </w:tc>
        <w:tc>
          <w:tcPr>
            <w:tcW w:w="0" w:type="auto"/>
            <w:shd w:val="clear" w:color="auto" w:fill="auto"/>
            <w:noWrap/>
            <w:vAlign w:val="center"/>
            <w:hideMark/>
          </w:tcPr>
          <w:p w14:paraId="3F5F2D47"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89.29%</w:t>
            </w:r>
          </w:p>
        </w:tc>
      </w:tr>
      <w:tr w:rsidR="00755CF1" w:rsidRPr="00755CF1" w14:paraId="14030187" w14:textId="77777777" w:rsidTr="00755CF1">
        <w:trPr>
          <w:trHeight w:val="312"/>
        </w:trPr>
        <w:tc>
          <w:tcPr>
            <w:tcW w:w="0" w:type="auto"/>
            <w:shd w:val="clear" w:color="auto" w:fill="auto"/>
            <w:noWrap/>
            <w:vAlign w:val="center"/>
            <w:hideMark/>
          </w:tcPr>
          <w:p w14:paraId="076B5F52"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E&amp;M-CTCs</w:t>
            </w:r>
          </w:p>
        </w:tc>
        <w:tc>
          <w:tcPr>
            <w:tcW w:w="0" w:type="auto"/>
            <w:shd w:val="clear" w:color="auto" w:fill="auto"/>
            <w:noWrap/>
            <w:vAlign w:val="center"/>
            <w:hideMark/>
          </w:tcPr>
          <w:p w14:paraId="3D348B81"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0.7648</w:t>
            </w:r>
          </w:p>
        </w:tc>
        <w:tc>
          <w:tcPr>
            <w:tcW w:w="0" w:type="auto"/>
            <w:shd w:val="clear" w:color="auto" w:fill="auto"/>
            <w:noWrap/>
            <w:vAlign w:val="center"/>
            <w:hideMark/>
          </w:tcPr>
          <w:p w14:paraId="23D8AEFA"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&lt; 0.0001</w:t>
            </w:r>
          </w:p>
        </w:tc>
        <w:tc>
          <w:tcPr>
            <w:tcW w:w="0" w:type="auto"/>
            <w:shd w:val="clear" w:color="auto" w:fill="auto"/>
            <w:noWrap/>
            <w:vAlign w:val="center"/>
            <w:hideMark/>
          </w:tcPr>
          <w:p w14:paraId="4ABD81DD"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69.80%</w:t>
            </w:r>
          </w:p>
        </w:tc>
        <w:tc>
          <w:tcPr>
            <w:tcW w:w="0" w:type="auto"/>
            <w:shd w:val="clear" w:color="auto" w:fill="auto"/>
            <w:noWrap/>
            <w:vAlign w:val="center"/>
            <w:hideMark/>
          </w:tcPr>
          <w:p w14:paraId="632BDB57"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0.7504</w:t>
            </w:r>
          </w:p>
        </w:tc>
        <w:tc>
          <w:tcPr>
            <w:tcW w:w="0" w:type="auto"/>
            <w:shd w:val="clear" w:color="auto" w:fill="auto"/>
            <w:noWrap/>
            <w:vAlign w:val="center"/>
            <w:hideMark/>
          </w:tcPr>
          <w:p w14:paraId="248A9391"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0.0004</w:t>
            </w:r>
          </w:p>
        </w:tc>
        <w:tc>
          <w:tcPr>
            <w:tcW w:w="0" w:type="auto"/>
            <w:shd w:val="clear" w:color="auto" w:fill="auto"/>
            <w:noWrap/>
            <w:vAlign w:val="center"/>
            <w:hideMark/>
          </w:tcPr>
          <w:p w14:paraId="734BD7EC"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66.67%</w:t>
            </w:r>
          </w:p>
        </w:tc>
        <w:tc>
          <w:tcPr>
            <w:tcW w:w="0" w:type="auto"/>
            <w:shd w:val="clear" w:color="auto" w:fill="auto"/>
            <w:noWrap/>
            <w:vAlign w:val="center"/>
            <w:hideMark/>
          </w:tcPr>
          <w:p w14:paraId="3FA7660E"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82.14%</w:t>
            </w:r>
          </w:p>
        </w:tc>
      </w:tr>
      <w:tr w:rsidR="00755CF1" w:rsidRPr="00755CF1" w14:paraId="2F75CB3C" w14:textId="77777777" w:rsidTr="00755CF1">
        <w:trPr>
          <w:trHeight w:val="312"/>
        </w:trPr>
        <w:tc>
          <w:tcPr>
            <w:tcW w:w="0" w:type="auto"/>
            <w:gridSpan w:val="3"/>
            <w:shd w:val="clear" w:color="auto" w:fill="auto"/>
            <w:noWrap/>
            <w:vAlign w:val="center"/>
            <w:hideMark/>
          </w:tcPr>
          <w:p w14:paraId="525E54BC"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val="fr-FR" w:eastAsia="zh-CN"/>
              </w:rPr>
              <w:t>Total CTCs and E&amp;M-CTCs</w:t>
            </w:r>
          </w:p>
        </w:tc>
        <w:tc>
          <w:tcPr>
            <w:tcW w:w="0" w:type="auto"/>
            <w:shd w:val="clear" w:color="auto" w:fill="auto"/>
            <w:noWrap/>
            <w:vAlign w:val="center"/>
            <w:hideMark/>
          </w:tcPr>
          <w:p w14:paraId="07E58F16"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85.85%</w:t>
            </w:r>
          </w:p>
        </w:tc>
        <w:tc>
          <w:tcPr>
            <w:tcW w:w="0" w:type="auto"/>
            <w:shd w:val="clear" w:color="auto" w:fill="auto"/>
            <w:noWrap/>
            <w:vAlign w:val="center"/>
            <w:hideMark/>
          </w:tcPr>
          <w:p w14:paraId="0CAEE9DB" w14:textId="77777777" w:rsidR="00755CF1" w:rsidRPr="00755CF1" w:rsidRDefault="00755CF1" w:rsidP="00755CF1">
            <w:pPr>
              <w:jc w:val="both"/>
              <w:rPr>
                <w:rFonts w:ascii="Book Antiqua" w:eastAsia="宋体" w:hAnsi="Book Antiqua" w:cs="宋体"/>
                <w:color w:val="000000"/>
                <w:lang w:eastAsia="zh-CN"/>
              </w:rPr>
            </w:pPr>
          </w:p>
        </w:tc>
        <w:tc>
          <w:tcPr>
            <w:tcW w:w="0" w:type="auto"/>
            <w:shd w:val="clear" w:color="auto" w:fill="auto"/>
            <w:noWrap/>
            <w:vAlign w:val="center"/>
            <w:hideMark/>
          </w:tcPr>
          <w:p w14:paraId="2D4E2624" w14:textId="77777777" w:rsidR="00755CF1" w:rsidRPr="00755CF1" w:rsidRDefault="00755CF1" w:rsidP="00755CF1">
            <w:pPr>
              <w:jc w:val="both"/>
              <w:rPr>
                <w:sz w:val="20"/>
                <w:szCs w:val="20"/>
                <w:lang w:eastAsia="zh-CN"/>
              </w:rPr>
            </w:pPr>
          </w:p>
        </w:tc>
        <w:tc>
          <w:tcPr>
            <w:tcW w:w="0" w:type="auto"/>
            <w:shd w:val="clear" w:color="auto" w:fill="auto"/>
            <w:noWrap/>
            <w:vAlign w:val="center"/>
            <w:hideMark/>
          </w:tcPr>
          <w:p w14:paraId="2A19F3AB"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80.95%</w:t>
            </w:r>
          </w:p>
        </w:tc>
        <w:tc>
          <w:tcPr>
            <w:tcW w:w="0" w:type="auto"/>
            <w:shd w:val="clear" w:color="auto" w:fill="auto"/>
            <w:noWrap/>
            <w:vAlign w:val="center"/>
            <w:hideMark/>
          </w:tcPr>
          <w:p w14:paraId="40A5B0A0" w14:textId="77777777" w:rsidR="00755CF1" w:rsidRPr="00755CF1" w:rsidRDefault="00755CF1" w:rsidP="00755CF1">
            <w:pPr>
              <w:jc w:val="both"/>
              <w:rPr>
                <w:rFonts w:ascii="Book Antiqua" w:eastAsia="宋体" w:hAnsi="Book Antiqua" w:cs="宋体"/>
                <w:color w:val="000000"/>
                <w:lang w:eastAsia="zh-CN"/>
              </w:rPr>
            </w:pPr>
            <w:r w:rsidRPr="00755CF1">
              <w:rPr>
                <w:rFonts w:ascii="Book Antiqua" w:eastAsia="宋体" w:hAnsi="Book Antiqua" w:cs="宋体"/>
                <w:color w:val="000000"/>
                <w:lang w:eastAsia="zh-CN"/>
              </w:rPr>
              <w:t>78.57%</w:t>
            </w:r>
          </w:p>
        </w:tc>
      </w:tr>
    </w:tbl>
    <w:p w14:paraId="701A942A" w14:textId="561D11E0" w:rsidR="00FC0E9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AUC: </w:t>
      </w:r>
      <w:r>
        <w:rPr>
          <w:rFonts w:ascii="Book Antiqua" w:hAnsi="Book Antiqua"/>
          <w:bCs/>
        </w:rPr>
        <w:t xml:space="preserve">Area under the </w:t>
      </w:r>
      <w:r>
        <w:rPr>
          <w:rFonts w:ascii="Book Antiqua" w:eastAsia="Book Antiqua" w:hAnsi="Book Antiqua" w:cs="Book Antiqua"/>
          <w:bCs/>
          <w:color w:val="000000"/>
        </w:rPr>
        <w:t>ROC</w:t>
      </w:r>
      <w:r>
        <w:rPr>
          <w:rFonts w:ascii="Book Antiqua" w:hAnsi="Book Antiqua"/>
          <w:bCs/>
        </w:rPr>
        <w:t xml:space="preserve"> curve; </w:t>
      </w:r>
      <w:r>
        <w:rPr>
          <w:rFonts w:ascii="Book Antiqua" w:eastAsia="Book Antiqua" w:hAnsi="Book Antiqua" w:cs="Book Antiqua"/>
          <w:color w:val="000000"/>
        </w:rPr>
        <w:t xml:space="preserve">CTCs: Circulating tumor cells; E-CTCs: CTCs with epithelial markers; E&amp;M-CTCs: CTCs with both markers; GGO: Ground-glass opacities; M-CTCs: CTCs with mesenchymal markers; ROC: Receiver operating characteristic. </w:t>
      </w:r>
    </w:p>
    <w:p w14:paraId="4CE13E7B" w14:textId="77777777" w:rsidR="00904E13" w:rsidRDefault="00904E13">
      <w:pPr>
        <w:spacing w:line="360" w:lineRule="auto"/>
        <w:jc w:val="both"/>
        <w:rPr>
          <w:rFonts w:ascii="Book Antiqua" w:hAnsi="Book Antiqua"/>
          <w:b/>
        </w:rPr>
      </w:pPr>
    </w:p>
    <w:p w14:paraId="0423F87A" w14:textId="77777777" w:rsidR="00904E13" w:rsidRDefault="00904E13">
      <w:pPr>
        <w:spacing w:line="360" w:lineRule="auto"/>
        <w:jc w:val="both"/>
        <w:rPr>
          <w:rFonts w:ascii="Book Antiqua" w:hAnsi="Book Antiqua"/>
          <w:b/>
        </w:rPr>
      </w:pPr>
    </w:p>
    <w:p w14:paraId="46B2F203" w14:textId="7026F6E8" w:rsidR="00FC0E9A" w:rsidRDefault="008C0FEC">
      <w:pPr>
        <w:spacing w:line="360" w:lineRule="auto"/>
        <w:jc w:val="both"/>
        <w:rPr>
          <w:rFonts w:ascii="Book Antiqua" w:hAnsi="Book Antiqua"/>
          <w:b/>
        </w:rPr>
      </w:pPr>
      <w:r>
        <w:rPr>
          <w:rFonts w:ascii="Book Antiqua" w:hAnsi="Book Antiqua"/>
          <w:b/>
        </w:rPr>
        <w:t>Table 3</w:t>
      </w:r>
      <w:r w:rsidR="004115F8">
        <w:rPr>
          <w:rFonts w:ascii="Book Antiqua" w:eastAsiaTheme="minorEastAsia" w:hAnsi="Book Antiqua" w:hint="eastAsia"/>
          <w:b/>
          <w:lang w:eastAsia="zh-CN"/>
        </w:rPr>
        <w:t xml:space="preserve"> </w:t>
      </w:r>
      <w:r>
        <w:rPr>
          <w:rFonts w:ascii="Book Antiqua" w:hAnsi="Book Antiqua"/>
          <w:b/>
        </w:rPr>
        <w:t>Validation of Canpatrol</w:t>
      </w:r>
      <w:r>
        <w:rPr>
          <w:rFonts w:ascii="Book Antiqua" w:hAnsi="Book Antiqua"/>
          <w:b/>
          <w:vertAlign w:val="superscript"/>
        </w:rPr>
        <w:t>TM</w:t>
      </w:r>
      <w:r>
        <w:rPr>
          <w:rFonts w:ascii="Book Antiqua" w:hAnsi="Book Antiqua"/>
          <w:b/>
        </w:rPr>
        <w:t xml:space="preserve"> by CytoploRare in 20 </w:t>
      </w:r>
      <w:r>
        <w:rPr>
          <w:rFonts w:ascii="Book Antiqua" w:hAnsi="Book Antiqua"/>
          <w:b/>
          <w:bCs/>
        </w:rPr>
        <w:t>lung cancer</w:t>
      </w:r>
      <w:r>
        <w:rPr>
          <w:rFonts w:ascii="Book Antiqua" w:hAnsi="Book Antiqua"/>
          <w:b/>
        </w:rPr>
        <w:t xml:space="preserve"> cases and 18 controls</w:t>
      </w:r>
    </w:p>
    <w:tbl>
      <w:tblPr>
        <w:tblW w:w="8900" w:type="dxa"/>
        <w:tblInd w:w="108" w:type="dxa"/>
        <w:tblBorders>
          <w:bottom w:val="single" w:sz="4" w:space="0" w:color="auto"/>
        </w:tblBorders>
        <w:tblLook w:val="04A0" w:firstRow="1" w:lastRow="0" w:firstColumn="1" w:lastColumn="0" w:noHBand="0" w:noVBand="1"/>
      </w:tblPr>
      <w:tblGrid>
        <w:gridCol w:w="1789"/>
        <w:gridCol w:w="1289"/>
        <w:gridCol w:w="1442"/>
        <w:gridCol w:w="1263"/>
        <w:gridCol w:w="1854"/>
        <w:gridCol w:w="1263"/>
      </w:tblGrid>
      <w:tr w:rsidR="00897289" w:rsidRPr="00897289" w14:paraId="4320EE9A" w14:textId="77777777" w:rsidTr="00897289">
        <w:trPr>
          <w:trHeight w:val="996"/>
        </w:trPr>
        <w:tc>
          <w:tcPr>
            <w:tcW w:w="2151" w:type="dxa"/>
            <w:vMerge w:val="restart"/>
            <w:tcBorders>
              <w:top w:val="single" w:sz="4" w:space="0" w:color="auto"/>
              <w:bottom w:val="nil"/>
            </w:tcBorders>
            <w:shd w:val="clear" w:color="auto" w:fill="auto"/>
            <w:vAlign w:val="center"/>
            <w:hideMark/>
          </w:tcPr>
          <w:p w14:paraId="3618650D" w14:textId="77777777" w:rsidR="00897289" w:rsidRPr="00897289" w:rsidRDefault="00897289" w:rsidP="00897289">
            <w:pPr>
              <w:rPr>
                <w:rFonts w:ascii="宋体" w:eastAsia="宋体" w:hAnsi="宋体" w:cs="宋体"/>
                <w:sz w:val="20"/>
                <w:szCs w:val="20"/>
                <w:lang w:eastAsia="zh-CN"/>
              </w:rPr>
            </w:pPr>
          </w:p>
        </w:tc>
        <w:tc>
          <w:tcPr>
            <w:tcW w:w="1318" w:type="dxa"/>
            <w:vMerge w:val="restart"/>
            <w:tcBorders>
              <w:top w:val="single" w:sz="4" w:space="0" w:color="auto"/>
              <w:bottom w:val="nil"/>
            </w:tcBorders>
            <w:shd w:val="clear" w:color="auto" w:fill="auto"/>
            <w:vAlign w:val="center"/>
            <w:hideMark/>
          </w:tcPr>
          <w:p w14:paraId="60E96595" w14:textId="77777777" w:rsidR="00897289" w:rsidRPr="00897289" w:rsidRDefault="00897289" w:rsidP="00897289">
            <w:pPr>
              <w:jc w:val="both"/>
              <w:rPr>
                <w:sz w:val="20"/>
                <w:szCs w:val="20"/>
                <w:lang w:eastAsia="zh-CN"/>
              </w:rPr>
            </w:pPr>
          </w:p>
        </w:tc>
        <w:tc>
          <w:tcPr>
            <w:tcW w:w="2273" w:type="dxa"/>
            <w:gridSpan w:val="2"/>
            <w:tcBorders>
              <w:top w:val="single" w:sz="4" w:space="0" w:color="auto"/>
              <w:bottom w:val="single" w:sz="4" w:space="0" w:color="auto"/>
            </w:tcBorders>
            <w:shd w:val="clear" w:color="auto" w:fill="auto"/>
            <w:vAlign w:val="center"/>
            <w:hideMark/>
          </w:tcPr>
          <w:p w14:paraId="74EAF85E" w14:textId="77777777" w:rsidR="00897289" w:rsidRPr="00897289" w:rsidRDefault="00897289" w:rsidP="00897289">
            <w:pPr>
              <w:jc w:val="both"/>
              <w:rPr>
                <w:rFonts w:ascii="Book Antiqua" w:eastAsia="宋体" w:hAnsi="Book Antiqua" w:cs="宋体"/>
                <w:b/>
                <w:bCs/>
                <w:color w:val="000000"/>
                <w:lang w:eastAsia="zh-CN"/>
              </w:rPr>
            </w:pPr>
            <w:r w:rsidRPr="00897289">
              <w:rPr>
                <w:rFonts w:ascii="Book Antiqua" w:eastAsia="宋体" w:hAnsi="Book Antiqua" w:cs="宋体"/>
                <w:b/>
                <w:bCs/>
                <w:color w:val="000000"/>
                <w:lang w:eastAsia="zh-CN"/>
              </w:rPr>
              <w:t>Total CTCs detected by</w:t>
            </w:r>
            <w:r w:rsidRPr="00897289">
              <w:rPr>
                <w:rFonts w:ascii="Book Antiqua" w:eastAsia="宋体" w:hAnsi="Book Antiqua" w:cs="宋体"/>
                <w:color w:val="000000"/>
                <w:lang w:eastAsia="zh-CN"/>
              </w:rPr>
              <w:t xml:space="preserve"> </w:t>
            </w:r>
            <w:r w:rsidRPr="00897289">
              <w:rPr>
                <w:rFonts w:ascii="Book Antiqua" w:eastAsia="宋体" w:hAnsi="Book Antiqua" w:cs="宋体"/>
                <w:b/>
                <w:bCs/>
                <w:color w:val="000000"/>
                <w:lang w:eastAsia="zh-CN"/>
              </w:rPr>
              <w:t>Canpatrol</w:t>
            </w:r>
            <w:r w:rsidRPr="00897289">
              <w:rPr>
                <w:rFonts w:ascii="Book Antiqua" w:eastAsia="宋体" w:hAnsi="Book Antiqua" w:cs="宋体"/>
                <w:b/>
                <w:bCs/>
                <w:color w:val="000000"/>
                <w:vertAlign w:val="superscript"/>
                <w:lang w:eastAsia="zh-CN"/>
              </w:rPr>
              <w:t>TM</w:t>
            </w:r>
          </w:p>
        </w:tc>
        <w:tc>
          <w:tcPr>
            <w:tcW w:w="3158" w:type="dxa"/>
            <w:gridSpan w:val="2"/>
            <w:tcBorders>
              <w:top w:val="single" w:sz="4" w:space="0" w:color="auto"/>
              <w:bottom w:val="single" w:sz="4" w:space="0" w:color="auto"/>
            </w:tcBorders>
            <w:shd w:val="clear" w:color="auto" w:fill="auto"/>
            <w:vAlign w:val="center"/>
            <w:hideMark/>
          </w:tcPr>
          <w:p w14:paraId="754715EC" w14:textId="77777777" w:rsidR="00897289" w:rsidRPr="00897289" w:rsidRDefault="00897289" w:rsidP="00897289">
            <w:pPr>
              <w:jc w:val="both"/>
              <w:rPr>
                <w:rFonts w:ascii="Book Antiqua" w:eastAsia="宋体" w:hAnsi="Book Antiqua" w:cs="宋体"/>
                <w:b/>
                <w:bCs/>
                <w:color w:val="000000"/>
                <w:lang w:eastAsia="zh-CN"/>
              </w:rPr>
            </w:pPr>
            <w:r w:rsidRPr="00897289">
              <w:rPr>
                <w:rFonts w:ascii="Book Antiqua" w:eastAsia="宋体" w:hAnsi="Book Antiqua" w:cs="宋体"/>
                <w:b/>
                <w:bCs/>
                <w:color w:val="000000"/>
                <w:lang w:eastAsia="zh-CN"/>
              </w:rPr>
              <w:t>E&amp;M-CTCs detected by</w:t>
            </w:r>
            <w:r w:rsidRPr="00897289">
              <w:rPr>
                <w:rFonts w:ascii="Book Antiqua" w:eastAsia="宋体" w:hAnsi="Book Antiqua" w:cs="宋体"/>
                <w:color w:val="000000"/>
                <w:lang w:eastAsia="zh-CN"/>
              </w:rPr>
              <w:t xml:space="preserve"> </w:t>
            </w:r>
            <w:r w:rsidRPr="00897289">
              <w:rPr>
                <w:rFonts w:ascii="Book Antiqua" w:eastAsia="宋体" w:hAnsi="Book Antiqua" w:cs="宋体"/>
                <w:b/>
                <w:bCs/>
                <w:color w:val="000000"/>
                <w:lang w:eastAsia="zh-CN"/>
              </w:rPr>
              <w:t>CytoploRare</w:t>
            </w:r>
          </w:p>
        </w:tc>
      </w:tr>
      <w:tr w:rsidR="00897289" w:rsidRPr="00897289" w14:paraId="5E9979CB" w14:textId="77777777" w:rsidTr="00897289">
        <w:trPr>
          <w:trHeight w:val="624"/>
        </w:trPr>
        <w:tc>
          <w:tcPr>
            <w:tcW w:w="2151" w:type="dxa"/>
            <w:vMerge/>
            <w:tcBorders>
              <w:bottom w:val="single" w:sz="4" w:space="0" w:color="auto"/>
            </w:tcBorders>
            <w:vAlign w:val="center"/>
            <w:hideMark/>
          </w:tcPr>
          <w:p w14:paraId="616E6B20" w14:textId="77777777" w:rsidR="00897289" w:rsidRPr="00897289" w:rsidRDefault="00897289" w:rsidP="00897289">
            <w:pPr>
              <w:rPr>
                <w:rFonts w:ascii="宋体" w:eastAsia="宋体" w:hAnsi="宋体" w:cs="宋体"/>
                <w:sz w:val="20"/>
                <w:szCs w:val="20"/>
                <w:lang w:eastAsia="zh-CN"/>
              </w:rPr>
            </w:pPr>
          </w:p>
        </w:tc>
        <w:tc>
          <w:tcPr>
            <w:tcW w:w="1318" w:type="dxa"/>
            <w:vMerge/>
            <w:tcBorders>
              <w:bottom w:val="single" w:sz="4" w:space="0" w:color="auto"/>
            </w:tcBorders>
            <w:vAlign w:val="center"/>
            <w:hideMark/>
          </w:tcPr>
          <w:p w14:paraId="64109B04" w14:textId="77777777" w:rsidR="00897289" w:rsidRPr="00897289" w:rsidRDefault="00897289" w:rsidP="00897289">
            <w:pPr>
              <w:rPr>
                <w:sz w:val="20"/>
                <w:szCs w:val="20"/>
                <w:lang w:eastAsia="zh-CN"/>
              </w:rPr>
            </w:pPr>
          </w:p>
        </w:tc>
        <w:tc>
          <w:tcPr>
            <w:tcW w:w="1226" w:type="dxa"/>
            <w:tcBorders>
              <w:top w:val="single" w:sz="4" w:space="0" w:color="auto"/>
              <w:bottom w:val="single" w:sz="4" w:space="0" w:color="auto"/>
            </w:tcBorders>
            <w:shd w:val="clear" w:color="auto" w:fill="auto"/>
            <w:vAlign w:val="center"/>
            <w:hideMark/>
          </w:tcPr>
          <w:p w14:paraId="6C17D3F9" w14:textId="77777777" w:rsidR="00897289" w:rsidRPr="00897289" w:rsidRDefault="00897289" w:rsidP="00897289">
            <w:pPr>
              <w:jc w:val="both"/>
              <w:rPr>
                <w:rFonts w:ascii="Book Antiqua" w:eastAsia="宋体" w:hAnsi="Book Antiqua" w:cs="宋体"/>
                <w:b/>
                <w:bCs/>
                <w:color w:val="000000"/>
                <w:lang w:eastAsia="zh-CN"/>
              </w:rPr>
            </w:pPr>
            <w:r w:rsidRPr="00897289">
              <w:rPr>
                <w:rFonts w:ascii="Book Antiqua" w:eastAsia="宋体" w:hAnsi="Book Antiqua" w:cs="宋体"/>
                <w:b/>
                <w:bCs/>
                <w:color w:val="000000"/>
                <w:lang w:eastAsia="zh-CN"/>
              </w:rPr>
              <w:t xml:space="preserve">Positive, </w:t>
            </w:r>
            <w:r w:rsidRPr="00897289">
              <w:rPr>
                <w:rFonts w:ascii="Book Antiqua" w:eastAsia="宋体" w:hAnsi="Book Antiqua" w:cs="宋体"/>
                <w:b/>
                <w:bCs/>
                <w:i/>
                <w:iCs/>
                <w:color w:val="000000"/>
                <w:lang w:eastAsia="zh-CN"/>
              </w:rPr>
              <w:t>n</w:t>
            </w:r>
          </w:p>
        </w:tc>
        <w:tc>
          <w:tcPr>
            <w:tcW w:w="1047" w:type="dxa"/>
            <w:tcBorders>
              <w:top w:val="single" w:sz="4" w:space="0" w:color="auto"/>
              <w:bottom w:val="single" w:sz="4" w:space="0" w:color="auto"/>
            </w:tcBorders>
            <w:shd w:val="clear" w:color="auto" w:fill="auto"/>
            <w:vAlign w:val="center"/>
            <w:hideMark/>
          </w:tcPr>
          <w:p w14:paraId="692BEA65" w14:textId="77777777" w:rsidR="00897289" w:rsidRPr="00897289" w:rsidRDefault="00897289" w:rsidP="00897289">
            <w:pPr>
              <w:jc w:val="both"/>
              <w:rPr>
                <w:rFonts w:ascii="Book Antiqua" w:eastAsia="宋体" w:hAnsi="Book Antiqua" w:cs="宋体"/>
                <w:b/>
                <w:bCs/>
                <w:color w:val="000000"/>
                <w:lang w:eastAsia="zh-CN"/>
              </w:rPr>
            </w:pPr>
            <w:r w:rsidRPr="00897289">
              <w:rPr>
                <w:rFonts w:ascii="Book Antiqua" w:eastAsia="宋体" w:hAnsi="Book Antiqua" w:cs="宋体"/>
                <w:b/>
                <w:bCs/>
                <w:color w:val="000000"/>
                <w:lang w:eastAsia="zh-CN"/>
              </w:rPr>
              <w:t xml:space="preserve">Negative, </w:t>
            </w:r>
            <w:r w:rsidRPr="00897289">
              <w:rPr>
                <w:rFonts w:ascii="Book Antiqua" w:eastAsia="宋体" w:hAnsi="Book Antiqua" w:cs="宋体"/>
                <w:b/>
                <w:bCs/>
                <w:i/>
                <w:iCs/>
                <w:color w:val="000000"/>
                <w:lang w:eastAsia="zh-CN"/>
              </w:rPr>
              <w:t>n</w:t>
            </w:r>
          </w:p>
        </w:tc>
        <w:tc>
          <w:tcPr>
            <w:tcW w:w="2111" w:type="dxa"/>
            <w:tcBorders>
              <w:top w:val="single" w:sz="4" w:space="0" w:color="auto"/>
              <w:bottom w:val="single" w:sz="4" w:space="0" w:color="auto"/>
            </w:tcBorders>
            <w:shd w:val="clear" w:color="auto" w:fill="auto"/>
            <w:vAlign w:val="center"/>
            <w:hideMark/>
          </w:tcPr>
          <w:p w14:paraId="54CC171B" w14:textId="77777777" w:rsidR="00897289" w:rsidRPr="00897289" w:rsidRDefault="00897289" w:rsidP="00897289">
            <w:pPr>
              <w:jc w:val="both"/>
              <w:rPr>
                <w:rFonts w:ascii="Book Antiqua" w:eastAsia="宋体" w:hAnsi="Book Antiqua" w:cs="宋体"/>
                <w:b/>
                <w:bCs/>
                <w:color w:val="000000"/>
                <w:lang w:eastAsia="zh-CN"/>
              </w:rPr>
            </w:pPr>
            <w:r w:rsidRPr="00897289">
              <w:rPr>
                <w:rFonts w:ascii="Book Antiqua" w:eastAsia="宋体" w:hAnsi="Book Antiqua" w:cs="宋体"/>
                <w:b/>
                <w:bCs/>
                <w:color w:val="000000"/>
                <w:lang w:eastAsia="zh-CN"/>
              </w:rPr>
              <w:t xml:space="preserve">Positive, </w:t>
            </w:r>
            <w:r w:rsidRPr="00897289">
              <w:rPr>
                <w:rFonts w:ascii="Book Antiqua" w:eastAsia="宋体" w:hAnsi="Book Antiqua" w:cs="宋体"/>
                <w:b/>
                <w:bCs/>
                <w:i/>
                <w:iCs/>
                <w:color w:val="000000"/>
                <w:lang w:eastAsia="zh-CN"/>
              </w:rPr>
              <w:t>n</w:t>
            </w:r>
          </w:p>
        </w:tc>
        <w:tc>
          <w:tcPr>
            <w:tcW w:w="1047" w:type="dxa"/>
            <w:tcBorders>
              <w:top w:val="single" w:sz="4" w:space="0" w:color="auto"/>
              <w:bottom w:val="single" w:sz="4" w:space="0" w:color="auto"/>
            </w:tcBorders>
            <w:shd w:val="clear" w:color="auto" w:fill="auto"/>
            <w:vAlign w:val="center"/>
            <w:hideMark/>
          </w:tcPr>
          <w:p w14:paraId="349F4EA9" w14:textId="77777777" w:rsidR="00897289" w:rsidRPr="00897289" w:rsidRDefault="00897289" w:rsidP="00897289">
            <w:pPr>
              <w:jc w:val="both"/>
              <w:rPr>
                <w:rFonts w:ascii="Book Antiqua" w:eastAsia="宋体" w:hAnsi="Book Antiqua" w:cs="宋体"/>
                <w:b/>
                <w:bCs/>
                <w:color w:val="000000"/>
                <w:lang w:eastAsia="zh-CN"/>
              </w:rPr>
            </w:pPr>
            <w:r w:rsidRPr="00897289">
              <w:rPr>
                <w:rFonts w:ascii="Book Antiqua" w:eastAsia="宋体" w:hAnsi="Book Antiqua" w:cs="宋体"/>
                <w:b/>
                <w:bCs/>
                <w:color w:val="000000"/>
                <w:lang w:eastAsia="zh-CN"/>
              </w:rPr>
              <w:t xml:space="preserve">Negative, </w:t>
            </w:r>
            <w:r w:rsidRPr="00897289">
              <w:rPr>
                <w:rFonts w:ascii="Book Antiqua" w:eastAsia="宋体" w:hAnsi="Book Antiqua" w:cs="宋体"/>
                <w:b/>
                <w:bCs/>
                <w:i/>
                <w:iCs/>
                <w:color w:val="000000"/>
                <w:lang w:eastAsia="zh-CN"/>
              </w:rPr>
              <w:t>n</w:t>
            </w:r>
          </w:p>
        </w:tc>
      </w:tr>
      <w:tr w:rsidR="00897289" w:rsidRPr="00897289" w14:paraId="3296D9FD" w14:textId="77777777" w:rsidTr="00897289">
        <w:trPr>
          <w:trHeight w:val="324"/>
        </w:trPr>
        <w:tc>
          <w:tcPr>
            <w:tcW w:w="2151" w:type="dxa"/>
            <w:vMerge w:val="restart"/>
            <w:tcBorders>
              <w:top w:val="single" w:sz="4" w:space="0" w:color="auto"/>
            </w:tcBorders>
            <w:shd w:val="clear" w:color="auto" w:fill="auto"/>
            <w:vAlign w:val="center"/>
            <w:hideMark/>
          </w:tcPr>
          <w:p w14:paraId="40E236C4"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FR-CTCs</w:t>
            </w:r>
          </w:p>
        </w:tc>
        <w:tc>
          <w:tcPr>
            <w:tcW w:w="1318" w:type="dxa"/>
            <w:tcBorders>
              <w:top w:val="single" w:sz="4" w:space="0" w:color="auto"/>
            </w:tcBorders>
            <w:shd w:val="clear" w:color="auto" w:fill="auto"/>
            <w:vAlign w:val="center"/>
            <w:hideMark/>
          </w:tcPr>
          <w:p w14:paraId="415BC4C3"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 xml:space="preserve">Positive, </w:t>
            </w:r>
            <w:r w:rsidRPr="00897289">
              <w:rPr>
                <w:rFonts w:ascii="Book Antiqua" w:eastAsia="宋体" w:hAnsi="Book Antiqua" w:cs="宋体"/>
                <w:i/>
                <w:iCs/>
                <w:color w:val="000000"/>
                <w:lang w:eastAsia="zh-CN"/>
              </w:rPr>
              <w:t>n</w:t>
            </w:r>
          </w:p>
        </w:tc>
        <w:tc>
          <w:tcPr>
            <w:tcW w:w="1226" w:type="dxa"/>
            <w:tcBorders>
              <w:top w:val="single" w:sz="4" w:space="0" w:color="auto"/>
            </w:tcBorders>
            <w:shd w:val="clear" w:color="auto" w:fill="auto"/>
            <w:vAlign w:val="center"/>
            <w:hideMark/>
          </w:tcPr>
          <w:p w14:paraId="78983238"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16</w:t>
            </w:r>
          </w:p>
        </w:tc>
        <w:tc>
          <w:tcPr>
            <w:tcW w:w="1047" w:type="dxa"/>
            <w:tcBorders>
              <w:top w:val="single" w:sz="4" w:space="0" w:color="auto"/>
            </w:tcBorders>
            <w:shd w:val="clear" w:color="auto" w:fill="auto"/>
            <w:vAlign w:val="center"/>
            <w:hideMark/>
          </w:tcPr>
          <w:p w14:paraId="01CB9631"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4</w:t>
            </w:r>
          </w:p>
        </w:tc>
        <w:tc>
          <w:tcPr>
            <w:tcW w:w="2111" w:type="dxa"/>
            <w:tcBorders>
              <w:top w:val="single" w:sz="4" w:space="0" w:color="auto"/>
            </w:tcBorders>
            <w:shd w:val="clear" w:color="auto" w:fill="auto"/>
            <w:vAlign w:val="center"/>
            <w:hideMark/>
          </w:tcPr>
          <w:p w14:paraId="7A4D9569"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17</w:t>
            </w:r>
          </w:p>
        </w:tc>
        <w:tc>
          <w:tcPr>
            <w:tcW w:w="1047" w:type="dxa"/>
            <w:tcBorders>
              <w:top w:val="single" w:sz="4" w:space="0" w:color="auto"/>
            </w:tcBorders>
            <w:shd w:val="clear" w:color="auto" w:fill="auto"/>
            <w:vAlign w:val="center"/>
            <w:hideMark/>
          </w:tcPr>
          <w:p w14:paraId="0D69E585"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6</w:t>
            </w:r>
          </w:p>
        </w:tc>
      </w:tr>
      <w:tr w:rsidR="00897289" w:rsidRPr="00897289" w14:paraId="19BCF5C1" w14:textId="77777777" w:rsidTr="00897289">
        <w:trPr>
          <w:trHeight w:val="636"/>
        </w:trPr>
        <w:tc>
          <w:tcPr>
            <w:tcW w:w="2151" w:type="dxa"/>
            <w:vMerge/>
            <w:vAlign w:val="center"/>
            <w:hideMark/>
          </w:tcPr>
          <w:p w14:paraId="60357B00" w14:textId="77777777" w:rsidR="00897289" w:rsidRPr="00897289" w:rsidRDefault="00897289" w:rsidP="00897289">
            <w:pPr>
              <w:rPr>
                <w:rFonts w:ascii="Book Antiqua" w:eastAsia="宋体" w:hAnsi="Book Antiqua" w:cs="宋体"/>
                <w:color w:val="000000"/>
                <w:lang w:eastAsia="zh-CN"/>
              </w:rPr>
            </w:pPr>
          </w:p>
        </w:tc>
        <w:tc>
          <w:tcPr>
            <w:tcW w:w="1318" w:type="dxa"/>
            <w:shd w:val="clear" w:color="auto" w:fill="auto"/>
            <w:vAlign w:val="center"/>
            <w:hideMark/>
          </w:tcPr>
          <w:p w14:paraId="7EBCA2C3"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 xml:space="preserve">Negative, </w:t>
            </w:r>
            <w:r w:rsidRPr="00897289">
              <w:rPr>
                <w:rFonts w:ascii="Book Antiqua" w:eastAsia="宋体" w:hAnsi="Book Antiqua" w:cs="宋体"/>
                <w:i/>
                <w:iCs/>
                <w:color w:val="000000"/>
                <w:lang w:eastAsia="zh-CN"/>
              </w:rPr>
              <w:t>n</w:t>
            </w:r>
          </w:p>
        </w:tc>
        <w:tc>
          <w:tcPr>
            <w:tcW w:w="1226" w:type="dxa"/>
            <w:shd w:val="clear" w:color="auto" w:fill="auto"/>
            <w:vAlign w:val="center"/>
            <w:hideMark/>
          </w:tcPr>
          <w:p w14:paraId="25BD0508"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7</w:t>
            </w:r>
          </w:p>
        </w:tc>
        <w:tc>
          <w:tcPr>
            <w:tcW w:w="1047" w:type="dxa"/>
            <w:shd w:val="clear" w:color="auto" w:fill="auto"/>
            <w:vAlign w:val="center"/>
            <w:hideMark/>
          </w:tcPr>
          <w:p w14:paraId="5F76D6DA"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11</w:t>
            </w:r>
          </w:p>
        </w:tc>
        <w:tc>
          <w:tcPr>
            <w:tcW w:w="2111" w:type="dxa"/>
            <w:shd w:val="clear" w:color="auto" w:fill="auto"/>
            <w:vAlign w:val="center"/>
            <w:hideMark/>
          </w:tcPr>
          <w:p w14:paraId="6D1D45F4"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6</w:t>
            </w:r>
          </w:p>
        </w:tc>
        <w:tc>
          <w:tcPr>
            <w:tcW w:w="1047" w:type="dxa"/>
            <w:shd w:val="clear" w:color="auto" w:fill="auto"/>
            <w:vAlign w:val="center"/>
            <w:hideMark/>
          </w:tcPr>
          <w:p w14:paraId="17119CE7"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9</w:t>
            </w:r>
          </w:p>
        </w:tc>
      </w:tr>
      <w:tr w:rsidR="00897289" w:rsidRPr="00897289" w14:paraId="3149879B" w14:textId="77777777" w:rsidTr="00897289">
        <w:trPr>
          <w:trHeight w:val="624"/>
        </w:trPr>
        <w:tc>
          <w:tcPr>
            <w:tcW w:w="2151" w:type="dxa"/>
            <w:shd w:val="clear" w:color="auto" w:fill="auto"/>
            <w:vAlign w:val="center"/>
            <w:hideMark/>
          </w:tcPr>
          <w:p w14:paraId="012CAA8F"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Kappa/</w:t>
            </w:r>
            <w:r w:rsidRPr="00897289">
              <w:rPr>
                <w:rFonts w:ascii="Book Antiqua" w:eastAsia="宋体" w:hAnsi="Book Antiqua" w:cs="宋体"/>
                <w:i/>
                <w:iCs/>
                <w:color w:val="000000"/>
                <w:lang w:eastAsia="zh-CN"/>
              </w:rPr>
              <w:t xml:space="preserve">P </w:t>
            </w:r>
            <w:r w:rsidRPr="00897289">
              <w:rPr>
                <w:rFonts w:ascii="Book Antiqua" w:eastAsia="宋体" w:hAnsi="Book Antiqua" w:cs="宋体"/>
                <w:color w:val="000000"/>
                <w:lang w:eastAsia="zh-CN"/>
              </w:rPr>
              <w:t>value</w:t>
            </w:r>
          </w:p>
        </w:tc>
        <w:tc>
          <w:tcPr>
            <w:tcW w:w="1318" w:type="dxa"/>
            <w:shd w:val="clear" w:color="auto" w:fill="auto"/>
            <w:vAlign w:val="center"/>
            <w:hideMark/>
          </w:tcPr>
          <w:p w14:paraId="2997E154" w14:textId="77777777" w:rsidR="00897289" w:rsidRPr="00897289" w:rsidRDefault="00897289" w:rsidP="00897289">
            <w:pPr>
              <w:jc w:val="both"/>
              <w:rPr>
                <w:rFonts w:ascii="Book Antiqua" w:eastAsia="宋体" w:hAnsi="Book Antiqua" w:cs="宋体"/>
                <w:color w:val="000000"/>
                <w:lang w:eastAsia="zh-CN"/>
              </w:rPr>
            </w:pPr>
          </w:p>
        </w:tc>
        <w:tc>
          <w:tcPr>
            <w:tcW w:w="1226" w:type="dxa"/>
            <w:shd w:val="clear" w:color="auto" w:fill="auto"/>
            <w:vAlign w:val="center"/>
            <w:hideMark/>
          </w:tcPr>
          <w:p w14:paraId="42AC21E4"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0.415/0.010</w:t>
            </w:r>
          </w:p>
        </w:tc>
        <w:tc>
          <w:tcPr>
            <w:tcW w:w="1047" w:type="dxa"/>
            <w:shd w:val="clear" w:color="auto" w:fill="auto"/>
            <w:vAlign w:val="center"/>
            <w:hideMark/>
          </w:tcPr>
          <w:p w14:paraId="609D0D04" w14:textId="77777777" w:rsidR="00897289" w:rsidRPr="00897289" w:rsidRDefault="00897289" w:rsidP="00897289">
            <w:pPr>
              <w:jc w:val="both"/>
              <w:rPr>
                <w:rFonts w:ascii="Book Antiqua" w:eastAsia="宋体" w:hAnsi="Book Antiqua" w:cs="宋体"/>
                <w:color w:val="000000"/>
                <w:lang w:eastAsia="zh-CN"/>
              </w:rPr>
            </w:pPr>
          </w:p>
        </w:tc>
        <w:tc>
          <w:tcPr>
            <w:tcW w:w="2111" w:type="dxa"/>
            <w:shd w:val="clear" w:color="auto" w:fill="auto"/>
            <w:vAlign w:val="center"/>
            <w:hideMark/>
          </w:tcPr>
          <w:p w14:paraId="04094B3E" w14:textId="77777777" w:rsidR="00897289" w:rsidRPr="00897289" w:rsidRDefault="00897289" w:rsidP="00897289">
            <w:pPr>
              <w:jc w:val="both"/>
              <w:rPr>
                <w:rFonts w:ascii="Book Antiqua" w:eastAsia="宋体" w:hAnsi="Book Antiqua" w:cs="宋体"/>
                <w:color w:val="000000"/>
                <w:lang w:eastAsia="zh-CN"/>
              </w:rPr>
            </w:pPr>
            <w:r w:rsidRPr="00897289">
              <w:rPr>
                <w:rFonts w:ascii="Book Antiqua" w:eastAsia="宋体" w:hAnsi="Book Antiqua" w:cs="宋体"/>
                <w:color w:val="000000"/>
                <w:lang w:eastAsia="zh-CN"/>
              </w:rPr>
              <w:t>0.339/0.037</w:t>
            </w:r>
          </w:p>
        </w:tc>
        <w:tc>
          <w:tcPr>
            <w:tcW w:w="1047" w:type="dxa"/>
            <w:shd w:val="clear" w:color="auto" w:fill="auto"/>
            <w:vAlign w:val="center"/>
            <w:hideMark/>
          </w:tcPr>
          <w:p w14:paraId="73983581" w14:textId="77777777" w:rsidR="00897289" w:rsidRPr="00897289" w:rsidRDefault="00897289" w:rsidP="00897289">
            <w:pPr>
              <w:jc w:val="both"/>
              <w:rPr>
                <w:rFonts w:ascii="Book Antiqua" w:eastAsia="宋体" w:hAnsi="Book Antiqua" w:cs="宋体"/>
                <w:color w:val="000000"/>
                <w:lang w:eastAsia="zh-CN"/>
              </w:rPr>
            </w:pPr>
          </w:p>
        </w:tc>
      </w:tr>
    </w:tbl>
    <w:p w14:paraId="173E577F" w14:textId="0F04D72A" w:rsidR="00BC5F2A" w:rsidRDefault="008C0F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CTCs: Circulating tumor cells; E&amp;M-CTCs: CTCs with both markers; FR: Folate receptor.</w:t>
      </w:r>
    </w:p>
    <w:p w14:paraId="47BF1A8F" w14:textId="77777777" w:rsidR="00BC5F2A" w:rsidRDefault="00BC5F2A">
      <w:pPr>
        <w:rPr>
          <w:rFonts w:ascii="Book Antiqua" w:eastAsia="Book Antiqua" w:hAnsi="Book Antiqua" w:cs="Book Antiqua"/>
          <w:color w:val="000000"/>
        </w:rPr>
      </w:pPr>
      <w:r>
        <w:rPr>
          <w:rFonts w:ascii="Book Antiqua" w:eastAsia="Book Antiqua" w:hAnsi="Book Antiqua" w:cs="Book Antiqua"/>
          <w:color w:val="000000"/>
        </w:rPr>
        <w:br w:type="page"/>
      </w:r>
    </w:p>
    <w:p w14:paraId="105E2C02" w14:textId="77777777" w:rsidR="00BC5F2A" w:rsidRDefault="00BC5F2A" w:rsidP="00BC5F2A">
      <w:pPr>
        <w:jc w:val="center"/>
        <w:rPr>
          <w:rFonts w:ascii="Book Antiqua" w:hAnsi="Book Antiqua"/>
          <w:lang w:eastAsia="zh-CN"/>
        </w:rPr>
      </w:pPr>
    </w:p>
    <w:p w14:paraId="07CB04D3" w14:textId="77777777" w:rsidR="00BC5F2A" w:rsidRDefault="00BC5F2A" w:rsidP="00BC5F2A">
      <w:pPr>
        <w:jc w:val="center"/>
        <w:rPr>
          <w:rFonts w:ascii="Book Antiqua" w:hAnsi="Book Antiqua"/>
          <w:lang w:eastAsia="zh-CN"/>
        </w:rPr>
      </w:pPr>
    </w:p>
    <w:p w14:paraId="1284B9B1" w14:textId="77777777" w:rsidR="00BC5F2A" w:rsidRDefault="00BC5F2A" w:rsidP="00BC5F2A">
      <w:pPr>
        <w:jc w:val="center"/>
        <w:rPr>
          <w:rFonts w:ascii="Book Antiqua" w:hAnsi="Book Antiqua"/>
          <w:lang w:eastAsia="zh-CN"/>
        </w:rPr>
      </w:pPr>
    </w:p>
    <w:p w14:paraId="08D48722" w14:textId="77777777" w:rsidR="00BC5F2A" w:rsidRDefault="00BC5F2A" w:rsidP="00BC5F2A">
      <w:pPr>
        <w:jc w:val="center"/>
        <w:rPr>
          <w:rFonts w:ascii="Book Antiqua" w:hAnsi="Book Antiqua"/>
          <w:lang w:eastAsia="zh-CN"/>
        </w:rPr>
      </w:pPr>
    </w:p>
    <w:p w14:paraId="5C50CFEF" w14:textId="77777777" w:rsidR="00BC5F2A" w:rsidRDefault="00BC5F2A" w:rsidP="00BC5F2A">
      <w:pPr>
        <w:jc w:val="center"/>
        <w:rPr>
          <w:rFonts w:ascii="Book Antiqua" w:hAnsi="Book Antiqua"/>
          <w:lang w:eastAsia="zh-CN"/>
        </w:rPr>
      </w:pPr>
    </w:p>
    <w:p w14:paraId="2345E096" w14:textId="77777777" w:rsidR="00BC5F2A" w:rsidRDefault="00BC5F2A" w:rsidP="00BC5F2A">
      <w:pPr>
        <w:jc w:val="center"/>
        <w:rPr>
          <w:rFonts w:ascii="Book Antiqua" w:hAnsi="Book Antiqua"/>
          <w:lang w:eastAsia="zh-CN"/>
        </w:rPr>
      </w:pPr>
      <w:r>
        <w:rPr>
          <w:rFonts w:ascii="Book Antiqua" w:hAnsi="Book Antiqua"/>
          <w:noProof/>
          <w:lang w:eastAsia="zh-CN"/>
        </w:rPr>
        <w:drawing>
          <wp:inline distT="0" distB="0" distL="0" distR="0" wp14:anchorId="2914E48D" wp14:editId="2190C3E6">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C5AF63" w14:textId="77777777" w:rsidR="00BC5F2A" w:rsidRDefault="00BC5F2A" w:rsidP="00BC5F2A">
      <w:pPr>
        <w:jc w:val="center"/>
        <w:rPr>
          <w:rFonts w:ascii="Book Antiqua" w:hAnsi="Book Antiqua"/>
          <w:lang w:eastAsia="zh-CN"/>
        </w:rPr>
      </w:pPr>
    </w:p>
    <w:p w14:paraId="1CE63B17" w14:textId="77777777" w:rsidR="00BC5F2A" w:rsidRPr="00763D22" w:rsidRDefault="00BC5F2A" w:rsidP="00BC5F2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77597D4" w14:textId="77777777" w:rsidR="00BC5F2A" w:rsidRPr="00763D22" w:rsidRDefault="00BC5F2A" w:rsidP="00BC5F2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54E7BE2" w14:textId="77777777" w:rsidR="00BC5F2A" w:rsidRPr="00763D22" w:rsidRDefault="00BC5F2A" w:rsidP="00BC5F2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EF334BD" w14:textId="77777777" w:rsidR="00BC5F2A" w:rsidRPr="00763D22" w:rsidRDefault="00BC5F2A" w:rsidP="00BC5F2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3B13DF" w14:textId="77777777" w:rsidR="00BC5F2A" w:rsidRPr="00763D22" w:rsidRDefault="00BC5F2A" w:rsidP="00BC5F2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C762A5A" w14:textId="77777777" w:rsidR="00BC5F2A" w:rsidRPr="00763D22" w:rsidRDefault="00BC5F2A" w:rsidP="00BC5F2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C439E74" w14:textId="77777777" w:rsidR="00BC5F2A" w:rsidRDefault="00BC5F2A" w:rsidP="00BC5F2A">
      <w:pPr>
        <w:jc w:val="center"/>
        <w:rPr>
          <w:rFonts w:ascii="Book Antiqua" w:hAnsi="Book Antiqua"/>
          <w:lang w:eastAsia="zh-CN"/>
        </w:rPr>
      </w:pPr>
    </w:p>
    <w:p w14:paraId="7922A739" w14:textId="77777777" w:rsidR="00BC5F2A" w:rsidRDefault="00BC5F2A" w:rsidP="00BC5F2A">
      <w:pPr>
        <w:jc w:val="center"/>
        <w:rPr>
          <w:rFonts w:ascii="Book Antiqua" w:hAnsi="Book Antiqua"/>
          <w:lang w:eastAsia="zh-CN"/>
        </w:rPr>
      </w:pPr>
    </w:p>
    <w:p w14:paraId="417622E1" w14:textId="77777777" w:rsidR="00BC5F2A" w:rsidRDefault="00BC5F2A" w:rsidP="00BC5F2A">
      <w:pPr>
        <w:jc w:val="center"/>
        <w:rPr>
          <w:rFonts w:ascii="Book Antiqua" w:hAnsi="Book Antiqua"/>
          <w:lang w:eastAsia="zh-CN"/>
        </w:rPr>
      </w:pPr>
    </w:p>
    <w:p w14:paraId="6C24DE3D" w14:textId="77777777" w:rsidR="00BC5F2A" w:rsidRDefault="00BC5F2A" w:rsidP="00BC5F2A">
      <w:pPr>
        <w:jc w:val="center"/>
        <w:rPr>
          <w:rFonts w:ascii="Book Antiqua" w:hAnsi="Book Antiqua"/>
          <w:lang w:eastAsia="zh-CN"/>
        </w:rPr>
      </w:pPr>
      <w:r>
        <w:rPr>
          <w:rFonts w:ascii="Book Antiqua" w:hAnsi="Book Antiqua"/>
          <w:noProof/>
          <w:lang w:eastAsia="zh-CN"/>
        </w:rPr>
        <w:drawing>
          <wp:inline distT="0" distB="0" distL="0" distR="0" wp14:anchorId="49B81DC1" wp14:editId="375A4EBA">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6EB575" w14:textId="77777777" w:rsidR="00BC5F2A" w:rsidRDefault="00BC5F2A" w:rsidP="00BC5F2A">
      <w:pPr>
        <w:jc w:val="center"/>
        <w:rPr>
          <w:rFonts w:ascii="Book Antiqua" w:hAnsi="Book Antiqua"/>
          <w:lang w:eastAsia="zh-CN"/>
        </w:rPr>
      </w:pPr>
    </w:p>
    <w:p w14:paraId="7B342789" w14:textId="77777777" w:rsidR="00BC5F2A" w:rsidRDefault="00BC5F2A" w:rsidP="00BC5F2A">
      <w:pPr>
        <w:jc w:val="center"/>
        <w:rPr>
          <w:rFonts w:ascii="Book Antiqua" w:hAnsi="Book Antiqua"/>
          <w:lang w:eastAsia="zh-CN"/>
        </w:rPr>
      </w:pPr>
    </w:p>
    <w:p w14:paraId="1ADDB167" w14:textId="77777777" w:rsidR="00BC5F2A" w:rsidRDefault="00BC5F2A" w:rsidP="00BC5F2A">
      <w:pPr>
        <w:jc w:val="center"/>
        <w:rPr>
          <w:rFonts w:ascii="Book Antiqua" w:hAnsi="Book Antiqua"/>
          <w:lang w:eastAsia="zh-CN"/>
        </w:rPr>
      </w:pPr>
    </w:p>
    <w:p w14:paraId="45EB6ED8" w14:textId="77777777" w:rsidR="00BC5F2A" w:rsidRDefault="00BC5F2A" w:rsidP="00BC5F2A">
      <w:pPr>
        <w:jc w:val="center"/>
        <w:rPr>
          <w:rFonts w:ascii="Book Antiqua" w:hAnsi="Book Antiqua"/>
          <w:lang w:eastAsia="zh-CN"/>
        </w:rPr>
      </w:pPr>
    </w:p>
    <w:p w14:paraId="740837AC" w14:textId="77777777" w:rsidR="00BC5F2A" w:rsidRDefault="00BC5F2A" w:rsidP="00BC5F2A">
      <w:pPr>
        <w:jc w:val="center"/>
        <w:rPr>
          <w:rFonts w:ascii="Book Antiqua" w:hAnsi="Book Antiqua"/>
          <w:lang w:eastAsia="zh-CN"/>
        </w:rPr>
      </w:pPr>
    </w:p>
    <w:p w14:paraId="7A4CAE34" w14:textId="77777777" w:rsidR="00BC5F2A" w:rsidRDefault="00BC5F2A" w:rsidP="00BC5F2A">
      <w:pPr>
        <w:jc w:val="center"/>
        <w:rPr>
          <w:rFonts w:ascii="Book Antiqua" w:hAnsi="Book Antiqua"/>
          <w:lang w:eastAsia="zh-CN"/>
        </w:rPr>
      </w:pPr>
    </w:p>
    <w:p w14:paraId="6AC3F04F" w14:textId="77777777" w:rsidR="00BC5F2A" w:rsidRDefault="00BC5F2A" w:rsidP="00BC5F2A">
      <w:pPr>
        <w:jc w:val="center"/>
        <w:rPr>
          <w:rFonts w:ascii="Book Antiqua" w:hAnsi="Book Antiqua"/>
          <w:lang w:eastAsia="zh-CN"/>
        </w:rPr>
      </w:pPr>
    </w:p>
    <w:p w14:paraId="79E6E46E" w14:textId="77777777" w:rsidR="00BC5F2A" w:rsidRDefault="00BC5F2A" w:rsidP="00BC5F2A">
      <w:pPr>
        <w:jc w:val="center"/>
        <w:rPr>
          <w:rFonts w:ascii="Book Antiqua" w:hAnsi="Book Antiqua"/>
          <w:lang w:eastAsia="zh-CN"/>
        </w:rPr>
      </w:pPr>
    </w:p>
    <w:p w14:paraId="29D65915" w14:textId="77777777" w:rsidR="00BC5F2A" w:rsidRDefault="00BC5F2A" w:rsidP="00BC5F2A">
      <w:pPr>
        <w:jc w:val="center"/>
        <w:rPr>
          <w:rFonts w:ascii="Book Antiqua" w:hAnsi="Book Antiqua"/>
          <w:lang w:eastAsia="zh-CN"/>
        </w:rPr>
      </w:pPr>
    </w:p>
    <w:p w14:paraId="1F243D8B" w14:textId="77777777" w:rsidR="00BC5F2A" w:rsidRPr="00763D22" w:rsidRDefault="00BC5F2A" w:rsidP="00BC5F2A">
      <w:pPr>
        <w:jc w:val="right"/>
        <w:rPr>
          <w:rFonts w:ascii="Book Antiqua" w:hAnsi="Book Antiqua"/>
          <w:color w:val="000000" w:themeColor="text1"/>
          <w:lang w:eastAsia="zh-CN"/>
        </w:rPr>
      </w:pPr>
    </w:p>
    <w:p w14:paraId="4C59B8D7" w14:textId="77777777" w:rsidR="00BC5F2A" w:rsidRPr="00763D22" w:rsidRDefault="00BC5F2A" w:rsidP="00BC5F2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8C0297F" w14:textId="77777777" w:rsidR="00FC0E9A" w:rsidRDefault="00FC0E9A">
      <w:pPr>
        <w:spacing w:line="360" w:lineRule="auto"/>
        <w:jc w:val="both"/>
        <w:rPr>
          <w:rFonts w:ascii="Book Antiqua" w:hAnsi="Book Antiqua"/>
        </w:rPr>
      </w:pPr>
      <w:bookmarkStart w:id="88" w:name="_GoBack"/>
      <w:bookmarkEnd w:id="88"/>
    </w:p>
    <w:sectPr w:rsidR="00FC0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1EC3" w14:textId="77777777" w:rsidR="0097774F" w:rsidRDefault="0097774F">
      <w:r>
        <w:separator/>
      </w:r>
    </w:p>
  </w:endnote>
  <w:endnote w:type="continuationSeparator" w:id="0">
    <w:p w14:paraId="36D35D29" w14:textId="77777777" w:rsidR="0097774F" w:rsidRDefault="0097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16E90" w14:textId="77777777" w:rsidR="00FC0E9A" w:rsidRDefault="008C0FEC">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97774F" w:rsidRPr="0097774F">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fldSimple w:instr="NUMPAGES  \* Arabic  \* MERGEFORMAT">
      <w:r w:rsidR="0097774F" w:rsidRPr="0097774F">
        <w:rPr>
          <w:rFonts w:ascii="Book Antiqua" w:hAnsi="Book Antiqua"/>
          <w:noProof/>
          <w:color w:val="000000" w:themeColor="text1"/>
          <w:sz w:val="24"/>
          <w:szCs w:val="24"/>
          <w:lang w:val="zh-CN" w:eastAsia="zh-CN"/>
        </w:rPr>
        <w:t>1</w:t>
      </w:r>
    </w:fldSimple>
  </w:p>
  <w:p w14:paraId="39CB808D" w14:textId="77777777" w:rsidR="00FC0E9A" w:rsidRDefault="00FC0E9A">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6ECA6" w14:textId="77777777" w:rsidR="0097774F" w:rsidRDefault="0097774F">
      <w:r>
        <w:separator/>
      </w:r>
    </w:p>
  </w:footnote>
  <w:footnote w:type="continuationSeparator" w:id="0">
    <w:p w14:paraId="58033C56" w14:textId="77777777" w:rsidR="0097774F" w:rsidRDefault="00977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0FB"/>
    <w:rsid w:val="00030698"/>
    <w:rsid w:val="0004163A"/>
    <w:rsid w:val="00065419"/>
    <w:rsid w:val="00070C99"/>
    <w:rsid w:val="000761EB"/>
    <w:rsid w:val="00077D23"/>
    <w:rsid w:val="00081B95"/>
    <w:rsid w:val="000914D4"/>
    <w:rsid w:val="00093AB9"/>
    <w:rsid w:val="000A0F81"/>
    <w:rsid w:val="000A185E"/>
    <w:rsid w:val="000B2474"/>
    <w:rsid w:val="000B683B"/>
    <w:rsid w:val="000B72AF"/>
    <w:rsid w:val="000D1E21"/>
    <w:rsid w:val="000D516F"/>
    <w:rsid w:val="000D5CC8"/>
    <w:rsid w:val="000E1475"/>
    <w:rsid w:val="000F188F"/>
    <w:rsid w:val="001117D0"/>
    <w:rsid w:val="0013158C"/>
    <w:rsid w:val="00134986"/>
    <w:rsid w:val="001405FE"/>
    <w:rsid w:val="00180694"/>
    <w:rsid w:val="0018789D"/>
    <w:rsid w:val="001C10FC"/>
    <w:rsid w:val="001D0B4D"/>
    <w:rsid w:val="001E576F"/>
    <w:rsid w:val="001E689C"/>
    <w:rsid w:val="001F6C02"/>
    <w:rsid w:val="002101AD"/>
    <w:rsid w:val="002205D2"/>
    <w:rsid w:val="002249CC"/>
    <w:rsid w:val="00246495"/>
    <w:rsid w:val="00246A71"/>
    <w:rsid w:val="0025096B"/>
    <w:rsid w:val="00273030"/>
    <w:rsid w:val="002869F8"/>
    <w:rsid w:val="00290362"/>
    <w:rsid w:val="00293E0F"/>
    <w:rsid w:val="0029587B"/>
    <w:rsid w:val="002A7491"/>
    <w:rsid w:val="002E2F85"/>
    <w:rsid w:val="00314D4F"/>
    <w:rsid w:val="00342C5D"/>
    <w:rsid w:val="00352EEF"/>
    <w:rsid w:val="00364E91"/>
    <w:rsid w:val="003762A1"/>
    <w:rsid w:val="00383E06"/>
    <w:rsid w:val="00387093"/>
    <w:rsid w:val="00397320"/>
    <w:rsid w:val="003975FC"/>
    <w:rsid w:val="003B0F54"/>
    <w:rsid w:val="003D7047"/>
    <w:rsid w:val="003F0DC7"/>
    <w:rsid w:val="004115F8"/>
    <w:rsid w:val="00413DA8"/>
    <w:rsid w:val="00416F35"/>
    <w:rsid w:val="004257AA"/>
    <w:rsid w:val="00445830"/>
    <w:rsid w:val="0045029F"/>
    <w:rsid w:val="0046119A"/>
    <w:rsid w:val="0046540C"/>
    <w:rsid w:val="00472B33"/>
    <w:rsid w:val="0048456E"/>
    <w:rsid w:val="00491F0C"/>
    <w:rsid w:val="004C759B"/>
    <w:rsid w:val="004D1D4B"/>
    <w:rsid w:val="004E712A"/>
    <w:rsid w:val="004E7AD1"/>
    <w:rsid w:val="004F11D9"/>
    <w:rsid w:val="005033FD"/>
    <w:rsid w:val="00503E3B"/>
    <w:rsid w:val="0051415B"/>
    <w:rsid w:val="0053469A"/>
    <w:rsid w:val="005406D5"/>
    <w:rsid w:val="00544C2C"/>
    <w:rsid w:val="0055165A"/>
    <w:rsid w:val="00551BE9"/>
    <w:rsid w:val="00557397"/>
    <w:rsid w:val="00566502"/>
    <w:rsid w:val="00566C17"/>
    <w:rsid w:val="00567DAB"/>
    <w:rsid w:val="00583CC9"/>
    <w:rsid w:val="00586ED6"/>
    <w:rsid w:val="005C4885"/>
    <w:rsid w:val="005C7294"/>
    <w:rsid w:val="00603B7B"/>
    <w:rsid w:val="006238F9"/>
    <w:rsid w:val="006248AE"/>
    <w:rsid w:val="006312F3"/>
    <w:rsid w:val="006454AF"/>
    <w:rsid w:val="00657617"/>
    <w:rsid w:val="006646AC"/>
    <w:rsid w:val="00680B05"/>
    <w:rsid w:val="00685B09"/>
    <w:rsid w:val="006877E7"/>
    <w:rsid w:val="006927D9"/>
    <w:rsid w:val="00692892"/>
    <w:rsid w:val="00693946"/>
    <w:rsid w:val="006C27BA"/>
    <w:rsid w:val="006F440A"/>
    <w:rsid w:val="006F5909"/>
    <w:rsid w:val="00703113"/>
    <w:rsid w:val="00727F80"/>
    <w:rsid w:val="00740D22"/>
    <w:rsid w:val="00755CF1"/>
    <w:rsid w:val="00761F39"/>
    <w:rsid w:val="007A464A"/>
    <w:rsid w:val="007A7595"/>
    <w:rsid w:val="007A7731"/>
    <w:rsid w:val="007D1976"/>
    <w:rsid w:val="007E2828"/>
    <w:rsid w:val="007E31BA"/>
    <w:rsid w:val="007F5118"/>
    <w:rsid w:val="007F7774"/>
    <w:rsid w:val="00800E87"/>
    <w:rsid w:val="00810AC3"/>
    <w:rsid w:val="00812CDD"/>
    <w:rsid w:val="008151E5"/>
    <w:rsid w:val="008266B9"/>
    <w:rsid w:val="00827069"/>
    <w:rsid w:val="008606B9"/>
    <w:rsid w:val="00876E8B"/>
    <w:rsid w:val="00890F39"/>
    <w:rsid w:val="00897289"/>
    <w:rsid w:val="008A3E28"/>
    <w:rsid w:val="008C0FEC"/>
    <w:rsid w:val="008C7151"/>
    <w:rsid w:val="008E4A0F"/>
    <w:rsid w:val="008F3017"/>
    <w:rsid w:val="00903D17"/>
    <w:rsid w:val="00904E13"/>
    <w:rsid w:val="00911E97"/>
    <w:rsid w:val="0091529C"/>
    <w:rsid w:val="0092035D"/>
    <w:rsid w:val="00920E81"/>
    <w:rsid w:val="00926BF1"/>
    <w:rsid w:val="0093085B"/>
    <w:rsid w:val="00957F7D"/>
    <w:rsid w:val="00966E8E"/>
    <w:rsid w:val="0097774F"/>
    <w:rsid w:val="009808DD"/>
    <w:rsid w:val="00981BAC"/>
    <w:rsid w:val="00986829"/>
    <w:rsid w:val="009A185F"/>
    <w:rsid w:val="009A35B4"/>
    <w:rsid w:val="009B0DE2"/>
    <w:rsid w:val="009B2ED3"/>
    <w:rsid w:val="009E59B2"/>
    <w:rsid w:val="00A06437"/>
    <w:rsid w:val="00A12CF8"/>
    <w:rsid w:val="00A31657"/>
    <w:rsid w:val="00A336B5"/>
    <w:rsid w:val="00A521AF"/>
    <w:rsid w:val="00A722C7"/>
    <w:rsid w:val="00A75CB6"/>
    <w:rsid w:val="00A76D1E"/>
    <w:rsid w:val="00A77B3E"/>
    <w:rsid w:val="00A95ADA"/>
    <w:rsid w:val="00AA4DC3"/>
    <w:rsid w:val="00AB57F7"/>
    <w:rsid w:val="00AE4461"/>
    <w:rsid w:val="00AE4B21"/>
    <w:rsid w:val="00AE67E1"/>
    <w:rsid w:val="00AF2F8E"/>
    <w:rsid w:val="00AF3168"/>
    <w:rsid w:val="00AF4150"/>
    <w:rsid w:val="00AF4936"/>
    <w:rsid w:val="00AF67ED"/>
    <w:rsid w:val="00B46C4B"/>
    <w:rsid w:val="00B52B66"/>
    <w:rsid w:val="00B57556"/>
    <w:rsid w:val="00B61CB4"/>
    <w:rsid w:val="00B83259"/>
    <w:rsid w:val="00B86E99"/>
    <w:rsid w:val="00BA3856"/>
    <w:rsid w:val="00BC5F2A"/>
    <w:rsid w:val="00BD55F1"/>
    <w:rsid w:val="00C005EC"/>
    <w:rsid w:val="00C00707"/>
    <w:rsid w:val="00C078B1"/>
    <w:rsid w:val="00C172C1"/>
    <w:rsid w:val="00C430B4"/>
    <w:rsid w:val="00C45BFF"/>
    <w:rsid w:val="00C6110D"/>
    <w:rsid w:val="00C65838"/>
    <w:rsid w:val="00C67E9C"/>
    <w:rsid w:val="00CA18B8"/>
    <w:rsid w:val="00CA2A55"/>
    <w:rsid w:val="00CB3ED3"/>
    <w:rsid w:val="00CE596D"/>
    <w:rsid w:val="00CF66D8"/>
    <w:rsid w:val="00CF7C56"/>
    <w:rsid w:val="00D17CA9"/>
    <w:rsid w:val="00D23A07"/>
    <w:rsid w:val="00D245E8"/>
    <w:rsid w:val="00D25DC0"/>
    <w:rsid w:val="00D32760"/>
    <w:rsid w:val="00D34361"/>
    <w:rsid w:val="00D50A20"/>
    <w:rsid w:val="00D524C8"/>
    <w:rsid w:val="00D57ED7"/>
    <w:rsid w:val="00D60B04"/>
    <w:rsid w:val="00D84015"/>
    <w:rsid w:val="00D90E8D"/>
    <w:rsid w:val="00D95A55"/>
    <w:rsid w:val="00DA3BD8"/>
    <w:rsid w:val="00DB3415"/>
    <w:rsid w:val="00DC5D30"/>
    <w:rsid w:val="00DC6B8E"/>
    <w:rsid w:val="00DD7947"/>
    <w:rsid w:val="00DE6710"/>
    <w:rsid w:val="00DF3D88"/>
    <w:rsid w:val="00E046A4"/>
    <w:rsid w:val="00E16DED"/>
    <w:rsid w:val="00E34DC9"/>
    <w:rsid w:val="00E40FC9"/>
    <w:rsid w:val="00E431EA"/>
    <w:rsid w:val="00E7105B"/>
    <w:rsid w:val="00EC0BF5"/>
    <w:rsid w:val="00EC7B0A"/>
    <w:rsid w:val="00ED0AFB"/>
    <w:rsid w:val="00ED172A"/>
    <w:rsid w:val="00ED1966"/>
    <w:rsid w:val="00ED59E4"/>
    <w:rsid w:val="00EE0F3A"/>
    <w:rsid w:val="00EE190D"/>
    <w:rsid w:val="00F07400"/>
    <w:rsid w:val="00F07DA4"/>
    <w:rsid w:val="00F24ABC"/>
    <w:rsid w:val="00F2567F"/>
    <w:rsid w:val="00F33F1B"/>
    <w:rsid w:val="00F6101D"/>
    <w:rsid w:val="00FA1E41"/>
    <w:rsid w:val="00FC0E9A"/>
    <w:rsid w:val="00FD3BD6"/>
    <w:rsid w:val="247A60F1"/>
    <w:rsid w:val="2C803EBF"/>
    <w:rsid w:val="419C559E"/>
    <w:rsid w:val="75F4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B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pPr>
      <w:spacing w:after="160" w:line="259"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rFonts w:ascii="Times New Roman" w:eastAsia="Times New Roman" w:hAnsi="Times New Roman" w:cs="Times New Roman"/>
      <w:sz w:val="18"/>
      <w:szCs w:val="18"/>
      <w:lang w:eastAsia="en-US"/>
    </w:rPr>
  </w:style>
  <w:style w:type="character" w:customStyle="1" w:styleId="Char0">
    <w:name w:val="页脚 Char"/>
    <w:basedOn w:val="a0"/>
    <w:link w:val="a4"/>
    <w:uiPriority w:val="99"/>
    <w:qFormat/>
    <w:rPr>
      <w:rFonts w:ascii="Times New Roman" w:eastAsia="Times New Roman" w:hAnsi="Times New Roman" w:cs="Times New Roman"/>
      <w:sz w:val="18"/>
      <w:szCs w:val="18"/>
      <w:lang w:eastAsia="en-US"/>
    </w:rPr>
  </w:style>
  <w:style w:type="character" w:customStyle="1" w:styleId="dxdefaultcursor">
    <w:name w:val="dxdefaultcursor"/>
    <w:basedOn w:val="a0"/>
  </w:style>
  <w:style w:type="character" w:customStyle="1" w:styleId="Char">
    <w:name w:val="批注框文本 Char"/>
    <w:basedOn w:val="a0"/>
    <w:link w:val="a3"/>
    <w:semiHidden/>
    <w:qFormat/>
    <w:rPr>
      <w:rFonts w:ascii="Times New Roman" w:eastAsia="Times New Roman" w:hAnsi="Times New Roman"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link w:val="Char0"/>
    <w:uiPriority w:val="99"/>
    <w:qFormat/>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pPr>
      <w:spacing w:after="160" w:line="259"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rFonts w:ascii="Times New Roman" w:eastAsia="Times New Roman" w:hAnsi="Times New Roman" w:cs="Times New Roman"/>
      <w:sz w:val="18"/>
      <w:szCs w:val="18"/>
      <w:lang w:eastAsia="en-US"/>
    </w:rPr>
  </w:style>
  <w:style w:type="character" w:customStyle="1" w:styleId="Char0">
    <w:name w:val="页脚 Char"/>
    <w:basedOn w:val="a0"/>
    <w:link w:val="a4"/>
    <w:uiPriority w:val="99"/>
    <w:qFormat/>
    <w:rPr>
      <w:rFonts w:ascii="Times New Roman" w:eastAsia="Times New Roman" w:hAnsi="Times New Roman" w:cs="Times New Roman"/>
      <w:sz w:val="18"/>
      <w:szCs w:val="18"/>
      <w:lang w:eastAsia="en-US"/>
    </w:rPr>
  </w:style>
  <w:style w:type="character" w:customStyle="1" w:styleId="dxdefaultcursor">
    <w:name w:val="dxdefaultcursor"/>
    <w:basedOn w:val="a0"/>
  </w:style>
  <w:style w:type="character" w:customStyle="1" w:styleId="Char">
    <w:name w:val="批注框文本 Char"/>
    <w:basedOn w:val="a0"/>
    <w:link w:val="a3"/>
    <w:semiHidden/>
    <w:qFormat/>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0970">
      <w:bodyDiv w:val="1"/>
      <w:marLeft w:val="0"/>
      <w:marRight w:val="0"/>
      <w:marTop w:val="0"/>
      <w:marBottom w:val="0"/>
      <w:divBdr>
        <w:top w:val="none" w:sz="0" w:space="0" w:color="auto"/>
        <w:left w:val="none" w:sz="0" w:space="0" w:color="auto"/>
        <w:bottom w:val="none" w:sz="0" w:space="0" w:color="auto"/>
        <w:right w:val="none" w:sz="0" w:space="0" w:color="auto"/>
      </w:divBdr>
    </w:div>
    <w:div w:id="345251889">
      <w:bodyDiv w:val="1"/>
      <w:marLeft w:val="0"/>
      <w:marRight w:val="0"/>
      <w:marTop w:val="0"/>
      <w:marBottom w:val="0"/>
      <w:divBdr>
        <w:top w:val="none" w:sz="0" w:space="0" w:color="auto"/>
        <w:left w:val="none" w:sz="0" w:space="0" w:color="auto"/>
        <w:bottom w:val="none" w:sz="0" w:space="0" w:color="auto"/>
        <w:right w:val="none" w:sz="0" w:space="0" w:color="auto"/>
      </w:divBdr>
    </w:div>
    <w:div w:id="1255476856">
      <w:bodyDiv w:val="1"/>
      <w:marLeft w:val="0"/>
      <w:marRight w:val="0"/>
      <w:marTop w:val="0"/>
      <w:marBottom w:val="0"/>
      <w:divBdr>
        <w:top w:val="none" w:sz="0" w:space="0" w:color="auto"/>
        <w:left w:val="none" w:sz="0" w:space="0" w:color="auto"/>
        <w:bottom w:val="none" w:sz="0" w:space="0" w:color="auto"/>
        <w:right w:val="none" w:sz="0" w:space="0" w:color="auto"/>
      </w:divBdr>
    </w:div>
    <w:div w:id="134501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5406</Words>
  <Characters>30819</Characters>
  <Application>Microsoft Office Word</Application>
  <DocSecurity>0</DocSecurity>
  <Lines>256</Lines>
  <Paragraphs>72</Paragraphs>
  <ScaleCrop>false</ScaleCrop>
  <Company>HP</Company>
  <LinksUpToDate>false</LinksUpToDate>
  <CharactersWithSpaces>36153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27771</dc:creator>
  <cp:lastModifiedBy>liujihong2008@qq.con</cp:lastModifiedBy>
  <cp:revision>35</cp:revision>
  <dcterms:created xsi:type="dcterms:W3CDTF">2021-03-09T20:25:00Z</dcterms:created>
  <dcterms:modified xsi:type="dcterms:W3CDTF">2021-04-13T03:30:00Z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5095ADC5FFCF4C3D873DF3C0381BE5ED</vt:lpwstr>
  </property>
</Properties>
</file>