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5765A"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Name of Journal: </w:t>
      </w:r>
      <w:r w:rsidRPr="00871C0B">
        <w:rPr>
          <w:rFonts w:ascii="Book Antiqua" w:eastAsia="Book Antiqua" w:hAnsi="Book Antiqua" w:cs="Book Antiqua"/>
          <w:i/>
          <w:color w:val="000000"/>
          <w:lang w:val="en-GB"/>
        </w:rPr>
        <w:t>World Journal of Diabetes</w:t>
      </w:r>
    </w:p>
    <w:p w14:paraId="4FAA1105"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Manuscript NO: </w:t>
      </w:r>
      <w:r w:rsidRPr="00871C0B">
        <w:rPr>
          <w:rFonts w:ascii="Book Antiqua" w:eastAsia="Book Antiqua" w:hAnsi="Book Antiqua" w:cs="Book Antiqua"/>
          <w:color w:val="000000"/>
          <w:lang w:val="en-GB"/>
        </w:rPr>
        <w:t>61144</w:t>
      </w:r>
    </w:p>
    <w:p w14:paraId="4A5BBABE"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Manuscript Type: </w:t>
      </w:r>
      <w:r w:rsidRPr="00871C0B">
        <w:rPr>
          <w:rFonts w:ascii="Book Antiqua" w:eastAsia="Book Antiqua" w:hAnsi="Book Antiqua" w:cs="Book Antiqua"/>
          <w:color w:val="000000"/>
          <w:lang w:val="en-GB"/>
        </w:rPr>
        <w:t>OPINION REVIEW</w:t>
      </w:r>
    </w:p>
    <w:p w14:paraId="3C17E144" w14:textId="77777777" w:rsidR="00A77B3E" w:rsidRPr="00871C0B" w:rsidRDefault="00A77B3E" w:rsidP="00871C0B">
      <w:pPr>
        <w:spacing w:line="360" w:lineRule="auto"/>
        <w:jc w:val="both"/>
        <w:rPr>
          <w:rFonts w:ascii="Book Antiqua" w:hAnsi="Book Antiqua"/>
          <w:lang w:val="en-GB"/>
        </w:rPr>
      </w:pPr>
    </w:p>
    <w:p w14:paraId="7B29CA29"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Diabetes and COVID-19: Diseases of racial, social and glucose intolerance</w:t>
      </w:r>
    </w:p>
    <w:p w14:paraId="0D3D8CA5" w14:textId="77777777" w:rsidR="00A77B3E" w:rsidRPr="00871C0B" w:rsidRDefault="00A77B3E" w:rsidP="00871C0B">
      <w:pPr>
        <w:spacing w:line="360" w:lineRule="auto"/>
        <w:jc w:val="both"/>
        <w:rPr>
          <w:rFonts w:ascii="Book Antiqua" w:hAnsi="Book Antiqua"/>
          <w:lang w:val="en-GB"/>
        </w:rPr>
      </w:pPr>
    </w:p>
    <w:p w14:paraId="0D495243" w14:textId="77777777" w:rsidR="00A77B3E" w:rsidRPr="00871C0B" w:rsidRDefault="00D11695"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Chowdhury TA. </w:t>
      </w:r>
      <w:r w:rsidR="008B5DB2" w:rsidRPr="00871C0B">
        <w:rPr>
          <w:rFonts w:ascii="Book Antiqua" w:eastAsia="Book Antiqua" w:hAnsi="Book Antiqua" w:cs="Book Antiqua"/>
          <w:color w:val="000000"/>
          <w:lang w:val="en-GB"/>
        </w:rPr>
        <w:t>Diabetes and COVID-19</w:t>
      </w:r>
    </w:p>
    <w:p w14:paraId="50E59048" w14:textId="77777777" w:rsidR="00A77B3E" w:rsidRPr="00871C0B" w:rsidRDefault="00A77B3E" w:rsidP="00871C0B">
      <w:pPr>
        <w:spacing w:line="360" w:lineRule="auto"/>
        <w:jc w:val="both"/>
        <w:rPr>
          <w:rFonts w:ascii="Book Antiqua" w:hAnsi="Book Antiqua"/>
          <w:lang w:val="en-GB"/>
        </w:rPr>
      </w:pPr>
    </w:p>
    <w:p w14:paraId="11DCFFFD"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Tahseen A Chowdhury</w:t>
      </w:r>
    </w:p>
    <w:p w14:paraId="66553A9D" w14:textId="77777777" w:rsidR="00A77B3E" w:rsidRPr="00871C0B" w:rsidRDefault="00A77B3E" w:rsidP="00871C0B">
      <w:pPr>
        <w:spacing w:line="360" w:lineRule="auto"/>
        <w:jc w:val="both"/>
        <w:rPr>
          <w:rFonts w:ascii="Book Antiqua" w:hAnsi="Book Antiqua"/>
          <w:lang w:val="en-GB"/>
        </w:rPr>
      </w:pPr>
    </w:p>
    <w:p w14:paraId="6EB69198"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Tahseen A Chowdhury, </w:t>
      </w:r>
      <w:r w:rsidRPr="00871C0B">
        <w:rPr>
          <w:rFonts w:ascii="Book Antiqua" w:eastAsia="Book Antiqua" w:hAnsi="Book Antiqua" w:cs="Book Antiqua"/>
          <w:color w:val="000000"/>
          <w:lang w:val="en-GB"/>
        </w:rPr>
        <w:t>Department of Diabetes and Metabolism, The Royal London Hospital, London E1 1BB, United Kingdom</w:t>
      </w:r>
    </w:p>
    <w:p w14:paraId="6CFC5805" w14:textId="77777777" w:rsidR="00A77B3E" w:rsidRPr="00871C0B" w:rsidRDefault="00A77B3E" w:rsidP="00871C0B">
      <w:pPr>
        <w:spacing w:line="360" w:lineRule="auto"/>
        <w:jc w:val="both"/>
        <w:rPr>
          <w:rFonts w:ascii="Book Antiqua" w:hAnsi="Book Antiqua"/>
          <w:lang w:val="en-GB"/>
        </w:rPr>
      </w:pPr>
    </w:p>
    <w:p w14:paraId="27C9B5EC"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Author contributions: </w:t>
      </w:r>
      <w:r w:rsidRPr="00871C0B">
        <w:rPr>
          <w:rFonts w:ascii="Book Antiqua" w:eastAsia="Book Antiqua" w:hAnsi="Book Antiqua" w:cs="Book Antiqua"/>
          <w:color w:val="000000"/>
          <w:lang w:val="en-GB"/>
        </w:rPr>
        <w:t>The author</w:t>
      </w:r>
      <w:r w:rsidRPr="00871C0B">
        <w:rPr>
          <w:rFonts w:ascii="Book Antiqua" w:eastAsia="Book Antiqua" w:hAnsi="Book Antiqua" w:cs="Book Antiqua"/>
          <w:b/>
          <w:bCs/>
          <w:color w:val="000000"/>
          <w:lang w:val="en-GB"/>
        </w:rPr>
        <w:t xml:space="preserve"> </w:t>
      </w:r>
      <w:r w:rsidRPr="00871C0B">
        <w:rPr>
          <w:rFonts w:ascii="Book Antiqua" w:eastAsia="Book Antiqua" w:hAnsi="Book Antiqua" w:cs="Book Antiqua"/>
          <w:color w:val="000000"/>
          <w:lang w:val="en-GB"/>
        </w:rPr>
        <w:t>conceived of the manuscript and wrote the entire manuscript on his own.</w:t>
      </w:r>
    </w:p>
    <w:p w14:paraId="0054ED30" w14:textId="77777777" w:rsidR="00A77B3E" w:rsidRPr="00871C0B" w:rsidRDefault="00A77B3E" w:rsidP="00871C0B">
      <w:pPr>
        <w:spacing w:line="360" w:lineRule="auto"/>
        <w:jc w:val="both"/>
        <w:rPr>
          <w:rFonts w:ascii="Book Antiqua" w:hAnsi="Book Antiqua"/>
          <w:lang w:val="en-GB"/>
        </w:rPr>
      </w:pPr>
    </w:p>
    <w:p w14:paraId="551C04BB"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Corresponding author: Tahseen A Chowdhury, FRCP, MD, Professor, </w:t>
      </w:r>
      <w:r w:rsidRPr="00871C0B">
        <w:rPr>
          <w:rFonts w:ascii="Book Antiqua" w:eastAsia="Book Antiqua" w:hAnsi="Book Antiqua" w:cs="Book Antiqua"/>
          <w:color w:val="000000"/>
          <w:lang w:val="en-GB"/>
        </w:rPr>
        <w:t>Department of Diabetes and Metabolism, The Royal London Hospital, Whitechapel, London E1 1BB, United Kingdom. tahseen.chowdhury@nhs.net</w:t>
      </w:r>
    </w:p>
    <w:p w14:paraId="2EEE5FEA" w14:textId="77777777" w:rsidR="00A77B3E" w:rsidRPr="00871C0B" w:rsidRDefault="00A77B3E" w:rsidP="00871C0B">
      <w:pPr>
        <w:spacing w:line="360" w:lineRule="auto"/>
        <w:jc w:val="both"/>
        <w:rPr>
          <w:rFonts w:ascii="Book Antiqua" w:hAnsi="Book Antiqua"/>
          <w:lang w:val="en-GB"/>
        </w:rPr>
      </w:pPr>
    </w:p>
    <w:p w14:paraId="09E25E0A"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Received: </w:t>
      </w:r>
      <w:r w:rsidRPr="00871C0B">
        <w:rPr>
          <w:rFonts w:ascii="Book Antiqua" w:eastAsia="Book Antiqua" w:hAnsi="Book Antiqua" w:cs="Book Antiqua"/>
          <w:color w:val="000000"/>
          <w:lang w:val="en-GB"/>
        </w:rPr>
        <w:t>November 25, 2020</w:t>
      </w:r>
    </w:p>
    <w:p w14:paraId="4C3E6ACB"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Revised: </w:t>
      </w:r>
      <w:r w:rsidRPr="00871C0B">
        <w:rPr>
          <w:rFonts w:ascii="Book Antiqua" w:eastAsia="Book Antiqua" w:hAnsi="Book Antiqua" w:cs="Book Antiqua"/>
          <w:color w:val="000000"/>
          <w:lang w:val="en-GB"/>
        </w:rPr>
        <w:t>January 7, 2021</w:t>
      </w:r>
    </w:p>
    <w:p w14:paraId="1193BA53" w14:textId="6E52808F"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Accepted: </w:t>
      </w:r>
      <w:r w:rsidR="00273201" w:rsidRPr="00871C0B">
        <w:rPr>
          <w:rFonts w:ascii="Book Antiqua" w:eastAsia="Book Antiqua" w:hAnsi="Book Antiqua" w:cs="Book Antiqua"/>
          <w:color w:val="000000"/>
          <w:lang w:val="en-GB"/>
        </w:rPr>
        <w:t>January 22, 2021</w:t>
      </w:r>
    </w:p>
    <w:p w14:paraId="6B5FCE0D"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Published online: </w:t>
      </w:r>
    </w:p>
    <w:p w14:paraId="5570C900" w14:textId="77777777" w:rsidR="00A77B3E" w:rsidRPr="00871C0B" w:rsidRDefault="00A77B3E" w:rsidP="00871C0B">
      <w:pPr>
        <w:spacing w:line="360" w:lineRule="auto"/>
        <w:jc w:val="both"/>
        <w:rPr>
          <w:rFonts w:ascii="Book Antiqua" w:hAnsi="Book Antiqua"/>
          <w:lang w:val="en-GB"/>
        </w:rPr>
        <w:sectPr w:rsidR="00A77B3E" w:rsidRPr="00871C0B" w:rsidSect="00871C0B">
          <w:footerReference w:type="default" r:id="rId7"/>
          <w:pgSz w:w="12240" w:h="15840"/>
          <w:pgMar w:top="1440" w:right="1440" w:bottom="1440" w:left="1440" w:header="720" w:footer="720" w:gutter="0"/>
          <w:cols w:space="720"/>
          <w:docGrid w:linePitch="360"/>
        </w:sectPr>
      </w:pPr>
    </w:p>
    <w:p w14:paraId="62DBDDA3"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lastRenderedPageBreak/>
        <w:t>Abstract</w:t>
      </w:r>
    </w:p>
    <w:p w14:paraId="27D2B1D9" w14:textId="63F363FF"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Diabetes and </w:t>
      </w:r>
      <w:r w:rsidR="00D11695" w:rsidRPr="00871C0B">
        <w:rPr>
          <w:rFonts w:ascii="Book Antiqua" w:eastAsia="Book Antiqua" w:hAnsi="Book Antiqua" w:cs="Book Antiqua"/>
          <w:color w:val="000000"/>
          <w:lang w:val="en-GB"/>
        </w:rPr>
        <w:t>coronavirus disease 2019 (</w:t>
      </w:r>
      <w:r w:rsidRPr="00871C0B">
        <w:rPr>
          <w:rFonts w:ascii="Book Antiqua" w:eastAsia="Book Antiqua" w:hAnsi="Book Antiqua" w:cs="Book Antiqua"/>
          <w:color w:val="000000"/>
          <w:lang w:val="en-GB"/>
        </w:rPr>
        <w:t>COVID-19</w:t>
      </w:r>
      <w:r w:rsidR="00D11695"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 are worldwide pandemics that have had a major impact on public health throughout the globe. Risk factors for developing diabetes and having adverse outcomes of COVID-19 appear to be similar; metabolic factors (such as obesity), non-White ethnicity and poorer socioeconomic status appear to be risk factors for both. Diabetes and COVID-19 have a significant effect on populations adversely affected by health inequality. Whilst we hope that COVID-19 will be mitigated by widespread use of vaccines, no such prospect exists for mitigating the pandemic of diabetes. In this brief opinion review, I compare risk factors for diabetes and adverse outcomes of COVID-19 and argue that tackling health and social inequality is likely to play a major role in solving the global diabetes pandemic and improve outcomes of COVID-19. </w:t>
      </w:r>
    </w:p>
    <w:p w14:paraId="58FDA06E" w14:textId="77777777" w:rsidR="00A77B3E" w:rsidRPr="00871C0B" w:rsidRDefault="00A77B3E" w:rsidP="00871C0B">
      <w:pPr>
        <w:spacing w:line="360" w:lineRule="auto"/>
        <w:jc w:val="both"/>
        <w:rPr>
          <w:rFonts w:ascii="Book Antiqua" w:hAnsi="Book Antiqua"/>
          <w:lang w:val="en-GB"/>
        </w:rPr>
      </w:pPr>
    </w:p>
    <w:p w14:paraId="15008A8F"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Key Words: </w:t>
      </w:r>
      <w:r w:rsidRPr="00871C0B">
        <w:rPr>
          <w:rFonts w:ascii="Book Antiqua" w:eastAsia="Book Antiqua" w:hAnsi="Book Antiqua" w:cs="Book Antiqua"/>
          <w:color w:val="000000"/>
          <w:lang w:val="en-GB"/>
        </w:rPr>
        <w:t xml:space="preserve">Diabetes; COVID-19; Ethnicity; Health </w:t>
      </w:r>
      <w:r w:rsidR="00D11695" w:rsidRPr="00871C0B">
        <w:rPr>
          <w:rFonts w:ascii="Book Antiqua" w:eastAsia="Book Antiqua" w:hAnsi="Book Antiqua" w:cs="Book Antiqua"/>
          <w:color w:val="000000"/>
          <w:lang w:val="en-GB"/>
        </w:rPr>
        <w:t>i</w:t>
      </w:r>
      <w:r w:rsidRPr="00871C0B">
        <w:rPr>
          <w:rFonts w:ascii="Book Antiqua" w:eastAsia="Book Antiqua" w:hAnsi="Book Antiqua" w:cs="Book Antiqua"/>
          <w:color w:val="000000"/>
          <w:lang w:val="en-GB"/>
        </w:rPr>
        <w:t xml:space="preserve">nequality; Social </w:t>
      </w:r>
      <w:r w:rsidR="00D11695" w:rsidRPr="00871C0B">
        <w:rPr>
          <w:rFonts w:ascii="Book Antiqua" w:eastAsia="Book Antiqua" w:hAnsi="Book Antiqua" w:cs="Book Antiqua"/>
          <w:color w:val="000000"/>
          <w:lang w:val="en-GB"/>
        </w:rPr>
        <w:t>in</w:t>
      </w:r>
      <w:r w:rsidRPr="00871C0B">
        <w:rPr>
          <w:rFonts w:ascii="Book Antiqua" w:eastAsia="Book Antiqua" w:hAnsi="Book Antiqua" w:cs="Book Antiqua"/>
          <w:color w:val="000000"/>
          <w:lang w:val="en-GB"/>
        </w:rPr>
        <w:t>equality; Risk factors</w:t>
      </w:r>
    </w:p>
    <w:p w14:paraId="50D04752" w14:textId="77777777" w:rsidR="00A77B3E" w:rsidRPr="00871C0B" w:rsidRDefault="00A77B3E" w:rsidP="00871C0B">
      <w:pPr>
        <w:spacing w:line="360" w:lineRule="auto"/>
        <w:jc w:val="both"/>
        <w:rPr>
          <w:rFonts w:ascii="Book Antiqua" w:hAnsi="Book Antiqua"/>
          <w:lang w:val="en-GB"/>
        </w:rPr>
      </w:pPr>
    </w:p>
    <w:p w14:paraId="614CF78B"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Chowdhury TA. Diabetes and COVID-19: Diseases of racial, social and glucose intolerance. </w:t>
      </w:r>
      <w:r w:rsidRPr="00871C0B">
        <w:rPr>
          <w:rFonts w:ascii="Book Antiqua" w:eastAsia="Book Antiqua" w:hAnsi="Book Antiqua" w:cs="Book Antiqua"/>
          <w:i/>
          <w:iCs/>
          <w:color w:val="000000"/>
          <w:lang w:val="en-GB"/>
        </w:rPr>
        <w:t>World J Diabetes</w:t>
      </w:r>
      <w:r w:rsidRPr="00871C0B">
        <w:rPr>
          <w:rFonts w:ascii="Book Antiqua" w:eastAsia="Book Antiqua" w:hAnsi="Book Antiqua" w:cs="Book Antiqua"/>
          <w:color w:val="000000"/>
          <w:lang w:val="en-GB"/>
        </w:rPr>
        <w:t xml:space="preserve"> 2021; In press</w:t>
      </w:r>
    </w:p>
    <w:p w14:paraId="60C178C5" w14:textId="77777777" w:rsidR="00A77B3E" w:rsidRPr="00871C0B" w:rsidRDefault="00A77B3E" w:rsidP="00871C0B">
      <w:pPr>
        <w:spacing w:line="360" w:lineRule="auto"/>
        <w:jc w:val="both"/>
        <w:rPr>
          <w:rFonts w:ascii="Book Antiqua" w:hAnsi="Book Antiqua"/>
          <w:lang w:val="en-GB"/>
        </w:rPr>
      </w:pPr>
    </w:p>
    <w:p w14:paraId="7942FF45" w14:textId="0B501C29"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Core Tip: </w:t>
      </w:r>
      <w:r w:rsidRPr="00871C0B">
        <w:rPr>
          <w:rFonts w:ascii="Book Antiqua" w:eastAsia="Book Antiqua" w:hAnsi="Book Antiqua" w:cs="Book Antiqua"/>
          <w:color w:val="000000"/>
          <w:lang w:val="en-GB"/>
        </w:rPr>
        <w:t xml:space="preserve">Diabetes and </w:t>
      </w:r>
      <w:r w:rsidR="00D11695" w:rsidRPr="00871C0B">
        <w:rPr>
          <w:rFonts w:ascii="Book Antiqua" w:eastAsia="Book Antiqua" w:hAnsi="Book Antiqua" w:cs="Book Antiqua"/>
          <w:color w:val="000000"/>
          <w:lang w:val="en-GB"/>
        </w:rPr>
        <w:t>coronavirus disease 2019</w:t>
      </w:r>
      <w:r w:rsidRPr="00871C0B">
        <w:rPr>
          <w:rFonts w:ascii="Book Antiqua" w:eastAsia="Book Antiqua" w:hAnsi="Book Antiqua" w:cs="Book Antiqua"/>
          <w:color w:val="000000"/>
          <w:lang w:val="en-GB"/>
        </w:rPr>
        <w:t xml:space="preserve"> are both global pandemics </w:t>
      </w:r>
      <w:r w:rsidR="00EE4B70">
        <w:rPr>
          <w:rFonts w:ascii="Book Antiqua" w:eastAsia="Book Antiqua" w:hAnsi="Book Antiqua" w:cs="Book Antiqua"/>
          <w:color w:val="000000"/>
          <w:lang w:val="en-GB"/>
        </w:rPr>
        <w:t>that</w:t>
      </w:r>
      <w:r w:rsidRPr="00871C0B">
        <w:rPr>
          <w:rFonts w:ascii="Book Antiqua" w:eastAsia="Book Antiqua" w:hAnsi="Book Antiqua" w:cs="Book Antiqua"/>
          <w:color w:val="000000"/>
          <w:lang w:val="en-GB"/>
        </w:rPr>
        <w:t xml:space="preserve"> cause more severe disease in people of non-White ethnicity and lower socioeconomic status. Improving social justice and reducing health inequalities will reduce the risk of both conditions considerably.</w:t>
      </w:r>
    </w:p>
    <w:p w14:paraId="1A47F4E0" w14:textId="77777777" w:rsidR="00A77B3E" w:rsidRPr="00871C0B" w:rsidRDefault="00D11695" w:rsidP="00871C0B">
      <w:pPr>
        <w:spacing w:line="360" w:lineRule="auto"/>
        <w:jc w:val="both"/>
        <w:rPr>
          <w:rFonts w:ascii="Book Antiqua" w:hAnsi="Book Antiqua"/>
          <w:lang w:val="en-GB"/>
        </w:rPr>
      </w:pPr>
      <w:r w:rsidRPr="00871C0B">
        <w:rPr>
          <w:rFonts w:ascii="Book Antiqua" w:hAnsi="Book Antiqua"/>
          <w:lang w:val="en-GB"/>
        </w:rPr>
        <w:br w:type="page"/>
      </w:r>
      <w:r w:rsidR="008B5DB2" w:rsidRPr="00871C0B">
        <w:rPr>
          <w:rFonts w:ascii="Book Antiqua" w:eastAsia="Book Antiqua" w:hAnsi="Book Antiqua" w:cs="Book Antiqua"/>
          <w:b/>
          <w:caps/>
          <w:color w:val="000000"/>
          <w:u w:val="single"/>
          <w:lang w:val="en-GB"/>
        </w:rPr>
        <w:lastRenderedPageBreak/>
        <w:t>INTRODUCTION</w:t>
      </w:r>
    </w:p>
    <w:p w14:paraId="558A0420" w14:textId="3D12A335" w:rsidR="00A77B3E" w:rsidRPr="00871C0B" w:rsidRDefault="008B5DB2" w:rsidP="00871C0B">
      <w:pPr>
        <w:spacing w:line="360" w:lineRule="auto"/>
        <w:jc w:val="both"/>
        <w:rPr>
          <w:rFonts w:ascii="Book Antiqua" w:hAnsi="Book Antiqua"/>
          <w:lang w:val="en-GB"/>
        </w:rPr>
      </w:pPr>
      <w:r w:rsidRPr="00871C0B">
        <w:rPr>
          <w:rStyle w:val="highlight"/>
          <w:rFonts w:ascii="Book Antiqua" w:eastAsia="Book Antiqua" w:hAnsi="Book Antiqua" w:cs="Book Antiqua"/>
          <w:color w:val="000000"/>
          <w:lang w:val="en-GB"/>
        </w:rPr>
        <w:t>Diabetes and coronavirus disease 2019 (COVID-19) are two global pandemics that have sharply contrasting features but also some significant similarities. COVID-19</w:t>
      </w:r>
      <w:r w:rsidRPr="00871C0B">
        <w:rPr>
          <w:rFonts w:ascii="Book Antiqua" w:eastAsia="Book Antiqua" w:hAnsi="Book Antiqua" w:cs="Book Antiqua"/>
          <w:color w:val="000000"/>
          <w:lang w:val="en-GB"/>
        </w:rPr>
        <w:t>, caused by the severe acute respiratory syndrome coronavirus-2 (SARS-CoV-2), emerged in 2019 and rapidly became a global public health emergency, leading to implementation of extraordinary public health measures and huge economic and societal costs</w:t>
      </w:r>
      <w:r w:rsidRPr="00871C0B">
        <w:rPr>
          <w:rFonts w:ascii="Book Antiqua" w:eastAsia="Book Antiqua" w:hAnsi="Book Antiqua" w:cs="Book Antiqua"/>
          <w:color w:val="000000"/>
          <w:vertAlign w:val="superscript"/>
          <w:lang w:val="en-GB"/>
        </w:rPr>
        <w:t>[1]</w:t>
      </w:r>
      <w:r w:rsidRPr="00871C0B">
        <w:rPr>
          <w:rFonts w:ascii="Book Antiqua" w:eastAsia="Book Antiqua" w:hAnsi="Book Antiqua" w:cs="Book Antiqua"/>
          <w:color w:val="000000"/>
          <w:lang w:val="en-GB"/>
        </w:rPr>
        <w:t>. At the time of writing, the condition has caused over 1</w:t>
      </w:r>
      <w:r w:rsidR="008647C1">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9</w:t>
      </w:r>
      <w:r w:rsidR="008647C1">
        <w:rPr>
          <w:rFonts w:ascii="Book Antiqua" w:eastAsia="Book Antiqua" w:hAnsi="Book Antiqua" w:cs="Book Antiqua"/>
          <w:color w:val="000000"/>
          <w:lang w:val="en-GB"/>
        </w:rPr>
        <w:t>000,000</w:t>
      </w:r>
      <w:r w:rsidRPr="00871C0B">
        <w:rPr>
          <w:rFonts w:ascii="Book Antiqua" w:eastAsia="Book Antiqua" w:hAnsi="Book Antiqua" w:cs="Book Antiqua"/>
          <w:color w:val="000000"/>
          <w:lang w:val="en-GB"/>
        </w:rPr>
        <w:t xml:space="preserve"> deaths worldwide</w:t>
      </w:r>
      <w:r w:rsidRPr="00871C0B">
        <w:rPr>
          <w:rFonts w:ascii="Book Antiqua" w:eastAsia="Book Antiqua" w:hAnsi="Book Antiqua" w:cs="Book Antiqua"/>
          <w:color w:val="000000"/>
          <w:vertAlign w:val="superscript"/>
          <w:lang w:val="en-GB"/>
        </w:rPr>
        <w:t>[2]</w:t>
      </w:r>
      <w:r w:rsidRPr="00871C0B">
        <w:rPr>
          <w:rFonts w:ascii="Book Antiqua" w:eastAsia="Book Antiqua" w:hAnsi="Book Antiqua" w:cs="Book Antiqua"/>
          <w:color w:val="000000"/>
          <w:lang w:val="en-GB"/>
        </w:rPr>
        <w:t xml:space="preserve">. </w:t>
      </w:r>
      <w:r w:rsidR="000A0103">
        <w:rPr>
          <w:rFonts w:ascii="Book Antiqua" w:eastAsia="Book Antiqua" w:hAnsi="Book Antiqua" w:cs="Book Antiqua"/>
          <w:color w:val="000000"/>
          <w:lang w:val="en-GB"/>
        </w:rPr>
        <w:t>However, t</w:t>
      </w:r>
      <w:r w:rsidRPr="00871C0B">
        <w:rPr>
          <w:rFonts w:ascii="Book Antiqua" w:eastAsia="Book Antiqua" w:hAnsi="Book Antiqua" w:cs="Book Antiqua"/>
          <w:color w:val="000000"/>
          <w:lang w:val="en-GB"/>
        </w:rPr>
        <w:t>his is likely to be less than 50% of the deaths due to diabetes in 2020</w:t>
      </w:r>
      <w:r w:rsidR="000A0103">
        <w:rPr>
          <w:rFonts w:ascii="Book Antiqua" w:eastAsia="Book Antiqua" w:hAnsi="Book Antiqua" w:cs="Book Antiqua"/>
          <w:bCs/>
          <w:color w:val="000000"/>
          <w:lang w:val="en-GB"/>
        </w:rPr>
        <w:t xml:space="preserve">; </w:t>
      </w:r>
      <w:r w:rsidRPr="00871C0B">
        <w:rPr>
          <w:rFonts w:ascii="Book Antiqua" w:eastAsia="Book Antiqua" w:hAnsi="Book Antiqua" w:cs="Book Antiqua"/>
          <w:color w:val="000000"/>
          <w:lang w:val="en-GB"/>
        </w:rPr>
        <w:t>the condition caused 4</w:t>
      </w:r>
      <w:r w:rsidR="008647C1">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2</w:t>
      </w:r>
      <w:r w:rsidR="008647C1">
        <w:rPr>
          <w:rFonts w:ascii="Book Antiqua" w:eastAsia="Book Antiqua" w:hAnsi="Book Antiqua" w:cs="Book Antiqua"/>
          <w:color w:val="000000"/>
          <w:lang w:val="en-GB"/>
        </w:rPr>
        <w:t>00,000</w:t>
      </w:r>
      <w:r w:rsidRPr="00871C0B">
        <w:rPr>
          <w:rFonts w:ascii="Book Antiqua" w:eastAsia="Book Antiqua" w:hAnsi="Book Antiqua" w:cs="Book Antiqua"/>
          <w:color w:val="000000"/>
          <w:lang w:val="en-GB"/>
        </w:rPr>
        <w:t xml:space="preserve"> deaths worldwide in 2019</w:t>
      </w:r>
      <w:r w:rsidRPr="00871C0B">
        <w:rPr>
          <w:rFonts w:ascii="Book Antiqua" w:eastAsia="Book Antiqua" w:hAnsi="Book Antiqua" w:cs="Book Antiqua"/>
          <w:color w:val="000000"/>
          <w:vertAlign w:val="superscript"/>
          <w:lang w:val="en-GB"/>
        </w:rPr>
        <w:t>[3]</w:t>
      </w:r>
      <w:r w:rsidRPr="00871C0B">
        <w:rPr>
          <w:rFonts w:ascii="Book Antiqua" w:eastAsia="Book Antiqua" w:hAnsi="Book Antiqua" w:cs="Book Antiqua"/>
          <w:color w:val="000000"/>
          <w:lang w:val="en-GB"/>
        </w:rPr>
        <w:t>, illustrating the fact that the diabetes pandemic has been perhaps more slow burning but no less fatal. The global diabetes prevalence in 2019 was estimated to be 9.3% (463</w:t>
      </w:r>
      <w:r w:rsidR="008647C1">
        <w:rPr>
          <w:rFonts w:ascii="Book Antiqua" w:eastAsia="Book Antiqua" w:hAnsi="Book Antiqua" w:cs="Book Antiqua"/>
          <w:color w:val="000000"/>
          <w:lang w:val="en-GB"/>
        </w:rPr>
        <w:t>,000,000</w:t>
      </w:r>
      <w:r w:rsidRPr="00871C0B">
        <w:rPr>
          <w:rFonts w:ascii="Book Antiqua" w:eastAsia="Book Antiqua" w:hAnsi="Book Antiqua" w:cs="Book Antiqua"/>
          <w:color w:val="000000"/>
          <w:lang w:val="en-GB"/>
        </w:rPr>
        <w:t xml:space="preserve"> people), rising to 10.2% (578</w:t>
      </w:r>
      <w:r w:rsidR="008647C1">
        <w:rPr>
          <w:rFonts w:ascii="Book Antiqua" w:eastAsia="Book Antiqua" w:hAnsi="Book Antiqua" w:cs="Book Antiqua"/>
          <w:color w:val="000000"/>
          <w:lang w:val="en-GB"/>
        </w:rPr>
        <w:t>,000,000</w:t>
      </w:r>
      <w:r w:rsidRPr="00871C0B">
        <w:rPr>
          <w:rFonts w:ascii="Book Antiqua" w:eastAsia="Book Antiqua" w:hAnsi="Book Antiqua" w:cs="Book Antiqua"/>
          <w:color w:val="000000"/>
          <w:lang w:val="en-GB"/>
        </w:rPr>
        <w:t>) by 2030 and 10.9% (700</w:t>
      </w:r>
      <w:r w:rsidR="008647C1">
        <w:rPr>
          <w:rFonts w:ascii="Book Antiqua" w:eastAsia="Book Antiqua" w:hAnsi="Book Antiqua" w:cs="Book Antiqua"/>
          <w:color w:val="000000"/>
          <w:lang w:val="en-GB"/>
        </w:rPr>
        <w:t>,000,000</w:t>
      </w:r>
      <w:r w:rsidRPr="00871C0B">
        <w:rPr>
          <w:rFonts w:ascii="Book Antiqua" w:eastAsia="Book Antiqua" w:hAnsi="Book Antiqua" w:cs="Book Antiqua"/>
          <w:color w:val="000000"/>
          <w:lang w:val="en-GB"/>
        </w:rPr>
        <w:t>) by 2045</w:t>
      </w:r>
      <w:r w:rsidRPr="00871C0B">
        <w:rPr>
          <w:rFonts w:ascii="Book Antiqua" w:eastAsia="Book Antiqua" w:hAnsi="Book Antiqua" w:cs="Book Antiqua"/>
          <w:color w:val="000000"/>
          <w:vertAlign w:val="superscript"/>
          <w:lang w:val="en-GB"/>
        </w:rPr>
        <w:t>[4]</w:t>
      </w:r>
      <w:r w:rsidRPr="00871C0B">
        <w:rPr>
          <w:rFonts w:ascii="Book Antiqua" w:eastAsia="Book Antiqua" w:hAnsi="Book Antiqua" w:cs="Book Antiqua"/>
          <w:color w:val="000000"/>
          <w:lang w:val="en-GB"/>
        </w:rPr>
        <w:t xml:space="preserve">. </w:t>
      </w:r>
    </w:p>
    <w:p w14:paraId="2ACD15CB" w14:textId="77777777" w:rsidR="00A77B3E" w:rsidRPr="00871C0B" w:rsidRDefault="008B5DB2" w:rsidP="00871C0B">
      <w:pPr>
        <w:spacing w:line="360" w:lineRule="auto"/>
        <w:ind w:firstLineChars="100" w:firstLine="240"/>
        <w:jc w:val="both"/>
        <w:rPr>
          <w:rFonts w:ascii="Book Antiqua" w:hAnsi="Book Antiqua"/>
          <w:lang w:val="en-GB"/>
        </w:rPr>
      </w:pPr>
      <w:r w:rsidRPr="00871C0B">
        <w:rPr>
          <w:rFonts w:ascii="Book Antiqua" w:eastAsia="Book Antiqua" w:hAnsi="Book Antiqua" w:cs="Book Antiqua"/>
          <w:color w:val="000000"/>
          <w:lang w:val="en-GB"/>
        </w:rPr>
        <w:t>In this viewpoint, I compare and contrast the two pandemics and their intersection, with particular reference to data from the U</w:t>
      </w:r>
      <w:r w:rsidR="00D11695" w:rsidRPr="00871C0B">
        <w:rPr>
          <w:rFonts w:ascii="Book Antiqua" w:eastAsia="Book Antiqua" w:hAnsi="Book Antiqua" w:cs="Book Antiqua"/>
          <w:color w:val="000000"/>
          <w:lang w:val="en-GB"/>
        </w:rPr>
        <w:t xml:space="preserve">nited </w:t>
      </w:r>
      <w:r w:rsidRPr="00871C0B">
        <w:rPr>
          <w:rFonts w:ascii="Book Antiqua" w:eastAsia="Book Antiqua" w:hAnsi="Book Antiqua" w:cs="Book Antiqua"/>
          <w:color w:val="000000"/>
          <w:lang w:val="en-GB"/>
        </w:rPr>
        <w:t>K</w:t>
      </w:r>
      <w:r w:rsidR="00D11695" w:rsidRPr="00871C0B">
        <w:rPr>
          <w:rFonts w:ascii="Book Antiqua" w:eastAsia="Book Antiqua" w:hAnsi="Book Antiqua" w:cs="Book Antiqua"/>
          <w:color w:val="000000"/>
          <w:lang w:val="en-GB"/>
        </w:rPr>
        <w:t>ingdom</w:t>
      </w:r>
      <w:r w:rsidRPr="00871C0B">
        <w:rPr>
          <w:rFonts w:ascii="Book Antiqua" w:eastAsia="Book Antiqua" w:hAnsi="Book Antiqua" w:cs="Book Antiqua"/>
          <w:color w:val="000000"/>
          <w:lang w:val="en-GB"/>
        </w:rPr>
        <w:t>.</w:t>
      </w:r>
    </w:p>
    <w:p w14:paraId="18C9E23E" w14:textId="77777777" w:rsidR="00A77B3E" w:rsidRPr="00871C0B" w:rsidRDefault="00A77B3E" w:rsidP="00871C0B">
      <w:pPr>
        <w:spacing w:line="360" w:lineRule="auto"/>
        <w:jc w:val="both"/>
        <w:rPr>
          <w:rFonts w:ascii="Book Antiqua" w:hAnsi="Book Antiqua"/>
          <w:lang w:val="en-GB"/>
        </w:rPr>
      </w:pPr>
    </w:p>
    <w:p w14:paraId="13F921AB"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aps/>
          <w:color w:val="000000"/>
          <w:u w:val="single"/>
          <w:lang w:val="en-GB"/>
        </w:rPr>
        <w:t>DIABETES AND COVID-19 ARE RACIALLY INTOLERANT</w:t>
      </w:r>
    </w:p>
    <w:p w14:paraId="578D58FD"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i/>
          <w:iCs/>
          <w:color w:val="000000"/>
          <w:lang w:val="en-GB"/>
        </w:rPr>
        <w:t>Diabetes an</w:t>
      </w:r>
      <w:r w:rsidR="00D11695" w:rsidRPr="00871C0B">
        <w:rPr>
          <w:rFonts w:ascii="Book Antiqua" w:eastAsia="Book Antiqua" w:hAnsi="Book Antiqua" w:cs="Book Antiqua"/>
          <w:b/>
          <w:bCs/>
          <w:i/>
          <w:iCs/>
          <w:color w:val="000000"/>
          <w:lang w:val="en-GB"/>
        </w:rPr>
        <w:t>d eth</w:t>
      </w:r>
      <w:r w:rsidRPr="00871C0B">
        <w:rPr>
          <w:rFonts w:ascii="Book Antiqua" w:eastAsia="Book Antiqua" w:hAnsi="Book Antiqua" w:cs="Book Antiqua"/>
          <w:b/>
          <w:bCs/>
          <w:i/>
          <w:iCs/>
          <w:color w:val="000000"/>
          <w:lang w:val="en-GB"/>
        </w:rPr>
        <w:t>nicity</w:t>
      </w:r>
    </w:p>
    <w:p w14:paraId="649BC0C4" w14:textId="5C03B584"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For many years it has been recognised that </w:t>
      </w:r>
      <w:r w:rsidR="00D11695" w:rsidRPr="00871C0B">
        <w:rPr>
          <w:rFonts w:ascii="Book Antiqua" w:eastAsia="Book Antiqua" w:hAnsi="Book Antiqua" w:cs="Book Antiqua"/>
          <w:color w:val="000000"/>
          <w:lang w:val="en-GB"/>
        </w:rPr>
        <w:t>type 2 diabetes mellitus (</w:t>
      </w:r>
      <w:r w:rsidRPr="00871C0B">
        <w:rPr>
          <w:rFonts w:ascii="Book Antiqua" w:eastAsia="Book Antiqua" w:hAnsi="Book Antiqua" w:cs="Book Antiqua"/>
          <w:color w:val="000000"/>
          <w:lang w:val="en-GB"/>
        </w:rPr>
        <w:t>T2D</w:t>
      </w:r>
      <w:r w:rsidR="00D11695"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 affects certain ethnic groups more than others. In the </w:t>
      </w:r>
      <w:r w:rsidR="00D11695" w:rsidRPr="00871C0B">
        <w:rPr>
          <w:rFonts w:ascii="Book Antiqua" w:eastAsia="Book Antiqua" w:hAnsi="Book Antiqua" w:cs="Book Antiqua"/>
          <w:color w:val="000000"/>
          <w:lang w:val="en-GB"/>
        </w:rPr>
        <w:t>United Kingdom</w:t>
      </w:r>
      <w:r w:rsidRPr="00871C0B">
        <w:rPr>
          <w:rFonts w:ascii="Book Antiqua" w:eastAsia="Book Antiqua" w:hAnsi="Book Antiqua" w:cs="Book Antiqua"/>
          <w:color w:val="000000"/>
          <w:lang w:val="en-GB"/>
        </w:rPr>
        <w:t>, this was first described in the Southall study, focusing on ethnicity in West London</w:t>
      </w:r>
      <w:r w:rsidRPr="00871C0B">
        <w:rPr>
          <w:rFonts w:ascii="Book Antiqua" w:eastAsia="Book Antiqua" w:hAnsi="Book Antiqua" w:cs="Book Antiqua"/>
          <w:color w:val="000000"/>
          <w:vertAlign w:val="superscript"/>
          <w:lang w:val="en-GB"/>
        </w:rPr>
        <w:t>[5]</w:t>
      </w:r>
      <w:r w:rsidRPr="00871C0B">
        <w:rPr>
          <w:rFonts w:ascii="Book Antiqua" w:eastAsia="Book Antiqua" w:hAnsi="Book Antiqua" w:cs="Book Antiqua"/>
          <w:color w:val="000000"/>
          <w:lang w:val="en-GB"/>
        </w:rPr>
        <w:t>. Older studies suggested a five-fold increased risk for the development of T2D amongst South Asians compared to White Europeans, although more recent data suggests that this risk is more in the region of 2-2.5 times greater</w:t>
      </w:r>
      <w:r w:rsidRPr="00871C0B">
        <w:rPr>
          <w:rFonts w:ascii="Book Antiqua" w:eastAsia="Book Antiqua" w:hAnsi="Book Antiqua" w:cs="Book Antiqua"/>
          <w:color w:val="000000"/>
          <w:vertAlign w:val="superscript"/>
          <w:lang w:val="en-GB"/>
        </w:rPr>
        <w:t>[6]</w:t>
      </w:r>
      <w:r w:rsidRPr="00871C0B">
        <w:rPr>
          <w:rFonts w:ascii="Book Antiqua" w:eastAsia="Book Antiqua" w:hAnsi="Book Antiqua" w:cs="Book Antiqua"/>
          <w:color w:val="000000"/>
          <w:lang w:val="en-GB"/>
        </w:rPr>
        <w:t xml:space="preserve">. There is also data to suggest that South Asians develop diabetes around </w:t>
      </w:r>
      <w:r w:rsidR="008A3780">
        <w:rPr>
          <w:rFonts w:ascii="Book Antiqua" w:eastAsia="Book Antiqua" w:hAnsi="Book Antiqua" w:cs="Book Antiqua"/>
          <w:color w:val="000000"/>
          <w:lang w:val="en-GB"/>
        </w:rPr>
        <w:t>5</w:t>
      </w:r>
      <w:r w:rsidR="008A3780" w:rsidRPr="00871C0B">
        <w:rPr>
          <w:rFonts w:ascii="Book Antiqua" w:eastAsia="Book Antiqua" w:hAnsi="Book Antiqua" w:cs="Book Antiqua"/>
          <w:color w:val="000000"/>
          <w:lang w:val="en-GB"/>
        </w:rPr>
        <w:t xml:space="preserve"> </w:t>
      </w:r>
      <w:r w:rsidRPr="00871C0B">
        <w:rPr>
          <w:rFonts w:ascii="Book Antiqua" w:eastAsia="Book Antiqua" w:hAnsi="Book Antiqua" w:cs="Book Antiqua"/>
          <w:color w:val="000000"/>
          <w:lang w:val="en-GB"/>
        </w:rPr>
        <w:t>years earlier than their White European counterparts</w:t>
      </w:r>
      <w:r w:rsidRPr="00871C0B">
        <w:rPr>
          <w:rFonts w:ascii="Book Antiqua" w:eastAsia="Book Antiqua" w:hAnsi="Book Antiqua" w:cs="Book Antiqua"/>
          <w:color w:val="000000"/>
          <w:vertAlign w:val="superscript"/>
          <w:lang w:val="en-GB"/>
        </w:rPr>
        <w:t>[7-9]</w:t>
      </w:r>
      <w:r w:rsidRPr="00871C0B">
        <w:rPr>
          <w:rFonts w:ascii="Book Antiqua" w:eastAsia="Book Antiqua" w:hAnsi="Book Antiqua" w:cs="Book Antiqua"/>
          <w:color w:val="000000"/>
          <w:lang w:val="en-GB"/>
        </w:rPr>
        <w:t>, and as duration of diabetes is a significant risk factor for development of complications, this means that South Asians are more likely to be susceptible to complications of diabetes at an earlier age. Indeed</w:t>
      </w:r>
      <w:r w:rsidR="001E5FF6">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 complications such as cardiovascular disease, renal disease and eye disease are up to 50% higher than that of White Europeans</w:t>
      </w:r>
      <w:r w:rsidRPr="00871C0B">
        <w:rPr>
          <w:rFonts w:ascii="Book Antiqua" w:eastAsia="Book Antiqua" w:hAnsi="Book Antiqua" w:cs="Book Antiqua"/>
          <w:color w:val="000000"/>
          <w:vertAlign w:val="superscript"/>
          <w:lang w:val="en-GB"/>
        </w:rPr>
        <w:t>[9-13]</w:t>
      </w:r>
      <w:r w:rsidRPr="00871C0B">
        <w:rPr>
          <w:rFonts w:ascii="Book Antiqua" w:eastAsia="Book Antiqua" w:hAnsi="Book Antiqua" w:cs="Book Antiqua"/>
          <w:color w:val="000000"/>
          <w:lang w:val="en-GB"/>
        </w:rPr>
        <w:t xml:space="preserve">. Amongst other ethnicities in the </w:t>
      </w:r>
      <w:r w:rsidR="00D11695" w:rsidRPr="00871C0B">
        <w:rPr>
          <w:rFonts w:ascii="Book Antiqua" w:eastAsia="Book Antiqua" w:hAnsi="Book Antiqua" w:cs="Book Antiqua"/>
          <w:color w:val="000000"/>
          <w:lang w:val="en-GB"/>
        </w:rPr>
        <w:t>United Kingdom</w:t>
      </w:r>
      <w:r w:rsidRPr="00871C0B">
        <w:rPr>
          <w:rFonts w:ascii="Book Antiqua" w:eastAsia="Book Antiqua" w:hAnsi="Book Antiqua" w:cs="Book Antiqua"/>
          <w:color w:val="000000"/>
          <w:lang w:val="en-GB"/>
        </w:rPr>
        <w:t>, Black African and Caribbean ethnicities also show an increased risk for the development of T2D of around 1.5-2 times that of White Europeans</w:t>
      </w:r>
      <w:r w:rsidRPr="00871C0B">
        <w:rPr>
          <w:rFonts w:ascii="Book Antiqua" w:eastAsia="Book Antiqua" w:hAnsi="Book Antiqua" w:cs="Book Antiqua"/>
          <w:color w:val="000000"/>
          <w:vertAlign w:val="superscript"/>
          <w:lang w:val="en-GB"/>
        </w:rPr>
        <w:t>[14]</w:t>
      </w:r>
      <w:r w:rsidRPr="00871C0B">
        <w:rPr>
          <w:rFonts w:ascii="Book Antiqua" w:eastAsia="Book Antiqua" w:hAnsi="Book Antiqua" w:cs="Book Antiqua"/>
          <w:color w:val="000000"/>
          <w:lang w:val="en-GB"/>
        </w:rPr>
        <w:t>.</w:t>
      </w:r>
    </w:p>
    <w:p w14:paraId="463F1DC2" w14:textId="473A6BBA" w:rsidR="00A77B3E" w:rsidRPr="00871C0B" w:rsidRDefault="008B5DB2" w:rsidP="00871C0B">
      <w:pPr>
        <w:spacing w:line="360" w:lineRule="auto"/>
        <w:ind w:firstLineChars="100" w:firstLine="240"/>
        <w:jc w:val="both"/>
        <w:rPr>
          <w:rFonts w:ascii="Book Antiqua" w:hAnsi="Book Antiqua"/>
          <w:lang w:val="en-GB"/>
        </w:rPr>
      </w:pPr>
      <w:r w:rsidRPr="00871C0B">
        <w:rPr>
          <w:rFonts w:ascii="Book Antiqua" w:eastAsia="Book Antiqua" w:hAnsi="Book Antiqua" w:cs="Book Antiqua"/>
          <w:color w:val="000000"/>
          <w:lang w:val="en-GB"/>
        </w:rPr>
        <w:lastRenderedPageBreak/>
        <w:t>The reason for the increased risk of T2D amongst South Asians is far from clear. Bhopal</w:t>
      </w:r>
      <w:r w:rsidR="006F352F" w:rsidRPr="00871C0B">
        <w:rPr>
          <w:rFonts w:ascii="Book Antiqua" w:eastAsia="Book Antiqua" w:hAnsi="Book Antiqua" w:cs="Book Antiqua"/>
          <w:color w:val="000000"/>
          <w:vertAlign w:val="superscript"/>
          <w:lang w:val="en-GB"/>
        </w:rPr>
        <w:t>[1</w:t>
      </w:r>
      <w:r w:rsidR="006F352F">
        <w:rPr>
          <w:rFonts w:ascii="Book Antiqua" w:eastAsia="Book Antiqua" w:hAnsi="Book Antiqua" w:cs="Book Antiqua"/>
          <w:color w:val="000000"/>
          <w:vertAlign w:val="superscript"/>
          <w:lang w:val="en-GB"/>
        </w:rPr>
        <w:t>4</w:t>
      </w:r>
      <w:r w:rsidR="006F352F"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xml:space="preserve"> proposed a four stage model suggesting that South Asian babies are genetically programmed to be small but with a high fat mass and low muscle mass with fewer pancreatic</w:t>
      </w:r>
      <w:r w:rsidR="008138F0" w:rsidRPr="00871C0B">
        <w:rPr>
          <w:rFonts w:ascii="Book Antiqua" w:eastAsia="Book Antiqua" w:hAnsi="Book Antiqua" w:cs="Book Antiqua"/>
          <w:color w:val="000000"/>
          <w:lang w:val="en-GB"/>
        </w:rPr>
        <w:t xml:space="preserve"> </w:t>
      </w:r>
      <w:r w:rsidR="008138F0" w:rsidRPr="00871C0B">
        <w:rPr>
          <w:rFonts w:ascii="Book Antiqua" w:hAnsi="Book Antiqua" w:cs="Book Antiqua"/>
          <w:color w:val="000000"/>
          <w:lang w:val="en-GB" w:eastAsia="zh-CN"/>
        </w:rPr>
        <w:t>β</w:t>
      </w:r>
      <w:r w:rsidRPr="00871C0B">
        <w:rPr>
          <w:rFonts w:ascii="Book Antiqua" w:eastAsia="Book Antiqua" w:hAnsi="Book Antiqua" w:cs="Book Antiqua"/>
          <w:color w:val="000000"/>
          <w:lang w:val="en-GB"/>
        </w:rPr>
        <w:t xml:space="preserve">-cells. In childhood and early adulthood, excess energy intake and lower physical activity leads to intra-abdominal fat accumulation, exacerbating insulin resistance with high insulin, glucose and triglycerides, a fatty liver and subsequent diabetes as </w:t>
      </w:r>
      <w:r w:rsidR="008138F0" w:rsidRPr="00871C0B">
        <w:rPr>
          <w:rFonts w:ascii="Book Antiqua" w:hAnsi="Book Antiqua" w:cs="Book Antiqua"/>
          <w:color w:val="000000"/>
          <w:lang w:val="en-GB" w:eastAsia="zh-CN"/>
        </w:rPr>
        <w:t>β</w:t>
      </w:r>
      <w:r w:rsidRPr="00871C0B">
        <w:rPr>
          <w:rFonts w:ascii="Book Antiqua" w:eastAsia="Book Antiqua" w:hAnsi="Book Antiqua" w:cs="Book Antiqua"/>
          <w:color w:val="000000"/>
          <w:lang w:val="en-GB"/>
        </w:rPr>
        <w:t>-cell failure ensues. Suggested factors contributing to this predisposition include genetic and epigenetic factors, low birthweight with rapid “catch-up” growth, ectopic fat within the liver and pancreas, low levels of adiponectin and high levels of leptin</w:t>
      </w:r>
      <w:r w:rsidRPr="00871C0B">
        <w:rPr>
          <w:rFonts w:ascii="Book Antiqua" w:eastAsia="Book Antiqua" w:hAnsi="Book Antiqua" w:cs="Book Antiqua"/>
          <w:color w:val="000000"/>
          <w:vertAlign w:val="superscript"/>
          <w:lang w:val="en-GB"/>
        </w:rPr>
        <w:t>[15]</w:t>
      </w:r>
      <w:r w:rsidRPr="00871C0B">
        <w:rPr>
          <w:rFonts w:ascii="Book Antiqua" w:eastAsia="Book Antiqua" w:hAnsi="Book Antiqua" w:cs="Book Antiqua"/>
          <w:color w:val="000000"/>
          <w:lang w:val="en-GB"/>
        </w:rPr>
        <w:t>.</w:t>
      </w:r>
    </w:p>
    <w:p w14:paraId="7E656D4B" w14:textId="27439377" w:rsidR="00A77B3E" w:rsidRPr="00871C0B" w:rsidRDefault="008B5DB2" w:rsidP="00871C0B">
      <w:pPr>
        <w:spacing w:line="360" w:lineRule="auto"/>
        <w:ind w:firstLineChars="100" w:firstLine="240"/>
        <w:jc w:val="both"/>
        <w:rPr>
          <w:rFonts w:ascii="Book Antiqua" w:hAnsi="Book Antiqua"/>
          <w:lang w:val="en-GB"/>
        </w:rPr>
      </w:pPr>
      <w:r w:rsidRPr="00871C0B">
        <w:rPr>
          <w:rFonts w:ascii="Book Antiqua" w:eastAsia="Book Antiqua" w:hAnsi="Book Antiqua" w:cs="Book Antiqua"/>
          <w:color w:val="000000"/>
          <w:lang w:val="en-GB"/>
        </w:rPr>
        <w:t>Whilst inherited effects may predispose to disease, cultural and lifestyle factors are likely to have a major impact on development of the condition. Dietary surveys suggest that a high proportion of daily energy intake originates from saturated fats and carbohydrates amongst South Asians</w:t>
      </w:r>
      <w:r w:rsidRPr="00871C0B">
        <w:rPr>
          <w:rFonts w:ascii="Book Antiqua" w:eastAsia="Book Antiqua" w:hAnsi="Book Antiqua" w:cs="Book Antiqua"/>
          <w:color w:val="000000"/>
          <w:vertAlign w:val="superscript"/>
          <w:lang w:val="en-GB"/>
        </w:rPr>
        <w:t>[6]</w:t>
      </w:r>
      <w:r w:rsidRPr="00871C0B">
        <w:rPr>
          <w:rFonts w:ascii="Book Antiqua" w:eastAsia="Book Antiqua" w:hAnsi="Book Antiqua" w:cs="Book Antiqua"/>
          <w:color w:val="000000"/>
          <w:lang w:val="en-GB"/>
        </w:rPr>
        <w:t>. Smoking is also common amongst South Asian men, in particular of Bangladeshi and Pakistani origin. South Asian subjects also appear to have a more sedentary lifestyle compared to Europeans</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16</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xml:space="preserve">. Diabetes is commoner amongst more socially deprived cohorts in the </w:t>
      </w:r>
      <w:r w:rsidR="00D11695" w:rsidRPr="00871C0B">
        <w:rPr>
          <w:rFonts w:ascii="Book Antiqua" w:eastAsia="Book Antiqua" w:hAnsi="Book Antiqua" w:cs="Book Antiqua"/>
          <w:color w:val="000000"/>
          <w:lang w:val="en-GB"/>
        </w:rPr>
        <w:t>United Kingdom</w:t>
      </w:r>
      <w:r w:rsidRPr="00871C0B">
        <w:rPr>
          <w:rFonts w:ascii="Book Antiqua" w:eastAsia="Book Antiqua" w:hAnsi="Book Antiqua" w:cs="Book Antiqua"/>
          <w:color w:val="000000"/>
          <w:lang w:val="en-GB"/>
        </w:rPr>
        <w:t xml:space="preserve">, and non-White ethnicities are over-represented amongst socially deprived groups in the </w:t>
      </w:r>
      <w:r w:rsidR="00D11695" w:rsidRPr="00871C0B">
        <w:rPr>
          <w:rFonts w:ascii="Book Antiqua" w:eastAsia="Book Antiqua" w:hAnsi="Book Antiqua" w:cs="Book Antiqua"/>
          <w:color w:val="000000"/>
          <w:lang w:val="en-GB"/>
        </w:rPr>
        <w:t>United Kingdom</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17</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w:t>
      </w:r>
    </w:p>
    <w:p w14:paraId="141EE3F0" w14:textId="77777777" w:rsidR="00A77B3E" w:rsidRPr="00871C0B" w:rsidRDefault="00A77B3E" w:rsidP="00871C0B">
      <w:pPr>
        <w:spacing w:line="360" w:lineRule="auto"/>
        <w:jc w:val="both"/>
        <w:rPr>
          <w:rFonts w:ascii="Book Antiqua" w:hAnsi="Book Antiqua"/>
          <w:lang w:val="en-GB"/>
        </w:rPr>
      </w:pPr>
    </w:p>
    <w:p w14:paraId="001B3440"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i/>
          <w:iCs/>
          <w:color w:val="000000"/>
          <w:lang w:val="en-GB"/>
        </w:rPr>
        <w:t>COVID-19 and ethnicity</w:t>
      </w:r>
    </w:p>
    <w:p w14:paraId="2EB0285C" w14:textId="1A6F9045"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At the height of the COVID-19 pandemic, it became increasingly clear that certain ethnic groups were more severely affected by SARS-CoV-2 infection</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18</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xml:space="preserve">. In the </w:t>
      </w:r>
      <w:r w:rsidR="00D11695" w:rsidRPr="00871C0B">
        <w:rPr>
          <w:rFonts w:ascii="Book Antiqua" w:eastAsia="Book Antiqua" w:hAnsi="Book Antiqua" w:cs="Book Antiqua"/>
          <w:color w:val="000000"/>
          <w:lang w:val="en-GB"/>
        </w:rPr>
        <w:t>United Kingdom</w:t>
      </w:r>
      <w:r w:rsidRPr="00871C0B">
        <w:rPr>
          <w:rFonts w:ascii="Book Antiqua" w:eastAsia="Book Antiqua" w:hAnsi="Book Antiqua" w:cs="Book Antiqua"/>
          <w:color w:val="000000"/>
          <w:lang w:val="en-GB"/>
        </w:rPr>
        <w:t xml:space="preserve">, data from over </w:t>
      </w:r>
      <w:r w:rsidR="008647C1">
        <w:rPr>
          <w:rFonts w:ascii="Book Antiqua" w:eastAsia="Book Antiqua" w:hAnsi="Book Antiqua" w:cs="Book Antiqua"/>
          <w:color w:val="000000"/>
          <w:lang w:val="en-GB"/>
        </w:rPr>
        <w:t>6,000,000</w:t>
      </w:r>
      <w:r w:rsidRPr="00871C0B">
        <w:rPr>
          <w:rFonts w:ascii="Book Antiqua" w:eastAsia="Book Antiqua" w:hAnsi="Book Antiqua" w:cs="Book Antiqua"/>
          <w:color w:val="000000"/>
          <w:lang w:val="en-GB"/>
        </w:rPr>
        <w:t xml:space="preserve"> adults from 1205 general practices suggest</w:t>
      </w:r>
      <w:r w:rsidR="00031C87">
        <w:rPr>
          <w:rFonts w:ascii="Book Antiqua" w:eastAsia="Book Antiqua" w:hAnsi="Book Antiqua" w:cs="Book Antiqua"/>
          <w:color w:val="000000"/>
          <w:lang w:val="en-GB"/>
        </w:rPr>
        <w:t>ed</w:t>
      </w:r>
      <w:r w:rsidRPr="00871C0B">
        <w:rPr>
          <w:rFonts w:ascii="Book Antiqua" w:eastAsia="Book Antiqua" w:hAnsi="Book Antiqua" w:cs="Book Antiqua"/>
          <w:color w:val="000000"/>
          <w:lang w:val="en-GB"/>
        </w:rPr>
        <w:t xml:space="preserve"> that compared to White Europeans, the hazard ratio</w:t>
      </w:r>
      <w:r w:rsidR="00035484">
        <w:rPr>
          <w:rFonts w:ascii="Book Antiqua" w:eastAsia="Book Antiqua" w:hAnsi="Book Antiqua" w:cs="Book Antiqua"/>
          <w:color w:val="000000"/>
          <w:lang w:val="en-GB"/>
        </w:rPr>
        <w:t xml:space="preserve"> (HR)</w:t>
      </w:r>
      <w:r w:rsidRPr="00871C0B">
        <w:rPr>
          <w:rFonts w:ascii="Book Antiqua" w:eastAsia="Book Antiqua" w:hAnsi="Book Antiqua" w:cs="Book Antiqua"/>
          <w:color w:val="000000"/>
          <w:lang w:val="en-GB"/>
        </w:rPr>
        <w:t xml:space="preserve"> for death in men from COVID-19 (adjusted for age, body mass index and deprivation) amongst British Indians was 1.59 </w:t>
      </w:r>
      <w:r w:rsidR="00D11695"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95% confidence interval </w:t>
      </w:r>
      <w:r w:rsidR="00D11695"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CI</w:t>
      </w:r>
      <w:r w:rsidR="00D11695"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 1.25-2.01</w:t>
      </w:r>
      <w:r w:rsidR="00D11695"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British Pakistanis 1.84 (1.39-2.44), British Bangladeshis 2.27 (1.65-3.12), British Caribbeans 2.06 (1.65-2.57) and British Black Africans 3.03 (2.42-3.80)</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19</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xml:space="preserve">. Similar data was seen for admission to hospital with severe COVID-19. </w:t>
      </w:r>
    </w:p>
    <w:p w14:paraId="3709123D" w14:textId="70DDEA62" w:rsidR="00A77B3E" w:rsidRPr="00871C0B" w:rsidRDefault="008B5DB2" w:rsidP="00871C0B">
      <w:pPr>
        <w:spacing w:line="360" w:lineRule="auto"/>
        <w:ind w:firstLineChars="100" w:firstLine="240"/>
        <w:jc w:val="both"/>
        <w:rPr>
          <w:rFonts w:ascii="Book Antiqua" w:hAnsi="Book Antiqua"/>
          <w:lang w:val="en-GB"/>
        </w:rPr>
      </w:pPr>
      <w:r w:rsidRPr="00871C0B">
        <w:rPr>
          <w:rFonts w:ascii="Book Antiqua" w:eastAsia="Book Antiqua" w:hAnsi="Book Antiqua" w:cs="Book Antiqua"/>
          <w:color w:val="000000"/>
          <w:lang w:val="en-GB"/>
        </w:rPr>
        <w:lastRenderedPageBreak/>
        <w:t>The cause of this excess risk of death and adverse outcome from COVID-19 amongst non-White ethnicities is unclear but likely to be multifactorial. Underlying genetic factors may be important but as yet not ascertained, but it is notable that disparate ethnic groups are more severely affected, so a common genetic factor seems less likely. Increased risk of metabolic conditions such as diabetes, obesity and hypertension are also seen in these groups, perhaps suggesting an underlying predisposition to metabolic conditions and COVID-19</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shd w:val="clear" w:color="auto" w:fill="FFFFFF"/>
          <w:vertAlign w:val="superscript"/>
          <w:lang w:val="en-GB"/>
        </w:rPr>
        <w:t>6,14]</w:t>
      </w:r>
      <w:r w:rsidRPr="00871C0B">
        <w:rPr>
          <w:rFonts w:ascii="Book Antiqua" w:eastAsia="Book Antiqua" w:hAnsi="Book Antiqua" w:cs="Book Antiqua"/>
          <w:color w:val="000000"/>
          <w:shd w:val="clear" w:color="auto" w:fill="FFFFFF"/>
          <w:lang w:val="en-GB"/>
        </w:rPr>
        <w:t>.</w:t>
      </w:r>
    </w:p>
    <w:p w14:paraId="720D7497" w14:textId="19F9802C" w:rsidR="00A77B3E" w:rsidRPr="00871C0B" w:rsidRDefault="008B5DB2" w:rsidP="00871C0B">
      <w:pPr>
        <w:spacing w:line="360" w:lineRule="auto"/>
        <w:ind w:firstLineChars="100" w:firstLine="240"/>
        <w:jc w:val="both"/>
        <w:rPr>
          <w:rFonts w:ascii="Book Antiqua" w:hAnsi="Book Antiqua"/>
          <w:lang w:val="en-GB"/>
        </w:rPr>
      </w:pPr>
      <w:r w:rsidRPr="00871C0B">
        <w:rPr>
          <w:rFonts w:ascii="Book Antiqua" w:eastAsia="Book Antiqua" w:hAnsi="Book Antiqua" w:cs="Book Antiqua"/>
          <w:color w:val="000000"/>
          <w:shd w:val="clear" w:color="auto" w:fill="FFFFFF"/>
          <w:lang w:val="en-GB"/>
        </w:rPr>
        <w:t>Furthermore, socioeconomic factors and overcrowded housing are also cited as possible contributing factors. In particular, multigenerational household</w:t>
      </w:r>
      <w:r w:rsidR="00DE6348" w:rsidRPr="00871C0B">
        <w:rPr>
          <w:rFonts w:ascii="Book Antiqua" w:eastAsia="Book Antiqua" w:hAnsi="Book Antiqua" w:cs="Book Antiqua"/>
          <w:color w:val="000000"/>
          <w:shd w:val="clear" w:color="auto" w:fill="FFFFFF"/>
          <w:lang w:val="en-GB"/>
        </w:rPr>
        <w:t>s</w:t>
      </w:r>
      <w:r w:rsidRPr="00871C0B">
        <w:rPr>
          <w:rFonts w:ascii="Book Antiqua" w:eastAsia="Book Antiqua" w:hAnsi="Book Antiqua" w:cs="Book Antiqua"/>
          <w:color w:val="000000"/>
          <w:shd w:val="clear" w:color="auto" w:fill="FFFFFF"/>
          <w:lang w:val="en-GB"/>
        </w:rPr>
        <w:t>, with the old and young living in close proximity</w:t>
      </w:r>
      <w:r w:rsidR="0070328E">
        <w:rPr>
          <w:rFonts w:ascii="Book Antiqua" w:eastAsia="Book Antiqua" w:hAnsi="Book Antiqua" w:cs="Book Antiqua"/>
          <w:color w:val="000000"/>
          <w:shd w:val="clear" w:color="auto" w:fill="FFFFFF"/>
          <w:lang w:val="en-GB"/>
        </w:rPr>
        <w:t>,</w:t>
      </w:r>
      <w:r w:rsidRPr="00871C0B">
        <w:rPr>
          <w:rFonts w:ascii="Book Antiqua" w:eastAsia="Book Antiqua" w:hAnsi="Book Antiqua" w:cs="Book Antiqua"/>
          <w:color w:val="000000"/>
          <w:shd w:val="clear" w:color="auto" w:fill="FFFFFF"/>
          <w:lang w:val="en-GB"/>
        </w:rPr>
        <w:t xml:space="preserve"> is likely to increase risk of exposure of the elderly to SARS-CoV-2 and make it more difficult for infected patients to self</w:t>
      </w:r>
      <w:r w:rsidR="00DE6348" w:rsidRPr="00871C0B">
        <w:rPr>
          <w:rFonts w:ascii="Book Antiqua" w:eastAsia="Book Antiqua" w:hAnsi="Book Antiqua" w:cs="Book Antiqua"/>
          <w:color w:val="000000"/>
          <w:shd w:val="clear" w:color="auto" w:fill="FFFFFF"/>
          <w:lang w:val="en-GB"/>
        </w:rPr>
        <w:t>-</w:t>
      </w:r>
      <w:r w:rsidRPr="00871C0B">
        <w:rPr>
          <w:rFonts w:ascii="Book Antiqua" w:eastAsia="Book Antiqua" w:hAnsi="Book Antiqua" w:cs="Book Antiqua"/>
          <w:color w:val="000000"/>
          <w:shd w:val="clear" w:color="auto" w:fill="FFFFFF"/>
          <w:lang w:val="en-GB"/>
        </w:rPr>
        <w:t>isolate. In addition, non-White ethnic groups work in more exposure prone settings, such as cleaners, health care workers, carers and taxi drivers.</w:t>
      </w:r>
    </w:p>
    <w:p w14:paraId="093EBB2C" w14:textId="77777777" w:rsidR="00A77B3E" w:rsidRPr="00871C0B" w:rsidRDefault="00A77B3E" w:rsidP="00871C0B">
      <w:pPr>
        <w:spacing w:line="360" w:lineRule="auto"/>
        <w:jc w:val="both"/>
        <w:rPr>
          <w:rFonts w:ascii="Book Antiqua" w:hAnsi="Book Antiqua"/>
          <w:lang w:val="en-GB"/>
        </w:rPr>
      </w:pPr>
    </w:p>
    <w:p w14:paraId="469F3344"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aps/>
          <w:color w:val="000000"/>
          <w:u w:val="single"/>
          <w:lang w:val="en-GB"/>
        </w:rPr>
        <w:t>DIABETES AND COVID-19 ARE SOCIALLY INTOLERANT</w:t>
      </w:r>
    </w:p>
    <w:p w14:paraId="647E9EF4"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i/>
          <w:iCs/>
          <w:color w:val="000000"/>
          <w:lang w:val="en-GB"/>
        </w:rPr>
        <w:t>Diabetes and socioeconomic deprivation</w:t>
      </w:r>
    </w:p>
    <w:p w14:paraId="68A4DC04" w14:textId="345192FF"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There is considerable data to suggest that the prevalence of T2D is increased in areas of lower socioeconomic status. The British 1958 birth cohort study measured glycated haemoglobin at age 45 years and showed a higher prevalence of values </w:t>
      </w:r>
      <w:r w:rsidR="0012752B">
        <w:rPr>
          <w:rFonts w:ascii="Book Antiqua" w:eastAsia="Book Antiqua" w:hAnsi="Book Antiqua" w:cs="Book Antiqua"/>
          <w:color w:val="000000"/>
          <w:lang w:val="en-GB"/>
        </w:rPr>
        <w:t xml:space="preserve">of </w:t>
      </w:r>
      <w:r w:rsidRPr="00871C0B">
        <w:rPr>
          <w:rFonts w:ascii="Book Antiqua" w:eastAsia="Book Antiqua" w:hAnsi="Book Antiqua" w:cs="Book Antiqua"/>
          <w:color w:val="000000"/>
          <w:lang w:val="en-GB"/>
        </w:rPr>
        <w:t>5.5% (37 mmol/mol) and above in people with occupational social class 3,</w:t>
      </w:r>
      <w:r w:rsidR="00D60D8C" w:rsidRPr="00871C0B">
        <w:rPr>
          <w:rFonts w:ascii="Book Antiqua" w:eastAsia="Book Antiqua" w:hAnsi="Book Antiqua" w:cs="Book Antiqua"/>
          <w:color w:val="000000"/>
          <w:lang w:val="en-GB"/>
        </w:rPr>
        <w:t xml:space="preserve"> </w:t>
      </w:r>
      <w:r w:rsidRPr="00871C0B">
        <w:rPr>
          <w:rFonts w:ascii="Book Antiqua" w:eastAsia="Book Antiqua" w:hAnsi="Book Antiqua" w:cs="Book Antiqua"/>
          <w:color w:val="000000"/>
          <w:lang w:val="en-GB"/>
        </w:rPr>
        <w:t>4 and 5 compared to higher social class groups</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20</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xml:space="preserve">. The Whitehall II study undertook doctor diagnosis and oral glucose tolerance tests to identify T2D, and amongst men the incidence of T2D in the lowest employment grade was more than two times that </w:t>
      </w:r>
      <w:r w:rsidR="00483585" w:rsidRPr="00871C0B">
        <w:rPr>
          <w:rFonts w:ascii="Book Antiqua" w:eastAsia="Book Antiqua" w:hAnsi="Book Antiqua" w:cs="Book Antiqua"/>
          <w:color w:val="000000"/>
          <w:lang w:val="en-GB"/>
        </w:rPr>
        <w:t>of</w:t>
      </w:r>
      <w:r w:rsidR="00483585">
        <w:rPr>
          <w:rFonts w:ascii="Book Antiqua" w:eastAsia="Book Antiqua" w:hAnsi="Book Antiqua" w:cs="Book Antiqua"/>
          <w:color w:val="000000"/>
          <w:lang w:val="en-GB"/>
        </w:rPr>
        <w:t xml:space="preserve"> the </w:t>
      </w:r>
      <w:r w:rsidRPr="00871C0B">
        <w:rPr>
          <w:rFonts w:ascii="Book Antiqua" w:eastAsia="Book Antiqua" w:hAnsi="Book Antiqua" w:cs="Book Antiqua"/>
          <w:color w:val="000000"/>
          <w:lang w:val="en-GB"/>
        </w:rPr>
        <w:t>highest employment grade, even when adjusted for obesity and sedentary lifestyle</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21</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More recent data confirms that prevalence of T2D is strongly associated with socioeconomic deprivation, most pronounced in the 40</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69 year age band</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17</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xml:space="preserve">. Interestingly, </w:t>
      </w:r>
      <w:r w:rsidR="00483585">
        <w:rPr>
          <w:rFonts w:ascii="Book Antiqua" w:eastAsia="Book Antiqua" w:hAnsi="Book Antiqua" w:cs="Book Antiqua"/>
          <w:color w:val="000000"/>
          <w:lang w:val="en-GB"/>
        </w:rPr>
        <w:t xml:space="preserve">a </w:t>
      </w:r>
      <w:r w:rsidRPr="00871C0B">
        <w:rPr>
          <w:rFonts w:ascii="Book Antiqua" w:eastAsia="Book Antiqua" w:hAnsi="Book Antiqua" w:cs="Book Antiqua"/>
          <w:color w:val="000000"/>
          <w:lang w:val="en-GB"/>
        </w:rPr>
        <w:t xml:space="preserve">cross-sectional school-based study of 4804 </w:t>
      </w:r>
      <w:r w:rsidR="00D11695" w:rsidRPr="00871C0B">
        <w:rPr>
          <w:rFonts w:ascii="Book Antiqua" w:eastAsia="Book Antiqua" w:hAnsi="Book Antiqua" w:cs="Book Antiqua"/>
          <w:color w:val="000000"/>
          <w:lang w:val="en-GB"/>
        </w:rPr>
        <w:t>United Kingdom</w:t>
      </w:r>
      <w:r w:rsidRPr="00871C0B">
        <w:rPr>
          <w:rFonts w:ascii="Book Antiqua" w:eastAsia="Book Antiqua" w:hAnsi="Book Antiqua" w:cs="Book Antiqua"/>
          <w:color w:val="000000"/>
          <w:lang w:val="en-GB"/>
        </w:rPr>
        <w:t xml:space="preserve"> children aged 9</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10 years, suggest</w:t>
      </w:r>
      <w:r w:rsidR="00483585">
        <w:rPr>
          <w:rFonts w:ascii="Book Antiqua" w:eastAsia="Book Antiqua" w:hAnsi="Book Antiqua" w:cs="Book Antiqua"/>
          <w:color w:val="000000"/>
          <w:lang w:val="en-GB"/>
        </w:rPr>
        <w:t>ed</w:t>
      </w:r>
      <w:r w:rsidRPr="00871C0B">
        <w:rPr>
          <w:rFonts w:ascii="Book Antiqua" w:eastAsia="Book Antiqua" w:hAnsi="Book Antiqua" w:cs="Book Antiqua"/>
          <w:color w:val="000000"/>
          <w:lang w:val="en-GB"/>
        </w:rPr>
        <w:t xml:space="preserve"> that socioeconomic status of the child impact</w:t>
      </w:r>
      <w:r w:rsidR="00483585">
        <w:rPr>
          <w:rFonts w:ascii="Book Antiqua" w:eastAsia="Book Antiqua" w:hAnsi="Book Antiqua" w:cs="Book Antiqua"/>
          <w:color w:val="000000"/>
          <w:lang w:val="en-GB"/>
        </w:rPr>
        <w:t>ed</w:t>
      </w:r>
      <w:r w:rsidRPr="00871C0B">
        <w:rPr>
          <w:rFonts w:ascii="Book Antiqua" w:eastAsia="Book Antiqua" w:hAnsi="Book Antiqua" w:cs="Book Antiqua"/>
          <w:color w:val="000000"/>
          <w:lang w:val="en-GB"/>
        </w:rPr>
        <w:t xml:space="preserve"> metabolic indices according to ethnicity</w:t>
      </w:r>
      <w:r w:rsidR="00483585">
        <w:rPr>
          <w:rFonts w:ascii="Book Antiqua" w:eastAsia="Book Antiqua" w:hAnsi="Book Antiqua" w:cs="Book Antiqua"/>
          <w:color w:val="000000"/>
          <w:lang w:val="en-GB"/>
        </w:rPr>
        <w:t xml:space="preserve">; </w:t>
      </w:r>
      <w:r w:rsidRPr="00871C0B">
        <w:rPr>
          <w:rFonts w:ascii="Book Antiqua" w:eastAsia="Book Antiqua" w:hAnsi="Book Antiqua" w:cs="Book Antiqua"/>
          <w:color w:val="000000"/>
          <w:lang w:val="en-GB"/>
        </w:rPr>
        <w:t xml:space="preserve">White European children of lower socioeconomic status had poorer metabolic indices, </w:t>
      </w:r>
      <w:r w:rsidRPr="00871C0B">
        <w:rPr>
          <w:rFonts w:ascii="Book Antiqua" w:eastAsia="Book Antiqua" w:hAnsi="Book Antiqua" w:cs="Book Antiqua"/>
          <w:color w:val="000000"/>
          <w:lang w:val="en-GB"/>
        </w:rPr>
        <w:lastRenderedPageBreak/>
        <w:t>whereas amongst South Asian children, socioeconomic status did not appear to affect metabolic indices</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22</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w:t>
      </w:r>
    </w:p>
    <w:p w14:paraId="17997C71" w14:textId="38811FF2" w:rsidR="00A77B3E" w:rsidRPr="00871C0B" w:rsidRDefault="008B5DB2" w:rsidP="00871C0B">
      <w:pPr>
        <w:spacing w:line="360" w:lineRule="auto"/>
        <w:ind w:firstLineChars="100" w:firstLine="240"/>
        <w:jc w:val="both"/>
        <w:rPr>
          <w:rFonts w:ascii="Book Antiqua" w:hAnsi="Book Antiqua"/>
          <w:lang w:val="en-GB"/>
        </w:rPr>
      </w:pPr>
      <w:r w:rsidRPr="00871C0B">
        <w:rPr>
          <w:rFonts w:ascii="Book Antiqua" w:eastAsia="Book Antiqua" w:hAnsi="Book Antiqua" w:cs="Book Antiqua"/>
          <w:color w:val="000000"/>
          <w:lang w:val="en-GB"/>
        </w:rPr>
        <w:t xml:space="preserve">Socioeconomic deprivation may also impact treatment of diabetes. In the </w:t>
      </w:r>
      <w:r w:rsidR="00D11695" w:rsidRPr="00871C0B">
        <w:rPr>
          <w:rFonts w:ascii="Book Antiqua" w:eastAsia="Book Antiqua" w:hAnsi="Book Antiqua" w:cs="Book Antiqua"/>
          <w:color w:val="000000"/>
          <w:lang w:val="en-GB"/>
        </w:rPr>
        <w:t>United Kingdom</w:t>
      </w:r>
      <w:r w:rsidRPr="00871C0B">
        <w:rPr>
          <w:rFonts w:ascii="Book Antiqua" w:eastAsia="Book Antiqua" w:hAnsi="Book Antiqua" w:cs="Book Antiqua"/>
          <w:color w:val="000000"/>
          <w:lang w:val="en-GB"/>
        </w:rPr>
        <w:t>, it has been shown that more deprived areas have lower attainment for diabetes care processes or diabetes targets compared to less deprived areas</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23</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w:t>
      </w:r>
    </w:p>
    <w:p w14:paraId="7647BF9B" w14:textId="77777777" w:rsidR="00A77B3E" w:rsidRPr="00871C0B" w:rsidRDefault="00A77B3E" w:rsidP="00871C0B">
      <w:pPr>
        <w:spacing w:line="360" w:lineRule="auto"/>
        <w:jc w:val="both"/>
        <w:rPr>
          <w:rFonts w:ascii="Book Antiqua" w:hAnsi="Book Antiqua"/>
          <w:lang w:val="en-GB"/>
        </w:rPr>
      </w:pPr>
    </w:p>
    <w:p w14:paraId="398EA53B"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i/>
          <w:iCs/>
          <w:color w:val="000000"/>
          <w:lang w:val="en-GB"/>
        </w:rPr>
        <w:t>COVID-19 and socioeconomic deprivation</w:t>
      </w:r>
    </w:p>
    <w:p w14:paraId="30658F18" w14:textId="7F9FB222"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The data on over </w:t>
      </w:r>
      <w:r w:rsidR="008647C1">
        <w:rPr>
          <w:rFonts w:ascii="Book Antiqua" w:eastAsia="Book Antiqua" w:hAnsi="Book Antiqua" w:cs="Book Antiqua"/>
          <w:color w:val="000000"/>
          <w:lang w:val="en-GB"/>
        </w:rPr>
        <w:t>6,000,000</w:t>
      </w:r>
      <w:r w:rsidRPr="00871C0B">
        <w:rPr>
          <w:rFonts w:ascii="Book Antiqua" w:eastAsia="Book Antiqua" w:hAnsi="Book Antiqua" w:cs="Book Antiqua"/>
          <w:color w:val="000000"/>
          <w:lang w:val="en-GB"/>
        </w:rPr>
        <w:t xml:space="preserve"> patients from 1205 </w:t>
      </w:r>
      <w:r w:rsidR="00D11695" w:rsidRPr="00871C0B">
        <w:rPr>
          <w:rFonts w:ascii="Book Antiqua" w:eastAsia="Book Antiqua" w:hAnsi="Book Antiqua" w:cs="Book Antiqua"/>
          <w:color w:val="000000"/>
          <w:lang w:val="en-GB"/>
        </w:rPr>
        <w:t>United Kingdom</w:t>
      </w:r>
      <w:r w:rsidRPr="00871C0B">
        <w:rPr>
          <w:rFonts w:ascii="Book Antiqua" w:eastAsia="Book Antiqua" w:hAnsi="Book Antiqua" w:cs="Book Antiqua"/>
          <w:color w:val="000000"/>
          <w:lang w:val="en-GB"/>
        </w:rPr>
        <w:t xml:space="preserve"> general practices referred to above also showed a significant impact of deprivation on the development of COVID-19 adverse outcomes</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19</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xml:space="preserve">. A five unit increase in the Townsend material deprivation score led to a </w:t>
      </w:r>
      <w:r w:rsidR="00035484">
        <w:rPr>
          <w:rFonts w:ascii="Book Antiqua" w:eastAsia="Book Antiqua" w:hAnsi="Book Antiqua" w:cs="Book Antiqua"/>
          <w:color w:val="000000"/>
          <w:lang w:val="en-GB"/>
        </w:rPr>
        <w:t>HR</w:t>
      </w:r>
      <w:r w:rsidRPr="00871C0B">
        <w:rPr>
          <w:rFonts w:ascii="Book Antiqua" w:eastAsia="Book Antiqua" w:hAnsi="Book Antiqua" w:cs="Book Antiqua"/>
          <w:color w:val="000000"/>
          <w:lang w:val="en-GB"/>
        </w:rPr>
        <w:t xml:space="preserve"> for death of 1.50 (95%CI 1.40</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1.61) and similar increased risk of hospital admission for men and women from COVID-19. Data from the Office of National Statistics confirm this</w:t>
      </w:r>
      <w:r w:rsidR="001416D6">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 </w:t>
      </w:r>
      <w:r w:rsidR="001416D6">
        <w:rPr>
          <w:rFonts w:ascii="Book Antiqua" w:eastAsia="Book Antiqua" w:hAnsi="Book Antiqua" w:cs="Book Antiqua"/>
          <w:color w:val="000000"/>
          <w:lang w:val="en-GB"/>
        </w:rPr>
        <w:t>The</w:t>
      </w:r>
      <w:r w:rsidRPr="00871C0B">
        <w:rPr>
          <w:rFonts w:ascii="Book Antiqua" w:eastAsia="Book Antiqua" w:hAnsi="Book Antiqua" w:cs="Book Antiqua"/>
          <w:color w:val="000000"/>
          <w:lang w:val="en-GB"/>
        </w:rPr>
        <w:t xml:space="preserve"> death rate of </w:t>
      </w:r>
      <w:r w:rsidR="00C755EB">
        <w:rPr>
          <w:rFonts w:ascii="Book Antiqua" w:eastAsia="Book Antiqua" w:hAnsi="Book Antiqua" w:cs="Book Antiqua"/>
          <w:color w:val="000000"/>
          <w:lang w:val="en-GB"/>
        </w:rPr>
        <w:t xml:space="preserve">the population in the most deprived areas was </w:t>
      </w:r>
      <w:r w:rsidRPr="00871C0B">
        <w:rPr>
          <w:rFonts w:ascii="Book Antiqua" w:eastAsia="Book Antiqua" w:hAnsi="Book Antiqua" w:cs="Book Antiqua"/>
          <w:color w:val="000000"/>
          <w:shd w:val="clear" w:color="auto" w:fill="FFFFFF"/>
          <w:lang w:val="en-GB"/>
        </w:rPr>
        <w:t>128.3 deaths per 100000</w:t>
      </w:r>
      <w:r w:rsidR="001416D6">
        <w:rPr>
          <w:rFonts w:ascii="Book Antiqua" w:eastAsia="Book Antiqua" w:hAnsi="Book Antiqua" w:cs="Book Antiqua"/>
          <w:color w:val="000000"/>
          <w:shd w:val="clear" w:color="auto" w:fill="FFFFFF"/>
          <w:lang w:val="en-GB"/>
        </w:rPr>
        <w:t>, which was</w:t>
      </w:r>
      <w:r w:rsidR="001416D6">
        <w:rPr>
          <w:rFonts w:ascii="Book Antiqua" w:eastAsia="Book Antiqua" w:hAnsi="Book Antiqua" w:cs="Book Antiqua"/>
          <w:bCs/>
          <w:color w:val="000000"/>
          <w:lang w:val="en-GB"/>
        </w:rPr>
        <w:t xml:space="preserve"> </w:t>
      </w:r>
      <w:r w:rsidRPr="00871C0B">
        <w:rPr>
          <w:rFonts w:ascii="Book Antiqua" w:eastAsia="Book Antiqua" w:hAnsi="Book Antiqua" w:cs="Book Antiqua"/>
          <w:color w:val="000000"/>
          <w:shd w:val="clear" w:color="auto" w:fill="FFFFFF"/>
          <w:lang w:val="en-GB"/>
        </w:rPr>
        <w:t xml:space="preserve">more than double that of </w:t>
      </w:r>
      <w:r w:rsidR="001416D6">
        <w:rPr>
          <w:rFonts w:ascii="Book Antiqua" w:eastAsia="Book Antiqua" w:hAnsi="Book Antiqua" w:cs="Book Antiqua"/>
          <w:color w:val="000000"/>
          <w:shd w:val="clear" w:color="auto" w:fill="FFFFFF"/>
          <w:lang w:val="en-GB"/>
        </w:rPr>
        <w:t xml:space="preserve">the </w:t>
      </w:r>
      <w:r w:rsidRPr="00871C0B">
        <w:rPr>
          <w:rFonts w:ascii="Book Antiqua" w:eastAsia="Book Antiqua" w:hAnsi="Book Antiqua" w:cs="Book Antiqua"/>
          <w:color w:val="000000"/>
          <w:shd w:val="clear" w:color="auto" w:fill="FFFFFF"/>
          <w:lang w:val="en-GB"/>
        </w:rPr>
        <w:t>least deprived areas where the death rate was 58.8 deaths per 100000</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24</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w:t>
      </w:r>
    </w:p>
    <w:p w14:paraId="432F4A36" w14:textId="77777777" w:rsidR="00A77B3E" w:rsidRPr="00871C0B" w:rsidRDefault="00A77B3E" w:rsidP="00871C0B">
      <w:pPr>
        <w:spacing w:line="360" w:lineRule="auto"/>
        <w:jc w:val="both"/>
        <w:rPr>
          <w:rFonts w:ascii="Book Antiqua" w:hAnsi="Book Antiqua"/>
          <w:lang w:val="en-GB"/>
        </w:rPr>
      </w:pPr>
    </w:p>
    <w:p w14:paraId="083EBFD4"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aps/>
          <w:color w:val="000000"/>
          <w:u w:val="single"/>
          <w:lang w:val="en-GB"/>
        </w:rPr>
        <w:t>COVID-19 (LIKE DIABETES) IS GLUCOSE INTOLERANT</w:t>
      </w:r>
    </w:p>
    <w:p w14:paraId="6A51E30F" w14:textId="6ED43A2F"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As the COVID-19 pandemic progressed, emerging data showed that people with diabetes and hypertension were uniquely at risk for increased severity of SARS-CoV-2 infection</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25</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Amongst intensive care patients with COVID-19 in China, 22% of 32 patients who died had diabetes</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26</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and risk of admission to intensive care was doubled in patients with diabetes</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27</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Subsequent studies suggested between 12</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-16% of patients with severe disease had diabetes</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28,</w:t>
      </w:r>
      <w:r w:rsidRPr="00871C0B">
        <w:rPr>
          <w:rFonts w:ascii="Book Antiqua" w:eastAsia="Book Antiqua" w:hAnsi="Book Antiqua" w:cs="Book Antiqua"/>
          <w:color w:val="000000"/>
          <w:vertAlign w:val="superscript"/>
          <w:lang w:val="en-GB"/>
        </w:rPr>
        <w:t>29]</w:t>
      </w:r>
      <w:r w:rsidRPr="00871C0B">
        <w:rPr>
          <w:rFonts w:ascii="Book Antiqua" w:eastAsia="Book Antiqua" w:hAnsi="Book Antiqua" w:cs="Book Antiqua"/>
          <w:color w:val="000000"/>
          <w:lang w:val="en-GB"/>
        </w:rPr>
        <w:t>, and mortality</w:t>
      </w:r>
      <w:r w:rsidR="00A320E5">
        <w:rPr>
          <w:rFonts w:ascii="Book Antiqua" w:eastAsia="Book Antiqua" w:hAnsi="Book Antiqua" w:cs="Book Antiqua"/>
          <w:color w:val="000000"/>
          <w:lang w:val="en-GB"/>
        </w:rPr>
        <w:t xml:space="preserve"> was</w:t>
      </w:r>
      <w:r w:rsidRPr="00871C0B">
        <w:rPr>
          <w:rFonts w:ascii="Book Antiqua" w:eastAsia="Book Antiqua" w:hAnsi="Book Antiqua" w:cs="Book Antiqua"/>
          <w:color w:val="000000"/>
          <w:lang w:val="en-GB"/>
        </w:rPr>
        <w:t xml:space="preserve"> up to three-fold higher</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30</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31</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xml:space="preserve">. This mirrors previous data on outbreaks of </w:t>
      </w:r>
      <w:r w:rsidR="00B6005A">
        <w:rPr>
          <w:rFonts w:ascii="Book Antiqua" w:eastAsia="Book Antiqua" w:hAnsi="Book Antiqua" w:cs="Book Antiqua"/>
          <w:color w:val="000000"/>
          <w:lang w:val="en-GB"/>
        </w:rPr>
        <w:t xml:space="preserve">other </w:t>
      </w:r>
      <w:r w:rsidRPr="00871C0B">
        <w:rPr>
          <w:rFonts w:ascii="Book Antiqua" w:eastAsia="Book Antiqua" w:hAnsi="Book Antiqua" w:cs="Book Antiqua"/>
          <w:color w:val="000000"/>
          <w:lang w:val="en-GB"/>
        </w:rPr>
        <w:t xml:space="preserve">coronavirus infections </w:t>
      </w:r>
      <w:r w:rsidR="00A320E5">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SARS and Middle East Respiratory Syndrome</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 and severe influenza </w:t>
      </w:r>
      <w:r w:rsidR="00B6005A">
        <w:rPr>
          <w:rFonts w:ascii="Book Antiqua" w:eastAsia="Book Antiqua" w:hAnsi="Book Antiqua" w:cs="Book Antiqua"/>
          <w:color w:val="000000"/>
          <w:lang w:val="en-GB"/>
        </w:rPr>
        <w:t>from</w:t>
      </w:r>
      <w:r w:rsidRPr="00871C0B">
        <w:rPr>
          <w:rFonts w:ascii="Book Antiqua" w:eastAsia="Book Antiqua" w:hAnsi="Book Antiqua" w:cs="Book Antiqua"/>
          <w:color w:val="000000"/>
          <w:lang w:val="en-GB"/>
        </w:rPr>
        <w:t xml:space="preserve"> H1N1 pandemics, which also showed that diabetes was an important risk marker for adverse outcomes</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32</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34</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w:t>
      </w:r>
    </w:p>
    <w:p w14:paraId="62809562" w14:textId="19B8C874" w:rsidR="00A77B3E" w:rsidRPr="00871C0B" w:rsidRDefault="008B5DB2" w:rsidP="00871C0B">
      <w:pPr>
        <w:spacing w:line="360" w:lineRule="auto"/>
        <w:ind w:firstLineChars="100" w:firstLine="240"/>
        <w:jc w:val="both"/>
        <w:rPr>
          <w:rFonts w:ascii="Book Antiqua" w:hAnsi="Book Antiqua"/>
          <w:lang w:val="en-GB"/>
        </w:rPr>
      </w:pPr>
      <w:r w:rsidRPr="00871C0B">
        <w:rPr>
          <w:rFonts w:ascii="Book Antiqua" w:eastAsia="Book Antiqua" w:hAnsi="Book Antiqua" w:cs="Book Antiqua"/>
          <w:color w:val="000000"/>
          <w:lang w:val="en-GB"/>
        </w:rPr>
        <w:t xml:space="preserve">In the </w:t>
      </w:r>
      <w:r w:rsidR="00D11695" w:rsidRPr="00871C0B">
        <w:rPr>
          <w:rFonts w:ascii="Book Antiqua" w:eastAsia="Book Antiqua" w:hAnsi="Book Antiqua" w:cs="Book Antiqua"/>
          <w:color w:val="000000"/>
          <w:lang w:val="en-GB"/>
        </w:rPr>
        <w:t>United Kingdom</w:t>
      </w:r>
      <w:r w:rsidRPr="00871C0B">
        <w:rPr>
          <w:rFonts w:ascii="Book Antiqua" w:eastAsia="Book Antiqua" w:hAnsi="Book Antiqua" w:cs="Book Antiqua"/>
          <w:color w:val="000000"/>
          <w:lang w:val="en-GB"/>
        </w:rPr>
        <w:t>, the largest dataset to have reported on this topic examined over 61</w:t>
      </w:r>
      <w:r w:rsidR="008647C1">
        <w:rPr>
          <w:rFonts w:ascii="Book Antiqua" w:eastAsia="Book Antiqua" w:hAnsi="Book Antiqua" w:cs="Book Antiqua"/>
          <w:color w:val="000000"/>
          <w:lang w:val="en-GB"/>
        </w:rPr>
        <w:t>,000,000</w:t>
      </w:r>
      <w:r w:rsidRPr="00871C0B">
        <w:rPr>
          <w:rFonts w:ascii="Book Antiqua" w:eastAsia="Book Antiqua" w:hAnsi="Book Antiqua" w:cs="Book Antiqua"/>
          <w:color w:val="000000"/>
          <w:lang w:val="en-GB"/>
        </w:rPr>
        <w:t xml:space="preserve"> individuals on general practice registers. Of these, 263830 (0</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4%) had type 1 diabetes (T1D)</w:t>
      </w:r>
      <w:r w:rsidR="0087027F">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 and 2864670 (4</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7%) had T2D</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35</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One third of all deaths from COVID-19 occurred in people with diabetes</w:t>
      </w:r>
      <w:r w:rsidR="002F53DB" w:rsidRPr="00871C0B">
        <w:rPr>
          <w:rFonts w:ascii="Book Antiqua" w:eastAsia="Book Antiqua" w:hAnsi="Book Antiqua" w:cs="Book Antiqua"/>
          <w:bCs/>
          <w:color w:val="000000"/>
          <w:lang w:val="en-GB"/>
        </w:rPr>
        <w:t xml:space="preserve"> </w:t>
      </w:r>
      <w:r w:rsidR="0087027F">
        <w:rPr>
          <w:rFonts w:ascii="Book Antiqua" w:eastAsia="Book Antiqua" w:hAnsi="Book Antiqua" w:cs="Book Antiqua"/>
          <w:bCs/>
          <w:color w:val="000000"/>
          <w:lang w:val="en-GB"/>
        </w:rPr>
        <w:t>(</w:t>
      </w:r>
      <w:r w:rsidRPr="00871C0B">
        <w:rPr>
          <w:rFonts w:ascii="Book Antiqua" w:eastAsia="Book Antiqua" w:hAnsi="Book Antiqua" w:cs="Book Antiqua"/>
          <w:color w:val="000000"/>
          <w:lang w:val="en-GB"/>
        </w:rPr>
        <w:t>31</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4% in people with T2D and 1</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5% in people with </w:t>
      </w:r>
      <w:r w:rsidRPr="00871C0B">
        <w:rPr>
          <w:rFonts w:ascii="Book Antiqua" w:eastAsia="Book Antiqua" w:hAnsi="Book Antiqua" w:cs="Book Antiqua"/>
          <w:color w:val="000000"/>
          <w:lang w:val="en-GB"/>
        </w:rPr>
        <w:lastRenderedPageBreak/>
        <w:t>T1D</w:t>
      </w:r>
      <w:r w:rsidR="0087027F">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 </w:t>
      </w:r>
      <w:r w:rsidR="0087027F">
        <w:rPr>
          <w:rFonts w:ascii="Book Antiqua" w:eastAsia="Book Antiqua" w:hAnsi="Book Antiqua" w:cs="Book Antiqua"/>
          <w:color w:val="000000"/>
          <w:lang w:val="en-GB"/>
        </w:rPr>
        <w:t xml:space="preserve">The </w:t>
      </w:r>
      <w:r w:rsidR="00035484">
        <w:rPr>
          <w:rFonts w:ascii="Book Antiqua" w:eastAsia="Book Antiqua" w:hAnsi="Book Antiqua" w:cs="Book Antiqua"/>
          <w:color w:val="000000"/>
          <w:lang w:val="en-GB"/>
        </w:rPr>
        <w:t>HR</w:t>
      </w:r>
      <w:r w:rsidR="0087027F">
        <w:rPr>
          <w:rFonts w:ascii="Book Antiqua" w:eastAsia="Book Antiqua" w:hAnsi="Book Antiqua" w:cs="Book Antiqua"/>
          <w:color w:val="000000"/>
          <w:lang w:val="en-GB"/>
        </w:rPr>
        <w:t>s</w:t>
      </w:r>
      <w:r w:rsidRPr="00871C0B">
        <w:rPr>
          <w:rFonts w:ascii="Book Antiqua" w:eastAsia="Book Antiqua" w:hAnsi="Book Antiqua" w:cs="Book Antiqua"/>
          <w:color w:val="000000"/>
          <w:lang w:val="en-GB"/>
        </w:rPr>
        <w:t xml:space="preserve"> for in-hospital death from COVID-19 (adjusted for age, sex, deprivation, ethnicity, geographical region) compared to people without diabetes were 3</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51 (95%CI 3</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16-3</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90) in people with T1D and 2</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03 (</w:t>
      </w:r>
      <w:r w:rsidR="00C43700" w:rsidRPr="00871C0B">
        <w:rPr>
          <w:rFonts w:ascii="Book Antiqua" w:eastAsia="Book Antiqua" w:hAnsi="Book Antiqua" w:cs="Book Antiqua"/>
          <w:color w:val="000000"/>
          <w:lang w:val="en-GB"/>
        </w:rPr>
        <w:t xml:space="preserve">95%CI </w:t>
      </w:r>
      <w:r w:rsidRPr="00871C0B">
        <w:rPr>
          <w:rFonts w:ascii="Book Antiqua" w:eastAsia="Book Antiqua" w:hAnsi="Book Antiqua" w:cs="Book Antiqua"/>
          <w:color w:val="000000"/>
          <w:lang w:val="en-GB"/>
        </w:rPr>
        <w:t>1</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97-2</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09) in people with T2D. When adjusted for previous hospital admission with </w:t>
      </w:r>
      <w:r w:rsidR="001E5FF6" w:rsidRPr="00871C0B">
        <w:rPr>
          <w:rFonts w:ascii="Book Antiqua" w:eastAsia="Book Antiqua" w:hAnsi="Book Antiqua" w:cs="Book Antiqua"/>
          <w:color w:val="000000"/>
          <w:lang w:val="en-GB"/>
        </w:rPr>
        <w:t>cardiovascular disease</w:t>
      </w:r>
      <w:r w:rsidRPr="00871C0B">
        <w:rPr>
          <w:rFonts w:ascii="Book Antiqua" w:eastAsia="Book Antiqua" w:hAnsi="Book Antiqua" w:cs="Book Antiqua"/>
          <w:color w:val="000000"/>
          <w:shd w:val="clear" w:color="auto" w:fill="FFFFFF"/>
          <w:lang w:val="en-GB"/>
        </w:rPr>
        <w:t xml:space="preserve"> or heart failure, </w:t>
      </w:r>
      <w:r w:rsidR="001E40A6">
        <w:rPr>
          <w:rFonts w:ascii="Book Antiqua" w:eastAsia="Book Antiqua" w:hAnsi="Book Antiqua" w:cs="Book Antiqua"/>
          <w:color w:val="000000"/>
          <w:shd w:val="clear" w:color="auto" w:fill="FFFFFF"/>
          <w:lang w:val="en-GB"/>
        </w:rPr>
        <w:t xml:space="preserve">the </w:t>
      </w:r>
      <w:r w:rsidR="00035484">
        <w:rPr>
          <w:rFonts w:ascii="Book Antiqua" w:eastAsia="Book Antiqua" w:hAnsi="Book Antiqua" w:cs="Book Antiqua"/>
          <w:color w:val="000000"/>
          <w:shd w:val="clear" w:color="auto" w:fill="FFFFFF"/>
          <w:lang w:val="en-GB"/>
        </w:rPr>
        <w:t>HR</w:t>
      </w:r>
      <w:r w:rsidR="001E40A6">
        <w:rPr>
          <w:rFonts w:ascii="Book Antiqua" w:eastAsia="Book Antiqua" w:hAnsi="Book Antiqua" w:cs="Book Antiqua"/>
          <w:color w:val="000000"/>
          <w:shd w:val="clear" w:color="auto" w:fill="FFFFFF"/>
          <w:lang w:val="en-GB"/>
        </w:rPr>
        <w:t>s</w:t>
      </w:r>
      <w:r w:rsidRPr="00871C0B">
        <w:rPr>
          <w:rFonts w:ascii="Book Antiqua" w:eastAsia="Book Antiqua" w:hAnsi="Book Antiqua" w:cs="Book Antiqua"/>
          <w:color w:val="000000"/>
          <w:shd w:val="clear" w:color="auto" w:fill="FFFFFF"/>
          <w:lang w:val="en-GB"/>
        </w:rPr>
        <w:t xml:space="preserve"> reduced to 2</w:t>
      </w:r>
      <w:r w:rsidR="00D60D8C" w:rsidRPr="00871C0B">
        <w:rPr>
          <w:rFonts w:ascii="Book Antiqua" w:eastAsia="Book Antiqua" w:hAnsi="Book Antiqua" w:cs="Book Antiqua"/>
          <w:color w:val="000000"/>
          <w:shd w:val="clear" w:color="auto" w:fill="FFFFFF"/>
          <w:lang w:val="en-GB"/>
        </w:rPr>
        <w:t>.</w:t>
      </w:r>
      <w:r w:rsidRPr="00871C0B">
        <w:rPr>
          <w:rFonts w:ascii="Book Antiqua" w:eastAsia="Book Antiqua" w:hAnsi="Book Antiqua" w:cs="Book Antiqua"/>
          <w:color w:val="000000"/>
          <w:shd w:val="clear" w:color="auto" w:fill="FFFFFF"/>
          <w:lang w:val="en-GB"/>
        </w:rPr>
        <w:t>86 (</w:t>
      </w:r>
      <w:r w:rsidR="00C43700" w:rsidRPr="00871C0B">
        <w:rPr>
          <w:rFonts w:ascii="Book Antiqua" w:eastAsia="Book Antiqua" w:hAnsi="Book Antiqua" w:cs="Book Antiqua"/>
          <w:color w:val="000000"/>
          <w:lang w:val="en-GB"/>
        </w:rPr>
        <w:t xml:space="preserve">95%CI </w:t>
      </w:r>
      <w:r w:rsidRPr="00871C0B">
        <w:rPr>
          <w:rFonts w:ascii="Book Antiqua" w:eastAsia="Book Antiqua" w:hAnsi="Book Antiqua" w:cs="Book Antiqua"/>
          <w:color w:val="000000"/>
          <w:shd w:val="clear" w:color="auto" w:fill="FFFFFF"/>
          <w:lang w:val="en-GB"/>
        </w:rPr>
        <w:t>2</w:t>
      </w:r>
      <w:r w:rsidR="00D60D8C" w:rsidRPr="00871C0B">
        <w:rPr>
          <w:rFonts w:ascii="Book Antiqua" w:eastAsia="Book Antiqua" w:hAnsi="Book Antiqua" w:cs="Book Antiqua"/>
          <w:color w:val="000000"/>
          <w:shd w:val="clear" w:color="auto" w:fill="FFFFFF"/>
          <w:lang w:val="en-GB"/>
        </w:rPr>
        <w:t>.</w:t>
      </w:r>
      <w:r w:rsidRPr="00871C0B">
        <w:rPr>
          <w:rFonts w:ascii="Book Antiqua" w:eastAsia="Book Antiqua" w:hAnsi="Book Antiqua" w:cs="Book Antiqua"/>
          <w:color w:val="000000"/>
          <w:shd w:val="clear" w:color="auto" w:fill="FFFFFF"/>
          <w:lang w:val="en-GB"/>
        </w:rPr>
        <w:t>58-3</w:t>
      </w:r>
      <w:r w:rsidR="00D60D8C" w:rsidRPr="00871C0B">
        <w:rPr>
          <w:rFonts w:ascii="Book Antiqua" w:eastAsia="Book Antiqua" w:hAnsi="Book Antiqua" w:cs="Book Antiqua"/>
          <w:color w:val="000000"/>
          <w:shd w:val="clear" w:color="auto" w:fill="FFFFFF"/>
          <w:lang w:val="en-GB"/>
        </w:rPr>
        <w:t>.</w:t>
      </w:r>
      <w:r w:rsidRPr="00871C0B">
        <w:rPr>
          <w:rFonts w:ascii="Book Antiqua" w:eastAsia="Book Antiqua" w:hAnsi="Book Antiqua" w:cs="Book Antiqua"/>
          <w:color w:val="000000"/>
          <w:shd w:val="clear" w:color="auto" w:fill="FFFFFF"/>
          <w:lang w:val="en-GB"/>
        </w:rPr>
        <w:t>18) for T1D and 1</w:t>
      </w:r>
      <w:r w:rsidR="00D60D8C" w:rsidRPr="00871C0B">
        <w:rPr>
          <w:rFonts w:ascii="Book Antiqua" w:eastAsia="Book Antiqua" w:hAnsi="Book Antiqua" w:cs="Book Antiqua"/>
          <w:color w:val="000000"/>
          <w:shd w:val="clear" w:color="auto" w:fill="FFFFFF"/>
          <w:lang w:val="en-GB"/>
        </w:rPr>
        <w:t>.</w:t>
      </w:r>
      <w:r w:rsidRPr="00871C0B">
        <w:rPr>
          <w:rFonts w:ascii="Book Antiqua" w:eastAsia="Book Antiqua" w:hAnsi="Book Antiqua" w:cs="Book Antiqua"/>
          <w:color w:val="000000"/>
          <w:shd w:val="clear" w:color="auto" w:fill="FFFFFF"/>
          <w:lang w:val="en-GB"/>
        </w:rPr>
        <w:t>80 (</w:t>
      </w:r>
      <w:r w:rsidR="00C43700" w:rsidRPr="00871C0B">
        <w:rPr>
          <w:rFonts w:ascii="Book Antiqua" w:eastAsia="Book Antiqua" w:hAnsi="Book Antiqua" w:cs="Book Antiqua"/>
          <w:color w:val="000000"/>
          <w:lang w:val="en-GB"/>
        </w:rPr>
        <w:t xml:space="preserve">95%CI </w:t>
      </w:r>
      <w:r w:rsidRPr="00871C0B">
        <w:rPr>
          <w:rFonts w:ascii="Book Antiqua" w:eastAsia="Book Antiqua" w:hAnsi="Book Antiqua" w:cs="Book Antiqua"/>
          <w:color w:val="000000"/>
          <w:shd w:val="clear" w:color="auto" w:fill="FFFFFF"/>
          <w:lang w:val="en-GB"/>
        </w:rPr>
        <w:t>1</w:t>
      </w:r>
      <w:r w:rsidR="00D60D8C" w:rsidRPr="00871C0B">
        <w:rPr>
          <w:rFonts w:ascii="Book Antiqua" w:eastAsia="Book Antiqua" w:hAnsi="Book Antiqua" w:cs="Book Antiqua"/>
          <w:color w:val="000000"/>
          <w:shd w:val="clear" w:color="auto" w:fill="FFFFFF"/>
          <w:lang w:val="en-GB"/>
        </w:rPr>
        <w:t>.</w:t>
      </w:r>
      <w:r w:rsidRPr="00871C0B">
        <w:rPr>
          <w:rFonts w:ascii="Book Antiqua" w:eastAsia="Book Antiqua" w:hAnsi="Book Antiqua" w:cs="Book Antiqua"/>
          <w:color w:val="000000"/>
          <w:shd w:val="clear" w:color="auto" w:fill="FFFFFF"/>
          <w:lang w:val="en-GB"/>
        </w:rPr>
        <w:t>75-1</w:t>
      </w:r>
      <w:r w:rsidR="00D60D8C" w:rsidRPr="00871C0B">
        <w:rPr>
          <w:rFonts w:ascii="Book Antiqua" w:eastAsia="Book Antiqua" w:hAnsi="Book Antiqua" w:cs="Book Antiqua"/>
          <w:color w:val="000000"/>
          <w:shd w:val="clear" w:color="auto" w:fill="FFFFFF"/>
          <w:lang w:val="en-GB"/>
        </w:rPr>
        <w:t>.</w:t>
      </w:r>
      <w:r w:rsidRPr="00871C0B">
        <w:rPr>
          <w:rFonts w:ascii="Book Antiqua" w:eastAsia="Book Antiqua" w:hAnsi="Book Antiqua" w:cs="Book Antiqua"/>
          <w:color w:val="000000"/>
          <w:shd w:val="clear" w:color="auto" w:fill="FFFFFF"/>
          <w:lang w:val="en-GB"/>
        </w:rPr>
        <w:t>86) for T2D.</w:t>
      </w:r>
    </w:p>
    <w:p w14:paraId="79EFAFC2" w14:textId="7B429CB1" w:rsidR="00A77B3E" w:rsidRPr="00871C0B" w:rsidRDefault="008B5DB2" w:rsidP="00871C0B">
      <w:pPr>
        <w:spacing w:line="360" w:lineRule="auto"/>
        <w:ind w:firstLineChars="100" w:firstLine="240"/>
        <w:jc w:val="both"/>
        <w:rPr>
          <w:rFonts w:ascii="Book Antiqua" w:hAnsi="Book Antiqua"/>
          <w:lang w:val="en-GB"/>
        </w:rPr>
      </w:pPr>
      <w:r w:rsidRPr="00871C0B">
        <w:rPr>
          <w:rFonts w:ascii="Book Antiqua" w:eastAsia="Book Antiqua" w:hAnsi="Book Antiqua" w:cs="Book Antiqua"/>
          <w:color w:val="000000"/>
          <w:lang w:val="en-GB"/>
        </w:rPr>
        <w:t xml:space="preserve">A large </w:t>
      </w:r>
      <w:r w:rsidR="00D11695" w:rsidRPr="00871C0B">
        <w:rPr>
          <w:rFonts w:ascii="Book Antiqua" w:eastAsia="Book Antiqua" w:hAnsi="Book Antiqua" w:cs="Book Antiqua"/>
          <w:color w:val="000000"/>
          <w:lang w:val="en-GB"/>
        </w:rPr>
        <w:t>United Kingdom</w:t>
      </w:r>
      <w:r w:rsidRPr="00871C0B">
        <w:rPr>
          <w:rFonts w:ascii="Book Antiqua" w:eastAsia="Book Antiqua" w:hAnsi="Book Antiqua" w:cs="Book Antiqua"/>
          <w:color w:val="000000"/>
          <w:lang w:val="en-GB"/>
        </w:rPr>
        <w:t xml:space="preserve"> study of a cohort of patients with diabetes and COVID-19 found that poor glycaemic control prior to hospital admission was associated with an increased risk of in-hospital death</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36</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xml:space="preserve">. </w:t>
      </w:r>
      <w:r w:rsidRPr="00871C0B">
        <w:rPr>
          <w:rFonts w:ascii="Book Antiqua" w:eastAsia="Book Antiqua" w:hAnsi="Book Antiqua" w:cs="Book Antiqua"/>
          <w:color w:val="000000"/>
          <w:shd w:val="clear" w:color="auto" w:fill="FFFFFF"/>
          <w:lang w:val="en-GB"/>
        </w:rPr>
        <w:t xml:space="preserve">Compared with people with a </w:t>
      </w:r>
      <w:r w:rsidR="00D60D8C" w:rsidRPr="00871C0B">
        <w:rPr>
          <w:rFonts w:ascii="Book Antiqua" w:eastAsia="Book Antiqua" w:hAnsi="Book Antiqua" w:cs="Book Antiqua"/>
          <w:color w:val="000000"/>
          <w:lang w:val="en-GB"/>
        </w:rPr>
        <w:t>h</w:t>
      </w:r>
      <w:r w:rsidR="00FD5D1E">
        <w:rPr>
          <w:rFonts w:ascii="Book Antiqua" w:eastAsia="Book Antiqua" w:hAnsi="Book Antiqua" w:cs="Book Antiqua"/>
          <w:color w:val="000000"/>
          <w:lang w:val="en-GB"/>
        </w:rPr>
        <w:t>a</w:t>
      </w:r>
      <w:r w:rsidR="00D60D8C" w:rsidRPr="00871C0B">
        <w:rPr>
          <w:rFonts w:ascii="Book Antiqua" w:eastAsia="Book Antiqua" w:hAnsi="Book Antiqua" w:cs="Book Antiqua"/>
          <w:color w:val="000000"/>
          <w:lang w:val="en-GB"/>
        </w:rPr>
        <w:t>emoglobin A1c</w:t>
      </w:r>
      <w:r w:rsidR="00D60D8C" w:rsidRPr="00871C0B">
        <w:rPr>
          <w:rFonts w:ascii="Book Antiqua" w:eastAsia="Book Antiqua" w:hAnsi="Book Antiqua" w:cs="Book Antiqua"/>
          <w:color w:val="000000"/>
          <w:shd w:val="clear" w:color="auto" w:fill="FFFFFF"/>
          <w:lang w:val="en-GB"/>
        </w:rPr>
        <w:t xml:space="preserve"> (</w:t>
      </w:r>
      <w:r w:rsidRPr="00871C0B">
        <w:rPr>
          <w:rFonts w:ascii="Book Antiqua" w:eastAsia="Book Antiqua" w:hAnsi="Book Antiqua" w:cs="Book Antiqua"/>
          <w:color w:val="000000"/>
          <w:shd w:val="clear" w:color="auto" w:fill="FFFFFF"/>
          <w:lang w:val="en-GB"/>
        </w:rPr>
        <w:t>HbA1c</w:t>
      </w:r>
      <w:r w:rsidR="00D60D8C" w:rsidRPr="00871C0B">
        <w:rPr>
          <w:rFonts w:ascii="Book Antiqua" w:eastAsia="Book Antiqua" w:hAnsi="Book Antiqua" w:cs="Book Antiqua"/>
          <w:color w:val="000000"/>
          <w:shd w:val="clear" w:color="auto" w:fill="FFFFFF"/>
          <w:lang w:val="en-GB"/>
        </w:rPr>
        <w:t xml:space="preserve">) </w:t>
      </w:r>
      <w:r w:rsidRPr="00871C0B">
        <w:rPr>
          <w:rFonts w:ascii="Book Antiqua" w:eastAsia="Book Antiqua" w:hAnsi="Book Antiqua" w:cs="Book Antiqua"/>
          <w:color w:val="000000"/>
          <w:shd w:val="clear" w:color="auto" w:fill="FFFFFF"/>
          <w:lang w:val="en-GB"/>
        </w:rPr>
        <w:t>of 48-53 mmol/mol (6</w:t>
      </w:r>
      <w:r w:rsidR="00D60D8C" w:rsidRPr="00871C0B">
        <w:rPr>
          <w:rFonts w:ascii="Book Antiqua" w:eastAsia="Book Antiqua" w:hAnsi="Book Antiqua" w:cs="Book Antiqua"/>
          <w:color w:val="000000"/>
          <w:shd w:val="clear" w:color="auto" w:fill="FFFFFF"/>
          <w:lang w:val="en-GB"/>
        </w:rPr>
        <w:t>.</w:t>
      </w:r>
      <w:r w:rsidRPr="00871C0B">
        <w:rPr>
          <w:rFonts w:ascii="Book Antiqua" w:eastAsia="Book Antiqua" w:hAnsi="Book Antiqua" w:cs="Book Antiqua"/>
          <w:color w:val="000000"/>
          <w:shd w:val="clear" w:color="auto" w:fill="FFFFFF"/>
          <w:lang w:val="en-GB"/>
        </w:rPr>
        <w:t>5</w:t>
      </w:r>
      <w:r w:rsidR="00D60D8C" w:rsidRPr="00871C0B">
        <w:rPr>
          <w:rFonts w:ascii="Book Antiqua" w:eastAsia="Book Antiqua" w:hAnsi="Book Antiqua" w:cs="Book Antiqua"/>
          <w:color w:val="000000"/>
          <w:shd w:val="clear" w:color="auto" w:fill="FFFFFF"/>
          <w:lang w:val="en-GB"/>
        </w:rPr>
        <w:t>%</w:t>
      </w:r>
      <w:r w:rsidRPr="00871C0B">
        <w:rPr>
          <w:rFonts w:ascii="Book Antiqua" w:eastAsia="Book Antiqua" w:hAnsi="Book Antiqua" w:cs="Book Antiqua"/>
          <w:color w:val="000000"/>
          <w:shd w:val="clear" w:color="auto" w:fill="FFFFFF"/>
          <w:lang w:val="en-GB"/>
        </w:rPr>
        <w:t>-7</w:t>
      </w:r>
      <w:r w:rsidR="00D60D8C" w:rsidRPr="00871C0B">
        <w:rPr>
          <w:rFonts w:ascii="Book Antiqua" w:eastAsia="Book Antiqua" w:hAnsi="Book Antiqua" w:cs="Book Antiqua"/>
          <w:color w:val="000000"/>
          <w:shd w:val="clear" w:color="auto" w:fill="FFFFFF"/>
          <w:lang w:val="en-GB"/>
        </w:rPr>
        <w:t>.</w:t>
      </w:r>
      <w:r w:rsidRPr="00871C0B">
        <w:rPr>
          <w:rFonts w:ascii="Book Antiqua" w:eastAsia="Book Antiqua" w:hAnsi="Book Antiqua" w:cs="Book Antiqua"/>
          <w:color w:val="000000"/>
          <w:shd w:val="clear" w:color="auto" w:fill="FFFFFF"/>
          <w:lang w:val="en-GB"/>
        </w:rPr>
        <w:t>0%), people with an HbA1c</w:t>
      </w:r>
      <w:r w:rsidR="00D60D8C" w:rsidRPr="00871C0B">
        <w:rPr>
          <w:rFonts w:ascii="Book Antiqua" w:eastAsia="Book Antiqua" w:hAnsi="Book Antiqua" w:cs="Book Antiqua"/>
          <w:color w:val="000000"/>
          <w:lang w:val="en-GB"/>
        </w:rPr>
        <w:t xml:space="preserve"> </w:t>
      </w:r>
      <w:r w:rsidRPr="00871C0B">
        <w:rPr>
          <w:rFonts w:ascii="Book Antiqua" w:eastAsia="Book Antiqua" w:hAnsi="Book Antiqua" w:cs="Book Antiqua"/>
          <w:color w:val="000000"/>
          <w:lang w:val="en-GB"/>
        </w:rPr>
        <w:t>of 86 mmol/mol (10</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0%) or higher had increased COVID-19-related mortality </w:t>
      </w:r>
      <w:r w:rsidR="00D60D8C" w:rsidRPr="00871C0B">
        <w:rPr>
          <w:rFonts w:ascii="Book Antiqua" w:eastAsia="Book Antiqua" w:hAnsi="Book Antiqua" w:cs="Book Antiqua"/>
          <w:color w:val="000000"/>
          <w:lang w:val="en-GB"/>
        </w:rPr>
        <w:t xml:space="preserve">(HR </w:t>
      </w:r>
      <w:r w:rsidRPr="00871C0B">
        <w:rPr>
          <w:rFonts w:ascii="Book Antiqua" w:eastAsia="Book Antiqua" w:hAnsi="Book Antiqua" w:cs="Book Antiqua"/>
          <w:color w:val="000000"/>
          <w:lang w:val="en-GB"/>
        </w:rPr>
        <w:t>2</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23</w:t>
      </w:r>
      <w:r w:rsidR="00C43700">
        <w:rPr>
          <w:rFonts w:ascii="Book Antiqua" w:eastAsia="Book Antiqua" w:hAnsi="Book Antiqua" w:cs="Book Antiqua"/>
          <w:color w:val="000000"/>
          <w:lang w:val="en-GB"/>
        </w:rPr>
        <w:t xml:space="preserve">, </w:t>
      </w:r>
      <w:r w:rsidRPr="00871C0B">
        <w:rPr>
          <w:rFonts w:ascii="Book Antiqua" w:eastAsia="Book Antiqua" w:hAnsi="Book Antiqua" w:cs="Book Antiqua"/>
          <w:color w:val="000000"/>
          <w:lang w:val="en-GB"/>
        </w:rPr>
        <w:t>95%CI 1</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50-3</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30, </w:t>
      </w:r>
      <w:r w:rsidR="00D60D8C" w:rsidRPr="00871C0B">
        <w:rPr>
          <w:rFonts w:ascii="Book Antiqua" w:eastAsia="Book Antiqua" w:hAnsi="Book Antiqua" w:cs="Book Antiqua"/>
          <w:i/>
          <w:iCs/>
          <w:color w:val="000000"/>
          <w:lang w:val="en-GB"/>
        </w:rPr>
        <w:t xml:space="preserve">P </w:t>
      </w:r>
      <w:r w:rsidRPr="00871C0B">
        <w:rPr>
          <w:rFonts w:ascii="Book Antiqua" w:eastAsia="Book Antiqua" w:hAnsi="Book Antiqua" w:cs="Book Antiqua"/>
          <w:color w:val="000000"/>
          <w:lang w:val="en-GB"/>
        </w:rPr>
        <w:t>&lt;</w:t>
      </w:r>
      <w:r w:rsidR="00D60D8C" w:rsidRPr="00871C0B">
        <w:rPr>
          <w:rFonts w:ascii="Book Antiqua" w:eastAsia="Book Antiqua" w:hAnsi="Book Antiqua" w:cs="Book Antiqua"/>
          <w:color w:val="000000"/>
          <w:lang w:val="en-GB"/>
        </w:rPr>
        <w:t xml:space="preserve"> </w:t>
      </w:r>
      <w:r w:rsidRPr="00871C0B">
        <w:rPr>
          <w:rFonts w:ascii="Book Antiqua" w:eastAsia="Book Antiqua" w:hAnsi="Book Antiqua" w:cs="Book Antiqua"/>
          <w:color w:val="000000"/>
          <w:lang w:val="en-GB"/>
        </w:rPr>
        <w:t>0</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0001 in T1D and </w:t>
      </w:r>
      <w:r w:rsidR="00C43700">
        <w:rPr>
          <w:rFonts w:ascii="Book Antiqua" w:eastAsia="Book Antiqua" w:hAnsi="Book Antiqua" w:cs="Book Antiqua"/>
          <w:color w:val="000000"/>
          <w:lang w:val="en-GB"/>
        </w:rPr>
        <w:t xml:space="preserve">HR </w:t>
      </w:r>
      <w:r w:rsidRPr="00871C0B">
        <w:rPr>
          <w:rFonts w:ascii="Book Antiqua" w:eastAsia="Book Antiqua" w:hAnsi="Book Antiqua" w:cs="Book Antiqua"/>
          <w:color w:val="000000"/>
          <w:lang w:val="en-GB"/>
        </w:rPr>
        <w:t>1</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61</w:t>
      </w:r>
      <w:r w:rsidR="00C43700">
        <w:rPr>
          <w:rFonts w:ascii="Book Antiqua" w:eastAsia="Book Antiqua" w:hAnsi="Book Antiqua" w:cs="Book Antiqua"/>
          <w:color w:val="000000"/>
          <w:lang w:val="en-GB"/>
        </w:rPr>
        <w:t xml:space="preserve">, </w:t>
      </w:r>
      <w:r w:rsidRPr="00871C0B">
        <w:rPr>
          <w:rFonts w:ascii="Book Antiqua" w:eastAsia="Book Antiqua" w:hAnsi="Book Antiqua" w:cs="Book Antiqua"/>
          <w:color w:val="000000"/>
          <w:lang w:val="en-GB"/>
        </w:rPr>
        <w:t>1</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47-1</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77, </w:t>
      </w:r>
      <w:r w:rsidR="00D60D8C" w:rsidRPr="00871C0B">
        <w:rPr>
          <w:rFonts w:ascii="Book Antiqua" w:eastAsia="Book Antiqua" w:hAnsi="Book Antiqua" w:cs="Book Antiqua"/>
          <w:i/>
          <w:iCs/>
          <w:color w:val="000000"/>
          <w:lang w:val="en-GB"/>
        </w:rPr>
        <w:t xml:space="preserve">P </w:t>
      </w:r>
      <w:r w:rsidR="00D60D8C" w:rsidRPr="00871C0B">
        <w:rPr>
          <w:rFonts w:ascii="Book Antiqua" w:eastAsia="Book Antiqua" w:hAnsi="Book Antiqua" w:cs="Book Antiqua"/>
          <w:color w:val="000000"/>
          <w:lang w:val="en-GB"/>
        </w:rPr>
        <w:t xml:space="preserve">&lt; </w:t>
      </w:r>
      <w:r w:rsidRPr="00871C0B">
        <w:rPr>
          <w:rFonts w:ascii="Book Antiqua" w:eastAsia="Book Antiqua" w:hAnsi="Book Antiqua" w:cs="Book Antiqua"/>
          <w:color w:val="000000"/>
          <w:lang w:val="en-GB"/>
        </w:rPr>
        <w:t>0</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0001 in T2D</w:t>
      </w:r>
      <w:r w:rsidR="00C43700">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In people with T2D compared to those with HbA</w:t>
      </w:r>
      <w:r w:rsidRPr="00871C0B">
        <w:rPr>
          <w:rFonts w:ascii="Book Antiqua" w:eastAsia="Book Antiqua" w:hAnsi="Book Antiqua" w:cs="Book Antiqua"/>
          <w:color w:val="000000"/>
          <w:shd w:val="clear" w:color="auto" w:fill="FFFFFF"/>
          <w:lang w:val="en-GB"/>
        </w:rPr>
        <w:t>1c</w:t>
      </w:r>
      <w:r w:rsidR="00D60D8C" w:rsidRPr="00871C0B">
        <w:rPr>
          <w:rFonts w:ascii="Book Antiqua" w:eastAsia="Book Antiqua" w:hAnsi="Book Antiqua" w:cs="Book Antiqua"/>
          <w:color w:val="000000"/>
          <w:shd w:val="clear" w:color="auto" w:fill="FFFFFF"/>
          <w:lang w:val="en-GB"/>
        </w:rPr>
        <w:t xml:space="preserve"> </w:t>
      </w:r>
      <w:r w:rsidRPr="00871C0B">
        <w:rPr>
          <w:rFonts w:ascii="Book Antiqua" w:eastAsia="Book Antiqua" w:hAnsi="Book Antiqua" w:cs="Book Antiqua"/>
          <w:color w:val="000000"/>
          <w:shd w:val="clear" w:color="auto" w:fill="FFFFFF"/>
          <w:lang w:val="en-GB"/>
        </w:rPr>
        <w:t>of 48-53 mmol/mol, mortality from COVID-19 was significantly higher in those with an HbA1c</w:t>
      </w:r>
      <w:r w:rsidR="00D60D8C" w:rsidRPr="00871C0B">
        <w:rPr>
          <w:rFonts w:ascii="Book Antiqua" w:eastAsia="Book Antiqua" w:hAnsi="Book Antiqua" w:cs="Book Antiqua"/>
          <w:color w:val="000000"/>
          <w:shd w:val="clear" w:color="auto" w:fill="FFFFFF"/>
          <w:lang w:val="en-GB"/>
        </w:rPr>
        <w:t xml:space="preserve"> </w:t>
      </w:r>
      <w:r w:rsidRPr="00871C0B">
        <w:rPr>
          <w:rFonts w:ascii="Book Antiqua" w:eastAsia="Book Antiqua" w:hAnsi="Book Antiqua" w:cs="Book Antiqua"/>
          <w:color w:val="000000"/>
          <w:shd w:val="clear" w:color="auto" w:fill="FFFFFF"/>
          <w:lang w:val="en-GB"/>
        </w:rPr>
        <w:t>&gt;</w:t>
      </w:r>
      <w:r w:rsidR="00D60D8C" w:rsidRPr="00871C0B">
        <w:rPr>
          <w:rFonts w:ascii="Book Antiqua" w:eastAsia="Book Antiqua" w:hAnsi="Book Antiqua" w:cs="Book Antiqua"/>
          <w:color w:val="000000"/>
          <w:shd w:val="clear" w:color="auto" w:fill="FFFFFF"/>
          <w:lang w:val="en-GB"/>
        </w:rPr>
        <w:t xml:space="preserve"> </w:t>
      </w:r>
      <w:r w:rsidRPr="00871C0B">
        <w:rPr>
          <w:rFonts w:ascii="Book Antiqua" w:eastAsia="Book Antiqua" w:hAnsi="Book Antiqua" w:cs="Book Antiqua"/>
          <w:color w:val="000000"/>
          <w:shd w:val="clear" w:color="auto" w:fill="FFFFFF"/>
          <w:lang w:val="en-GB"/>
        </w:rPr>
        <w:t>59 mmol/mol (7.5%</w:t>
      </w:r>
      <w:r w:rsidRPr="00871C0B">
        <w:rPr>
          <w:rFonts w:ascii="Book Antiqua" w:eastAsia="Book Antiqua" w:hAnsi="Book Antiqua" w:cs="Book Antiqua"/>
          <w:color w:val="000000"/>
          <w:lang w:val="en-GB"/>
        </w:rPr>
        <w:t xml:space="preserve">) </w:t>
      </w:r>
      <w:r w:rsidR="00C43700">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HR 1</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22</w:t>
      </w:r>
      <w:r w:rsidR="00C43700">
        <w:rPr>
          <w:rFonts w:ascii="Book Antiqua" w:eastAsia="Book Antiqua" w:hAnsi="Book Antiqua" w:cs="Book Antiqua"/>
          <w:color w:val="000000"/>
          <w:lang w:val="en-GB"/>
        </w:rPr>
        <w:t xml:space="preserve">, </w:t>
      </w:r>
      <w:r w:rsidRPr="00871C0B">
        <w:rPr>
          <w:rFonts w:ascii="Book Antiqua" w:eastAsia="Book Antiqua" w:hAnsi="Book Antiqua" w:cs="Book Antiqua"/>
          <w:color w:val="000000"/>
          <w:lang w:val="en-GB"/>
        </w:rPr>
        <w:t>95%CI 1</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15-1</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30, </w:t>
      </w:r>
      <w:r w:rsidR="00D60D8C" w:rsidRPr="00871C0B">
        <w:rPr>
          <w:rFonts w:ascii="Book Antiqua" w:eastAsia="Book Antiqua" w:hAnsi="Book Antiqua" w:cs="Book Antiqua"/>
          <w:i/>
          <w:iCs/>
          <w:color w:val="000000"/>
          <w:lang w:val="en-GB"/>
        </w:rPr>
        <w:t xml:space="preserve">P </w:t>
      </w:r>
      <w:r w:rsidR="00D60D8C" w:rsidRPr="00871C0B">
        <w:rPr>
          <w:rFonts w:ascii="Book Antiqua" w:eastAsia="Book Antiqua" w:hAnsi="Book Antiqua" w:cs="Book Antiqua"/>
          <w:color w:val="000000"/>
          <w:lang w:val="en-GB"/>
        </w:rPr>
        <w:t xml:space="preserve">&lt; </w:t>
      </w:r>
      <w:r w:rsidRPr="00871C0B">
        <w:rPr>
          <w:rFonts w:ascii="Book Antiqua" w:eastAsia="Book Antiqua" w:hAnsi="Book Antiqua" w:cs="Book Antiqua"/>
          <w:color w:val="000000"/>
          <w:lang w:val="en-GB"/>
        </w:rPr>
        <w:t>0</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0001</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In a U</w:t>
      </w:r>
      <w:r w:rsidR="00D60D8C" w:rsidRPr="00871C0B">
        <w:rPr>
          <w:rFonts w:ascii="Book Antiqua" w:eastAsia="Book Antiqua" w:hAnsi="Book Antiqua" w:cs="Book Antiqua"/>
          <w:color w:val="000000"/>
          <w:lang w:val="en-GB"/>
        </w:rPr>
        <w:t xml:space="preserve">nited </w:t>
      </w:r>
      <w:r w:rsidRPr="00871C0B">
        <w:rPr>
          <w:rFonts w:ascii="Book Antiqua" w:eastAsia="Book Antiqua" w:hAnsi="Book Antiqua" w:cs="Book Antiqua"/>
          <w:color w:val="000000"/>
          <w:lang w:val="en-GB"/>
        </w:rPr>
        <w:t>S</w:t>
      </w:r>
      <w:r w:rsidR="00D60D8C" w:rsidRPr="00871C0B">
        <w:rPr>
          <w:rFonts w:ascii="Book Antiqua" w:eastAsia="Book Antiqua" w:hAnsi="Book Antiqua" w:cs="Book Antiqua"/>
          <w:color w:val="000000"/>
          <w:lang w:val="en-GB"/>
        </w:rPr>
        <w:t>tates</w:t>
      </w:r>
      <w:r w:rsidRPr="00871C0B">
        <w:rPr>
          <w:rFonts w:ascii="Book Antiqua" w:eastAsia="Book Antiqua" w:hAnsi="Book Antiqua" w:cs="Book Antiqua"/>
          <w:color w:val="000000"/>
          <w:lang w:val="en-GB"/>
        </w:rPr>
        <w:t xml:space="preserve"> study of 451 patients with diabetes and/or uncontrolled hyperglycaemia, mortality rate was 28.8% in patients with uncontrolled hyperglycaemia compared with 6.2% in patients without hyperglycaemia (</w:t>
      </w:r>
      <w:r w:rsidRPr="00871C0B">
        <w:rPr>
          <w:rFonts w:ascii="Book Antiqua" w:eastAsia="Book Antiqua" w:hAnsi="Book Antiqua" w:cs="Book Antiqua"/>
          <w:i/>
          <w:iCs/>
          <w:color w:val="000000"/>
          <w:shd w:val="clear" w:color="auto" w:fill="FFFFFF"/>
          <w:lang w:val="en-GB"/>
        </w:rPr>
        <w:t>P</w:t>
      </w:r>
      <w:r w:rsidR="00D60D8C" w:rsidRPr="00871C0B">
        <w:rPr>
          <w:rFonts w:ascii="Book Antiqua" w:eastAsia="Book Antiqua" w:hAnsi="Book Antiqua" w:cs="Book Antiqua"/>
          <w:color w:val="000000"/>
          <w:lang w:val="en-GB"/>
        </w:rPr>
        <w:t xml:space="preserve"> </w:t>
      </w:r>
      <w:r w:rsidRPr="00871C0B">
        <w:rPr>
          <w:rFonts w:ascii="Book Antiqua" w:eastAsia="Book Antiqua" w:hAnsi="Book Antiqua" w:cs="Book Antiqua"/>
          <w:color w:val="000000"/>
          <w:lang w:val="en-GB"/>
        </w:rPr>
        <w:t>&lt;</w:t>
      </w:r>
      <w:r w:rsidR="00D60D8C" w:rsidRPr="00871C0B">
        <w:rPr>
          <w:rFonts w:ascii="Book Antiqua" w:eastAsia="Book Antiqua" w:hAnsi="Book Antiqua" w:cs="Book Antiqua"/>
          <w:color w:val="000000"/>
          <w:lang w:val="en-GB"/>
        </w:rPr>
        <w:t xml:space="preserve"> </w:t>
      </w:r>
      <w:r w:rsidRPr="00871C0B">
        <w:rPr>
          <w:rFonts w:ascii="Book Antiqua" w:eastAsia="Book Antiqua" w:hAnsi="Book Antiqua" w:cs="Book Antiqua"/>
          <w:color w:val="000000"/>
          <w:lang w:val="en-GB"/>
        </w:rPr>
        <w:t>0.001)</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37</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In a retrospective analysis of 952 cases of COVID-19 in patients with T2D in China, well-controlled blood glucose in hospital (</w:t>
      </w:r>
      <w:r w:rsidRPr="00871C0B">
        <w:rPr>
          <w:rFonts w:ascii="Book Antiqua" w:eastAsia="Book Antiqua" w:hAnsi="Book Antiqua" w:cs="Book Antiqua"/>
          <w:color w:val="000000"/>
          <w:shd w:val="clear" w:color="auto" w:fill="FFFFFF"/>
          <w:lang w:val="en-GB"/>
        </w:rPr>
        <w:t>capillary blood glucoses 3.9 to 10.0 mmol/L) was associated with lower mortality compared to individuals with poorly controlled glycaemia (capillary blood glucoses frequently</w:t>
      </w:r>
      <w:r w:rsidRPr="00871C0B">
        <w:rPr>
          <w:rFonts w:ascii="Book Antiqua" w:eastAsia="Book Antiqua" w:hAnsi="Book Antiqua" w:cs="Book Antiqua"/>
          <w:color w:val="000000"/>
          <w:lang w:val="en-GB"/>
        </w:rPr>
        <w:t xml:space="preserve"> &gt;</w:t>
      </w:r>
      <w:r w:rsidR="00D60D8C" w:rsidRPr="00871C0B">
        <w:rPr>
          <w:rFonts w:ascii="Book Antiqua" w:eastAsia="Book Antiqua" w:hAnsi="Book Antiqua" w:cs="Book Antiqua"/>
          <w:color w:val="000000"/>
          <w:lang w:val="en-GB"/>
        </w:rPr>
        <w:t xml:space="preserve"> </w:t>
      </w:r>
      <w:r w:rsidRPr="00871C0B">
        <w:rPr>
          <w:rFonts w:ascii="Book Antiqua" w:eastAsia="Book Antiqua" w:hAnsi="Book Antiqua" w:cs="Book Antiqua"/>
          <w:color w:val="000000"/>
          <w:lang w:val="en-GB"/>
        </w:rPr>
        <w:t xml:space="preserve">10.0 mmol/L) </w:t>
      </w:r>
      <w:r w:rsidR="00385F76">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HR 0.14</w:t>
      </w:r>
      <w:r w:rsidR="00385F76">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 95%CI 0.03-0.60</w:t>
      </w:r>
      <w:r w:rsidR="00D60D8C"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38</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w:t>
      </w:r>
    </w:p>
    <w:p w14:paraId="7B36998A" w14:textId="1D771AFC" w:rsidR="00A77B3E" w:rsidRPr="00871C0B" w:rsidRDefault="008B5DB2" w:rsidP="00871C0B">
      <w:pPr>
        <w:spacing w:line="360" w:lineRule="auto"/>
        <w:ind w:firstLineChars="100" w:firstLine="240"/>
        <w:jc w:val="both"/>
        <w:rPr>
          <w:rFonts w:ascii="Book Antiqua" w:hAnsi="Book Antiqua"/>
          <w:lang w:val="en-GB"/>
        </w:rPr>
      </w:pPr>
      <w:r w:rsidRPr="00871C0B">
        <w:rPr>
          <w:rFonts w:ascii="Book Antiqua" w:eastAsia="Book Antiqua" w:hAnsi="Book Antiqua" w:cs="Book Antiqua"/>
          <w:color w:val="000000"/>
          <w:lang w:val="en-GB"/>
        </w:rPr>
        <w:t xml:space="preserve">Why should diabetes increase </w:t>
      </w:r>
      <w:r w:rsidR="00F466FE">
        <w:rPr>
          <w:rFonts w:ascii="Book Antiqua" w:eastAsia="Book Antiqua" w:hAnsi="Book Antiqua" w:cs="Book Antiqua"/>
          <w:color w:val="000000"/>
          <w:lang w:val="en-GB"/>
        </w:rPr>
        <w:t xml:space="preserve">the </w:t>
      </w:r>
      <w:r w:rsidRPr="00871C0B">
        <w:rPr>
          <w:rFonts w:ascii="Book Antiqua" w:eastAsia="Book Antiqua" w:hAnsi="Book Antiqua" w:cs="Book Antiqua"/>
          <w:color w:val="000000"/>
          <w:lang w:val="en-GB"/>
        </w:rPr>
        <w:t xml:space="preserve">risk of adverse outcomes in patients with COVID-19? </w:t>
      </w:r>
      <w:r w:rsidR="001057AE">
        <w:rPr>
          <w:rFonts w:ascii="Book Antiqua" w:eastAsia="Book Antiqua" w:hAnsi="Book Antiqua" w:cs="Book Antiqua"/>
          <w:color w:val="000000"/>
          <w:lang w:val="en-GB"/>
        </w:rPr>
        <w:t>The p</w:t>
      </w:r>
      <w:r w:rsidRPr="00871C0B">
        <w:rPr>
          <w:rFonts w:ascii="Book Antiqua" w:eastAsia="Book Antiqua" w:hAnsi="Book Antiqua" w:cs="Book Antiqua"/>
          <w:color w:val="000000"/>
          <w:lang w:val="en-GB"/>
        </w:rPr>
        <w:t>resence of diabetes does appear to impair immune responsiveness, and poor glucose control appears to impair several aspects of the immune response to viral infection whilst also increasing the risk of secondary bacterial infection</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39</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There appears to be a J-shaped curve between HbA1c</w:t>
      </w:r>
      <w:r w:rsidR="00D60D8C" w:rsidRPr="00871C0B">
        <w:rPr>
          <w:rFonts w:ascii="Book Antiqua" w:eastAsia="Book Antiqua" w:hAnsi="Book Antiqua" w:cs="Book Antiqua"/>
          <w:color w:val="000000"/>
          <w:lang w:val="en-GB"/>
        </w:rPr>
        <w:t xml:space="preserve"> </w:t>
      </w:r>
      <w:r w:rsidRPr="00871C0B">
        <w:rPr>
          <w:rFonts w:ascii="Book Antiqua" w:eastAsia="Book Antiqua" w:hAnsi="Book Antiqua" w:cs="Book Antiqua"/>
          <w:color w:val="000000"/>
          <w:lang w:val="en-GB"/>
        </w:rPr>
        <w:t>and risk of hospital admission with infection</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40</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Diabetes per se does not appear to increase the risk of infection with SARS-CoV-2</w:t>
      </w:r>
      <w:r w:rsidR="001057AE">
        <w:rPr>
          <w:rFonts w:ascii="Book Antiqua" w:eastAsia="Book Antiqua" w:hAnsi="Book Antiqua" w:cs="Book Antiqua"/>
          <w:color w:val="000000"/>
          <w:lang w:val="en-GB"/>
        </w:rPr>
        <w:t>,</w:t>
      </w:r>
      <w:r w:rsidR="001057AE">
        <w:rPr>
          <w:rFonts w:ascii="Book Antiqua" w:eastAsia="Book Antiqua" w:hAnsi="Book Antiqua" w:cs="Book Antiqua"/>
          <w:bCs/>
          <w:color w:val="000000"/>
          <w:lang w:val="en-GB"/>
        </w:rPr>
        <w:t xml:space="preserve"> </w:t>
      </w:r>
      <w:r w:rsidRPr="00871C0B">
        <w:rPr>
          <w:rFonts w:ascii="Book Antiqua" w:eastAsia="Book Antiqua" w:hAnsi="Book Antiqua" w:cs="Book Antiqua"/>
          <w:color w:val="000000"/>
          <w:lang w:val="en-GB"/>
        </w:rPr>
        <w:t>only its severity.</w:t>
      </w:r>
    </w:p>
    <w:p w14:paraId="78AD2AE8" w14:textId="1E7E3868" w:rsidR="00A77B3E" w:rsidRPr="00871C0B" w:rsidRDefault="008B5DB2" w:rsidP="00871C0B">
      <w:pPr>
        <w:spacing w:line="360" w:lineRule="auto"/>
        <w:ind w:firstLineChars="100" w:firstLine="240"/>
        <w:jc w:val="both"/>
        <w:rPr>
          <w:rFonts w:ascii="Book Antiqua" w:hAnsi="Book Antiqua"/>
          <w:lang w:val="en-GB"/>
        </w:rPr>
      </w:pPr>
      <w:r w:rsidRPr="00871C0B">
        <w:rPr>
          <w:rFonts w:ascii="Book Antiqua" w:eastAsia="Book Antiqua" w:hAnsi="Book Antiqua" w:cs="Book Antiqua"/>
          <w:color w:val="000000"/>
          <w:lang w:val="en-GB"/>
        </w:rPr>
        <w:t>Many patients with T2D have central obesity, which also appears to be an independent risk factor for adverse outcomes, independent of diabetes status</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41</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xml:space="preserve">. This may be due to the accompanying low grade inflammation and release of adipocytokines such as </w:t>
      </w:r>
      <w:r w:rsidRPr="00871C0B">
        <w:rPr>
          <w:rFonts w:ascii="Book Antiqua" w:eastAsia="Book Antiqua" w:hAnsi="Book Antiqua" w:cs="Book Antiqua"/>
          <w:color w:val="000000"/>
          <w:lang w:val="en-GB"/>
        </w:rPr>
        <w:lastRenderedPageBreak/>
        <w:t>tumour-necrosis factor-alpha or transforming growth factor-beta from adipocytes, which may impair immune response</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42</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Obstructive sleep apnoea or heart failure, common co-morbidities associated with obesity</w:t>
      </w:r>
      <w:r w:rsidR="00AC21A9">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 may impair respiratory capacity thereby inhibiting adequate ventilation and exacerbating respiratory compromise</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43</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w:t>
      </w:r>
    </w:p>
    <w:p w14:paraId="2653F627" w14:textId="25007169" w:rsidR="00A77B3E" w:rsidRPr="00871C0B" w:rsidRDefault="008B5DB2" w:rsidP="00871C0B">
      <w:pPr>
        <w:spacing w:line="360" w:lineRule="auto"/>
        <w:ind w:firstLineChars="100" w:firstLine="240"/>
        <w:jc w:val="both"/>
        <w:rPr>
          <w:rFonts w:ascii="Book Antiqua" w:hAnsi="Book Antiqua"/>
          <w:lang w:val="en-GB"/>
        </w:rPr>
      </w:pPr>
      <w:r w:rsidRPr="00871C0B">
        <w:rPr>
          <w:rFonts w:ascii="Book Antiqua" w:eastAsia="Book Antiqua" w:hAnsi="Book Antiqua" w:cs="Book Antiqua"/>
          <w:color w:val="000000"/>
          <w:lang w:val="en-GB"/>
        </w:rPr>
        <w:t xml:space="preserve">People with diabetes frequently have co-morbid complications such as chronic kidney disease or </w:t>
      </w:r>
      <w:r w:rsidR="001E5FF6" w:rsidRPr="00871C0B">
        <w:rPr>
          <w:rFonts w:ascii="Book Antiqua" w:eastAsia="Book Antiqua" w:hAnsi="Book Antiqua" w:cs="Book Antiqua"/>
          <w:color w:val="000000"/>
          <w:lang w:val="en-GB"/>
        </w:rPr>
        <w:t>cardiovascular disease</w:t>
      </w:r>
      <w:r w:rsidRPr="00871C0B">
        <w:rPr>
          <w:rFonts w:ascii="Book Antiqua" w:eastAsia="Book Antiqua" w:hAnsi="Book Antiqua" w:cs="Book Antiqua"/>
          <w:color w:val="000000"/>
          <w:lang w:val="en-GB"/>
        </w:rPr>
        <w:t>. Acute kidney injury is known to be an adverse risk factor in COVID-19 infection</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44</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xml:space="preserve">, and people with diabetes have an increased risk of </w:t>
      </w:r>
      <w:r w:rsidR="009E3AB8">
        <w:rPr>
          <w:rFonts w:ascii="Book Antiqua" w:eastAsia="Book Antiqua" w:hAnsi="Book Antiqua" w:cs="Book Antiqua"/>
          <w:color w:val="000000"/>
          <w:lang w:val="en-GB"/>
        </w:rPr>
        <w:t>a</w:t>
      </w:r>
      <w:r w:rsidR="009E3AB8" w:rsidRPr="00871C0B">
        <w:rPr>
          <w:rFonts w:ascii="Book Antiqua" w:eastAsia="Book Antiqua" w:hAnsi="Book Antiqua" w:cs="Book Antiqua"/>
          <w:color w:val="000000"/>
          <w:lang w:val="en-GB"/>
        </w:rPr>
        <w:t>cute kidney injury</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45</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xml:space="preserve">. </w:t>
      </w:r>
    </w:p>
    <w:p w14:paraId="7E16F0FC" w14:textId="62337252" w:rsidR="00A77B3E" w:rsidRPr="00871C0B" w:rsidRDefault="008B5DB2" w:rsidP="00871C0B">
      <w:pPr>
        <w:spacing w:line="360" w:lineRule="auto"/>
        <w:ind w:firstLineChars="100" w:firstLine="240"/>
        <w:jc w:val="both"/>
        <w:rPr>
          <w:rFonts w:ascii="Book Antiqua" w:hAnsi="Book Antiqua"/>
          <w:lang w:val="en-GB"/>
        </w:rPr>
      </w:pPr>
      <w:r w:rsidRPr="00871C0B">
        <w:rPr>
          <w:rFonts w:ascii="Book Antiqua" w:eastAsia="Book Antiqua" w:hAnsi="Book Antiqua" w:cs="Book Antiqua"/>
          <w:color w:val="000000"/>
          <w:lang w:val="en-GB"/>
        </w:rPr>
        <w:t>Further interest has focused on the angiotensin-converting enzyme-2 receptor, which is known to facilitate SARS-CoV-2 spike protein binding and cellular infection</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46</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xml:space="preserve">. Human pancreatic tissue widely expresses </w:t>
      </w:r>
      <w:r w:rsidR="009E3AB8" w:rsidRPr="00871C0B">
        <w:rPr>
          <w:rFonts w:ascii="Book Antiqua" w:eastAsia="Book Antiqua" w:hAnsi="Book Antiqua" w:cs="Book Antiqua"/>
          <w:color w:val="000000"/>
          <w:lang w:val="en-GB"/>
        </w:rPr>
        <w:t>angiotensin-converting enzyme-2</w:t>
      </w:r>
      <w:r w:rsidRPr="00871C0B">
        <w:rPr>
          <w:rFonts w:ascii="Book Antiqua" w:eastAsia="Book Antiqua" w:hAnsi="Book Antiqua" w:cs="Book Antiqua"/>
          <w:color w:val="000000"/>
          <w:lang w:val="en-GB"/>
        </w:rPr>
        <w:t>, and it has been suggested that viral infection may cause acute β-cell dysfunction, leading to hyperglycaemia</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47</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48</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xml:space="preserve">. Indeed, there is growing evidence that acute hyperglycaemia occurs in COVID-19 infection, and a number of reports from the </w:t>
      </w:r>
      <w:r w:rsidR="00D11695" w:rsidRPr="00871C0B">
        <w:rPr>
          <w:rFonts w:ascii="Book Antiqua" w:eastAsia="Book Antiqua" w:hAnsi="Book Antiqua" w:cs="Book Antiqua"/>
          <w:color w:val="000000"/>
          <w:lang w:val="en-GB"/>
        </w:rPr>
        <w:t>United Kingdom</w:t>
      </w:r>
      <w:r w:rsidRPr="00871C0B">
        <w:rPr>
          <w:rFonts w:ascii="Book Antiqua" w:eastAsia="Book Antiqua" w:hAnsi="Book Antiqua" w:cs="Book Antiqua"/>
          <w:color w:val="000000"/>
          <w:lang w:val="en-GB"/>
        </w:rPr>
        <w:t xml:space="preserve"> suggest that hyperglycaemic emergencies are a common presenting finding in COVID-19 infection</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49</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50</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xml:space="preserve">. </w:t>
      </w:r>
    </w:p>
    <w:p w14:paraId="5127E3F0" w14:textId="77777777" w:rsidR="00A77B3E" w:rsidRPr="00871C0B" w:rsidRDefault="008B5DB2" w:rsidP="00871C0B">
      <w:pPr>
        <w:spacing w:line="360" w:lineRule="auto"/>
        <w:ind w:firstLineChars="100" w:firstLine="240"/>
        <w:jc w:val="both"/>
        <w:rPr>
          <w:rFonts w:ascii="Book Antiqua" w:hAnsi="Book Antiqua"/>
          <w:lang w:val="en-GB"/>
        </w:rPr>
      </w:pPr>
      <w:r w:rsidRPr="00871C0B">
        <w:rPr>
          <w:rFonts w:ascii="Book Antiqua" w:eastAsia="Book Antiqua" w:hAnsi="Book Antiqua" w:cs="Book Antiqua"/>
          <w:color w:val="000000"/>
          <w:lang w:val="en-GB"/>
        </w:rPr>
        <w:t xml:space="preserve">The common risk factors for diabetes and severe COVID-19 infection are shown in </w:t>
      </w:r>
      <w:r w:rsidR="00D60D8C" w:rsidRPr="00871C0B">
        <w:rPr>
          <w:rFonts w:ascii="Book Antiqua" w:eastAsia="Book Antiqua" w:hAnsi="Book Antiqua" w:cs="Book Antiqua"/>
          <w:color w:val="000000"/>
          <w:lang w:val="en-GB"/>
        </w:rPr>
        <w:t>Table</w:t>
      </w:r>
      <w:r w:rsidRPr="00871C0B">
        <w:rPr>
          <w:rFonts w:ascii="Book Antiqua" w:eastAsia="Book Antiqua" w:hAnsi="Book Antiqua" w:cs="Book Antiqua"/>
          <w:color w:val="000000"/>
          <w:lang w:val="en-GB"/>
        </w:rPr>
        <w:t xml:space="preserve"> 1. </w:t>
      </w:r>
    </w:p>
    <w:p w14:paraId="026059B7" w14:textId="77777777" w:rsidR="00A77B3E" w:rsidRPr="00871C0B" w:rsidRDefault="00A77B3E" w:rsidP="00871C0B">
      <w:pPr>
        <w:spacing w:line="360" w:lineRule="auto"/>
        <w:jc w:val="both"/>
        <w:rPr>
          <w:rFonts w:ascii="Book Antiqua" w:hAnsi="Book Antiqua"/>
          <w:lang w:val="en-GB"/>
        </w:rPr>
      </w:pPr>
    </w:p>
    <w:p w14:paraId="455E67B2"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aps/>
          <w:color w:val="000000"/>
          <w:u w:val="single"/>
          <w:lang w:val="en-GB"/>
        </w:rPr>
        <w:t>WHY DO PEOPLE WITH DIABETES, NON-WHITE ETHNICITY AND LOWER SOCIOECONOMIC GROUP GET POORER OUTCOMES WITH COVID-19?</w:t>
      </w:r>
    </w:p>
    <w:p w14:paraId="51BCE391" w14:textId="5548C5A8"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The preceding discussion suggests that adverse outcomes associated with COVID-19 and T2D have similar risk factors; non-White ethnicity, poorer socioeconomic status and metabolic factors such as obesity and metabolic syndrome. Why should this be? </w:t>
      </w:r>
    </w:p>
    <w:p w14:paraId="56732297" w14:textId="63D39193" w:rsidR="00A77B3E" w:rsidRPr="00871C0B" w:rsidRDefault="008B5DB2" w:rsidP="00871C0B">
      <w:pPr>
        <w:spacing w:line="360" w:lineRule="auto"/>
        <w:ind w:firstLineChars="100" w:firstLine="240"/>
        <w:jc w:val="both"/>
        <w:rPr>
          <w:rFonts w:ascii="Book Antiqua" w:hAnsi="Book Antiqua"/>
          <w:lang w:val="en-GB"/>
        </w:rPr>
      </w:pPr>
      <w:r w:rsidRPr="00871C0B">
        <w:rPr>
          <w:rFonts w:ascii="Book Antiqua" w:eastAsia="Book Antiqua" w:hAnsi="Book Antiqua" w:cs="Book Antiqua"/>
          <w:color w:val="000000"/>
          <w:lang w:val="en-GB"/>
        </w:rPr>
        <w:t>The common factor in all of these risk factors is health inequality. The World Health Organi</w:t>
      </w:r>
      <w:r w:rsidR="001875D2" w:rsidRPr="00871C0B">
        <w:rPr>
          <w:rFonts w:ascii="Book Antiqua" w:eastAsia="Book Antiqua" w:hAnsi="Book Antiqua" w:cs="Book Antiqua"/>
          <w:color w:val="000000"/>
          <w:lang w:val="en-GB"/>
        </w:rPr>
        <w:t>z</w:t>
      </w:r>
      <w:r w:rsidRPr="00871C0B">
        <w:rPr>
          <w:rFonts w:ascii="Book Antiqua" w:eastAsia="Book Antiqua" w:hAnsi="Book Antiqua" w:cs="Book Antiqua"/>
          <w:color w:val="000000"/>
          <w:lang w:val="en-GB"/>
        </w:rPr>
        <w:t>ation states that factors contributing to health inequality include where we are born, how we live and how we work</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49</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Public Health England describe</w:t>
      </w:r>
      <w:r w:rsidR="0096537B">
        <w:rPr>
          <w:rFonts w:ascii="Book Antiqua" w:eastAsia="Book Antiqua" w:hAnsi="Book Antiqua" w:cs="Book Antiqua"/>
          <w:color w:val="000000"/>
          <w:lang w:val="en-GB"/>
        </w:rPr>
        <w:t>d</w:t>
      </w:r>
      <w:r w:rsidRPr="00871C0B">
        <w:rPr>
          <w:rFonts w:ascii="Book Antiqua" w:eastAsia="Book Antiqua" w:hAnsi="Book Antiqua" w:cs="Book Antiqua"/>
          <w:color w:val="000000"/>
          <w:lang w:val="en-GB"/>
        </w:rPr>
        <w:t xml:space="preserve"> an “un-level playing field” whereby a social gradient means that people who have a good start in life, feel in control of their life, have good and fair employment, a healthy standard of living and a safe home and good community have much better health outcomes compared to </w:t>
      </w:r>
      <w:r w:rsidRPr="00871C0B">
        <w:rPr>
          <w:rFonts w:ascii="Book Antiqua" w:eastAsia="Book Antiqua" w:hAnsi="Book Antiqua" w:cs="Book Antiqua"/>
          <w:color w:val="000000"/>
          <w:lang w:val="en-GB"/>
        </w:rPr>
        <w:lastRenderedPageBreak/>
        <w:t>those who do not have these</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50</w:t>
      </w:r>
      <w:r w:rsidRPr="00871C0B">
        <w:rPr>
          <w:rFonts w:ascii="Book Antiqua" w:eastAsia="Book Antiqua" w:hAnsi="Book Antiqua" w:cs="Book Antiqua"/>
          <w:color w:val="000000"/>
          <w:vertAlign w:val="superscript"/>
          <w:lang w:val="en-GB"/>
        </w:rPr>
        <w:t>]</w:t>
      </w:r>
      <w:r w:rsidRPr="00871C0B">
        <w:rPr>
          <w:rFonts w:ascii="Book Antiqua" w:eastAsia="Book Antiqua" w:hAnsi="Book Antiqua" w:cs="Book Antiqua"/>
          <w:color w:val="000000"/>
          <w:lang w:val="en-GB"/>
        </w:rPr>
        <w:t xml:space="preserve">. In 2010 in the </w:t>
      </w:r>
      <w:r w:rsidR="00D11695" w:rsidRPr="00871C0B">
        <w:rPr>
          <w:rFonts w:ascii="Book Antiqua" w:eastAsia="Book Antiqua" w:hAnsi="Book Antiqua" w:cs="Book Antiqua"/>
          <w:color w:val="000000"/>
          <w:lang w:val="en-GB"/>
        </w:rPr>
        <w:t>United Kingdom</w:t>
      </w:r>
      <w:r w:rsidRPr="00871C0B">
        <w:rPr>
          <w:rFonts w:ascii="Book Antiqua" w:eastAsia="Book Antiqua" w:hAnsi="Book Antiqua" w:cs="Book Antiqua"/>
          <w:color w:val="000000"/>
          <w:lang w:val="en-GB"/>
        </w:rPr>
        <w:t>, the Marmot review on social inequality suggested that “inequalities that are preventable by reasonable means are unfair. Putting them right is a matter of social justice”</w:t>
      </w:r>
      <w:r w:rsidRPr="00871C0B">
        <w:rPr>
          <w:rFonts w:ascii="Book Antiqua" w:eastAsia="Book Antiqua" w:hAnsi="Book Antiqua" w:cs="Book Antiqua"/>
          <w:color w:val="000000"/>
          <w:vertAlign w:val="superscript"/>
          <w:lang w:val="en-GB"/>
        </w:rPr>
        <w:t>[</w:t>
      </w:r>
      <w:r w:rsidR="007C3CD1" w:rsidRPr="00871C0B">
        <w:rPr>
          <w:rFonts w:ascii="Book Antiqua" w:eastAsia="Book Antiqua" w:hAnsi="Book Antiqua" w:cs="Book Antiqua"/>
          <w:color w:val="000000"/>
          <w:vertAlign w:val="superscript"/>
          <w:lang w:val="en-GB"/>
        </w:rPr>
        <w:t>51</w:t>
      </w:r>
      <w:r w:rsidRPr="00871C0B">
        <w:rPr>
          <w:rFonts w:ascii="Book Antiqua" w:eastAsia="Book Antiqua" w:hAnsi="Book Antiqua" w:cs="Book Antiqua"/>
          <w:color w:val="000000"/>
          <w:vertAlign w:val="superscript"/>
          <w:lang w:val="en-GB"/>
        </w:rPr>
        <w:t>]</w:t>
      </w:r>
      <w:r w:rsidR="001875D2" w:rsidRPr="00871C0B">
        <w:rPr>
          <w:rFonts w:ascii="Book Antiqua" w:eastAsia="Book Antiqua" w:hAnsi="Book Antiqua" w:cs="Book Antiqua"/>
          <w:color w:val="000000"/>
          <w:lang w:val="en-GB"/>
        </w:rPr>
        <w:t>.</w:t>
      </w:r>
    </w:p>
    <w:p w14:paraId="1A02F0CC" w14:textId="0E279E8E" w:rsidR="00A77B3E" w:rsidRPr="00871C0B" w:rsidRDefault="008B5DB2" w:rsidP="00871C0B">
      <w:pPr>
        <w:spacing w:line="360" w:lineRule="auto"/>
        <w:ind w:firstLineChars="100" w:firstLine="240"/>
        <w:jc w:val="both"/>
        <w:rPr>
          <w:rFonts w:ascii="Book Antiqua" w:hAnsi="Book Antiqua"/>
          <w:lang w:val="en-GB"/>
        </w:rPr>
      </w:pPr>
      <w:r w:rsidRPr="00871C0B">
        <w:rPr>
          <w:rFonts w:ascii="Book Antiqua" w:eastAsia="Book Antiqua" w:hAnsi="Book Antiqua" w:cs="Book Antiqua"/>
          <w:color w:val="000000"/>
          <w:lang w:val="en-GB"/>
        </w:rPr>
        <w:t xml:space="preserve">Concerted action to reduce health and social inequalities is likely to reduce the huge health inequalities seen in both the diabetes and COVID-19 pandemics. Some potential solutions are outlined in </w:t>
      </w:r>
      <w:r w:rsidR="001875D2" w:rsidRPr="00871C0B">
        <w:rPr>
          <w:rFonts w:ascii="Book Antiqua" w:eastAsia="Book Antiqua" w:hAnsi="Book Antiqua" w:cs="Book Antiqua"/>
          <w:color w:val="000000"/>
          <w:lang w:val="en-GB"/>
        </w:rPr>
        <w:t>Table</w:t>
      </w:r>
      <w:r w:rsidRPr="00871C0B">
        <w:rPr>
          <w:rFonts w:ascii="Book Antiqua" w:eastAsia="Book Antiqua" w:hAnsi="Book Antiqua" w:cs="Book Antiqua"/>
          <w:color w:val="000000"/>
          <w:lang w:val="en-GB"/>
        </w:rPr>
        <w:t xml:space="preserve"> </w:t>
      </w:r>
      <w:r w:rsidR="00052709" w:rsidRPr="00871C0B">
        <w:rPr>
          <w:rFonts w:ascii="Book Antiqua" w:eastAsia="Book Antiqua" w:hAnsi="Book Antiqua" w:cs="Book Antiqua"/>
          <w:color w:val="000000"/>
          <w:lang w:val="en-GB"/>
        </w:rPr>
        <w:t>2</w:t>
      </w:r>
      <w:r w:rsidRPr="00871C0B">
        <w:rPr>
          <w:rFonts w:ascii="Book Antiqua" w:eastAsia="Book Antiqua" w:hAnsi="Book Antiqua" w:cs="Book Antiqua"/>
          <w:color w:val="000000"/>
          <w:lang w:val="en-GB"/>
        </w:rPr>
        <w:t>.</w:t>
      </w:r>
    </w:p>
    <w:p w14:paraId="7DDC71D6" w14:textId="77777777" w:rsidR="00A77B3E" w:rsidRPr="00871C0B" w:rsidRDefault="00A77B3E" w:rsidP="00871C0B">
      <w:pPr>
        <w:spacing w:line="360" w:lineRule="auto"/>
        <w:jc w:val="both"/>
        <w:rPr>
          <w:rFonts w:ascii="Book Antiqua" w:hAnsi="Book Antiqua"/>
          <w:lang w:val="en-GB"/>
        </w:rPr>
      </w:pPr>
    </w:p>
    <w:p w14:paraId="0D0813A2"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aps/>
          <w:color w:val="000000"/>
          <w:u w:val="single"/>
          <w:lang w:val="en-GB"/>
        </w:rPr>
        <w:t>CONCLUSION</w:t>
      </w:r>
    </w:p>
    <w:p w14:paraId="09E5EF1E" w14:textId="42CB5E50"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The COVID-19 pandemic will hopefully be tackled by widespread vaccination over the coming year. </w:t>
      </w:r>
      <w:r w:rsidR="00754A4E">
        <w:rPr>
          <w:rFonts w:ascii="Book Antiqua" w:eastAsia="Book Antiqua" w:hAnsi="Book Antiqua" w:cs="Book Antiqua"/>
          <w:color w:val="000000"/>
          <w:lang w:val="en-GB"/>
        </w:rPr>
        <w:t>However, i</w:t>
      </w:r>
      <w:r w:rsidRPr="00871C0B">
        <w:rPr>
          <w:rFonts w:ascii="Book Antiqua" w:eastAsia="Book Antiqua" w:hAnsi="Book Antiqua" w:cs="Book Antiqua"/>
          <w:color w:val="000000"/>
          <w:lang w:val="en-GB"/>
        </w:rPr>
        <w:t xml:space="preserve">t is unlikely that the pandemic of T2D will </w:t>
      </w:r>
      <w:r w:rsidR="00754A4E">
        <w:rPr>
          <w:rFonts w:ascii="Book Antiqua" w:eastAsia="Book Antiqua" w:hAnsi="Book Antiqua" w:cs="Book Antiqua"/>
          <w:color w:val="000000"/>
          <w:lang w:val="en-GB"/>
        </w:rPr>
        <w:t>be</w:t>
      </w:r>
      <w:r w:rsidRPr="00871C0B">
        <w:rPr>
          <w:rFonts w:ascii="Book Antiqua" w:eastAsia="Book Antiqua" w:hAnsi="Book Antiqua" w:cs="Book Antiqua"/>
          <w:color w:val="000000"/>
          <w:lang w:val="en-GB"/>
        </w:rPr>
        <w:t xml:space="preserve"> tackled in 2021. A major way to deal with the diabetes pandemic is to tackle health and social inequalities </w:t>
      </w:r>
      <w:r w:rsidR="00754A4E">
        <w:rPr>
          <w:rFonts w:ascii="Book Antiqua" w:eastAsia="Book Antiqua" w:hAnsi="Book Antiqua" w:cs="Book Antiqua"/>
          <w:color w:val="000000"/>
          <w:lang w:val="en-GB"/>
        </w:rPr>
        <w:t>that</w:t>
      </w:r>
      <w:r w:rsidRPr="00871C0B">
        <w:rPr>
          <w:rFonts w:ascii="Book Antiqua" w:eastAsia="Book Antiqua" w:hAnsi="Book Antiqua" w:cs="Book Antiqua"/>
          <w:color w:val="000000"/>
          <w:lang w:val="en-GB"/>
        </w:rPr>
        <w:t xml:space="preserve"> lead to great disparities in health between ethnic and socioeconomic groups. It is my earnest hope that once the COVID-19 pandemic is over, the world will turn to tackling the much more difficult issue of health and social inequality that blights the lives of millions throughout the world. </w:t>
      </w:r>
    </w:p>
    <w:p w14:paraId="7D308023" w14:textId="77777777" w:rsidR="00C744BC" w:rsidRPr="00871C0B" w:rsidRDefault="00C744BC" w:rsidP="00871C0B">
      <w:pPr>
        <w:spacing w:line="360" w:lineRule="auto"/>
        <w:jc w:val="both"/>
        <w:rPr>
          <w:rFonts w:ascii="Book Antiqua" w:hAnsi="Book Antiqua"/>
          <w:lang w:val="en-GB" w:eastAsia="zh-CN"/>
        </w:rPr>
      </w:pPr>
    </w:p>
    <w:p w14:paraId="56F597B5"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REFERENCES</w:t>
      </w:r>
    </w:p>
    <w:p w14:paraId="26C9E78D"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1 </w:t>
      </w:r>
      <w:r w:rsidRPr="00871C0B">
        <w:rPr>
          <w:rFonts w:ascii="Book Antiqua" w:eastAsia="Book Antiqua" w:hAnsi="Book Antiqua" w:cs="Book Antiqua"/>
          <w:b/>
          <w:bCs/>
          <w:color w:val="000000"/>
          <w:lang w:val="en-GB"/>
        </w:rPr>
        <w:t>Munster VJ</w:t>
      </w:r>
      <w:r w:rsidRPr="00871C0B">
        <w:rPr>
          <w:rFonts w:ascii="Book Antiqua" w:eastAsia="Book Antiqua" w:hAnsi="Book Antiqua" w:cs="Book Antiqua"/>
          <w:color w:val="000000"/>
          <w:lang w:val="en-GB"/>
        </w:rPr>
        <w:t xml:space="preserve">, Koopmans M, van Doremalen N, van Riel D, de Wit E. A Novel Coronavirus Emerging in China - Key Questions for Impact Assessment. </w:t>
      </w:r>
      <w:r w:rsidRPr="00871C0B">
        <w:rPr>
          <w:rFonts w:ascii="Book Antiqua" w:eastAsia="Book Antiqua" w:hAnsi="Book Antiqua" w:cs="Book Antiqua"/>
          <w:i/>
          <w:iCs/>
          <w:color w:val="000000"/>
          <w:lang w:val="en-GB"/>
        </w:rPr>
        <w:t>N Engl J Med</w:t>
      </w:r>
      <w:r w:rsidRPr="00871C0B">
        <w:rPr>
          <w:rFonts w:ascii="Book Antiqua" w:eastAsia="Book Antiqua" w:hAnsi="Book Antiqua" w:cs="Book Antiqua"/>
          <w:color w:val="000000"/>
          <w:lang w:val="en-GB"/>
        </w:rPr>
        <w:t xml:space="preserve"> 2020; </w:t>
      </w:r>
      <w:r w:rsidRPr="00871C0B">
        <w:rPr>
          <w:rFonts w:ascii="Book Antiqua" w:eastAsia="Book Antiqua" w:hAnsi="Book Antiqua" w:cs="Book Antiqua"/>
          <w:b/>
          <w:bCs/>
          <w:color w:val="000000"/>
          <w:lang w:val="en-GB"/>
        </w:rPr>
        <w:t>382</w:t>
      </w:r>
      <w:r w:rsidRPr="00871C0B">
        <w:rPr>
          <w:rFonts w:ascii="Book Antiqua" w:eastAsia="Book Antiqua" w:hAnsi="Book Antiqua" w:cs="Book Antiqua"/>
          <w:color w:val="000000"/>
          <w:lang w:val="en-GB"/>
        </w:rPr>
        <w:t>: 692-694 [PMID: 31978293 DOI: 10.1056/NEJMp2000929]</w:t>
      </w:r>
    </w:p>
    <w:p w14:paraId="2AC4DC2C"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highlight w:val="yellow"/>
          <w:lang w:val="en-GB"/>
        </w:rPr>
        <w:t>2</w:t>
      </w:r>
      <w:r w:rsidR="007B15FF" w:rsidRPr="00871C0B">
        <w:rPr>
          <w:rFonts w:ascii="Book Antiqua" w:eastAsia="Book Antiqua" w:hAnsi="Book Antiqua" w:cs="Book Antiqua"/>
          <w:color w:val="000000"/>
          <w:highlight w:val="yellow"/>
          <w:lang w:val="en-GB"/>
        </w:rPr>
        <w:t xml:space="preserve"> </w:t>
      </w:r>
      <w:r w:rsidRPr="00871C0B">
        <w:rPr>
          <w:rFonts w:ascii="Book Antiqua" w:eastAsia="Book Antiqua" w:hAnsi="Book Antiqua" w:cs="Book Antiqua"/>
          <w:b/>
          <w:bCs/>
          <w:color w:val="000000"/>
          <w:highlight w:val="yellow"/>
          <w:lang w:val="en-GB"/>
        </w:rPr>
        <w:t>Worldometer</w:t>
      </w:r>
      <w:r w:rsidRPr="00871C0B">
        <w:rPr>
          <w:rFonts w:ascii="Book Antiqua" w:eastAsia="Book Antiqua" w:hAnsi="Book Antiqua" w:cs="Book Antiqua"/>
          <w:color w:val="000000"/>
          <w:highlight w:val="yellow"/>
          <w:lang w:val="en-GB"/>
        </w:rPr>
        <w:t xml:space="preserve">. COVID-19 </w:t>
      </w:r>
      <w:r w:rsidR="007B15FF" w:rsidRPr="00871C0B">
        <w:rPr>
          <w:rFonts w:ascii="Book Antiqua" w:eastAsia="Book Antiqua" w:hAnsi="Book Antiqua" w:cs="Book Antiqua"/>
          <w:color w:val="000000"/>
          <w:highlight w:val="yellow"/>
          <w:lang w:val="en-GB"/>
        </w:rPr>
        <w:t>coronavirus pandemic</w:t>
      </w:r>
      <w:r w:rsidRPr="00871C0B">
        <w:rPr>
          <w:rFonts w:ascii="Book Antiqua" w:eastAsia="Book Antiqua" w:hAnsi="Book Antiqua" w:cs="Book Antiqua"/>
          <w:color w:val="000000"/>
          <w:highlight w:val="yellow"/>
          <w:lang w:val="en-GB"/>
        </w:rPr>
        <w:t xml:space="preserve">. </w:t>
      </w:r>
      <w:r w:rsidR="007B15FF" w:rsidRPr="00871C0B">
        <w:rPr>
          <w:rFonts w:ascii="Book Antiqua" w:eastAsia="Book Antiqua" w:hAnsi="Book Antiqua" w:cs="Book Antiqua"/>
          <w:color w:val="000000"/>
          <w:highlight w:val="yellow"/>
          <w:lang w:val="en-GB"/>
        </w:rPr>
        <w:t xml:space="preserve">[cited October 21, 2020]. Available from: </w:t>
      </w:r>
      <w:r w:rsidRPr="00871C0B">
        <w:rPr>
          <w:rFonts w:ascii="Book Antiqua" w:eastAsia="Book Antiqua" w:hAnsi="Book Antiqua" w:cs="Book Antiqua"/>
          <w:color w:val="000000"/>
          <w:highlight w:val="yellow"/>
          <w:lang w:val="en-GB"/>
        </w:rPr>
        <w:t>https://www.worldometers.info/coronavirus/</w:t>
      </w:r>
    </w:p>
    <w:p w14:paraId="5D3F568E"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highlight w:val="yellow"/>
          <w:lang w:val="en-GB"/>
        </w:rPr>
        <w:t>3</w:t>
      </w:r>
      <w:r w:rsidR="007B15FF" w:rsidRPr="00871C0B">
        <w:rPr>
          <w:rFonts w:ascii="Book Antiqua" w:eastAsia="Book Antiqua" w:hAnsi="Book Antiqua" w:cs="Book Antiqua"/>
          <w:color w:val="000000"/>
          <w:highlight w:val="yellow"/>
          <w:lang w:val="en-GB"/>
        </w:rPr>
        <w:t xml:space="preserve"> </w:t>
      </w:r>
      <w:r w:rsidRPr="00871C0B">
        <w:rPr>
          <w:rFonts w:ascii="Book Antiqua" w:eastAsia="Book Antiqua" w:hAnsi="Book Antiqua" w:cs="Book Antiqua"/>
          <w:b/>
          <w:bCs/>
          <w:color w:val="000000"/>
          <w:highlight w:val="yellow"/>
          <w:lang w:val="en-GB"/>
        </w:rPr>
        <w:t>International Diabetes Federation</w:t>
      </w:r>
      <w:r w:rsidRPr="00871C0B">
        <w:rPr>
          <w:rFonts w:ascii="Book Antiqua" w:eastAsia="Book Antiqua" w:hAnsi="Book Antiqua" w:cs="Book Antiqua"/>
          <w:color w:val="000000"/>
          <w:highlight w:val="yellow"/>
          <w:lang w:val="en-GB"/>
        </w:rPr>
        <w:t xml:space="preserve">. </w:t>
      </w:r>
      <w:r w:rsidR="007B15FF" w:rsidRPr="00871C0B">
        <w:rPr>
          <w:rFonts w:ascii="Book Antiqua" w:eastAsia="Book Antiqua" w:hAnsi="Book Antiqua" w:cs="Book Antiqua"/>
          <w:color w:val="000000"/>
          <w:highlight w:val="yellow"/>
          <w:lang w:val="en-GB"/>
        </w:rPr>
        <w:t xml:space="preserve">[cited October 21, 2020]. Available from: </w:t>
      </w:r>
      <w:r w:rsidRPr="00871C0B">
        <w:rPr>
          <w:rFonts w:ascii="Book Antiqua" w:eastAsia="Book Antiqua" w:hAnsi="Book Antiqua" w:cs="Book Antiqua"/>
          <w:color w:val="000000"/>
          <w:highlight w:val="yellow"/>
          <w:lang w:val="en-GB"/>
        </w:rPr>
        <w:t>https://www.idf.org/e-library/epidemiology-research/diabetes-atlas/134-idf-diabetes-atlas-8th-edition.html</w:t>
      </w:r>
    </w:p>
    <w:p w14:paraId="61E865DE"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4 </w:t>
      </w:r>
      <w:r w:rsidRPr="00871C0B">
        <w:rPr>
          <w:rFonts w:ascii="Book Antiqua" w:eastAsia="Book Antiqua" w:hAnsi="Book Antiqua" w:cs="Book Antiqua"/>
          <w:b/>
          <w:bCs/>
          <w:color w:val="000000"/>
          <w:lang w:val="en-GB"/>
        </w:rPr>
        <w:t>Mather HM</w:t>
      </w:r>
      <w:r w:rsidRPr="00871C0B">
        <w:rPr>
          <w:rFonts w:ascii="Book Antiqua" w:eastAsia="Book Antiqua" w:hAnsi="Book Antiqua" w:cs="Book Antiqua"/>
          <w:color w:val="000000"/>
          <w:lang w:val="en-GB"/>
        </w:rPr>
        <w:t xml:space="preserve">, Keen H. The Southall Diabetes Survey: prevalence of known diabetes in Asians and Europeans. </w:t>
      </w:r>
      <w:r w:rsidRPr="00871C0B">
        <w:rPr>
          <w:rFonts w:ascii="Book Antiqua" w:eastAsia="Book Antiqua" w:hAnsi="Book Antiqua" w:cs="Book Antiqua"/>
          <w:i/>
          <w:iCs/>
          <w:color w:val="000000"/>
          <w:lang w:val="en-GB"/>
        </w:rPr>
        <w:t>Br Med J (Clin Res Ed)</w:t>
      </w:r>
      <w:r w:rsidRPr="00871C0B">
        <w:rPr>
          <w:rFonts w:ascii="Book Antiqua" w:eastAsia="Book Antiqua" w:hAnsi="Book Antiqua" w:cs="Book Antiqua"/>
          <w:color w:val="000000"/>
          <w:lang w:val="en-GB"/>
        </w:rPr>
        <w:t xml:space="preserve"> 1985; </w:t>
      </w:r>
      <w:r w:rsidRPr="00871C0B">
        <w:rPr>
          <w:rFonts w:ascii="Book Antiqua" w:eastAsia="Book Antiqua" w:hAnsi="Book Antiqua" w:cs="Book Antiqua"/>
          <w:b/>
          <w:bCs/>
          <w:color w:val="000000"/>
          <w:lang w:val="en-GB"/>
        </w:rPr>
        <w:t>291</w:t>
      </w:r>
      <w:r w:rsidRPr="00871C0B">
        <w:rPr>
          <w:rFonts w:ascii="Book Antiqua" w:eastAsia="Book Antiqua" w:hAnsi="Book Antiqua" w:cs="Book Antiqua"/>
          <w:color w:val="000000"/>
          <w:lang w:val="en-GB"/>
        </w:rPr>
        <w:t>: 1081-1084 [PMID: 3931804 DOI: 10.1136/bmj.291.6502.1081]</w:t>
      </w:r>
    </w:p>
    <w:p w14:paraId="2B98DF26"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5 </w:t>
      </w:r>
      <w:r w:rsidRPr="00871C0B">
        <w:rPr>
          <w:rFonts w:ascii="Book Antiqua" w:eastAsia="Book Antiqua" w:hAnsi="Book Antiqua" w:cs="Book Antiqua"/>
          <w:b/>
          <w:bCs/>
          <w:color w:val="000000"/>
          <w:lang w:val="en-GB"/>
        </w:rPr>
        <w:t>Holman N</w:t>
      </w:r>
      <w:r w:rsidRPr="00871C0B">
        <w:rPr>
          <w:rFonts w:ascii="Book Antiqua" w:eastAsia="Book Antiqua" w:hAnsi="Book Antiqua" w:cs="Book Antiqua"/>
          <w:color w:val="000000"/>
          <w:lang w:val="en-GB"/>
        </w:rPr>
        <w:t xml:space="preserve">, Forouhi NG, Goyder E, Wild SH. The Association of Public Health Observatories (APHO) Diabetes Prevalence Model: estimates of total diabetes prevalence </w:t>
      </w:r>
      <w:r w:rsidRPr="00871C0B">
        <w:rPr>
          <w:rFonts w:ascii="Book Antiqua" w:eastAsia="Book Antiqua" w:hAnsi="Book Antiqua" w:cs="Book Antiqua"/>
          <w:color w:val="000000"/>
          <w:lang w:val="en-GB"/>
        </w:rPr>
        <w:lastRenderedPageBreak/>
        <w:t xml:space="preserve">for England, 2010-2030. </w:t>
      </w:r>
      <w:r w:rsidRPr="00871C0B">
        <w:rPr>
          <w:rFonts w:ascii="Book Antiqua" w:eastAsia="Book Antiqua" w:hAnsi="Book Antiqua" w:cs="Book Antiqua"/>
          <w:i/>
          <w:iCs/>
          <w:color w:val="000000"/>
          <w:lang w:val="en-GB"/>
        </w:rPr>
        <w:t>Diabet Med</w:t>
      </w:r>
      <w:r w:rsidRPr="00871C0B">
        <w:rPr>
          <w:rFonts w:ascii="Book Antiqua" w:eastAsia="Book Antiqua" w:hAnsi="Book Antiqua" w:cs="Book Antiqua"/>
          <w:color w:val="000000"/>
          <w:lang w:val="en-GB"/>
        </w:rPr>
        <w:t xml:space="preserve"> 2011; </w:t>
      </w:r>
      <w:r w:rsidRPr="00871C0B">
        <w:rPr>
          <w:rFonts w:ascii="Book Antiqua" w:eastAsia="Book Antiqua" w:hAnsi="Book Antiqua" w:cs="Book Antiqua"/>
          <w:b/>
          <w:bCs/>
          <w:color w:val="000000"/>
          <w:lang w:val="en-GB"/>
        </w:rPr>
        <w:t>28</w:t>
      </w:r>
      <w:r w:rsidRPr="00871C0B">
        <w:rPr>
          <w:rFonts w:ascii="Book Antiqua" w:eastAsia="Book Antiqua" w:hAnsi="Book Antiqua" w:cs="Book Antiqua"/>
          <w:color w:val="000000"/>
          <w:lang w:val="en-GB"/>
        </w:rPr>
        <w:t>: 575-582 [PMID: 21480968 DOI: 10.1111/j.1464-5491.2010.03216.x]</w:t>
      </w:r>
    </w:p>
    <w:p w14:paraId="22B5850E"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6</w:t>
      </w:r>
      <w:r w:rsidR="007B15FF" w:rsidRPr="00871C0B">
        <w:rPr>
          <w:rFonts w:ascii="Book Antiqua" w:eastAsia="Book Antiqua" w:hAnsi="Book Antiqua" w:cs="Book Antiqua"/>
          <w:color w:val="000000"/>
          <w:lang w:val="en-GB"/>
        </w:rPr>
        <w:t xml:space="preserve"> </w:t>
      </w:r>
      <w:r w:rsidRPr="00871C0B">
        <w:rPr>
          <w:rFonts w:ascii="Book Antiqua" w:eastAsia="Book Antiqua" w:hAnsi="Book Antiqua" w:cs="Book Antiqua"/>
          <w:b/>
          <w:bCs/>
          <w:color w:val="000000"/>
          <w:lang w:val="en-GB"/>
        </w:rPr>
        <w:t>UK Prospective Diabetes Study</w:t>
      </w:r>
      <w:r w:rsidRPr="00871C0B">
        <w:rPr>
          <w:rFonts w:ascii="Book Antiqua" w:eastAsia="Book Antiqua" w:hAnsi="Book Antiqua" w:cs="Book Antiqua"/>
          <w:color w:val="000000"/>
          <w:lang w:val="en-GB"/>
        </w:rPr>
        <w:t xml:space="preserve">. XII: Differences between Asian, Afro-Caribbean and white Caucasian type 2 diabetic patients at diagnosis of diabetes. UK Prospective Diabetes Study Group. </w:t>
      </w:r>
      <w:r w:rsidRPr="00871C0B">
        <w:rPr>
          <w:rFonts w:ascii="Book Antiqua" w:eastAsia="Book Antiqua" w:hAnsi="Book Antiqua" w:cs="Book Antiqua"/>
          <w:i/>
          <w:iCs/>
          <w:color w:val="000000"/>
          <w:lang w:val="en-GB"/>
        </w:rPr>
        <w:t>Diabet Med</w:t>
      </w:r>
      <w:r w:rsidRPr="00871C0B">
        <w:rPr>
          <w:rFonts w:ascii="Book Antiqua" w:eastAsia="Book Antiqua" w:hAnsi="Book Antiqua" w:cs="Book Antiqua"/>
          <w:color w:val="000000"/>
          <w:lang w:val="en-GB"/>
        </w:rPr>
        <w:t xml:space="preserve"> 1994; </w:t>
      </w:r>
      <w:r w:rsidRPr="00871C0B">
        <w:rPr>
          <w:rFonts w:ascii="Book Antiqua" w:eastAsia="Book Antiqua" w:hAnsi="Book Antiqua" w:cs="Book Antiqua"/>
          <w:b/>
          <w:bCs/>
          <w:color w:val="000000"/>
          <w:lang w:val="en-GB"/>
        </w:rPr>
        <w:t>11</w:t>
      </w:r>
      <w:r w:rsidRPr="00871C0B">
        <w:rPr>
          <w:rFonts w:ascii="Book Antiqua" w:eastAsia="Book Antiqua" w:hAnsi="Book Antiqua" w:cs="Book Antiqua"/>
          <w:color w:val="000000"/>
          <w:lang w:val="en-GB"/>
        </w:rPr>
        <w:t>: 670-677 [PMID: 7955993]</w:t>
      </w:r>
    </w:p>
    <w:p w14:paraId="28BE322B"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7 </w:t>
      </w:r>
      <w:r w:rsidRPr="00871C0B">
        <w:rPr>
          <w:rFonts w:ascii="Book Antiqua" w:eastAsia="Book Antiqua" w:hAnsi="Book Antiqua" w:cs="Book Antiqua"/>
          <w:b/>
          <w:bCs/>
          <w:color w:val="000000"/>
          <w:lang w:val="en-GB"/>
        </w:rPr>
        <w:t>Tillin T</w:t>
      </w:r>
      <w:r w:rsidRPr="00871C0B">
        <w:rPr>
          <w:rFonts w:ascii="Book Antiqua" w:eastAsia="Book Antiqua" w:hAnsi="Book Antiqua" w:cs="Book Antiqua"/>
          <w:color w:val="000000"/>
          <w:lang w:val="en-GB"/>
        </w:rPr>
        <w:t xml:space="preserve">, Hughes AD, Godsland IF, Whincup P, Forouhi NG, Welsh P, Sattar N, McKeigue PM, Chaturvedi N. Insulin resistance and truncal obesity as important determinants of the greater incidence of diabetes in Indian Asians and African Caribbeans compared with Europeans: the Southall And Brent REvisited (SABRE) cohort. </w:t>
      </w:r>
      <w:r w:rsidRPr="00871C0B">
        <w:rPr>
          <w:rFonts w:ascii="Book Antiqua" w:eastAsia="Book Antiqua" w:hAnsi="Book Antiqua" w:cs="Book Antiqua"/>
          <w:i/>
          <w:iCs/>
          <w:color w:val="000000"/>
          <w:lang w:val="en-GB"/>
        </w:rPr>
        <w:t>Diabetes Care</w:t>
      </w:r>
      <w:r w:rsidRPr="00871C0B">
        <w:rPr>
          <w:rFonts w:ascii="Book Antiqua" w:eastAsia="Book Antiqua" w:hAnsi="Book Antiqua" w:cs="Book Antiqua"/>
          <w:color w:val="000000"/>
          <w:lang w:val="en-GB"/>
        </w:rPr>
        <w:t xml:space="preserve"> 2013; </w:t>
      </w:r>
      <w:r w:rsidRPr="00871C0B">
        <w:rPr>
          <w:rFonts w:ascii="Book Antiqua" w:eastAsia="Book Antiqua" w:hAnsi="Book Antiqua" w:cs="Book Antiqua"/>
          <w:b/>
          <w:bCs/>
          <w:color w:val="000000"/>
          <w:lang w:val="en-GB"/>
        </w:rPr>
        <w:t>36</w:t>
      </w:r>
      <w:r w:rsidRPr="00871C0B">
        <w:rPr>
          <w:rFonts w:ascii="Book Antiqua" w:eastAsia="Book Antiqua" w:hAnsi="Book Antiqua" w:cs="Book Antiqua"/>
          <w:color w:val="000000"/>
          <w:lang w:val="en-GB"/>
        </w:rPr>
        <w:t>: 383-393 [PMID: 22966089 DOI: 10.2337/dc12-0544]</w:t>
      </w:r>
    </w:p>
    <w:p w14:paraId="23976B6C"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8 </w:t>
      </w:r>
      <w:r w:rsidRPr="00871C0B">
        <w:rPr>
          <w:rFonts w:ascii="Book Antiqua" w:eastAsia="Book Antiqua" w:hAnsi="Book Antiqua" w:cs="Book Antiqua"/>
          <w:b/>
          <w:bCs/>
          <w:color w:val="000000"/>
          <w:lang w:val="en-GB"/>
        </w:rPr>
        <w:t>Gholap N</w:t>
      </w:r>
      <w:r w:rsidRPr="00871C0B">
        <w:rPr>
          <w:rFonts w:ascii="Book Antiqua" w:eastAsia="Book Antiqua" w:hAnsi="Book Antiqua" w:cs="Book Antiqua"/>
          <w:color w:val="000000"/>
          <w:lang w:val="en-GB"/>
        </w:rPr>
        <w:t xml:space="preserve">, Davies M, Patel K, Sattar N, Khunti K. Type 2 diabetes and cardiovascular disease in South Asians. </w:t>
      </w:r>
      <w:r w:rsidRPr="00871C0B">
        <w:rPr>
          <w:rFonts w:ascii="Book Antiqua" w:eastAsia="Book Antiqua" w:hAnsi="Book Antiqua" w:cs="Book Antiqua"/>
          <w:i/>
          <w:iCs/>
          <w:color w:val="000000"/>
          <w:lang w:val="en-GB"/>
        </w:rPr>
        <w:t>Prim Care Diabetes</w:t>
      </w:r>
      <w:r w:rsidRPr="00871C0B">
        <w:rPr>
          <w:rFonts w:ascii="Book Antiqua" w:eastAsia="Book Antiqua" w:hAnsi="Book Antiqua" w:cs="Book Antiqua"/>
          <w:color w:val="000000"/>
          <w:lang w:val="en-GB"/>
        </w:rPr>
        <w:t xml:space="preserve"> 2011; </w:t>
      </w:r>
      <w:r w:rsidRPr="00871C0B">
        <w:rPr>
          <w:rFonts w:ascii="Book Antiqua" w:eastAsia="Book Antiqua" w:hAnsi="Book Antiqua" w:cs="Book Antiqua"/>
          <w:b/>
          <w:bCs/>
          <w:color w:val="000000"/>
          <w:lang w:val="en-GB"/>
        </w:rPr>
        <w:t>5</w:t>
      </w:r>
      <w:r w:rsidRPr="00871C0B">
        <w:rPr>
          <w:rFonts w:ascii="Book Antiqua" w:eastAsia="Book Antiqua" w:hAnsi="Book Antiqua" w:cs="Book Antiqua"/>
          <w:color w:val="000000"/>
          <w:lang w:val="en-GB"/>
        </w:rPr>
        <w:t>: 45-56 [PMID: 20869934 DOI: 10.1016/j.pcd.2010.08.002]</w:t>
      </w:r>
    </w:p>
    <w:p w14:paraId="0300D2DF"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9 </w:t>
      </w:r>
      <w:r w:rsidRPr="00871C0B">
        <w:rPr>
          <w:rFonts w:ascii="Book Antiqua" w:eastAsia="Book Antiqua" w:hAnsi="Book Antiqua" w:cs="Book Antiqua"/>
          <w:b/>
          <w:bCs/>
          <w:color w:val="000000"/>
          <w:lang w:val="en-GB"/>
        </w:rPr>
        <w:t>Bhopal R</w:t>
      </w:r>
      <w:r w:rsidRPr="00871C0B">
        <w:rPr>
          <w:rFonts w:ascii="Book Antiqua" w:eastAsia="Book Antiqua" w:hAnsi="Book Antiqua" w:cs="Book Antiqua"/>
          <w:color w:val="000000"/>
          <w:lang w:val="en-GB"/>
        </w:rPr>
        <w:t xml:space="preserve">, Unwin N, White M, Yallop J, Walker L, Alberti KG, Harland J, Patel S, Ahmad N, Turner C, Watson B, Kaur D, Kulkarni A, Laker M, Tavridou A. Heterogeneity of coronary heart disease risk factors in Indian, Pakistani, Bangladeshi, and European origin populations: cross sectional study. </w:t>
      </w:r>
      <w:r w:rsidRPr="00871C0B">
        <w:rPr>
          <w:rFonts w:ascii="Book Antiqua" w:eastAsia="Book Antiqua" w:hAnsi="Book Antiqua" w:cs="Book Antiqua"/>
          <w:i/>
          <w:iCs/>
          <w:color w:val="000000"/>
          <w:lang w:val="en-GB"/>
        </w:rPr>
        <w:t>BMJ</w:t>
      </w:r>
      <w:r w:rsidRPr="00871C0B">
        <w:rPr>
          <w:rFonts w:ascii="Book Antiqua" w:eastAsia="Book Antiqua" w:hAnsi="Book Antiqua" w:cs="Book Antiqua"/>
          <w:color w:val="000000"/>
          <w:lang w:val="en-GB"/>
        </w:rPr>
        <w:t xml:space="preserve"> 1999; </w:t>
      </w:r>
      <w:r w:rsidRPr="00871C0B">
        <w:rPr>
          <w:rFonts w:ascii="Book Antiqua" w:eastAsia="Book Antiqua" w:hAnsi="Book Antiqua" w:cs="Book Antiqua"/>
          <w:b/>
          <w:bCs/>
          <w:color w:val="000000"/>
          <w:lang w:val="en-GB"/>
        </w:rPr>
        <w:t>319</w:t>
      </w:r>
      <w:r w:rsidRPr="00871C0B">
        <w:rPr>
          <w:rFonts w:ascii="Book Antiqua" w:eastAsia="Book Antiqua" w:hAnsi="Book Antiqua" w:cs="Book Antiqua"/>
          <w:color w:val="000000"/>
          <w:lang w:val="en-GB"/>
        </w:rPr>
        <w:t>: 215-220 [PMID: 10417082 DOI: 10.1136/bmj.319.7204.215]</w:t>
      </w:r>
    </w:p>
    <w:p w14:paraId="51A6772C"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10 </w:t>
      </w:r>
      <w:r w:rsidRPr="00871C0B">
        <w:rPr>
          <w:rFonts w:ascii="Book Antiqua" w:eastAsia="Book Antiqua" w:hAnsi="Book Antiqua" w:cs="Book Antiqua"/>
          <w:b/>
          <w:bCs/>
          <w:color w:val="000000"/>
          <w:lang w:val="en-GB"/>
        </w:rPr>
        <w:t>Anand SS</w:t>
      </w:r>
      <w:r w:rsidRPr="00871C0B">
        <w:rPr>
          <w:rFonts w:ascii="Book Antiqua" w:eastAsia="Book Antiqua" w:hAnsi="Book Antiqua" w:cs="Book Antiqua"/>
          <w:color w:val="000000"/>
          <w:lang w:val="en-GB"/>
        </w:rPr>
        <w:t xml:space="preserve">, Yusuf S, Vuksan V, Devanesen S, Teo KK, Montague PA, Kelemen L, Yi C, Lonn E, Gerstein H, Hegele RA, McQueen M. Differences in risk factors, atherosclerosis, and cardiovascular disease between ethnic groups in Canada: the Study of Health Assessment and Risk in Ethnic groups (SHARE) </w:t>
      </w:r>
      <w:r w:rsidRPr="00871C0B">
        <w:rPr>
          <w:rFonts w:ascii="Book Antiqua" w:eastAsia="Book Antiqua" w:hAnsi="Book Antiqua" w:cs="Book Antiqua"/>
          <w:i/>
          <w:iCs/>
          <w:color w:val="000000"/>
          <w:lang w:val="en-GB"/>
        </w:rPr>
        <w:t>Lancet</w:t>
      </w:r>
      <w:r w:rsidRPr="00871C0B">
        <w:rPr>
          <w:rFonts w:ascii="Book Antiqua" w:eastAsia="Book Antiqua" w:hAnsi="Book Antiqua" w:cs="Book Antiqua"/>
          <w:color w:val="000000"/>
          <w:lang w:val="en-GB"/>
        </w:rPr>
        <w:t xml:space="preserve"> 2000; </w:t>
      </w:r>
      <w:r w:rsidRPr="00871C0B">
        <w:rPr>
          <w:rFonts w:ascii="Book Antiqua" w:eastAsia="Book Antiqua" w:hAnsi="Book Antiqua" w:cs="Book Antiqua"/>
          <w:b/>
          <w:bCs/>
          <w:color w:val="000000"/>
          <w:lang w:val="en-GB"/>
        </w:rPr>
        <w:t>356</w:t>
      </w:r>
      <w:r w:rsidRPr="00871C0B">
        <w:rPr>
          <w:rFonts w:ascii="Book Antiqua" w:eastAsia="Book Antiqua" w:hAnsi="Book Antiqua" w:cs="Book Antiqua"/>
          <w:color w:val="000000"/>
          <w:lang w:val="en-GB"/>
        </w:rPr>
        <w:t>: 279-284 [PMID: 11071182 DOI: 10.1016/s0140-6736(00)02502-2]</w:t>
      </w:r>
    </w:p>
    <w:p w14:paraId="7A36BBBC"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11 </w:t>
      </w:r>
      <w:r w:rsidRPr="00871C0B">
        <w:rPr>
          <w:rFonts w:ascii="Book Antiqua" w:eastAsia="Book Antiqua" w:hAnsi="Book Antiqua" w:cs="Book Antiqua"/>
          <w:b/>
          <w:bCs/>
          <w:color w:val="000000"/>
          <w:lang w:val="en-GB"/>
        </w:rPr>
        <w:t>Balarajan R</w:t>
      </w:r>
      <w:r w:rsidRPr="00871C0B">
        <w:rPr>
          <w:rFonts w:ascii="Book Antiqua" w:eastAsia="Book Antiqua" w:hAnsi="Book Antiqua" w:cs="Book Antiqua"/>
          <w:color w:val="000000"/>
          <w:lang w:val="en-GB"/>
        </w:rPr>
        <w:t xml:space="preserve">. Ethnic differences in mortality from ischaemic heart disease and cerebrovascular disease in England and Wales. </w:t>
      </w:r>
      <w:r w:rsidRPr="00871C0B">
        <w:rPr>
          <w:rFonts w:ascii="Book Antiqua" w:eastAsia="Book Antiqua" w:hAnsi="Book Antiqua" w:cs="Book Antiqua"/>
          <w:i/>
          <w:iCs/>
          <w:color w:val="000000"/>
          <w:lang w:val="en-GB"/>
        </w:rPr>
        <w:t>BMJ</w:t>
      </w:r>
      <w:r w:rsidRPr="00871C0B">
        <w:rPr>
          <w:rFonts w:ascii="Book Antiqua" w:eastAsia="Book Antiqua" w:hAnsi="Book Antiqua" w:cs="Book Antiqua"/>
          <w:color w:val="000000"/>
          <w:lang w:val="en-GB"/>
        </w:rPr>
        <w:t xml:space="preserve"> 1991; </w:t>
      </w:r>
      <w:r w:rsidRPr="00871C0B">
        <w:rPr>
          <w:rFonts w:ascii="Book Antiqua" w:eastAsia="Book Antiqua" w:hAnsi="Book Antiqua" w:cs="Book Antiqua"/>
          <w:b/>
          <w:bCs/>
          <w:color w:val="000000"/>
          <w:lang w:val="en-GB"/>
        </w:rPr>
        <w:t>302</w:t>
      </w:r>
      <w:r w:rsidRPr="00871C0B">
        <w:rPr>
          <w:rFonts w:ascii="Book Antiqua" w:eastAsia="Book Antiqua" w:hAnsi="Book Antiqua" w:cs="Book Antiqua"/>
          <w:color w:val="000000"/>
          <w:lang w:val="en-GB"/>
        </w:rPr>
        <w:t>: 560-564 [PMID: 2021718 DOI: 10.1136/bmj.302.6776.560]</w:t>
      </w:r>
    </w:p>
    <w:p w14:paraId="20CD0998"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12 </w:t>
      </w:r>
      <w:r w:rsidRPr="00871C0B">
        <w:rPr>
          <w:rFonts w:ascii="Book Antiqua" w:eastAsia="Book Antiqua" w:hAnsi="Book Antiqua" w:cs="Book Antiqua"/>
          <w:b/>
          <w:bCs/>
          <w:color w:val="000000"/>
          <w:lang w:val="en-GB"/>
        </w:rPr>
        <w:t>Dreyer G</w:t>
      </w:r>
      <w:r w:rsidRPr="00871C0B">
        <w:rPr>
          <w:rFonts w:ascii="Book Antiqua" w:eastAsia="Book Antiqua" w:hAnsi="Book Antiqua" w:cs="Book Antiqua"/>
          <w:color w:val="000000"/>
          <w:lang w:val="en-GB"/>
        </w:rPr>
        <w:t xml:space="preserve">, Hull S, Aitken Z, Chesser A, Yaqoob MM. The effect of ethnicity on the prevalence of diabetes and associated chronic kidney disease. </w:t>
      </w:r>
      <w:r w:rsidRPr="00871C0B">
        <w:rPr>
          <w:rFonts w:ascii="Book Antiqua" w:eastAsia="Book Antiqua" w:hAnsi="Book Antiqua" w:cs="Book Antiqua"/>
          <w:i/>
          <w:iCs/>
          <w:color w:val="000000"/>
          <w:lang w:val="en-GB"/>
        </w:rPr>
        <w:t>QJM</w:t>
      </w:r>
      <w:r w:rsidRPr="00871C0B">
        <w:rPr>
          <w:rFonts w:ascii="Book Antiqua" w:eastAsia="Book Antiqua" w:hAnsi="Book Antiqua" w:cs="Book Antiqua"/>
          <w:color w:val="000000"/>
          <w:lang w:val="en-GB"/>
        </w:rPr>
        <w:t xml:space="preserve"> 2009; </w:t>
      </w:r>
      <w:r w:rsidRPr="00871C0B">
        <w:rPr>
          <w:rFonts w:ascii="Book Antiqua" w:eastAsia="Book Antiqua" w:hAnsi="Book Antiqua" w:cs="Book Antiqua"/>
          <w:b/>
          <w:bCs/>
          <w:color w:val="000000"/>
          <w:lang w:val="en-GB"/>
        </w:rPr>
        <w:t>102</w:t>
      </w:r>
      <w:r w:rsidRPr="00871C0B">
        <w:rPr>
          <w:rFonts w:ascii="Book Antiqua" w:eastAsia="Book Antiqua" w:hAnsi="Book Antiqua" w:cs="Book Antiqua"/>
          <w:color w:val="000000"/>
          <w:lang w:val="en-GB"/>
        </w:rPr>
        <w:t>: 261-269 [PMID: 19147658 DOI: 10.1093/qjmed/hcn177]</w:t>
      </w:r>
    </w:p>
    <w:p w14:paraId="74F5CE14"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lastRenderedPageBreak/>
        <w:t xml:space="preserve">13 </w:t>
      </w:r>
      <w:r w:rsidRPr="00871C0B">
        <w:rPr>
          <w:rFonts w:ascii="Book Antiqua" w:eastAsia="Book Antiqua" w:hAnsi="Book Antiqua" w:cs="Book Antiqua"/>
          <w:b/>
          <w:bCs/>
          <w:color w:val="000000"/>
          <w:lang w:val="en-GB"/>
        </w:rPr>
        <w:t>Chaturvedi N</w:t>
      </w:r>
      <w:r w:rsidRPr="00871C0B">
        <w:rPr>
          <w:rFonts w:ascii="Book Antiqua" w:eastAsia="Book Antiqua" w:hAnsi="Book Antiqua" w:cs="Book Antiqua"/>
          <w:color w:val="000000"/>
          <w:lang w:val="en-GB"/>
        </w:rPr>
        <w:t xml:space="preserve">, McKeigue PM, Marmot MG. Relationship of glucose intolerance to coronary risk in Afro-Caribbeans compared with Europeans. </w:t>
      </w:r>
      <w:r w:rsidRPr="00871C0B">
        <w:rPr>
          <w:rFonts w:ascii="Book Antiqua" w:eastAsia="Book Antiqua" w:hAnsi="Book Antiqua" w:cs="Book Antiqua"/>
          <w:i/>
          <w:iCs/>
          <w:color w:val="000000"/>
          <w:lang w:val="en-GB"/>
        </w:rPr>
        <w:t>Diabetologia</w:t>
      </w:r>
      <w:r w:rsidRPr="00871C0B">
        <w:rPr>
          <w:rFonts w:ascii="Book Antiqua" w:eastAsia="Book Antiqua" w:hAnsi="Book Antiqua" w:cs="Book Antiqua"/>
          <w:color w:val="000000"/>
          <w:lang w:val="en-GB"/>
        </w:rPr>
        <w:t xml:space="preserve"> 1994; </w:t>
      </w:r>
      <w:r w:rsidRPr="00871C0B">
        <w:rPr>
          <w:rFonts w:ascii="Book Antiqua" w:eastAsia="Book Antiqua" w:hAnsi="Book Antiqua" w:cs="Book Antiqua"/>
          <w:b/>
          <w:bCs/>
          <w:color w:val="000000"/>
          <w:lang w:val="en-GB"/>
        </w:rPr>
        <w:t>37</w:t>
      </w:r>
      <w:r w:rsidRPr="00871C0B">
        <w:rPr>
          <w:rFonts w:ascii="Book Antiqua" w:eastAsia="Book Antiqua" w:hAnsi="Book Antiqua" w:cs="Book Antiqua"/>
          <w:color w:val="000000"/>
          <w:lang w:val="en-GB"/>
        </w:rPr>
        <w:t>: 765-772 [PMID: 7988778 DOI: 10.1007/BF00404333]</w:t>
      </w:r>
    </w:p>
    <w:p w14:paraId="14EFC882"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14 </w:t>
      </w:r>
      <w:r w:rsidRPr="00871C0B">
        <w:rPr>
          <w:rFonts w:ascii="Book Antiqua" w:eastAsia="Book Antiqua" w:hAnsi="Book Antiqua" w:cs="Book Antiqua"/>
          <w:b/>
          <w:bCs/>
          <w:color w:val="000000"/>
          <w:lang w:val="en-GB"/>
        </w:rPr>
        <w:t>Bhopal RS</w:t>
      </w:r>
      <w:r w:rsidRPr="00871C0B">
        <w:rPr>
          <w:rFonts w:ascii="Book Antiqua" w:eastAsia="Book Antiqua" w:hAnsi="Book Antiqua" w:cs="Book Antiqua"/>
          <w:color w:val="000000"/>
          <w:lang w:val="en-GB"/>
        </w:rPr>
        <w:t xml:space="preserve">. A four-stage model explaining the higher risk of Type 2 diabetes mellitus in South Asians compared with European populations. </w:t>
      </w:r>
      <w:r w:rsidRPr="00871C0B">
        <w:rPr>
          <w:rFonts w:ascii="Book Antiqua" w:eastAsia="Book Antiqua" w:hAnsi="Book Antiqua" w:cs="Book Antiqua"/>
          <w:i/>
          <w:iCs/>
          <w:color w:val="000000"/>
          <w:lang w:val="en-GB"/>
        </w:rPr>
        <w:t>Diabet Med</w:t>
      </w:r>
      <w:r w:rsidRPr="00871C0B">
        <w:rPr>
          <w:rFonts w:ascii="Book Antiqua" w:eastAsia="Book Antiqua" w:hAnsi="Book Antiqua" w:cs="Book Antiqua"/>
          <w:color w:val="000000"/>
          <w:lang w:val="en-GB"/>
        </w:rPr>
        <w:t xml:space="preserve"> 2013; </w:t>
      </w:r>
      <w:r w:rsidRPr="00871C0B">
        <w:rPr>
          <w:rFonts w:ascii="Book Antiqua" w:eastAsia="Book Antiqua" w:hAnsi="Book Antiqua" w:cs="Book Antiqua"/>
          <w:b/>
          <w:bCs/>
          <w:color w:val="000000"/>
          <w:lang w:val="en-GB"/>
        </w:rPr>
        <w:t>30</w:t>
      </w:r>
      <w:r w:rsidRPr="00871C0B">
        <w:rPr>
          <w:rFonts w:ascii="Book Antiqua" w:eastAsia="Book Antiqua" w:hAnsi="Book Antiqua" w:cs="Book Antiqua"/>
          <w:color w:val="000000"/>
          <w:lang w:val="en-GB"/>
        </w:rPr>
        <w:t>: 35-42 [PMID: 22998210 DOI: 10.1111/dme.12016]</w:t>
      </w:r>
    </w:p>
    <w:p w14:paraId="4DEBE4CA"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15 </w:t>
      </w:r>
      <w:r w:rsidRPr="00871C0B">
        <w:rPr>
          <w:rFonts w:ascii="Book Antiqua" w:eastAsia="Book Antiqua" w:hAnsi="Book Antiqua" w:cs="Book Antiqua"/>
          <w:b/>
          <w:bCs/>
          <w:color w:val="000000"/>
          <w:lang w:val="en-GB"/>
        </w:rPr>
        <w:t>Peterson DB</w:t>
      </w:r>
      <w:r w:rsidRPr="00871C0B">
        <w:rPr>
          <w:rFonts w:ascii="Book Antiqua" w:eastAsia="Book Antiqua" w:hAnsi="Book Antiqua" w:cs="Book Antiqua"/>
          <w:color w:val="000000"/>
          <w:lang w:val="en-GB"/>
        </w:rPr>
        <w:t xml:space="preserve">, Dattani JT, Baylis JM, Jepson EM. Dietary practices of Asian diabetics. </w:t>
      </w:r>
      <w:r w:rsidRPr="00871C0B">
        <w:rPr>
          <w:rFonts w:ascii="Book Antiqua" w:eastAsia="Book Antiqua" w:hAnsi="Book Antiqua" w:cs="Book Antiqua"/>
          <w:i/>
          <w:iCs/>
          <w:color w:val="000000"/>
          <w:lang w:val="en-GB"/>
        </w:rPr>
        <w:t>Br Med J (Clin Res Ed)</w:t>
      </w:r>
      <w:r w:rsidRPr="00871C0B">
        <w:rPr>
          <w:rFonts w:ascii="Book Antiqua" w:eastAsia="Book Antiqua" w:hAnsi="Book Antiqua" w:cs="Book Antiqua"/>
          <w:color w:val="000000"/>
          <w:lang w:val="en-GB"/>
        </w:rPr>
        <w:t xml:space="preserve"> 1986; </w:t>
      </w:r>
      <w:r w:rsidRPr="00871C0B">
        <w:rPr>
          <w:rFonts w:ascii="Book Antiqua" w:eastAsia="Book Antiqua" w:hAnsi="Book Antiqua" w:cs="Book Antiqua"/>
          <w:b/>
          <w:bCs/>
          <w:color w:val="000000"/>
          <w:lang w:val="en-GB"/>
        </w:rPr>
        <w:t>292</w:t>
      </w:r>
      <w:r w:rsidRPr="00871C0B">
        <w:rPr>
          <w:rFonts w:ascii="Book Antiqua" w:eastAsia="Book Antiqua" w:hAnsi="Book Antiqua" w:cs="Book Antiqua"/>
          <w:color w:val="000000"/>
          <w:lang w:val="en-GB"/>
        </w:rPr>
        <w:t>: 170-171 [PMID: 3080119]</w:t>
      </w:r>
    </w:p>
    <w:p w14:paraId="5184C7A5" w14:textId="00778174"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16 </w:t>
      </w:r>
      <w:r w:rsidR="008B5DB2" w:rsidRPr="00871C0B">
        <w:rPr>
          <w:rFonts w:ascii="Book Antiqua" w:eastAsia="Book Antiqua" w:hAnsi="Book Antiqua" w:cs="Book Antiqua"/>
          <w:b/>
          <w:bCs/>
          <w:color w:val="000000"/>
          <w:lang w:val="en-GB"/>
        </w:rPr>
        <w:t>Khunti K</w:t>
      </w:r>
      <w:r w:rsidR="008B5DB2" w:rsidRPr="00871C0B">
        <w:rPr>
          <w:rFonts w:ascii="Book Antiqua" w:eastAsia="Book Antiqua" w:hAnsi="Book Antiqua" w:cs="Book Antiqua"/>
          <w:color w:val="000000"/>
          <w:lang w:val="en-GB"/>
        </w:rPr>
        <w:t xml:space="preserve">, Singh AK, Pareek M, Hanif W. Is ethnicity linked to incidence or outcomes of covid-19? </w:t>
      </w:r>
      <w:r w:rsidR="008B5DB2" w:rsidRPr="00871C0B">
        <w:rPr>
          <w:rFonts w:ascii="Book Antiqua" w:eastAsia="Book Antiqua" w:hAnsi="Book Antiqua" w:cs="Book Antiqua"/>
          <w:i/>
          <w:iCs/>
          <w:color w:val="000000"/>
          <w:lang w:val="en-GB"/>
        </w:rPr>
        <w:t>BMJ</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369</w:t>
      </w:r>
      <w:r w:rsidR="008B5DB2" w:rsidRPr="00871C0B">
        <w:rPr>
          <w:rFonts w:ascii="Book Antiqua" w:eastAsia="Book Antiqua" w:hAnsi="Book Antiqua" w:cs="Book Antiqua"/>
          <w:color w:val="000000"/>
          <w:lang w:val="en-GB"/>
        </w:rPr>
        <w:t>: m1548 [PMID: 32312785 DOI: 10.1136/bmj.m1548]</w:t>
      </w:r>
    </w:p>
    <w:p w14:paraId="6DEBF34F" w14:textId="03ADF5FE"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17 </w:t>
      </w:r>
      <w:r w:rsidR="008B5DB2" w:rsidRPr="00871C0B">
        <w:rPr>
          <w:rFonts w:ascii="Book Antiqua" w:eastAsia="Book Antiqua" w:hAnsi="Book Antiqua" w:cs="Book Antiqua"/>
          <w:b/>
          <w:bCs/>
          <w:color w:val="000000"/>
          <w:lang w:val="en-GB"/>
        </w:rPr>
        <w:t>Clift AK</w:t>
      </w:r>
      <w:r w:rsidR="008B5DB2" w:rsidRPr="00871C0B">
        <w:rPr>
          <w:rFonts w:ascii="Book Antiqua" w:eastAsia="Book Antiqua" w:hAnsi="Book Antiqua" w:cs="Book Antiqua"/>
          <w:color w:val="000000"/>
          <w:lang w:val="en-GB"/>
        </w:rPr>
        <w:t xml:space="preserve">, Coupland CAC, Keogh RH, Diaz-Ordaz K, Williamson E, Harrison EM, Hayward A, Hemingway H, Horby P, Mehta N, Benger J, Khunti K, Spiegelhalter D, Sheikh A, Valabhji J, Lyons RA, Robson J, Semple MG, Kee F, Johnson P, Jebb S, Williams T, Hippisley-Cox J. Living risk prediction algorithm (QCOVID) for risk of hospital admission and mortality from coronavirus 19 in adults: national derivation and validation cohort study. </w:t>
      </w:r>
      <w:r w:rsidR="008B5DB2" w:rsidRPr="00871C0B">
        <w:rPr>
          <w:rFonts w:ascii="Book Antiqua" w:eastAsia="Book Antiqua" w:hAnsi="Book Antiqua" w:cs="Book Antiqua"/>
          <w:i/>
          <w:iCs/>
          <w:color w:val="000000"/>
          <w:lang w:val="en-GB"/>
        </w:rPr>
        <w:t>BMJ</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371</w:t>
      </w:r>
      <w:r w:rsidR="008B5DB2" w:rsidRPr="00871C0B">
        <w:rPr>
          <w:rFonts w:ascii="Book Antiqua" w:eastAsia="Book Antiqua" w:hAnsi="Book Antiqua" w:cs="Book Antiqua"/>
          <w:color w:val="000000"/>
          <w:lang w:val="en-GB"/>
        </w:rPr>
        <w:t>: m</w:t>
      </w:r>
      <w:r w:rsidR="008B5DB2" w:rsidRPr="00871C0B">
        <w:rPr>
          <w:rFonts w:ascii="Book Antiqua" w:eastAsia="Book Antiqua" w:hAnsi="Book Antiqua" w:cs="Book Antiqua"/>
          <w:color w:val="000000"/>
          <w:vertAlign w:val="superscript"/>
          <w:lang w:val="en-GB"/>
        </w:rPr>
        <w:t>3</w:t>
      </w:r>
      <w:r w:rsidR="008B5DB2" w:rsidRPr="00871C0B">
        <w:rPr>
          <w:rFonts w:ascii="Book Antiqua" w:eastAsia="Book Antiqua" w:hAnsi="Book Antiqua" w:cs="Book Antiqua"/>
          <w:color w:val="000000"/>
          <w:lang w:val="en-GB"/>
        </w:rPr>
        <w:t>731 [PMID: 33082154 DOI: 10.1136/bmj.m</w:t>
      </w:r>
      <w:r w:rsidR="008B5DB2" w:rsidRPr="00871C0B">
        <w:rPr>
          <w:rFonts w:ascii="Book Antiqua" w:eastAsia="Book Antiqua" w:hAnsi="Book Antiqua" w:cs="Book Antiqua"/>
          <w:color w:val="000000"/>
          <w:vertAlign w:val="superscript"/>
          <w:lang w:val="en-GB"/>
        </w:rPr>
        <w:t>3</w:t>
      </w:r>
      <w:r w:rsidR="008B5DB2" w:rsidRPr="00871C0B">
        <w:rPr>
          <w:rFonts w:ascii="Book Antiqua" w:eastAsia="Book Antiqua" w:hAnsi="Book Antiqua" w:cs="Book Antiqua"/>
          <w:color w:val="000000"/>
          <w:lang w:val="en-GB"/>
        </w:rPr>
        <w:t>731]</w:t>
      </w:r>
    </w:p>
    <w:p w14:paraId="0FE20CE5" w14:textId="43C2C340"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18 </w:t>
      </w:r>
      <w:r w:rsidR="008B5DB2" w:rsidRPr="00871C0B">
        <w:rPr>
          <w:rFonts w:ascii="Book Antiqua" w:eastAsia="Book Antiqua" w:hAnsi="Book Antiqua" w:cs="Book Antiqua"/>
          <w:b/>
          <w:bCs/>
          <w:color w:val="000000"/>
          <w:lang w:val="en-GB"/>
        </w:rPr>
        <w:t>Thomas C</w:t>
      </w:r>
      <w:r w:rsidR="008B5DB2" w:rsidRPr="00871C0B">
        <w:rPr>
          <w:rFonts w:ascii="Book Antiqua" w:eastAsia="Book Antiqua" w:hAnsi="Book Antiqua" w:cs="Book Antiqua"/>
          <w:color w:val="000000"/>
          <w:lang w:val="en-GB"/>
        </w:rPr>
        <w:t xml:space="preserve">, Hyppönen E, Power C. Diabetes risk in British adults in mid life: a national prevalence study of glycated haemoglobin. </w:t>
      </w:r>
      <w:r w:rsidR="008B5DB2" w:rsidRPr="00871C0B">
        <w:rPr>
          <w:rFonts w:ascii="Book Antiqua" w:eastAsia="Book Antiqua" w:hAnsi="Book Antiqua" w:cs="Book Antiqua"/>
          <w:i/>
          <w:iCs/>
          <w:color w:val="000000"/>
          <w:lang w:val="en-GB"/>
        </w:rPr>
        <w:t>Diabet Med</w:t>
      </w:r>
      <w:r w:rsidR="008B5DB2" w:rsidRPr="00871C0B">
        <w:rPr>
          <w:rFonts w:ascii="Book Antiqua" w:eastAsia="Book Antiqua" w:hAnsi="Book Antiqua" w:cs="Book Antiqua"/>
          <w:color w:val="000000"/>
          <w:lang w:val="en-GB"/>
        </w:rPr>
        <w:t xml:space="preserve"> 2007; </w:t>
      </w:r>
      <w:r w:rsidR="008B5DB2" w:rsidRPr="00871C0B">
        <w:rPr>
          <w:rFonts w:ascii="Book Antiqua" w:eastAsia="Book Antiqua" w:hAnsi="Book Antiqua" w:cs="Book Antiqua"/>
          <w:b/>
          <w:bCs/>
          <w:color w:val="000000"/>
          <w:lang w:val="en-GB"/>
        </w:rPr>
        <w:t>24</w:t>
      </w:r>
      <w:r w:rsidR="008B5DB2" w:rsidRPr="00871C0B">
        <w:rPr>
          <w:rFonts w:ascii="Book Antiqua" w:eastAsia="Book Antiqua" w:hAnsi="Book Antiqua" w:cs="Book Antiqua"/>
          <w:color w:val="000000"/>
          <w:lang w:val="en-GB"/>
        </w:rPr>
        <w:t>: 317-321 [PMID: 17305791 DOI: 10.1111/j.1464-5491.2006.02055.x]</w:t>
      </w:r>
    </w:p>
    <w:p w14:paraId="6E1575F2" w14:textId="21C95982"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19 </w:t>
      </w:r>
      <w:r w:rsidR="008B5DB2" w:rsidRPr="00871C0B">
        <w:rPr>
          <w:rFonts w:ascii="Book Antiqua" w:eastAsia="Book Antiqua" w:hAnsi="Book Antiqua" w:cs="Book Antiqua"/>
          <w:b/>
          <w:bCs/>
          <w:color w:val="000000"/>
          <w:lang w:val="en-GB"/>
        </w:rPr>
        <w:t>Kumari M</w:t>
      </w:r>
      <w:r w:rsidR="008B5DB2" w:rsidRPr="00871C0B">
        <w:rPr>
          <w:rFonts w:ascii="Book Antiqua" w:eastAsia="Book Antiqua" w:hAnsi="Book Antiqua" w:cs="Book Antiqua"/>
          <w:color w:val="000000"/>
          <w:lang w:val="en-GB"/>
        </w:rPr>
        <w:t xml:space="preserve">, Head J, Marmot M. Prospective study of social and other risk factors for incidence of type 2 diabetes in the Whitehall II study. </w:t>
      </w:r>
      <w:r w:rsidR="008B5DB2" w:rsidRPr="00871C0B">
        <w:rPr>
          <w:rFonts w:ascii="Book Antiqua" w:eastAsia="Book Antiqua" w:hAnsi="Book Antiqua" w:cs="Book Antiqua"/>
          <w:i/>
          <w:iCs/>
          <w:color w:val="000000"/>
          <w:lang w:val="en-GB"/>
        </w:rPr>
        <w:t>Arch Intern Med</w:t>
      </w:r>
      <w:r w:rsidR="008B5DB2" w:rsidRPr="00871C0B">
        <w:rPr>
          <w:rFonts w:ascii="Book Antiqua" w:eastAsia="Book Antiqua" w:hAnsi="Book Antiqua" w:cs="Book Antiqua"/>
          <w:color w:val="000000"/>
          <w:lang w:val="en-GB"/>
        </w:rPr>
        <w:t xml:space="preserve"> 2004; </w:t>
      </w:r>
      <w:r w:rsidR="008B5DB2" w:rsidRPr="00871C0B">
        <w:rPr>
          <w:rFonts w:ascii="Book Antiqua" w:eastAsia="Book Antiqua" w:hAnsi="Book Antiqua" w:cs="Book Antiqua"/>
          <w:b/>
          <w:bCs/>
          <w:color w:val="000000"/>
          <w:lang w:val="en-GB"/>
        </w:rPr>
        <w:t>164</w:t>
      </w:r>
      <w:r w:rsidR="008B5DB2" w:rsidRPr="00871C0B">
        <w:rPr>
          <w:rFonts w:ascii="Book Antiqua" w:eastAsia="Book Antiqua" w:hAnsi="Book Antiqua" w:cs="Book Antiqua"/>
          <w:color w:val="000000"/>
          <w:lang w:val="en-GB"/>
        </w:rPr>
        <w:t>: 1873-1880 [PMID: 15451762 DOI: 10.1001/archinte.164.17.1873]</w:t>
      </w:r>
    </w:p>
    <w:p w14:paraId="485AAD10" w14:textId="447B8FFE"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20 </w:t>
      </w:r>
      <w:r w:rsidR="008B5DB2" w:rsidRPr="00871C0B">
        <w:rPr>
          <w:rFonts w:ascii="Book Antiqua" w:eastAsia="Book Antiqua" w:hAnsi="Book Antiqua" w:cs="Book Antiqua"/>
          <w:b/>
          <w:bCs/>
          <w:color w:val="000000"/>
          <w:lang w:val="en-GB"/>
        </w:rPr>
        <w:t>Connolly V</w:t>
      </w:r>
      <w:r w:rsidR="008B5DB2" w:rsidRPr="00871C0B">
        <w:rPr>
          <w:rFonts w:ascii="Book Antiqua" w:eastAsia="Book Antiqua" w:hAnsi="Book Antiqua" w:cs="Book Antiqua"/>
          <w:color w:val="000000"/>
          <w:lang w:val="en-GB"/>
        </w:rPr>
        <w:t xml:space="preserve">, Unwin N, Sherriff P, Bilous R, Kelly W. Diabetes prevalence and socioeconomic status: a population based study showing increased prevalence of type 2 diabetes mellitus in deprived areas. </w:t>
      </w:r>
      <w:r w:rsidR="008B5DB2" w:rsidRPr="00871C0B">
        <w:rPr>
          <w:rFonts w:ascii="Book Antiqua" w:eastAsia="Book Antiqua" w:hAnsi="Book Antiqua" w:cs="Book Antiqua"/>
          <w:i/>
          <w:iCs/>
          <w:color w:val="000000"/>
          <w:lang w:val="en-GB"/>
        </w:rPr>
        <w:t>J Epidemiol Community Health</w:t>
      </w:r>
      <w:r w:rsidR="008B5DB2" w:rsidRPr="00871C0B">
        <w:rPr>
          <w:rFonts w:ascii="Book Antiqua" w:eastAsia="Book Antiqua" w:hAnsi="Book Antiqua" w:cs="Book Antiqua"/>
          <w:color w:val="000000"/>
          <w:lang w:val="en-GB"/>
        </w:rPr>
        <w:t xml:space="preserve"> 2000; </w:t>
      </w:r>
      <w:r w:rsidR="008B5DB2" w:rsidRPr="00871C0B">
        <w:rPr>
          <w:rFonts w:ascii="Book Antiqua" w:eastAsia="Book Antiqua" w:hAnsi="Book Antiqua" w:cs="Book Antiqua"/>
          <w:b/>
          <w:bCs/>
          <w:color w:val="000000"/>
          <w:lang w:val="en-GB"/>
        </w:rPr>
        <w:t>54</w:t>
      </w:r>
      <w:r w:rsidR="008B5DB2" w:rsidRPr="00871C0B">
        <w:rPr>
          <w:rFonts w:ascii="Book Antiqua" w:eastAsia="Book Antiqua" w:hAnsi="Book Antiqua" w:cs="Book Antiqua"/>
          <w:color w:val="000000"/>
          <w:lang w:val="en-GB"/>
        </w:rPr>
        <w:t>: 173-177 [PMID: 10746110 DOI: 10.1136/jech.54.3.173]</w:t>
      </w:r>
    </w:p>
    <w:p w14:paraId="59AE2B3C" w14:textId="534FCCDA"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21 </w:t>
      </w:r>
      <w:r w:rsidR="008B5DB2" w:rsidRPr="00871C0B">
        <w:rPr>
          <w:rFonts w:ascii="Book Antiqua" w:eastAsia="Book Antiqua" w:hAnsi="Book Antiqua" w:cs="Book Antiqua"/>
          <w:b/>
          <w:bCs/>
          <w:color w:val="000000"/>
          <w:lang w:val="en-GB"/>
        </w:rPr>
        <w:t>Thomas C</w:t>
      </w:r>
      <w:r w:rsidR="008B5DB2" w:rsidRPr="00871C0B">
        <w:rPr>
          <w:rFonts w:ascii="Book Antiqua" w:eastAsia="Book Antiqua" w:hAnsi="Book Antiqua" w:cs="Book Antiqua"/>
          <w:color w:val="000000"/>
          <w:lang w:val="en-GB"/>
        </w:rPr>
        <w:t xml:space="preserve">, Nightingale CM, Donin AS, Rudnicka AR, Owen CG, Sattar N, Cook DG, Whincup PH. Socio-economic position and type 2 diabetes risk factors: patterns in UK children of South Asian, black African-Caribbean and white European origin. </w:t>
      </w:r>
      <w:r w:rsidR="008B5DB2" w:rsidRPr="00871C0B">
        <w:rPr>
          <w:rFonts w:ascii="Book Antiqua" w:eastAsia="Book Antiqua" w:hAnsi="Book Antiqua" w:cs="Book Antiqua"/>
          <w:i/>
          <w:iCs/>
          <w:color w:val="000000"/>
          <w:lang w:val="en-GB"/>
        </w:rPr>
        <w:t>PLoS One</w:t>
      </w:r>
      <w:r w:rsidR="008B5DB2" w:rsidRPr="00871C0B">
        <w:rPr>
          <w:rFonts w:ascii="Book Antiqua" w:eastAsia="Book Antiqua" w:hAnsi="Book Antiqua" w:cs="Book Antiqua"/>
          <w:color w:val="000000"/>
          <w:lang w:val="en-GB"/>
        </w:rPr>
        <w:t xml:space="preserve"> 2012; </w:t>
      </w:r>
      <w:r w:rsidR="008B5DB2" w:rsidRPr="00871C0B">
        <w:rPr>
          <w:rFonts w:ascii="Book Antiqua" w:eastAsia="Book Antiqua" w:hAnsi="Book Antiqua" w:cs="Book Antiqua"/>
          <w:b/>
          <w:bCs/>
          <w:color w:val="000000"/>
          <w:lang w:val="en-GB"/>
        </w:rPr>
        <w:t>7</w:t>
      </w:r>
      <w:r w:rsidR="008B5DB2" w:rsidRPr="00871C0B">
        <w:rPr>
          <w:rFonts w:ascii="Book Antiqua" w:eastAsia="Book Antiqua" w:hAnsi="Book Antiqua" w:cs="Book Antiqua"/>
          <w:color w:val="000000"/>
          <w:lang w:val="en-GB"/>
        </w:rPr>
        <w:t>: e32619 [PMID: 22412897 DOI: 10.1371/journal.pone.0032619]</w:t>
      </w:r>
    </w:p>
    <w:p w14:paraId="09BD7045" w14:textId="3772AF46"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lastRenderedPageBreak/>
        <w:t xml:space="preserve">22 </w:t>
      </w:r>
      <w:r w:rsidR="008B5DB2" w:rsidRPr="00871C0B">
        <w:rPr>
          <w:rFonts w:ascii="Book Antiqua" w:eastAsia="Book Antiqua" w:hAnsi="Book Antiqua" w:cs="Book Antiqua"/>
          <w:b/>
          <w:bCs/>
          <w:color w:val="000000"/>
          <w:lang w:val="en-GB"/>
        </w:rPr>
        <w:t>Barnard-Kelly KD</w:t>
      </w:r>
      <w:r w:rsidR="008B5DB2" w:rsidRPr="00871C0B">
        <w:rPr>
          <w:rFonts w:ascii="Book Antiqua" w:eastAsia="Book Antiqua" w:hAnsi="Book Antiqua" w:cs="Book Antiqua"/>
          <w:color w:val="000000"/>
          <w:lang w:val="en-GB"/>
        </w:rPr>
        <w:t xml:space="preserve">, Cherñavvsky D. Social Inequality and Diabetes: A Commentary. </w:t>
      </w:r>
      <w:r w:rsidR="008B5DB2" w:rsidRPr="00871C0B">
        <w:rPr>
          <w:rFonts w:ascii="Book Antiqua" w:eastAsia="Book Antiqua" w:hAnsi="Book Antiqua" w:cs="Book Antiqua"/>
          <w:i/>
          <w:iCs/>
          <w:color w:val="000000"/>
          <w:lang w:val="en-GB"/>
        </w:rPr>
        <w:t>Diabetes Ther</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11</w:t>
      </w:r>
      <w:r w:rsidR="008B5DB2" w:rsidRPr="00871C0B">
        <w:rPr>
          <w:rFonts w:ascii="Book Antiqua" w:eastAsia="Book Antiqua" w:hAnsi="Book Antiqua" w:cs="Book Antiqua"/>
          <w:color w:val="000000"/>
          <w:lang w:val="en-GB"/>
        </w:rPr>
        <w:t>: 803-811 [PMID: 32124269 DOI: 10.1007/s13300-020-00791-4]</w:t>
      </w:r>
    </w:p>
    <w:p w14:paraId="4388C7E1" w14:textId="2AB2392B"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highlight w:val="yellow"/>
          <w:lang w:val="en-GB"/>
        </w:rPr>
        <w:t xml:space="preserve">23 </w:t>
      </w:r>
      <w:r w:rsidR="008B5DB2" w:rsidRPr="00871C0B">
        <w:rPr>
          <w:rFonts w:ascii="Book Antiqua" w:eastAsia="Book Antiqua" w:hAnsi="Book Antiqua" w:cs="Book Antiqua"/>
          <w:b/>
          <w:bCs/>
          <w:color w:val="000000"/>
          <w:highlight w:val="yellow"/>
          <w:lang w:val="en-GB"/>
        </w:rPr>
        <w:t>Office for National Statistics</w:t>
      </w:r>
      <w:r w:rsidR="008B5DB2" w:rsidRPr="00871C0B">
        <w:rPr>
          <w:rFonts w:ascii="Book Antiqua" w:eastAsia="Book Antiqua" w:hAnsi="Book Antiqua" w:cs="Book Antiqua"/>
          <w:color w:val="000000"/>
          <w:highlight w:val="yellow"/>
          <w:lang w:val="en-GB"/>
        </w:rPr>
        <w:t xml:space="preserve">. Deaths involving covid-19 by local area and socioeconomic deprivation: deaths occurring between 1 March and 31 May 2020. 12 June 2020. </w:t>
      </w:r>
      <w:r w:rsidR="007B15FF" w:rsidRPr="00871C0B">
        <w:rPr>
          <w:rFonts w:ascii="Book Antiqua" w:eastAsia="Book Antiqua" w:hAnsi="Book Antiqua" w:cs="Book Antiqua"/>
          <w:color w:val="000000"/>
          <w:highlight w:val="yellow"/>
          <w:lang w:val="en-GB"/>
        </w:rPr>
        <w:t>[cited October 21, 2020]. Available from: https://</w:t>
      </w:r>
      <w:r w:rsidR="008B5DB2" w:rsidRPr="00871C0B">
        <w:rPr>
          <w:rFonts w:ascii="Book Antiqua" w:eastAsia="Book Antiqua" w:hAnsi="Book Antiqua" w:cs="Book Antiqua"/>
          <w:color w:val="000000"/>
          <w:highlight w:val="yellow"/>
          <w:lang w:val="en-GB"/>
        </w:rPr>
        <w:t>www.ons.gov.uk/peoplepopulationandcommunity/birthsdeathsandmarriages/deaths/bulletins/deathsinvolvingcovid19bylocalareasanddeprivation/deathsoccurringbetween1marchand31may2020</w:t>
      </w:r>
    </w:p>
    <w:p w14:paraId="7168E125" w14:textId="1247EF4E"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24 </w:t>
      </w:r>
      <w:r w:rsidR="008B5DB2" w:rsidRPr="00871C0B">
        <w:rPr>
          <w:rFonts w:ascii="Book Antiqua" w:eastAsia="Book Antiqua" w:hAnsi="Book Antiqua" w:cs="Book Antiqua"/>
          <w:b/>
          <w:bCs/>
          <w:color w:val="000000"/>
          <w:lang w:val="en-GB"/>
        </w:rPr>
        <w:t>Hu Y</w:t>
      </w:r>
      <w:r w:rsidR="008B5DB2" w:rsidRPr="00871C0B">
        <w:rPr>
          <w:rFonts w:ascii="Book Antiqua" w:eastAsia="Book Antiqua" w:hAnsi="Book Antiqua" w:cs="Book Antiqua"/>
          <w:color w:val="000000"/>
          <w:lang w:val="en-GB"/>
        </w:rPr>
        <w:t xml:space="preserve">, Sun J, Dai Z, Deng H, Li X, Huang Q, Wu Y, Sun L, Xu Y. Prevalence and severity of corona virus disease 2019 (COVID-19): A systematic review and meta-analysis. </w:t>
      </w:r>
      <w:r w:rsidR="008B5DB2" w:rsidRPr="00871C0B">
        <w:rPr>
          <w:rFonts w:ascii="Book Antiqua" w:eastAsia="Book Antiqua" w:hAnsi="Book Antiqua" w:cs="Book Antiqua"/>
          <w:i/>
          <w:iCs/>
          <w:color w:val="000000"/>
          <w:lang w:val="en-GB"/>
        </w:rPr>
        <w:t>J Clin Virol</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127</w:t>
      </w:r>
      <w:r w:rsidR="008B5DB2" w:rsidRPr="00871C0B">
        <w:rPr>
          <w:rFonts w:ascii="Book Antiqua" w:eastAsia="Book Antiqua" w:hAnsi="Book Antiqua" w:cs="Book Antiqua"/>
          <w:color w:val="000000"/>
          <w:lang w:val="en-GB"/>
        </w:rPr>
        <w:t>: 104371 [PMID: 32315817 DOI: 10.1016/j.jcv.2020.104371]</w:t>
      </w:r>
    </w:p>
    <w:p w14:paraId="5F92438C" w14:textId="6CB43E27"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25 </w:t>
      </w:r>
      <w:r w:rsidR="008B5DB2" w:rsidRPr="00871C0B">
        <w:rPr>
          <w:rFonts w:ascii="Book Antiqua" w:eastAsia="Book Antiqua" w:hAnsi="Book Antiqua" w:cs="Book Antiqua"/>
          <w:b/>
          <w:bCs/>
          <w:color w:val="000000"/>
          <w:lang w:val="en-GB"/>
        </w:rPr>
        <w:t>Yang X</w:t>
      </w:r>
      <w:r w:rsidR="008B5DB2" w:rsidRPr="00871C0B">
        <w:rPr>
          <w:rFonts w:ascii="Book Antiqua" w:eastAsia="Book Antiqua" w:hAnsi="Book Antiqua" w:cs="Book Antiqua"/>
          <w:color w:val="000000"/>
          <w:lang w:val="en-GB"/>
        </w:rPr>
        <w:t xml:space="preserve">, Yu Y, Xu J, Shu H, Xia J, Liu H, Wu Y, Zhang L, Yu Z, Fang M, Yu T, Wang Y, Pan S, Zou X, Yuan S, Shang Y. Clinical course and outcomes of critically ill patients with SARS-CoV-2 pneumonia in Wuhan, China: a single-centered, retrospective, observational study. </w:t>
      </w:r>
      <w:r w:rsidR="008B5DB2" w:rsidRPr="00871C0B">
        <w:rPr>
          <w:rFonts w:ascii="Book Antiqua" w:eastAsia="Book Antiqua" w:hAnsi="Book Antiqua" w:cs="Book Antiqua"/>
          <w:i/>
          <w:iCs/>
          <w:color w:val="000000"/>
          <w:lang w:val="en-GB"/>
        </w:rPr>
        <w:t>Lancet Respir Med</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8</w:t>
      </w:r>
      <w:r w:rsidR="008B5DB2" w:rsidRPr="00871C0B">
        <w:rPr>
          <w:rFonts w:ascii="Book Antiqua" w:eastAsia="Book Antiqua" w:hAnsi="Book Antiqua" w:cs="Book Antiqua"/>
          <w:color w:val="000000"/>
          <w:lang w:val="en-GB"/>
        </w:rPr>
        <w:t>: 475-481 [PMID: 32105632 DOI: 10.1016/S2213-2600(20)30079-5]</w:t>
      </w:r>
    </w:p>
    <w:p w14:paraId="09363C7C" w14:textId="59C14E8F"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26 </w:t>
      </w:r>
      <w:r w:rsidR="008B5DB2" w:rsidRPr="00871C0B">
        <w:rPr>
          <w:rFonts w:ascii="Book Antiqua" w:eastAsia="Book Antiqua" w:hAnsi="Book Antiqua" w:cs="Book Antiqua"/>
          <w:b/>
          <w:bCs/>
          <w:color w:val="000000"/>
          <w:lang w:val="en-GB"/>
        </w:rPr>
        <w:t>Li B</w:t>
      </w:r>
      <w:r w:rsidR="008B5DB2" w:rsidRPr="00871C0B">
        <w:rPr>
          <w:rFonts w:ascii="Book Antiqua" w:eastAsia="Book Antiqua" w:hAnsi="Book Antiqua" w:cs="Book Antiqua"/>
          <w:color w:val="000000"/>
          <w:lang w:val="en-GB"/>
        </w:rPr>
        <w:t xml:space="preserve">, Yang J, Zhao F, Zhi L, Wang X, Liu L, Bi Z, Zhao Y. Prevalence and impact of cardiovascular metabolic diseases on COVID-19 in China. </w:t>
      </w:r>
      <w:r w:rsidR="008B5DB2" w:rsidRPr="00871C0B">
        <w:rPr>
          <w:rFonts w:ascii="Book Antiqua" w:eastAsia="Book Antiqua" w:hAnsi="Book Antiqua" w:cs="Book Antiqua"/>
          <w:i/>
          <w:iCs/>
          <w:color w:val="000000"/>
          <w:lang w:val="en-GB"/>
        </w:rPr>
        <w:t>Clin Res Cardiol</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109</w:t>
      </w:r>
      <w:r w:rsidR="008B5DB2" w:rsidRPr="00871C0B">
        <w:rPr>
          <w:rFonts w:ascii="Book Antiqua" w:eastAsia="Book Antiqua" w:hAnsi="Book Antiqua" w:cs="Book Antiqua"/>
          <w:color w:val="000000"/>
          <w:lang w:val="en-GB"/>
        </w:rPr>
        <w:t>: 531-538 [PMID: 32161990 DOI: 10.1007/s00392-020-01626-9]</w:t>
      </w:r>
    </w:p>
    <w:p w14:paraId="00BB26BC" w14:textId="67EFAF78"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27 </w:t>
      </w:r>
      <w:r w:rsidR="008B5DB2" w:rsidRPr="00871C0B">
        <w:rPr>
          <w:rFonts w:ascii="Book Antiqua" w:eastAsia="Book Antiqua" w:hAnsi="Book Antiqua" w:cs="Book Antiqua"/>
          <w:b/>
          <w:bCs/>
          <w:color w:val="000000"/>
          <w:lang w:val="en-GB"/>
        </w:rPr>
        <w:t>Guan WJ</w:t>
      </w:r>
      <w:r w:rsidR="008B5DB2" w:rsidRPr="00871C0B">
        <w:rPr>
          <w:rFonts w:ascii="Book Antiqua" w:eastAsia="Book Antiqua" w:hAnsi="Book Antiqua" w:cs="Book Antiqua"/>
          <w:color w:val="000000"/>
          <w:lang w:val="en-GB"/>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008B5DB2" w:rsidRPr="00871C0B">
        <w:rPr>
          <w:rFonts w:ascii="Book Antiqua" w:eastAsia="Book Antiqua" w:hAnsi="Book Antiqua" w:cs="Book Antiqua"/>
          <w:i/>
          <w:iCs/>
          <w:color w:val="000000"/>
          <w:lang w:val="en-GB"/>
        </w:rPr>
        <w:t>N Engl J Med</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382</w:t>
      </w:r>
      <w:r w:rsidR="008B5DB2" w:rsidRPr="00871C0B">
        <w:rPr>
          <w:rFonts w:ascii="Book Antiqua" w:eastAsia="Book Antiqua" w:hAnsi="Book Antiqua" w:cs="Book Antiqua"/>
          <w:color w:val="000000"/>
          <w:lang w:val="en-GB"/>
        </w:rPr>
        <w:t>: 1708-1720 [PMID: 32109013 DOI: 10.1056/NEJMoa2002032]</w:t>
      </w:r>
    </w:p>
    <w:p w14:paraId="26C9AAED" w14:textId="712B8188"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28 </w:t>
      </w:r>
      <w:r w:rsidR="008B5DB2" w:rsidRPr="00871C0B">
        <w:rPr>
          <w:rFonts w:ascii="Book Antiqua" w:eastAsia="Book Antiqua" w:hAnsi="Book Antiqua" w:cs="Book Antiqua"/>
          <w:b/>
          <w:bCs/>
          <w:color w:val="000000"/>
          <w:lang w:val="en-GB"/>
        </w:rPr>
        <w:t>Zhang JJ</w:t>
      </w:r>
      <w:r w:rsidR="008B5DB2" w:rsidRPr="00871C0B">
        <w:rPr>
          <w:rFonts w:ascii="Book Antiqua" w:eastAsia="Book Antiqua" w:hAnsi="Book Antiqua" w:cs="Book Antiqua"/>
          <w:color w:val="000000"/>
          <w:lang w:val="en-GB"/>
        </w:rPr>
        <w:t xml:space="preserve">, Dong X, Cao YY, Yuan YD, Yang YB, Yan YQ, Akdis CA, Gao YD. Clinical characteristics of 140 patients infected with SARS-CoV-2 in Wuhan, China. </w:t>
      </w:r>
      <w:r w:rsidR="008B5DB2" w:rsidRPr="00871C0B">
        <w:rPr>
          <w:rFonts w:ascii="Book Antiqua" w:eastAsia="Book Antiqua" w:hAnsi="Book Antiqua" w:cs="Book Antiqua"/>
          <w:i/>
          <w:iCs/>
          <w:color w:val="000000"/>
          <w:lang w:val="en-GB"/>
        </w:rPr>
        <w:t>Allergy</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75</w:t>
      </w:r>
      <w:r w:rsidR="008B5DB2" w:rsidRPr="00871C0B">
        <w:rPr>
          <w:rFonts w:ascii="Book Antiqua" w:eastAsia="Book Antiqua" w:hAnsi="Book Antiqua" w:cs="Book Antiqua"/>
          <w:color w:val="000000"/>
          <w:lang w:val="en-GB"/>
        </w:rPr>
        <w:t>: 1730-1741 [PMID: 32077115 DOI: 10.1111/all.14238]</w:t>
      </w:r>
    </w:p>
    <w:p w14:paraId="21AF1B85" w14:textId="2D1530AC"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29 </w:t>
      </w:r>
      <w:r w:rsidR="008B5DB2" w:rsidRPr="00871C0B">
        <w:rPr>
          <w:rFonts w:ascii="Book Antiqua" w:eastAsia="Book Antiqua" w:hAnsi="Book Antiqua" w:cs="Book Antiqua"/>
          <w:b/>
          <w:bCs/>
          <w:color w:val="000000"/>
          <w:lang w:val="en-GB"/>
        </w:rPr>
        <w:t>Yang J</w:t>
      </w:r>
      <w:r w:rsidR="008B5DB2" w:rsidRPr="00871C0B">
        <w:rPr>
          <w:rFonts w:ascii="Book Antiqua" w:eastAsia="Book Antiqua" w:hAnsi="Book Antiqua" w:cs="Book Antiqua"/>
          <w:color w:val="000000"/>
          <w:lang w:val="en-GB"/>
        </w:rPr>
        <w:t xml:space="preserve">, Zheng Y, Gou X, Pu K, Chen Z, Guo Q, Ji R, Wang H, Wang Y, Zhou Y. Prevalence of comorbidities and its effects in patients infected with SARS-CoV-2: a </w:t>
      </w:r>
      <w:r w:rsidR="008B5DB2" w:rsidRPr="00871C0B">
        <w:rPr>
          <w:rFonts w:ascii="Book Antiqua" w:eastAsia="Book Antiqua" w:hAnsi="Book Antiqua" w:cs="Book Antiqua"/>
          <w:color w:val="000000"/>
          <w:lang w:val="en-GB"/>
        </w:rPr>
        <w:lastRenderedPageBreak/>
        <w:t xml:space="preserve">systematic review and meta-analysis. </w:t>
      </w:r>
      <w:r w:rsidR="008B5DB2" w:rsidRPr="00871C0B">
        <w:rPr>
          <w:rFonts w:ascii="Book Antiqua" w:eastAsia="Book Antiqua" w:hAnsi="Book Antiqua" w:cs="Book Antiqua"/>
          <w:i/>
          <w:iCs/>
          <w:color w:val="000000"/>
          <w:lang w:val="en-GB"/>
        </w:rPr>
        <w:t>Int J Infect Dis</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94</w:t>
      </w:r>
      <w:r w:rsidR="008B5DB2" w:rsidRPr="00871C0B">
        <w:rPr>
          <w:rFonts w:ascii="Book Antiqua" w:eastAsia="Book Antiqua" w:hAnsi="Book Antiqua" w:cs="Book Antiqua"/>
          <w:color w:val="000000"/>
          <w:lang w:val="en-GB"/>
        </w:rPr>
        <w:t>: 91-95 [PMID: 32173574 DOI: 10.1016/j.ijid.2020.03.017]</w:t>
      </w:r>
    </w:p>
    <w:p w14:paraId="55BF7EFD" w14:textId="20F9107A"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30 </w:t>
      </w:r>
      <w:r w:rsidR="008B5DB2" w:rsidRPr="00871C0B">
        <w:rPr>
          <w:rFonts w:ascii="Book Antiqua" w:eastAsia="Book Antiqua" w:hAnsi="Book Antiqua" w:cs="Book Antiqua"/>
          <w:b/>
          <w:bCs/>
          <w:color w:val="000000"/>
          <w:lang w:val="en-GB"/>
        </w:rPr>
        <w:t>Zheng Z</w:t>
      </w:r>
      <w:r w:rsidR="008B5DB2" w:rsidRPr="00871C0B">
        <w:rPr>
          <w:rFonts w:ascii="Book Antiqua" w:eastAsia="Book Antiqua" w:hAnsi="Book Antiqua" w:cs="Book Antiqua"/>
          <w:color w:val="000000"/>
          <w:lang w:val="en-GB"/>
        </w:rPr>
        <w:t xml:space="preserve">, Peng F, Xu B, Zhao J, Liu H, Peng J, Li Q, Jiang C, Zhou Y, Liu S, Ye C, Zhang P, Xing Y, Guo H, Tang W. Risk factors of critical &amp; mortal COVID-19 cases: A systematic literature review and meta-analysis. </w:t>
      </w:r>
      <w:r w:rsidR="008B5DB2" w:rsidRPr="00871C0B">
        <w:rPr>
          <w:rFonts w:ascii="Book Antiqua" w:eastAsia="Book Antiqua" w:hAnsi="Book Antiqua" w:cs="Book Antiqua"/>
          <w:i/>
          <w:iCs/>
          <w:color w:val="000000"/>
          <w:lang w:val="en-GB"/>
        </w:rPr>
        <w:t>J Infect</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81</w:t>
      </w:r>
      <w:r w:rsidR="008B5DB2" w:rsidRPr="00871C0B">
        <w:rPr>
          <w:rFonts w:ascii="Book Antiqua" w:eastAsia="Book Antiqua" w:hAnsi="Book Antiqua" w:cs="Book Antiqua"/>
          <w:color w:val="000000"/>
          <w:lang w:val="en-GB"/>
        </w:rPr>
        <w:t>: e16-e25 [PMID: 32335169 DOI: 10.1016/j.jinf.2020.04.021]</w:t>
      </w:r>
    </w:p>
    <w:p w14:paraId="2E77A4E9" w14:textId="0DF9D192"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31 </w:t>
      </w:r>
      <w:r w:rsidR="008B5DB2" w:rsidRPr="00871C0B">
        <w:rPr>
          <w:rFonts w:ascii="Book Antiqua" w:eastAsia="Book Antiqua" w:hAnsi="Book Antiqua" w:cs="Book Antiqua"/>
          <w:b/>
          <w:bCs/>
          <w:color w:val="000000"/>
          <w:lang w:val="en-GB"/>
        </w:rPr>
        <w:t>Yang JK</w:t>
      </w:r>
      <w:r w:rsidR="008B5DB2" w:rsidRPr="00871C0B">
        <w:rPr>
          <w:rFonts w:ascii="Book Antiqua" w:eastAsia="Book Antiqua" w:hAnsi="Book Antiqua" w:cs="Book Antiqua"/>
          <w:color w:val="000000"/>
          <w:lang w:val="en-GB"/>
        </w:rPr>
        <w:t xml:space="preserve">, Feng Y, Yuan MY, Yuan SY, Fu HJ, Wu BY, Sun GZ, Yang GR, Zhang XL, Wang L, Xu X, Xu XP, Chan JC. Plasma glucose levels and diabetes are independent predictors for mortality and morbidity in patients with SARS. </w:t>
      </w:r>
      <w:r w:rsidR="008B5DB2" w:rsidRPr="00871C0B">
        <w:rPr>
          <w:rFonts w:ascii="Book Antiqua" w:eastAsia="Book Antiqua" w:hAnsi="Book Antiqua" w:cs="Book Antiqua"/>
          <w:i/>
          <w:iCs/>
          <w:color w:val="000000"/>
          <w:lang w:val="en-GB"/>
        </w:rPr>
        <w:t>Diabet Med</w:t>
      </w:r>
      <w:r w:rsidR="008B5DB2" w:rsidRPr="00871C0B">
        <w:rPr>
          <w:rFonts w:ascii="Book Antiqua" w:eastAsia="Book Antiqua" w:hAnsi="Book Antiqua" w:cs="Book Antiqua"/>
          <w:color w:val="000000"/>
          <w:lang w:val="en-GB"/>
        </w:rPr>
        <w:t xml:space="preserve"> 2006; </w:t>
      </w:r>
      <w:r w:rsidR="008B5DB2" w:rsidRPr="00871C0B">
        <w:rPr>
          <w:rFonts w:ascii="Book Antiqua" w:eastAsia="Book Antiqua" w:hAnsi="Book Antiqua" w:cs="Book Antiqua"/>
          <w:b/>
          <w:bCs/>
          <w:color w:val="000000"/>
          <w:lang w:val="en-GB"/>
        </w:rPr>
        <w:t>23</w:t>
      </w:r>
      <w:r w:rsidR="008B5DB2" w:rsidRPr="00871C0B">
        <w:rPr>
          <w:rFonts w:ascii="Book Antiqua" w:eastAsia="Book Antiqua" w:hAnsi="Book Antiqua" w:cs="Book Antiqua"/>
          <w:color w:val="000000"/>
          <w:lang w:val="en-GB"/>
        </w:rPr>
        <w:t>: 623-628 [PMID: 16759303 DOI: 10.1111/j.1464-5491.2006.01861.x]</w:t>
      </w:r>
    </w:p>
    <w:p w14:paraId="3EFE5D81" w14:textId="43E978D3"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32 </w:t>
      </w:r>
      <w:r w:rsidR="008B5DB2" w:rsidRPr="00871C0B">
        <w:rPr>
          <w:rFonts w:ascii="Book Antiqua" w:eastAsia="Book Antiqua" w:hAnsi="Book Antiqua" w:cs="Book Antiqua"/>
          <w:b/>
          <w:bCs/>
          <w:color w:val="000000"/>
          <w:lang w:val="en-GB"/>
        </w:rPr>
        <w:t>Wang W</w:t>
      </w:r>
      <w:r w:rsidR="008B5DB2" w:rsidRPr="00871C0B">
        <w:rPr>
          <w:rFonts w:ascii="Book Antiqua" w:eastAsia="Book Antiqua" w:hAnsi="Book Antiqua" w:cs="Book Antiqua"/>
          <w:color w:val="000000"/>
          <w:lang w:val="en-GB"/>
        </w:rPr>
        <w:t xml:space="preserve">, Chen H, Li Q, Qiu B, Wang J, Sun X, Xiang Y, Zhang J. Fasting plasma glucose is an independent predictor for severity of H1N1 pneumonia. </w:t>
      </w:r>
      <w:r w:rsidR="008B5DB2" w:rsidRPr="00871C0B">
        <w:rPr>
          <w:rFonts w:ascii="Book Antiqua" w:eastAsia="Book Antiqua" w:hAnsi="Book Antiqua" w:cs="Book Antiqua"/>
          <w:i/>
          <w:iCs/>
          <w:color w:val="000000"/>
          <w:lang w:val="en-GB"/>
        </w:rPr>
        <w:t>BMC Infect Dis</w:t>
      </w:r>
      <w:r w:rsidR="008B5DB2" w:rsidRPr="00871C0B">
        <w:rPr>
          <w:rFonts w:ascii="Book Antiqua" w:eastAsia="Book Antiqua" w:hAnsi="Book Antiqua" w:cs="Book Antiqua"/>
          <w:color w:val="000000"/>
          <w:lang w:val="en-GB"/>
        </w:rPr>
        <w:t xml:space="preserve"> 2011; </w:t>
      </w:r>
      <w:r w:rsidR="008B5DB2" w:rsidRPr="00871C0B">
        <w:rPr>
          <w:rFonts w:ascii="Book Antiqua" w:eastAsia="Book Antiqua" w:hAnsi="Book Antiqua" w:cs="Book Antiqua"/>
          <w:b/>
          <w:bCs/>
          <w:color w:val="000000"/>
          <w:lang w:val="en-GB"/>
        </w:rPr>
        <w:t>11</w:t>
      </w:r>
      <w:r w:rsidR="008B5DB2" w:rsidRPr="00871C0B">
        <w:rPr>
          <w:rFonts w:ascii="Book Antiqua" w:eastAsia="Book Antiqua" w:hAnsi="Book Antiqua" w:cs="Book Antiqua"/>
          <w:color w:val="000000"/>
          <w:lang w:val="en-GB"/>
        </w:rPr>
        <w:t>: 104 [PMID: 21510870 DOI: 10.1186/1471-2334-11-104]</w:t>
      </w:r>
    </w:p>
    <w:p w14:paraId="3F55F60E" w14:textId="6ECD05A0"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33 </w:t>
      </w:r>
      <w:r w:rsidR="008B5DB2" w:rsidRPr="00871C0B">
        <w:rPr>
          <w:rFonts w:ascii="Book Antiqua" w:eastAsia="Book Antiqua" w:hAnsi="Book Antiqua" w:cs="Book Antiqua"/>
          <w:b/>
          <w:bCs/>
          <w:color w:val="000000"/>
          <w:lang w:val="en-GB"/>
        </w:rPr>
        <w:t>Memish ZA</w:t>
      </w:r>
      <w:r w:rsidR="008B5DB2" w:rsidRPr="00871C0B">
        <w:rPr>
          <w:rFonts w:ascii="Book Antiqua" w:eastAsia="Book Antiqua" w:hAnsi="Book Antiqua" w:cs="Book Antiqua"/>
          <w:color w:val="000000"/>
          <w:lang w:val="en-GB"/>
        </w:rPr>
        <w:t xml:space="preserve">, Perlman S, Van Kerkhove MD, Zumla A. Middle East respiratory syndrome. </w:t>
      </w:r>
      <w:r w:rsidR="008B5DB2" w:rsidRPr="00871C0B">
        <w:rPr>
          <w:rFonts w:ascii="Book Antiqua" w:eastAsia="Book Antiqua" w:hAnsi="Book Antiqua" w:cs="Book Antiqua"/>
          <w:i/>
          <w:iCs/>
          <w:color w:val="000000"/>
          <w:lang w:val="en-GB"/>
        </w:rPr>
        <w:t>Lancet</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395</w:t>
      </w:r>
      <w:r w:rsidR="008B5DB2" w:rsidRPr="00871C0B">
        <w:rPr>
          <w:rFonts w:ascii="Book Antiqua" w:eastAsia="Book Antiqua" w:hAnsi="Book Antiqua" w:cs="Book Antiqua"/>
          <w:color w:val="000000"/>
          <w:lang w:val="en-GB"/>
        </w:rPr>
        <w:t>: 1063-1077 [PMID: 32145185 DOI: 10.1016/S0140-6736(19)33221-0]</w:t>
      </w:r>
    </w:p>
    <w:p w14:paraId="5FCD48E8" w14:textId="4A5DB632"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34 </w:t>
      </w:r>
      <w:r w:rsidR="008B5DB2" w:rsidRPr="00871C0B">
        <w:rPr>
          <w:rFonts w:ascii="Book Antiqua" w:eastAsia="Book Antiqua" w:hAnsi="Book Antiqua" w:cs="Book Antiqua"/>
          <w:b/>
          <w:bCs/>
          <w:color w:val="000000"/>
          <w:lang w:val="en-GB"/>
        </w:rPr>
        <w:t>Barron E</w:t>
      </w:r>
      <w:r w:rsidR="008B5DB2" w:rsidRPr="00871C0B">
        <w:rPr>
          <w:rFonts w:ascii="Book Antiqua" w:eastAsia="Book Antiqua" w:hAnsi="Book Antiqua" w:cs="Book Antiqua"/>
          <w:color w:val="000000"/>
          <w:lang w:val="en-GB"/>
        </w:rPr>
        <w:t xml:space="preserve">, Bakhai C, Kar P, Weaver A, Bradley D, Ismail H, Knighton P, Holman N, Khunti K, Sattar N, Wareham NJ, Young B, Valabhji J. Associations of type 1 and type 2 diabetes with COVID-19-related mortality in England: a whole-population study. </w:t>
      </w:r>
      <w:r w:rsidR="008B5DB2" w:rsidRPr="00871C0B">
        <w:rPr>
          <w:rFonts w:ascii="Book Antiqua" w:eastAsia="Book Antiqua" w:hAnsi="Book Antiqua" w:cs="Book Antiqua"/>
          <w:i/>
          <w:iCs/>
          <w:color w:val="000000"/>
          <w:lang w:val="en-GB"/>
        </w:rPr>
        <w:t>Lancet Diabetes Endocrinol</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8</w:t>
      </w:r>
      <w:r w:rsidR="008B5DB2" w:rsidRPr="00871C0B">
        <w:rPr>
          <w:rFonts w:ascii="Book Antiqua" w:eastAsia="Book Antiqua" w:hAnsi="Book Antiqua" w:cs="Book Antiqua"/>
          <w:color w:val="000000"/>
          <w:lang w:val="en-GB"/>
        </w:rPr>
        <w:t>: 813-822 [PMID: 32798472 DOI: 10.1016/S2213-8587(20)30272-2]</w:t>
      </w:r>
    </w:p>
    <w:p w14:paraId="6172D39B" w14:textId="08238BBC"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35 </w:t>
      </w:r>
      <w:r w:rsidR="008B5DB2" w:rsidRPr="00871C0B">
        <w:rPr>
          <w:rFonts w:ascii="Book Antiqua" w:eastAsia="Book Antiqua" w:hAnsi="Book Antiqua" w:cs="Book Antiqua"/>
          <w:b/>
          <w:bCs/>
          <w:color w:val="000000"/>
          <w:lang w:val="en-GB"/>
        </w:rPr>
        <w:t>Holman N</w:t>
      </w:r>
      <w:r w:rsidR="008B5DB2" w:rsidRPr="00871C0B">
        <w:rPr>
          <w:rFonts w:ascii="Book Antiqua" w:eastAsia="Book Antiqua" w:hAnsi="Book Antiqua" w:cs="Book Antiqua"/>
          <w:color w:val="000000"/>
          <w:lang w:val="en-GB"/>
        </w:rPr>
        <w:t xml:space="preserve">, Knighton P, Kar P, O'Keefe J, Curley M, Weaver A, Barron E, Bakhai C, Khunti K, Wareham NJ, Sattar N, Young B, Valabhji J. Risk factors for COVID-19-related mortality in people with type 1 and type 2 diabetes in England: a population-based cohort study. </w:t>
      </w:r>
      <w:r w:rsidR="008B5DB2" w:rsidRPr="00871C0B">
        <w:rPr>
          <w:rFonts w:ascii="Book Antiqua" w:eastAsia="Book Antiqua" w:hAnsi="Book Antiqua" w:cs="Book Antiqua"/>
          <w:i/>
          <w:iCs/>
          <w:color w:val="000000"/>
          <w:lang w:val="en-GB"/>
        </w:rPr>
        <w:t>Lancet Diabetes Endocrinol</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8</w:t>
      </w:r>
      <w:r w:rsidR="008B5DB2" w:rsidRPr="00871C0B">
        <w:rPr>
          <w:rFonts w:ascii="Book Antiqua" w:eastAsia="Book Antiqua" w:hAnsi="Book Antiqua" w:cs="Book Antiqua"/>
          <w:color w:val="000000"/>
          <w:lang w:val="en-GB"/>
        </w:rPr>
        <w:t>: 823-833 [PMID: 32798471 DOI: 10.1016/S2213-8587(20)30271-0]</w:t>
      </w:r>
    </w:p>
    <w:p w14:paraId="0D2CCDA9" w14:textId="56B47088"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36 </w:t>
      </w:r>
      <w:r w:rsidR="008B5DB2" w:rsidRPr="00871C0B">
        <w:rPr>
          <w:rFonts w:ascii="Book Antiqua" w:eastAsia="Book Antiqua" w:hAnsi="Book Antiqua" w:cs="Book Antiqua"/>
          <w:b/>
          <w:bCs/>
          <w:color w:val="000000"/>
          <w:lang w:val="en-GB"/>
        </w:rPr>
        <w:t>Bode B</w:t>
      </w:r>
      <w:r w:rsidR="008B5DB2" w:rsidRPr="00871C0B">
        <w:rPr>
          <w:rFonts w:ascii="Book Antiqua" w:eastAsia="Book Antiqua" w:hAnsi="Book Antiqua" w:cs="Book Antiqua"/>
          <w:color w:val="000000"/>
          <w:lang w:val="en-GB"/>
        </w:rPr>
        <w:t xml:space="preserve">, Garrett V, Messler J, McFarland R, Crowe J, Booth R, Klonoff DC. Glycemic Characteristics and Clinical Outcomes of COVID-19 Patients Hospitalized in the United States. </w:t>
      </w:r>
      <w:r w:rsidR="008B5DB2" w:rsidRPr="00871C0B">
        <w:rPr>
          <w:rFonts w:ascii="Book Antiqua" w:eastAsia="Book Antiqua" w:hAnsi="Book Antiqua" w:cs="Book Antiqua"/>
          <w:i/>
          <w:iCs/>
          <w:color w:val="000000"/>
          <w:lang w:val="en-GB"/>
        </w:rPr>
        <w:t>J Diabetes Sci Technol</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14</w:t>
      </w:r>
      <w:r w:rsidR="008B5DB2" w:rsidRPr="00871C0B">
        <w:rPr>
          <w:rFonts w:ascii="Book Antiqua" w:eastAsia="Book Antiqua" w:hAnsi="Book Antiqua" w:cs="Book Antiqua"/>
          <w:color w:val="000000"/>
          <w:lang w:val="en-GB"/>
        </w:rPr>
        <w:t>: 813-821 [PMID: 32389027 DOI: 10.1177/1932296820924469]</w:t>
      </w:r>
    </w:p>
    <w:p w14:paraId="0ADA7289" w14:textId="634DE4F3"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lastRenderedPageBreak/>
        <w:t>37</w:t>
      </w:r>
      <w:r w:rsidR="008B5DB2" w:rsidRPr="00871C0B">
        <w:rPr>
          <w:rFonts w:ascii="Book Antiqua" w:eastAsia="Book Antiqua" w:hAnsi="Book Antiqua" w:cs="Book Antiqua"/>
          <w:b/>
          <w:bCs/>
          <w:color w:val="000000"/>
          <w:lang w:val="en-GB"/>
        </w:rPr>
        <w:t>Zhu L</w:t>
      </w:r>
      <w:r w:rsidR="008B5DB2" w:rsidRPr="00871C0B">
        <w:rPr>
          <w:rFonts w:ascii="Book Antiqua" w:eastAsia="Book Antiqua" w:hAnsi="Book Antiqua" w:cs="Book Antiqua"/>
          <w:color w:val="000000"/>
          <w:lang w:val="en-GB"/>
        </w:rPr>
        <w:t xml:space="preserve">, She ZG, Cheng X, Qin JJ, Zhang XJ, Cai J, Lei F, Wang H, Xie J, Wang W, Li H, Zhang P, Song X, Chen X, Xiang M, Zhang C, Bai L, Xiang D, Chen MM, Liu Y, Yan Y, Liu M, Mao W, Zou J, Liu L, Chen G, Luo P, Xiao B, Zhang C, Zhang Z, Lu Z, Wang J, Lu H, Xia X, Wang D, Liao X, Peng G, Ye P, Yang J, Yuan Y, Huang X, Guo J, Zhang BH, Li H. Association of Blood Glucose Control and Outcomes in Patients with COVID-19 and Pre-existing Type 2 Diabetes. </w:t>
      </w:r>
      <w:r w:rsidR="008B5DB2" w:rsidRPr="00871C0B">
        <w:rPr>
          <w:rFonts w:ascii="Book Antiqua" w:eastAsia="Book Antiqua" w:hAnsi="Book Antiqua" w:cs="Book Antiqua"/>
          <w:i/>
          <w:iCs/>
          <w:color w:val="000000"/>
          <w:lang w:val="en-GB"/>
        </w:rPr>
        <w:t>Cell Metab</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31</w:t>
      </w:r>
      <w:r w:rsidR="008B5DB2" w:rsidRPr="00871C0B">
        <w:rPr>
          <w:rFonts w:ascii="Book Antiqua" w:eastAsia="Book Antiqua" w:hAnsi="Book Antiqua" w:cs="Book Antiqua"/>
          <w:color w:val="000000"/>
          <w:lang w:val="en-GB"/>
        </w:rPr>
        <w:t>: 1068-1077.e3 [PMID: 32369736 DOI: 10.1016/j.cmet.2020.04.021]</w:t>
      </w:r>
    </w:p>
    <w:p w14:paraId="7968B6B3" w14:textId="3E552C6C"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38 </w:t>
      </w:r>
      <w:r w:rsidR="008B5DB2" w:rsidRPr="00871C0B">
        <w:rPr>
          <w:rFonts w:ascii="Book Antiqua" w:eastAsia="Book Antiqua" w:hAnsi="Book Antiqua" w:cs="Book Antiqua"/>
          <w:b/>
          <w:bCs/>
          <w:color w:val="000000"/>
          <w:lang w:val="en-GB"/>
        </w:rPr>
        <w:t>Geerlings SE</w:t>
      </w:r>
      <w:r w:rsidR="008B5DB2" w:rsidRPr="00871C0B">
        <w:rPr>
          <w:rFonts w:ascii="Book Antiqua" w:eastAsia="Book Antiqua" w:hAnsi="Book Antiqua" w:cs="Book Antiqua"/>
          <w:color w:val="000000"/>
          <w:lang w:val="en-GB"/>
        </w:rPr>
        <w:t xml:space="preserve">, Hoepelman AI. Immune dysfunction in patients with diabetes mellitus (DM). </w:t>
      </w:r>
      <w:r w:rsidR="008B5DB2" w:rsidRPr="00871C0B">
        <w:rPr>
          <w:rFonts w:ascii="Book Antiqua" w:eastAsia="Book Antiqua" w:hAnsi="Book Antiqua" w:cs="Book Antiqua"/>
          <w:i/>
          <w:iCs/>
          <w:color w:val="000000"/>
          <w:lang w:val="en-GB"/>
        </w:rPr>
        <w:t>FEMS Immunol Med Microbiol</w:t>
      </w:r>
      <w:r w:rsidR="008B5DB2" w:rsidRPr="00871C0B">
        <w:rPr>
          <w:rFonts w:ascii="Book Antiqua" w:eastAsia="Book Antiqua" w:hAnsi="Book Antiqua" w:cs="Book Antiqua"/>
          <w:color w:val="000000"/>
          <w:lang w:val="en-GB"/>
        </w:rPr>
        <w:t xml:space="preserve"> 1999; </w:t>
      </w:r>
      <w:r w:rsidR="008B5DB2" w:rsidRPr="00871C0B">
        <w:rPr>
          <w:rFonts w:ascii="Book Antiqua" w:eastAsia="Book Antiqua" w:hAnsi="Book Antiqua" w:cs="Book Antiqua"/>
          <w:b/>
          <w:bCs/>
          <w:color w:val="000000"/>
          <w:lang w:val="en-GB"/>
        </w:rPr>
        <w:t>26</w:t>
      </w:r>
      <w:r w:rsidR="008B5DB2" w:rsidRPr="00871C0B">
        <w:rPr>
          <w:rFonts w:ascii="Book Antiqua" w:eastAsia="Book Antiqua" w:hAnsi="Book Antiqua" w:cs="Book Antiqua"/>
          <w:color w:val="000000"/>
          <w:lang w:val="en-GB"/>
        </w:rPr>
        <w:t>: 259-265 [PMID: 10575137 DOI: 10.1111/j.1574-695X.1999.tb01397.x]</w:t>
      </w:r>
    </w:p>
    <w:p w14:paraId="4135F56D" w14:textId="64960585"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39 </w:t>
      </w:r>
      <w:r w:rsidR="008B5DB2" w:rsidRPr="00871C0B">
        <w:rPr>
          <w:rFonts w:ascii="Book Antiqua" w:eastAsia="Book Antiqua" w:hAnsi="Book Antiqua" w:cs="Book Antiqua"/>
          <w:b/>
          <w:bCs/>
          <w:color w:val="000000"/>
          <w:lang w:val="en-GB"/>
        </w:rPr>
        <w:t>Critchley JA</w:t>
      </w:r>
      <w:r w:rsidR="008B5DB2" w:rsidRPr="00871C0B">
        <w:rPr>
          <w:rFonts w:ascii="Book Antiqua" w:eastAsia="Book Antiqua" w:hAnsi="Book Antiqua" w:cs="Book Antiqua"/>
          <w:color w:val="000000"/>
          <w:lang w:val="en-GB"/>
        </w:rPr>
        <w:t xml:space="preserve">, Carey IM, Harris T, DeWilde S, Hosking FJ, Cook DG. Glycemic Control and Risk of Infections Among People With Type 1 or Type 2 Diabetes in a Large Primary Care Cohort Study. </w:t>
      </w:r>
      <w:r w:rsidR="008B5DB2" w:rsidRPr="00871C0B">
        <w:rPr>
          <w:rFonts w:ascii="Book Antiqua" w:eastAsia="Book Antiqua" w:hAnsi="Book Antiqua" w:cs="Book Antiqua"/>
          <w:i/>
          <w:iCs/>
          <w:color w:val="000000"/>
          <w:lang w:val="en-GB"/>
        </w:rPr>
        <w:t>Diabetes Care</w:t>
      </w:r>
      <w:r w:rsidR="008B5DB2" w:rsidRPr="00871C0B">
        <w:rPr>
          <w:rFonts w:ascii="Book Antiqua" w:eastAsia="Book Antiqua" w:hAnsi="Book Antiqua" w:cs="Book Antiqua"/>
          <w:color w:val="000000"/>
          <w:lang w:val="en-GB"/>
        </w:rPr>
        <w:t xml:space="preserve"> 2018; </w:t>
      </w:r>
      <w:r w:rsidR="008B5DB2" w:rsidRPr="00871C0B">
        <w:rPr>
          <w:rFonts w:ascii="Book Antiqua" w:eastAsia="Book Antiqua" w:hAnsi="Book Antiqua" w:cs="Book Antiqua"/>
          <w:b/>
          <w:bCs/>
          <w:color w:val="000000"/>
          <w:lang w:val="en-GB"/>
        </w:rPr>
        <w:t>41</w:t>
      </w:r>
      <w:r w:rsidR="008B5DB2" w:rsidRPr="00871C0B">
        <w:rPr>
          <w:rFonts w:ascii="Book Antiqua" w:eastAsia="Book Antiqua" w:hAnsi="Book Antiqua" w:cs="Book Antiqua"/>
          <w:color w:val="000000"/>
          <w:lang w:val="en-GB"/>
        </w:rPr>
        <w:t>: 2127-2135 [PMID: 30104296 DOI: 10.2337/dc18-0287]</w:t>
      </w:r>
    </w:p>
    <w:p w14:paraId="4E152EF0" w14:textId="6A5EBACC"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40 </w:t>
      </w:r>
      <w:r w:rsidR="008B5DB2" w:rsidRPr="00871C0B">
        <w:rPr>
          <w:rFonts w:ascii="Book Antiqua" w:eastAsia="Book Antiqua" w:hAnsi="Book Antiqua" w:cs="Book Antiqua"/>
          <w:b/>
          <w:bCs/>
          <w:color w:val="000000"/>
          <w:lang w:val="en-GB"/>
        </w:rPr>
        <w:t>Kalligeros M</w:t>
      </w:r>
      <w:r w:rsidR="008B5DB2" w:rsidRPr="00871C0B">
        <w:rPr>
          <w:rFonts w:ascii="Book Antiqua" w:eastAsia="Book Antiqua" w:hAnsi="Book Antiqua" w:cs="Book Antiqua"/>
          <w:color w:val="000000"/>
          <w:lang w:val="en-GB"/>
        </w:rPr>
        <w:t xml:space="preserve">, Shehadeh F, Mylona EK, Benitez G, Beckwith CG, Chan PA, Mylonakis E. Association of Obesity with Disease Severity Among Patients with Coronavirus Disease 2019. </w:t>
      </w:r>
      <w:r w:rsidR="008B5DB2" w:rsidRPr="00871C0B">
        <w:rPr>
          <w:rFonts w:ascii="Book Antiqua" w:eastAsia="Book Antiqua" w:hAnsi="Book Antiqua" w:cs="Book Antiqua"/>
          <w:i/>
          <w:iCs/>
          <w:color w:val="000000"/>
          <w:lang w:val="en-GB"/>
        </w:rPr>
        <w:t>Obesity (Silver Spring)</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28</w:t>
      </w:r>
      <w:r w:rsidR="008B5DB2" w:rsidRPr="00871C0B">
        <w:rPr>
          <w:rFonts w:ascii="Book Antiqua" w:eastAsia="Book Antiqua" w:hAnsi="Book Antiqua" w:cs="Book Antiqua"/>
          <w:color w:val="000000"/>
          <w:lang w:val="en-GB"/>
        </w:rPr>
        <w:t>: 1200-1204 [PMID: 32352637 DOI: 10.1002/oby.22859]</w:t>
      </w:r>
    </w:p>
    <w:p w14:paraId="1DB68CF3" w14:textId="4F310B23"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41 </w:t>
      </w:r>
      <w:r w:rsidR="008B5DB2" w:rsidRPr="00871C0B">
        <w:rPr>
          <w:rFonts w:ascii="Book Antiqua" w:eastAsia="Book Antiqua" w:hAnsi="Book Antiqua" w:cs="Book Antiqua"/>
          <w:b/>
          <w:bCs/>
          <w:color w:val="000000"/>
          <w:lang w:val="en-GB"/>
        </w:rPr>
        <w:t>Almond MH</w:t>
      </w:r>
      <w:r w:rsidR="008B5DB2" w:rsidRPr="00871C0B">
        <w:rPr>
          <w:rFonts w:ascii="Book Antiqua" w:eastAsia="Book Antiqua" w:hAnsi="Book Antiqua" w:cs="Book Antiqua"/>
          <w:color w:val="000000"/>
          <w:lang w:val="en-GB"/>
        </w:rPr>
        <w:t xml:space="preserve">, Edwards MR, Barclay WS, Johnston SL. Obesity and susceptibility to severe outcomes following respiratory viral infection. </w:t>
      </w:r>
      <w:r w:rsidR="008B5DB2" w:rsidRPr="00871C0B">
        <w:rPr>
          <w:rFonts w:ascii="Book Antiqua" w:eastAsia="Book Antiqua" w:hAnsi="Book Antiqua" w:cs="Book Antiqua"/>
          <w:i/>
          <w:iCs/>
          <w:color w:val="000000"/>
          <w:lang w:val="en-GB"/>
        </w:rPr>
        <w:t>Thorax</w:t>
      </w:r>
      <w:r w:rsidR="008B5DB2" w:rsidRPr="00871C0B">
        <w:rPr>
          <w:rFonts w:ascii="Book Antiqua" w:eastAsia="Book Antiqua" w:hAnsi="Book Antiqua" w:cs="Book Antiqua"/>
          <w:color w:val="000000"/>
          <w:lang w:val="en-GB"/>
        </w:rPr>
        <w:t xml:space="preserve"> 2013; </w:t>
      </w:r>
      <w:r w:rsidR="008B5DB2" w:rsidRPr="00871C0B">
        <w:rPr>
          <w:rFonts w:ascii="Book Antiqua" w:eastAsia="Book Antiqua" w:hAnsi="Book Antiqua" w:cs="Book Antiqua"/>
          <w:b/>
          <w:bCs/>
          <w:color w:val="000000"/>
          <w:lang w:val="en-GB"/>
        </w:rPr>
        <w:t>68</w:t>
      </w:r>
      <w:r w:rsidR="008B5DB2" w:rsidRPr="00871C0B">
        <w:rPr>
          <w:rFonts w:ascii="Book Antiqua" w:eastAsia="Book Antiqua" w:hAnsi="Book Antiqua" w:cs="Book Antiqua"/>
          <w:color w:val="000000"/>
          <w:lang w:val="en-GB"/>
        </w:rPr>
        <w:t>: 684-686 [PMID: 23436045 DOI: 10.1136/thoraxjnl-2012-203009]</w:t>
      </w:r>
    </w:p>
    <w:p w14:paraId="7F49FEFF" w14:textId="27850E31"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42 </w:t>
      </w:r>
      <w:r w:rsidR="008B5DB2" w:rsidRPr="00871C0B">
        <w:rPr>
          <w:rFonts w:ascii="Book Antiqua" w:eastAsia="Book Antiqua" w:hAnsi="Book Antiqua" w:cs="Book Antiqua"/>
          <w:b/>
          <w:bCs/>
          <w:color w:val="000000"/>
          <w:lang w:val="en-GB"/>
        </w:rPr>
        <w:t>Dixon AE</w:t>
      </w:r>
      <w:r w:rsidR="008B5DB2" w:rsidRPr="00871C0B">
        <w:rPr>
          <w:rFonts w:ascii="Book Antiqua" w:eastAsia="Book Antiqua" w:hAnsi="Book Antiqua" w:cs="Book Antiqua"/>
          <w:color w:val="000000"/>
          <w:lang w:val="en-GB"/>
        </w:rPr>
        <w:t xml:space="preserve">, Peters U. The effect of obesity on lung function. </w:t>
      </w:r>
      <w:r w:rsidR="008B5DB2" w:rsidRPr="00871C0B">
        <w:rPr>
          <w:rFonts w:ascii="Book Antiqua" w:eastAsia="Book Antiqua" w:hAnsi="Book Antiqua" w:cs="Book Antiqua"/>
          <w:i/>
          <w:iCs/>
          <w:color w:val="000000"/>
          <w:lang w:val="en-GB"/>
        </w:rPr>
        <w:t>Expert Rev Respir Med</w:t>
      </w:r>
      <w:r w:rsidR="008B5DB2" w:rsidRPr="00871C0B">
        <w:rPr>
          <w:rFonts w:ascii="Book Antiqua" w:eastAsia="Book Antiqua" w:hAnsi="Book Antiqua" w:cs="Book Antiqua"/>
          <w:color w:val="000000"/>
          <w:lang w:val="en-GB"/>
        </w:rPr>
        <w:t xml:space="preserve"> 2018; </w:t>
      </w:r>
      <w:r w:rsidR="008B5DB2" w:rsidRPr="00871C0B">
        <w:rPr>
          <w:rFonts w:ascii="Book Antiqua" w:eastAsia="Book Antiqua" w:hAnsi="Book Antiqua" w:cs="Book Antiqua"/>
          <w:b/>
          <w:bCs/>
          <w:color w:val="000000"/>
          <w:lang w:val="en-GB"/>
        </w:rPr>
        <w:t>12</w:t>
      </w:r>
      <w:r w:rsidR="008B5DB2" w:rsidRPr="00871C0B">
        <w:rPr>
          <w:rFonts w:ascii="Book Antiqua" w:eastAsia="Book Antiqua" w:hAnsi="Book Antiqua" w:cs="Book Antiqua"/>
          <w:color w:val="000000"/>
          <w:lang w:val="en-GB"/>
        </w:rPr>
        <w:t>: 755-767 [PMID: 30056777 DOI: 10.1080/17476348.2018.1506331]</w:t>
      </w:r>
    </w:p>
    <w:p w14:paraId="54C869BB" w14:textId="367E246D"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43 </w:t>
      </w:r>
      <w:r w:rsidR="008B5DB2" w:rsidRPr="00871C0B">
        <w:rPr>
          <w:rFonts w:ascii="Book Antiqua" w:eastAsia="Book Antiqua" w:hAnsi="Book Antiqua" w:cs="Book Antiqua"/>
          <w:b/>
          <w:bCs/>
          <w:color w:val="000000"/>
          <w:lang w:val="en-GB"/>
        </w:rPr>
        <w:t>Pei G</w:t>
      </w:r>
      <w:r w:rsidR="008B5DB2" w:rsidRPr="00871C0B">
        <w:rPr>
          <w:rFonts w:ascii="Book Antiqua" w:eastAsia="Book Antiqua" w:hAnsi="Book Antiqua" w:cs="Book Antiqua"/>
          <w:color w:val="000000"/>
          <w:lang w:val="en-GB"/>
        </w:rPr>
        <w:t xml:space="preserve">, Zhang Z, Peng J, Liu L, Zhang C, Yu C, Ma Z, Huang Y, Liu W, Yao Y, Zeng R, Xu G. Renal Involvement and Early Prognosis in Patients with COVID-19 Pneumonia. </w:t>
      </w:r>
      <w:r w:rsidR="008B5DB2" w:rsidRPr="00871C0B">
        <w:rPr>
          <w:rFonts w:ascii="Book Antiqua" w:eastAsia="Book Antiqua" w:hAnsi="Book Antiqua" w:cs="Book Antiqua"/>
          <w:i/>
          <w:iCs/>
          <w:color w:val="000000"/>
          <w:lang w:val="en-GB"/>
        </w:rPr>
        <w:t>J Am Soc Nephrol</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31</w:t>
      </w:r>
      <w:r w:rsidR="008B5DB2" w:rsidRPr="00871C0B">
        <w:rPr>
          <w:rFonts w:ascii="Book Antiqua" w:eastAsia="Book Antiqua" w:hAnsi="Book Antiqua" w:cs="Book Antiqua"/>
          <w:color w:val="000000"/>
          <w:lang w:val="en-GB"/>
        </w:rPr>
        <w:t>: 1157-1165 [PMID: 32345702 DOI: 10.1681/ASN.2020030276]</w:t>
      </w:r>
    </w:p>
    <w:p w14:paraId="278D16C2" w14:textId="20482D09"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44 </w:t>
      </w:r>
      <w:r w:rsidR="008B5DB2" w:rsidRPr="00871C0B">
        <w:rPr>
          <w:rFonts w:ascii="Book Antiqua" w:eastAsia="Book Antiqua" w:hAnsi="Book Antiqua" w:cs="Book Antiqua"/>
          <w:b/>
          <w:bCs/>
          <w:color w:val="000000"/>
          <w:lang w:val="en-GB"/>
        </w:rPr>
        <w:t>Hodgson LE</w:t>
      </w:r>
      <w:r w:rsidR="008B5DB2" w:rsidRPr="00871C0B">
        <w:rPr>
          <w:rFonts w:ascii="Book Antiqua" w:eastAsia="Book Antiqua" w:hAnsi="Book Antiqua" w:cs="Book Antiqua"/>
          <w:color w:val="000000"/>
          <w:lang w:val="en-GB"/>
        </w:rPr>
        <w:t xml:space="preserve">, Sarnowski A, Roderick PJ, Dimitrov BD, Venn RM, Forni LG. Systematic review of prognostic prediction models for acute kidney injury (AKI) in general hospital populations. </w:t>
      </w:r>
      <w:r w:rsidR="008B5DB2" w:rsidRPr="00871C0B">
        <w:rPr>
          <w:rFonts w:ascii="Book Antiqua" w:eastAsia="Book Antiqua" w:hAnsi="Book Antiqua" w:cs="Book Antiqua"/>
          <w:i/>
          <w:iCs/>
          <w:color w:val="000000"/>
          <w:lang w:val="en-GB"/>
        </w:rPr>
        <w:t>BMJ Open</w:t>
      </w:r>
      <w:r w:rsidR="008B5DB2" w:rsidRPr="00871C0B">
        <w:rPr>
          <w:rFonts w:ascii="Book Antiqua" w:eastAsia="Book Antiqua" w:hAnsi="Book Antiqua" w:cs="Book Antiqua"/>
          <w:color w:val="000000"/>
          <w:lang w:val="en-GB"/>
        </w:rPr>
        <w:t xml:space="preserve"> 2017; </w:t>
      </w:r>
      <w:r w:rsidR="008B5DB2" w:rsidRPr="00871C0B">
        <w:rPr>
          <w:rFonts w:ascii="Book Antiqua" w:eastAsia="Book Antiqua" w:hAnsi="Book Antiqua" w:cs="Book Antiqua"/>
          <w:b/>
          <w:bCs/>
          <w:color w:val="000000"/>
          <w:lang w:val="en-GB"/>
        </w:rPr>
        <w:t>7</w:t>
      </w:r>
      <w:r w:rsidR="008B5DB2" w:rsidRPr="00871C0B">
        <w:rPr>
          <w:rFonts w:ascii="Book Antiqua" w:eastAsia="Book Antiqua" w:hAnsi="Book Antiqua" w:cs="Book Antiqua"/>
          <w:color w:val="000000"/>
          <w:lang w:val="en-GB"/>
        </w:rPr>
        <w:t>: e016591 [PMID: 28963291 DOI: 10.1136/bmjopen-2017-016591]</w:t>
      </w:r>
    </w:p>
    <w:p w14:paraId="6AAED290" w14:textId="0BF47808"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lastRenderedPageBreak/>
        <w:t xml:space="preserve">45 </w:t>
      </w:r>
      <w:r w:rsidR="008B5DB2" w:rsidRPr="00871C0B">
        <w:rPr>
          <w:rFonts w:ascii="Book Antiqua" w:eastAsia="Book Antiqua" w:hAnsi="Book Antiqua" w:cs="Book Antiqua"/>
          <w:b/>
          <w:bCs/>
          <w:color w:val="000000"/>
          <w:lang w:val="en-GB"/>
        </w:rPr>
        <w:t>Hoffmann M</w:t>
      </w:r>
      <w:r w:rsidR="008B5DB2" w:rsidRPr="00871C0B">
        <w:rPr>
          <w:rFonts w:ascii="Book Antiqua" w:eastAsia="Book Antiqua" w:hAnsi="Book Antiqua" w:cs="Book Antiqua"/>
          <w:color w:val="000000"/>
          <w:lang w:val="en-GB"/>
        </w:rPr>
        <w:t xml:space="preserve">, Kleine-Weber H, Schroeder S, Krüger N, Herrler T, Erichsen S, Schiergens TS, Herrler G, Wu NH, Nitsche A, Müller MA, Drosten C, Pöhlmann S. SARS-CoV-2 Cell Entry Depends on ACE2 and TMPRSS2 and Is Blocked by a Clinically Proven Protease Inhibitor. </w:t>
      </w:r>
      <w:r w:rsidR="008B5DB2" w:rsidRPr="00871C0B">
        <w:rPr>
          <w:rFonts w:ascii="Book Antiqua" w:eastAsia="Book Antiqua" w:hAnsi="Book Antiqua" w:cs="Book Antiqua"/>
          <w:i/>
          <w:iCs/>
          <w:color w:val="000000"/>
          <w:lang w:val="en-GB"/>
        </w:rPr>
        <w:t>Cell</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181</w:t>
      </w:r>
      <w:r w:rsidR="008B5DB2" w:rsidRPr="00871C0B">
        <w:rPr>
          <w:rFonts w:ascii="Book Antiqua" w:eastAsia="Book Antiqua" w:hAnsi="Book Antiqua" w:cs="Book Antiqua"/>
          <w:color w:val="000000"/>
          <w:lang w:val="en-GB"/>
        </w:rPr>
        <w:t>: 271-280.e8 [PMID: 32142651 DOI: 10.1016/j.cell.2020.02.052]</w:t>
      </w:r>
    </w:p>
    <w:p w14:paraId="4FD0C018" w14:textId="3CAD8281"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46 </w:t>
      </w:r>
      <w:r w:rsidR="008B5DB2" w:rsidRPr="00871C0B">
        <w:rPr>
          <w:rFonts w:ascii="Book Antiqua" w:eastAsia="Book Antiqua" w:hAnsi="Book Antiqua" w:cs="Book Antiqua"/>
          <w:b/>
          <w:bCs/>
          <w:color w:val="000000"/>
          <w:lang w:val="en-GB"/>
        </w:rPr>
        <w:t>Yang JK</w:t>
      </w:r>
      <w:r w:rsidR="008B5DB2" w:rsidRPr="00871C0B">
        <w:rPr>
          <w:rFonts w:ascii="Book Antiqua" w:eastAsia="Book Antiqua" w:hAnsi="Book Antiqua" w:cs="Book Antiqua"/>
          <w:color w:val="000000"/>
          <w:lang w:val="en-GB"/>
        </w:rPr>
        <w:t xml:space="preserve">, Lin SS, Ji XJ, Guo LM. Binding of SARS coronavirus to its receptor damages islets and causes acute diabetes. </w:t>
      </w:r>
      <w:r w:rsidR="008B5DB2" w:rsidRPr="00871C0B">
        <w:rPr>
          <w:rFonts w:ascii="Book Antiqua" w:eastAsia="Book Antiqua" w:hAnsi="Book Antiqua" w:cs="Book Antiqua"/>
          <w:i/>
          <w:iCs/>
          <w:color w:val="000000"/>
          <w:lang w:val="en-GB"/>
        </w:rPr>
        <w:t>Acta Diabetol</w:t>
      </w:r>
      <w:r w:rsidR="008B5DB2" w:rsidRPr="00871C0B">
        <w:rPr>
          <w:rFonts w:ascii="Book Antiqua" w:eastAsia="Book Antiqua" w:hAnsi="Book Antiqua" w:cs="Book Antiqua"/>
          <w:color w:val="000000"/>
          <w:lang w:val="en-GB"/>
        </w:rPr>
        <w:t xml:space="preserve"> 2010; </w:t>
      </w:r>
      <w:r w:rsidR="008B5DB2" w:rsidRPr="00871C0B">
        <w:rPr>
          <w:rFonts w:ascii="Book Antiqua" w:eastAsia="Book Antiqua" w:hAnsi="Book Antiqua" w:cs="Book Antiqua"/>
          <w:b/>
          <w:bCs/>
          <w:color w:val="000000"/>
          <w:lang w:val="en-GB"/>
        </w:rPr>
        <w:t>47</w:t>
      </w:r>
      <w:r w:rsidR="008B5DB2" w:rsidRPr="00871C0B">
        <w:rPr>
          <w:rFonts w:ascii="Book Antiqua" w:eastAsia="Book Antiqua" w:hAnsi="Book Antiqua" w:cs="Book Antiqua"/>
          <w:color w:val="000000"/>
          <w:lang w:val="en-GB"/>
        </w:rPr>
        <w:t>: 193-199 [PMID: 19333547 DOI: 10.1007/s00592-009-0109-4]</w:t>
      </w:r>
    </w:p>
    <w:p w14:paraId="16663422" w14:textId="67746029"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47 </w:t>
      </w:r>
      <w:r w:rsidR="008B5DB2" w:rsidRPr="00871C0B">
        <w:rPr>
          <w:rFonts w:ascii="Book Antiqua" w:eastAsia="Book Antiqua" w:hAnsi="Book Antiqua" w:cs="Book Antiqua"/>
          <w:b/>
          <w:bCs/>
          <w:color w:val="000000"/>
          <w:lang w:val="en-GB"/>
        </w:rPr>
        <w:t>Huda MSB</w:t>
      </w:r>
      <w:r w:rsidR="008B5DB2" w:rsidRPr="00871C0B">
        <w:rPr>
          <w:rFonts w:ascii="Book Antiqua" w:eastAsia="Book Antiqua" w:hAnsi="Book Antiqua" w:cs="Book Antiqua"/>
          <w:color w:val="000000"/>
          <w:lang w:val="en-GB"/>
        </w:rPr>
        <w:t xml:space="preserve">, Shaho S, Trivedi B, Fraterrigo G, Chandrarajan L, Zolfaghari P, Dovey TM, Garrett CG, Chowdhury TA. Diabetic emergencies during the COVID-19 pandemic: A case-control study. </w:t>
      </w:r>
      <w:r w:rsidR="008B5DB2" w:rsidRPr="00871C0B">
        <w:rPr>
          <w:rFonts w:ascii="Book Antiqua" w:eastAsia="Book Antiqua" w:hAnsi="Book Antiqua" w:cs="Book Antiqua"/>
          <w:i/>
          <w:iCs/>
          <w:color w:val="000000"/>
          <w:lang w:val="en-GB"/>
        </w:rPr>
        <w:t>Diabet Med</w:t>
      </w:r>
      <w:r w:rsidR="008B5DB2" w:rsidRPr="00871C0B">
        <w:rPr>
          <w:rFonts w:ascii="Book Antiqua" w:eastAsia="Book Antiqua" w:hAnsi="Book Antiqua" w:cs="Book Antiqua"/>
          <w:color w:val="000000"/>
          <w:lang w:val="en-GB"/>
        </w:rPr>
        <w:t xml:space="preserve"> 2021; </w:t>
      </w:r>
      <w:r w:rsidR="008B5DB2" w:rsidRPr="00871C0B">
        <w:rPr>
          <w:rFonts w:ascii="Book Antiqua" w:eastAsia="Book Antiqua" w:hAnsi="Book Antiqua" w:cs="Book Antiqua"/>
          <w:b/>
          <w:bCs/>
          <w:color w:val="000000"/>
          <w:lang w:val="en-GB"/>
        </w:rPr>
        <w:t>38</w:t>
      </w:r>
      <w:r w:rsidR="008B5DB2" w:rsidRPr="00871C0B">
        <w:rPr>
          <w:rFonts w:ascii="Book Antiqua" w:eastAsia="Book Antiqua" w:hAnsi="Book Antiqua" w:cs="Book Antiqua"/>
          <w:color w:val="000000"/>
          <w:lang w:val="en-GB"/>
        </w:rPr>
        <w:t>: e14416 [PMID: 33025636 DOI: 10.1111/dme.14416]</w:t>
      </w:r>
    </w:p>
    <w:p w14:paraId="69EAC6E7" w14:textId="7699E1CD"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48 </w:t>
      </w:r>
      <w:r w:rsidR="008B5DB2" w:rsidRPr="00871C0B">
        <w:rPr>
          <w:rFonts w:ascii="Book Antiqua" w:eastAsia="Book Antiqua" w:hAnsi="Book Antiqua" w:cs="Book Antiqua"/>
          <w:b/>
          <w:bCs/>
          <w:color w:val="000000"/>
          <w:lang w:val="en-GB"/>
        </w:rPr>
        <w:t>Armeni E</w:t>
      </w:r>
      <w:r w:rsidR="008B5DB2" w:rsidRPr="00871C0B">
        <w:rPr>
          <w:rFonts w:ascii="Book Antiqua" w:eastAsia="Book Antiqua" w:hAnsi="Book Antiqua" w:cs="Book Antiqua"/>
          <w:color w:val="000000"/>
          <w:lang w:val="en-GB"/>
        </w:rPr>
        <w:t xml:space="preserve">, Aziz U, Qamar S, Nasir S, Nethaji C, Negus R, Murch N, Beynon HC, Bouloux P, Rosenthal M, Khan S, Yousseif A, Menon R, Karra E. Protracted ketonaemia in hyperglycaemic emergencies in COVID-19: a retrospective case series. </w:t>
      </w:r>
      <w:r w:rsidR="008B5DB2" w:rsidRPr="00871C0B">
        <w:rPr>
          <w:rFonts w:ascii="Book Antiqua" w:eastAsia="Book Antiqua" w:hAnsi="Book Antiqua" w:cs="Book Antiqua"/>
          <w:i/>
          <w:iCs/>
          <w:color w:val="000000"/>
          <w:lang w:val="en-GB"/>
        </w:rPr>
        <w:t>Lancet Diabetes Endocrinol</w:t>
      </w:r>
      <w:r w:rsidR="008B5DB2" w:rsidRPr="00871C0B">
        <w:rPr>
          <w:rFonts w:ascii="Book Antiqua" w:eastAsia="Book Antiqua" w:hAnsi="Book Antiqua" w:cs="Book Antiqua"/>
          <w:color w:val="000000"/>
          <w:lang w:val="en-GB"/>
        </w:rPr>
        <w:t xml:space="preserve"> 2020; </w:t>
      </w:r>
      <w:r w:rsidR="008B5DB2" w:rsidRPr="00871C0B">
        <w:rPr>
          <w:rFonts w:ascii="Book Antiqua" w:eastAsia="Book Antiqua" w:hAnsi="Book Antiqua" w:cs="Book Antiqua"/>
          <w:b/>
          <w:bCs/>
          <w:color w:val="000000"/>
          <w:lang w:val="en-GB"/>
        </w:rPr>
        <w:t>8</w:t>
      </w:r>
      <w:r w:rsidR="008B5DB2" w:rsidRPr="00871C0B">
        <w:rPr>
          <w:rFonts w:ascii="Book Antiqua" w:eastAsia="Book Antiqua" w:hAnsi="Book Antiqua" w:cs="Book Antiqua"/>
          <w:color w:val="000000"/>
          <w:lang w:val="en-GB"/>
        </w:rPr>
        <w:t>: 660-663 [PMID: 32621809 DOI: 10.1016/S2213-8587(20)30221-7]</w:t>
      </w:r>
    </w:p>
    <w:p w14:paraId="6EDD81DA" w14:textId="11A03014"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highlight w:val="yellow"/>
          <w:lang w:val="en-GB"/>
        </w:rPr>
        <w:t xml:space="preserve">49 </w:t>
      </w:r>
      <w:r w:rsidR="008B5DB2" w:rsidRPr="00871C0B">
        <w:rPr>
          <w:rFonts w:ascii="Book Antiqua" w:eastAsia="Book Antiqua" w:hAnsi="Book Antiqua" w:cs="Book Antiqua"/>
          <w:b/>
          <w:bCs/>
          <w:color w:val="000000"/>
          <w:highlight w:val="yellow"/>
          <w:lang w:val="en-GB"/>
        </w:rPr>
        <w:t>World Health Organi</w:t>
      </w:r>
      <w:r w:rsidR="007B15FF" w:rsidRPr="00871C0B">
        <w:rPr>
          <w:rFonts w:ascii="Book Antiqua" w:eastAsia="Book Antiqua" w:hAnsi="Book Antiqua" w:cs="Book Antiqua"/>
          <w:b/>
          <w:bCs/>
          <w:color w:val="000000"/>
          <w:highlight w:val="yellow"/>
          <w:lang w:val="en-GB"/>
        </w:rPr>
        <w:t>z</w:t>
      </w:r>
      <w:r w:rsidR="008B5DB2" w:rsidRPr="00871C0B">
        <w:rPr>
          <w:rFonts w:ascii="Book Antiqua" w:eastAsia="Book Antiqua" w:hAnsi="Book Antiqua" w:cs="Book Antiqua"/>
          <w:b/>
          <w:bCs/>
          <w:color w:val="000000"/>
          <w:highlight w:val="yellow"/>
          <w:lang w:val="en-GB"/>
        </w:rPr>
        <w:t>ation</w:t>
      </w:r>
      <w:r w:rsidR="008B5DB2" w:rsidRPr="00871C0B">
        <w:rPr>
          <w:rFonts w:ascii="Book Antiqua" w:eastAsia="Book Antiqua" w:hAnsi="Book Antiqua" w:cs="Book Antiqua"/>
          <w:color w:val="000000"/>
          <w:highlight w:val="yellow"/>
          <w:lang w:val="en-GB"/>
        </w:rPr>
        <w:t xml:space="preserve">. Health inequality and their causes. </w:t>
      </w:r>
      <w:r w:rsidR="007B15FF" w:rsidRPr="00871C0B">
        <w:rPr>
          <w:rFonts w:ascii="Book Antiqua" w:eastAsia="Book Antiqua" w:hAnsi="Book Antiqua" w:cs="Book Antiqua"/>
          <w:color w:val="000000"/>
          <w:highlight w:val="yellow"/>
          <w:lang w:val="en-GB"/>
        </w:rPr>
        <w:t xml:space="preserve">[cited November 25, 2020]. Available from: </w:t>
      </w:r>
      <w:r w:rsidR="008B5DB2" w:rsidRPr="00871C0B">
        <w:rPr>
          <w:rFonts w:ascii="Book Antiqua" w:eastAsia="Book Antiqua" w:hAnsi="Book Antiqua" w:cs="Book Antiqua"/>
          <w:color w:val="000000"/>
          <w:highlight w:val="yellow"/>
          <w:lang w:val="en-GB"/>
        </w:rPr>
        <w:t>https://www.who.int/news-room/facts-in-pictures/detail/health-inequities-and-their-causes</w:t>
      </w:r>
    </w:p>
    <w:p w14:paraId="42CB84A7" w14:textId="3019B234"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highlight w:val="yellow"/>
          <w:lang w:val="en-GB"/>
        </w:rPr>
        <w:t xml:space="preserve">50 </w:t>
      </w:r>
      <w:r w:rsidR="008B5DB2" w:rsidRPr="00871C0B">
        <w:rPr>
          <w:rFonts w:ascii="Book Antiqua" w:eastAsia="Book Antiqua" w:hAnsi="Book Antiqua" w:cs="Book Antiqua"/>
          <w:b/>
          <w:bCs/>
          <w:color w:val="000000"/>
          <w:highlight w:val="yellow"/>
          <w:lang w:val="en-GB"/>
        </w:rPr>
        <w:t>Public Health England</w:t>
      </w:r>
      <w:r w:rsidR="008B5DB2" w:rsidRPr="00871C0B">
        <w:rPr>
          <w:rFonts w:ascii="Book Antiqua" w:eastAsia="Book Antiqua" w:hAnsi="Book Antiqua" w:cs="Book Antiqua"/>
          <w:color w:val="000000"/>
          <w:highlight w:val="yellow"/>
          <w:lang w:val="en-GB"/>
        </w:rPr>
        <w:t xml:space="preserve">. Health Inequality Resources. </w:t>
      </w:r>
      <w:r w:rsidR="007B15FF" w:rsidRPr="00871C0B">
        <w:rPr>
          <w:rFonts w:ascii="Book Antiqua" w:eastAsia="Book Antiqua" w:hAnsi="Book Antiqua" w:cs="Book Antiqua"/>
          <w:color w:val="000000"/>
          <w:highlight w:val="yellow"/>
          <w:lang w:val="en-GB"/>
        </w:rPr>
        <w:t xml:space="preserve">[cited November 25, 2020]. Available from: </w:t>
      </w:r>
      <w:r w:rsidR="008B5DB2" w:rsidRPr="00871C0B">
        <w:rPr>
          <w:rFonts w:ascii="Book Antiqua" w:eastAsia="Book Antiqua" w:hAnsi="Book Antiqua" w:cs="Book Antiqua"/>
          <w:color w:val="000000"/>
          <w:highlight w:val="yellow"/>
          <w:lang w:val="en-GB"/>
        </w:rPr>
        <w:t>https://www.england.nhs.uk/about/equality/equality-hub/resources/</w:t>
      </w:r>
    </w:p>
    <w:p w14:paraId="14ACC945" w14:textId="64D6406B" w:rsidR="00A77B3E" w:rsidRPr="00871C0B" w:rsidRDefault="007C3CD1" w:rsidP="00871C0B">
      <w:pPr>
        <w:spacing w:line="360" w:lineRule="auto"/>
        <w:jc w:val="both"/>
        <w:rPr>
          <w:rFonts w:ascii="Book Antiqua" w:hAnsi="Book Antiqua"/>
          <w:lang w:val="en-GB"/>
        </w:rPr>
      </w:pPr>
      <w:r w:rsidRPr="00871C0B">
        <w:rPr>
          <w:rFonts w:ascii="Book Antiqua" w:eastAsia="Book Antiqua" w:hAnsi="Book Antiqua" w:cs="Book Antiqua"/>
          <w:color w:val="000000"/>
          <w:highlight w:val="yellow"/>
          <w:lang w:val="en-GB"/>
        </w:rPr>
        <w:t xml:space="preserve">51 </w:t>
      </w:r>
      <w:r w:rsidR="008B5DB2" w:rsidRPr="00871C0B">
        <w:rPr>
          <w:rFonts w:ascii="Book Antiqua" w:eastAsia="Book Antiqua" w:hAnsi="Book Antiqua" w:cs="Book Antiqua"/>
          <w:b/>
          <w:bCs/>
          <w:color w:val="000000"/>
          <w:highlight w:val="yellow"/>
          <w:lang w:val="en-GB"/>
        </w:rPr>
        <w:t>Allen J</w:t>
      </w:r>
      <w:r w:rsidR="007B15FF" w:rsidRPr="00871C0B">
        <w:rPr>
          <w:rFonts w:ascii="Book Antiqua" w:eastAsia="Book Antiqua" w:hAnsi="Book Antiqua" w:cs="Book Antiqua"/>
          <w:b/>
          <w:bCs/>
          <w:color w:val="000000"/>
          <w:highlight w:val="yellow"/>
          <w:lang w:val="en-GB"/>
        </w:rPr>
        <w:t xml:space="preserve"> MM</w:t>
      </w:r>
      <w:r w:rsidR="008B5DB2" w:rsidRPr="00871C0B">
        <w:rPr>
          <w:rFonts w:ascii="Book Antiqua" w:eastAsia="Book Antiqua" w:hAnsi="Book Antiqua" w:cs="Book Antiqua"/>
          <w:color w:val="000000"/>
          <w:highlight w:val="yellow"/>
          <w:lang w:val="en-GB"/>
        </w:rPr>
        <w:t xml:space="preserve">, Goldblatt P, Boyce T, McNeish D, Grady M. Geddes I. Fair Society, healthy lives: The Marmot Review. 2010. </w:t>
      </w:r>
      <w:r w:rsidR="007B15FF" w:rsidRPr="00871C0B">
        <w:rPr>
          <w:rFonts w:ascii="Book Antiqua" w:eastAsia="Book Antiqua" w:hAnsi="Book Antiqua" w:cs="Book Antiqua"/>
          <w:color w:val="000000"/>
          <w:highlight w:val="yellow"/>
          <w:lang w:val="en-GB"/>
        </w:rPr>
        <w:t xml:space="preserve">[cited November 25, 2020]. Available from: </w:t>
      </w:r>
      <w:r w:rsidR="008B5DB2" w:rsidRPr="00871C0B">
        <w:rPr>
          <w:rFonts w:ascii="Book Antiqua" w:eastAsia="Book Antiqua" w:hAnsi="Book Antiqua" w:cs="Book Antiqua"/>
          <w:color w:val="000000"/>
          <w:highlight w:val="yellow"/>
          <w:lang w:val="en-GB"/>
        </w:rPr>
        <w:t>http://www.instituteofhealthequity.org/resources-reports/fair-society-healthy-lives-the-marmot-review/fair-society-healthy-lives-full-report-pdf.pdf</w:t>
      </w:r>
    </w:p>
    <w:p w14:paraId="43B2244C" w14:textId="77777777" w:rsidR="00A77B3E" w:rsidRPr="00871C0B" w:rsidRDefault="00A77B3E" w:rsidP="00871C0B">
      <w:pPr>
        <w:spacing w:line="360" w:lineRule="auto"/>
        <w:jc w:val="both"/>
        <w:rPr>
          <w:rFonts w:ascii="Book Antiqua" w:hAnsi="Book Antiqua"/>
          <w:lang w:val="en-GB"/>
        </w:rPr>
        <w:sectPr w:rsidR="00A77B3E" w:rsidRPr="00871C0B" w:rsidSect="00871C0B">
          <w:pgSz w:w="12240" w:h="15840"/>
          <w:pgMar w:top="1440" w:right="1440" w:bottom="1440" w:left="1440" w:header="720" w:footer="720" w:gutter="0"/>
          <w:cols w:space="720"/>
          <w:docGrid w:linePitch="360"/>
        </w:sectPr>
      </w:pPr>
    </w:p>
    <w:p w14:paraId="24275559"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lastRenderedPageBreak/>
        <w:t>Footnotes</w:t>
      </w:r>
    </w:p>
    <w:p w14:paraId="1401F3BA"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Conflict-of-interest statement: </w:t>
      </w:r>
      <w:r w:rsidRPr="00871C0B">
        <w:rPr>
          <w:rFonts w:ascii="Book Antiqua" w:eastAsia="Book Antiqua" w:hAnsi="Book Antiqua" w:cs="Book Antiqua"/>
          <w:color w:val="000000"/>
          <w:lang w:val="en-GB"/>
        </w:rPr>
        <w:t>The author declares no conflicts of interest.</w:t>
      </w:r>
    </w:p>
    <w:p w14:paraId="29EFE97C" w14:textId="77777777" w:rsidR="00A77B3E" w:rsidRPr="00871C0B" w:rsidRDefault="00A77B3E" w:rsidP="00871C0B">
      <w:pPr>
        <w:spacing w:line="360" w:lineRule="auto"/>
        <w:jc w:val="both"/>
        <w:rPr>
          <w:rFonts w:ascii="Book Antiqua" w:hAnsi="Book Antiqua"/>
          <w:lang w:val="en-GB"/>
        </w:rPr>
      </w:pPr>
    </w:p>
    <w:p w14:paraId="73DCF563"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Open-Access: </w:t>
      </w:r>
      <w:r w:rsidRPr="00871C0B">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BED1C5" w14:textId="77777777" w:rsidR="00A77B3E" w:rsidRPr="00871C0B" w:rsidRDefault="00A77B3E" w:rsidP="00871C0B">
      <w:pPr>
        <w:spacing w:line="360" w:lineRule="auto"/>
        <w:jc w:val="both"/>
        <w:rPr>
          <w:rFonts w:ascii="Book Antiqua" w:hAnsi="Book Antiqua"/>
          <w:lang w:val="en-GB"/>
        </w:rPr>
      </w:pPr>
    </w:p>
    <w:p w14:paraId="798267AD"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Manuscript source: </w:t>
      </w:r>
      <w:r w:rsidRPr="00871C0B">
        <w:rPr>
          <w:rFonts w:ascii="Book Antiqua" w:eastAsia="Book Antiqua" w:hAnsi="Book Antiqua" w:cs="Book Antiqua"/>
          <w:color w:val="000000"/>
          <w:lang w:val="en-GB"/>
        </w:rPr>
        <w:t>Invited</w:t>
      </w:r>
      <w:r w:rsidR="00D2213D" w:rsidRPr="00871C0B">
        <w:rPr>
          <w:rFonts w:ascii="Book Antiqua" w:eastAsia="Book Antiqua" w:hAnsi="Book Antiqua" w:cs="Book Antiqua"/>
          <w:color w:val="000000"/>
          <w:lang w:val="en-GB"/>
        </w:rPr>
        <w:t xml:space="preserve"> ma</w:t>
      </w:r>
      <w:r w:rsidRPr="00871C0B">
        <w:rPr>
          <w:rFonts w:ascii="Book Antiqua" w:eastAsia="Book Antiqua" w:hAnsi="Book Antiqua" w:cs="Book Antiqua"/>
          <w:color w:val="000000"/>
          <w:lang w:val="en-GB"/>
        </w:rPr>
        <w:t>nuscript</w:t>
      </w:r>
    </w:p>
    <w:p w14:paraId="1AD05475" w14:textId="77777777" w:rsidR="00A77B3E" w:rsidRPr="00871C0B" w:rsidRDefault="00A77B3E" w:rsidP="00871C0B">
      <w:pPr>
        <w:spacing w:line="360" w:lineRule="auto"/>
        <w:jc w:val="both"/>
        <w:rPr>
          <w:rFonts w:ascii="Book Antiqua" w:hAnsi="Book Antiqua"/>
          <w:lang w:val="en-GB"/>
        </w:rPr>
      </w:pPr>
    </w:p>
    <w:p w14:paraId="4544C2AD"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Peer-review started: </w:t>
      </w:r>
      <w:r w:rsidRPr="00871C0B">
        <w:rPr>
          <w:rFonts w:ascii="Book Antiqua" w:eastAsia="Book Antiqua" w:hAnsi="Book Antiqua" w:cs="Book Antiqua"/>
          <w:color w:val="000000"/>
          <w:lang w:val="en-GB"/>
        </w:rPr>
        <w:t>November 26, 2020</w:t>
      </w:r>
    </w:p>
    <w:p w14:paraId="79ED4D32"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First decision: </w:t>
      </w:r>
      <w:r w:rsidRPr="00871C0B">
        <w:rPr>
          <w:rFonts w:ascii="Book Antiqua" w:eastAsia="Book Antiqua" w:hAnsi="Book Antiqua" w:cs="Book Antiqua"/>
          <w:color w:val="000000"/>
          <w:lang w:val="en-GB"/>
        </w:rPr>
        <w:t>December 20, 2020</w:t>
      </w:r>
    </w:p>
    <w:p w14:paraId="1FB77C04"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Article in press: </w:t>
      </w:r>
    </w:p>
    <w:p w14:paraId="5D1D5AE0" w14:textId="77777777" w:rsidR="00A77B3E" w:rsidRPr="00871C0B" w:rsidRDefault="00A77B3E" w:rsidP="00871C0B">
      <w:pPr>
        <w:spacing w:line="360" w:lineRule="auto"/>
        <w:jc w:val="both"/>
        <w:rPr>
          <w:rFonts w:ascii="Book Antiqua" w:hAnsi="Book Antiqua"/>
          <w:lang w:val="en-GB"/>
        </w:rPr>
      </w:pPr>
    </w:p>
    <w:p w14:paraId="4A3430C5"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Specialty type: </w:t>
      </w:r>
      <w:r w:rsidR="00D2213D" w:rsidRPr="00871C0B">
        <w:rPr>
          <w:rFonts w:ascii="Book Antiqua" w:eastAsia="Microsoft YaHei" w:hAnsi="Book Antiqua" w:cs="SimSun"/>
          <w:lang w:val="en-GB"/>
        </w:rPr>
        <w:t>Endocrinology and metabolism</w:t>
      </w:r>
    </w:p>
    <w:p w14:paraId="4F3FD6E6"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Country/Territory of origin: </w:t>
      </w:r>
      <w:r w:rsidRPr="00871C0B">
        <w:rPr>
          <w:rFonts w:ascii="Book Antiqua" w:eastAsia="Book Antiqua" w:hAnsi="Book Antiqua" w:cs="Book Antiqua"/>
          <w:color w:val="000000"/>
          <w:lang w:val="en-GB"/>
        </w:rPr>
        <w:t>United Kingdom</w:t>
      </w:r>
    </w:p>
    <w:p w14:paraId="5F240D85"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Peer-review report’s scientific quality classification</w:t>
      </w:r>
    </w:p>
    <w:p w14:paraId="05278A9A"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Grade A (Excellent): A</w:t>
      </w:r>
    </w:p>
    <w:p w14:paraId="58FCDCE8"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Grade B (Very good): 0</w:t>
      </w:r>
    </w:p>
    <w:p w14:paraId="77B39B80" w14:textId="32C4679F"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Grade C (Good): C</w:t>
      </w:r>
      <w:r w:rsidR="0094448C" w:rsidRPr="00871C0B">
        <w:rPr>
          <w:rFonts w:ascii="Book Antiqua" w:eastAsia="Book Antiqua" w:hAnsi="Book Antiqua" w:cs="Book Antiqua"/>
          <w:color w:val="000000"/>
          <w:lang w:val="en-GB"/>
        </w:rPr>
        <w:t>, C</w:t>
      </w:r>
    </w:p>
    <w:p w14:paraId="40617AEE"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Grade D (Fair): D</w:t>
      </w:r>
      <w:r w:rsidR="003A1D00" w:rsidRPr="00871C0B">
        <w:rPr>
          <w:rFonts w:ascii="Book Antiqua" w:eastAsia="Book Antiqua" w:hAnsi="Book Antiqua" w:cs="Book Antiqua"/>
          <w:color w:val="000000"/>
          <w:lang w:val="en-GB"/>
        </w:rPr>
        <w:t>, D</w:t>
      </w:r>
    </w:p>
    <w:p w14:paraId="76B5D8FF"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Grade E (Poor): 0</w:t>
      </w:r>
    </w:p>
    <w:p w14:paraId="395294FD" w14:textId="77777777" w:rsidR="00A77B3E" w:rsidRPr="00871C0B" w:rsidRDefault="00A77B3E" w:rsidP="00871C0B">
      <w:pPr>
        <w:spacing w:line="360" w:lineRule="auto"/>
        <w:jc w:val="both"/>
        <w:rPr>
          <w:rFonts w:ascii="Book Antiqua" w:hAnsi="Book Antiqua"/>
          <w:lang w:val="en-GB"/>
        </w:rPr>
      </w:pPr>
    </w:p>
    <w:p w14:paraId="302A8C8C" w14:textId="5B84B628" w:rsidR="001875D2" w:rsidRPr="00871C0B" w:rsidRDefault="008B5DB2" w:rsidP="00871C0B">
      <w:pPr>
        <w:spacing w:line="360" w:lineRule="auto"/>
        <w:jc w:val="both"/>
        <w:rPr>
          <w:rFonts w:ascii="Book Antiqua" w:eastAsia="Book Antiqua" w:hAnsi="Book Antiqua" w:cs="Book Antiqua"/>
          <w:b/>
          <w:color w:val="000000"/>
          <w:lang w:val="en-GB"/>
        </w:rPr>
      </w:pPr>
      <w:r w:rsidRPr="00871C0B">
        <w:rPr>
          <w:rFonts w:ascii="Book Antiqua" w:eastAsia="Book Antiqua" w:hAnsi="Book Antiqua" w:cs="Book Antiqua"/>
          <w:b/>
          <w:color w:val="000000"/>
          <w:lang w:val="en-GB"/>
        </w:rPr>
        <w:t xml:space="preserve">P-Reviewer: </w:t>
      </w:r>
      <w:r w:rsidRPr="00871C0B">
        <w:rPr>
          <w:rFonts w:ascii="Book Antiqua" w:eastAsia="Book Antiqua" w:hAnsi="Book Antiqua" w:cs="Book Antiqua"/>
          <w:color w:val="000000"/>
          <w:lang w:val="en-GB"/>
        </w:rPr>
        <w:t xml:space="preserve">Aguado A, Infante M, </w:t>
      </w:r>
      <w:r w:rsidR="0094448C" w:rsidRPr="00871C0B">
        <w:rPr>
          <w:rFonts w:ascii="Book Antiqua" w:hAnsi="Book Antiqua"/>
          <w:lang w:val="en-GB"/>
        </w:rPr>
        <w:t>Navarro-González</w:t>
      </w:r>
      <w:r w:rsidR="0094448C" w:rsidRPr="00871C0B">
        <w:rPr>
          <w:rFonts w:ascii="Book Antiqua" w:eastAsia="Book Antiqua" w:hAnsi="Book Antiqua" w:cs="Book Antiqua"/>
          <w:color w:val="000000"/>
          <w:lang w:val="en-GB"/>
        </w:rPr>
        <w:t xml:space="preserve"> JF, </w:t>
      </w:r>
      <w:r w:rsidRPr="00871C0B">
        <w:rPr>
          <w:rFonts w:ascii="Book Antiqua" w:eastAsia="Book Antiqua" w:hAnsi="Book Antiqua" w:cs="Book Antiqua"/>
          <w:color w:val="000000"/>
          <w:lang w:val="en-GB"/>
        </w:rPr>
        <w:t>Sun X</w:t>
      </w:r>
      <w:r w:rsidRPr="00871C0B">
        <w:rPr>
          <w:rFonts w:ascii="Book Antiqua" w:eastAsia="Book Antiqua" w:hAnsi="Book Antiqua" w:cs="Book Antiqua"/>
          <w:b/>
          <w:color w:val="000000"/>
          <w:lang w:val="en-GB"/>
        </w:rPr>
        <w:t xml:space="preserve"> S-Editor: </w:t>
      </w:r>
      <w:r w:rsidRPr="00871C0B">
        <w:rPr>
          <w:rFonts w:ascii="Book Antiqua" w:eastAsia="Book Antiqua" w:hAnsi="Book Antiqua" w:cs="Book Antiqua"/>
          <w:color w:val="000000"/>
          <w:lang w:val="en-GB"/>
        </w:rPr>
        <w:t>Gao CC</w:t>
      </w:r>
      <w:r w:rsidRPr="00871C0B">
        <w:rPr>
          <w:rFonts w:ascii="Book Antiqua" w:eastAsia="Book Antiqua" w:hAnsi="Book Antiqua" w:cs="Book Antiqua"/>
          <w:b/>
          <w:color w:val="000000"/>
          <w:lang w:val="en-GB"/>
        </w:rPr>
        <w:t xml:space="preserve"> L-Editor: </w:t>
      </w:r>
      <w:r w:rsidR="0044715B" w:rsidRPr="00871C0B">
        <w:rPr>
          <w:rFonts w:ascii="Book Antiqua" w:eastAsia="Book Antiqua" w:hAnsi="Book Antiqua" w:cs="Book Antiqua"/>
          <w:bCs/>
          <w:color w:val="000000"/>
          <w:lang w:val="en-GB"/>
        </w:rPr>
        <w:t xml:space="preserve">Filipodia </w:t>
      </w:r>
      <w:r w:rsidRPr="00871C0B">
        <w:rPr>
          <w:rFonts w:ascii="Book Antiqua" w:eastAsia="Book Antiqua" w:hAnsi="Book Antiqua" w:cs="Book Antiqua"/>
          <w:b/>
          <w:color w:val="000000"/>
          <w:lang w:val="en-GB"/>
        </w:rPr>
        <w:t xml:space="preserve">P-Editor: </w:t>
      </w:r>
    </w:p>
    <w:p w14:paraId="6B5E9A25" w14:textId="23EBC6A9" w:rsidR="00052709" w:rsidRPr="00871C0B" w:rsidRDefault="001875D2" w:rsidP="00871C0B">
      <w:pPr>
        <w:spacing w:line="360" w:lineRule="auto"/>
        <w:jc w:val="both"/>
        <w:rPr>
          <w:rFonts w:ascii="Book Antiqua" w:eastAsia="Book Antiqua" w:hAnsi="Book Antiqua" w:cs="Book Antiqua"/>
          <w:b/>
          <w:color w:val="000000"/>
          <w:lang w:val="en-GB"/>
        </w:rPr>
      </w:pPr>
      <w:r w:rsidRPr="00871C0B">
        <w:rPr>
          <w:rFonts w:ascii="Book Antiqua" w:eastAsia="Book Antiqua" w:hAnsi="Book Antiqua" w:cs="Book Antiqua"/>
          <w:b/>
          <w:color w:val="000000"/>
          <w:lang w:val="en-GB"/>
        </w:rPr>
        <w:br w:type="page"/>
      </w:r>
    </w:p>
    <w:p w14:paraId="274C5BA1" w14:textId="279DD214" w:rsidR="00052709" w:rsidRPr="00871C0B" w:rsidRDefault="00052709" w:rsidP="00871C0B">
      <w:pPr>
        <w:spacing w:line="360" w:lineRule="auto"/>
        <w:jc w:val="both"/>
        <w:rPr>
          <w:rFonts w:ascii="Book Antiqua" w:hAnsi="Book Antiqua" w:cs="Calibri"/>
          <w:b/>
          <w:lang w:val="en-GB"/>
        </w:rPr>
      </w:pPr>
      <w:r w:rsidRPr="00871C0B">
        <w:rPr>
          <w:rFonts w:ascii="Book Antiqua" w:hAnsi="Book Antiqua" w:cs="Calibri"/>
          <w:b/>
          <w:lang w:val="en-GB"/>
        </w:rPr>
        <w:lastRenderedPageBreak/>
        <w:t>Table 1</w:t>
      </w:r>
      <w:r w:rsidR="008138F0" w:rsidRPr="00871C0B">
        <w:rPr>
          <w:rFonts w:ascii="Book Antiqua" w:hAnsi="Book Antiqua" w:cs="Calibri"/>
          <w:b/>
          <w:lang w:val="en-GB"/>
        </w:rPr>
        <w:t xml:space="preserve"> </w:t>
      </w:r>
      <w:r w:rsidRPr="00871C0B">
        <w:rPr>
          <w:rFonts w:ascii="Book Antiqua" w:hAnsi="Book Antiqua" w:cs="Calibri"/>
          <w:b/>
          <w:lang w:val="en-GB"/>
        </w:rPr>
        <w:t xml:space="preserve">Common risk factors for diabetes and adverse outcomes of </w:t>
      </w:r>
      <w:r w:rsidR="008138F0" w:rsidRPr="00871C0B">
        <w:rPr>
          <w:rFonts w:ascii="Book Antiqua" w:hAnsi="Book Antiqua" w:cs="Calibri"/>
          <w:b/>
          <w:lang w:val="en-GB"/>
        </w:rPr>
        <w:t>coronavirus disease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1"/>
      </w:tblGrid>
      <w:tr w:rsidR="008138F0" w:rsidRPr="00871C0B" w14:paraId="2DDABE86" w14:textId="77777777" w:rsidTr="00307ABC">
        <w:trPr>
          <w:trHeight w:val="460"/>
        </w:trPr>
        <w:tc>
          <w:tcPr>
            <w:tcW w:w="7181" w:type="dxa"/>
            <w:tcBorders>
              <w:top w:val="single" w:sz="4" w:space="0" w:color="auto"/>
              <w:bottom w:val="single" w:sz="4" w:space="0" w:color="auto"/>
            </w:tcBorders>
          </w:tcPr>
          <w:p w14:paraId="75BEA55C" w14:textId="6A0FBF75" w:rsidR="008138F0" w:rsidRPr="00871C0B" w:rsidRDefault="008138F0" w:rsidP="00871C0B">
            <w:pPr>
              <w:spacing w:line="360" w:lineRule="auto"/>
              <w:jc w:val="both"/>
              <w:rPr>
                <w:rFonts w:ascii="Book Antiqua" w:eastAsia="Book Antiqua" w:hAnsi="Book Antiqua" w:cs="Book Antiqua"/>
                <w:b/>
                <w:color w:val="000000"/>
                <w:lang w:val="en-GB"/>
              </w:rPr>
            </w:pPr>
            <w:r w:rsidRPr="00871C0B">
              <w:rPr>
                <w:rFonts w:ascii="Book Antiqua" w:hAnsi="Book Antiqua" w:cs="Calibri"/>
                <w:b/>
                <w:lang w:val="en-GB"/>
              </w:rPr>
              <w:t>Common risk factors</w:t>
            </w:r>
          </w:p>
        </w:tc>
      </w:tr>
      <w:tr w:rsidR="008138F0" w:rsidRPr="00871C0B" w14:paraId="160996B0" w14:textId="77777777" w:rsidTr="00307ABC">
        <w:trPr>
          <w:trHeight w:val="460"/>
        </w:trPr>
        <w:tc>
          <w:tcPr>
            <w:tcW w:w="7181" w:type="dxa"/>
            <w:tcBorders>
              <w:top w:val="single" w:sz="4" w:space="0" w:color="auto"/>
            </w:tcBorders>
          </w:tcPr>
          <w:p w14:paraId="3BCBD726" w14:textId="48AB38B0" w:rsidR="008138F0" w:rsidRPr="00871C0B" w:rsidRDefault="008138F0" w:rsidP="00871C0B">
            <w:pPr>
              <w:spacing w:line="360" w:lineRule="auto"/>
              <w:jc w:val="both"/>
              <w:rPr>
                <w:rFonts w:ascii="Book Antiqua" w:eastAsia="Book Antiqua" w:hAnsi="Book Antiqua" w:cs="Book Antiqua"/>
                <w:bCs/>
                <w:color w:val="000000"/>
                <w:lang w:val="en-GB"/>
              </w:rPr>
            </w:pPr>
            <w:r w:rsidRPr="00871C0B">
              <w:rPr>
                <w:rFonts w:ascii="Book Antiqua" w:eastAsia="Book Antiqua" w:hAnsi="Book Antiqua" w:cs="Book Antiqua"/>
                <w:bCs/>
                <w:color w:val="000000"/>
                <w:lang w:val="en-GB"/>
              </w:rPr>
              <w:t>Hypertension</w:t>
            </w:r>
          </w:p>
        </w:tc>
      </w:tr>
      <w:tr w:rsidR="008138F0" w:rsidRPr="00871C0B" w14:paraId="10F51AB7" w14:textId="77777777" w:rsidTr="00307ABC">
        <w:trPr>
          <w:trHeight w:val="474"/>
        </w:trPr>
        <w:tc>
          <w:tcPr>
            <w:tcW w:w="7181" w:type="dxa"/>
          </w:tcPr>
          <w:p w14:paraId="08E6952A" w14:textId="1587646A" w:rsidR="008138F0" w:rsidRPr="00871C0B" w:rsidRDefault="008138F0" w:rsidP="00871C0B">
            <w:pPr>
              <w:spacing w:line="360" w:lineRule="auto"/>
              <w:jc w:val="both"/>
              <w:rPr>
                <w:rFonts w:ascii="Book Antiqua" w:hAnsi="Book Antiqua" w:cs="Calibri"/>
                <w:lang w:val="en-GB"/>
              </w:rPr>
            </w:pPr>
            <w:r w:rsidRPr="00871C0B">
              <w:rPr>
                <w:rFonts w:ascii="Book Antiqua" w:hAnsi="Book Antiqua" w:cs="Calibri"/>
                <w:lang w:val="en-GB"/>
              </w:rPr>
              <w:t>Obesity</w:t>
            </w:r>
          </w:p>
        </w:tc>
      </w:tr>
      <w:tr w:rsidR="008138F0" w:rsidRPr="00871C0B" w14:paraId="1B8E8CD0" w14:textId="77777777" w:rsidTr="00307ABC">
        <w:trPr>
          <w:trHeight w:val="474"/>
        </w:trPr>
        <w:tc>
          <w:tcPr>
            <w:tcW w:w="7181" w:type="dxa"/>
          </w:tcPr>
          <w:p w14:paraId="260EA9A3" w14:textId="0623FDFE" w:rsidR="008138F0" w:rsidRPr="00871C0B" w:rsidRDefault="008138F0" w:rsidP="00871C0B">
            <w:pPr>
              <w:spacing w:line="360" w:lineRule="auto"/>
              <w:jc w:val="both"/>
              <w:rPr>
                <w:rFonts w:ascii="Book Antiqua" w:hAnsi="Book Antiqua" w:cs="Calibri"/>
                <w:lang w:val="en-GB"/>
              </w:rPr>
            </w:pPr>
            <w:r w:rsidRPr="00871C0B">
              <w:rPr>
                <w:rFonts w:ascii="Book Antiqua" w:hAnsi="Book Antiqua" w:cs="Calibri"/>
                <w:lang w:val="en-GB"/>
              </w:rPr>
              <w:t>Glucose intolerance</w:t>
            </w:r>
          </w:p>
        </w:tc>
      </w:tr>
      <w:tr w:rsidR="008138F0" w:rsidRPr="00871C0B" w14:paraId="519F7D75" w14:textId="77777777" w:rsidTr="00307ABC">
        <w:trPr>
          <w:trHeight w:val="460"/>
        </w:trPr>
        <w:tc>
          <w:tcPr>
            <w:tcW w:w="7181" w:type="dxa"/>
          </w:tcPr>
          <w:p w14:paraId="46BCBCB0" w14:textId="0D4D08A8" w:rsidR="008138F0" w:rsidRPr="00871C0B" w:rsidRDefault="008138F0" w:rsidP="00871C0B">
            <w:pPr>
              <w:spacing w:line="360" w:lineRule="auto"/>
              <w:jc w:val="both"/>
              <w:rPr>
                <w:rFonts w:ascii="Book Antiqua" w:hAnsi="Book Antiqua" w:cs="Calibri"/>
                <w:lang w:val="en-GB"/>
              </w:rPr>
            </w:pPr>
            <w:r w:rsidRPr="00871C0B">
              <w:rPr>
                <w:rFonts w:ascii="Book Antiqua" w:hAnsi="Book Antiqua" w:cs="Calibri"/>
                <w:lang w:val="en-GB"/>
              </w:rPr>
              <w:t>Non-</w:t>
            </w:r>
            <w:r w:rsidR="008E43A4">
              <w:rPr>
                <w:rFonts w:ascii="Book Antiqua" w:hAnsi="Book Antiqua" w:cs="Calibri"/>
                <w:lang w:val="en-GB"/>
              </w:rPr>
              <w:t>W</w:t>
            </w:r>
            <w:r w:rsidRPr="00871C0B">
              <w:rPr>
                <w:rFonts w:ascii="Book Antiqua" w:hAnsi="Book Antiqua" w:cs="Calibri"/>
                <w:lang w:val="en-GB"/>
              </w:rPr>
              <w:t>hite ethnicity</w:t>
            </w:r>
          </w:p>
        </w:tc>
      </w:tr>
      <w:tr w:rsidR="008138F0" w:rsidRPr="00871C0B" w14:paraId="13C99742" w14:textId="77777777" w:rsidTr="00307ABC">
        <w:trPr>
          <w:trHeight w:val="474"/>
        </w:trPr>
        <w:tc>
          <w:tcPr>
            <w:tcW w:w="7181" w:type="dxa"/>
          </w:tcPr>
          <w:p w14:paraId="6E9CE351" w14:textId="2E3AC08B" w:rsidR="008138F0" w:rsidRPr="00871C0B" w:rsidRDefault="008138F0" w:rsidP="00871C0B">
            <w:pPr>
              <w:spacing w:line="360" w:lineRule="auto"/>
              <w:jc w:val="both"/>
              <w:rPr>
                <w:rFonts w:ascii="Book Antiqua" w:hAnsi="Book Antiqua" w:cs="Calibri"/>
                <w:lang w:val="en-GB"/>
              </w:rPr>
            </w:pPr>
            <w:r w:rsidRPr="00871C0B">
              <w:rPr>
                <w:rFonts w:ascii="Book Antiqua" w:hAnsi="Book Antiqua" w:cs="Calibri"/>
                <w:lang w:val="en-GB"/>
              </w:rPr>
              <w:t>Lower socioeconomic status</w:t>
            </w:r>
          </w:p>
        </w:tc>
      </w:tr>
      <w:tr w:rsidR="008138F0" w:rsidRPr="00871C0B" w14:paraId="570BF4F2" w14:textId="77777777" w:rsidTr="00307ABC">
        <w:trPr>
          <w:trHeight w:val="474"/>
        </w:trPr>
        <w:tc>
          <w:tcPr>
            <w:tcW w:w="7181" w:type="dxa"/>
          </w:tcPr>
          <w:p w14:paraId="37BC8A21" w14:textId="1EF953AA" w:rsidR="008138F0" w:rsidRPr="00871C0B" w:rsidRDefault="008138F0" w:rsidP="00871C0B">
            <w:pPr>
              <w:spacing w:line="360" w:lineRule="auto"/>
              <w:jc w:val="both"/>
              <w:rPr>
                <w:rFonts w:ascii="Book Antiqua" w:hAnsi="Book Antiqua" w:cs="Calibri"/>
                <w:lang w:val="en-GB"/>
              </w:rPr>
            </w:pPr>
            <w:r w:rsidRPr="00871C0B">
              <w:rPr>
                <w:rFonts w:ascii="Book Antiqua" w:hAnsi="Book Antiqua" w:cs="Calibri"/>
                <w:lang w:val="en-GB"/>
              </w:rPr>
              <w:t>Cancer</w:t>
            </w:r>
          </w:p>
        </w:tc>
      </w:tr>
      <w:tr w:rsidR="008138F0" w:rsidRPr="00871C0B" w14:paraId="7E1517F0" w14:textId="77777777" w:rsidTr="00307ABC">
        <w:trPr>
          <w:trHeight w:val="474"/>
        </w:trPr>
        <w:tc>
          <w:tcPr>
            <w:tcW w:w="7181" w:type="dxa"/>
            <w:tcBorders>
              <w:bottom w:val="single" w:sz="4" w:space="0" w:color="auto"/>
            </w:tcBorders>
          </w:tcPr>
          <w:p w14:paraId="00C0C368" w14:textId="5E0B58F4" w:rsidR="008138F0" w:rsidRPr="00871C0B" w:rsidRDefault="008138F0" w:rsidP="00871C0B">
            <w:pPr>
              <w:spacing w:line="360" w:lineRule="auto"/>
              <w:jc w:val="both"/>
              <w:rPr>
                <w:rFonts w:ascii="Book Antiqua" w:hAnsi="Book Antiqua" w:cs="Calibri"/>
                <w:lang w:val="en-GB"/>
              </w:rPr>
            </w:pPr>
            <w:r w:rsidRPr="00871C0B">
              <w:rPr>
                <w:rFonts w:ascii="Book Antiqua" w:hAnsi="Book Antiqua" w:cs="Calibri"/>
                <w:lang w:val="en-GB"/>
              </w:rPr>
              <w:t>Chronic kidney disease</w:t>
            </w:r>
          </w:p>
        </w:tc>
      </w:tr>
    </w:tbl>
    <w:p w14:paraId="3CD90EB1" w14:textId="77777777" w:rsidR="008138F0" w:rsidRPr="00871C0B" w:rsidRDefault="008138F0" w:rsidP="00871C0B">
      <w:pPr>
        <w:spacing w:line="360" w:lineRule="auto"/>
        <w:jc w:val="both"/>
        <w:rPr>
          <w:rFonts w:ascii="Book Antiqua" w:eastAsia="Book Antiqua" w:hAnsi="Book Antiqua" w:cs="Book Antiqua"/>
          <w:b/>
          <w:color w:val="000000"/>
          <w:lang w:val="en-GB"/>
        </w:rPr>
      </w:pPr>
      <w:r w:rsidRPr="00871C0B">
        <w:rPr>
          <w:rFonts w:ascii="Book Antiqua" w:eastAsia="Book Antiqua" w:hAnsi="Book Antiqua" w:cs="Book Antiqua"/>
          <w:b/>
          <w:color w:val="000000"/>
          <w:lang w:val="en-GB"/>
        </w:rPr>
        <w:br w:type="page"/>
      </w:r>
    </w:p>
    <w:p w14:paraId="47D19D60" w14:textId="4F33493A" w:rsidR="00A77B3E" w:rsidRPr="00871C0B" w:rsidRDefault="001875D2" w:rsidP="00871C0B">
      <w:pPr>
        <w:spacing w:line="360" w:lineRule="auto"/>
        <w:jc w:val="both"/>
        <w:rPr>
          <w:rFonts w:ascii="Book Antiqua" w:eastAsia="Book Antiqua" w:hAnsi="Book Antiqua" w:cs="Book Antiqua"/>
          <w:b/>
          <w:color w:val="000000"/>
          <w:lang w:val="en-GB"/>
        </w:rPr>
      </w:pPr>
      <w:r w:rsidRPr="00871C0B">
        <w:rPr>
          <w:rFonts w:ascii="Book Antiqua" w:eastAsia="Book Antiqua" w:hAnsi="Book Antiqua" w:cs="Book Antiqua"/>
          <w:b/>
          <w:color w:val="000000"/>
          <w:lang w:val="en-GB"/>
        </w:rPr>
        <w:lastRenderedPageBreak/>
        <w:t xml:space="preserve">Table </w:t>
      </w:r>
      <w:r w:rsidR="00052709" w:rsidRPr="00871C0B">
        <w:rPr>
          <w:rFonts w:ascii="Book Antiqua" w:eastAsia="Book Antiqua" w:hAnsi="Book Antiqua" w:cs="Book Antiqua"/>
          <w:b/>
          <w:color w:val="000000"/>
          <w:lang w:val="en-GB"/>
        </w:rPr>
        <w:t>2</w:t>
      </w:r>
      <w:r w:rsidRPr="00871C0B">
        <w:rPr>
          <w:rFonts w:ascii="Book Antiqua" w:eastAsia="Book Antiqua" w:hAnsi="Book Antiqua" w:cs="Book Antiqua"/>
          <w:b/>
          <w:color w:val="000000"/>
          <w:lang w:val="en-GB"/>
        </w:rPr>
        <w:t xml:space="preserve"> Potential interventions to reduce health inequality and rate of diabetes increase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875D2" w:rsidRPr="00871C0B" w14:paraId="490A5147" w14:textId="77777777" w:rsidTr="001875D2">
        <w:tc>
          <w:tcPr>
            <w:tcW w:w="9576" w:type="dxa"/>
            <w:tcBorders>
              <w:top w:val="single" w:sz="4" w:space="0" w:color="auto"/>
              <w:bottom w:val="single" w:sz="4" w:space="0" w:color="auto"/>
            </w:tcBorders>
          </w:tcPr>
          <w:p w14:paraId="4F8F5706" w14:textId="77777777" w:rsidR="001875D2" w:rsidRPr="00871C0B" w:rsidRDefault="001875D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Potential interventions</w:t>
            </w:r>
          </w:p>
        </w:tc>
      </w:tr>
      <w:tr w:rsidR="001875D2" w:rsidRPr="00871C0B" w14:paraId="5621EF03" w14:textId="77777777" w:rsidTr="001875D2">
        <w:tc>
          <w:tcPr>
            <w:tcW w:w="9576" w:type="dxa"/>
            <w:tcBorders>
              <w:top w:val="single" w:sz="4" w:space="0" w:color="auto"/>
            </w:tcBorders>
          </w:tcPr>
          <w:p w14:paraId="2BDCF14D" w14:textId="5F51CCA0" w:rsidR="001875D2" w:rsidRPr="00871C0B" w:rsidRDefault="001875D2" w:rsidP="00871C0B">
            <w:pPr>
              <w:spacing w:line="360" w:lineRule="auto"/>
              <w:jc w:val="both"/>
              <w:rPr>
                <w:rFonts w:ascii="Book Antiqua" w:hAnsi="Book Antiqua"/>
                <w:lang w:val="en-GB"/>
              </w:rPr>
            </w:pPr>
            <w:r w:rsidRPr="00871C0B">
              <w:rPr>
                <w:rFonts w:ascii="Book Antiqua" w:hAnsi="Book Antiqua"/>
                <w:lang w:val="en-GB"/>
              </w:rPr>
              <w:t>National programmes to improve the nation’s health focus on improved diet and physical activity</w:t>
            </w:r>
          </w:p>
        </w:tc>
      </w:tr>
      <w:tr w:rsidR="001875D2" w:rsidRPr="00871C0B" w14:paraId="69DA42CF" w14:textId="77777777" w:rsidTr="001875D2">
        <w:tc>
          <w:tcPr>
            <w:tcW w:w="9576" w:type="dxa"/>
          </w:tcPr>
          <w:p w14:paraId="6EDB3056" w14:textId="77777777" w:rsidR="001875D2" w:rsidRPr="00871C0B" w:rsidRDefault="001875D2" w:rsidP="00871C0B">
            <w:pPr>
              <w:spacing w:line="360" w:lineRule="auto"/>
              <w:jc w:val="both"/>
              <w:rPr>
                <w:rFonts w:ascii="Book Antiqua" w:hAnsi="Book Antiqua"/>
                <w:lang w:val="en-GB"/>
              </w:rPr>
            </w:pPr>
            <w:r w:rsidRPr="00871C0B">
              <w:rPr>
                <w:rFonts w:ascii="Book Antiqua" w:hAnsi="Book Antiqua"/>
                <w:lang w:val="en-GB"/>
              </w:rPr>
              <w:t>Green solutions to transport/energy</w:t>
            </w:r>
          </w:p>
        </w:tc>
      </w:tr>
      <w:tr w:rsidR="001875D2" w:rsidRPr="00871C0B" w14:paraId="7CDC4786" w14:textId="77777777" w:rsidTr="001875D2">
        <w:tc>
          <w:tcPr>
            <w:tcW w:w="9576" w:type="dxa"/>
          </w:tcPr>
          <w:p w14:paraId="7541EADE" w14:textId="6231B4EE" w:rsidR="001875D2" w:rsidRPr="00871C0B" w:rsidRDefault="001875D2" w:rsidP="00871C0B">
            <w:pPr>
              <w:spacing w:line="360" w:lineRule="auto"/>
              <w:jc w:val="both"/>
              <w:rPr>
                <w:rFonts w:ascii="Book Antiqua" w:hAnsi="Book Antiqua"/>
                <w:lang w:val="en-GB"/>
              </w:rPr>
            </w:pPr>
            <w:r w:rsidRPr="00871C0B">
              <w:rPr>
                <w:rFonts w:ascii="Book Antiqua" w:hAnsi="Book Antiqua"/>
                <w:lang w:val="en-GB"/>
              </w:rPr>
              <w:t>“Fat/Sugar tax”</w:t>
            </w:r>
            <w:r w:rsidR="00307ABC" w:rsidRPr="00871C0B">
              <w:rPr>
                <w:rFonts w:ascii="Book Antiqua" w:hAnsi="Book Antiqua"/>
                <w:lang w:val="en-GB"/>
              </w:rPr>
              <w:t xml:space="preserve"> </w:t>
            </w:r>
            <w:r w:rsidR="00EE6F0A">
              <w:rPr>
                <w:rFonts w:ascii="Book Antiqua" w:eastAsia="Book Antiqua" w:hAnsi="Book Antiqua" w:cs="Book Antiqua"/>
                <w:bCs/>
                <w:color w:val="000000"/>
                <w:lang w:val="en-GB"/>
              </w:rPr>
              <w:t>and</w:t>
            </w:r>
            <w:r w:rsidR="00EE6F0A" w:rsidRPr="00871C0B">
              <w:rPr>
                <w:rFonts w:ascii="Book Antiqua" w:eastAsia="Book Antiqua" w:hAnsi="Book Antiqua" w:cs="Book Antiqua"/>
                <w:bCs/>
                <w:color w:val="000000"/>
                <w:lang w:val="en-GB"/>
              </w:rPr>
              <w:t xml:space="preserve"> </w:t>
            </w:r>
            <w:r w:rsidRPr="00871C0B">
              <w:rPr>
                <w:rFonts w:ascii="Book Antiqua" w:hAnsi="Book Antiqua"/>
                <w:lang w:val="en-GB"/>
              </w:rPr>
              <w:t>use funds to subsidise healthy food</w:t>
            </w:r>
          </w:p>
        </w:tc>
      </w:tr>
      <w:tr w:rsidR="001875D2" w:rsidRPr="00871C0B" w14:paraId="7E36D920" w14:textId="77777777" w:rsidTr="001875D2">
        <w:tc>
          <w:tcPr>
            <w:tcW w:w="9576" w:type="dxa"/>
          </w:tcPr>
          <w:p w14:paraId="29B0C9B4" w14:textId="77777777" w:rsidR="001875D2" w:rsidRPr="00871C0B" w:rsidRDefault="001875D2" w:rsidP="00871C0B">
            <w:pPr>
              <w:spacing w:line="360" w:lineRule="auto"/>
              <w:jc w:val="both"/>
              <w:rPr>
                <w:rFonts w:ascii="Book Antiqua" w:hAnsi="Book Antiqua"/>
                <w:lang w:val="en-GB"/>
              </w:rPr>
            </w:pPr>
            <w:r w:rsidRPr="00871C0B">
              <w:rPr>
                <w:rFonts w:ascii="Book Antiqua" w:hAnsi="Book Antiqua"/>
                <w:lang w:val="en-GB"/>
              </w:rPr>
              <w:t>Reduce licensing of unhealthy eating places in poorer areas</w:t>
            </w:r>
          </w:p>
        </w:tc>
      </w:tr>
      <w:tr w:rsidR="001875D2" w:rsidRPr="00871C0B" w14:paraId="12D9D90A" w14:textId="77777777" w:rsidTr="001875D2">
        <w:tc>
          <w:tcPr>
            <w:tcW w:w="9576" w:type="dxa"/>
          </w:tcPr>
          <w:p w14:paraId="19349F8E" w14:textId="77777777" w:rsidR="001875D2" w:rsidRPr="00871C0B" w:rsidRDefault="001875D2" w:rsidP="00871C0B">
            <w:pPr>
              <w:spacing w:line="360" w:lineRule="auto"/>
              <w:jc w:val="both"/>
              <w:rPr>
                <w:rFonts w:ascii="Book Antiqua" w:hAnsi="Book Antiqua"/>
                <w:lang w:val="en-GB"/>
              </w:rPr>
            </w:pPr>
            <w:r w:rsidRPr="00871C0B">
              <w:rPr>
                <w:rFonts w:ascii="Book Antiqua" w:hAnsi="Book Antiqua"/>
                <w:lang w:val="en-GB"/>
              </w:rPr>
              <w:t>Minimum alcohol unit pricing</w:t>
            </w:r>
          </w:p>
        </w:tc>
      </w:tr>
      <w:tr w:rsidR="001875D2" w:rsidRPr="00871C0B" w14:paraId="15118014" w14:textId="77777777" w:rsidTr="001875D2">
        <w:tc>
          <w:tcPr>
            <w:tcW w:w="9576" w:type="dxa"/>
          </w:tcPr>
          <w:p w14:paraId="4A680EED" w14:textId="77777777" w:rsidR="001875D2" w:rsidRPr="00871C0B" w:rsidRDefault="001875D2" w:rsidP="00871C0B">
            <w:pPr>
              <w:spacing w:line="360" w:lineRule="auto"/>
              <w:jc w:val="both"/>
              <w:rPr>
                <w:rFonts w:ascii="Book Antiqua" w:hAnsi="Book Antiqua"/>
                <w:lang w:val="en-GB"/>
              </w:rPr>
            </w:pPr>
            <w:r w:rsidRPr="00871C0B">
              <w:rPr>
                <w:rFonts w:ascii="Book Antiqua" w:hAnsi="Book Antiqua"/>
                <w:lang w:val="en-GB"/>
              </w:rPr>
              <w:t>Tackle advertising of calorie dense foods to children and prevent sponsorship of sports by unhealthy food companies</w:t>
            </w:r>
          </w:p>
        </w:tc>
      </w:tr>
      <w:tr w:rsidR="001875D2" w:rsidRPr="00871C0B" w14:paraId="3BBFC699" w14:textId="77777777" w:rsidTr="001875D2">
        <w:tc>
          <w:tcPr>
            <w:tcW w:w="9576" w:type="dxa"/>
          </w:tcPr>
          <w:p w14:paraId="5B6B3AE8" w14:textId="77777777" w:rsidR="001875D2" w:rsidRPr="00871C0B" w:rsidRDefault="001875D2" w:rsidP="00871C0B">
            <w:pPr>
              <w:spacing w:line="360" w:lineRule="auto"/>
              <w:jc w:val="both"/>
              <w:rPr>
                <w:rFonts w:ascii="Book Antiqua" w:hAnsi="Book Antiqua"/>
                <w:lang w:val="en-GB"/>
              </w:rPr>
            </w:pPr>
            <w:r w:rsidRPr="00871C0B">
              <w:rPr>
                <w:rFonts w:ascii="Book Antiqua" w:hAnsi="Book Antiqua"/>
                <w:lang w:val="en-GB"/>
              </w:rPr>
              <w:t>Education for children to increase physical activity in and improve knowledge of healthy living in schools</w:t>
            </w:r>
          </w:p>
        </w:tc>
      </w:tr>
      <w:tr w:rsidR="001875D2" w:rsidRPr="00871C0B" w14:paraId="0101CF6B" w14:textId="77777777" w:rsidTr="001875D2">
        <w:tc>
          <w:tcPr>
            <w:tcW w:w="9576" w:type="dxa"/>
            <w:tcBorders>
              <w:bottom w:val="single" w:sz="4" w:space="0" w:color="auto"/>
            </w:tcBorders>
          </w:tcPr>
          <w:p w14:paraId="4732C023" w14:textId="77777777" w:rsidR="001875D2" w:rsidRPr="00871C0B" w:rsidRDefault="001875D2" w:rsidP="00871C0B">
            <w:pPr>
              <w:spacing w:line="360" w:lineRule="auto"/>
              <w:jc w:val="both"/>
              <w:rPr>
                <w:rFonts w:ascii="Book Antiqua" w:hAnsi="Book Antiqua"/>
                <w:lang w:val="en-GB"/>
              </w:rPr>
            </w:pPr>
            <w:r w:rsidRPr="00871C0B">
              <w:rPr>
                <w:rFonts w:ascii="Book Antiqua" w:hAnsi="Book Antiqua"/>
                <w:lang w:val="en-GB"/>
              </w:rPr>
              <w:t>Improve culturally appropriate interventions to educate people living with long term conditions</w:t>
            </w:r>
          </w:p>
        </w:tc>
      </w:tr>
    </w:tbl>
    <w:p w14:paraId="3D7EE109" w14:textId="77777777" w:rsidR="001875D2" w:rsidRPr="00871C0B" w:rsidRDefault="001875D2" w:rsidP="00871C0B">
      <w:pPr>
        <w:spacing w:line="360" w:lineRule="auto"/>
        <w:jc w:val="both"/>
        <w:rPr>
          <w:rFonts w:ascii="Book Antiqua" w:hAnsi="Book Antiqua"/>
          <w:lang w:val="en-GB"/>
        </w:rPr>
      </w:pPr>
    </w:p>
    <w:sectPr w:rsidR="001875D2" w:rsidRPr="00871C0B" w:rsidSect="0087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9729A" w14:textId="77777777" w:rsidR="00F80068" w:rsidRDefault="00F80068" w:rsidP="00D2213D">
      <w:r>
        <w:separator/>
      </w:r>
    </w:p>
  </w:endnote>
  <w:endnote w:type="continuationSeparator" w:id="0">
    <w:p w14:paraId="14A5A9C1" w14:textId="77777777" w:rsidR="00F80068" w:rsidRDefault="00F80068" w:rsidP="00D2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6707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6913F5A" w14:textId="77777777" w:rsidR="00DE6348" w:rsidRPr="004947B4" w:rsidRDefault="00DE6348" w:rsidP="004947B4">
            <w:pPr>
              <w:pStyle w:val="Footer"/>
              <w:jc w:val="right"/>
              <w:rPr>
                <w:rFonts w:ascii="Book Antiqua" w:hAnsi="Book Antiqua"/>
                <w:sz w:val="24"/>
                <w:szCs w:val="24"/>
              </w:rPr>
            </w:pPr>
            <w:r w:rsidRPr="004947B4">
              <w:rPr>
                <w:rFonts w:ascii="Book Antiqua" w:hAnsi="Book Antiqua"/>
                <w:sz w:val="24"/>
                <w:szCs w:val="24"/>
                <w:lang w:val="zh-CN" w:eastAsia="zh-CN"/>
              </w:rPr>
              <w:t xml:space="preserve"> </w:t>
            </w:r>
            <w:r w:rsidRPr="004947B4">
              <w:rPr>
                <w:rFonts w:ascii="Book Antiqua" w:hAnsi="Book Antiqua"/>
                <w:sz w:val="24"/>
                <w:szCs w:val="24"/>
              </w:rPr>
              <w:fldChar w:fldCharType="begin"/>
            </w:r>
            <w:r w:rsidRPr="004947B4">
              <w:rPr>
                <w:rFonts w:ascii="Book Antiqua" w:hAnsi="Book Antiqua"/>
                <w:sz w:val="24"/>
                <w:szCs w:val="24"/>
              </w:rPr>
              <w:instrText>PAGE</w:instrText>
            </w:r>
            <w:r w:rsidRPr="004947B4">
              <w:rPr>
                <w:rFonts w:ascii="Book Antiqua" w:hAnsi="Book Antiqua"/>
                <w:sz w:val="24"/>
                <w:szCs w:val="24"/>
              </w:rPr>
              <w:fldChar w:fldCharType="separate"/>
            </w:r>
            <w:r w:rsidR="0094448C">
              <w:rPr>
                <w:rFonts w:ascii="Book Antiqua" w:hAnsi="Book Antiqua"/>
                <w:noProof/>
                <w:sz w:val="24"/>
                <w:szCs w:val="24"/>
              </w:rPr>
              <w:t>19</w:t>
            </w:r>
            <w:r w:rsidRPr="004947B4">
              <w:rPr>
                <w:rFonts w:ascii="Book Antiqua" w:hAnsi="Book Antiqua"/>
                <w:sz w:val="24"/>
                <w:szCs w:val="24"/>
              </w:rPr>
              <w:fldChar w:fldCharType="end"/>
            </w:r>
            <w:r w:rsidRPr="004947B4">
              <w:rPr>
                <w:rFonts w:ascii="Book Antiqua" w:hAnsi="Book Antiqua"/>
                <w:sz w:val="24"/>
                <w:szCs w:val="24"/>
                <w:lang w:val="zh-CN" w:eastAsia="zh-CN"/>
              </w:rPr>
              <w:t xml:space="preserve"> / </w:t>
            </w:r>
            <w:r w:rsidRPr="004947B4">
              <w:rPr>
                <w:rFonts w:ascii="Book Antiqua" w:hAnsi="Book Antiqua"/>
                <w:sz w:val="24"/>
                <w:szCs w:val="24"/>
              </w:rPr>
              <w:fldChar w:fldCharType="begin"/>
            </w:r>
            <w:r w:rsidRPr="004947B4">
              <w:rPr>
                <w:rFonts w:ascii="Book Antiqua" w:hAnsi="Book Antiqua"/>
                <w:sz w:val="24"/>
                <w:szCs w:val="24"/>
              </w:rPr>
              <w:instrText>NUMPAGES</w:instrText>
            </w:r>
            <w:r w:rsidRPr="004947B4">
              <w:rPr>
                <w:rFonts w:ascii="Book Antiqua" w:hAnsi="Book Antiqua"/>
                <w:sz w:val="24"/>
                <w:szCs w:val="24"/>
              </w:rPr>
              <w:fldChar w:fldCharType="separate"/>
            </w:r>
            <w:r w:rsidR="0094448C">
              <w:rPr>
                <w:rFonts w:ascii="Book Antiqua" w:hAnsi="Book Antiqua"/>
                <w:noProof/>
                <w:sz w:val="24"/>
                <w:szCs w:val="24"/>
              </w:rPr>
              <w:t>19</w:t>
            </w:r>
            <w:r w:rsidRPr="004947B4">
              <w:rPr>
                <w:rFonts w:ascii="Book Antiqua" w:hAnsi="Book Antiqua"/>
                <w:sz w:val="24"/>
                <w:szCs w:val="24"/>
              </w:rPr>
              <w:fldChar w:fldCharType="end"/>
            </w:r>
          </w:p>
        </w:sdtContent>
      </w:sdt>
    </w:sdtContent>
  </w:sdt>
  <w:p w14:paraId="6D384C90" w14:textId="77777777" w:rsidR="00DE6348" w:rsidRPr="004947B4" w:rsidRDefault="00DE6348" w:rsidP="004947B4">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517C6" w14:textId="77777777" w:rsidR="00F80068" w:rsidRDefault="00F80068" w:rsidP="00D2213D">
      <w:r>
        <w:separator/>
      </w:r>
    </w:p>
  </w:footnote>
  <w:footnote w:type="continuationSeparator" w:id="0">
    <w:p w14:paraId="0BD3CCDF" w14:textId="77777777" w:rsidR="00F80068" w:rsidRDefault="00F80068" w:rsidP="00D22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1702E"/>
    <w:multiLevelType w:val="hybridMultilevel"/>
    <w:tmpl w:val="BDB0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C87"/>
    <w:rsid w:val="000337DB"/>
    <w:rsid w:val="00035484"/>
    <w:rsid w:val="00052709"/>
    <w:rsid w:val="000A0103"/>
    <w:rsid w:val="001057AE"/>
    <w:rsid w:val="0012752B"/>
    <w:rsid w:val="001416D6"/>
    <w:rsid w:val="001875D2"/>
    <w:rsid w:val="00194BC2"/>
    <w:rsid w:val="001E40A6"/>
    <w:rsid w:val="001E5FF6"/>
    <w:rsid w:val="00273201"/>
    <w:rsid w:val="002E1642"/>
    <w:rsid w:val="002F53DB"/>
    <w:rsid w:val="00307ABC"/>
    <w:rsid w:val="00375F53"/>
    <w:rsid w:val="00385F76"/>
    <w:rsid w:val="003A1D00"/>
    <w:rsid w:val="003E501D"/>
    <w:rsid w:val="0044715B"/>
    <w:rsid w:val="00483585"/>
    <w:rsid w:val="004871AB"/>
    <w:rsid w:val="004947B4"/>
    <w:rsid w:val="00574155"/>
    <w:rsid w:val="00584F8F"/>
    <w:rsid w:val="005D3276"/>
    <w:rsid w:val="00623B63"/>
    <w:rsid w:val="0062726B"/>
    <w:rsid w:val="006F352F"/>
    <w:rsid w:val="0070328E"/>
    <w:rsid w:val="00724676"/>
    <w:rsid w:val="00754A4E"/>
    <w:rsid w:val="007B15FF"/>
    <w:rsid w:val="007C3CD1"/>
    <w:rsid w:val="008138F0"/>
    <w:rsid w:val="00835C66"/>
    <w:rsid w:val="00837F14"/>
    <w:rsid w:val="008647C1"/>
    <w:rsid w:val="0087027F"/>
    <w:rsid w:val="00871C0B"/>
    <w:rsid w:val="008A3780"/>
    <w:rsid w:val="008A4D04"/>
    <w:rsid w:val="008A592C"/>
    <w:rsid w:val="008B5DB2"/>
    <w:rsid w:val="008E43A4"/>
    <w:rsid w:val="0094448C"/>
    <w:rsid w:val="0096537B"/>
    <w:rsid w:val="009E0FA2"/>
    <w:rsid w:val="009E3AB8"/>
    <w:rsid w:val="00A320E5"/>
    <w:rsid w:val="00A73A8B"/>
    <w:rsid w:val="00A77B3E"/>
    <w:rsid w:val="00AC21A9"/>
    <w:rsid w:val="00AC740F"/>
    <w:rsid w:val="00B51EDD"/>
    <w:rsid w:val="00B6005A"/>
    <w:rsid w:val="00BA01C7"/>
    <w:rsid w:val="00BD47BF"/>
    <w:rsid w:val="00C12A7A"/>
    <w:rsid w:val="00C1734C"/>
    <w:rsid w:val="00C43700"/>
    <w:rsid w:val="00C50AFF"/>
    <w:rsid w:val="00C744BC"/>
    <w:rsid w:val="00C755EB"/>
    <w:rsid w:val="00CA2A55"/>
    <w:rsid w:val="00CC3590"/>
    <w:rsid w:val="00D11695"/>
    <w:rsid w:val="00D2213D"/>
    <w:rsid w:val="00D57B21"/>
    <w:rsid w:val="00D60D8C"/>
    <w:rsid w:val="00D92150"/>
    <w:rsid w:val="00DE6348"/>
    <w:rsid w:val="00EE4B70"/>
    <w:rsid w:val="00EE6F0A"/>
    <w:rsid w:val="00F466FE"/>
    <w:rsid w:val="00F80068"/>
    <w:rsid w:val="00F8148C"/>
    <w:rsid w:val="00FD5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8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style>
  <w:style w:type="paragraph" w:styleId="Header">
    <w:name w:val="header"/>
    <w:basedOn w:val="Normal"/>
    <w:link w:val="HeaderChar"/>
    <w:unhideWhenUsed/>
    <w:rsid w:val="00D221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2213D"/>
    <w:rPr>
      <w:sz w:val="18"/>
      <w:szCs w:val="18"/>
    </w:rPr>
  </w:style>
  <w:style w:type="paragraph" w:styleId="Footer">
    <w:name w:val="footer"/>
    <w:basedOn w:val="Normal"/>
    <w:link w:val="FooterChar"/>
    <w:uiPriority w:val="99"/>
    <w:unhideWhenUsed/>
    <w:rsid w:val="00D2213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2213D"/>
    <w:rPr>
      <w:sz w:val="18"/>
      <w:szCs w:val="18"/>
    </w:rPr>
  </w:style>
  <w:style w:type="table" w:styleId="TableGrid">
    <w:name w:val="Table Grid"/>
    <w:basedOn w:val="TableNormal"/>
    <w:rsid w:val="00187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E6348"/>
    <w:rPr>
      <w:rFonts w:ascii="Tahoma" w:hAnsi="Tahoma" w:cs="Tahoma"/>
      <w:sz w:val="16"/>
      <w:szCs w:val="16"/>
    </w:rPr>
  </w:style>
  <w:style w:type="character" w:customStyle="1" w:styleId="BalloonTextChar">
    <w:name w:val="Balloon Text Char"/>
    <w:basedOn w:val="DefaultParagraphFont"/>
    <w:link w:val="BalloonText"/>
    <w:rsid w:val="00DE6348"/>
    <w:rPr>
      <w:rFonts w:ascii="Tahoma" w:hAnsi="Tahoma" w:cs="Tahoma"/>
      <w:sz w:val="16"/>
      <w:szCs w:val="16"/>
    </w:rPr>
  </w:style>
  <w:style w:type="paragraph" w:styleId="BodyTextIndent2">
    <w:name w:val="Body Text Indent 2"/>
    <w:basedOn w:val="Normal"/>
    <w:link w:val="BodyTextIndent2Char"/>
    <w:rsid w:val="00052709"/>
    <w:pPr>
      <w:ind w:left="1440"/>
    </w:pPr>
    <w:rPr>
      <w:rFonts w:ascii="Arial" w:eastAsia="Times New Roman" w:hAnsi="Arial" w:cs="Arial"/>
      <w:sz w:val="20"/>
      <w:lang w:val="en-GB" w:eastAsia="en-GB"/>
    </w:rPr>
  </w:style>
  <w:style w:type="character" w:customStyle="1" w:styleId="BodyTextIndent2Char">
    <w:name w:val="Body Text Indent 2 Char"/>
    <w:basedOn w:val="DefaultParagraphFont"/>
    <w:link w:val="BodyTextIndent2"/>
    <w:rsid w:val="00052709"/>
    <w:rPr>
      <w:rFonts w:ascii="Arial" w:eastAsia="Times New Roman" w:hAnsi="Arial" w:cs="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4809</Words>
  <Characters>27413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2021-01-27T21:32:00Z</dcterms:created>
  <dcterms:modified xsi:type="dcterms:W3CDTF">2021-01-27T21:32:00Z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34d3451e-d197-456a-8203-2c75cea01594</vt:lpwstr>
  </property>
</Properties>
</file>