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C915A" w14:textId="77777777"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b/>
          <w:color w:val="000000"/>
        </w:rPr>
        <w:t xml:space="preserve">Name of Journal: </w:t>
      </w:r>
      <w:r w:rsidRPr="00DA5A6A">
        <w:rPr>
          <w:rFonts w:ascii="Book Antiqua" w:eastAsia="Book Antiqua" w:hAnsi="Book Antiqua" w:cs="Book Antiqua"/>
          <w:i/>
          <w:color w:val="000000"/>
        </w:rPr>
        <w:t>World Journal of Clinical Oncology</w:t>
      </w:r>
    </w:p>
    <w:p w14:paraId="5811016F" w14:textId="77777777"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b/>
          <w:color w:val="000000"/>
        </w:rPr>
        <w:t xml:space="preserve">Manuscript NO: </w:t>
      </w:r>
      <w:r w:rsidRPr="00DA5A6A">
        <w:rPr>
          <w:rFonts w:ascii="Book Antiqua" w:eastAsia="Book Antiqua" w:hAnsi="Book Antiqua" w:cs="Book Antiqua"/>
          <w:color w:val="000000"/>
        </w:rPr>
        <w:t>61176</w:t>
      </w:r>
    </w:p>
    <w:p w14:paraId="1F70F411" w14:textId="77777777"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b/>
          <w:color w:val="000000"/>
        </w:rPr>
        <w:t xml:space="preserve">Manuscript Type: </w:t>
      </w:r>
      <w:r w:rsidRPr="00DA5A6A">
        <w:rPr>
          <w:rFonts w:ascii="Book Antiqua" w:eastAsia="Book Antiqua" w:hAnsi="Book Antiqua" w:cs="Book Antiqua"/>
          <w:color w:val="000000"/>
        </w:rPr>
        <w:t>MINIREVIEWS</w:t>
      </w:r>
    </w:p>
    <w:p w14:paraId="4B4FE380" w14:textId="77777777" w:rsidR="00A77B3E" w:rsidRPr="00DA5A6A" w:rsidRDefault="00A77B3E" w:rsidP="00DA5A6A">
      <w:pPr>
        <w:spacing w:line="360" w:lineRule="auto"/>
        <w:jc w:val="both"/>
        <w:rPr>
          <w:rFonts w:ascii="Book Antiqua" w:hAnsi="Book Antiqua"/>
        </w:rPr>
      </w:pPr>
    </w:p>
    <w:p w14:paraId="52D78F99" w14:textId="115CCEB6" w:rsidR="00A77B3E" w:rsidRPr="00DA5A6A" w:rsidRDefault="00575607" w:rsidP="00DA5A6A">
      <w:pPr>
        <w:spacing w:line="360" w:lineRule="auto"/>
        <w:jc w:val="both"/>
        <w:rPr>
          <w:rFonts w:ascii="Book Antiqua" w:hAnsi="Book Antiqua"/>
        </w:rPr>
      </w:pPr>
      <w:bookmarkStart w:id="0" w:name="OLE_LINK2580"/>
      <w:r w:rsidRPr="00DA5A6A">
        <w:rPr>
          <w:rFonts w:ascii="Book Antiqua" w:eastAsia="Book Antiqua" w:hAnsi="Book Antiqua" w:cs="Book Antiqua"/>
          <w:b/>
          <w:color w:val="000000"/>
        </w:rPr>
        <w:t>O</w:t>
      </w:r>
      <w:r w:rsidR="00F74C48" w:rsidRPr="00DA5A6A">
        <w:rPr>
          <w:rFonts w:ascii="Book Antiqua" w:eastAsia="Book Antiqua" w:hAnsi="Book Antiqua" w:cs="Book Antiqua"/>
          <w:b/>
          <w:color w:val="000000"/>
        </w:rPr>
        <w:t>verview of recent advances in metastatic triple negative breast cancer</w:t>
      </w:r>
    </w:p>
    <w:bookmarkEnd w:id="0"/>
    <w:p w14:paraId="32ACC237" w14:textId="77777777" w:rsidR="00A77B3E" w:rsidRPr="00DA5A6A" w:rsidRDefault="00A77B3E" w:rsidP="00DA5A6A">
      <w:pPr>
        <w:spacing w:line="360" w:lineRule="auto"/>
        <w:jc w:val="both"/>
        <w:rPr>
          <w:rFonts w:ascii="Book Antiqua" w:hAnsi="Book Antiqua"/>
        </w:rPr>
      </w:pPr>
    </w:p>
    <w:p w14:paraId="28A38575" w14:textId="0A499509" w:rsidR="00A77B3E" w:rsidRPr="00DA5A6A" w:rsidRDefault="00575607" w:rsidP="00DA5A6A">
      <w:pPr>
        <w:spacing w:line="360" w:lineRule="auto"/>
        <w:jc w:val="both"/>
        <w:rPr>
          <w:rFonts w:ascii="Book Antiqua" w:hAnsi="Book Antiqua"/>
        </w:rPr>
      </w:pPr>
      <w:r w:rsidRPr="00DA5A6A">
        <w:rPr>
          <w:rFonts w:ascii="Book Antiqua" w:eastAsia="Book Antiqua" w:hAnsi="Book Antiqua" w:cs="Book Antiqua"/>
          <w:color w:val="000000"/>
        </w:rPr>
        <w:t xml:space="preserve">O'Reilly D </w:t>
      </w:r>
      <w:r w:rsidRPr="00DA5A6A">
        <w:rPr>
          <w:rFonts w:ascii="Book Antiqua" w:eastAsia="Book Antiqua" w:hAnsi="Book Antiqua" w:cs="Book Antiqua"/>
          <w:i/>
          <w:iCs/>
          <w:color w:val="000000"/>
        </w:rPr>
        <w:t>et al</w:t>
      </w:r>
      <w:r w:rsidRPr="00DA5A6A">
        <w:rPr>
          <w:rFonts w:ascii="Book Antiqua" w:eastAsia="Book Antiqua" w:hAnsi="Book Antiqua" w:cs="Book Antiqua"/>
          <w:color w:val="000000"/>
        </w:rPr>
        <w:t xml:space="preserve">. </w:t>
      </w:r>
      <w:r w:rsidR="00F74C48" w:rsidRPr="00DA5A6A">
        <w:rPr>
          <w:rFonts w:ascii="Book Antiqua" w:eastAsia="Book Antiqua" w:hAnsi="Book Antiqua" w:cs="Book Antiqua"/>
          <w:color w:val="000000"/>
        </w:rPr>
        <w:t xml:space="preserve">Advances in </w:t>
      </w:r>
      <w:r w:rsidR="00386BF8" w:rsidRPr="00DA5A6A">
        <w:rPr>
          <w:rFonts w:ascii="Book Antiqua" w:eastAsia="Book Antiqua" w:hAnsi="Book Antiqua" w:cs="Book Antiqua"/>
          <w:color w:val="000000"/>
        </w:rPr>
        <w:t>TNBC</w:t>
      </w:r>
    </w:p>
    <w:p w14:paraId="2443AC4D" w14:textId="77777777" w:rsidR="00A77B3E" w:rsidRPr="00DA5A6A" w:rsidRDefault="00A77B3E" w:rsidP="00DA5A6A">
      <w:pPr>
        <w:spacing w:line="360" w:lineRule="auto"/>
        <w:jc w:val="both"/>
        <w:rPr>
          <w:rFonts w:ascii="Book Antiqua" w:hAnsi="Book Antiqua"/>
        </w:rPr>
      </w:pPr>
    </w:p>
    <w:p w14:paraId="5335D4CC" w14:textId="46509BAB"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color w:val="000000"/>
        </w:rPr>
        <w:t>David O'Reilly, Maha Al Sendi, Catherine M Kelly</w:t>
      </w:r>
    </w:p>
    <w:p w14:paraId="5331733F" w14:textId="77777777" w:rsidR="00A77B3E" w:rsidRPr="00DA5A6A" w:rsidRDefault="00A77B3E" w:rsidP="00DA5A6A">
      <w:pPr>
        <w:spacing w:line="360" w:lineRule="auto"/>
        <w:jc w:val="both"/>
        <w:rPr>
          <w:rFonts w:ascii="Book Antiqua" w:hAnsi="Book Antiqua"/>
        </w:rPr>
      </w:pPr>
    </w:p>
    <w:p w14:paraId="2B1F0943" w14:textId="365A1443"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b/>
          <w:bCs/>
          <w:color w:val="000000"/>
        </w:rPr>
        <w:t xml:space="preserve">David O'Reilly, Maha Al Sendi, </w:t>
      </w:r>
      <w:r w:rsidR="00575607" w:rsidRPr="00DA5A6A">
        <w:rPr>
          <w:rFonts w:ascii="Book Antiqua" w:eastAsia="Book Antiqua" w:hAnsi="Book Antiqua" w:cs="Book Antiqua"/>
          <w:b/>
          <w:bCs/>
          <w:color w:val="000000"/>
        </w:rPr>
        <w:t xml:space="preserve">Catherine M Kelly, </w:t>
      </w:r>
      <w:r w:rsidRPr="00DA5A6A">
        <w:rPr>
          <w:rFonts w:ascii="Book Antiqua" w:eastAsia="Book Antiqua" w:hAnsi="Book Antiqua" w:cs="Book Antiqua"/>
          <w:color w:val="000000"/>
        </w:rPr>
        <w:t>Department of Medical Oncology, Mater Misericordiae University Hospital, Dublin</w:t>
      </w:r>
      <w:r w:rsidR="00910472" w:rsidRPr="00DA5A6A">
        <w:rPr>
          <w:rFonts w:ascii="Book Antiqua" w:eastAsia="Book Antiqua" w:hAnsi="Book Antiqua" w:cs="Book Antiqua"/>
          <w:color w:val="000000"/>
        </w:rPr>
        <w:t xml:space="preserve"> </w:t>
      </w:r>
      <w:r w:rsidR="00545A36" w:rsidRPr="00DA5A6A">
        <w:rPr>
          <w:rFonts w:ascii="Book Antiqua" w:eastAsia="Book Antiqua" w:hAnsi="Book Antiqua" w:cs="Book Antiqua"/>
          <w:color w:val="000000"/>
        </w:rPr>
        <w:t>1</w:t>
      </w:r>
      <w:r w:rsidR="001E3C18" w:rsidRPr="00DA5A6A">
        <w:rPr>
          <w:rFonts w:ascii="Book Antiqua" w:eastAsia="Book Antiqua" w:hAnsi="Book Antiqua" w:cs="Book Antiqua"/>
          <w:color w:val="000000"/>
        </w:rPr>
        <w:t>,</w:t>
      </w:r>
      <w:r w:rsidRPr="00DA5A6A">
        <w:rPr>
          <w:rFonts w:ascii="Book Antiqua" w:eastAsia="Book Antiqua" w:hAnsi="Book Antiqua" w:cs="Book Antiqua"/>
          <w:color w:val="000000"/>
        </w:rPr>
        <w:t xml:space="preserve"> Ireland</w:t>
      </w:r>
    </w:p>
    <w:p w14:paraId="53407D52" w14:textId="77777777" w:rsidR="00A77B3E" w:rsidRPr="00DA5A6A" w:rsidRDefault="00A77B3E" w:rsidP="00DA5A6A">
      <w:pPr>
        <w:spacing w:line="360" w:lineRule="auto"/>
        <w:jc w:val="both"/>
        <w:rPr>
          <w:rFonts w:ascii="Book Antiqua" w:hAnsi="Book Antiqua"/>
        </w:rPr>
      </w:pPr>
    </w:p>
    <w:p w14:paraId="39BC1208" w14:textId="577C2679"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b/>
          <w:bCs/>
          <w:color w:val="000000"/>
        </w:rPr>
        <w:t xml:space="preserve">Author contributions: </w:t>
      </w:r>
      <w:r w:rsidR="00575607" w:rsidRPr="00DA5A6A">
        <w:rPr>
          <w:rFonts w:ascii="Book Antiqua" w:eastAsia="Book Antiqua" w:hAnsi="Book Antiqua" w:cs="Book Antiqua"/>
          <w:color w:val="000000"/>
        </w:rPr>
        <w:t>O'Reilly D</w:t>
      </w:r>
      <w:r w:rsidRPr="00DA5A6A">
        <w:rPr>
          <w:rFonts w:ascii="Book Antiqua" w:eastAsia="Book Antiqua" w:hAnsi="Book Antiqua" w:cs="Book Antiqua"/>
          <w:color w:val="000000"/>
        </w:rPr>
        <w:t xml:space="preserve"> wrote the main body of the manuscript</w:t>
      </w:r>
      <w:r w:rsidR="00575607" w:rsidRPr="00DA5A6A">
        <w:rPr>
          <w:rFonts w:ascii="Book Antiqua" w:eastAsia="Book Antiqua" w:hAnsi="Book Antiqua" w:cs="Book Antiqua"/>
          <w:color w:val="000000"/>
        </w:rPr>
        <w:t>;</w:t>
      </w:r>
      <w:r w:rsidRPr="00DA5A6A">
        <w:rPr>
          <w:rFonts w:ascii="Book Antiqua" w:eastAsia="Book Antiqua" w:hAnsi="Book Antiqua" w:cs="Book Antiqua"/>
          <w:color w:val="000000"/>
        </w:rPr>
        <w:t xml:space="preserve"> </w:t>
      </w:r>
      <w:r w:rsidR="00575607" w:rsidRPr="00DA5A6A">
        <w:rPr>
          <w:rFonts w:ascii="Book Antiqua" w:eastAsia="Book Antiqua" w:hAnsi="Book Antiqua" w:cs="Book Antiqua"/>
          <w:color w:val="000000"/>
        </w:rPr>
        <w:t>Sendi MA</w:t>
      </w:r>
      <w:r w:rsidRPr="00DA5A6A">
        <w:rPr>
          <w:rFonts w:ascii="Book Antiqua" w:eastAsia="Book Antiqua" w:hAnsi="Book Antiqua" w:cs="Book Antiqua"/>
          <w:color w:val="000000"/>
        </w:rPr>
        <w:t xml:space="preserve"> wrote the section on targeted therapies and reviewed the manuscript</w:t>
      </w:r>
      <w:r w:rsidR="00575607" w:rsidRPr="00DA5A6A">
        <w:rPr>
          <w:rFonts w:ascii="Book Antiqua" w:eastAsia="Book Antiqua" w:hAnsi="Book Antiqua" w:cs="Book Antiqua"/>
          <w:color w:val="000000"/>
        </w:rPr>
        <w:t>;</w:t>
      </w:r>
      <w:r w:rsidRPr="00DA5A6A">
        <w:rPr>
          <w:rFonts w:ascii="Book Antiqua" w:eastAsia="Book Antiqua" w:hAnsi="Book Antiqua" w:cs="Book Antiqua"/>
          <w:color w:val="000000"/>
        </w:rPr>
        <w:t xml:space="preserve"> </w:t>
      </w:r>
      <w:r w:rsidR="00575607" w:rsidRPr="00DA5A6A">
        <w:rPr>
          <w:rFonts w:ascii="Book Antiqua" w:eastAsia="Book Antiqua" w:hAnsi="Book Antiqua" w:cs="Book Antiqua"/>
          <w:color w:val="000000"/>
        </w:rPr>
        <w:t>Kelly CM</w:t>
      </w:r>
      <w:r w:rsidRPr="00DA5A6A">
        <w:rPr>
          <w:rFonts w:ascii="Book Antiqua" w:eastAsia="Book Antiqua" w:hAnsi="Book Antiqua" w:cs="Book Antiqua"/>
          <w:color w:val="000000"/>
        </w:rPr>
        <w:t xml:space="preserve"> provided guidance in the structure of the manuscript and reviewed the manuscript as the senior author.</w:t>
      </w:r>
    </w:p>
    <w:p w14:paraId="7F0C934C" w14:textId="77777777" w:rsidR="00A77B3E" w:rsidRPr="00DA5A6A" w:rsidRDefault="00A77B3E" w:rsidP="00DA5A6A">
      <w:pPr>
        <w:spacing w:line="360" w:lineRule="auto"/>
        <w:jc w:val="both"/>
        <w:rPr>
          <w:rFonts w:ascii="Book Antiqua" w:hAnsi="Book Antiqua"/>
        </w:rPr>
      </w:pPr>
    </w:p>
    <w:p w14:paraId="207BB503" w14:textId="5CF4CFBD"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b/>
          <w:bCs/>
          <w:color w:val="000000"/>
        </w:rPr>
        <w:t xml:space="preserve">Corresponding author: David O'Reilly, MBChB, MRCP, Academic Fellow, </w:t>
      </w:r>
      <w:r w:rsidRPr="00DA5A6A">
        <w:rPr>
          <w:rFonts w:ascii="Book Antiqua" w:eastAsia="Book Antiqua" w:hAnsi="Book Antiqua" w:cs="Book Antiqua"/>
          <w:color w:val="000000"/>
        </w:rPr>
        <w:t xml:space="preserve">Department of Medical Oncology, Mater Misericordiae University Hospital, </w:t>
      </w:r>
      <w:r w:rsidR="00A72919" w:rsidRPr="00DA5A6A">
        <w:rPr>
          <w:rFonts w:ascii="Book Antiqua" w:eastAsia="Book Antiqua" w:hAnsi="Book Antiqua" w:cs="Book Antiqua"/>
          <w:color w:val="000000"/>
        </w:rPr>
        <w:t xml:space="preserve">Eccles St, </w:t>
      </w:r>
      <w:r w:rsidRPr="00DA5A6A">
        <w:rPr>
          <w:rFonts w:ascii="Book Antiqua" w:eastAsia="Book Antiqua" w:hAnsi="Book Antiqua" w:cs="Book Antiqua"/>
          <w:color w:val="000000"/>
        </w:rPr>
        <w:t>Dublin</w:t>
      </w:r>
      <w:r w:rsidR="00545A36" w:rsidRPr="00DA5A6A">
        <w:rPr>
          <w:rFonts w:ascii="Book Antiqua" w:eastAsia="Book Antiqua" w:hAnsi="Book Antiqua" w:cs="Book Antiqua"/>
          <w:color w:val="000000"/>
        </w:rPr>
        <w:t xml:space="preserve"> 1</w:t>
      </w:r>
      <w:r w:rsidRPr="00DA5A6A">
        <w:rPr>
          <w:rFonts w:ascii="Book Antiqua" w:eastAsia="Book Antiqua" w:hAnsi="Book Antiqua" w:cs="Book Antiqua"/>
          <w:color w:val="000000"/>
        </w:rPr>
        <w:t>, Ireland. oreilld8@tcd.ie</w:t>
      </w:r>
    </w:p>
    <w:p w14:paraId="44DBE4DE" w14:textId="77777777" w:rsidR="00A77B3E" w:rsidRPr="00DA5A6A" w:rsidRDefault="00A77B3E" w:rsidP="00DA5A6A">
      <w:pPr>
        <w:spacing w:line="360" w:lineRule="auto"/>
        <w:jc w:val="both"/>
        <w:rPr>
          <w:rFonts w:ascii="Book Antiqua" w:hAnsi="Book Antiqua"/>
        </w:rPr>
      </w:pPr>
    </w:p>
    <w:p w14:paraId="42E7FC01" w14:textId="77777777"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b/>
          <w:bCs/>
          <w:color w:val="000000"/>
        </w:rPr>
        <w:t xml:space="preserve">Received: </w:t>
      </w:r>
      <w:r w:rsidRPr="00DA5A6A">
        <w:rPr>
          <w:rFonts w:ascii="Book Antiqua" w:eastAsia="Book Antiqua" w:hAnsi="Book Antiqua" w:cs="Book Antiqua"/>
          <w:color w:val="000000"/>
        </w:rPr>
        <w:t>November 26, 2020</w:t>
      </w:r>
    </w:p>
    <w:p w14:paraId="58BB86A8" w14:textId="77777777"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b/>
          <w:bCs/>
          <w:color w:val="000000"/>
        </w:rPr>
        <w:t xml:space="preserve">Revised: </w:t>
      </w:r>
      <w:r w:rsidRPr="00DA5A6A">
        <w:rPr>
          <w:rFonts w:ascii="Book Antiqua" w:eastAsia="Book Antiqua" w:hAnsi="Book Antiqua" w:cs="Book Antiqua"/>
          <w:color w:val="000000"/>
        </w:rPr>
        <w:t>January 2, 2021</w:t>
      </w:r>
    </w:p>
    <w:p w14:paraId="2D29C222" w14:textId="515E365D"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b/>
          <w:bCs/>
          <w:color w:val="000000"/>
        </w:rPr>
        <w:t xml:space="preserve">Accepted: </w:t>
      </w:r>
      <w:r w:rsidR="00AF122F" w:rsidRPr="00AF122F">
        <w:rPr>
          <w:rFonts w:ascii="Book Antiqua" w:eastAsia="Book Antiqua" w:hAnsi="Book Antiqua" w:cs="Book Antiqua"/>
          <w:color w:val="000000"/>
        </w:rPr>
        <w:t>March 1, 2021</w:t>
      </w:r>
    </w:p>
    <w:p w14:paraId="360969CB" w14:textId="77777777"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b/>
          <w:bCs/>
          <w:color w:val="000000"/>
        </w:rPr>
        <w:t xml:space="preserve">Published online: </w:t>
      </w:r>
    </w:p>
    <w:p w14:paraId="222C699D" w14:textId="77777777" w:rsidR="00A77B3E" w:rsidRPr="00DA5A6A" w:rsidRDefault="00A77B3E" w:rsidP="00DA5A6A">
      <w:pPr>
        <w:spacing w:line="360" w:lineRule="auto"/>
        <w:jc w:val="both"/>
        <w:rPr>
          <w:rFonts w:ascii="Book Antiqua" w:hAnsi="Book Antiqua"/>
        </w:rPr>
        <w:sectPr w:rsidR="00A77B3E" w:rsidRPr="00DA5A6A">
          <w:footerReference w:type="default" r:id="rId7"/>
          <w:pgSz w:w="12240" w:h="15840"/>
          <w:pgMar w:top="1440" w:right="1440" w:bottom="1440" w:left="1440" w:header="720" w:footer="720" w:gutter="0"/>
          <w:cols w:space="720"/>
          <w:docGrid w:linePitch="360"/>
        </w:sectPr>
      </w:pPr>
    </w:p>
    <w:p w14:paraId="1CDC6FD9" w14:textId="77777777"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b/>
          <w:color w:val="000000"/>
        </w:rPr>
        <w:lastRenderedPageBreak/>
        <w:t>Abstract</w:t>
      </w:r>
    </w:p>
    <w:p w14:paraId="4FBB9A11" w14:textId="1E7F004B"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color w:val="000000"/>
        </w:rPr>
        <w:t xml:space="preserve">Metastatic triple negative breast cancer (TNBC) has an aggressive phenotype with a predilection for visceral organs and brain. Best responses to chemotherapy are predominately in the first line. Recent studies have demonstrated improved progression free survival with the combination of atezolizumab/pembrolizumab and chemotherapy in </w:t>
      </w:r>
      <w:r w:rsidR="007D5F41" w:rsidRPr="00DA5A6A">
        <w:rPr>
          <w:rFonts w:ascii="Book Antiqua" w:eastAsia="Book Antiqua" w:hAnsi="Book Antiqua" w:cs="Book Antiqua"/>
          <w:color w:val="000000"/>
        </w:rPr>
        <w:t>programmed death-ligand 1</w:t>
      </w:r>
      <w:r w:rsidRPr="00DA5A6A">
        <w:rPr>
          <w:rFonts w:ascii="Book Antiqua" w:eastAsia="Book Antiqua" w:hAnsi="Book Antiqua" w:cs="Book Antiqua"/>
          <w:color w:val="000000"/>
        </w:rPr>
        <w:t xml:space="preserve"> positive metastatic TNBC. However, a recent trial in a similar population showed no benefit for atezolizumab and paclitaxel which led to a </w:t>
      </w:r>
      <w:r w:rsidR="00A44688" w:rsidRPr="00DA5A6A">
        <w:rPr>
          <w:rFonts w:ascii="Book Antiqua" w:eastAsia="Book Antiqua" w:hAnsi="Book Antiqua" w:cs="Book Antiqua"/>
          <w:color w:val="000000"/>
        </w:rPr>
        <w:t>Food and Drug Administration</w:t>
      </w:r>
      <w:r w:rsidRPr="00DA5A6A">
        <w:rPr>
          <w:rFonts w:ascii="Book Antiqua" w:eastAsia="Book Antiqua" w:hAnsi="Book Antiqua" w:cs="Book Antiqua"/>
          <w:color w:val="000000"/>
        </w:rPr>
        <w:t xml:space="preserve"> alert. Two phase III trials (OLYMPIAD </w:t>
      </w:r>
      <w:r w:rsidR="00A44688" w:rsidRPr="00DA5A6A">
        <w:rPr>
          <w:rFonts w:ascii="Book Antiqua" w:eastAsia="Book Antiqua" w:hAnsi="Book Antiqua" w:cs="Book Antiqua"/>
          <w:color w:val="000000"/>
        </w:rPr>
        <w:t>and</w:t>
      </w:r>
      <w:r w:rsidRPr="00DA5A6A">
        <w:rPr>
          <w:rFonts w:ascii="Book Antiqua" w:eastAsia="Book Antiqua" w:hAnsi="Book Antiqua" w:cs="Book Antiqua"/>
          <w:color w:val="000000"/>
        </w:rPr>
        <w:t xml:space="preserve"> BROCADE3) demonstrated a benefit in progression free survival (PFS) but not overall survival in patients with BRCA-associated metastatic TNBC treated with Olaparib or </w:t>
      </w:r>
      <w:bookmarkStart w:id="1" w:name="OLE_LINK2581"/>
      <w:r w:rsidRPr="00DA5A6A">
        <w:rPr>
          <w:rFonts w:ascii="Book Antiqua" w:eastAsia="Book Antiqua" w:hAnsi="Book Antiqua" w:cs="Book Antiqua"/>
          <w:color w:val="000000"/>
        </w:rPr>
        <w:t>Talazoparib</w:t>
      </w:r>
      <w:bookmarkEnd w:id="1"/>
      <w:r w:rsidRPr="00DA5A6A">
        <w:rPr>
          <w:rFonts w:ascii="Book Antiqua" w:eastAsia="Book Antiqua" w:hAnsi="Book Antiqua" w:cs="Book Antiqua"/>
          <w:color w:val="000000"/>
        </w:rPr>
        <w:t xml:space="preserve"> respectively. For those treated with Talazoparib, the time to deterioration in health related-quality of life was also longer compared to chemotherapy. The BROCADE3 trial demonstrated that the combination of a platinum and veliparib increased PFS in first-line metastatic TNBC but at the cost of increased toxicity. There are no head-to-head comparisons of a poly (</w:t>
      </w:r>
      <w:r w:rsidR="00A44688" w:rsidRPr="00DA5A6A">
        <w:rPr>
          <w:rFonts w:ascii="Book Antiqua" w:eastAsia="Book Antiqua" w:hAnsi="Book Antiqua" w:cs="Book Antiqua"/>
          <w:color w:val="000000"/>
        </w:rPr>
        <w:t>adenosine diphosphat</w:t>
      </w:r>
      <w:r w:rsidR="00D77E05" w:rsidRPr="00DA5A6A">
        <w:rPr>
          <w:rFonts w:ascii="Book Antiqua" w:eastAsia="Book Antiqua" w:hAnsi="Book Antiqua" w:cs="Book Antiqua"/>
          <w:color w:val="000000"/>
        </w:rPr>
        <w:t>e</w:t>
      </w:r>
      <w:r w:rsidRPr="00DA5A6A">
        <w:rPr>
          <w:rFonts w:ascii="Book Antiqua" w:eastAsia="Book Antiqua" w:hAnsi="Book Antiqua" w:cs="Book Antiqua"/>
          <w:color w:val="000000"/>
        </w:rPr>
        <w:t xml:space="preserve">-ribose) polymerase inhibitors (PARPi) and platinums. There are unanswered questions regarding the role of PARPi maintenance after platinum therapy as is standard of care in BRCA-associated ovarian cancer. Other areas of therapeutic interest include targeting aberrations in the </w:t>
      </w:r>
      <w:r w:rsidR="003F0112" w:rsidRPr="00DA5A6A">
        <w:rPr>
          <w:rFonts w:ascii="Book Antiqua" w:eastAsia="Book Antiqua" w:hAnsi="Book Antiqua" w:cs="Book Antiqua"/>
          <w:color w:val="000000"/>
          <w:shd w:val="clear" w:color="auto" w:fill="FFFFFF"/>
        </w:rPr>
        <w:t>phosphoinositide 3-kinase</w:t>
      </w:r>
      <w:r w:rsidRPr="00DA5A6A">
        <w:rPr>
          <w:rFonts w:ascii="Book Antiqua" w:eastAsia="Book Antiqua" w:hAnsi="Book Antiqua" w:cs="Book Antiqua"/>
          <w:color w:val="000000"/>
        </w:rPr>
        <w:t xml:space="preserve"> pathway, protein kinase B, mammalian target of rapamycin or utilising antibody drug conjugates. This review focusses on recent and emerging therapeutic options in metastatic TNBC. We searched </w:t>
      </w:r>
      <w:r w:rsidR="00AA0234" w:rsidRPr="00DA5A6A">
        <w:rPr>
          <w:rFonts w:ascii="Book Antiqua" w:eastAsia="Book Antiqua" w:hAnsi="Book Antiqua" w:cs="Book Antiqua"/>
          <w:color w:val="000000"/>
        </w:rPr>
        <w:t>P</w:t>
      </w:r>
      <w:r w:rsidRPr="00DA5A6A">
        <w:rPr>
          <w:rFonts w:ascii="Book Antiqua" w:eastAsia="Book Antiqua" w:hAnsi="Book Antiqua" w:cs="Book Antiqua"/>
          <w:color w:val="000000"/>
        </w:rPr>
        <w:t>ub</w:t>
      </w:r>
      <w:r w:rsidR="00AA0234">
        <w:rPr>
          <w:rFonts w:ascii="Book Antiqua" w:eastAsia="Book Antiqua" w:hAnsi="Book Antiqua" w:cs="Book Antiqua"/>
          <w:color w:val="000000"/>
        </w:rPr>
        <w:t>M</w:t>
      </w:r>
      <w:r w:rsidRPr="00DA5A6A">
        <w:rPr>
          <w:rFonts w:ascii="Book Antiqua" w:eastAsia="Book Antiqua" w:hAnsi="Book Antiqua" w:cs="Book Antiqua"/>
          <w:color w:val="000000"/>
        </w:rPr>
        <w:t xml:space="preserve">ed, clinicaltrials.gov and recent international meetings from American Society of Clinical Oncology, San Antonio Breast Cancer Conference and the European Society of Medical Oncology. </w:t>
      </w:r>
    </w:p>
    <w:p w14:paraId="6B126DE4" w14:textId="77777777" w:rsidR="00A77B3E" w:rsidRPr="00DA5A6A" w:rsidRDefault="00A77B3E" w:rsidP="00DA5A6A">
      <w:pPr>
        <w:spacing w:line="360" w:lineRule="auto"/>
        <w:jc w:val="both"/>
        <w:rPr>
          <w:rFonts w:ascii="Book Antiqua" w:hAnsi="Book Antiqua"/>
        </w:rPr>
      </w:pPr>
    </w:p>
    <w:p w14:paraId="3D0EBD5D" w14:textId="0DA11FBA"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b/>
          <w:bCs/>
          <w:color w:val="000000"/>
        </w:rPr>
        <w:t xml:space="preserve">Key Words: </w:t>
      </w:r>
      <w:r w:rsidRPr="00DA5A6A">
        <w:rPr>
          <w:rFonts w:ascii="Book Antiqua" w:eastAsia="Book Antiqua" w:hAnsi="Book Antiqua" w:cs="Book Antiqua"/>
          <w:color w:val="000000"/>
        </w:rPr>
        <w:t xml:space="preserve">Triple negative breast cancer; Immunotherapy; </w:t>
      </w:r>
      <w:r w:rsidR="007F0354" w:rsidRPr="00DA5A6A">
        <w:rPr>
          <w:rFonts w:ascii="Book Antiqua" w:eastAsia="Book Antiqua" w:hAnsi="Book Antiqua" w:cs="Book Antiqua"/>
          <w:color w:val="000000"/>
        </w:rPr>
        <w:t>Poly (adenosine diphosphat</w:t>
      </w:r>
      <w:r w:rsidR="00D77E05" w:rsidRPr="00DA5A6A">
        <w:rPr>
          <w:rFonts w:ascii="Book Antiqua" w:eastAsia="Book Antiqua" w:hAnsi="Book Antiqua" w:cs="Book Antiqua"/>
          <w:color w:val="000000"/>
        </w:rPr>
        <w:t>e</w:t>
      </w:r>
      <w:r w:rsidR="007F0354" w:rsidRPr="00DA5A6A">
        <w:rPr>
          <w:rFonts w:ascii="Book Antiqua" w:eastAsia="Book Antiqua" w:hAnsi="Book Antiqua" w:cs="Book Antiqua"/>
          <w:color w:val="000000"/>
        </w:rPr>
        <w:t>-ribose) polymerase inhibitors</w:t>
      </w:r>
      <w:r w:rsidR="004C20FB" w:rsidRPr="00DA5A6A">
        <w:rPr>
          <w:rFonts w:ascii="Book Antiqua" w:eastAsia="Book Antiqua" w:hAnsi="Book Antiqua" w:cs="Book Antiqua"/>
          <w:color w:val="000000"/>
        </w:rPr>
        <w:t xml:space="preserve">; </w:t>
      </w:r>
      <w:r w:rsidR="004C20FB" w:rsidRPr="00DA5A6A">
        <w:rPr>
          <w:rFonts w:ascii="Book Antiqua" w:eastAsia="Book Antiqua" w:hAnsi="Book Antiqua" w:cs="Book Antiqua"/>
          <w:bCs/>
          <w:color w:val="000000"/>
        </w:rPr>
        <w:t>Breast cancer</w:t>
      </w:r>
    </w:p>
    <w:p w14:paraId="7983643C" w14:textId="77777777" w:rsidR="00A77B3E" w:rsidRPr="00DA5A6A" w:rsidRDefault="00A77B3E" w:rsidP="00DA5A6A">
      <w:pPr>
        <w:spacing w:line="360" w:lineRule="auto"/>
        <w:jc w:val="both"/>
        <w:rPr>
          <w:rFonts w:ascii="Book Antiqua" w:hAnsi="Book Antiqua"/>
        </w:rPr>
      </w:pPr>
    </w:p>
    <w:p w14:paraId="7A0C407F" w14:textId="77777777" w:rsidR="00D77E05" w:rsidRPr="00DA5A6A" w:rsidRDefault="00F74C48" w:rsidP="00DA5A6A">
      <w:pPr>
        <w:spacing w:line="360" w:lineRule="auto"/>
        <w:jc w:val="both"/>
        <w:rPr>
          <w:rFonts w:ascii="Book Antiqua" w:hAnsi="Book Antiqua"/>
        </w:rPr>
      </w:pPr>
      <w:r w:rsidRPr="00DA5A6A">
        <w:rPr>
          <w:rFonts w:ascii="Book Antiqua" w:eastAsia="Book Antiqua" w:hAnsi="Book Antiqua" w:cs="Book Antiqua"/>
          <w:color w:val="000000"/>
        </w:rPr>
        <w:t>O'Reilly D, Sendi M</w:t>
      </w:r>
      <w:r w:rsidR="0022295F" w:rsidRPr="00DA5A6A">
        <w:rPr>
          <w:rFonts w:ascii="Book Antiqua" w:eastAsia="Book Antiqua" w:hAnsi="Book Antiqua" w:cs="Book Antiqua"/>
          <w:color w:val="000000"/>
        </w:rPr>
        <w:t>A</w:t>
      </w:r>
      <w:r w:rsidRPr="00DA5A6A">
        <w:rPr>
          <w:rFonts w:ascii="Book Antiqua" w:eastAsia="Book Antiqua" w:hAnsi="Book Antiqua" w:cs="Book Antiqua"/>
          <w:color w:val="000000"/>
        </w:rPr>
        <w:t xml:space="preserve">, Kelly CM. </w:t>
      </w:r>
      <w:r w:rsidR="0022295F" w:rsidRPr="00DA5A6A">
        <w:rPr>
          <w:rFonts w:ascii="Book Antiqua" w:eastAsia="Book Antiqua" w:hAnsi="Book Antiqua" w:cs="Book Antiqua"/>
          <w:color w:val="000000"/>
        </w:rPr>
        <w:t>O</w:t>
      </w:r>
      <w:r w:rsidRPr="00DA5A6A">
        <w:rPr>
          <w:rFonts w:ascii="Book Antiqua" w:eastAsia="Book Antiqua" w:hAnsi="Book Antiqua" w:cs="Book Antiqua"/>
          <w:color w:val="000000"/>
        </w:rPr>
        <w:t xml:space="preserve">verview of recent advances in metastatic triple negative breast cancer. </w:t>
      </w:r>
      <w:r w:rsidRPr="00DA5A6A">
        <w:rPr>
          <w:rFonts w:ascii="Book Antiqua" w:eastAsia="Book Antiqua" w:hAnsi="Book Antiqua" w:cs="Book Antiqua"/>
          <w:i/>
          <w:iCs/>
          <w:color w:val="000000"/>
        </w:rPr>
        <w:t>World J Clin Oncol</w:t>
      </w:r>
      <w:r w:rsidRPr="00DA5A6A">
        <w:rPr>
          <w:rFonts w:ascii="Book Antiqua" w:eastAsia="Book Antiqua" w:hAnsi="Book Antiqua" w:cs="Book Antiqua"/>
          <w:color w:val="000000"/>
        </w:rPr>
        <w:t xml:space="preserve"> 2021; In press</w:t>
      </w:r>
    </w:p>
    <w:p w14:paraId="69C73B59" w14:textId="590F84D3" w:rsidR="00D77E05" w:rsidRPr="00DA5A6A" w:rsidRDefault="00F74C48" w:rsidP="00D42DA4">
      <w:pPr>
        <w:spacing w:line="360" w:lineRule="auto"/>
        <w:jc w:val="both"/>
        <w:rPr>
          <w:rFonts w:ascii="Book Antiqua" w:hAnsi="Book Antiqua"/>
        </w:rPr>
      </w:pPr>
      <w:r w:rsidRPr="00DA5A6A">
        <w:rPr>
          <w:rFonts w:ascii="Book Antiqua" w:eastAsia="Book Antiqua" w:hAnsi="Book Antiqua" w:cs="Book Antiqua"/>
          <w:b/>
          <w:bCs/>
          <w:color w:val="000000"/>
        </w:rPr>
        <w:lastRenderedPageBreak/>
        <w:t xml:space="preserve">Core Tip: </w:t>
      </w:r>
      <w:r w:rsidR="00D77E05" w:rsidRPr="00DA5A6A">
        <w:rPr>
          <w:rFonts w:ascii="Book Antiqua" w:eastAsia="Book Antiqua" w:hAnsi="Book Antiqua" w:cs="Book Antiqua"/>
          <w:color w:val="000000"/>
          <w:shd w:val="clear" w:color="auto" w:fill="FFFFFF"/>
        </w:rPr>
        <w:t xml:space="preserve">Despite recent advances, chemotherapy remains integral to the management of advanced </w:t>
      </w:r>
      <w:r w:rsidR="00D42DA4" w:rsidRPr="00DA5A6A">
        <w:rPr>
          <w:rFonts w:ascii="Book Antiqua" w:eastAsia="Book Antiqua" w:hAnsi="Book Antiqua" w:cs="Book Antiqua"/>
          <w:color w:val="000000"/>
        </w:rPr>
        <w:t>triple negative breast cancer</w:t>
      </w:r>
      <w:r w:rsidR="00D77E05" w:rsidRPr="00DA5A6A">
        <w:rPr>
          <w:rFonts w:ascii="Book Antiqua" w:eastAsia="Book Antiqua" w:hAnsi="Book Antiqua" w:cs="Book Antiqua"/>
          <w:color w:val="000000"/>
          <w:shd w:val="clear" w:color="auto" w:fill="FFFFFF"/>
        </w:rPr>
        <w:t>.</w:t>
      </w:r>
      <w:r w:rsidR="00D42DA4">
        <w:rPr>
          <w:rFonts w:ascii="Book Antiqua" w:hAnsi="Book Antiqua" w:hint="eastAsia"/>
          <w:lang w:eastAsia="zh-CN"/>
        </w:rPr>
        <w:t xml:space="preserve"> </w:t>
      </w:r>
      <w:r w:rsidR="00D77E05" w:rsidRPr="00DA5A6A">
        <w:rPr>
          <w:rFonts w:ascii="Book Antiqua" w:eastAsia="Book Antiqua" w:hAnsi="Book Antiqua" w:cs="Book Antiqua"/>
          <w:color w:val="000000"/>
          <w:shd w:val="clear" w:color="auto" w:fill="FFFFFF"/>
        </w:rPr>
        <w:t xml:space="preserve">Immunotherapy and </w:t>
      </w:r>
      <w:r w:rsidR="00D42DA4" w:rsidRPr="00DA5A6A">
        <w:rPr>
          <w:rFonts w:ascii="Book Antiqua" w:eastAsia="Book Antiqua" w:hAnsi="Book Antiqua" w:cs="Book Antiqua"/>
          <w:color w:val="000000"/>
        </w:rPr>
        <w:t>poly (adenosine diphosphate-ribose) polymerase inhibitors</w:t>
      </w:r>
      <w:r w:rsidR="00D77E05" w:rsidRPr="00DA5A6A">
        <w:rPr>
          <w:rFonts w:ascii="Book Antiqua" w:eastAsia="Book Antiqua" w:hAnsi="Book Antiqua" w:cs="Book Antiqua"/>
          <w:color w:val="000000"/>
          <w:shd w:val="clear" w:color="auto" w:fill="FFFFFF"/>
        </w:rPr>
        <w:t xml:space="preserve"> have shown much promise but have yet to demonstrate a proven </w:t>
      </w:r>
      <w:r w:rsidR="00D42DA4" w:rsidRPr="00DA5A6A">
        <w:rPr>
          <w:rFonts w:ascii="Book Antiqua" w:eastAsia="Book Antiqua" w:hAnsi="Book Antiqua" w:cs="Book Antiqua"/>
          <w:color w:val="000000"/>
        </w:rPr>
        <w:t>overall survival</w:t>
      </w:r>
      <w:r w:rsidR="00D77E05" w:rsidRPr="00DA5A6A">
        <w:rPr>
          <w:rFonts w:ascii="Book Antiqua" w:eastAsia="Book Antiqua" w:hAnsi="Book Antiqua" w:cs="Book Antiqua"/>
          <w:color w:val="000000"/>
          <w:shd w:val="clear" w:color="auto" w:fill="FFFFFF"/>
        </w:rPr>
        <w:t xml:space="preserve"> benefit in this disease.</w:t>
      </w:r>
      <w:r w:rsidR="00D42DA4">
        <w:rPr>
          <w:rFonts w:ascii="Book Antiqua" w:hAnsi="Book Antiqua" w:hint="eastAsia"/>
          <w:lang w:eastAsia="zh-CN"/>
        </w:rPr>
        <w:t xml:space="preserve"> </w:t>
      </w:r>
      <w:r w:rsidR="00D77E05" w:rsidRPr="00DA5A6A">
        <w:rPr>
          <w:rFonts w:ascii="Book Antiqua" w:eastAsia="Book Antiqua" w:hAnsi="Book Antiqua" w:cs="Book Antiqua"/>
          <w:color w:val="000000"/>
          <w:shd w:val="clear" w:color="auto" w:fill="FFFFFF"/>
        </w:rPr>
        <w:t>Antibody drug conjugates and other targeted therapies may ultimately prove to be the next frontier in treating this illness.</w:t>
      </w:r>
    </w:p>
    <w:p w14:paraId="3FAE9042" w14:textId="77777777" w:rsidR="00A77B3E" w:rsidRPr="00DA5A6A" w:rsidRDefault="00A77B3E" w:rsidP="00DA5A6A">
      <w:pPr>
        <w:spacing w:line="360" w:lineRule="auto"/>
        <w:jc w:val="both"/>
        <w:rPr>
          <w:rFonts w:ascii="Book Antiqua" w:hAnsi="Book Antiqua"/>
        </w:rPr>
      </w:pPr>
    </w:p>
    <w:p w14:paraId="26E10580" w14:textId="2918135B" w:rsidR="00A77B3E" w:rsidRPr="00DA5A6A" w:rsidRDefault="00A22F4B" w:rsidP="00DA5A6A">
      <w:pPr>
        <w:spacing w:line="360" w:lineRule="auto"/>
        <w:jc w:val="both"/>
        <w:rPr>
          <w:rFonts w:ascii="Book Antiqua" w:hAnsi="Book Antiqua"/>
        </w:rPr>
      </w:pPr>
      <w:r w:rsidRPr="00DA5A6A">
        <w:rPr>
          <w:rFonts w:ascii="Book Antiqua" w:eastAsia="Book Antiqua" w:hAnsi="Book Antiqua" w:cs="Book Antiqua"/>
          <w:b/>
          <w:caps/>
          <w:color w:val="000000"/>
          <w:u w:val="single"/>
        </w:rPr>
        <w:br w:type="page"/>
      </w:r>
      <w:r w:rsidR="00F74C48" w:rsidRPr="00DA5A6A">
        <w:rPr>
          <w:rFonts w:ascii="Book Antiqua" w:eastAsia="Book Antiqua" w:hAnsi="Book Antiqua" w:cs="Book Antiqua"/>
          <w:b/>
          <w:caps/>
          <w:color w:val="000000"/>
          <w:u w:val="single"/>
        </w:rPr>
        <w:lastRenderedPageBreak/>
        <w:t>INTRODUCTION</w:t>
      </w:r>
    </w:p>
    <w:p w14:paraId="219CCAF4" w14:textId="51FA3EC3"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color w:val="000000"/>
        </w:rPr>
        <w:t>Triple negative breast cancer (TNBC) accounts for approximately 15% of breast cancers and is characterised by the absence of expression of the estrogen receptor (ER), progesterone receptor (PR) and human epidermal growth factor 2 receptor (HER2) expression</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1</w:t>
      </w:r>
      <w:r w:rsidR="00927219">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3</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w:t>
      </w:r>
    </w:p>
    <w:p w14:paraId="1722C91C" w14:textId="00E07854" w:rsidR="00A77B3E" w:rsidRPr="00DA5A6A" w:rsidRDefault="00F74C48" w:rsidP="00DA5A6A">
      <w:pPr>
        <w:spacing w:line="360" w:lineRule="auto"/>
        <w:ind w:firstLineChars="200" w:firstLine="480"/>
        <w:jc w:val="both"/>
        <w:rPr>
          <w:rFonts w:ascii="Book Antiqua" w:hAnsi="Book Antiqua"/>
        </w:rPr>
      </w:pPr>
      <w:r w:rsidRPr="00DA5A6A">
        <w:rPr>
          <w:rFonts w:ascii="Book Antiqua" w:eastAsia="Book Antiqua" w:hAnsi="Book Antiqua" w:cs="Book Antiqua"/>
          <w:color w:val="000000"/>
        </w:rPr>
        <w:t xml:space="preserve">Triple negative breast cancers are most often high grade invasive ductal carcinomas </w:t>
      </w:r>
      <w:r w:rsidR="00D77E05" w:rsidRPr="00DA5A6A">
        <w:rPr>
          <w:rFonts w:ascii="Book Antiqua" w:eastAsia="Book Antiqua" w:hAnsi="Book Antiqua" w:cs="Book Antiqua"/>
          <w:color w:val="000000"/>
        </w:rPr>
        <w:t xml:space="preserve">which are </w:t>
      </w:r>
      <w:r w:rsidRPr="00DA5A6A">
        <w:rPr>
          <w:rFonts w:ascii="Book Antiqua" w:eastAsia="Book Antiqua" w:hAnsi="Book Antiqua" w:cs="Book Antiqua"/>
          <w:color w:val="000000"/>
        </w:rPr>
        <w:t>characterised by an aggressive clinical phenotype. There are some rarer histological subtypes such as adenoid cystic carcinoma of the breast that is associated with an excellent prognosis.</w:t>
      </w:r>
    </w:p>
    <w:p w14:paraId="45824B5E" w14:textId="51DB5572" w:rsidR="00A77B3E" w:rsidRPr="00DA5A6A" w:rsidRDefault="00F74C48" w:rsidP="00DA5A6A">
      <w:pPr>
        <w:spacing w:line="360" w:lineRule="auto"/>
        <w:ind w:firstLineChars="200" w:firstLine="480"/>
        <w:jc w:val="both"/>
        <w:rPr>
          <w:rFonts w:ascii="Book Antiqua" w:hAnsi="Book Antiqua"/>
        </w:rPr>
      </w:pPr>
      <w:r w:rsidRPr="00DA5A6A">
        <w:rPr>
          <w:rFonts w:ascii="Book Antiqua" w:eastAsia="Book Antiqua" w:hAnsi="Book Antiqua" w:cs="Book Antiqua"/>
          <w:color w:val="000000"/>
        </w:rPr>
        <w:t xml:space="preserve">Even for those with localised disease, approximately 25% </w:t>
      </w:r>
      <w:r w:rsidR="00D77E05" w:rsidRPr="00DA5A6A">
        <w:rPr>
          <w:rFonts w:ascii="Book Antiqua" w:eastAsia="Book Antiqua" w:hAnsi="Book Antiqua" w:cs="Book Antiqua"/>
          <w:color w:val="000000"/>
        </w:rPr>
        <w:t xml:space="preserve">of patients </w:t>
      </w:r>
      <w:r w:rsidRPr="00DA5A6A">
        <w:rPr>
          <w:rFonts w:ascii="Book Antiqua" w:eastAsia="Book Antiqua" w:hAnsi="Book Antiqua" w:cs="Book Antiqua"/>
          <w:color w:val="000000"/>
        </w:rPr>
        <w:t>will relapse with distant metastasis. For patients with advanced or stage IV disease, the median overall survival</w:t>
      </w:r>
      <w:r w:rsidR="00970DFA">
        <w:rPr>
          <w:rFonts w:ascii="Book Antiqua" w:eastAsia="Book Antiqua" w:hAnsi="Book Antiqua" w:cs="Book Antiqua"/>
          <w:color w:val="000000"/>
        </w:rPr>
        <w:t xml:space="preserve"> (OS)</w:t>
      </w:r>
      <w:r w:rsidRPr="00DA5A6A">
        <w:rPr>
          <w:rFonts w:ascii="Book Antiqua" w:eastAsia="Book Antiqua" w:hAnsi="Book Antiqua" w:cs="Book Antiqua"/>
          <w:color w:val="000000"/>
        </w:rPr>
        <w:t xml:space="preserve"> is in the region of 12 mo with fewer than 20 % of patients alive at four-years. This is in stark contrast to ER-positive/PR-positive/HER2-negative (ER +/PR +/HER2-) disease where the median </w:t>
      </w:r>
      <w:r w:rsidR="00970DFA">
        <w:rPr>
          <w:rFonts w:ascii="Book Antiqua" w:eastAsia="Book Antiqua" w:hAnsi="Book Antiqua" w:cs="Book Antiqua"/>
          <w:color w:val="000000"/>
        </w:rPr>
        <w:t>OS</w:t>
      </w:r>
      <w:r w:rsidRPr="00DA5A6A">
        <w:rPr>
          <w:rFonts w:ascii="Book Antiqua" w:eastAsia="Book Antiqua" w:hAnsi="Book Antiqua" w:cs="Book Antiqua"/>
          <w:color w:val="000000"/>
        </w:rPr>
        <w:t xml:space="preserve"> is closer to 36 mo and an estimated 40% of patients are alive at four years.</w:t>
      </w:r>
    </w:p>
    <w:p w14:paraId="2E9CE083" w14:textId="49177B18" w:rsidR="00A77B3E" w:rsidRPr="00DA5A6A" w:rsidRDefault="00F74C48" w:rsidP="00DA5A6A">
      <w:pPr>
        <w:spacing w:line="360" w:lineRule="auto"/>
        <w:ind w:firstLineChars="200" w:firstLine="480"/>
        <w:jc w:val="both"/>
        <w:rPr>
          <w:rFonts w:ascii="Book Antiqua" w:hAnsi="Book Antiqua"/>
        </w:rPr>
      </w:pPr>
      <w:r w:rsidRPr="00DA5A6A">
        <w:rPr>
          <w:rFonts w:ascii="Book Antiqua" w:eastAsia="Book Antiqua" w:hAnsi="Book Antiqua" w:cs="Book Antiqua"/>
          <w:color w:val="000000"/>
        </w:rPr>
        <w:t>TNBC disproportionately effects younger women and black women, with these groups three-times as likely to be diagnosed with TNBC</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4,5</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It has been estimated that 170000 women worldwide are diagnosed with TNBC each year of a total of 1 million breast cancer diagnoses</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6</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It is also the most common breast cancer subtype in patients who carry a mutation in the </w:t>
      </w:r>
      <w:r w:rsidRPr="00DA5A6A">
        <w:rPr>
          <w:rFonts w:ascii="Book Antiqua" w:eastAsia="Book Antiqua" w:hAnsi="Book Antiqua" w:cs="Book Antiqua"/>
          <w:i/>
          <w:iCs/>
          <w:color w:val="000000"/>
        </w:rPr>
        <w:t>BRC</w:t>
      </w:r>
      <w:r w:rsidR="00D77E05" w:rsidRPr="00DA5A6A">
        <w:rPr>
          <w:rFonts w:ascii="Book Antiqua" w:eastAsia="Book Antiqua" w:hAnsi="Book Antiqua" w:cs="Book Antiqua"/>
          <w:i/>
          <w:iCs/>
          <w:color w:val="000000"/>
        </w:rPr>
        <w:t>A</w:t>
      </w:r>
      <w:r w:rsidRPr="00DA5A6A">
        <w:rPr>
          <w:rFonts w:ascii="Book Antiqua" w:eastAsia="Book Antiqua" w:hAnsi="Book Antiqua" w:cs="Book Antiqua"/>
          <w:i/>
          <w:iCs/>
          <w:color w:val="000000"/>
        </w:rPr>
        <w:t>1</w:t>
      </w:r>
      <w:r w:rsidRPr="00DA5A6A">
        <w:rPr>
          <w:rFonts w:ascii="Book Antiqua" w:eastAsia="Book Antiqua" w:hAnsi="Book Antiqua" w:cs="Book Antiqua"/>
          <w:color w:val="000000"/>
        </w:rPr>
        <w:t xml:space="preserve"> gene.</w:t>
      </w:r>
    </w:p>
    <w:p w14:paraId="519E294E" w14:textId="70AF3883" w:rsidR="00A77B3E" w:rsidRPr="00DA5A6A" w:rsidRDefault="00F74C48" w:rsidP="00DA5A6A">
      <w:pPr>
        <w:spacing w:line="360" w:lineRule="auto"/>
        <w:ind w:firstLineChars="200" w:firstLine="480"/>
        <w:jc w:val="both"/>
        <w:rPr>
          <w:rFonts w:ascii="Book Antiqua" w:hAnsi="Book Antiqua"/>
        </w:rPr>
      </w:pPr>
      <w:r w:rsidRPr="00DA5A6A">
        <w:rPr>
          <w:rFonts w:ascii="Book Antiqua" w:eastAsia="Book Antiqua" w:hAnsi="Book Antiqua" w:cs="Book Antiqua"/>
          <w:color w:val="000000"/>
        </w:rPr>
        <w:t>Advances in the treatment of HER2-positive breast cancer have resulted in clinical outcomes similar to those with ER+/PR+/HER2- disease however advances in triple negative breast cancer have been much slower</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7</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In this article, we will review the biological features of advanced TNBC and explore the expanding treatment options for this aggressive disease.</w:t>
      </w:r>
    </w:p>
    <w:p w14:paraId="0AE3C0E2" w14:textId="77777777" w:rsidR="00A77B3E" w:rsidRPr="00DA5A6A" w:rsidRDefault="00A77B3E" w:rsidP="00DA5A6A">
      <w:pPr>
        <w:spacing w:line="360" w:lineRule="auto"/>
        <w:jc w:val="both"/>
        <w:rPr>
          <w:rFonts w:ascii="Book Antiqua" w:hAnsi="Book Antiqua"/>
        </w:rPr>
      </w:pPr>
    </w:p>
    <w:p w14:paraId="5E6B4357" w14:textId="3F511BD4" w:rsidR="00A77B3E" w:rsidRPr="00DA5A6A" w:rsidRDefault="00F74C48" w:rsidP="00DA5A6A">
      <w:pPr>
        <w:spacing w:line="360" w:lineRule="auto"/>
        <w:jc w:val="both"/>
        <w:rPr>
          <w:rFonts w:ascii="Book Antiqua" w:eastAsia="Book Antiqua" w:hAnsi="Book Antiqua" w:cs="Book Antiqua"/>
          <w:b/>
          <w:caps/>
          <w:color w:val="000000"/>
          <w:u w:val="single"/>
        </w:rPr>
      </w:pPr>
      <w:r w:rsidRPr="00DA5A6A">
        <w:rPr>
          <w:rFonts w:ascii="Book Antiqua" w:eastAsia="Book Antiqua" w:hAnsi="Book Antiqua" w:cs="Book Antiqua"/>
          <w:b/>
          <w:caps/>
          <w:color w:val="000000"/>
          <w:u w:val="single"/>
        </w:rPr>
        <w:t xml:space="preserve">Clinical </w:t>
      </w:r>
      <w:r w:rsidR="00CC6B4C" w:rsidRPr="00DA5A6A">
        <w:rPr>
          <w:rFonts w:ascii="Book Antiqua" w:eastAsia="Book Antiqua" w:hAnsi="Book Antiqua" w:cs="Book Antiqua"/>
          <w:b/>
          <w:caps/>
          <w:color w:val="000000"/>
          <w:u w:val="single"/>
        </w:rPr>
        <w:t>f</w:t>
      </w:r>
      <w:r w:rsidRPr="00DA5A6A">
        <w:rPr>
          <w:rFonts w:ascii="Book Antiqua" w:eastAsia="Book Antiqua" w:hAnsi="Book Antiqua" w:cs="Book Antiqua"/>
          <w:b/>
          <w:caps/>
          <w:color w:val="000000"/>
          <w:u w:val="single"/>
        </w:rPr>
        <w:t xml:space="preserve">eatures of </w:t>
      </w:r>
      <w:r w:rsidR="00CC6B4C" w:rsidRPr="00DA5A6A">
        <w:rPr>
          <w:rFonts w:ascii="Book Antiqua" w:eastAsia="Book Antiqua" w:hAnsi="Book Antiqua" w:cs="Book Antiqua"/>
          <w:b/>
          <w:caps/>
          <w:color w:val="000000"/>
          <w:u w:val="single"/>
        </w:rPr>
        <w:t>m</w:t>
      </w:r>
      <w:r w:rsidRPr="00DA5A6A">
        <w:rPr>
          <w:rFonts w:ascii="Book Antiqua" w:eastAsia="Book Antiqua" w:hAnsi="Book Antiqua" w:cs="Book Antiqua"/>
          <w:b/>
          <w:caps/>
          <w:color w:val="000000"/>
          <w:u w:val="single"/>
        </w:rPr>
        <w:t xml:space="preserve">etastatic </w:t>
      </w:r>
      <w:r w:rsidR="00CC6B4C" w:rsidRPr="00DA5A6A">
        <w:rPr>
          <w:rFonts w:ascii="Book Antiqua" w:eastAsia="Book Antiqua" w:hAnsi="Book Antiqua" w:cs="Book Antiqua"/>
          <w:b/>
          <w:caps/>
          <w:color w:val="000000"/>
          <w:u w:val="single"/>
        </w:rPr>
        <w:t>TNBC</w:t>
      </w:r>
    </w:p>
    <w:p w14:paraId="54034502" w14:textId="4C4F8181"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color w:val="000000"/>
        </w:rPr>
        <w:t xml:space="preserve">Only 5% of patients with TNBC present with </w:t>
      </w:r>
      <w:r w:rsidRPr="00DA5A6A">
        <w:rPr>
          <w:rFonts w:ascii="Book Antiqua" w:eastAsia="Book Antiqua" w:hAnsi="Book Antiqua" w:cs="Book Antiqua"/>
          <w:i/>
          <w:iCs/>
          <w:color w:val="000000"/>
        </w:rPr>
        <w:t>de novo</w:t>
      </w:r>
      <w:r w:rsidRPr="00DA5A6A">
        <w:rPr>
          <w:rFonts w:ascii="Book Antiqua" w:eastAsia="Book Antiqua" w:hAnsi="Book Antiqua" w:cs="Book Antiqua"/>
          <w:color w:val="000000"/>
        </w:rPr>
        <w:t xml:space="preserve"> metastatic disease</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8</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The majority of patients unfortunately relapse following treatment with curative intent. The biological features of TNBC result in a unique clinical phenotype. It is characterized by a propensity </w:t>
      </w:r>
      <w:r w:rsidRPr="00DA5A6A">
        <w:rPr>
          <w:rFonts w:ascii="Book Antiqua" w:eastAsia="Book Antiqua" w:hAnsi="Book Antiqua" w:cs="Book Antiqua"/>
          <w:color w:val="000000"/>
        </w:rPr>
        <w:lastRenderedPageBreak/>
        <w:t>for visceral and brain metastases, absence of bone metastases and typically early relapse (&lt; 3 years).</w:t>
      </w:r>
    </w:p>
    <w:p w14:paraId="4059ECF7" w14:textId="2F0E9126" w:rsidR="00A77B3E" w:rsidRPr="00DA5A6A" w:rsidRDefault="00F74C48" w:rsidP="00DA5A6A">
      <w:pPr>
        <w:spacing w:line="360" w:lineRule="auto"/>
        <w:ind w:firstLineChars="200" w:firstLine="480"/>
        <w:jc w:val="both"/>
        <w:rPr>
          <w:rFonts w:ascii="Book Antiqua" w:hAnsi="Book Antiqua"/>
        </w:rPr>
      </w:pPr>
      <w:r w:rsidRPr="00DA5A6A">
        <w:rPr>
          <w:rFonts w:ascii="Book Antiqua" w:eastAsia="Book Antiqua" w:hAnsi="Book Antiqua" w:cs="Book Antiqua"/>
          <w:color w:val="000000"/>
        </w:rPr>
        <w:t xml:space="preserve">Data from a Canadian breast cancer cohort with 180 TNBC (1601 in total cohort) patients showed that these patients were much more likely to develop distant recurrence (HR = 2.6, </w:t>
      </w:r>
      <w:r w:rsidR="00CC6B4C" w:rsidRPr="00DA5A6A">
        <w:rPr>
          <w:rFonts w:ascii="Book Antiqua" w:eastAsia="Book Antiqua" w:hAnsi="Book Antiqua" w:cs="Book Antiqua"/>
          <w:i/>
          <w:iCs/>
          <w:color w:val="000000"/>
        </w:rPr>
        <w:t>P</w:t>
      </w:r>
      <w:r w:rsidRPr="00DA5A6A">
        <w:rPr>
          <w:rFonts w:ascii="Book Antiqua" w:eastAsia="Book Antiqua" w:hAnsi="Book Antiqua" w:cs="Book Antiqua"/>
          <w:color w:val="000000"/>
        </w:rPr>
        <w:t xml:space="preserve"> &lt;</w:t>
      </w:r>
      <w:r w:rsidR="00CC6B4C" w:rsidRPr="00DA5A6A">
        <w:rPr>
          <w:rFonts w:ascii="Book Antiqua" w:eastAsia="Book Antiqua" w:hAnsi="Book Antiqua" w:cs="Book Antiqua"/>
          <w:color w:val="000000"/>
        </w:rPr>
        <w:t xml:space="preserve"> </w:t>
      </w:r>
      <w:r w:rsidRPr="00DA5A6A">
        <w:rPr>
          <w:rFonts w:ascii="Book Antiqua" w:eastAsia="Book Antiqua" w:hAnsi="Book Antiqua" w:cs="Book Antiqua"/>
          <w:color w:val="000000"/>
        </w:rPr>
        <w:t xml:space="preserve">0.0001) or death (HR 3.2, </w:t>
      </w:r>
      <w:r w:rsidR="00CC6B4C" w:rsidRPr="00DA5A6A">
        <w:rPr>
          <w:rFonts w:ascii="Book Antiqua" w:eastAsia="Book Antiqua" w:hAnsi="Book Antiqua" w:cs="Book Antiqua"/>
          <w:i/>
          <w:iCs/>
          <w:color w:val="000000"/>
        </w:rPr>
        <w:t>P</w:t>
      </w:r>
      <w:r w:rsidRPr="00DA5A6A">
        <w:rPr>
          <w:rFonts w:ascii="Book Antiqua" w:eastAsia="Book Antiqua" w:hAnsi="Book Antiqua" w:cs="Book Antiqua"/>
          <w:color w:val="000000"/>
        </w:rPr>
        <w:t xml:space="preserve"> &lt;</w:t>
      </w:r>
      <w:r w:rsidR="00CC6B4C" w:rsidRPr="00DA5A6A">
        <w:rPr>
          <w:rFonts w:ascii="Book Antiqua" w:eastAsia="Book Antiqua" w:hAnsi="Book Antiqua" w:cs="Book Antiqua"/>
          <w:color w:val="000000"/>
        </w:rPr>
        <w:t xml:space="preserve"> </w:t>
      </w:r>
      <w:r w:rsidRPr="00DA5A6A">
        <w:rPr>
          <w:rFonts w:ascii="Book Antiqua" w:eastAsia="Book Antiqua" w:hAnsi="Book Antiqua" w:cs="Book Antiqua"/>
          <w:color w:val="000000"/>
        </w:rPr>
        <w:t>0.00001) compared to other breast cancer subtypes. The risk of distant recurrence peaked at three years and declined rapidly thereafter</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9</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A large cohort study from MD Anderson Cancer Centre identified similar patterns of distant recurrence and death</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10</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w:t>
      </w:r>
    </w:p>
    <w:p w14:paraId="615182CB" w14:textId="3F523A38" w:rsidR="00A77B3E" w:rsidRPr="00DA5A6A" w:rsidRDefault="002F357F" w:rsidP="00DA5A6A">
      <w:pPr>
        <w:spacing w:line="360" w:lineRule="auto"/>
        <w:ind w:firstLineChars="200" w:firstLine="480"/>
        <w:jc w:val="both"/>
        <w:rPr>
          <w:rFonts w:ascii="Book Antiqua" w:hAnsi="Book Antiqua"/>
        </w:rPr>
      </w:pPr>
      <w:r w:rsidRPr="00DA5A6A">
        <w:rPr>
          <w:rFonts w:ascii="Book Antiqua" w:eastAsia="Book Antiqua" w:hAnsi="Book Antiqua" w:cs="Book Antiqua"/>
          <w:color w:val="000000"/>
        </w:rPr>
        <w:t>TNBC i</w:t>
      </w:r>
      <w:r w:rsidR="00F74C48" w:rsidRPr="00DA5A6A">
        <w:rPr>
          <w:rFonts w:ascii="Book Antiqua" w:eastAsia="Book Antiqua" w:hAnsi="Book Antiqua" w:cs="Book Antiqua"/>
          <w:color w:val="000000"/>
        </w:rPr>
        <w:t xml:space="preserve">s most commonly associated with visceral metastases including lung, liver and brain. Jin </w:t>
      </w:r>
      <w:r w:rsidR="00F74C48" w:rsidRPr="00DA5A6A">
        <w:rPr>
          <w:rFonts w:ascii="Book Antiqua" w:eastAsia="Book Antiqua" w:hAnsi="Book Antiqua" w:cs="Book Antiqua"/>
          <w:i/>
          <w:iCs/>
          <w:color w:val="000000"/>
        </w:rPr>
        <w:t>et al</w:t>
      </w:r>
      <w:r w:rsidR="00CC6B4C" w:rsidRPr="00DA5A6A">
        <w:rPr>
          <w:rFonts w:ascii="Book Antiqua" w:eastAsia="Book Antiqua" w:hAnsi="Book Antiqua" w:cs="Book Antiqua"/>
          <w:color w:val="000000"/>
          <w:vertAlign w:val="superscript"/>
        </w:rPr>
        <w:t>[11]</w:t>
      </w:r>
      <w:r w:rsidR="00F74C48" w:rsidRPr="00DA5A6A">
        <w:rPr>
          <w:rFonts w:ascii="Book Antiqua" w:eastAsia="Book Antiqua" w:hAnsi="Book Antiqua" w:cs="Book Antiqua"/>
          <w:color w:val="000000"/>
        </w:rPr>
        <w:t xml:space="preserve"> identified 433 women with metastatic TNBC and found that 29% of them had 1 or greater brain metastases</w:t>
      </w:r>
      <w:r w:rsidR="00CC6B4C" w:rsidRPr="00DA5A6A">
        <w:rPr>
          <w:rFonts w:ascii="Book Antiqua" w:eastAsia="Book Antiqua" w:hAnsi="Book Antiqua" w:cs="Book Antiqua"/>
          <w:color w:val="000000"/>
          <w:vertAlign w:val="superscript"/>
        </w:rPr>
        <w:t>[</w:t>
      </w:r>
      <w:r w:rsidR="00F74C48" w:rsidRPr="00DA5A6A">
        <w:rPr>
          <w:rFonts w:ascii="Book Antiqua" w:eastAsia="Book Antiqua" w:hAnsi="Book Antiqua" w:cs="Book Antiqua"/>
          <w:color w:val="000000"/>
          <w:vertAlign w:val="superscript"/>
        </w:rPr>
        <w:t>11</w:t>
      </w:r>
      <w:r w:rsidR="00CC6B4C" w:rsidRPr="00DA5A6A">
        <w:rPr>
          <w:rFonts w:ascii="Book Antiqua" w:eastAsia="Book Antiqua" w:hAnsi="Book Antiqua" w:cs="Book Antiqua"/>
          <w:color w:val="000000"/>
          <w:vertAlign w:val="superscript"/>
        </w:rPr>
        <w:t>]</w:t>
      </w:r>
      <w:r w:rsidR="00F74C48" w:rsidRPr="00DA5A6A">
        <w:rPr>
          <w:rFonts w:ascii="Book Antiqua" w:eastAsia="Book Antiqua" w:hAnsi="Book Antiqua" w:cs="Book Antiqua"/>
          <w:color w:val="000000"/>
        </w:rPr>
        <w:t>. Median survival from time of diagnosis of brain metastases in this study was just 7.3 mo highlighting the significant mortality associated with intracranial disease.</w:t>
      </w:r>
    </w:p>
    <w:p w14:paraId="0F13A25B" w14:textId="77777777" w:rsidR="00A77B3E" w:rsidRPr="00DA5A6A" w:rsidRDefault="00A77B3E" w:rsidP="00DA5A6A">
      <w:pPr>
        <w:spacing w:line="360" w:lineRule="auto"/>
        <w:jc w:val="both"/>
        <w:rPr>
          <w:rFonts w:ascii="Book Antiqua" w:hAnsi="Book Antiqua"/>
        </w:rPr>
      </w:pPr>
    </w:p>
    <w:p w14:paraId="7F483327" w14:textId="77777777" w:rsidR="00A77B3E" w:rsidRPr="00DA5A6A" w:rsidRDefault="00F74C48" w:rsidP="00DA5A6A">
      <w:pPr>
        <w:spacing w:line="360" w:lineRule="auto"/>
        <w:jc w:val="both"/>
        <w:rPr>
          <w:rFonts w:ascii="Book Antiqua" w:eastAsia="Book Antiqua" w:hAnsi="Book Antiqua" w:cs="Book Antiqua"/>
          <w:b/>
          <w:caps/>
          <w:color w:val="000000"/>
          <w:u w:val="single"/>
        </w:rPr>
      </w:pPr>
      <w:r w:rsidRPr="00DA5A6A">
        <w:rPr>
          <w:rFonts w:ascii="Book Antiqua" w:eastAsia="Book Antiqua" w:hAnsi="Book Antiqua" w:cs="Book Antiqua"/>
          <w:b/>
          <w:caps/>
          <w:color w:val="000000"/>
          <w:u w:val="single"/>
        </w:rPr>
        <w:t>The Biology of TNBC</w:t>
      </w:r>
    </w:p>
    <w:p w14:paraId="0FDF64EB" w14:textId="45CC032D" w:rsidR="00A77B3E" w:rsidRPr="00DA5A6A" w:rsidRDefault="00F74C48" w:rsidP="00DA5A6A">
      <w:pPr>
        <w:spacing w:line="360" w:lineRule="auto"/>
        <w:jc w:val="both"/>
        <w:rPr>
          <w:rFonts w:ascii="Book Antiqua" w:hAnsi="Book Antiqua"/>
          <w:i/>
          <w:iCs/>
        </w:rPr>
      </w:pPr>
      <w:r w:rsidRPr="00DA5A6A">
        <w:rPr>
          <w:rFonts w:ascii="Book Antiqua" w:eastAsia="Book Antiqua" w:hAnsi="Book Antiqua" w:cs="Book Antiqua"/>
          <w:b/>
          <w:bCs/>
          <w:i/>
          <w:iCs/>
          <w:color w:val="000000"/>
        </w:rPr>
        <w:t xml:space="preserve">Genomic features of </w:t>
      </w:r>
      <w:r w:rsidR="00CC6B4C" w:rsidRPr="00DA5A6A">
        <w:rPr>
          <w:rFonts w:ascii="Book Antiqua" w:eastAsia="Book Antiqua" w:hAnsi="Book Antiqua" w:cs="Book Antiqua"/>
          <w:b/>
          <w:bCs/>
          <w:i/>
          <w:iCs/>
          <w:color w:val="000000"/>
        </w:rPr>
        <w:t>TNBC</w:t>
      </w:r>
      <w:r w:rsidRPr="00DA5A6A">
        <w:rPr>
          <w:rFonts w:ascii="Book Antiqua" w:eastAsia="Book Antiqua" w:hAnsi="Book Antiqua" w:cs="Book Antiqua"/>
          <w:b/>
          <w:bCs/>
          <w:i/>
          <w:iCs/>
          <w:color w:val="000000"/>
        </w:rPr>
        <w:t xml:space="preserve"> </w:t>
      </w:r>
    </w:p>
    <w:p w14:paraId="18DE0D3F" w14:textId="0E24C1EF"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color w:val="000000"/>
        </w:rPr>
        <w:t>Triple negative breast cancer is characterised by the absence of expression of ER/PR/HER2. Almost 20 years ago breast cancer was classified using gene expression profiling into four main subtypes; Luminal A (ER+/PR+ with a low proliferation index), Luminal B (ER+/PR + with a high proliferation index), HER2-overexpressing (HER2+ disease) and basal-like. Although basal-like broadly corresponds to TNBC, the terms are not synomonous</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1,3,12</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In one study, 70% of TNBC belonged to the basal subtype and 76% of basal-type tumours would be classified as TNBC</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13</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A small proportion of basal-like tumours express ER or express HER2</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14,15</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w:t>
      </w:r>
    </w:p>
    <w:p w14:paraId="663AF5C3" w14:textId="0EC9B8A4" w:rsidR="00A77B3E" w:rsidRPr="00DA5A6A" w:rsidRDefault="00F74C48" w:rsidP="00DA5A6A">
      <w:pPr>
        <w:spacing w:line="360" w:lineRule="auto"/>
        <w:ind w:firstLineChars="200" w:firstLine="480"/>
        <w:jc w:val="both"/>
        <w:rPr>
          <w:rFonts w:ascii="Book Antiqua" w:hAnsi="Book Antiqua"/>
        </w:rPr>
      </w:pPr>
      <w:r w:rsidRPr="00DA5A6A">
        <w:rPr>
          <w:rFonts w:ascii="Book Antiqua" w:eastAsia="Book Antiqua" w:hAnsi="Book Antiqua" w:cs="Book Antiqua"/>
          <w:color w:val="000000"/>
        </w:rPr>
        <w:t>Importantly, basal-like tumours express cytokeratins such as CK5/6, cadherin as well as epidermal like growth factor (EGFR)</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3</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Contrary to previous doctrine, it appears that basal-like tumours do not arise from normal breast tissue (basal cells) but instead arise from luminal progenitor cells</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16,17</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w:t>
      </w:r>
    </w:p>
    <w:p w14:paraId="7EF33265" w14:textId="2FF2B1D0" w:rsidR="00A77B3E" w:rsidRPr="00DA5A6A" w:rsidRDefault="00F74C48" w:rsidP="00DA5A6A">
      <w:pPr>
        <w:spacing w:line="360" w:lineRule="auto"/>
        <w:ind w:left="-1" w:firstLineChars="200" w:firstLine="480"/>
        <w:jc w:val="both"/>
        <w:rPr>
          <w:rFonts w:ascii="Book Antiqua" w:hAnsi="Book Antiqua"/>
        </w:rPr>
      </w:pPr>
      <w:r w:rsidRPr="00DA5A6A">
        <w:rPr>
          <w:rFonts w:ascii="Book Antiqua" w:eastAsia="Book Antiqua" w:hAnsi="Book Antiqua" w:cs="Book Antiqua"/>
          <w:color w:val="000000"/>
        </w:rPr>
        <w:t>Mutations in</w:t>
      </w:r>
      <w:r w:rsidRPr="00DA5A6A">
        <w:rPr>
          <w:rFonts w:ascii="Book Antiqua" w:eastAsia="Book Antiqua" w:hAnsi="Book Antiqua" w:cs="Book Antiqua"/>
          <w:i/>
          <w:iCs/>
          <w:color w:val="000000"/>
        </w:rPr>
        <w:t xml:space="preserve"> BRCA1/BRCA2</w:t>
      </w:r>
      <w:r w:rsidRPr="00DA5A6A">
        <w:rPr>
          <w:rFonts w:ascii="Book Antiqua" w:eastAsia="Book Antiqua" w:hAnsi="Book Antiqua" w:cs="Book Antiqua"/>
          <w:color w:val="000000"/>
        </w:rPr>
        <w:t xml:space="preserve"> are commonly associated with the basal-like subtype of breast cancer on a genomic level</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18,19</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Of course, </w:t>
      </w:r>
      <w:r w:rsidRPr="00DA5A6A">
        <w:rPr>
          <w:rFonts w:ascii="Book Antiqua" w:eastAsia="Book Antiqua" w:hAnsi="Book Antiqua" w:cs="Book Antiqua"/>
          <w:i/>
          <w:iCs/>
          <w:color w:val="000000"/>
        </w:rPr>
        <w:t xml:space="preserve">BRCA1/BRCA2 </w:t>
      </w:r>
      <w:r w:rsidRPr="00DA5A6A">
        <w:rPr>
          <w:rFonts w:ascii="Book Antiqua" w:eastAsia="Book Antiqua" w:hAnsi="Book Antiqua" w:cs="Book Antiqua"/>
          <w:color w:val="000000"/>
        </w:rPr>
        <w:t xml:space="preserve">is associated with a high </w:t>
      </w:r>
      <w:r w:rsidRPr="00DA5A6A">
        <w:rPr>
          <w:rFonts w:ascii="Book Antiqua" w:eastAsia="Book Antiqua" w:hAnsi="Book Antiqua" w:cs="Book Antiqua"/>
          <w:color w:val="000000"/>
        </w:rPr>
        <w:lastRenderedPageBreak/>
        <w:t>lifetime incidence of all breast cancers</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20</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However, the highest incidence of </w:t>
      </w:r>
      <w:r w:rsidRPr="00DA5A6A">
        <w:rPr>
          <w:rFonts w:ascii="Book Antiqua" w:eastAsia="Book Antiqua" w:hAnsi="Book Antiqua" w:cs="Book Antiqua"/>
          <w:i/>
          <w:iCs/>
          <w:color w:val="000000"/>
        </w:rPr>
        <w:t>BRCA1/BRCA2</w:t>
      </w:r>
      <w:r w:rsidRPr="00DA5A6A">
        <w:rPr>
          <w:rFonts w:ascii="Book Antiqua" w:eastAsia="Book Antiqua" w:hAnsi="Book Antiqua" w:cs="Book Antiqua"/>
          <w:color w:val="000000"/>
        </w:rPr>
        <w:t xml:space="preserve"> is found within the triple negative subgroup. It is estimated that approximately 20% of patients with TNBC may harbour a germline defect in </w:t>
      </w:r>
      <w:r w:rsidRPr="00DA5A6A">
        <w:rPr>
          <w:rFonts w:ascii="Book Antiqua" w:eastAsia="Book Antiqua" w:hAnsi="Book Antiqua" w:cs="Book Antiqua"/>
          <w:i/>
          <w:iCs/>
          <w:color w:val="000000"/>
        </w:rPr>
        <w:t>BRCA1/BRCA2</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20</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As a consequence, it is now recommended that all patients with TNBC should have </w:t>
      </w:r>
      <w:r w:rsidRPr="00DA5A6A">
        <w:rPr>
          <w:rFonts w:ascii="Book Antiqua" w:eastAsia="Book Antiqua" w:hAnsi="Book Antiqua" w:cs="Book Antiqua"/>
          <w:i/>
          <w:iCs/>
          <w:color w:val="000000"/>
        </w:rPr>
        <w:t>BRCA1/BRCA2</w:t>
      </w:r>
      <w:r w:rsidRPr="00DA5A6A">
        <w:rPr>
          <w:rFonts w:ascii="Book Antiqua" w:eastAsia="Book Antiqua" w:hAnsi="Book Antiqua" w:cs="Book Antiqua"/>
          <w:color w:val="000000"/>
        </w:rPr>
        <w:t xml:space="preserve"> testing particularly if they are under 50 years old</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21</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It is hypothesised that </w:t>
      </w:r>
      <w:r w:rsidRPr="00DA5A6A">
        <w:rPr>
          <w:rFonts w:ascii="Book Antiqua" w:eastAsia="Book Antiqua" w:hAnsi="Book Antiqua" w:cs="Book Antiqua"/>
          <w:i/>
          <w:iCs/>
          <w:color w:val="000000"/>
        </w:rPr>
        <w:t>BRCA1/BRCA2</w:t>
      </w:r>
      <w:r w:rsidRPr="00DA5A6A">
        <w:rPr>
          <w:rFonts w:ascii="Book Antiqua" w:eastAsia="Book Antiqua" w:hAnsi="Book Antiqua" w:cs="Book Antiqua"/>
          <w:color w:val="000000"/>
        </w:rPr>
        <w:t xml:space="preserve"> results in the suppression of basal-like genes thus a pathogenic mutation acts as a</w:t>
      </w:r>
      <w:r w:rsidR="00CC6B4C" w:rsidRPr="00DA5A6A">
        <w:rPr>
          <w:rFonts w:ascii="Book Antiqua" w:eastAsia="Book Antiqua" w:hAnsi="Book Antiqua" w:cs="Book Antiqua"/>
          <w:color w:val="000000"/>
        </w:rPr>
        <w:t>n</w:t>
      </w:r>
      <w:r w:rsidRPr="00DA5A6A">
        <w:rPr>
          <w:rFonts w:ascii="Book Antiqua" w:eastAsia="Book Antiqua" w:hAnsi="Book Antiqua" w:cs="Book Antiqua"/>
          <w:color w:val="000000"/>
        </w:rPr>
        <w:t xml:space="preserve"> oncogene specifically within the basal subtype</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20</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w:t>
      </w:r>
    </w:p>
    <w:p w14:paraId="29CE0DAA" w14:textId="388A7B36" w:rsidR="00A77B3E" w:rsidRPr="00DA5A6A" w:rsidRDefault="00F74C48" w:rsidP="00DA5A6A">
      <w:pPr>
        <w:spacing w:line="360" w:lineRule="auto"/>
        <w:ind w:firstLineChars="200" w:firstLine="480"/>
        <w:jc w:val="both"/>
        <w:rPr>
          <w:rFonts w:ascii="Book Antiqua" w:hAnsi="Book Antiqua"/>
        </w:rPr>
      </w:pPr>
      <w:r w:rsidRPr="00DA5A6A">
        <w:rPr>
          <w:rFonts w:ascii="Book Antiqua" w:eastAsia="Book Antiqua" w:hAnsi="Book Antiqua" w:cs="Book Antiqua"/>
          <w:color w:val="000000"/>
        </w:rPr>
        <w:t xml:space="preserve">Conversely, basal-like breast cancers may be a surrogate for cancers which behave biologically similar to </w:t>
      </w:r>
      <w:r w:rsidRPr="00DA5A6A">
        <w:rPr>
          <w:rFonts w:ascii="Book Antiqua" w:eastAsia="Book Antiqua" w:hAnsi="Book Antiqua" w:cs="Book Antiqua"/>
          <w:i/>
          <w:iCs/>
          <w:color w:val="000000"/>
        </w:rPr>
        <w:t>BRCA1/BRCA2</w:t>
      </w:r>
      <w:r w:rsidRPr="00DA5A6A">
        <w:rPr>
          <w:rFonts w:ascii="Book Antiqua" w:eastAsia="Book Antiqua" w:hAnsi="Book Antiqua" w:cs="Book Antiqua"/>
          <w:color w:val="000000"/>
        </w:rPr>
        <w:t>-mutated disease. These cancers are considered under the term ‘BRCAness’</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20</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‘BRCAness’ refers to cancers without </w:t>
      </w:r>
      <w:r w:rsidRPr="00DA5A6A">
        <w:rPr>
          <w:rFonts w:ascii="Book Antiqua" w:eastAsia="Book Antiqua" w:hAnsi="Book Antiqua" w:cs="Book Antiqua"/>
          <w:i/>
          <w:iCs/>
          <w:color w:val="000000"/>
        </w:rPr>
        <w:t>BRCA1/BRCA2</w:t>
      </w:r>
      <w:r w:rsidRPr="00DA5A6A">
        <w:rPr>
          <w:rFonts w:ascii="Book Antiqua" w:eastAsia="Book Antiqua" w:hAnsi="Book Antiqua" w:cs="Book Antiqua"/>
          <w:color w:val="000000"/>
        </w:rPr>
        <w:t xml:space="preserve"> mutations but have other causes of homologous recombination deficiency (HRD) rendering susceptibility to </w:t>
      </w:r>
      <w:r w:rsidR="00CC6B4C" w:rsidRPr="00DA5A6A">
        <w:rPr>
          <w:rFonts w:ascii="Book Antiqua" w:eastAsia="Book Antiqua" w:hAnsi="Book Antiqua" w:cs="Book Antiqua"/>
          <w:color w:val="000000"/>
        </w:rPr>
        <w:t>poly adenosine diphosphat</w:t>
      </w:r>
      <w:r w:rsidR="00D77E05" w:rsidRPr="00DA5A6A">
        <w:rPr>
          <w:rFonts w:ascii="Book Antiqua" w:eastAsia="Book Antiqua" w:hAnsi="Book Antiqua" w:cs="Book Antiqua"/>
          <w:color w:val="000000"/>
        </w:rPr>
        <w:t>e</w:t>
      </w:r>
      <w:r w:rsidR="00CC6B4C" w:rsidRPr="00DA5A6A">
        <w:rPr>
          <w:rFonts w:ascii="Book Antiqua" w:eastAsia="Book Antiqua" w:hAnsi="Book Antiqua" w:cs="Book Antiqua"/>
          <w:color w:val="000000"/>
        </w:rPr>
        <w:t xml:space="preserve"> (ADP) ribose polymerase inhibitors (PARPi)</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21</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Basal-like tumours associated with a </w:t>
      </w:r>
      <w:r w:rsidRPr="00DA5A6A">
        <w:rPr>
          <w:rFonts w:ascii="Book Antiqua" w:eastAsia="Book Antiqua" w:hAnsi="Book Antiqua" w:cs="Book Antiqua"/>
          <w:i/>
          <w:iCs/>
          <w:color w:val="000000"/>
        </w:rPr>
        <w:t>BRCAness</w:t>
      </w:r>
      <w:r w:rsidRPr="00DA5A6A">
        <w:rPr>
          <w:rFonts w:ascii="Book Antiqua" w:eastAsia="Book Antiqua" w:hAnsi="Book Antiqua" w:cs="Book Antiqua"/>
          <w:color w:val="000000"/>
        </w:rPr>
        <w:t xml:space="preserve"> phenotype are characterized by high tumour grade, lymphocytic infiltrate, pushing margins, ER and HER2-negativity, an association with TP53 mutations, c-myc amplification, and multiple chromosome abnormalities</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22</w:t>
      </w:r>
      <w:r w:rsidR="00CC6B4C"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Candidate genes which may result in a </w:t>
      </w:r>
      <w:r w:rsidRPr="00DA5A6A">
        <w:rPr>
          <w:rFonts w:ascii="Book Antiqua" w:eastAsia="Book Antiqua" w:hAnsi="Book Antiqua" w:cs="Book Antiqua"/>
          <w:i/>
          <w:iCs/>
          <w:color w:val="000000"/>
        </w:rPr>
        <w:t>BRCA-like</w:t>
      </w:r>
      <w:r w:rsidRPr="00DA5A6A">
        <w:rPr>
          <w:rFonts w:ascii="Book Antiqua" w:eastAsia="Book Antiqua" w:hAnsi="Book Antiqua" w:cs="Book Antiqua"/>
          <w:color w:val="000000"/>
        </w:rPr>
        <w:t xml:space="preserve"> phenotype include </w:t>
      </w:r>
      <w:r w:rsidRPr="00DA5A6A">
        <w:rPr>
          <w:rFonts w:ascii="Book Antiqua" w:eastAsia="Book Antiqua" w:hAnsi="Book Antiqua" w:cs="Book Antiqua"/>
          <w:i/>
          <w:iCs/>
          <w:color w:val="000000"/>
        </w:rPr>
        <w:t xml:space="preserve">ATM, CDK1/2, PALB2 </w:t>
      </w:r>
      <w:r w:rsidRPr="00DA5A6A">
        <w:rPr>
          <w:rFonts w:ascii="Book Antiqua" w:eastAsia="Book Antiqua" w:hAnsi="Book Antiqua" w:cs="Book Antiqua"/>
          <w:color w:val="000000"/>
        </w:rPr>
        <w:t xml:space="preserve">and many others. However, the clinical significance of these and their sensitivity to PARPi has generally been significantly less compared to patients with </w:t>
      </w:r>
      <w:r w:rsidRPr="00DA5A6A">
        <w:rPr>
          <w:rFonts w:ascii="Book Antiqua" w:eastAsia="Book Antiqua" w:hAnsi="Book Antiqua" w:cs="Book Antiqua"/>
          <w:i/>
          <w:iCs/>
          <w:color w:val="000000"/>
        </w:rPr>
        <w:t>BRCA1/BRCA2</w:t>
      </w:r>
      <w:r w:rsidRPr="00DA5A6A">
        <w:rPr>
          <w:rFonts w:ascii="Book Antiqua" w:eastAsia="Book Antiqua" w:hAnsi="Book Antiqua" w:cs="Book Antiqua"/>
          <w:color w:val="000000"/>
        </w:rPr>
        <w:t xml:space="preserve"> mutations</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23</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Recent presentations at </w:t>
      </w:r>
      <w:r w:rsidR="00A44688" w:rsidRPr="00DA5A6A">
        <w:rPr>
          <w:rFonts w:ascii="Book Antiqua" w:eastAsia="Book Antiqua" w:hAnsi="Book Antiqua" w:cs="Book Antiqua"/>
          <w:color w:val="000000"/>
        </w:rPr>
        <w:t>American Society of Clinical Oncology (ASCO)</w:t>
      </w:r>
      <w:r w:rsidRPr="00DA5A6A">
        <w:rPr>
          <w:rFonts w:ascii="Book Antiqua" w:eastAsia="Book Antiqua" w:hAnsi="Book Antiqua" w:cs="Book Antiqua"/>
          <w:color w:val="000000"/>
        </w:rPr>
        <w:t xml:space="preserve"> showed objective responses similar to those seen in germline </w:t>
      </w:r>
      <w:r w:rsidRPr="00DA5A6A">
        <w:rPr>
          <w:rFonts w:ascii="Book Antiqua" w:eastAsia="Book Antiqua" w:hAnsi="Book Antiqua" w:cs="Book Antiqua"/>
          <w:i/>
          <w:iCs/>
          <w:color w:val="000000"/>
        </w:rPr>
        <w:t>BRCA</w:t>
      </w:r>
      <w:r w:rsidRPr="00DA5A6A">
        <w:rPr>
          <w:rFonts w:ascii="Book Antiqua" w:eastAsia="Book Antiqua" w:hAnsi="Book Antiqua" w:cs="Book Antiqua"/>
          <w:color w:val="000000"/>
        </w:rPr>
        <w:t xml:space="preserve">-mutation associated breast cancer in patients with somatic </w:t>
      </w:r>
      <w:r w:rsidRPr="00DA5A6A">
        <w:rPr>
          <w:rFonts w:ascii="Book Antiqua" w:eastAsia="Book Antiqua" w:hAnsi="Book Antiqua" w:cs="Book Antiqua"/>
          <w:i/>
          <w:iCs/>
          <w:color w:val="000000"/>
        </w:rPr>
        <w:t>BRCA</w:t>
      </w:r>
      <w:r w:rsidRPr="00DA5A6A">
        <w:rPr>
          <w:rFonts w:ascii="Book Antiqua" w:eastAsia="Book Antiqua" w:hAnsi="Book Antiqua" w:cs="Book Antiqua"/>
          <w:color w:val="000000"/>
        </w:rPr>
        <w:t xml:space="preserve"> gene mutations and with </w:t>
      </w:r>
      <w:r w:rsidRPr="00DA5A6A">
        <w:rPr>
          <w:rFonts w:ascii="Book Antiqua" w:eastAsia="Book Antiqua" w:hAnsi="Book Antiqua" w:cs="Book Antiqua"/>
          <w:i/>
          <w:iCs/>
          <w:color w:val="000000"/>
        </w:rPr>
        <w:t>PALB2</w:t>
      </w:r>
      <w:r w:rsidRPr="00DA5A6A">
        <w:rPr>
          <w:rFonts w:ascii="Book Antiqua" w:eastAsia="Book Antiqua" w:hAnsi="Book Antiqua" w:cs="Book Antiqua"/>
          <w:color w:val="000000"/>
        </w:rPr>
        <w:t xml:space="preserve"> mutations</w:t>
      </w:r>
      <w:r w:rsidR="00D77E05" w:rsidRPr="00DA5A6A">
        <w:rPr>
          <w:rFonts w:ascii="Book Antiqua" w:eastAsia="Book Antiqua" w:hAnsi="Book Antiqua" w:cs="Book Antiqua"/>
          <w:color w:val="000000"/>
        </w:rPr>
        <w:t xml:space="preserve"> which are discussed later in this article.</w:t>
      </w:r>
    </w:p>
    <w:p w14:paraId="60EF0122" w14:textId="77777777" w:rsidR="00A77B3E" w:rsidRPr="00DA5A6A" w:rsidRDefault="00A77B3E" w:rsidP="00DA5A6A">
      <w:pPr>
        <w:spacing w:line="360" w:lineRule="auto"/>
        <w:jc w:val="both"/>
        <w:rPr>
          <w:rFonts w:ascii="Book Antiqua" w:hAnsi="Book Antiqua"/>
        </w:rPr>
      </w:pPr>
    </w:p>
    <w:p w14:paraId="4C0B4F0A" w14:textId="1E6CC108" w:rsidR="00A77B3E" w:rsidRPr="00DA5A6A" w:rsidRDefault="00F74C48" w:rsidP="00DA5A6A">
      <w:pPr>
        <w:spacing w:line="360" w:lineRule="auto"/>
        <w:ind w:hanging="1"/>
        <w:jc w:val="both"/>
        <w:rPr>
          <w:rFonts w:ascii="Book Antiqua" w:hAnsi="Book Antiqua"/>
          <w:i/>
          <w:iCs/>
        </w:rPr>
      </w:pPr>
      <w:r w:rsidRPr="00DA5A6A">
        <w:rPr>
          <w:rFonts w:ascii="Book Antiqua" w:eastAsia="Book Antiqua" w:hAnsi="Book Antiqua" w:cs="Book Antiqua"/>
          <w:b/>
          <w:bCs/>
          <w:i/>
          <w:iCs/>
          <w:color w:val="000000"/>
        </w:rPr>
        <w:t xml:space="preserve">Immunogenic potential of </w:t>
      </w:r>
      <w:r w:rsidR="00CC5F8D" w:rsidRPr="00DA5A6A">
        <w:rPr>
          <w:rFonts w:ascii="Book Antiqua" w:eastAsia="Book Antiqua" w:hAnsi="Book Antiqua" w:cs="Book Antiqua"/>
          <w:b/>
          <w:bCs/>
          <w:i/>
          <w:iCs/>
          <w:color w:val="000000"/>
        </w:rPr>
        <w:t>TNBC</w:t>
      </w:r>
    </w:p>
    <w:p w14:paraId="68E41CBB" w14:textId="1AD734CB"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color w:val="000000"/>
        </w:rPr>
        <w:t>The tumour microenvironment (TME) plays an important role in defining the interaction of our immune system with tumours. In TNBC, the TME is characterized by higher levels of vascular endothelial like growth factor (VEGF), tumour infiltrating lymphocytes (TILs) and tumour associated macrophages in contrast to other types of breast cancer</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24</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Additionally, there is a high level of expression of TILs in patients with TNBC</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24</w:t>
      </w:r>
      <w:r w:rsidR="00927219">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29</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These have been shown to be a useful prognostic indicator across malignancies</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30</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TNBC has </w:t>
      </w:r>
      <w:r w:rsidRPr="00DA5A6A">
        <w:rPr>
          <w:rFonts w:ascii="Book Antiqua" w:eastAsia="Book Antiqua" w:hAnsi="Book Antiqua" w:cs="Book Antiqua"/>
          <w:color w:val="000000"/>
        </w:rPr>
        <w:lastRenderedPageBreak/>
        <w:t>been shown to have consistently elevated TILs in contrast to other subtypes and TILs have been shown to be associated with improved survival</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29</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Ibrahim</w:t>
      </w:r>
      <w:r w:rsidRPr="00DA5A6A">
        <w:rPr>
          <w:rFonts w:ascii="Book Antiqua" w:eastAsia="Book Antiqua" w:hAnsi="Book Antiqua" w:cs="Book Antiqua"/>
          <w:i/>
          <w:iCs/>
          <w:color w:val="000000"/>
        </w:rPr>
        <w:t xml:space="preserve"> et al</w:t>
      </w:r>
      <w:r w:rsidR="00CC5F8D" w:rsidRPr="00DA5A6A">
        <w:rPr>
          <w:rFonts w:ascii="Book Antiqua" w:eastAsia="Book Antiqua" w:hAnsi="Book Antiqua" w:cs="Book Antiqua"/>
          <w:color w:val="000000"/>
          <w:vertAlign w:val="superscript"/>
        </w:rPr>
        <w:t>[29]</w:t>
      </w:r>
      <w:r w:rsidRPr="00DA5A6A">
        <w:rPr>
          <w:rFonts w:ascii="Book Antiqua" w:eastAsia="Book Antiqua" w:hAnsi="Book Antiqua" w:cs="Book Antiqua"/>
          <w:color w:val="000000"/>
        </w:rPr>
        <w:t xml:space="preserve"> found that patients with lymphocyte-predominant breast cancer had a 40% pathological complete response rate compared to 7% of those patients without</w:t>
      </w:r>
      <w:r w:rsidR="00CC5F8D" w:rsidRPr="00DA5A6A">
        <w:rPr>
          <w:rFonts w:ascii="Book Antiqua" w:eastAsia="Book Antiqua" w:hAnsi="Book Antiqua" w:cs="Book Antiqua"/>
          <w:color w:val="000000"/>
          <w:vertAlign w:val="superscript"/>
        </w:rPr>
        <w:t>[29]</w:t>
      </w:r>
      <w:r w:rsidRPr="00DA5A6A">
        <w:rPr>
          <w:rFonts w:ascii="Book Antiqua" w:eastAsia="Book Antiqua" w:hAnsi="Book Antiqua" w:cs="Book Antiqua"/>
          <w:color w:val="000000"/>
        </w:rPr>
        <w:t>. High TILS are more frequent in TNBC (30%) compared to HER2-positive (19%) and luminal tumours (13%) and are associated with improved disease free survival and OS in early stage breast cancer</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27,31,32</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This is consistent with findings in other malignancies demonstrating the important role of the immune system in cancer biology and prognostication. All of these features demonstrate that the TME of TNBC is highly immunogenic.</w:t>
      </w:r>
    </w:p>
    <w:p w14:paraId="4BCAFDF7" w14:textId="24A945DC" w:rsidR="00A77B3E" w:rsidRPr="00DA5A6A" w:rsidRDefault="00F74C48" w:rsidP="00CF2766">
      <w:pPr>
        <w:spacing w:line="360" w:lineRule="auto"/>
        <w:ind w:firstLineChars="200" w:firstLine="480"/>
        <w:jc w:val="both"/>
        <w:rPr>
          <w:rFonts w:ascii="Book Antiqua" w:hAnsi="Book Antiqua"/>
        </w:rPr>
      </w:pPr>
      <w:r w:rsidRPr="00DA5A6A">
        <w:rPr>
          <w:rFonts w:ascii="Book Antiqua" w:eastAsia="Book Antiqua" w:hAnsi="Book Antiqua" w:cs="Book Antiqua"/>
          <w:color w:val="000000"/>
        </w:rPr>
        <w:t xml:space="preserve">It </w:t>
      </w:r>
      <w:r w:rsidR="00D77E05" w:rsidRPr="00DA5A6A">
        <w:rPr>
          <w:rFonts w:ascii="Book Antiqua" w:eastAsia="Book Antiqua" w:hAnsi="Book Antiqua" w:cs="Book Antiqua"/>
          <w:color w:val="000000"/>
        </w:rPr>
        <w:t>is</w:t>
      </w:r>
      <w:r w:rsidRPr="00DA5A6A">
        <w:rPr>
          <w:rFonts w:ascii="Book Antiqua" w:eastAsia="Book Antiqua" w:hAnsi="Book Antiqua" w:cs="Book Antiqua"/>
          <w:color w:val="000000"/>
        </w:rPr>
        <w:t xml:space="preserve"> re</w:t>
      </w:r>
      <w:r w:rsidR="00D77E05" w:rsidRPr="00DA5A6A">
        <w:rPr>
          <w:rFonts w:ascii="Book Antiqua" w:eastAsia="Book Antiqua" w:hAnsi="Book Antiqua" w:cs="Book Antiqua"/>
          <w:color w:val="000000"/>
        </w:rPr>
        <w:t>cognised that TNBC</w:t>
      </w:r>
      <w:r w:rsidRPr="00DA5A6A">
        <w:rPr>
          <w:rFonts w:ascii="Book Antiqua" w:eastAsia="Book Antiqua" w:hAnsi="Book Antiqua" w:cs="Book Antiqua"/>
          <w:color w:val="000000"/>
        </w:rPr>
        <w:t xml:space="preserve"> typically</w:t>
      </w:r>
      <w:r w:rsidR="00D77E05" w:rsidRPr="00DA5A6A">
        <w:rPr>
          <w:rFonts w:ascii="Book Antiqua" w:eastAsia="Book Antiqua" w:hAnsi="Book Antiqua" w:cs="Book Antiqua"/>
          <w:color w:val="000000"/>
        </w:rPr>
        <w:t xml:space="preserve"> has</w:t>
      </w:r>
      <w:r w:rsidRPr="00DA5A6A">
        <w:rPr>
          <w:rFonts w:ascii="Book Antiqua" w:eastAsia="Book Antiqua" w:hAnsi="Book Antiqua" w:cs="Book Antiqua"/>
          <w:color w:val="000000"/>
        </w:rPr>
        <w:t xml:space="preserve"> higher levels of pr</w:t>
      </w:r>
      <w:r w:rsidR="00D77E05" w:rsidRPr="00DA5A6A">
        <w:rPr>
          <w:rFonts w:ascii="Book Antiqua" w:eastAsia="Book Antiqua" w:hAnsi="Book Antiqua" w:cs="Book Antiqua"/>
          <w:color w:val="000000"/>
        </w:rPr>
        <w:t>o</w:t>
      </w:r>
      <w:r w:rsidRPr="00DA5A6A">
        <w:rPr>
          <w:rFonts w:ascii="Book Antiqua" w:eastAsia="Book Antiqua" w:hAnsi="Book Antiqua" w:cs="Book Antiqua"/>
          <w:color w:val="000000"/>
        </w:rPr>
        <w:t xml:space="preserve">grammed cell death ligand </w:t>
      </w:r>
      <w:r w:rsidR="007D5F41" w:rsidRPr="00DA5A6A">
        <w:rPr>
          <w:rFonts w:ascii="Book Antiqua" w:eastAsia="Book Antiqua" w:hAnsi="Book Antiqua" w:cs="Book Antiqua"/>
          <w:color w:val="000000"/>
        </w:rPr>
        <w:t>[programmed death-ligand 1 (</w:t>
      </w:r>
      <w:r w:rsidRPr="00DA5A6A">
        <w:rPr>
          <w:rFonts w:ascii="Book Antiqua" w:eastAsia="Book Antiqua" w:hAnsi="Book Antiqua" w:cs="Book Antiqua"/>
          <w:color w:val="000000"/>
        </w:rPr>
        <w:t>PD-L1)</w:t>
      </w:r>
      <w:r w:rsidR="007D5F41" w:rsidRPr="00DA5A6A">
        <w:rPr>
          <w:rFonts w:ascii="Book Antiqua" w:eastAsia="Book Antiqua" w:hAnsi="Book Antiqua" w:cs="Book Antiqua"/>
          <w:color w:val="000000"/>
        </w:rPr>
        <w:t>]</w:t>
      </w:r>
      <w:r w:rsidRPr="00DA5A6A">
        <w:rPr>
          <w:rFonts w:ascii="Book Antiqua" w:eastAsia="Book Antiqua" w:hAnsi="Book Antiqua" w:cs="Book Antiqua"/>
          <w:color w:val="000000"/>
        </w:rPr>
        <w:t xml:space="preserve"> expression in contrast to other subtypes of breast cancer</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33</w:t>
      </w:r>
      <w:r w:rsidR="00927219">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35</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PD-L1 has an important role in regulating our immune system, preventing overactivation of T cells and promoting the differentiation of regulatory T cells</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36</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PD-L1 is the most agnostic and clinically utilised biomarker of response to checkpoint inhibition in patients with advanced malignancies. However, it’s sensitivity and speci</w:t>
      </w:r>
      <w:r w:rsidR="00D77E05" w:rsidRPr="00DA5A6A">
        <w:rPr>
          <w:rFonts w:ascii="Book Antiqua" w:eastAsia="Book Antiqua" w:hAnsi="Book Antiqua" w:cs="Book Antiqua"/>
          <w:color w:val="000000"/>
        </w:rPr>
        <w:t xml:space="preserve">ficity as an </w:t>
      </w:r>
      <w:r w:rsidR="00E63B8A">
        <w:rPr>
          <w:rFonts w:ascii="Book Antiqua" w:eastAsia="Book Antiqua" w:hAnsi="Book Antiqua" w:cs="Book Antiqua"/>
          <w:color w:val="000000"/>
        </w:rPr>
        <w:t>i</w:t>
      </w:r>
      <w:r w:rsidR="00E63B8A" w:rsidRPr="00E63B8A">
        <w:rPr>
          <w:rFonts w:ascii="Book Antiqua" w:eastAsia="Book Antiqua" w:hAnsi="Book Antiqua" w:cs="Book Antiqua"/>
          <w:color w:val="000000"/>
        </w:rPr>
        <w:t>odine oxide</w:t>
      </w:r>
      <w:r w:rsidR="00E63B8A" w:rsidRPr="00DA5A6A">
        <w:rPr>
          <w:rFonts w:ascii="Book Antiqua" w:eastAsia="Book Antiqua" w:hAnsi="Book Antiqua" w:cs="Book Antiqua"/>
          <w:color w:val="000000"/>
        </w:rPr>
        <w:t xml:space="preserve"> </w:t>
      </w:r>
      <w:r w:rsidR="00E63B8A">
        <w:rPr>
          <w:rFonts w:ascii="Book Antiqua" w:eastAsia="Book Antiqua" w:hAnsi="Book Antiqua" w:cs="Book Antiqua"/>
          <w:color w:val="000000"/>
        </w:rPr>
        <w:t>(</w:t>
      </w:r>
      <w:r w:rsidR="00D77E05" w:rsidRPr="00DA5A6A">
        <w:rPr>
          <w:rFonts w:ascii="Book Antiqua" w:eastAsia="Book Antiqua" w:hAnsi="Book Antiqua" w:cs="Book Antiqua"/>
          <w:color w:val="000000"/>
        </w:rPr>
        <w:t>IO</w:t>
      </w:r>
      <w:r w:rsidR="00E63B8A">
        <w:rPr>
          <w:rFonts w:ascii="Book Antiqua" w:eastAsia="Book Antiqua" w:hAnsi="Book Antiqua" w:cs="Book Antiqua"/>
          <w:color w:val="000000"/>
        </w:rPr>
        <w:t>)</w:t>
      </w:r>
      <w:r w:rsidR="00D77E05" w:rsidRPr="00DA5A6A">
        <w:rPr>
          <w:rFonts w:ascii="Book Antiqua" w:eastAsia="Book Antiqua" w:hAnsi="Book Antiqua" w:cs="Book Antiqua"/>
          <w:color w:val="000000"/>
        </w:rPr>
        <w:t xml:space="preserve"> biomarker is variable across malignancies</w:t>
      </w:r>
      <w:r w:rsidRPr="00DA5A6A">
        <w:rPr>
          <w:rFonts w:ascii="Book Antiqua" w:eastAsia="Book Antiqua" w:hAnsi="Book Antiqua" w:cs="Book Antiqua"/>
          <w:color w:val="000000"/>
        </w:rPr>
        <w:t>. There are several different antibodies used to detect it and there are also different staining algorithms adopted to measure it. This will be discussed in greater detail below (See PD-L1 assays).</w:t>
      </w:r>
    </w:p>
    <w:p w14:paraId="457DBB8E" w14:textId="093AFC1D" w:rsidR="00A77B3E" w:rsidRPr="00DA5A6A" w:rsidRDefault="00F74C48" w:rsidP="00DA5A6A">
      <w:pPr>
        <w:spacing w:line="360" w:lineRule="auto"/>
        <w:ind w:firstLineChars="200" w:firstLine="480"/>
        <w:jc w:val="both"/>
        <w:rPr>
          <w:rFonts w:ascii="Book Antiqua" w:hAnsi="Book Antiqua"/>
        </w:rPr>
      </w:pPr>
      <w:r w:rsidRPr="00DA5A6A">
        <w:rPr>
          <w:rFonts w:ascii="Book Antiqua" w:eastAsia="Book Antiqua" w:hAnsi="Book Antiqua" w:cs="Book Antiqua"/>
          <w:color w:val="000000"/>
        </w:rPr>
        <w:t>TNBC has a relatively high tumour mutational burden (TMB) in contrast to other histological subtypes of breast cancer</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37</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On average, TNBCs carry 1.68 somatic mutations per Mb of coding regions (</w:t>
      </w:r>
      <w:r w:rsidR="00CC5F8D" w:rsidRPr="00DA5A6A">
        <w:rPr>
          <w:rFonts w:ascii="Book Antiqua" w:eastAsia="Book Antiqua" w:hAnsi="Book Antiqua" w:cs="Book Antiqua"/>
          <w:color w:val="000000"/>
        </w:rPr>
        <w:t xml:space="preserve">approximately </w:t>
      </w:r>
      <w:r w:rsidRPr="00DA5A6A">
        <w:rPr>
          <w:rFonts w:ascii="Book Antiqua" w:eastAsia="Book Antiqua" w:hAnsi="Book Antiqua" w:cs="Book Antiqua"/>
          <w:color w:val="000000"/>
        </w:rPr>
        <w:t>60 somatic mutations in each tumour)</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34</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The mutation burden is not uniform across TNBC, and some tumours have a high mutation burden (more than 4.68 somatic mutations per Mb) and a frequent occurrence of multiple copy-number aberrations involving genes that lead to multiple pathway alterations. TMB has been identified as a potential biomarker of IO response across </w:t>
      </w:r>
      <w:r w:rsidR="00D77E05" w:rsidRPr="00DA5A6A">
        <w:rPr>
          <w:rFonts w:ascii="Book Antiqua" w:eastAsia="Book Antiqua" w:hAnsi="Book Antiqua" w:cs="Book Antiqua"/>
          <w:color w:val="000000"/>
        </w:rPr>
        <w:t>malignancies</w:t>
      </w:r>
      <w:r w:rsidR="00D77E05"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38</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There is a strong biological rationale for the use of TMB. Higher levels of TMB results in greater neoantigen expression and presentation to our immune cells enhancing our immune response. However, the clinical utility of TMB has not been fully demonstrated and it has failed to enter routine practice in most disease subtypes</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39</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w:t>
      </w:r>
      <w:r w:rsidRPr="00DA5A6A">
        <w:rPr>
          <w:rFonts w:ascii="Book Antiqua" w:eastAsia="Book Antiqua" w:hAnsi="Book Antiqua" w:cs="Book Antiqua"/>
          <w:color w:val="000000"/>
        </w:rPr>
        <w:lastRenderedPageBreak/>
        <w:t xml:space="preserve">The </w:t>
      </w:r>
      <w:r w:rsidR="00A44688" w:rsidRPr="00DA5A6A">
        <w:rPr>
          <w:rFonts w:ascii="Book Antiqua" w:eastAsia="Book Antiqua" w:hAnsi="Book Antiqua" w:cs="Book Antiqua"/>
          <w:color w:val="000000"/>
        </w:rPr>
        <w:t>Food and Drug Administration (</w:t>
      </w:r>
      <w:r w:rsidRPr="00DA5A6A">
        <w:rPr>
          <w:rFonts w:ascii="Book Antiqua" w:eastAsia="Book Antiqua" w:hAnsi="Book Antiqua" w:cs="Book Antiqua"/>
          <w:color w:val="000000"/>
        </w:rPr>
        <w:t>FDA</w:t>
      </w:r>
      <w:r w:rsidR="00A44688" w:rsidRPr="00DA5A6A">
        <w:rPr>
          <w:rFonts w:ascii="Book Antiqua" w:eastAsia="Book Antiqua" w:hAnsi="Book Antiqua" w:cs="Book Antiqua"/>
          <w:color w:val="000000"/>
        </w:rPr>
        <w:t>)</w:t>
      </w:r>
      <w:r w:rsidRPr="00DA5A6A">
        <w:rPr>
          <w:rFonts w:ascii="Book Antiqua" w:eastAsia="Book Antiqua" w:hAnsi="Book Antiqua" w:cs="Book Antiqua"/>
          <w:color w:val="000000"/>
        </w:rPr>
        <w:t xml:space="preserve"> has recently licensed pembrolizumab for the treatment of high TMB tumours (&gt;</w:t>
      </w:r>
      <w:r w:rsidR="00CC5F8D" w:rsidRPr="00DA5A6A">
        <w:rPr>
          <w:rFonts w:ascii="Book Antiqua" w:eastAsia="Book Antiqua" w:hAnsi="Book Antiqua" w:cs="Book Antiqua"/>
          <w:color w:val="000000"/>
        </w:rPr>
        <w:t xml:space="preserve"> </w:t>
      </w:r>
      <w:r w:rsidRPr="00DA5A6A">
        <w:rPr>
          <w:rFonts w:ascii="Book Antiqua" w:eastAsia="Book Antiqua" w:hAnsi="Book Antiqua" w:cs="Book Antiqua"/>
          <w:color w:val="000000"/>
        </w:rPr>
        <w:t>10 mutations/Megabase) with the FoundationCDx assay as a companion diagnostic</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40</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w:t>
      </w:r>
    </w:p>
    <w:p w14:paraId="039113BA" w14:textId="77777777" w:rsidR="00A77B3E" w:rsidRPr="00DA5A6A" w:rsidRDefault="00A77B3E" w:rsidP="00DA5A6A">
      <w:pPr>
        <w:spacing w:line="360" w:lineRule="auto"/>
        <w:jc w:val="both"/>
        <w:rPr>
          <w:rFonts w:ascii="Book Antiqua" w:hAnsi="Book Antiqua"/>
        </w:rPr>
      </w:pPr>
    </w:p>
    <w:p w14:paraId="6FAE7194" w14:textId="7B314C1F" w:rsidR="00A77B3E" w:rsidRPr="00DA5A6A" w:rsidRDefault="00F74C48" w:rsidP="00DA5A6A">
      <w:pPr>
        <w:spacing w:line="360" w:lineRule="auto"/>
        <w:jc w:val="both"/>
        <w:rPr>
          <w:rFonts w:ascii="Book Antiqua" w:eastAsia="Book Antiqua" w:hAnsi="Book Antiqua" w:cs="Book Antiqua"/>
          <w:b/>
          <w:caps/>
          <w:color w:val="000000"/>
          <w:u w:val="single"/>
        </w:rPr>
      </w:pPr>
      <w:r w:rsidRPr="00DA5A6A">
        <w:rPr>
          <w:rFonts w:ascii="Book Antiqua" w:eastAsia="Book Antiqua" w:hAnsi="Book Antiqua" w:cs="Book Antiqua"/>
          <w:b/>
          <w:caps/>
          <w:color w:val="000000"/>
          <w:u w:val="single"/>
        </w:rPr>
        <w:t>Therapies in Metastatic T</w:t>
      </w:r>
      <w:r w:rsidR="00CC5F8D" w:rsidRPr="00DA5A6A">
        <w:rPr>
          <w:rFonts w:ascii="Book Antiqua" w:eastAsia="Book Antiqua" w:hAnsi="Book Antiqua" w:cs="Book Antiqua"/>
          <w:b/>
          <w:caps/>
          <w:color w:val="000000"/>
          <w:u w:val="single"/>
        </w:rPr>
        <w:t>NBC</w:t>
      </w:r>
    </w:p>
    <w:p w14:paraId="12481EA6" w14:textId="77777777" w:rsidR="00A77B3E" w:rsidRPr="00DA5A6A" w:rsidRDefault="00F74C48" w:rsidP="00DA5A6A">
      <w:pPr>
        <w:spacing w:line="360" w:lineRule="auto"/>
        <w:jc w:val="both"/>
        <w:rPr>
          <w:rFonts w:ascii="Book Antiqua" w:hAnsi="Book Antiqua"/>
          <w:i/>
          <w:iCs/>
        </w:rPr>
      </w:pPr>
      <w:r w:rsidRPr="00DA5A6A">
        <w:rPr>
          <w:rFonts w:ascii="Book Antiqua" w:eastAsia="Book Antiqua" w:hAnsi="Book Antiqua" w:cs="Book Antiqua"/>
          <w:b/>
          <w:bCs/>
          <w:i/>
          <w:iCs/>
          <w:color w:val="000000"/>
        </w:rPr>
        <w:t>Chemotherapy</w:t>
      </w:r>
    </w:p>
    <w:p w14:paraId="69A81FB0" w14:textId="7EF01B15"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color w:val="000000"/>
        </w:rPr>
        <w:t>Chemotherapy remains the cornerstone of therapy in the treatment of metastatic TNBC (Table 1). It is well recognised that TNBC is intrinsically chemo-sensitive but unfortunately prone to rapid relapse and resistance, this is referred to as the triple negative paradox</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41</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Most guidelines recommend a first-line anthracycline or taxane-based regimen for </w:t>
      </w:r>
      <w:r w:rsidRPr="00DA5A6A">
        <w:rPr>
          <w:rFonts w:ascii="Book Antiqua" w:eastAsia="Book Antiqua" w:hAnsi="Book Antiqua" w:cs="Book Antiqua"/>
          <w:i/>
          <w:iCs/>
          <w:color w:val="000000"/>
        </w:rPr>
        <w:t>BRCA1/BRCA2</w:t>
      </w:r>
      <w:r w:rsidRPr="00DA5A6A">
        <w:rPr>
          <w:rFonts w:ascii="Book Antiqua" w:eastAsia="Book Antiqua" w:hAnsi="Book Antiqua" w:cs="Book Antiqua"/>
          <w:color w:val="000000"/>
        </w:rPr>
        <w:t xml:space="preserve"> wild-type patients who have not received these agents in the neoadjuvant or adjuvant settings</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42,43</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There is evidence that patients may respond to re-challenge with these agents however most physician’s would favour avoiding this</w:t>
      </w:r>
      <w:r w:rsidR="0049654A" w:rsidRPr="00DA5A6A">
        <w:rPr>
          <w:rFonts w:ascii="Book Antiqua" w:eastAsia="Book Antiqua" w:hAnsi="Book Antiqua" w:cs="Book Antiqua"/>
          <w:color w:val="000000"/>
        </w:rPr>
        <w:t xml:space="preserve"> in the case of anthracyclines</w:t>
      </w:r>
      <w:r w:rsidRPr="00DA5A6A">
        <w:rPr>
          <w:rFonts w:ascii="Book Antiqua" w:eastAsia="Book Antiqua" w:hAnsi="Book Antiqua" w:cs="Book Antiqua"/>
          <w:color w:val="000000"/>
        </w:rPr>
        <w:t xml:space="preserve"> due to the cumulative cardiac toxicity</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44</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Much debate over the years has focused on the benefits of single-agent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combination regimens. Combination regimens are now generally reserved for patients who are at-risk of or in visceral </w:t>
      </w:r>
      <w:r w:rsidR="0049654A" w:rsidRPr="00DA5A6A">
        <w:rPr>
          <w:rFonts w:ascii="Book Antiqua" w:eastAsia="Book Antiqua" w:hAnsi="Book Antiqua" w:cs="Book Antiqua"/>
          <w:color w:val="000000"/>
        </w:rPr>
        <w:t>crisis</w:t>
      </w:r>
      <w:r w:rsidR="0049654A"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45</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Platinum-based regimens have demonstrated significant efficacy for patients with </w:t>
      </w:r>
      <w:r w:rsidRPr="00DA5A6A">
        <w:rPr>
          <w:rFonts w:ascii="Book Antiqua" w:eastAsia="Book Antiqua" w:hAnsi="Book Antiqua" w:cs="Book Antiqua"/>
          <w:i/>
          <w:iCs/>
          <w:color w:val="000000"/>
        </w:rPr>
        <w:t>BRCA1/BRCA2</w:t>
      </w:r>
      <w:r w:rsidRPr="00DA5A6A">
        <w:rPr>
          <w:rFonts w:ascii="Book Antiqua" w:eastAsia="Book Antiqua" w:hAnsi="Book Antiqua" w:cs="Book Antiqua"/>
          <w:color w:val="000000"/>
        </w:rPr>
        <w:t xml:space="preserve"> mutant TNBC and other deficiencies in homologous </w:t>
      </w:r>
      <w:r w:rsidR="0049654A" w:rsidRPr="00DA5A6A">
        <w:rPr>
          <w:rFonts w:ascii="Book Antiqua" w:eastAsia="Book Antiqua" w:hAnsi="Book Antiqua" w:cs="Book Antiqua"/>
          <w:color w:val="000000"/>
        </w:rPr>
        <w:t>recombination</w:t>
      </w:r>
      <w:r w:rsidR="0049654A"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46</w:t>
      </w:r>
      <w:r w:rsidR="00927219">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48</w:t>
      </w:r>
      <w:r w:rsidR="00CC5F8D" w:rsidRPr="00DA5A6A">
        <w:rPr>
          <w:rFonts w:ascii="Book Antiqua" w:eastAsia="Book Antiqua" w:hAnsi="Book Antiqua" w:cs="Book Antiqua"/>
          <w:color w:val="000000"/>
          <w:vertAlign w:val="superscript"/>
        </w:rPr>
        <w:t>]</w:t>
      </w:r>
      <w:r w:rsidR="00CC5F8D" w:rsidRPr="00DA5A6A">
        <w:rPr>
          <w:rFonts w:ascii="Book Antiqua" w:eastAsia="Book Antiqua" w:hAnsi="Book Antiqua" w:cs="Book Antiqua"/>
          <w:color w:val="000000"/>
        </w:rPr>
        <w:t>.</w:t>
      </w:r>
      <w:r w:rsidRPr="00DA5A6A">
        <w:rPr>
          <w:rFonts w:ascii="Book Antiqua" w:eastAsia="Book Antiqua" w:hAnsi="Book Antiqua" w:cs="Book Antiqua"/>
          <w:color w:val="000000"/>
        </w:rPr>
        <w:t xml:space="preserve"> The TNT study</w:t>
      </w:r>
      <w:r w:rsidR="00CC5F8D" w:rsidRPr="00DA5A6A">
        <w:rPr>
          <w:rFonts w:ascii="Book Antiqua" w:hAnsi="Book Antiqua"/>
          <w:lang w:eastAsia="zh-CN"/>
        </w:rPr>
        <w:t xml:space="preserve"> </w:t>
      </w:r>
      <w:r w:rsidRPr="00DA5A6A">
        <w:rPr>
          <w:rFonts w:ascii="Book Antiqua" w:eastAsia="Book Antiqua" w:hAnsi="Book Antiqua" w:cs="Book Antiqua"/>
          <w:color w:val="000000"/>
        </w:rPr>
        <w:t>directly studied platinum therapy responses in comparison to standard of care in</w:t>
      </w:r>
      <w:r w:rsidR="00CC5F8D" w:rsidRPr="00DA5A6A">
        <w:rPr>
          <w:rFonts w:ascii="Book Antiqua" w:hAnsi="Book Antiqua"/>
          <w:lang w:eastAsia="zh-CN"/>
        </w:rPr>
        <w:t xml:space="preserve"> </w:t>
      </w:r>
      <w:r w:rsidRPr="00DA5A6A">
        <w:rPr>
          <w:rFonts w:ascii="Book Antiqua" w:eastAsia="Book Antiqua" w:hAnsi="Book Antiqua" w:cs="Book Antiqua"/>
          <w:color w:val="000000"/>
        </w:rPr>
        <w:t>advanced unselected TNBC</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48</w:t>
      </w:r>
      <w:r w:rsidR="00CC5F8D"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The study, which randomised 376 patients to docetaxel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carboplatin, found no evidence of a difference between carboplatin and docetaxel in objective response rate, progression free- or </w:t>
      </w:r>
      <w:r w:rsidR="00970DFA">
        <w:rPr>
          <w:rFonts w:ascii="Book Antiqua" w:eastAsia="Book Antiqua" w:hAnsi="Book Antiqua" w:cs="Book Antiqua"/>
          <w:color w:val="000000"/>
        </w:rPr>
        <w:t>OS</w:t>
      </w:r>
      <w:r w:rsidRPr="00DA5A6A">
        <w:rPr>
          <w:rFonts w:ascii="Book Antiqua" w:eastAsia="Book Antiqua" w:hAnsi="Book Antiqua" w:cs="Book Antiqua"/>
          <w:color w:val="000000"/>
        </w:rPr>
        <w:t xml:space="preserve"> in the overall p</w:t>
      </w:r>
      <w:r w:rsidR="0049654A" w:rsidRPr="00DA5A6A">
        <w:rPr>
          <w:rFonts w:ascii="Book Antiqua" w:eastAsia="Book Antiqua" w:hAnsi="Book Antiqua" w:cs="Book Antiqua"/>
          <w:color w:val="000000"/>
        </w:rPr>
        <w:t>opulation. However, a</w:t>
      </w:r>
      <w:r w:rsidRPr="00DA5A6A">
        <w:rPr>
          <w:rFonts w:ascii="Book Antiqua" w:eastAsia="Book Antiqua" w:hAnsi="Book Antiqua" w:cs="Book Antiqua"/>
          <w:color w:val="000000"/>
        </w:rPr>
        <w:t xml:space="preserve"> prespecified subgroup analyses of patients with germline </w:t>
      </w:r>
      <w:r w:rsidRPr="00DA5A6A">
        <w:rPr>
          <w:rFonts w:ascii="Book Antiqua" w:eastAsia="Book Antiqua" w:hAnsi="Book Antiqua" w:cs="Book Antiqua"/>
          <w:i/>
          <w:iCs/>
          <w:color w:val="000000"/>
        </w:rPr>
        <w:t>BRCA1/BRCA2</w:t>
      </w:r>
      <w:r w:rsidR="0049654A" w:rsidRPr="00DA5A6A">
        <w:rPr>
          <w:rFonts w:ascii="Book Antiqua" w:eastAsia="Book Antiqua" w:hAnsi="Book Antiqua" w:cs="Book Antiqua"/>
          <w:color w:val="000000"/>
        </w:rPr>
        <w:t xml:space="preserve"> mutations demonstrated</w:t>
      </w:r>
      <w:r w:rsidRPr="00DA5A6A">
        <w:rPr>
          <w:rFonts w:ascii="Book Antiqua" w:eastAsia="Book Antiqua" w:hAnsi="Book Antiqua" w:cs="Book Antiqua"/>
          <w:color w:val="000000"/>
        </w:rPr>
        <w:t xml:space="preserve"> improved </w:t>
      </w:r>
      <w:r w:rsidR="00DB3801" w:rsidRPr="00DA5A6A">
        <w:rPr>
          <w:rFonts w:ascii="Book Antiqua" w:eastAsia="Times New Roman" w:hAnsi="Book Antiqua" w:cs="Arial"/>
          <w:kern w:val="24"/>
          <w:lang w:val="en-GB" w:eastAsia="en-IE"/>
        </w:rPr>
        <w:t>Overall response rate</w:t>
      </w:r>
      <w:r w:rsidR="00CC5F8D" w:rsidRPr="00DA5A6A">
        <w:rPr>
          <w:rFonts w:ascii="Book Antiqua" w:eastAsia="Book Antiqua" w:hAnsi="Book Antiqua" w:cs="Book Antiqua"/>
          <w:color w:val="000000"/>
        </w:rPr>
        <w:t xml:space="preserve"> (</w:t>
      </w:r>
      <w:r w:rsidRPr="00DA5A6A">
        <w:rPr>
          <w:rFonts w:ascii="Book Antiqua" w:eastAsia="Book Antiqua" w:hAnsi="Book Antiqua" w:cs="Book Antiqua"/>
          <w:color w:val="000000"/>
        </w:rPr>
        <w:t>ORR</w:t>
      </w:r>
      <w:r w:rsidR="00CC5F8D" w:rsidRPr="00DA5A6A">
        <w:rPr>
          <w:rFonts w:ascii="Book Antiqua" w:eastAsia="Book Antiqua" w:hAnsi="Book Antiqua" w:cs="Book Antiqua"/>
          <w:color w:val="000000"/>
        </w:rPr>
        <w:t>)</w:t>
      </w:r>
      <w:r w:rsidRPr="00DA5A6A">
        <w:rPr>
          <w:rFonts w:ascii="Book Antiqua" w:eastAsia="Book Antiqua" w:hAnsi="Book Antiqua" w:cs="Book Antiqua"/>
          <w:color w:val="000000"/>
        </w:rPr>
        <w:t xml:space="preserve"> (68</w:t>
      </w:r>
      <w:r w:rsidR="009267D3" w:rsidRPr="00DA5A6A">
        <w:rPr>
          <w:rFonts w:ascii="Book Antiqua" w:eastAsia="Book Antiqua" w:hAnsi="Book Antiqua" w:cs="Book Antiqua"/>
          <w:color w:val="000000"/>
        </w:rPr>
        <w:t>%</w:t>
      </w:r>
      <w:r w:rsidRPr="00DA5A6A">
        <w:rPr>
          <w:rFonts w:ascii="Book Antiqua" w:eastAsia="Book Antiqua" w:hAnsi="Book Antiqua" w:cs="Book Antiqua"/>
          <w:color w:val="000000"/>
        </w:rPr>
        <w:t xml:space="preserve"> </w:t>
      </w:r>
      <w:r w:rsidRPr="00DA5A6A">
        <w:rPr>
          <w:rFonts w:ascii="Book Antiqua" w:eastAsia="Book Antiqua" w:hAnsi="Book Antiqua" w:cs="Book Antiqua"/>
          <w:i/>
          <w:iCs/>
          <w:color w:val="000000"/>
        </w:rPr>
        <w:t>vs</w:t>
      </w:r>
      <w:r w:rsidR="0049654A" w:rsidRPr="00DA5A6A">
        <w:rPr>
          <w:rFonts w:ascii="Book Antiqua" w:eastAsia="Book Antiqua" w:hAnsi="Book Antiqua" w:cs="Book Antiqua"/>
          <w:color w:val="000000"/>
        </w:rPr>
        <w:t xml:space="preserve"> 33%) and </w:t>
      </w:r>
      <w:r w:rsidR="00CC5F8D" w:rsidRPr="00DA5A6A">
        <w:rPr>
          <w:rFonts w:ascii="Book Antiqua" w:eastAsia="Book Antiqua" w:hAnsi="Book Antiqua" w:cs="Book Antiqua"/>
          <w:color w:val="000000"/>
        </w:rPr>
        <w:t>progression free survival (PFS)</w:t>
      </w:r>
      <w:r w:rsidRPr="00DA5A6A">
        <w:rPr>
          <w:rFonts w:ascii="Book Antiqua" w:eastAsia="Book Antiqua" w:hAnsi="Book Antiqua" w:cs="Book Antiqua"/>
          <w:color w:val="000000"/>
        </w:rPr>
        <w:t xml:space="preserve"> (6.8 </w:t>
      </w:r>
      <w:r w:rsidR="009267D3" w:rsidRPr="00DA5A6A">
        <w:rPr>
          <w:rFonts w:ascii="Book Antiqua" w:eastAsia="Book Antiqua" w:hAnsi="Book Antiqua" w:cs="Book Antiqua"/>
          <w:color w:val="000000"/>
        </w:rPr>
        <w:t>mo</w:t>
      </w:r>
      <w:r w:rsidR="009267D3" w:rsidRPr="00DA5A6A">
        <w:rPr>
          <w:rFonts w:ascii="Book Antiqua" w:eastAsia="Book Antiqua" w:hAnsi="Book Antiqua" w:cs="Book Antiqua"/>
          <w:i/>
          <w:iCs/>
          <w:color w:val="000000"/>
        </w:rPr>
        <w:t xml:space="preserve"> </w:t>
      </w:r>
      <w:r w:rsidR="0049654A" w:rsidRPr="00DA5A6A">
        <w:rPr>
          <w:rFonts w:ascii="Book Antiqua" w:eastAsia="Book Antiqua" w:hAnsi="Book Antiqua" w:cs="Book Antiqua"/>
          <w:i/>
          <w:iCs/>
          <w:color w:val="000000"/>
        </w:rPr>
        <w:t>v</w:t>
      </w:r>
      <w:r w:rsidRPr="00DA5A6A">
        <w:rPr>
          <w:rFonts w:ascii="Book Antiqua" w:eastAsia="Book Antiqua" w:hAnsi="Book Antiqua" w:cs="Book Antiqua"/>
          <w:i/>
          <w:iCs/>
          <w:color w:val="000000"/>
        </w:rPr>
        <w:t>s</w:t>
      </w:r>
      <w:r w:rsidRPr="00DA5A6A">
        <w:rPr>
          <w:rFonts w:ascii="Book Antiqua" w:eastAsia="Book Antiqua" w:hAnsi="Book Antiqua" w:cs="Book Antiqua"/>
          <w:color w:val="000000"/>
        </w:rPr>
        <w:t xml:space="preserve"> 4.4 mo) but there was no OS advantage observed. The interpretation of OS is com</w:t>
      </w:r>
      <w:r w:rsidR="0049654A" w:rsidRPr="00DA5A6A">
        <w:rPr>
          <w:rFonts w:ascii="Book Antiqua" w:eastAsia="Book Antiqua" w:hAnsi="Book Antiqua" w:cs="Book Antiqua"/>
          <w:color w:val="000000"/>
        </w:rPr>
        <w:t>plex</w:t>
      </w:r>
      <w:r w:rsidRPr="00DA5A6A">
        <w:rPr>
          <w:rFonts w:ascii="Book Antiqua" w:eastAsia="Book Antiqua" w:hAnsi="Book Antiqua" w:cs="Book Antiqua"/>
          <w:color w:val="000000"/>
        </w:rPr>
        <w:t xml:space="preserve"> by the protocol specified planned cross over at progression.</w:t>
      </w:r>
    </w:p>
    <w:p w14:paraId="01BAB956" w14:textId="2E3AFD01" w:rsidR="00A77B3E" w:rsidRPr="00DA5A6A" w:rsidRDefault="00F74C48" w:rsidP="00DA5A6A">
      <w:pPr>
        <w:spacing w:line="360" w:lineRule="auto"/>
        <w:ind w:firstLineChars="200" w:firstLine="480"/>
        <w:jc w:val="both"/>
        <w:rPr>
          <w:rFonts w:ascii="Book Antiqua" w:hAnsi="Book Antiqua"/>
        </w:rPr>
      </w:pPr>
      <w:r w:rsidRPr="00DA5A6A">
        <w:rPr>
          <w:rFonts w:ascii="Book Antiqua" w:eastAsia="Book Antiqua" w:hAnsi="Book Antiqua" w:cs="Book Antiqua"/>
          <w:color w:val="000000"/>
        </w:rPr>
        <w:t>Fi</w:t>
      </w:r>
      <w:r w:rsidR="0049654A" w:rsidRPr="00DA5A6A">
        <w:rPr>
          <w:rFonts w:ascii="Book Antiqua" w:eastAsia="Book Antiqua" w:hAnsi="Book Antiqua" w:cs="Book Antiqua"/>
          <w:color w:val="000000"/>
        </w:rPr>
        <w:t>nally, a variety of other cytotoxic</w:t>
      </w:r>
      <w:r w:rsidRPr="00DA5A6A">
        <w:rPr>
          <w:rFonts w:ascii="Book Antiqua" w:eastAsia="Book Antiqua" w:hAnsi="Book Antiqua" w:cs="Book Antiqua"/>
          <w:color w:val="000000"/>
        </w:rPr>
        <w:t xml:space="preserve"> can be used in later lines of treatments including gemcitabine, capecitabine and the more recent addition</w:t>
      </w:r>
      <w:r w:rsidR="0049654A" w:rsidRPr="00DA5A6A">
        <w:rPr>
          <w:rFonts w:ascii="Book Antiqua" w:eastAsia="Book Antiqua" w:hAnsi="Book Antiqua" w:cs="Book Antiqua"/>
          <w:color w:val="000000"/>
        </w:rPr>
        <w:t>-</w:t>
      </w:r>
      <w:r w:rsidRPr="00DA5A6A">
        <w:rPr>
          <w:rFonts w:ascii="Book Antiqua" w:eastAsia="Book Antiqua" w:hAnsi="Book Antiqua" w:cs="Book Antiqua"/>
          <w:color w:val="000000"/>
        </w:rPr>
        <w:t>eribulin</w:t>
      </w:r>
      <w:r w:rsidR="00840BA5"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49</w:t>
      </w:r>
      <w:r w:rsidR="00840BA5"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However, 30 years of experimentation with a </w:t>
      </w:r>
      <w:r w:rsidR="0049654A" w:rsidRPr="00DA5A6A">
        <w:rPr>
          <w:rFonts w:ascii="Book Antiqua" w:eastAsia="Book Antiqua" w:hAnsi="Book Antiqua" w:cs="Book Antiqua"/>
          <w:color w:val="000000"/>
        </w:rPr>
        <w:t>variety of chemotherapeutics has</w:t>
      </w:r>
      <w:r w:rsidRPr="00DA5A6A">
        <w:rPr>
          <w:rFonts w:ascii="Book Antiqua" w:eastAsia="Book Antiqua" w:hAnsi="Book Antiqua" w:cs="Book Antiqua"/>
          <w:color w:val="000000"/>
        </w:rPr>
        <w:t xml:space="preserve"> yielded overall disappointing </w:t>
      </w:r>
      <w:r w:rsidRPr="00DA5A6A">
        <w:rPr>
          <w:rFonts w:ascii="Book Antiqua" w:eastAsia="Book Antiqua" w:hAnsi="Book Antiqua" w:cs="Book Antiqua"/>
          <w:color w:val="000000"/>
        </w:rPr>
        <w:lastRenderedPageBreak/>
        <w:t>results. There is a significant unmet clinical need for newer more effective treatments which results in durable remissions for this patient population.</w:t>
      </w:r>
    </w:p>
    <w:p w14:paraId="7364D30F" w14:textId="44B5EAA6" w:rsidR="00A77B3E" w:rsidRPr="00DA5A6A" w:rsidRDefault="00F74C48" w:rsidP="00DA5A6A">
      <w:pPr>
        <w:spacing w:line="360" w:lineRule="auto"/>
        <w:ind w:firstLineChars="200" w:firstLine="480"/>
        <w:jc w:val="both"/>
        <w:rPr>
          <w:rFonts w:ascii="Book Antiqua" w:hAnsi="Book Antiqua"/>
        </w:rPr>
      </w:pPr>
      <w:r w:rsidRPr="00DA5A6A">
        <w:rPr>
          <w:rFonts w:ascii="Book Antiqua" w:eastAsia="Book Antiqua" w:hAnsi="Book Antiqua" w:cs="Book Antiqua"/>
          <w:color w:val="000000"/>
        </w:rPr>
        <w:t xml:space="preserve">Targeted agents such as PARPi, drugs targeting the </w:t>
      </w:r>
      <w:r w:rsidR="00840BA5" w:rsidRPr="00DA5A6A">
        <w:rPr>
          <w:rFonts w:ascii="Book Antiqua" w:eastAsia="Book Antiqua" w:hAnsi="Book Antiqua" w:cs="Book Antiqua"/>
          <w:color w:val="000000"/>
          <w:shd w:val="clear" w:color="auto" w:fill="FFFFFF"/>
        </w:rPr>
        <w:t>phosphoinositide 3-kinase (PI3K)</w:t>
      </w:r>
      <w:r w:rsidRPr="00DA5A6A">
        <w:rPr>
          <w:rFonts w:ascii="Book Antiqua" w:eastAsia="Book Antiqua" w:hAnsi="Book Antiqua" w:cs="Book Antiqua"/>
          <w:color w:val="000000"/>
        </w:rPr>
        <w:t xml:space="preserve"> pathway, immunotherapy and antibody drug conjugates are being incorporated alone or in combination with chemotherapy in treatment approaches.</w:t>
      </w:r>
    </w:p>
    <w:p w14:paraId="7E01D6D7" w14:textId="77777777" w:rsidR="00A77B3E" w:rsidRPr="00DA5A6A" w:rsidRDefault="00A77B3E" w:rsidP="00DA5A6A">
      <w:pPr>
        <w:spacing w:line="360" w:lineRule="auto"/>
        <w:jc w:val="both"/>
        <w:rPr>
          <w:rFonts w:ascii="Book Antiqua" w:hAnsi="Book Antiqua"/>
        </w:rPr>
      </w:pPr>
    </w:p>
    <w:p w14:paraId="279BF8B5" w14:textId="77777777" w:rsidR="00A77B3E" w:rsidRPr="00DA5A6A" w:rsidRDefault="00F74C48" w:rsidP="00DA5A6A">
      <w:pPr>
        <w:spacing w:line="360" w:lineRule="auto"/>
        <w:jc w:val="both"/>
        <w:rPr>
          <w:rFonts w:ascii="Book Antiqua" w:eastAsia="Book Antiqua" w:hAnsi="Book Antiqua" w:cs="Book Antiqua"/>
          <w:b/>
          <w:caps/>
          <w:color w:val="000000"/>
          <w:u w:val="single"/>
        </w:rPr>
      </w:pPr>
      <w:r w:rsidRPr="00DA5A6A">
        <w:rPr>
          <w:rFonts w:ascii="Book Antiqua" w:eastAsia="Book Antiqua" w:hAnsi="Book Antiqua" w:cs="Book Antiqua"/>
          <w:b/>
          <w:caps/>
          <w:color w:val="000000"/>
          <w:u w:val="single"/>
        </w:rPr>
        <w:t>Immunotherapy in Metastatic TNBC</w:t>
      </w:r>
    </w:p>
    <w:p w14:paraId="25A1024F" w14:textId="77777777" w:rsidR="00A77B3E" w:rsidRPr="00DA5A6A" w:rsidRDefault="00F74C48" w:rsidP="00DA5A6A">
      <w:pPr>
        <w:spacing w:line="360" w:lineRule="auto"/>
        <w:jc w:val="both"/>
        <w:rPr>
          <w:rFonts w:ascii="Book Antiqua" w:hAnsi="Book Antiqua"/>
          <w:i/>
          <w:iCs/>
        </w:rPr>
      </w:pPr>
      <w:r w:rsidRPr="00DA5A6A">
        <w:rPr>
          <w:rFonts w:ascii="Book Antiqua" w:eastAsia="Book Antiqua" w:hAnsi="Book Antiqua" w:cs="Book Antiqua"/>
          <w:b/>
          <w:bCs/>
          <w:i/>
          <w:iCs/>
          <w:color w:val="000000"/>
        </w:rPr>
        <w:t>Monotherapy trials</w:t>
      </w:r>
    </w:p>
    <w:p w14:paraId="03943387" w14:textId="7CA38DBC" w:rsidR="00A77B3E" w:rsidRPr="00DA5A6A" w:rsidRDefault="0049654A" w:rsidP="00DA5A6A">
      <w:pPr>
        <w:spacing w:line="360" w:lineRule="auto"/>
        <w:jc w:val="both"/>
        <w:rPr>
          <w:rFonts w:ascii="Book Antiqua" w:hAnsi="Book Antiqua"/>
        </w:rPr>
      </w:pPr>
      <w:r w:rsidRPr="00DA5A6A">
        <w:rPr>
          <w:rFonts w:ascii="Book Antiqua" w:eastAsia="Book Antiqua" w:hAnsi="Book Antiqua" w:cs="Book Antiqua"/>
          <w:color w:val="000000"/>
        </w:rPr>
        <w:t>In the Phase 1b</w:t>
      </w:r>
      <w:r w:rsidR="00F74C48" w:rsidRPr="00DA5A6A">
        <w:rPr>
          <w:rFonts w:ascii="Book Antiqua" w:eastAsia="Book Antiqua" w:hAnsi="Book Antiqua" w:cs="Book Antiqua"/>
          <w:color w:val="000000"/>
        </w:rPr>
        <w:t xml:space="preserve"> KEYNOTE- 012</w:t>
      </w:r>
      <w:r w:rsidRPr="00DA5A6A">
        <w:rPr>
          <w:rFonts w:ascii="Book Antiqua" w:eastAsia="Book Antiqua" w:hAnsi="Book Antiqua" w:cs="Book Antiqua"/>
          <w:color w:val="000000"/>
        </w:rPr>
        <w:t xml:space="preserve"> trial, published</w:t>
      </w:r>
      <w:r w:rsidR="00F74C48" w:rsidRPr="00DA5A6A">
        <w:rPr>
          <w:rFonts w:ascii="Book Antiqua" w:eastAsia="Book Antiqua" w:hAnsi="Book Antiqua" w:cs="Book Antiqua"/>
          <w:color w:val="000000"/>
        </w:rPr>
        <w:t xml:space="preserve"> in 2016</w:t>
      </w:r>
      <w:r w:rsidRPr="00DA5A6A">
        <w:rPr>
          <w:rFonts w:ascii="Book Antiqua" w:eastAsia="Book Antiqua" w:hAnsi="Book Antiqua" w:cs="Book Antiqua"/>
          <w:color w:val="000000"/>
        </w:rPr>
        <w:t>,</w:t>
      </w:r>
      <w:r w:rsidR="00F74C48" w:rsidRPr="00DA5A6A">
        <w:rPr>
          <w:rFonts w:ascii="Book Antiqua" w:eastAsia="Book Antiqua" w:hAnsi="Book Antiqua" w:cs="Book Antiqua"/>
          <w:color w:val="000000"/>
        </w:rPr>
        <w:t xml:space="preserve"> </w:t>
      </w:r>
      <w:r w:rsidRPr="00DA5A6A">
        <w:rPr>
          <w:rFonts w:ascii="Book Antiqua" w:eastAsia="Book Antiqua" w:hAnsi="Book Antiqua" w:cs="Book Antiqua"/>
          <w:color w:val="000000"/>
        </w:rPr>
        <w:t>patients with pre-treated TNBC were treated with</w:t>
      </w:r>
      <w:r w:rsidR="00F74C48" w:rsidRPr="00DA5A6A">
        <w:rPr>
          <w:rFonts w:ascii="Book Antiqua" w:eastAsia="Book Antiqua" w:hAnsi="Book Antiqua" w:cs="Book Antiqua"/>
          <w:color w:val="000000"/>
        </w:rPr>
        <w:t xml:space="preserve"> pembrolizumab (Table 2) TNBC population as part of a larger basket trial</w:t>
      </w:r>
      <w:r w:rsidR="00840BA5" w:rsidRPr="00DA5A6A">
        <w:rPr>
          <w:rFonts w:ascii="Book Antiqua" w:eastAsia="Book Antiqua" w:hAnsi="Book Antiqua" w:cs="Book Antiqua"/>
          <w:color w:val="000000"/>
          <w:vertAlign w:val="superscript"/>
        </w:rPr>
        <w:t>[</w:t>
      </w:r>
      <w:r w:rsidR="00F74C48" w:rsidRPr="00DA5A6A">
        <w:rPr>
          <w:rFonts w:ascii="Book Antiqua" w:eastAsia="Book Antiqua" w:hAnsi="Book Antiqua" w:cs="Book Antiqua"/>
          <w:color w:val="000000"/>
          <w:vertAlign w:val="superscript"/>
        </w:rPr>
        <w:t>50</w:t>
      </w:r>
      <w:r w:rsidR="00840BA5" w:rsidRPr="00DA5A6A">
        <w:rPr>
          <w:rFonts w:ascii="Book Antiqua" w:eastAsia="Book Antiqua" w:hAnsi="Book Antiqua" w:cs="Book Antiqua"/>
          <w:color w:val="000000"/>
          <w:vertAlign w:val="superscript"/>
        </w:rPr>
        <w:t>]</w:t>
      </w:r>
      <w:r w:rsidR="00F74C48" w:rsidRPr="00DA5A6A">
        <w:rPr>
          <w:rFonts w:ascii="Book Antiqua" w:eastAsia="Book Antiqua" w:hAnsi="Book Antiqua" w:cs="Book Antiqua"/>
          <w:color w:val="000000"/>
        </w:rPr>
        <w:t>. A modest response rate of 18% (5/27) was seen with a further 25.9% of patients having stable disease. There was a suggestion of increased likelihood of response for patients with a higher PD-L1 score (</w:t>
      </w:r>
      <w:r w:rsidR="00F74C48" w:rsidRPr="00DA5A6A">
        <w:rPr>
          <w:rFonts w:ascii="Book Antiqua" w:eastAsia="Book Antiqua" w:hAnsi="Book Antiqua" w:cs="Book Antiqua"/>
          <w:i/>
          <w:iCs/>
          <w:color w:val="000000"/>
        </w:rPr>
        <w:t>P</w:t>
      </w:r>
      <w:r w:rsidR="00F74C48" w:rsidRPr="00DA5A6A">
        <w:rPr>
          <w:rFonts w:ascii="Book Antiqua" w:eastAsia="Book Antiqua" w:hAnsi="Book Antiqua" w:cs="Book Antiqua"/>
          <w:color w:val="000000"/>
        </w:rPr>
        <w:t xml:space="preserve"> = 0.028).</w:t>
      </w:r>
    </w:p>
    <w:p w14:paraId="67896A34" w14:textId="25302587" w:rsidR="00A77B3E" w:rsidRPr="00DA5A6A" w:rsidRDefault="00F74C48" w:rsidP="00DA5A6A">
      <w:pPr>
        <w:spacing w:line="360" w:lineRule="auto"/>
        <w:ind w:left="-1" w:firstLineChars="200" w:firstLine="480"/>
        <w:jc w:val="both"/>
        <w:rPr>
          <w:rFonts w:ascii="Book Antiqua" w:hAnsi="Book Antiqua"/>
        </w:rPr>
      </w:pPr>
      <w:r w:rsidRPr="00DA5A6A">
        <w:rPr>
          <w:rFonts w:ascii="Book Antiqua" w:eastAsia="Book Antiqua" w:hAnsi="Book Antiqua" w:cs="Book Antiqua"/>
          <w:color w:val="000000"/>
        </w:rPr>
        <w:t>In the JAVELIN Phase 1b trial, authors’ investigated the use of avelumab in patients with metastatic, heavily pre-treated breast cancer with 58 patients in the group having TNBC</w:t>
      </w:r>
      <w:r w:rsidR="003F011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51</w:t>
      </w:r>
      <w:r w:rsidR="003F011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The response rate within the TNBC cohort was disappointing at 5.2% with stable disease in a further 25.9% of patients. The combined positive score (CPS) was associated with higher likelihood of response (22.2%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2.2% within the TNBC population).</w:t>
      </w:r>
    </w:p>
    <w:p w14:paraId="58378DCF" w14:textId="2BB394E7" w:rsidR="00A77B3E" w:rsidRPr="00DA5A6A" w:rsidRDefault="00F74C48" w:rsidP="00DA5A6A">
      <w:pPr>
        <w:spacing w:line="360" w:lineRule="auto"/>
        <w:ind w:firstLineChars="200" w:firstLine="480"/>
        <w:jc w:val="both"/>
        <w:rPr>
          <w:rFonts w:ascii="Book Antiqua" w:hAnsi="Book Antiqua"/>
        </w:rPr>
      </w:pPr>
      <w:r w:rsidRPr="00DA5A6A">
        <w:rPr>
          <w:rFonts w:ascii="Book Antiqua" w:eastAsia="Book Antiqua" w:hAnsi="Book Antiqua" w:cs="Book Antiqua"/>
          <w:color w:val="000000"/>
        </w:rPr>
        <w:t>In a Phase 1a trial of atezolizumab in TNBC, authors’ investigated the use of atezolizumab in TNBC in both the first line and second line setting</w:t>
      </w:r>
      <w:r w:rsidR="003F011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52</w:t>
      </w:r>
      <w:r w:rsidR="003F011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Overall response rates were significantly higher in the first-line setting in contrast to the second-line setting (24%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6%) with a median duration of response of 21 mo. Patients with a higher immune cell (IC) PD-L1 score had improved clinical outcomes in contrast to patients with a negative PD-L1 IC.</w:t>
      </w:r>
    </w:p>
    <w:p w14:paraId="7816BA8F" w14:textId="5D8605DF" w:rsidR="00A77B3E" w:rsidRPr="00DA5A6A" w:rsidRDefault="00F74C48" w:rsidP="00DA5A6A">
      <w:pPr>
        <w:spacing w:line="360" w:lineRule="auto"/>
        <w:ind w:firstLineChars="200" w:firstLine="480"/>
        <w:jc w:val="both"/>
        <w:rPr>
          <w:rFonts w:ascii="Book Antiqua" w:hAnsi="Book Antiqua"/>
        </w:rPr>
      </w:pPr>
      <w:r w:rsidRPr="00DA5A6A">
        <w:rPr>
          <w:rFonts w:ascii="Book Antiqua" w:eastAsia="Book Antiqua" w:hAnsi="Book Antiqua" w:cs="Book Antiqua"/>
          <w:color w:val="000000"/>
        </w:rPr>
        <w:t>In the KEYNOTE-086 study, authors’ investigated pembrolizumab monotherapy in patients with heavily pretreated TNBC</w:t>
      </w:r>
      <w:r w:rsidR="003F011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53</w:t>
      </w:r>
      <w:r w:rsidR="003F011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They included 170 patients in a single-arm phase 2 study. The majority of patients (61.8%) had PD-L1 positive tumours. Almost half of patients have received 3 or more prior lines of therapy. Median PFS was modest at 2</w:t>
      </w:r>
      <w:r w:rsidR="00CE3DBD">
        <w:rPr>
          <w:rFonts w:ascii="Book Antiqua" w:eastAsia="Book Antiqua" w:hAnsi="Book Antiqua" w:cs="Book Antiqua"/>
          <w:color w:val="000000"/>
        </w:rPr>
        <w:t xml:space="preserve"> </w:t>
      </w:r>
      <w:r w:rsidRPr="00DA5A6A">
        <w:rPr>
          <w:rFonts w:ascii="Book Antiqua" w:eastAsia="Book Antiqua" w:hAnsi="Book Antiqua" w:cs="Book Antiqua"/>
          <w:color w:val="000000"/>
        </w:rPr>
        <w:t>mo with 6</w:t>
      </w:r>
      <w:r w:rsidR="00CE3DBD">
        <w:rPr>
          <w:rFonts w:ascii="Book Antiqua" w:eastAsia="Book Antiqua" w:hAnsi="Book Antiqua" w:cs="Book Antiqua"/>
          <w:color w:val="000000"/>
        </w:rPr>
        <w:t xml:space="preserve"> </w:t>
      </w:r>
      <w:r w:rsidRPr="00DA5A6A">
        <w:rPr>
          <w:rFonts w:ascii="Book Antiqua" w:eastAsia="Book Antiqua" w:hAnsi="Book Antiqua" w:cs="Book Antiqua"/>
          <w:color w:val="000000"/>
        </w:rPr>
        <w:t>mo and 12</w:t>
      </w:r>
      <w:r w:rsidR="00CE3DBD">
        <w:rPr>
          <w:rFonts w:ascii="Book Antiqua" w:eastAsia="Book Antiqua" w:hAnsi="Book Antiqua" w:cs="Book Antiqua"/>
          <w:color w:val="000000"/>
        </w:rPr>
        <w:t xml:space="preserve"> </w:t>
      </w:r>
      <w:r w:rsidRPr="00DA5A6A">
        <w:rPr>
          <w:rFonts w:ascii="Book Antiqua" w:eastAsia="Book Antiqua" w:hAnsi="Book Antiqua" w:cs="Book Antiqua"/>
          <w:color w:val="000000"/>
        </w:rPr>
        <w:t>mo PFS of 14.9% and 6.2% respectively.</w:t>
      </w:r>
    </w:p>
    <w:p w14:paraId="68973AFC" w14:textId="4DA8370E" w:rsidR="00A77B3E" w:rsidRPr="00DA5A6A" w:rsidRDefault="00F74C48" w:rsidP="00DA5A6A">
      <w:pPr>
        <w:spacing w:line="360" w:lineRule="auto"/>
        <w:ind w:firstLineChars="200" w:firstLine="480"/>
        <w:jc w:val="both"/>
        <w:rPr>
          <w:rFonts w:ascii="Book Antiqua" w:hAnsi="Book Antiqua"/>
        </w:rPr>
      </w:pPr>
      <w:r w:rsidRPr="00DA5A6A">
        <w:rPr>
          <w:rFonts w:ascii="Book Antiqua" w:eastAsia="Book Antiqua" w:hAnsi="Book Antiqua" w:cs="Book Antiqua"/>
          <w:color w:val="000000"/>
        </w:rPr>
        <w:lastRenderedPageBreak/>
        <w:t xml:space="preserve">These early phase studies culminated in the phase III KEYNOTE-119 study which investigated pembrolizumab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chemotherapy in patients who had received 1-2 prior lines of systemic therapy for patients with TNBC</w:t>
      </w:r>
      <w:r w:rsidR="003F011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54</w:t>
      </w:r>
      <w:r w:rsidR="003F011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Patients had received at least one anthracycline or taxane based treatment and were randomised to either pembrolizumab or physician’s choice of gemcitabine/eribulin/capecitabine. This study was adequately powered for OS in the </w:t>
      </w:r>
      <w:r w:rsidR="003F0112" w:rsidRPr="00DA5A6A">
        <w:rPr>
          <w:rFonts w:ascii="Book Antiqua" w:eastAsia="Book Antiqua" w:hAnsi="Book Antiqua" w:cs="Book Antiqua"/>
          <w:color w:val="000000"/>
        </w:rPr>
        <w:t>intention-to-treat (ITT)</w:t>
      </w:r>
      <w:r w:rsidRPr="00DA5A6A">
        <w:rPr>
          <w:rFonts w:ascii="Book Antiqua" w:eastAsia="Book Antiqua" w:hAnsi="Book Antiqua" w:cs="Book Antiqua"/>
          <w:color w:val="000000"/>
        </w:rPr>
        <w:t xml:space="preserve"> population. The PD</w:t>
      </w:r>
      <w:r w:rsidR="00927219">
        <w:rPr>
          <w:rFonts w:ascii="Book Antiqua" w:eastAsia="Book Antiqua" w:hAnsi="Book Antiqua" w:cs="Book Antiqua"/>
          <w:color w:val="000000"/>
        </w:rPr>
        <w:t>-</w:t>
      </w:r>
      <w:r w:rsidRPr="00DA5A6A">
        <w:rPr>
          <w:rFonts w:ascii="Book Antiqua" w:eastAsia="Book Antiqua" w:hAnsi="Book Antiqua" w:cs="Book Antiqua"/>
          <w:color w:val="000000"/>
        </w:rPr>
        <w:t xml:space="preserve">L1 </w:t>
      </w:r>
      <w:r w:rsidR="003F0112" w:rsidRPr="00DA5A6A">
        <w:rPr>
          <w:rFonts w:ascii="Book Antiqua" w:hAnsi="Book Antiqua" w:cs="Arial"/>
          <w:kern w:val="24"/>
          <w:lang w:val="en-GB"/>
        </w:rPr>
        <w:t>immunohistochemistry</w:t>
      </w:r>
      <w:r w:rsidR="003F0112" w:rsidRPr="00DA5A6A">
        <w:rPr>
          <w:rFonts w:ascii="Book Antiqua" w:eastAsia="Book Antiqua" w:hAnsi="Book Antiqua" w:cs="Book Antiqua"/>
          <w:color w:val="000000"/>
        </w:rPr>
        <w:t xml:space="preserve"> (</w:t>
      </w:r>
      <w:r w:rsidRPr="00DA5A6A">
        <w:rPr>
          <w:rFonts w:ascii="Book Antiqua" w:eastAsia="Book Antiqua" w:hAnsi="Book Antiqua" w:cs="Book Antiqua"/>
          <w:color w:val="000000"/>
        </w:rPr>
        <w:t>IHC</w:t>
      </w:r>
      <w:r w:rsidR="003F0112" w:rsidRPr="00DA5A6A">
        <w:rPr>
          <w:rFonts w:ascii="Book Antiqua" w:eastAsia="Book Antiqua" w:hAnsi="Book Antiqua" w:cs="Book Antiqua"/>
          <w:color w:val="000000"/>
        </w:rPr>
        <w:t>)</w:t>
      </w:r>
      <w:r w:rsidRPr="00DA5A6A">
        <w:rPr>
          <w:rFonts w:ascii="Book Antiqua" w:eastAsia="Book Antiqua" w:hAnsi="Book Antiqua" w:cs="Book Antiqua"/>
          <w:color w:val="000000"/>
        </w:rPr>
        <w:t xml:space="preserve"> 22C3 pharmDX assay was used to determine the CPS on a specimen from a site of metastatic disease. Patients were randomised in a 1:1 manner between pembrolizumab and physician’s choice of chemotherapy (</w:t>
      </w:r>
      <w:r w:rsidRPr="00DA5A6A">
        <w:rPr>
          <w:rFonts w:ascii="Book Antiqua" w:eastAsia="Book Antiqua" w:hAnsi="Book Antiqua" w:cs="Book Antiqua"/>
          <w:i/>
          <w:iCs/>
          <w:color w:val="000000"/>
        </w:rPr>
        <w:t>n</w:t>
      </w:r>
      <w:r w:rsidRPr="00DA5A6A">
        <w:rPr>
          <w:rFonts w:ascii="Book Antiqua" w:eastAsia="Book Antiqua" w:hAnsi="Book Antiqua" w:cs="Book Antiqua"/>
          <w:color w:val="000000"/>
        </w:rPr>
        <w:t xml:space="preserve"> = 611). The majority of patients (61 %) had a CPS &gt;</w:t>
      </w:r>
      <w:r w:rsidR="003F0112" w:rsidRPr="00DA5A6A">
        <w:rPr>
          <w:rFonts w:ascii="Book Antiqua" w:eastAsia="Book Antiqua" w:hAnsi="Book Antiqua" w:cs="Book Antiqua"/>
          <w:color w:val="000000"/>
        </w:rPr>
        <w:t xml:space="preserve"> </w:t>
      </w:r>
      <w:r w:rsidRPr="00DA5A6A">
        <w:rPr>
          <w:rFonts w:ascii="Book Antiqua" w:eastAsia="Book Antiqua" w:hAnsi="Book Antiqua" w:cs="Book Antiqua"/>
          <w:color w:val="000000"/>
        </w:rPr>
        <w:t>1. Pembrolizumab did not improve OS in patients with a CPS</w:t>
      </w:r>
      <w:r w:rsidR="003F0112" w:rsidRPr="00DA5A6A">
        <w:rPr>
          <w:rFonts w:ascii="Book Antiqua" w:eastAsia="Book Antiqua" w:hAnsi="Book Antiqua" w:cs="Book Antiqua"/>
          <w:color w:val="000000"/>
        </w:rPr>
        <w:t xml:space="preserve"> </w:t>
      </w:r>
      <w:r w:rsidRPr="00DA5A6A">
        <w:rPr>
          <w:rFonts w:ascii="Book Antiqua" w:eastAsia="Book Antiqua" w:hAnsi="Book Antiqua" w:cs="Book Antiqua"/>
          <w:color w:val="000000"/>
        </w:rPr>
        <w:t>&gt;</w:t>
      </w:r>
      <w:r w:rsidR="003F0112" w:rsidRPr="00DA5A6A">
        <w:rPr>
          <w:rFonts w:ascii="Book Antiqua" w:eastAsia="Book Antiqua" w:hAnsi="Book Antiqua" w:cs="Book Antiqua"/>
          <w:color w:val="000000"/>
        </w:rPr>
        <w:t xml:space="preserve"> </w:t>
      </w:r>
      <w:r w:rsidRPr="00DA5A6A">
        <w:rPr>
          <w:rFonts w:ascii="Book Antiqua" w:eastAsia="Book Antiqua" w:hAnsi="Book Antiqua" w:cs="Book Antiqua"/>
          <w:color w:val="000000"/>
        </w:rPr>
        <w:t>10 or CPS &gt;</w:t>
      </w:r>
      <w:r w:rsidR="003F0112" w:rsidRPr="00DA5A6A">
        <w:rPr>
          <w:rFonts w:ascii="Book Antiqua" w:eastAsia="Book Antiqua" w:hAnsi="Book Antiqua" w:cs="Book Antiqua"/>
          <w:color w:val="000000"/>
        </w:rPr>
        <w:t xml:space="preserve"> </w:t>
      </w:r>
      <w:r w:rsidRPr="00DA5A6A">
        <w:rPr>
          <w:rFonts w:ascii="Book Antiqua" w:eastAsia="Book Antiqua" w:hAnsi="Book Antiqua" w:cs="Book Antiqua"/>
          <w:color w:val="000000"/>
        </w:rPr>
        <w:t>1 with a median OS of 9.6 mo for pembrolizumab and 10.6 mo for chemotherapy in the overall population. In an exploratory analysis, they did find that patients with a CPS</w:t>
      </w:r>
      <w:r w:rsidR="003F0112" w:rsidRPr="00DA5A6A">
        <w:rPr>
          <w:rFonts w:ascii="Book Antiqua" w:eastAsia="Book Antiqua" w:hAnsi="Book Antiqua" w:cs="Book Antiqua"/>
          <w:color w:val="000000"/>
        </w:rPr>
        <w:t xml:space="preserve"> </w:t>
      </w:r>
      <w:r w:rsidRPr="00DA5A6A">
        <w:rPr>
          <w:rFonts w:ascii="Book Antiqua" w:eastAsia="Book Antiqua" w:hAnsi="Book Antiqua" w:cs="Book Antiqua"/>
          <w:color w:val="000000"/>
        </w:rPr>
        <w:t>&gt;</w:t>
      </w:r>
      <w:r w:rsidR="003F0112" w:rsidRPr="00DA5A6A">
        <w:rPr>
          <w:rFonts w:ascii="Book Antiqua" w:eastAsia="Book Antiqua" w:hAnsi="Book Antiqua" w:cs="Book Antiqua"/>
          <w:color w:val="000000"/>
        </w:rPr>
        <w:t xml:space="preserve"> </w:t>
      </w:r>
      <w:r w:rsidRPr="00DA5A6A">
        <w:rPr>
          <w:rFonts w:ascii="Book Antiqua" w:eastAsia="Book Antiqua" w:hAnsi="Book Antiqua" w:cs="Book Antiqua"/>
          <w:color w:val="000000"/>
        </w:rPr>
        <w:t xml:space="preserve">20 had an improved OS with pembrolizumab (14.9 mo compared to 12.5 mo, HR 0.58). Grade 3-5 adverse events were significantly higher in the chemotherapy group compared to the pembrolizumab arm (49%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34.9%). Although results only showed modest activity, it did suggest a relationship between efficacy and PD</w:t>
      </w:r>
      <w:r w:rsidR="00927219">
        <w:rPr>
          <w:rFonts w:ascii="Book Antiqua" w:eastAsia="Book Antiqua" w:hAnsi="Book Antiqua" w:cs="Book Antiqua"/>
          <w:color w:val="000000"/>
        </w:rPr>
        <w:t>-</w:t>
      </w:r>
      <w:r w:rsidRPr="00DA5A6A">
        <w:rPr>
          <w:rFonts w:ascii="Book Antiqua" w:eastAsia="Book Antiqua" w:hAnsi="Book Antiqua" w:cs="Book Antiqua"/>
          <w:color w:val="000000"/>
        </w:rPr>
        <w:t>L1 expression.</w:t>
      </w:r>
    </w:p>
    <w:p w14:paraId="0CBEBCCD" w14:textId="77777777" w:rsidR="00A77B3E" w:rsidRPr="00DA5A6A" w:rsidRDefault="00A77B3E" w:rsidP="00DA5A6A">
      <w:pPr>
        <w:spacing w:line="360" w:lineRule="auto"/>
        <w:ind w:hanging="1"/>
        <w:jc w:val="both"/>
        <w:rPr>
          <w:rFonts w:ascii="Book Antiqua" w:hAnsi="Book Antiqua"/>
        </w:rPr>
      </w:pPr>
    </w:p>
    <w:p w14:paraId="0C5DC37E" w14:textId="59F09200" w:rsidR="00A77B3E" w:rsidRPr="00DA5A6A" w:rsidRDefault="00F74C48" w:rsidP="00DA5A6A">
      <w:pPr>
        <w:spacing w:line="360" w:lineRule="auto"/>
        <w:jc w:val="both"/>
        <w:rPr>
          <w:rFonts w:ascii="Book Antiqua" w:hAnsi="Book Antiqua"/>
          <w:i/>
          <w:iCs/>
        </w:rPr>
      </w:pPr>
      <w:r w:rsidRPr="00DA5A6A">
        <w:rPr>
          <w:rFonts w:ascii="Book Antiqua" w:eastAsia="Book Antiqua" w:hAnsi="Book Antiqua" w:cs="Book Antiqua"/>
          <w:b/>
          <w:bCs/>
          <w:i/>
          <w:iCs/>
          <w:color w:val="000000"/>
        </w:rPr>
        <w:t xml:space="preserve">Combination </w:t>
      </w:r>
      <w:r w:rsidR="003F0112" w:rsidRPr="00DA5A6A">
        <w:rPr>
          <w:rFonts w:ascii="Book Antiqua" w:eastAsia="Book Antiqua" w:hAnsi="Book Antiqua" w:cs="Book Antiqua"/>
          <w:b/>
          <w:bCs/>
          <w:i/>
          <w:iCs/>
          <w:color w:val="000000"/>
        </w:rPr>
        <w:t>s</w:t>
      </w:r>
      <w:r w:rsidRPr="00DA5A6A">
        <w:rPr>
          <w:rFonts w:ascii="Book Antiqua" w:eastAsia="Book Antiqua" w:hAnsi="Book Antiqua" w:cs="Book Antiqua"/>
          <w:b/>
          <w:bCs/>
          <w:i/>
          <w:iCs/>
          <w:color w:val="000000"/>
        </w:rPr>
        <w:t>tudies</w:t>
      </w:r>
      <w:r w:rsidR="00927219">
        <w:rPr>
          <w:rFonts w:ascii="Book Antiqua" w:eastAsia="Book Antiqua" w:hAnsi="Book Antiqua" w:cs="Book Antiqua"/>
          <w:b/>
          <w:bCs/>
          <w:i/>
          <w:iCs/>
          <w:color w:val="000000"/>
        </w:rPr>
        <w:t>-</w:t>
      </w:r>
      <w:r w:rsidR="003F0112" w:rsidRPr="00DA5A6A">
        <w:rPr>
          <w:rFonts w:ascii="Book Antiqua" w:eastAsia="Book Antiqua" w:hAnsi="Book Antiqua" w:cs="Book Antiqua"/>
          <w:b/>
          <w:bCs/>
          <w:i/>
          <w:iCs/>
          <w:color w:val="000000"/>
        </w:rPr>
        <w:t>i</w:t>
      </w:r>
      <w:r w:rsidRPr="00DA5A6A">
        <w:rPr>
          <w:rFonts w:ascii="Book Antiqua" w:eastAsia="Book Antiqua" w:hAnsi="Book Antiqua" w:cs="Book Antiqua"/>
          <w:b/>
          <w:bCs/>
          <w:i/>
          <w:iCs/>
          <w:color w:val="000000"/>
        </w:rPr>
        <w:t xml:space="preserve">mmunotherapy </w:t>
      </w:r>
      <w:r w:rsidR="003F0112" w:rsidRPr="00DA5A6A">
        <w:rPr>
          <w:rFonts w:ascii="Book Antiqua" w:eastAsia="Book Antiqua" w:hAnsi="Book Antiqua" w:cs="Book Antiqua"/>
          <w:b/>
          <w:bCs/>
          <w:i/>
          <w:iCs/>
          <w:color w:val="000000"/>
        </w:rPr>
        <w:t>and</w:t>
      </w:r>
      <w:r w:rsidRPr="00DA5A6A">
        <w:rPr>
          <w:rFonts w:ascii="Book Antiqua" w:eastAsia="Book Antiqua" w:hAnsi="Book Antiqua" w:cs="Book Antiqua"/>
          <w:b/>
          <w:bCs/>
          <w:i/>
          <w:iCs/>
          <w:color w:val="000000"/>
        </w:rPr>
        <w:t xml:space="preserve"> </w:t>
      </w:r>
      <w:r w:rsidR="003F0112" w:rsidRPr="00DA5A6A">
        <w:rPr>
          <w:rFonts w:ascii="Book Antiqua" w:eastAsia="Book Antiqua" w:hAnsi="Book Antiqua" w:cs="Book Antiqua"/>
          <w:b/>
          <w:bCs/>
          <w:i/>
          <w:iCs/>
          <w:color w:val="000000"/>
        </w:rPr>
        <w:t>c</w:t>
      </w:r>
      <w:r w:rsidRPr="00DA5A6A">
        <w:rPr>
          <w:rFonts w:ascii="Book Antiqua" w:eastAsia="Book Antiqua" w:hAnsi="Book Antiqua" w:cs="Book Antiqua"/>
          <w:b/>
          <w:bCs/>
          <w:i/>
          <w:iCs/>
          <w:color w:val="000000"/>
        </w:rPr>
        <w:t>hemotherapy</w:t>
      </w:r>
    </w:p>
    <w:p w14:paraId="0FE114D5" w14:textId="32ECD7A1" w:rsidR="00A77B3E" w:rsidRPr="00DA5A6A" w:rsidRDefault="00AC1A26" w:rsidP="00DA5A6A">
      <w:pPr>
        <w:spacing w:line="360" w:lineRule="auto"/>
        <w:jc w:val="both"/>
        <w:rPr>
          <w:rFonts w:ascii="Book Antiqua" w:hAnsi="Book Antiqua"/>
        </w:rPr>
      </w:pPr>
      <w:r w:rsidRPr="00DA5A6A">
        <w:rPr>
          <w:rFonts w:ascii="Book Antiqua" w:eastAsia="Book Antiqua" w:hAnsi="Book Antiqua" w:cs="Book Antiqua"/>
          <w:color w:val="000000"/>
        </w:rPr>
        <w:t>The</w:t>
      </w:r>
      <w:r w:rsidR="00F74C48" w:rsidRPr="00DA5A6A">
        <w:rPr>
          <w:rFonts w:ascii="Book Antiqua" w:eastAsia="Book Antiqua" w:hAnsi="Book Antiqua" w:cs="Book Antiqua"/>
          <w:color w:val="000000"/>
        </w:rPr>
        <w:t xml:space="preserve"> early phase studies in metastatic TNBC </w:t>
      </w:r>
      <w:r w:rsidRPr="00DA5A6A">
        <w:rPr>
          <w:rFonts w:ascii="Book Antiqua" w:eastAsia="Book Antiqua" w:hAnsi="Book Antiqua" w:cs="Book Antiqua"/>
          <w:color w:val="000000"/>
        </w:rPr>
        <w:t xml:space="preserve">indicated </w:t>
      </w:r>
      <w:r w:rsidR="00F74C48" w:rsidRPr="00DA5A6A">
        <w:rPr>
          <w:rFonts w:ascii="Book Antiqua" w:eastAsia="Book Antiqua" w:hAnsi="Book Antiqua" w:cs="Book Antiqua"/>
          <w:color w:val="000000"/>
        </w:rPr>
        <w:t>that treating patients with IO at earlier time points in their disease before exposure to multiple lines of treatment is associated with improved response (Table 2)</w:t>
      </w:r>
      <w:r w:rsidR="00927219">
        <w:rPr>
          <w:rFonts w:ascii="Book Antiqua" w:eastAsia="Book Antiqua" w:hAnsi="Book Antiqua" w:cs="Book Antiqua"/>
          <w:color w:val="000000"/>
        </w:rPr>
        <w:t>.</w:t>
      </w:r>
    </w:p>
    <w:p w14:paraId="2A7BCFE9" w14:textId="43D30132" w:rsidR="00A77B3E" w:rsidRPr="00DA5A6A" w:rsidRDefault="00F74C48" w:rsidP="00DA5A6A">
      <w:pPr>
        <w:spacing w:line="360" w:lineRule="auto"/>
        <w:ind w:firstLineChars="200" w:firstLine="480"/>
        <w:jc w:val="both"/>
        <w:rPr>
          <w:rFonts w:ascii="Book Antiqua" w:eastAsia="Book Antiqua" w:hAnsi="Book Antiqua" w:cs="Book Antiqua"/>
          <w:color w:val="000000"/>
        </w:rPr>
      </w:pPr>
      <w:r w:rsidRPr="00DA5A6A">
        <w:rPr>
          <w:rFonts w:ascii="Book Antiqua" w:eastAsia="Book Antiqua" w:hAnsi="Book Antiqua" w:cs="Book Antiqua"/>
          <w:color w:val="000000"/>
        </w:rPr>
        <w:t>There was subsequently a shift of focus to combination chemotherapy and IO in TNBC (Table</w:t>
      </w:r>
      <w:r w:rsidR="003F0112" w:rsidRPr="00DA5A6A">
        <w:rPr>
          <w:rFonts w:ascii="Book Antiqua" w:eastAsia="Book Antiqua" w:hAnsi="Book Antiqua" w:cs="Book Antiqua"/>
          <w:color w:val="000000"/>
        </w:rPr>
        <w:t>s</w:t>
      </w:r>
      <w:r w:rsidRPr="00DA5A6A">
        <w:rPr>
          <w:rFonts w:ascii="Book Antiqua" w:eastAsia="Book Antiqua" w:hAnsi="Book Antiqua" w:cs="Book Antiqua"/>
          <w:color w:val="000000"/>
        </w:rPr>
        <w:t xml:space="preserve"> 3 and 4). In the phase 1a trial of atezolizumab and nab-paclitaxel, 33 patients were treated with the combination approach. The response rate was 39.1 % with a median duration of response of 9.1 mo. PD-L1 status did not stratify for responders. However, patients in the first-line setting had significantly higher response rates than those in the second-line setting or later (53.8%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30.0</w:t>
      </w:r>
      <w:r w:rsidR="00AC1A26" w:rsidRPr="00DA5A6A">
        <w:rPr>
          <w:rFonts w:ascii="Book Antiqua" w:eastAsia="Book Antiqua" w:hAnsi="Book Antiqua" w:cs="Book Antiqua"/>
          <w:color w:val="000000"/>
        </w:rPr>
        <w:t>%)</w:t>
      </w:r>
      <w:r w:rsidR="00AC1A26"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55</w:t>
      </w:r>
      <w:r w:rsidR="003F0112" w:rsidRPr="00DA5A6A">
        <w:rPr>
          <w:rFonts w:ascii="Book Antiqua" w:eastAsia="Book Antiqua" w:hAnsi="Book Antiqua" w:cs="Book Antiqua"/>
          <w:color w:val="000000"/>
          <w:vertAlign w:val="superscript"/>
        </w:rPr>
        <w:t>]</w:t>
      </w:r>
      <w:r w:rsidR="003F0112" w:rsidRPr="00DA5A6A">
        <w:rPr>
          <w:rFonts w:ascii="Book Antiqua" w:eastAsia="Book Antiqua" w:hAnsi="Book Antiqua" w:cs="Book Antiqua"/>
          <w:color w:val="000000"/>
        </w:rPr>
        <w:t>.</w:t>
      </w:r>
    </w:p>
    <w:p w14:paraId="178E6FC4" w14:textId="77777777" w:rsidR="003F0112" w:rsidRPr="00DA5A6A" w:rsidRDefault="003F0112" w:rsidP="00AA0234">
      <w:pPr>
        <w:spacing w:line="360" w:lineRule="auto"/>
        <w:jc w:val="both"/>
        <w:rPr>
          <w:rFonts w:ascii="Book Antiqua" w:hAnsi="Book Antiqua"/>
        </w:rPr>
      </w:pPr>
    </w:p>
    <w:p w14:paraId="6AE3F48F" w14:textId="77777777" w:rsidR="00A77B3E" w:rsidRPr="00DA5A6A" w:rsidRDefault="00F74C48" w:rsidP="00DA5A6A">
      <w:pPr>
        <w:spacing w:line="360" w:lineRule="auto"/>
        <w:ind w:hanging="1"/>
        <w:jc w:val="both"/>
        <w:rPr>
          <w:rFonts w:ascii="Book Antiqua" w:hAnsi="Book Antiqua"/>
          <w:i/>
          <w:iCs/>
        </w:rPr>
      </w:pPr>
      <w:r w:rsidRPr="00DA5A6A">
        <w:rPr>
          <w:rFonts w:ascii="Book Antiqua" w:eastAsia="Book Antiqua" w:hAnsi="Book Antiqua" w:cs="Book Antiqua"/>
          <w:b/>
          <w:bCs/>
          <w:i/>
          <w:iCs/>
          <w:color w:val="000000"/>
        </w:rPr>
        <w:t>Phase III IMpassion 130 trial</w:t>
      </w:r>
    </w:p>
    <w:p w14:paraId="462A06C3" w14:textId="029A342A" w:rsidR="00A77B3E" w:rsidRPr="00DA5A6A" w:rsidRDefault="00F74C48" w:rsidP="00DA5A6A">
      <w:pPr>
        <w:spacing w:line="360" w:lineRule="auto"/>
        <w:ind w:hanging="1"/>
        <w:jc w:val="both"/>
        <w:rPr>
          <w:rFonts w:ascii="Book Antiqua" w:hAnsi="Book Antiqua"/>
        </w:rPr>
      </w:pPr>
      <w:r w:rsidRPr="00DA5A6A">
        <w:rPr>
          <w:rFonts w:ascii="Book Antiqua" w:eastAsia="Book Antiqua" w:hAnsi="Book Antiqua" w:cs="Book Antiqua"/>
          <w:color w:val="000000"/>
        </w:rPr>
        <w:lastRenderedPageBreak/>
        <w:t>This led to the pivotal IMpassion</w:t>
      </w:r>
      <w:r w:rsidR="00927219">
        <w:rPr>
          <w:rFonts w:ascii="Book Antiqua" w:eastAsia="Book Antiqua" w:hAnsi="Book Antiqua" w:cs="Book Antiqua"/>
          <w:color w:val="000000"/>
        </w:rPr>
        <w:t>-</w:t>
      </w:r>
      <w:r w:rsidRPr="00DA5A6A">
        <w:rPr>
          <w:rFonts w:ascii="Book Antiqua" w:eastAsia="Book Antiqua" w:hAnsi="Book Antiqua" w:cs="Book Antiqua"/>
          <w:color w:val="000000"/>
        </w:rPr>
        <w:t xml:space="preserve">130 study which was a phase 3, first-line study investigating atezolizumab + nab-paclitaxel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nab-paclitaxel/placebo in 902 patients with advanced TNBC</w:t>
      </w:r>
      <w:r w:rsidR="003F011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56</w:t>
      </w:r>
      <w:r w:rsidR="003F011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The trial was initially due to enrol 300 patients but the primary endpoint was expanded to include </w:t>
      </w:r>
      <w:r w:rsidR="00970DFA">
        <w:rPr>
          <w:rFonts w:ascii="Book Antiqua" w:eastAsia="Book Antiqua" w:hAnsi="Book Antiqua" w:cs="Book Antiqua"/>
          <w:color w:val="000000"/>
        </w:rPr>
        <w:t>OS</w:t>
      </w:r>
      <w:r w:rsidRPr="00DA5A6A">
        <w:rPr>
          <w:rFonts w:ascii="Book Antiqua" w:eastAsia="Book Antiqua" w:hAnsi="Book Antiqua" w:cs="Book Antiqua"/>
          <w:color w:val="000000"/>
        </w:rPr>
        <w:t xml:space="preserve">. The PD-L1 SP142 assay was used for PD-L1 assessment. Patients were excluded if they had completed treatment with curative intent &lt; 12 mo before registration or if they had untreated or symptomatic brain metastases. The median PFS in the ITT population favoured the group receiving atezolizumab with a PFS of 7.2 mo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5.5 mo (HR = 0.80; 9, </w:t>
      </w:r>
      <w:r w:rsidRPr="00DA5A6A">
        <w:rPr>
          <w:rFonts w:ascii="Book Antiqua" w:eastAsia="Book Antiqua" w:hAnsi="Book Antiqua" w:cs="Book Antiqua"/>
          <w:i/>
          <w:iCs/>
          <w:color w:val="000000"/>
        </w:rPr>
        <w:t>P</w:t>
      </w:r>
      <w:r w:rsidRPr="00DA5A6A">
        <w:rPr>
          <w:rFonts w:ascii="Book Antiqua" w:eastAsia="Book Antiqua" w:hAnsi="Book Antiqua" w:cs="Book Antiqua"/>
          <w:color w:val="000000"/>
        </w:rPr>
        <w:t xml:space="preserve"> = 0.002). However, within the PD-L1 positive subgroup (PD-L1 &gt;</w:t>
      </w:r>
      <w:r w:rsidR="003F0112" w:rsidRPr="00DA5A6A">
        <w:rPr>
          <w:rFonts w:ascii="Book Antiqua" w:eastAsia="Book Antiqua" w:hAnsi="Book Antiqua" w:cs="Book Antiqua"/>
          <w:color w:val="000000"/>
        </w:rPr>
        <w:t xml:space="preserve"> </w:t>
      </w:r>
      <w:r w:rsidRPr="00DA5A6A">
        <w:rPr>
          <w:rFonts w:ascii="Book Antiqua" w:eastAsia="Book Antiqua" w:hAnsi="Book Antiqua" w:cs="Book Antiqua"/>
          <w:color w:val="000000"/>
        </w:rPr>
        <w:t xml:space="preserve">1%) the median PFS benefit was greater favouring the atezolizumab group with a PFS of 7.5 </w:t>
      </w:r>
      <w:r w:rsidR="009267D3" w:rsidRPr="00DA5A6A">
        <w:rPr>
          <w:rFonts w:ascii="Book Antiqua" w:eastAsia="Book Antiqua" w:hAnsi="Book Antiqua" w:cs="Book Antiqua"/>
          <w:color w:val="000000"/>
        </w:rPr>
        <w:t>mo</w:t>
      </w:r>
      <w:r w:rsidR="009267D3" w:rsidRPr="00DA5A6A">
        <w:rPr>
          <w:rFonts w:ascii="Book Antiqua" w:eastAsia="Book Antiqua" w:hAnsi="Book Antiqua" w:cs="Book Antiqua"/>
          <w:i/>
          <w:iCs/>
          <w:color w:val="000000"/>
        </w:rPr>
        <w:t xml:space="preserve">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5 mo (</w:t>
      </w:r>
      <w:r w:rsidR="003F0112" w:rsidRPr="00DA5A6A">
        <w:rPr>
          <w:rFonts w:ascii="Book Antiqua" w:eastAsia="Book Antiqua" w:hAnsi="Book Antiqua" w:cs="Book Antiqua"/>
          <w:color w:val="000000"/>
        </w:rPr>
        <w:t>HR</w:t>
      </w:r>
      <w:r w:rsidRPr="00DA5A6A">
        <w:rPr>
          <w:rFonts w:ascii="Book Antiqua" w:eastAsia="Book Antiqua" w:hAnsi="Book Antiqua" w:cs="Book Antiqua"/>
          <w:color w:val="000000"/>
        </w:rPr>
        <w:t xml:space="preserve"> 0.62; </w:t>
      </w:r>
      <w:r w:rsidRPr="00DA5A6A">
        <w:rPr>
          <w:rFonts w:ascii="Book Antiqua" w:eastAsia="Book Antiqua" w:hAnsi="Book Antiqua" w:cs="Book Antiqua"/>
          <w:i/>
          <w:iCs/>
          <w:color w:val="000000"/>
        </w:rPr>
        <w:t>P</w:t>
      </w:r>
      <w:r w:rsidR="003F0112" w:rsidRPr="00DA5A6A">
        <w:rPr>
          <w:rFonts w:ascii="Book Antiqua" w:eastAsia="Book Antiqua" w:hAnsi="Book Antiqua" w:cs="Book Antiqua"/>
          <w:color w:val="000000"/>
        </w:rPr>
        <w:t xml:space="preserve"> </w:t>
      </w:r>
      <w:r w:rsidRPr="00DA5A6A">
        <w:rPr>
          <w:rFonts w:ascii="Book Antiqua" w:eastAsia="Book Antiqua" w:hAnsi="Book Antiqua" w:cs="Book Antiqua"/>
          <w:color w:val="000000"/>
        </w:rPr>
        <w:t>&lt;</w:t>
      </w:r>
      <w:r w:rsidR="003F0112" w:rsidRPr="00DA5A6A">
        <w:rPr>
          <w:rFonts w:ascii="Book Antiqua" w:eastAsia="Book Antiqua" w:hAnsi="Book Antiqua" w:cs="Book Antiqua"/>
          <w:color w:val="000000"/>
        </w:rPr>
        <w:t xml:space="preserve"> </w:t>
      </w:r>
      <w:r w:rsidRPr="00DA5A6A">
        <w:rPr>
          <w:rFonts w:ascii="Book Antiqua" w:eastAsia="Book Antiqua" w:hAnsi="Book Antiqua" w:cs="Book Antiqua"/>
          <w:color w:val="000000"/>
        </w:rPr>
        <w:t xml:space="preserve">0.001). Final </w:t>
      </w:r>
      <w:r w:rsidR="00970DFA">
        <w:rPr>
          <w:rFonts w:ascii="Book Antiqua" w:eastAsia="Book Antiqua" w:hAnsi="Book Antiqua" w:cs="Book Antiqua"/>
          <w:color w:val="000000"/>
        </w:rPr>
        <w:t>OS</w:t>
      </w:r>
      <w:r w:rsidRPr="00DA5A6A">
        <w:rPr>
          <w:rFonts w:ascii="Book Antiqua" w:eastAsia="Book Antiqua" w:hAnsi="Book Antiqua" w:cs="Book Antiqua"/>
          <w:color w:val="000000"/>
        </w:rPr>
        <w:t xml:space="preserve"> was presented at the </w:t>
      </w:r>
      <w:r w:rsidR="00A44688" w:rsidRPr="00DA5A6A">
        <w:rPr>
          <w:rFonts w:ascii="Book Antiqua" w:eastAsia="Book Antiqua" w:hAnsi="Book Antiqua" w:cs="Book Antiqua"/>
          <w:color w:val="000000"/>
        </w:rPr>
        <w:t>European Society of Medical Oncology (ESMO)</w:t>
      </w:r>
      <w:r w:rsidRPr="00DA5A6A">
        <w:rPr>
          <w:rFonts w:ascii="Book Antiqua" w:eastAsia="Book Antiqua" w:hAnsi="Book Antiqua" w:cs="Book Antiqua"/>
          <w:color w:val="000000"/>
        </w:rPr>
        <w:t xml:space="preserve"> congress in 2020. In the ITT population, the median OS was 21 mo in the atezolizumab/nab-paclitaxel arm and 18.7 mo in the nab-paclitaxel arm (HR = 0.87; </w:t>
      </w:r>
      <w:r w:rsidRPr="00DA5A6A">
        <w:rPr>
          <w:rFonts w:ascii="Book Antiqua" w:eastAsia="Book Antiqua" w:hAnsi="Book Antiqua" w:cs="Book Antiqua"/>
          <w:i/>
          <w:iCs/>
          <w:color w:val="000000"/>
        </w:rPr>
        <w:t>P</w:t>
      </w:r>
      <w:r w:rsidRPr="00DA5A6A">
        <w:rPr>
          <w:rFonts w:ascii="Book Antiqua" w:eastAsia="Book Antiqua" w:hAnsi="Book Antiqua" w:cs="Book Antiqua"/>
          <w:color w:val="000000"/>
        </w:rPr>
        <w:t xml:space="preserve"> = 0.07). The median OS in the PD-L1 positive group reached 25.4 mo in the atezolizumab arm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17.9 mo (</w:t>
      </w:r>
      <w:r w:rsidR="003F0112" w:rsidRPr="00DA5A6A">
        <w:rPr>
          <w:rFonts w:ascii="Book Antiqua" w:eastAsia="Book Antiqua" w:hAnsi="Book Antiqua" w:cs="Book Antiqua"/>
          <w:color w:val="000000"/>
        </w:rPr>
        <w:t>HR</w:t>
      </w:r>
      <w:r w:rsidRPr="00DA5A6A">
        <w:rPr>
          <w:rFonts w:ascii="Book Antiqua" w:eastAsia="Book Antiqua" w:hAnsi="Book Antiqua" w:cs="Book Antiqua"/>
          <w:color w:val="000000"/>
        </w:rPr>
        <w:t xml:space="preserve"> 0.67; 95%CI</w:t>
      </w:r>
      <w:r w:rsidR="003F0112" w:rsidRPr="00DA5A6A">
        <w:rPr>
          <w:rFonts w:ascii="Book Antiqua" w:eastAsia="Book Antiqua" w:hAnsi="Book Antiqua" w:cs="Book Antiqua"/>
          <w:color w:val="000000"/>
        </w:rPr>
        <w:t>:</w:t>
      </w:r>
      <w:r w:rsidRPr="00DA5A6A">
        <w:rPr>
          <w:rFonts w:ascii="Book Antiqua" w:eastAsia="Book Antiqua" w:hAnsi="Book Antiqua" w:cs="Book Antiqua"/>
          <w:color w:val="000000"/>
        </w:rPr>
        <w:t xml:space="preserve"> 0.53</w:t>
      </w:r>
      <w:r w:rsidR="003F0112" w:rsidRPr="00DA5A6A">
        <w:rPr>
          <w:rFonts w:ascii="Book Antiqua" w:eastAsia="Book Antiqua" w:hAnsi="Book Antiqua" w:cs="Book Antiqua"/>
          <w:color w:val="000000"/>
        </w:rPr>
        <w:t>-</w:t>
      </w:r>
      <w:r w:rsidRPr="00DA5A6A">
        <w:rPr>
          <w:rFonts w:ascii="Book Antiqua" w:eastAsia="Book Antiqua" w:hAnsi="Book Antiqua" w:cs="Book Antiqua"/>
          <w:color w:val="000000"/>
        </w:rPr>
        <w:t xml:space="preserve">0.86). However, this benefit was not statistically significant as the prespecified statistical hierarchical testing required a benefit to be seen in the ITT population to allow formal statistical analysis of the PD-L1 positive subgroup. No new safety signals emerged. </w:t>
      </w:r>
      <w:r w:rsidRPr="00DA5A6A">
        <w:rPr>
          <w:rFonts w:ascii="Book Antiqua" w:eastAsia="Book Antiqua" w:hAnsi="Book Antiqua" w:cs="Book Antiqua"/>
          <w:color w:val="000000"/>
          <w:shd w:val="clear" w:color="auto" w:fill="FFFFFF"/>
        </w:rPr>
        <w:t xml:space="preserve">Toxicity with combination approaches appears to be representative of the toxicity of each individual drug without evidence of synergistic effects thus far. </w:t>
      </w:r>
      <w:r w:rsidRPr="00DA5A6A">
        <w:rPr>
          <w:rFonts w:ascii="Book Antiqua" w:eastAsia="Book Antiqua" w:hAnsi="Book Antiqua" w:cs="Book Antiqua"/>
          <w:color w:val="000000"/>
        </w:rPr>
        <w:t xml:space="preserve">The incidence of grade 3/grade 4 adverse events was higher in the atezolizumab arm (42%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32%). However, there was similar numbers of serious adverse events in each group (24% in the atezolizumab arm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19% in the placebo arm).</w:t>
      </w:r>
    </w:p>
    <w:p w14:paraId="55524792" w14:textId="77777777" w:rsidR="00A77B3E" w:rsidRPr="00DA5A6A" w:rsidRDefault="00A77B3E" w:rsidP="00DA5A6A">
      <w:pPr>
        <w:spacing w:line="360" w:lineRule="auto"/>
        <w:ind w:hanging="1"/>
        <w:jc w:val="both"/>
        <w:rPr>
          <w:rFonts w:ascii="Book Antiqua" w:hAnsi="Book Antiqua"/>
        </w:rPr>
      </w:pPr>
    </w:p>
    <w:p w14:paraId="509098FC" w14:textId="77777777" w:rsidR="00A77B3E" w:rsidRPr="00DA5A6A" w:rsidRDefault="00F74C48" w:rsidP="00DA5A6A">
      <w:pPr>
        <w:spacing w:line="360" w:lineRule="auto"/>
        <w:ind w:hanging="1"/>
        <w:jc w:val="both"/>
        <w:rPr>
          <w:rFonts w:ascii="Book Antiqua" w:hAnsi="Book Antiqua"/>
          <w:i/>
          <w:iCs/>
        </w:rPr>
      </w:pPr>
      <w:r w:rsidRPr="00DA5A6A">
        <w:rPr>
          <w:rFonts w:ascii="Book Antiqua" w:eastAsia="Book Antiqua" w:hAnsi="Book Antiqua" w:cs="Book Antiqua"/>
          <w:b/>
          <w:bCs/>
          <w:i/>
          <w:iCs/>
          <w:color w:val="000000"/>
        </w:rPr>
        <w:t>Phase III IMpassion 131</w:t>
      </w:r>
    </w:p>
    <w:p w14:paraId="6A2741A7" w14:textId="37801139" w:rsidR="00A77B3E" w:rsidRPr="00DA5A6A" w:rsidRDefault="00F74C48" w:rsidP="00DA5A6A">
      <w:pPr>
        <w:spacing w:line="360" w:lineRule="auto"/>
        <w:ind w:hanging="1"/>
        <w:jc w:val="both"/>
        <w:rPr>
          <w:rFonts w:ascii="Book Antiqua" w:hAnsi="Book Antiqua"/>
        </w:rPr>
      </w:pPr>
      <w:r w:rsidRPr="00DA5A6A">
        <w:rPr>
          <w:rFonts w:ascii="Book Antiqua" w:eastAsia="Book Antiqua" w:hAnsi="Book Antiqua" w:cs="Book Antiqua"/>
          <w:color w:val="000000"/>
        </w:rPr>
        <w:t>The IMpassion-131 study investigated if nab</w:t>
      </w:r>
      <w:r w:rsidR="00927219">
        <w:rPr>
          <w:rFonts w:ascii="Book Antiqua" w:eastAsia="Book Antiqua" w:hAnsi="Book Antiqua" w:cs="Book Antiqua"/>
          <w:color w:val="000000"/>
        </w:rPr>
        <w:t>-</w:t>
      </w:r>
      <w:r w:rsidRPr="00DA5A6A">
        <w:rPr>
          <w:rFonts w:ascii="Book Antiqua" w:eastAsia="Book Antiqua" w:hAnsi="Book Antiqua" w:cs="Book Antiqua"/>
          <w:color w:val="000000"/>
        </w:rPr>
        <w:t>paclitaxel could be replaced with paclitaxel in combination with atezolizumab in the first-line setting of advanced TNBC. Inclusion criteria were identical to the IMpassion130 trial, but the primary endpoint pertained to investigator-assessed PFS/OS tested first in the PD</w:t>
      </w:r>
      <w:r w:rsidR="00927219">
        <w:rPr>
          <w:rFonts w:ascii="Book Antiqua" w:eastAsia="Book Antiqua" w:hAnsi="Book Antiqua" w:cs="Book Antiqua"/>
          <w:color w:val="000000"/>
        </w:rPr>
        <w:t>-</w:t>
      </w:r>
      <w:r w:rsidRPr="00DA5A6A">
        <w:rPr>
          <w:rFonts w:ascii="Book Antiqua" w:eastAsia="Book Antiqua" w:hAnsi="Book Antiqua" w:cs="Book Antiqua"/>
          <w:color w:val="000000"/>
        </w:rPr>
        <w:t xml:space="preserve">L1 positive population. Patients were randomised in a 2:1 ratio to atezolizumab/paclitaxel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placebo/paclitaxel (</w:t>
      </w:r>
      <w:r w:rsidRPr="00DA5A6A">
        <w:rPr>
          <w:rFonts w:ascii="Book Antiqua" w:eastAsia="Book Antiqua" w:hAnsi="Book Antiqua" w:cs="Book Antiqua"/>
          <w:i/>
          <w:iCs/>
          <w:color w:val="000000"/>
        </w:rPr>
        <w:t>n</w:t>
      </w:r>
      <w:r w:rsidRPr="00DA5A6A">
        <w:rPr>
          <w:rFonts w:ascii="Book Antiqua" w:eastAsia="Book Antiqua" w:hAnsi="Book Antiqua" w:cs="Book Antiqua"/>
          <w:color w:val="000000"/>
        </w:rPr>
        <w:t xml:space="preserve"> = 651). In the PD</w:t>
      </w:r>
      <w:r w:rsidR="00927219">
        <w:rPr>
          <w:rFonts w:ascii="Book Antiqua" w:eastAsia="Book Antiqua" w:hAnsi="Book Antiqua" w:cs="Book Antiqua"/>
          <w:color w:val="000000"/>
        </w:rPr>
        <w:t>-</w:t>
      </w:r>
      <w:r w:rsidRPr="00DA5A6A">
        <w:rPr>
          <w:rFonts w:ascii="Book Antiqua" w:eastAsia="Book Antiqua" w:hAnsi="Book Antiqua" w:cs="Book Antiqua"/>
          <w:color w:val="000000"/>
        </w:rPr>
        <w:t xml:space="preserve">L1 positive population, there was no significant improvement in the atezolizumab </w:t>
      </w:r>
      <w:r w:rsidRPr="00DA5A6A">
        <w:rPr>
          <w:rFonts w:ascii="Book Antiqua" w:eastAsia="Book Antiqua" w:hAnsi="Book Antiqua" w:cs="Book Antiqua"/>
          <w:color w:val="000000"/>
        </w:rPr>
        <w:lastRenderedPageBreak/>
        <w:t xml:space="preserve">arm with a PFS of 6 mo compared to 5.7 in the placebo arm (HR 0.82, </w:t>
      </w:r>
      <w:r w:rsidR="003F0112" w:rsidRPr="00DA5A6A">
        <w:rPr>
          <w:rFonts w:ascii="Book Antiqua" w:eastAsia="Book Antiqua" w:hAnsi="Book Antiqua" w:cs="Book Antiqua"/>
          <w:color w:val="000000"/>
        </w:rPr>
        <w:t>95%</w:t>
      </w:r>
      <w:r w:rsidRPr="00DA5A6A">
        <w:rPr>
          <w:rFonts w:ascii="Book Antiqua" w:eastAsia="Book Antiqua" w:hAnsi="Book Antiqua" w:cs="Book Antiqua"/>
          <w:color w:val="000000"/>
        </w:rPr>
        <w:t>CI</w:t>
      </w:r>
      <w:r w:rsidR="003F0112" w:rsidRPr="00DA5A6A">
        <w:rPr>
          <w:rFonts w:ascii="Book Antiqua" w:eastAsia="Book Antiqua" w:hAnsi="Book Antiqua" w:cs="Book Antiqua"/>
          <w:color w:val="000000"/>
        </w:rPr>
        <w:t>:</w:t>
      </w:r>
      <w:r w:rsidRPr="00DA5A6A">
        <w:rPr>
          <w:rFonts w:ascii="Book Antiqua" w:eastAsia="Book Antiqua" w:hAnsi="Book Antiqua" w:cs="Book Antiqua"/>
          <w:color w:val="000000"/>
        </w:rPr>
        <w:t xml:space="preserve"> 0.6</w:t>
      </w:r>
      <w:r w:rsidR="00927219">
        <w:rPr>
          <w:rFonts w:ascii="Book Antiqua" w:eastAsia="Book Antiqua" w:hAnsi="Book Antiqua" w:cs="Book Antiqua"/>
          <w:color w:val="000000"/>
        </w:rPr>
        <w:t>-</w:t>
      </w:r>
      <w:r w:rsidRPr="00DA5A6A">
        <w:rPr>
          <w:rFonts w:ascii="Book Antiqua" w:eastAsia="Book Antiqua" w:hAnsi="Book Antiqua" w:cs="Book Antiqua"/>
          <w:color w:val="000000"/>
        </w:rPr>
        <w:t xml:space="preserve">1.12). There were also no significant differences in PFS in the overall population (5.7 </w:t>
      </w:r>
      <w:r w:rsidR="009267D3" w:rsidRPr="00DA5A6A">
        <w:rPr>
          <w:rFonts w:ascii="Book Antiqua" w:eastAsia="Book Antiqua" w:hAnsi="Book Antiqua" w:cs="Book Antiqua"/>
          <w:color w:val="000000"/>
        </w:rPr>
        <w:t>mo</w:t>
      </w:r>
      <w:r w:rsidR="009267D3" w:rsidRPr="00DA5A6A">
        <w:rPr>
          <w:rFonts w:ascii="Book Antiqua" w:eastAsia="Book Antiqua" w:hAnsi="Book Antiqua" w:cs="Book Antiqua"/>
          <w:i/>
          <w:iCs/>
          <w:color w:val="000000"/>
        </w:rPr>
        <w:t xml:space="preserve">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5.6 mo). In an interim </w:t>
      </w:r>
      <w:r w:rsidR="00970DFA">
        <w:rPr>
          <w:rFonts w:ascii="Book Antiqua" w:eastAsia="Book Antiqua" w:hAnsi="Book Antiqua" w:cs="Book Antiqua"/>
          <w:color w:val="000000"/>
        </w:rPr>
        <w:t>OS</w:t>
      </w:r>
      <w:r w:rsidRPr="00DA5A6A">
        <w:rPr>
          <w:rFonts w:ascii="Book Antiqua" w:eastAsia="Book Antiqua" w:hAnsi="Book Antiqua" w:cs="Book Antiqua"/>
          <w:color w:val="000000"/>
        </w:rPr>
        <w:t xml:space="preserve"> analysis, there was no significant differences in </w:t>
      </w:r>
      <w:r w:rsidR="00970DFA">
        <w:rPr>
          <w:rFonts w:ascii="Book Antiqua" w:eastAsia="Book Antiqua" w:hAnsi="Book Antiqua" w:cs="Book Antiqua"/>
          <w:color w:val="000000"/>
        </w:rPr>
        <w:t>OS</w:t>
      </w:r>
      <w:r w:rsidRPr="00DA5A6A">
        <w:rPr>
          <w:rFonts w:ascii="Book Antiqua" w:eastAsia="Book Antiqua" w:hAnsi="Book Antiqua" w:cs="Book Antiqua"/>
          <w:color w:val="000000"/>
        </w:rPr>
        <w:t xml:space="preserve"> in the PD</w:t>
      </w:r>
      <w:r w:rsidR="00927219">
        <w:rPr>
          <w:rFonts w:ascii="Book Antiqua" w:eastAsia="Book Antiqua" w:hAnsi="Book Antiqua" w:cs="Book Antiqua"/>
          <w:color w:val="000000"/>
        </w:rPr>
        <w:t>-</w:t>
      </w:r>
      <w:r w:rsidRPr="00DA5A6A">
        <w:rPr>
          <w:rFonts w:ascii="Book Antiqua" w:eastAsia="Book Antiqua" w:hAnsi="Book Antiqua" w:cs="Book Antiqua"/>
          <w:color w:val="000000"/>
        </w:rPr>
        <w:t xml:space="preserve">L1 population (28.3 mo with placebo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22.1 mo with atezolizumab, HR 1.12, </w:t>
      </w:r>
      <w:r w:rsidR="003F0112" w:rsidRPr="00DA5A6A">
        <w:rPr>
          <w:rFonts w:ascii="Book Antiqua" w:eastAsia="Book Antiqua" w:hAnsi="Book Antiqua" w:cs="Book Antiqua"/>
          <w:color w:val="000000"/>
        </w:rPr>
        <w:t>95%</w:t>
      </w:r>
      <w:r w:rsidRPr="00DA5A6A">
        <w:rPr>
          <w:rFonts w:ascii="Book Antiqua" w:eastAsia="Book Antiqua" w:hAnsi="Book Antiqua" w:cs="Book Antiqua"/>
          <w:color w:val="000000"/>
        </w:rPr>
        <w:t>CI</w:t>
      </w:r>
      <w:r w:rsidR="003F0112" w:rsidRPr="00DA5A6A">
        <w:rPr>
          <w:rFonts w:ascii="Book Antiqua" w:eastAsia="Book Antiqua" w:hAnsi="Book Antiqua" w:cs="Book Antiqua"/>
          <w:color w:val="000000"/>
        </w:rPr>
        <w:t>:</w:t>
      </w:r>
      <w:r w:rsidRPr="00DA5A6A">
        <w:rPr>
          <w:rFonts w:ascii="Book Antiqua" w:eastAsia="Book Antiqua" w:hAnsi="Book Antiqua" w:cs="Book Antiqua"/>
          <w:color w:val="000000"/>
        </w:rPr>
        <w:t xml:space="preserve"> 0.76</w:t>
      </w:r>
      <w:r w:rsidR="00927219">
        <w:rPr>
          <w:rFonts w:ascii="Book Antiqua" w:eastAsia="Book Antiqua" w:hAnsi="Book Antiqua" w:cs="Book Antiqua"/>
          <w:color w:val="000000"/>
        </w:rPr>
        <w:t>-</w:t>
      </w:r>
      <w:r w:rsidRPr="00DA5A6A">
        <w:rPr>
          <w:rFonts w:ascii="Book Antiqua" w:eastAsia="Book Antiqua" w:hAnsi="Book Antiqua" w:cs="Book Antiqua"/>
          <w:color w:val="000000"/>
        </w:rPr>
        <w:t xml:space="preserve">1.65) or the ITT population (22.8 mo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19.2 mo, HR 1.11</w:t>
      </w:r>
      <w:r w:rsidR="003F0112" w:rsidRPr="00DA5A6A">
        <w:rPr>
          <w:rFonts w:ascii="Book Antiqua" w:eastAsia="Book Antiqua" w:hAnsi="Book Antiqua" w:cs="Book Antiqua"/>
          <w:color w:val="000000"/>
        </w:rPr>
        <w:t>,</w:t>
      </w:r>
      <w:r w:rsidRPr="00DA5A6A">
        <w:rPr>
          <w:rFonts w:ascii="Book Antiqua" w:eastAsia="Book Antiqua" w:hAnsi="Book Antiqua" w:cs="Book Antiqua"/>
          <w:color w:val="000000"/>
        </w:rPr>
        <w:t xml:space="preserve"> </w:t>
      </w:r>
      <w:r w:rsidR="003F0112" w:rsidRPr="00DA5A6A">
        <w:rPr>
          <w:rFonts w:ascii="Book Antiqua" w:eastAsia="Book Antiqua" w:hAnsi="Book Antiqua" w:cs="Book Antiqua"/>
          <w:color w:val="000000"/>
        </w:rPr>
        <w:t>95%</w:t>
      </w:r>
      <w:r w:rsidRPr="00DA5A6A">
        <w:rPr>
          <w:rFonts w:ascii="Book Antiqua" w:eastAsia="Book Antiqua" w:hAnsi="Book Antiqua" w:cs="Book Antiqua"/>
          <w:color w:val="000000"/>
        </w:rPr>
        <w:t>CI</w:t>
      </w:r>
      <w:r w:rsidR="003F0112" w:rsidRPr="00DA5A6A">
        <w:rPr>
          <w:rFonts w:ascii="Book Antiqua" w:eastAsia="Book Antiqua" w:hAnsi="Book Antiqua" w:cs="Book Antiqua"/>
          <w:color w:val="000000"/>
        </w:rPr>
        <w:t>:</w:t>
      </w:r>
      <w:r w:rsidRPr="00DA5A6A">
        <w:rPr>
          <w:rFonts w:ascii="Book Antiqua" w:eastAsia="Book Antiqua" w:hAnsi="Book Antiqua" w:cs="Book Antiqua"/>
          <w:color w:val="000000"/>
        </w:rPr>
        <w:t xml:space="preserve"> 0.87</w:t>
      </w:r>
      <w:r w:rsidR="00927219">
        <w:rPr>
          <w:rFonts w:ascii="Book Antiqua" w:eastAsia="Book Antiqua" w:hAnsi="Book Antiqua" w:cs="Book Antiqua"/>
          <w:color w:val="000000"/>
        </w:rPr>
        <w:t>-</w:t>
      </w:r>
      <w:r w:rsidRPr="00DA5A6A">
        <w:rPr>
          <w:rFonts w:ascii="Book Antiqua" w:eastAsia="Book Antiqua" w:hAnsi="Book Antiqua" w:cs="Book Antiqua"/>
          <w:color w:val="000000"/>
        </w:rPr>
        <w:t xml:space="preserve">1.42). The trend towards an improvement in </w:t>
      </w:r>
      <w:r w:rsidR="00970DFA">
        <w:rPr>
          <w:rFonts w:ascii="Book Antiqua" w:eastAsia="Book Antiqua" w:hAnsi="Book Antiqua" w:cs="Book Antiqua"/>
          <w:color w:val="000000"/>
        </w:rPr>
        <w:t>OS</w:t>
      </w:r>
      <w:r w:rsidRPr="00DA5A6A">
        <w:rPr>
          <w:rFonts w:ascii="Book Antiqua" w:eastAsia="Book Antiqua" w:hAnsi="Book Antiqua" w:cs="Book Antiqua"/>
          <w:color w:val="000000"/>
        </w:rPr>
        <w:t xml:space="preserve"> was somewhat of a concern for investigators and the medical oncology community. Further analysis demonstrated that patients in both arm had an equivalent exposure to paclitaxel. The reasons for this trend however remain unclear. Speculation includes the potential immune mitigating effects of dexamethasone usage for paclitaxel treatment. This trial resulted in an FDA alert warning against the use of paclitaxel in combination with atezolizumab in TNBC. No new safety signals emerged.</w:t>
      </w:r>
    </w:p>
    <w:p w14:paraId="7F0E84B2" w14:textId="4AAD1B7A" w:rsidR="00A77B3E" w:rsidRPr="00DA5A6A" w:rsidRDefault="00F74C48" w:rsidP="00DA5A6A">
      <w:pPr>
        <w:spacing w:line="360" w:lineRule="auto"/>
        <w:ind w:left="-1" w:firstLineChars="200" w:firstLine="480"/>
        <w:jc w:val="both"/>
        <w:rPr>
          <w:rFonts w:ascii="Book Antiqua" w:hAnsi="Book Antiqua"/>
        </w:rPr>
      </w:pPr>
      <w:r w:rsidRPr="00DA5A6A">
        <w:rPr>
          <w:rFonts w:ascii="Book Antiqua" w:eastAsia="Book Antiqua" w:hAnsi="Book Antiqua" w:cs="Book Antiqua"/>
          <w:color w:val="000000"/>
        </w:rPr>
        <w:t>Pembrolizumab and eribulin were studied in a phase 1b study which enrolled 81 patients who had 0-2 Lines of previous treatment with advanced TNBC</w:t>
      </w:r>
      <w:r w:rsidR="003F011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57</w:t>
      </w:r>
      <w:r w:rsidR="003F011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Overall response rate was disappointing-25.6%. Median PFS was again disappointing at 4.1 mo.</w:t>
      </w:r>
    </w:p>
    <w:p w14:paraId="6B05A97B" w14:textId="20F695A9" w:rsidR="00A77B3E" w:rsidRPr="00DA5A6A" w:rsidRDefault="00F74C48" w:rsidP="00DA5A6A">
      <w:pPr>
        <w:spacing w:line="360" w:lineRule="auto"/>
        <w:ind w:firstLineChars="200" w:firstLine="480"/>
        <w:jc w:val="both"/>
        <w:rPr>
          <w:rFonts w:ascii="Book Antiqua" w:hAnsi="Book Antiqua"/>
        </w:rPr>
      </w:pPr>
      <w:r w:rsidRPr="00DA5A6A">
        <w:rPr>
          <w:rFonts w:ascii="Book Antiqua" w:eastAsia="Book Antiqua" w:hAnsi="Book Antiqua" w:cs="Book Antiqua"/>
          <w:color w:val="000000"/>
        </w:rPr>
        <w:t xml:space="preserve">Another phase 1b study investigated (Table 3) the combination of pembrolizumab/capecitabine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pembrolizumab/paclitaxel in the first-line setting in TNBC (</w:t>
      </w:r>
      <w:r w:rsidRPr="00DA5A6A">
        <w:rPr>
          <w:rFonts w:ascii="Book Antiqua" w:eastAsia="Book Antiqua" w:hAnsi="Book Antiqua" w:cs="Book Antiqua"/>
          <w:i/>
          <w:iCs/>
          <w:color w:val="000000"/>
        </w:rPr>
        <w:t>n</w:t>
      </w:r>
      <w:r w:rsidRPr="00DA5A6A">
        <w:rPr>
          <w:rFonts w:ascii="Book Antiqua" w:eastAsia="Book Antiqua" w:hAnsi="Book Antiqua" w:cs="Book Antiqua"/>
          <w:color w:val="000000"/>
        </w:rPr>
        <w:t xml:space="preserve"> = 28). Response rates were higher in the capecitabine cohort (ORR = 43%) compared to the paclitaxel cohort (ORR = 25%). Overall response rates were higher in those treated greater than &gt;</w:t>
      </w:r>
      <w:r w:rsidR="003F0112" w:rsidRPr="00DA5A6A">
        <w:rPr>
          <w:rFonts w:ascii="Book Antiqua" w:eastAsia="Book Antiqua" w:hAnsi="Book Antiqua" w:cs="Book Antiqua"/>
          <w:color w:val="000000"/>
        </w:rPr>
        <w:t xml:space="preserve"> </w:t>
      </w:r>
      <w:r w:rsidRPr="00DA5A6A">
        <w:rPr>
          <w:rFonts w:ascii="Book Antiqua" w:eastAsia="Book Antiqua" w:hAnsi="Book Antiqua" w:cs="Book Antiqua"/>
          <w:color w:val="000000"/>
        </w:rPr>
        <w:t xml:space="preserve">12 mo from primary treatment (ORR 45%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27%).</w:t>
      </w:r>
    </w:p>
    <w:p w14:paraId="5343C799" w14:textId="77777777" w:rsidR="00A77B3E" w:rsidRPr="00DA5A6A" w:rsidRDefault="00A77B3E" w:rsidP="00DA5A6A">
      <w:pPr>
        <w:spacing w:line="360" w:lineRule="auto"/>
        <w:ind w:hanging="1"/>
        <w:jc w:val="both"/>
        <w:rPr>
          <w:rFonts w:ascii="Book Antiqua" w:hAnsi="Book Antiqua"/>
        </w:rPr>
      </w:pPr>
    </w:p>
    <w:p w14:paraId="6A4D126B" w14:textId="77777777" w:rsidR="00A77B3E" w:rsidRPr="00DA5A6A" w:rsidRDefault="00F74C48" w:rsidP="00DA5A6A">
      <w:pPr>
        <w:spacing w:line="360" w:lineRule="auto"/>
        <w:ind w:hanging="1"/>
        <w:jc w:val="both"/>
        <w:rPr>
          <w:rFonts w:ascii="Book Antiqua" w:hAnsi="Book Antiqua"/>
          <w:i/>
          <w:iCs/>
        </w:rPr>
      </w:pPr>
      <w:r w:rsidRPr="00DA5A6A">
        <w:rPr>
          <w:rFonts w:ascii="Book Antiqua" w:eastAsia="Book Antiqua" w:hAnsi="Book Antiqua" w:cs="Book Antiqua"/>
          <w:b/>
          <w:bCs/>
          <w:i/>
          <w:iCs/>
          <w:color w:val="000000"/>
        </w:rPr>
        <w:t>Phase III KEYNOTE 355 trial</w:t>
      </w:r>
    </w:p>
    <w:p w14:paraId="29C88AE8" w14:textId="63CEEB26" w:rsidR="00A77B3E" w:rsidRPr="00DA5A6A" w:rsidRDefault="00F74C48" w:rsidP="00DA5A6A">
      <w:pPr>
        <w:spacing w:line="360" w:lineRule="auto"/>
        <w:ind w:hanging="1"/>
        <w:jc w:val="both"/>
        <w:rPr>
          <w:rFonts w:ascii="Book Antiqua" w:hAnsi="Book Antiqua"/>
        </w:rPr>
      </w:pPr>
      <w:r w:rsidRPr="00DA5A6A">
        <w:rPr>
          <w:rFonts w:ascii="Book Antiqua" w:eastAsia="Book Antiqua" w:hAnsi="Book Antiqua" w:cs="Book Antiqua"/>
          <w:color w:val="000000"/>
        </w:rPr>
        <w:t>The much anticipated KEYNOTE</w:t>
      </w:r>
      <w:r w:rsidR="00927219">
        <w:rPr>
          <w:rFonts w:ascii="Book Antiqua" w:eastAsia="Book Antiqua" w:hAnsi="Book Antiqua" w:cs="Book Antiqua"/>
          <w:color w:val="000000"/>
        </w:rPr>
        <w:t>-</w:t>
      </w:r>
      <w:r w:rsidRPr="00DA5A6A">
        <w:rPr>
          <w:rFonts w:ascii="Book Antiqua" w:eastAsia="Book Antiqua" w:hAnsi="Book Antiqua" w:cs="Book Antiqua"/>
          <w:color w:val="000000"/>
        </w:rPr>
        <w:t xml:space="preserve">355 trial was presented at the inaugural virtual ASCO in June 2020. This trial investigated pembrolizumab/chemo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chemo (taxane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gemcitabine/carboplatin) in patients with treatment</w:t>
      </w:r>
      <w:r w:rsidR="00927219">
        <w:rPr>
          <w:rFonts w:ascii="Book Antiqua" w:eastAsia="Book Antiqua" w:hAnsi="Book Antiqua" w:cs="Book Antiqua"/>
          <w:color w:val="000000"/>
        </w:rPr>
        <w:t>-</w:t>
      </w:r>
      <w:r w:rsidRPr="00DA5A6A">
        <w:rPr>
          <w:rFonts w:ascii="Book Antiqua" w:eastAsia="Book Antiqua" w:hAnsi="Book Antiqua" w:cs="Book Antiqua"/>
          <w:color w:val="000000"/>
        </w:rPr>
        <w:t>naïve, metastatic TNBC</w:t>
      </w:r>
      <w:r w:rsidR="003F011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58</w:t>
      </w:r>
      <w:r w:rsidR="003F011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Patients were excluded if they had active </w:t>
      </w:r>
      <w:r w:rsidR="00AC1A26" w:rsidRPr="00DA5A6A">
        <w:rPr>
          <w:rFonts w:ascii="Book Antiqua" w:eastAsia="Book Antiqua" w:hAnsi="Book Antiqua" w:cs="Book Antiqua"/>
          <w:color w:val="000000"/>
        </w:rPr>
        <w:t>brain</w:t>
      </w:r>
      <w:r w:rsidRPr="00DA5A6A">
        <w:rPr>
          <w:rFonts w:ascii="Book Antiqua" w:eastAsia="Book Antiqua" w:hAnsi="Book Antiqua" w:cs="Book Antiqua"/>
          <w:color w:val="000000"/>
        </w:rPr>
        <w:t xml:space="preserve"> metastases or recurrence of disease &lt; 6 mo prior to disease recurrence. PD-L1 was assessed with the IHC 22C3 pharmDx CPS assay in a central laboratory. The primary outcome measure was pre-defined as OS and PFS in the PD-L1 positive population (CPS &gt;</w:t>
      </w:r>
      <w:r w:rsidR="003F0112" w:rsidRPr="00DA5A6A">
        <w:rPr>
          <w:rFonts w:ascii="Book Antiqua" w:eastAsia="Book Antiqua" w:hAnsi="Book Antiqua" w:cs="Book Antiqua"/>
          <w:color w:val="000000"/>
        </w:rPr>
        <w:t xml:space="preserve"> </w:t>
      </w:r>
      <w:r w:rsidRPr="00DA5A6A">
        <w:rPr>
          <w:rFonts w:ascii="Book Antiqua" w:eastAsia="Book Antiqua" w:hAnsi="Book Antiqua" w:cs="Book Antiqua"/>
          <w:color w:val="000000"/>
        </w:rPr>
        <w:t>1/CPS</w:t>
      </w:r>
      <w:r w:rsidR="003F0112" w:rsidRPr="00DA5A6A">
        <w:rPr>
          <w:rFonts w:ascii="Book Antiqua" w:eastAsia="Book Antiqua" w:hAnsi="Book Antiqua" w:cs="Book Antiqua"/>
          <w:color w:val="000000"/>
        </w:rPr>
        <w:t xml:space="preserve"> </w:t>
      </w:r>
      <w:r w:rsidRPr="00DA5A6A">
        <w:rPr>
          <w:rFonts w:ascii="Book Antiqua" w:eastAsia="Book Antiqua" w:hAnsi="Book Antiqua" w:cs="Book Antiqua"/>
          <w:color w:val="000000"/>
        </w:rPr>
        <w:t>&gt;</w:t>
      </w:r>
      <w:r w:rsidR="003F0112" w:rsidRPr="00DA5A6A">
        <w:rPr>
          <w:rFonts w:ascii="Book Antiqua" w:eastAsia="Book Antiqua" w:hAnsi="Book Antiqua" w:cs="Book Antiqua"/>
          <w:color w:val="000000"/>
        </w:rPr>
        <w:t xml:space="preserve"> </w:t>
      </w:r>
      <w:r w:rsidRPr="00DA5A6A">
        <w:rPr>
          <w:rFonts w:ascii="Book Antiqua" w:eastAsia="Book Antiqua" w:hAnsi="Book Antiqua" w:cs="Book Antiqua"/>
          <w:color w:val="000000"/>
        </w:rPr>
        <w:t>10) and the ITT population. In this trial, a hierarchial statistical testing method involved statistical testing of OS and PFS in the CPS &gt;</w:t>
      </w:r>
      <w:r w:rsidR="003F0112" w:rsidRPr="00DA5A6A">
        <w:rPr>
          <w:rFonts w:ascii="Book Antiqua" w:eastAsia="Book Antiqua" w:hAnsi="Book Antiqua" w:cs="Book Antiqua"/>
          <w:color w:val="000000"/>
        </w:rPr>
        <w:t xml:space="preserve"> </w:t>
      </w:r>
      <w:r w:rsidRPr="00DA5A6A">
        <w:rPr>
          <w:rFonts w:ascii="Book Antiqua" w:eastAsia="Book Antiqua" w:hAnsi="Book Antiqua" w:cs="Book Antiqua"/>
          <w:color w:val="000000"/>
        </w:rPr>
        <w:t xml:space="preserve">10 group initially, followed by CPS &gt; 1 and then the ITT population. The trial included </w:t>
      </w:r>
      <w:r w:rsidRPr="00DA5A6A">
        <w:rPr>
          <w:rFonts w:ascii="Book Antiqua" w:eastAsia="Book Antiqua" w:hAnsi="Book Antiqua" w:cs="Book Antiqua"/>
          <w:color w:val="000000"/>
        </w:rPr>
        <w:lastRenderedPageBreak/>
        <w:t xml:space="preserve">566 patients in the chemotherapy/IO arm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281 in the chemotherapy arm. In patients with a CPS score of 10 or greater, the median PFS favoured pembrolizumab with a PFS of 9.6 mo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5.6 mo (</w:t>
      </w:r>
      <w:r w:rsidRPr="00DA5A6A">
        <w:rPr>
          <w:rFonts w:ascii="Book Antiqua" w:eastAsia="Book Antiqua" w:hAnsi="Book Antiqua" w:cs="Book Antiqua"/>
          <w:i/>
          <w:iCs/>
          <w:color w:val="000000"/>
        </w:rPr>
        <w:t>P</w:t>
      </w:r>
      <w:r w:rsidRPr="00DA5A6A">
        <w:rPr>
          <w:rFonts w:ascii="Book Antiqua" w:eastAsia="Book Antiqua" w:hAnsi="Book Antiqua" w:cs="Book Antiqua"/>
          <w:color w:val="000000"/>
        </w:rPr>
        <w:t xml:space="preserve"> = 0.0012, HR = 0.65). In patients with a CPS score of 1 or greater, the median PFS favoured the pembrolizumab arm with a PFS of 7.6 mo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5.6 mo (</w:t>
      </w:r>
      <w:r w:rsidRPr="00DA5A6A">
        <w:rPr>
          <w:rFonts w:ascii="Book Antiqua" w:eastAsia="Book Antiqua" w:hAnsi="Book Antiqua" w:cs="Book Antiqua"/>
          <w:i/>
          <w:iCs/>
          <w:color w:val="000000"/>
        </w:rPr>
        <w:t>P</w:t>
      </w:r>
      <w:r w:rsidRPr="00DA5A6A">
        <w:rPr>
          <w:rFonts w:ascii="Book Antiqua" w:eastAsia="Book Antiqua" w:hAnsi="Book Antiqua" w:cs="Book Antiqua"/>
          <w:color w:val="000000"/>
        </w:rPr>
        <w:t xml:space="preserve"> = 0.0014, HR = 0.74). This was not statistically significant. This was similar to the ITT population where the PFS was 7.5 mo in the pembrolizumab arm and 5.6 mo in the placebo arm (HR = 0.82). </w:t>
      </w:r>
      <w:r w:rsidR="00970DFA">
        <w:rPr>
          <w:rFonts w:ascii="Book Antiqua" w:eastAsia="Book Antiqua" w:hAnsi="Book Antiqua" w:cs="Book Antiqua"/>
          <w:color w:val="000000"/>
        </w:rPr>
        <w:t>OS</w:t>
      </w:r>
      <w:r w:rsidRPr="00DA5A6A">
        <w:rPr>
          <w:rFonts w:ascii="Book Antiqua" w:eastAsia="Book Antiqua" w:hAnsi="Book Antiqua" w:cs="Book Antiqua"/>
          <w:color w:val="000000"/>
        </w:rPr>
        <w:t xml:space="preserve"> data is awaited. This progression free survival improvement led to accelerated FDA approval for pembrolizumab in combination with chemotherapy in the first-line setting in November of 2020.</w:t>
      </w:r>
    </w:p>
    <w:p w14:paraId="0D85BFAD" w14:textId="77777777" w:rsidR="00A77B3E" w:rsidRPr="00DA5A6A" w:rsidRDefault="00A77B3E" w:rsidP="00DA5A6A">
      <w:pPr>
        <w:spacing w:line="360" w:lineRule="auto"/>
        <w:ind w:hanging="1"/>
        <w:jc w:val="both"/>
        <w:rPr>
          <w:rFonts w:ascii="Book Antiqua" w:hAnsi="Book Antiqua"/>
        </w:rPr>
      </w:pPr>
    </w:p>
    <w:p w14:paraId="5F16F7B5" w14:textId="294578EC" w:rsidR="00A77B3E" w:rsidRPr="00DA5A6A" w:rsidRDefault="00F74C48" w:rsidP="00DA5A6A">
      <w:pPr>
        <w:spacing w:line="360" w:lineRule="auto"/>
        <w:ind w:hanging="1"/>
        <w:jc w:val="both"/>
        <w:rPr>
          <w:rFonts w:ascii="Book Antiqua" w:hAnsi="Book Antiqua"/>
          <w:i/>
          <w:iCs/>
        </w:rPr>
      </w:pPr>
      <w:r w:rsidRPr="00DA5A6A">
        <w:rPr>
          <w:rFonts w:ascii="Book Antiqua" w:eastAsia="Book Antiqua" w:hAnsi="Book Antiqua" w:cs="Book Antiqua"/>
          <w:b/>
          <w:bCs/>
          <w:i/>
          <w:iCs/>
          <w:color w:val="000000"/>
        </w:rPr>
        <w:t>PD</w:t>
      </w:r>
      <w:r w:rsidR="00927219">
        <w:rPr>
          <w:rFonts w:ascii="Book Antiqua" w:eastAsia="Book Antiqua" w:hAnsi="Book Antiqua" w:cs="Book Antiqua"/>
          <w:b/>
          <w:bCs/>
          <w:i/>
          <w:iCs/>
          <w:color w:val="000000"/>
        </w:rPr>
        <w:t>-</w:t>
      </w:r>
      <w:r w:rsidRPr="00DA5A6A">
        <w:rPr>
          <w:rFonts w:ascii="Book Antiqua" w:eastAsia="Book Antiqua" w:hAnsi="Book Antiqua" w:cs="Book Antiqua"/>
          <w:b/>
          <w:bCs/>
          <w:i/>
          <w:iCs/>
          <w:color w:val="000000"/>
        </w:rPr>
        <w:t>L1 assays</w:t>
      </w:r>
    </w:p>
    <w:p w14:paraId="0F29CCDF" w14:textId="10492CCB" w:rsidR="00A77B3E" w:rsidRPr="00DA5A6A" w:rsidRDefault="00F74C48" w:rsidP="00DA5A6A">
      <w:pPr>
        <w:spacing w:line="360" w:lineRule="auto"/>
        <w:ind w:hanging="1"/>
        <w:jc w:val="both"/>
        <w:rPr>
          <w:rFonts w:ascii="Book Antiqua" w:hAnsi="Book Antiqua"/>
        </w:rPr>
      </w:pPr>
      <w:r w:rsidRPr="00DA5A6A">
        <w:rPr>
          <w:rFonts w:ascii="Book Antiqua" w:eastAsia="Book Antiqua" w:hAnsi="Book Antiqua" w:cs="Book Antiqua"/>
          <w:color w:val="000000"/>
        </w:rPr>
        <w:t>A major challenge in IO trials is defining appropriate biomarkers to aid patient selection. However even within PD</w:t>
      </w:r>
      <w:r w:rsidR="00927219">
        <w:rPr>
          <w:rFonts w:ascii="Book Antiqua" w:eastAsia="Book Antiqua" w:hAnsi="Book Antiqua" w:cs="Book Antiqua"/>
          <w:color w:val="000000"/>
        </w:rPr>
        <w:t>-</w:t>
      </w:r>
      <w:r w:rsidRPr="00DA5A6A">
        <w:rPr>
          <w:rFonts w:ascii="Book Antiqua" w:eastAsia="Book Antiqua" w:hAnsi="Book Antiqua" w:cs="Book Antiqua"/>
          <w:color w:val="000000"/>
        </w:rPr>
        <w:t>L1, not all assays are equal</w:t>
      </w:r>
      <w:r w:rsidR="005B2670"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59</w:t>
      </w:r>
      <w:r w:rsidR="005B2670"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The CPS utilises staining of both tumour and immune cells to reach a combined score which is thought to be enhance clinical utility of PD-L1</w:t>
      </w:r>
      <w:r w:rsidR="005B2670"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60</w:t>
      </w:r>
      <w:r w:rsidR="005B2670"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Rugo</w:t>
      </w:r>
      <w:r w:rsidRPr="00DA5A6A">
        <w:rPr>
          <w:rFonts w:ascii="Book Antiqua" w:eastAsia="Book Antiqua" w:hAnsi="Book Antiqua" w:cs="Book Antiqua"/>
          <w:i/>
          <w:iCs/>
          <w:color w:val="000000"/>
        </w:rPr>
        <w:t xml:space="preserve"> et al</w:t>
      </w:r>
      <w:r w:rsidR="005B2670" w:rsidRPr="00DA5A6A">
        <w:rPr>
          <w:rFonts w:ascii="Book Antiqua" w:eastAsia="Book Antiqua" w:hAnsi="Book Antiqua" w:cs="Book Antiqua"/>
          <w:color w:val="000000"/>
          <w:vertAlign w:val="superscript"/>
        </w:rPr>
        <w:t>[59]</w:t>
      </w:r>
      <w:r w:rsidRPr="00DA5A6A">
        <w:rPr>
          <w:rFonts w:ascii="Book Antiqua" w:eastAsia="Book Antiqua" w:hAnsi="Book Antiqua" w:cs="Book Antiqua"/>
          <w:color w:val="000000"/>
        </w:rPr>
        <w:t xml:space="preserve"> performed a post-hoc analysis of the IMpassion130 study investigating three PD-L1 assays; SP142, VENTANA SP263 IHC assay (IC</w:t>
      </w:r>
      <w:r w:rsidR="005B2670" w:rsidRPr="00DA5A6A">
        <w:rPr>
          <w:rFonts w:ascii="Book Antiqua" w:eastAsia="Book Antiqua" w:hAnsi="Book Antiqua" w:cs="Book Antiqua"/>
          <w:color w:val="000000"/>
        </w:rPr>
        <w:t xml:space="preserve"> </w:t>
      </w:r>
      <w:r w:rsidRPr="00DA5A6A">
        <w:rPr>
          <w:rFonts w:ascii="Book Antiqua" w:eastAsia="Book Antiqua" w:hAnsi="Book Antiqua" w:cs="Book Antiqua"/>
          <w:color w:val="000000"/>
        </w:rPr>
        <w:t>≥</w:t>
      </w:r>
      <w:r w:rsidR="005B2670" w:rsidRPr="00DA5A6A">
        <w:rPr>
          <w:rFonts w:ascii="Book Antiqua" w:eastAsia="Book Antiqua" w:hAnsi="Book Antiqua" w:cs="Book Antiqua"/>
          <w:color w:val="000000"/>
        </w:rPr>
        <w:t xml:space="preserve"> </w:t>
      </w:r>
      <w:r w:rsidRPr="00DA5A6A">
        <w:rPr>
          <w:rFonts w:ascii="Book Antiqua" w:eastAsia="Book Antiqua" w:hAnsi="Book Antiqua" w:cs="Book Antiqua"/>
          <w:color w:val="000000"/>
        </w:rPr>
        <w:t>1%) and Dako 22C3</w:t>
      </w:r>
      <w:r w:rsidRPr="00DA5A6A">
        <w:rPr>
          <w:rFonts w:ascii="Book Antiqua" w:eastAsia="Book Antiqua" w:hAnsi="Book Antiqua" w:cs="Book Antiqua"/>
          <w:color w:val="000000"/>
          <w:vertAlign w:val="superscript"/>
        </w:rPr>
        <w:t>A</w:t>
      </w:r>
      <w:r w:rsidRPr="00DA5A6A">
        <w:rPr>
          <w:rFonts w:ascii="Book Antiqua" w:eastAsia="Book Antiqua" w:hAnsi="Book Antiqua" w:cs="Book Antiqua"/>
          <w:color w:val="000000"/>
        </w:rPr>
        <w:t xml:space="preserve"> assay (CPS ≥ 1, 22C3+)</w:t>
      </w:r>
      <w:r w:rsidR="005B2670"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59</w:t>
      </w:r>
      <w:r w:rsidR="005B2670"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They found that the clinical benefit seen in patients with positive PD-L1 scores using the Dako 22C3</w:t>
      </w:r>
      <w:r w:rsidRPr="00DA5A6A">
        <w:rPr>
          <w:rFonts w:ascii="Book Antiqua" w:eastAsia="Book Antiqua" w:hAnsi="Book Antiqua" w:cs="Book Antiqua"/>
          <w:color w:val="000000"/>
          <w:vertAlign w:val="superscript"/>
        </w:rPr>
        <w:t>A</w:t>
      </w:r>
      <w:r w:rsidRPr="00DA5A6A">
        <w:rPr>
          <w:rFonts w:ascii="Book Antiqua" w:eastAsia="Book Antiqua" w:hAnsi="Book Antiqua" w:cs="Book Antiqua"/>
          <w:color w:val="000000"/>
        </w:rPr>
        <w:t xml:space="preserve"> and SP263 subgroups was driven by the SP142 PD</w:t>
      </w:r>
      <w:r w:rsidR="00927219">
        <w:rPr>
          <w:rFonts w:ascii="Book Antiqua" w:eastAsia="Book Antiqua" w:hAnsi="Book Antiqua" w:cs="Book Antiqua"/>
          <w:color w:val="000000"/>
        </w:rPr>
        <w:t>-</w:t>
      </w:r>
      <w:r w:rsidRPr="00DA5A6A">
        <w:rPr>
          <w:rFonts w:ascii="Book Antiqua" w:eastAsia="Book Antiqua" w:hAnsi="Book Antiqua" w:cs="Book Antiqua"/>
          <w:color w:val="000000"/>
        </w:rPr>
        <w:t>L1 subgroup. This study demonstrates that greater collaboration is needed to harmonise the assays utilised for PD-L1 scoring in clinical trials and clinical practice. The FDA appropriately has linked licensing approval of regimens with biomarker assays but this practice has not yet occurred in Europe.</w:t>
      </w:r>
    </w:p>
    <w:p w14:paraId="51A552FD" w14:textId="03436BA4" w:rsidR="00A77B3E" w:rsidRPr="00DA5A6A" w:rsidRDefault="00F74C48" w:rsidP="00DA5A6A">
      <w:pPr>
        <w:spacing w:line="360" w:lineRule="auto"/>
        <w:ind w:firstLineChars="200" w:firstLine="480"/>
        <w:jc w:val="both"/>
        <w:rPr>
          <w:rFonts w:ascii="Book Antiqua" w:eastAsia="Book Antiqua" w:hAnsi="Book Antiqua" w:cs="Book Antiqua"/>
          <w:color w:val="000000"/>
        </w:rPr>
      </w:pPr>
      <w:r w:rsidRPr="00DA5A6A">
        <w:rPr>
          <w:rFonts w:ascii="Book Antiqua" w:eastAsia="Book Antiqua" w:hAnsi="Book Antiqua" w:cs="Book Antiqua"/>
          <w:color w:val="000000"/>
        </w:rPr>
        <w:t xml:space="preserve">In KEYNOTE-522, patients were randomised to receive chemotherapy + pembrolizumab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chemotherapy + placebo</w:t>
      </w:r>
      <w:r w:rsidR="005B2670"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61</w:t>
      </w:r>
      <w:r w:rsidR="005B2670"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Patients with PD-L1 positive and negative TNBC had an improvement in pathological complete response (pCR) with the addition of pembrolizumab. This is in contrast to</w:t>
      </w:r>
      <w:r w:rsidR="002D6101" w:rsidRPr="00DA5A6A">
        <w:rPr>
          <w:rFonts w:ascii="Book Antiqua" w:eastAsia="Book Antiqua" w:hAnsi="Book Antiqua" w:cs="Book Antiqua"/>
          <w:color w:val="000000"/>
        </w:rPr>
        <w:t xml:space="preserve"> the metastatic setting (in </w:t>
      </w:r>
      <w:r w:rsidRPr="00DA5A6A">
        <w:rPr>
          <w:rFonts w:ascii="Book Antiqua" w:eastAsia="Book Antiqua" w:hAnsi="Book Antiqua" w:cs="Book Antiqua"/>
          <w:color w:val="000000"/>
        </w:rPr>
        <w:t>IMpassion130 and KEYNOTE-355), patients with high PD</w:t>
      </w:r>
      <w:r w:rsidR="00927219">
        <w:rPr>
          <w:rFonts w:ascii="Book Antiqua" w:eastAsia="Book Antiqua" w:hAnsi="Book Antiqua" w:cs="Book Antiqua"/>
          <w:color w:val="000000"/>
        </w:rPr>
        <w:t>-</w:t>
      </w:r>
      <w:r w:rsidRPr="00DA5A6A">
        <w:rPr>
          <w:rFonts w:ascii="Book Antiqua" w:eastAsia="Book Antiqua" w:hAnsi="Book Antiqua" w:cs="Book Antiqua"/>
          <w:color w:val="000000"/>
        </w:rPr>
        <w:t>L1 expression derived the benefit from the addition of IO. This would indicate that in the metastatic setting PD-L1 expression is required for response</w:t>
      </w:r>
      <w:r w:rsidR="005B2670"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56,58</w:t>
      </w:r>
      <w:r w:rsidR="005B2670"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w:t>
      </w:r>
    </w:p>
    <w:p w14:paraId="5684913C" w14:textId="77777777" w:rsidR="005B2670" w:rsidRPr="00DA5A6A" w:rsidRDefault="005B2670" w:rsidP="00DA5A6A">
      <w:pPr>
        <w:spacing w:line="360" w:lineRule="auto"/>
        <w:ind w:firstLineChars="200" w:firstLine="480"/>
        <w:jc w:val="both"/>
        <w:rPr>
          <w:rFonts w:ascii="Book Antiqua" w:hAnsi="Book Antiqua"/>
        </w:rPr>
      </w:pPr>
    </w:p>
    <w:p w14:paraId="4E6D94CB" w14:textId="1CFDE3FB" w:rsidR="00A77B3E" w:rsidRPr="00DA5A6A" w:rsidRDefault="00F74C48" w:rsidP="00DA5A6A">
      <w:pPr>
        <w:spacing w:line="360" w:lineRule="auto"/>
        <w:jc w:val="both"/>
        <w:rPr>
          <w:rFonts w:ascii="Book Antiqua" w:hAnsi="Book Antiqua"/>
          <w:i/>
          <w:iCs/>
        </w:rPr>
      </w:pPr>
      <w:r w:rsidRPr="00DA5A6A">
        <w:rPr>
          <w:rFonts w:ascii="Book Antiqua" w:eastAsia="Book Antiqua" w:hAnsi="Book Antiqua" w:cs="Book Antiqua"/>
          <w:b/>
          <w:bCs/>
          <w:i/>
          <w:iCs/>
          <w:color w:val="000000"/>
        </w:rPr>
        <w:lastRenderedPageBreak/>
        <w:t xml:space="preserve">Adoptive </w:t>
      </w:r>
      <w:r w:rsidR="005B2670" w:rsidRPr="00DA5A6A">
        <w:rPr>
          <w:rFonts w:ascii="Book Antiqua" w:eastAsia="Book Antiqua" w:hAnsi="Book Antiqua" w:cs="Book Antiqua"/>
          <w:b/>
          <w:bCs/>
          <w:i/>
          <w:iCs/>
          <w:color w:val="000000"/>
        </w:rPr>
        <w:t>i</w:t>
      </w:r>
      <w:r w:rsidRPr="00DA5A6A">
        <w:rPr>
          <w:rFonts w:ascii="Book Antiqua" w:eastAsia="Book Antiqua" w:hAnsi="Book Antiqua" w:cs="Book Antiqua"/>
          <w:b/>
          <w:bCs/>
          <w:i/>
          <w:iCs/>
          <w:color w:val="000000"/>
        </w:rPr>
        <w:t xml:space="preserve">mmunotherapy </w:t>
      </w:r>
      <w:r w:rsidR="005B2670" w:rsidRPr="00DA5A6A">
        <w:rPr>
          <w:rFonts w:ascii="Book Antiqua" w:eastAsia="Book Antiqua" w:hAnsi="Book Antiqua" w:cs="Book Antiqua"/>
          <w:b/>
          <w:bCs/>
          <w:i/>
          <w:iCs/>
          <w:color w:val="000000"/>
        </w:rPr>
        <w:t>a</w:t>
      </w:r>
      <w:r w:rsidRPr="00DA5A6A">
        <w:rPr>
          <w:rFonts w:ascii="Book Antiqua" w:eastAsia="Book Antiqua" w:hAnsi="Book Antiqua" w:cs="Book Antiqua"/>
          <w:b/>
          <w:bCs/>
          <w:i/>
          <w:iCs/>
          <w:color w:val="000000"/>
        </w:rPr>
        <w:t xml:space="preserve">pproaches </w:t>
      </w:r>
    </w:p>
    <w:p w14:paraId="5CF20444" w14:textId="61B8F5FE"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color w:val="000000"/>
        </w:rPr>
        <w:t xml:space="preserve">Much of our focus in clinical practice involves utilising checkpoint inhibitors to enhance our immune response to malignancies. Adoptive immunotherapy involves infusing or adopting T cells or other immune cells in order to enhance the host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malignancy response. Such approaches have been demonstrate</w:t>
      </w:r>
      <w:r w:rsidR="002D6101" w:rsidRPr="00DA5A6A">
        <w:rPr>
          <w:rFonts w:ascii="Book Antiqua" w:eastAsia="Book Antiqua" w:hAnsi="Book Antiqua" w:cs="Book Antiqua"/>
          <w:color w:val="000000"/>
        </w:rPr>
        <w:t xml:space="preserve">d to be effective in specific clinical circumstances. For example, tumor infiltrating lymphocytes have been used in </w:t>
      </w:r>
      <w:r w:rsidRPr="00DA5A6A">
        <w:rPr>
          <w:rFonts w:ascii="Book Antiqua" w:eastAsia="Book Antiqua" w:hAnsi="Book Antiqua" w:cs="Book Antiqua"/>
          <w:color w:val="000000"/>
        </w:rPr>
        <w:t>melanoma</w:t>
      </w:r>
      <w:r w:rsidR="002D6101" w:rsidRPr="00DA5A6A">
        <w:rPr>
          <w:rFonts w:ascii="Book Antiqua" w:eastAsia="Book Antiqua" w:hAnsi="Book Antiqua" w:cs="Book Antiqua"/>
          <w:color w:val="000000"/>
        </w:rPr>
        <w:t xml:space="preserve"> and chimeri</w:t>
      </w:r>
      <w:r w:rsidRPr="00DA5A6A">
        <w:rPr>
          <w:rFonts w:ascii="Book Antiqua" w:eastAsia="Book Antiqua" w:hAnsi="Book Antiqua" w:cs="Book Antiqua"/>
          <w:color w:val="000000"/>
        </w:rPr>
        <w:t xml:space="preserve">c antigen receptor T cell therapies </w:t>
      </w:r>
      <w:r w:rsidR="002D6101" w:rsidRPr="00DA5A6A">
        <w:rPr>
          <w:rFonts w:ascii="Book Antiqua" w:eastAsia="Book Antiqua" w:hAnsi="Book Antiqua" w:cs="Book Antiqua"/>
          <w:color w:val="000000"/>
        </w:rPr>
        <w:t xml:space="preserve">have demonstrated efficacy </w:t>
      </w:r>
      <w:r w:rsidRPr="00DA5A6A">
        <w:rPr>
          <w:rFonts w:ascii="Book Antiqua" w:eastAsia="Book Antiqua" w:hAnsi="Book Antiqua" w:cs="Book Antiqua"/>
          <w:color w:val="000000"/>
        </w:rPr>
        <w:t>in leukaemia. There has been limited application of these treatments to TNBC thus far. Studies are limited to small numbers (&lt;</w:t>
      </w:r>
      <w:r w:rsidR="005B2670" w:rsidRPr="00DA5A6A">
        <w:rPr>
          <w:rFonts w:ascii="Book Antiqua" w:eastAsia="Book Antiqua" w:hAnsi="Book Antiqua" w:cs="Book Antiqua"/>
          <w:color w:val="000000"/>
        </w:rPr>
        <w:t xml:space="preserve"> </w:t>
      </w:r>
      <w:r w:rsidRPr="00DA5A6A">
        <w:rPr>
          <w:rFonts w:ascii="Book Antiqua" w:eastAsia="Book Antiqua" w:hAnsi="Book Antiqua" w:cs="Book Antiqua"/>
          <w:color w:val="000000"/>
        </w:rPr>
        <w:t>10)</w:t>
      </w:r>
      <w:r w:rsidR="002D6101" w:rsidRPr="00DA5A6A">
        <w:rPr>
          <w:rFonts w:ascii="Book Antiqua" w:eastAsia="Book Antiqua" w:hAnsi="Book Antiqua" w:cs="Book Antiqua"/>
          <w:color w:val="000000"/>
        </w:rPr>
        <w:t xml:space="preserve"> of</w:t>
      </w:r>
      <w:r w:rsidRPr="00DA5A6A">
        <w:rPr>
          <w:rFonts w:ascii="Book Antiqua" w:eastAsia="Book Antiqua" w:hAnsi="Book Antiqua" w:cs="Book Antiqua"/>
          <w:color w:val="000000"/>
        </w:rPr>
        <w:t xml:space="preserve"> patients with l</w:t>
      </w:r>
      <w:r w:rsidR="002D6101" w:rsidRPr="00DA5A6A">
        <w:rPr>
          <w:rFonts w:ascii="Book Antiqua" w:eastAsia="Book Antiqua" w:hAnsi="Book Antiqua" w:cs="Book Antiqua"/>
          <w:color w:val="000000"/>
        </w:rPr>
        <w:t xml:space="preserve">imited </w:t>
      </w:r>
      <w:r w:rsidRPr="00DA5A6A">
        <w:rPr>
          <w:rFonts w:ascii="Book Antiqua" w:eastAsia="Book Antiqua" w:hAnsi="Book Antiqua" w:cs="Book Antiqua"/>
          <w:color w:val="000000"/>
        </w:rPr>
        <w:t>evidence of activity. However, these treatments do offer a compelling rationale for harnessing the power of our immune system and it is likely they will be part of the treatment paradigm in years to come</w:t>
      </w:r>
      <w:r w:rsidR="005B2670"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62</w:t>
      </w:r>
      <w:r w:rsidR="005B2670"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w:t>
      </w:r>
    </w:p>
    <w:p w14:paraId="4B9A7A59" w14:textId="77777777" w:rsidR="00A77B3E" w:rsidRPr="00DA5A6A" w:rsidRDefault="00A77B3E" w:rsidP="00DA5A6A">
      <w:pPr>
        <w:spacing w:line="360" w:lineRule="auto"/>
        <w:jc w:val="both"/>
        <w:rPr>
          <w:rFonts w:ascii="Book Antiqua" w:hAnsi="Book Antiqua"/>
        </w:rPr>
      </w:pPr>
    </w:p>
    <w:p w14:paraId="42DC5D22" w14:textId="72E180A3" w:rsidR="00A77B3E" w:rsidRPr="00DA5A6A" w:rsidRDefault="00F74C48" w:rsidP="00DA5A6A">
      <w:pPr>
        <w:spacing w:line="360" w:lineRule="auto"/>
        <w:ind w:hanging="1"/>
        <w:jc w:val="both"/>
        <w:rPr>
          <w:rFonts w:ascii="Book Antiqua" w:hAnsi="Book Antiqua"/>
          <w:i/>
          <w:iCs/>
        </w:rPr>
      </w:pPr>
      <w:r w:rsidRPr="00DA5A6A">
        <w:rPr>
          <w:rFonts w:ascii="Book Antiqua" w:eastAsia="Book Antiqua" w:hAnsi="Book Antiqua" w:cs="Book Antiqua"/>
          <w:b/>
          <w:bCs/>
          <w:i/>
          <w:iCs/>
          <w:color w:val="000000"/>
        </w:rPr>
        <w:t xml:space="preserve">Take </w:t>
      </w:r>
      <w:r w:rsidR="005B2670" w:rsidRPr="00DA5A6A">
        <w:rPr>
          <w:rFonts w:ascii="Book Antiqua" w:eastAsia="Book Antiqua" w:hAnsi="Book Antiqua" w:cs="Book Antiqua"/>
          <w:b/>
          <w:bCs/>
          <w:i/>
          <w:iCs/>
          <w:color w:val="000000"/>
        </w:rPr>
        <w:t>h</w:t>
      </w:r>
      <w:r w:rsidRPr="00DA5A6A">
        <w:rPr>
          <w:rFonts w:ascii="Book Antiqua" w:eastAsia="Book Antiqua" w:hAnsi="Book Antiqua" w:cs="Book Antiqua"/>
          <w:b/>
          <w:bCs/>
          <w:i/>
          <w:iCs/>
          <w:color w:val="000000"/>
        </w:rPr>
        <w:t xml:space="preserve">ome </w:t>
      </w:r>
      <w:r w:rsidR="005B2670" w:rsidRPr="00DA5A6A">
        <w:rPr>
          <w:rFonts w:ascii="Book Antiqua" w:eastAsia="Book Antiqua" w:hAnsi="Book Antiqua" w:cs="Book Antiqua"/>
          <w:b/>
          <w:bCs/>
          <w:i/>
          <w:iCs/>
          <w:color w:val="000000"/>
        </w:rPr>
        <w:t>m</w:t>
      </w:r>
      <w:r w:rsidRPr="00DA5A6A">
        <w:rPr>
          <w:rFonts w:ascii="Book Antiqua" w:eastAsia="Book Antiqua" w:hAnsi="Book Antiqua" w:cs="Book Antiqua"/>
          <w:b/>
          <w:bCs/>
          <w:i/>
          <w:iCs/>
          <w:color w:val="000000"/>
        </w:rPr>
        <w:t>essage</w:t>
      </w:r>
    </w:p>
    <w:p w14:paraId="1AEDC0F7" w14:textId="2C3CAB50"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color w:val="000000"/>
        </w:rPr>
        <w:t>Targeting PD</w:t>
      </w:r>
      <w:r w:rsidR="00927219">
        <w:rPr>
          <w:rFonts w:ascii="Book Antiqua" w:eastAsia="Book Antiqua" w:hAnsi="Book Antiqua" w:cs="Book Antiqua"/>
          <w:color w:val="000000"/>
        </w:rPr>
        <w:t>-</w:t>
      </w:r>
      <w:r w:rsidRPr="00DA5A6A">
        <w:rPr>
          <w:rFonts w:ascii="Book Antiqua" w:eastAsia="Book Antiqua" w:hAnsi="Book Antiqua" w:cs="Book Antiqua"/>
          <w:color w:val="000000"/>
        </w:rPr>
        <w:t xml:space="preserve">L1 in first-line, treatment naïve metastatic TNBC has resulted in the demonstration of clinical activity. The combination of atezolizumab </w:t>
      </w:r>
      <w:r w:rsidR="005B2670" w:rsidRPr="00DA5A6A">
        <w:rPr>
          <w:rFonts w:ascii="Book Antiqua" w:eastAsia="Book Antiqua" w:hAnsi="Book Antiqua" w:cs="Book Antiqua"/>
          <w:color w:val="000000"/>
        </w:rPr>
        <w:t>and</w:t>
      </w:r>
      <w:r w:rsidRPr="00DA5A6A">
        <w:rPr>
          <w:rFonts w:ascii="Book Antiqua" w:eastAsia="Book Antiqua" w:hAnsi="Book Antiqua" w:cs="Book Antiqua"/>
          <w:color w:val="000000"/>
        </w:rPr>
        <w:t xml:space="preserve"> nab-paclitaxel has demonstrated an impressive 6 mo’ </w:t>
      </w:r>
      <w:r w:rsidR="00970DFA">
        <w:rPr>
          <w:rFonts w:ascii="Book Antiqua" w:eastAsia="Book Antiqua" w:hAnsi="Book Antiqua" w:cs="Book Antiqua"/>
          <w:color w:val="000000"/>
        </w:rPr>
        <w:t>OS</w:t>
      </w:r>
      <w:r w:rsidRPr="00DA5A6A">
        <w:rPr>
          <w:rFonts w:ascii="Book Antiqua" w:eastAsia="Book Antiqua" w:hAnsi="Book Antiqua" w:cs="Book Antiqua"/>
          <w:color w:val="000000"/>
        </w:rPr>
        <w:t xml:space="preserve"> advantage in the PD-L1 positive subgroup, however due to the hierarchial testing model, formal significance testing was not conducted. The second phase III trial KEYNOTE-355 to report also demonstrated an improvement in PFS in patients with a CPS &gt;</w:t>
      </w:r>
      <w:r w:rsidR="005B2670" w:rsidRPr="00DA5A6A">
        <w:rPr>
          <w:rFonts w:ascii="Book Antiqua" w:eastAsia="Book Antiqua" w:hAnsi="Book Antiqua" w:cs="Book Antiqua"/>
          <w:color w:val="000000"/>
        </w:rPr>
        <w:t xml:space="preserve"> </w:t>
      </w:r>
      <w:r w:rsidRPr="00DA5A6A">
        <w:rPr>
          <w:rFonts w:ascii="Book Antiqua" w:eastAsia="Book Antiqua" w:hAnsi="Book Antiqua" w:cs="Book Antiqua"/>
          <w:color w:val="000000"/>
        </w:rPr>
        <w:t>10 but OS data is awaited. The recently presented IMpassion-131 did not demonstrate any improvement in PFS and has led to an FDA alert cautioning against the use of this combination due to lack of efficacy and potentially increased toxicity. Further results will be needed to confirm the activity of IO in this setting.</w:t>
      </w:r>
    </w:p>
    <w:p w14:paraId="49947419" w14:textId="77777777" w:rsidR="00A77B3E" w:rsidRPr="00DA5A6A" w:rsidRDefault="00F74C48" w:rsidP="00DA5A6A">
      <w:pPr>
        <w:spacing w:line="360" w:lineRule="auto"/>
        <w:ind w:firstLineChars="200" w:firstLine="480"/>
        <w:jc w:val="both"/>
        <w:rPr>
          <w:rFonts w:ascii="Book Antiqua" w:hAnsi="Book Antiqua"/>
        </w:rPr>
      </w:pPr>
      <w:r w:rsidRPr="00DA5A6A">
        <w:rPr>
          <w:rFonts w:ascii="Book Antiqua" w:eastAsia="Book Antiqua" w:hAnsi="Book Antiqua" w:cs="Book Antiqua"/>
          <w:color w:val="000000"/>
        </w:rPr>
        <w:t>It is important to note that all of these trials excluded patients that relapsed within either 6 or 12 mo of primary treatment. It is important that we do not extrapolate these clinical trial outcomes to our entire TNBC population.</w:t>
      </w:r>
    </w:p>
    <w:p w14:paraId="5F36B62D" w14:textId="77777777" w:rsidR="00A77B3E" w:rsidRPr="00DA5A6A" w:rsidRDefault="00A77B3E" w:rsidP="00DA5A6A">
      <w:pPr>
        <w:spacing w:line="360" w:lineRule="auto"/>
        <w:jc w:val="both"/>
        <w:rPr>
          <w:rFonts w:ascii="Book Antiqua" w:hAnsi="Book Antiqua"/>
        </w:rPr>
      </w:pPr>
    </w:p>
    <w:p w14:paraId="50F7C70B" w14:textId="41F0ED98" w:rsidR="00A77B3E" w:rsidRPr="00DA5A6A" w:rsidRDefault="00F74C48" w:rsidP="00DA5A6A">
      <w:pPr>
        <w:spacing w:line="360" w:lineRule="auto"/>
        <w:jc w:val="both"/>
        <w:rPr>
          <w:rFonts w:ascii="Book Antiqua" w:hAnsi="Book Antiqua"/>
          <w:i/>
          <w:iCs/>
        </w:rPr>
      </w:pPr>
      <w:r w:rsidRPr="00DA5A6A">
        <w:rPr>
          <w:rFonts w:ascii="Book Antiqua" w:eastAsia="Book Antiqua" w:hAnsi="Book Antiqua" w:cs="Book Antiqua"/>
          <w:b/>
          <w:bCs/>
          <w:i/>
          <w:iCs/>
          <w:color w:val="000000"/>
        </w:rPr>
        <w:t xml:space="preserve">Targeting </w:t>
      </w:r>
      <w:r w:rsidR="005B2670" w:rsidRPr="00DA5A6A">
        <w:rPr>
          <w:rFonts w:ascii="Book Antiqua" w:eastAsia="Book Antiqua" w:hAnsi="Book Antiqua" w:cs="Book Antiqua"/>
          <w:b/>
          <w:bCs/>
          <w:i/>
          <w:iCs/>
          <w:color w:val="000000"/>
        </w:rPr>
        <w:t>h</w:t>
      </w:r>
      <w:r w:rsidRPr="00DA5A6A">
        <w:rPr>
          <w:rFonts w:ascii="Book Antiqua" w:eastAsia="Book Antiqua" w:hAnsi="Book Antiqua" w:cs="Book Antiqua"/>
          <w:b/>
          <w:bCs/>
          <w:i/>
          <w:iCs/>
          <w:color w:val="000000"/>
        </w:rPr>
        <w:t xml:space="preserve">omologous </w:t>
      </w:r>
      <w:r w:rsidR="005B2670" w:rsidRPr="00DA5A6A">
        <w:rPr>
          <w:rFonts w:ascii="Book Antiqua" w:eastAsia="Book Antiqua" w:hAnsi="Book Antiqua" w:cs="Book Antiqua"/>
          <w:b/>
          <w:bCs/>
          <w:i/>
          <w:iCs/>
          <w:color w:val="000000"/>
        </w:rPr>
        <w:t>r</w:t>
      </w:r>
      <w:r w:rsidRPr="00DA5A6A">
        <w:rPr>
          <w:rFonts w:ascii="Book Antiqua" w:eastAsia="Book Antiqua" w:hAnsi="Book Antiqua" w:cs="Book Antiqua"/>
          <w:b/>
          <w:bCs/>
          <w:i/>
          <w:iCs/>
          <w:color w:val="000000"/>
        </w:rPr>
        <w:t xml:space="preserve">ecombination </w:t>
      </w:r>
      <w:r w:rsidR="005B2670" w:rsidRPr="00DA5A6A">
        <w:rPr>
          <w:rFonts w:ascii="Book Antiqua" w:eastAsia="Book Antiqua" w:hAnsi="Book Antiqua" w:cs="Book Antiqua"/>
          <w:b/>
          <w:bCs/>
          <w:i/>
          <w:iCs/>
          <w:color w:val="000000"/>
        </w:rPr>
        <w:t>d</w:t>
      </w:r>
      <w:r w:rsidRPr="00DA5A6A">
        <w:rPr>
          <w:rFonts w:ascii="Book Antiqua" w:eastAsia="Book Antiqua" w:hAnsi="Book Antiqua" w:cs="Book Antiqua"/>
          <w:b/>
          <w:bCs/>
          <w:i/>
          <w:iCs/>
          <w:color w:val="000000"/>
        </w:rPr>
        <w:t>eficiency in T</w:t>
      </w:r>
      <w:r w:rsidR="005B2670" w:rsidRPr="00DA5A6A">
        <w:rPr>
          <w:rFonts w:ascii="Book Antiqua" w:eastAsia="Book Antiqua" w:hAnsi="Book Antiqua" w:cs="Book Antiqua"/>
          <w:b/>
          <w:bCs/>
          <w:i/>
          <w:iCs/>
          <w:color w:val="000000"/>
        </w:rPr>
        <w:t>NBC</w:t>
      </w:r>
    </w:p>
    <w:p w14:paraId="4C9BE403" w14:textId="25EC19B1" w:rsidR="00A77B3E" w:rsidRPr="00DA5A6A" w:rsidRDefault="00F74C48" w:rsidP="00DA5A6A">
      <w:pPr>
        <w:spacing w:line="360" w:lineRule="auto"/>
        <w:ind w:hanging="1"/>
        <w:jc w:val="both"/>
        <w:rPr>
          <w:rFonts w:ascii="Book Antiqua" w:eastAsia="Book Antiqua" w:hAnsi="Book Antiqua" w:cs="Book Antiqua"/>
          <w:color w:val="000000"/>
        </w:rPr>
      </w:pPr>
      <w:r w:rsidRPr="00DA5A6A">
        <w:rPr>
          <w:rFonts w:ascii="Book Antiqua" w:eastAsia="Book Antiqua" w:hAnsi="Book Antiqua" w:cs="Book Antiqua"/>
          <w:color w:val="000000"/>
        </w:rPr>
        <w:t xml:space="preserve">PARPi offer a biologically appealing treatment for patients with intrinsic HRD. HRD renders cells vulnerable to neoplastic transformation. However, this vulnerability to </w:t>
      </w:r>
      <w:r w:rsidRPr="00DA5A6A">
        <w:rPr>
          <w:rFonts w:ascii="Book Antiqua" w:eastAsia="Book Antiqua" w:hAnsi="Book Antiqua" w:cs="Book Antiqua"/>
          <w:color w:val="000000"/>
        </w:rPr>
        <w:lastRenderedPageBreak/>
        <w:t xml:space="preserve">neoplastic changes also renders tumour cells vulnerable to genotoxic cell death </w:t>
      </w:r>
      <w:r w:rsidRPr="00DA5A6A">
        <w:rPr>
          <w:rFonts w:ascii="Book Antiqua" w:eastAsia="Book Antiqua" w:hAnsi="Book Antiqua" w:cs="Book Antiqua"/>
          <w:i/>
          <w:iCs/>
          <w:color w:val="000000"/>
        </w:rPr>
        <w:t>via</w:t>
      </w:r>
      <w:r w:rsidRPr="00DA5A6A">
        <w:rPr>
          <w:rFonts w:ascii="Book Antiqua" w:eastAsia="Book Antiqua" w:hAnsi="Book Antiqua" w:cs="Book Antiqua"/>
          <w:color w:val="000000"/>
        </w:rPr>
        <w:t xml:space="preserve"> PARP inhibition as cells are reliant on base excision repair by PARP so it represents an ‘Achilles Heel’. By inhibiting two pathways of DNA repair, the tumour cells have impaired DNA replication. The combination of PARP inhibition and </w:t>
      </w:r>
      <w:r w:rsidRPr="00DA5A6A">
        <w:rPr>
          <w:rFonts w:ascii="Book Antiqua" w:eastAsia="Book Antiqua" w:hAnsi="Book Antiqua" w:cs="Book Antiqua"/>
          <w:i/>
          <w:iCs/>
          <w:color w:val="000000"/>
        </w:rPr>
        <w:t>BRCA1/BRCA2</w:t>
      </w:r>
      <w:r w:rsidRPr="00DA5A6A">
        <w:rPr>
          <w:rFonts w:ascii="Book Antiqua" w:eastAsia="Book Antiqua" w:hAnsi="Book Antiqua" w:cs="Book Antiqua"/>
          <w:color w:val="000000"/>
        </w:rPr>
        <w:t xml:space="preserve"> mutations is termed synthetic lethality.</w:t>
      </w:r>
    </w:p>
    <w:p w14:paraId="6DA2537F" w14:textId="77777777" w:rsidR="005B2670" w:rsidRPr="00DA5A6A" w:rsidRDefault="005B2670" w:rsidP="00DA5A6A">
      <w:pPr>
        <w:spacing w:line="360" w:lineRule="auto"/>
        <w:ind w:hanging="1"/>
        <w:jc w:val="both"/>
        <w:rPr>
          <w:rFonts w:ascii="Book Antiqua" w:hAnsi="Book Antiqua"/>
        </w:rPr>
      </w:pPr>
    </w:p>
    <w:p w14:paraId="138719F7" w14:textId="77777777" w:rsidR="00A77B3E" w:rsidRPr="00DA5A6A" w:rsidRDefault="00F74C48" w:rsidP="00DA5A6A">
      <w:pPr>
        <w:spacing w:line="360" w:lineRule="auto"/>
        <w:ind w:hanging="1"/>
        <w:jc w:val="both"/>
        <w:rPr>
          <w:rFonts w:ascii="Book Antiqua" w:eastAsia="Book Antiqua" w:hAnsi="Book Antiqua" w:cs="Book Antiqua"/>
          <w:b/>
          <w:caps/>
          <w:color w:val="000000"/>
          <w:u w:val="single"/>
        </w:rPr>
      </w:pPr>
      <w:r w:rsidRPr="00DA5A6A">
        <w:rPr>
          <w:rFonts w:ascii="Book Antiqua" w:eastAsia="Book Antiqua" w:hAnsi="Book Antiqua" w:cs="Book Antiqua"/>
          <w:b/>
          <w:caps/>
          <w:color w:val="000000"/>
          <w:u w:val="single"/>
        </w:rPr>
        <w:t xml:space="preserve">Germline </w:t>
      </w:r>
      <w:r w:rsidRPr="00DA5A6A">
        <w:rPr>
          <w:rFonts w:ascii="Book Antiqua" w:eastAsia="Book Antiqua" w:hAnsi="Book Antiqua" w:cs="Book Antiqua"/>
          <w:b/>
          <w:i/>
          <w:iCs/>
          <w:caps/>
          <w:color w:val="000000"/>
          <w:u w:val="single"/>
        </w:rPr>
        <w:t>BRCA1/BRCA2</w:t>
      </w:r>
      <w:r w:rsidRPr="00DA5A6A">
        <w:rPr>
          <w:rFonts w:ascii="Book Antiqua" w:eastAsia="Book Antiqua" w:hAnsi="Book Antiqua" w:cs="Book Antiqua"/>
          <w:b/>
          <w:caps/>
          <w:color w:val="000000"/>
          <w:u w:val="single"/>
        </w:rPr>
        <w:t xml:space="preserve"> mutations</w:t>
      </w:r>
    </w:p>
    <w:p w14:paraId="40FBC829" w14:textId="77777777" w:rsidR="00A77B3E" w:rsidRPr="00DA5A6A" w:rsidRDefault="00F74C48" w:rsidP="00DA5A6A">
      <w:pPr>
        <w:spacing w:line="360" w:lineRule="auto"/>
        <w:ind w:hanging="1"/>
        <w:jc w:val="both"/>
        <w:rPr>
          <w:rFonts w:ascii="Book Antiqua" w:hAnsi="Book Antiqua"/>
          <w:i/>
          <w:iCs/>
        </w:rPr>
      </w:pPr>
      <w:r w:rsidRPr="00DA5A6A">
        <w:rPr>
          <w:rFonts w:ascii="Book Antiqua" w:eastAsia="Book Antiqua" w:hAnsi="Book Antiqua" w:cs="Book Antiqua"/>
          <w:b/>
          <w:bCs/>
          <w:i/>
          <w:iCs/>
          <w:color w:val="000000"/>
        </w:rPr>
        <w:t>Early stage clinical trials</w:t>
      </w:r>
    </w:p>
    <w:p w14:paraId="163AA5EA" w14:textId="302D5F2F" w:rsidR="00A77B3E" w:rsidRPr="00DA5A6A" w:rsidRDefault="00F74C48" w:rsidP="00DA5A6A">
      <w:pPr>
        <w:spacing w:line="360" w:lineRule="auto"/>
        <w:ind w:hanging="1"/>
        <w:jc w:val="both"/>
        <w:rPr>
          <w:rFonts w:ascii="Book Antiqua" w:hAnsi="Book Antiqua"/>
        </w:rPr>
      </w:pPr>
      <w:r w:rsidRPr="00DA5A6A">
        <w:rPr>
          <w:rFonts w:ascii="Book Antiqua" w:eastAsia="Book Antiqua" w:hAnsi="Book Antiqua" w:cs="Book Antiqua"/>
          <w:color w:val="000000"/>
        </w:rPr>
        <w:t xml:space="preserve">In a proof of concept study published in the Lancet, authors’ investigated olaparib in patients with advanced </w:t>
      </w:r>
      <w:r w:rsidR="00970DFA" w:rsidRPr="00970DFA">
        <w:rPr>
          <w:rFonts w:ascii="Book Antiqua" w:eastAsia="Book Antiqua" w:hAnsi="Book Antiqua" w:cs="Book Antiqua"/>
          <w:color w:val="000000"/>
        </w:rPr>
        <w:t>metastatic breast cancer</w:t>
      </w:r>
      <w:r w:rsidR="00970DFA" w:rsidRPr="00DA5A6A">
        <w:rPr>
          <w:rFonts w:ascii="Book Antiqua" w:eastAsia="Book Antiqua" w:hAnsi="Book Antiqua" w:cs="Book Antiqua"/>
          <w:color w:val="000000"/>
        </w:rPr>
        <w:t xml:space="preserve"> </w:t>
      </w:r>
      <w:r w:rsidR="00970DFA">
        <w:rPr>
          <w:rFonts w:ascii="Book Antiqua" w:eastAsia="Book Antiqua" w:hAnsi="Book Antiqua" w:cs="Book Antiqua"/>
          <w:color w:val="000000"/>
        </w:rPr>
        <w:t>(</w:t>
      </w:r>
      <w:r w:rsidRPr="00DA5A6A">
        <w:rPr>
          <w:rFonts w:ascii="Book Antiqua" w:eastAsia="Book Antiqua" w:hAnsi="Book Antiqua" w:cs="Book Antiqua"/>
          <w:color w:val="000000"/>
        </w:rPr>
        <w:t>MBC</w:t>
      </w:r>
      <w:r w:rsidR="00970DFA">
        <w:rPr>
          <w:rFonts w:ascii="Book Antiqua" w:eastAsia="Book Antiqua" w:hAnsi="Book Antiqua" w:cs="Book Antiqua"/>
          <w:color w:val="000000"/>
        </w:rPr>
        <w:t>)</w:t>
      </w:r>
      <w:r w:rsidRPr="00DA5A6A">
        <w:rPr>
          <w:rFonts w:ascii="Book Antiqua" w:eastAsia="Book Antiqua" w:hAnsi="Book Antiqua" w:cs="Book Antiqua"/>
          <w:color w:val="000000"/>
        </w:rPr>
        <w:t xml:space="preserve"> with germline </w:t>
      </w:r>
      <w:r w:rsidRPr="00DA5A6A">
        <w:rPr>
          <w:rFonts w:ascii="Book Antiqua" w:eastAsia="Book Antiqua" w:hAnsi="Book Antiqua" w:cs="Book Antiqua"/>
          <w:i/>
          <w:iCs/>
          <w:color w:val="000000"/>
        </w:rPr>
        <w:t>BRCA1/BRCA2</w:t>
      </w:r>
      <w:r w:rsidRPr="00DA5A6A">
        <w:rPr>
          <w:rFonts w:ascii="Book Antiqua" w:eastAsia="Book Antiqua" w:hAnsi="Book Antiqua" w:cs="Book Antiqua"/>
          <w:color w:val="000000"/>
        </w:rPr>
        <w:t xml:space="preserve"> (gBRCA) mutations. They investigated two doses of olaparib at 400 mg BD and 100 mg BD. Approximately half of patients in this study (26 of 51 patients) had TNBC with the remainder having other histological subtypes. Patients were heavily pretreated with a median of 3 prior chemotherapy regimens and platinum sensitivity was not needed for trial enrolment. Overall response rates were impressive in this heavily pre-treated population at 41% in the group receiving the higher dose and 22% in the group receiving the lower dose</w:t>
      </w:r>
      <w:r w:rsidR="005B2670"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63</w:t>
      </w:r>
      <w:r w:rsidR="005B2670"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w:t>
      </w:r>
    </w:p>
    <w:p w14:paraId="6C37B5AF" w14:textId="6BC0D89B" w:rsidR="00A77B3E" w:rsidRPr="00DA5A6A" w:rsidRDefault="00F74C48" w:rsidP="00DA5A6A">
      <w:pPr>
        <w:spacing w:line="360" w:lineRule="auto"/>
        <w:ind w:firstLineChars="200" w:firstLine="480"/>
        <w:jc w:val="both"/>
        <w:rPr>
          <w:rFonts w:ascii="Book Antiqua" w:hAnsi="Book Antiqua"/>
        </w:rPr>
      </w:pPr>
      <w:r w:rsidRPr="00DA5A6A">
        <w:rPr>
          <w:rFonts w:ascii="Book Antiqua" w:eastAsia="Book Antiqua" w:hAnsi="Book Antiqua" w:cs="Book Antiqua"/>
          <w:color w:val="000000"/>
        </w:rPr>
        <w:t>Kaufman</w:t>
      </w:r>
      <w:r w:rsidRPr="00DA5A6A">
        <w:rPr>
          <w:rFonts w:ascii="Book Antiqua" w:eastAsia="Book Antiqua" w:hAnsi="Book Antiqua" w:cs="Book Antiqua"/>
          <w:i/>
          <w:iCs/>
          <w:color w:val="000000"/>
        </w:rPr>
        <w:t xml:space="preserve"> et al</w:t>
      </w:r>
      <w:r w:rsidR="005B2670" w:rsidRPr="00DA5A6A">
        <w:rPr>
          <w:rFonts w:ascii="Book Antiqua" w:eastAsia="Book Antiqua" w:hAnsi="Book Antiqua" w:cs="Book Antiqua"/>
          <w:color w:val="000000"/>
          <w:vertAlign w:val="superscript"/>
        </w:rPr>
        <w:t>[64]</w:t>
      </w:r>
      <w:r w:rsidRPr="00DA5A6A">
        <w:rPr>
          <w:rFonts w:ascii="Book Antiqua" w:eastAsia="Book Antiqua" w:hAnsi="Book Antiqua" w:cs="Book Antiqua"/>
          <w:i/>
          <w:iCs/>
          <w:color w:val="000000"/>
        </w:rPr>
        <w:t xml:space="preserve"> </w:t>
      </w:r>
      <w:r w:rsidRPr="00DA5A6A">
        <w:rPr>
          <w:rFonts w:ascii="Book Antiqua" w:eastAsia="Book Antiqua" w:hAnsi="Book Antiqua" w:cs="Book Antiqua"/>
          <w:color w:val="000000"/>
        </w:rPr>
        <w:t>investigated olaparib further in a large phase 2 basket trial with 298 patients in a single-arm study</w:t>
      </w:r>
      <w:r w:rsidR="005B2670"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64</w:t>
      </w:r>
      <w:r w:rsidR="005B2670"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Patients with any advanced solid-organ malignancy were included if they harboured a gBRCA mutation. In the breast cohort, patients may have received multiple lines of treatment and there was no requirement for platinum sensitivity. Response rates were modest with only 8 of 62 (12.9%) patients responding in this unselected population.</w:t>
      </w:r>
    </w:p>
    <w:p w14:paraId="6BE2D132" w14:textId="3A7EF742" w:rsidR="00A77B3E" w:rsidRPr="00DA5A6A" w:rsidRDefault="00F74C48" w:rsidP="00DA5A6A">
      <w:pPr>
        <w:spacing w:line="360" w:lineRule="auto"/>
        <w:ind w:firstLineChars="200" w:firstLine="480"/>
        <w:jc w:val="both"/>
        <w:rPr>
          <w:rFonts w:ascii="Book Antiqua" w:hAnsi="Book Antiqua"/>
        </w:rPr>
      </w:pPr>
      <w:r w:rsidRPr="00DA5A6A">
        <w:rPr>
          <w:rFonts w:ascii="Book Antiqua" w:eastAsia="Book Antiqua" w:hAnsi="Book Antiqua" w:cs="Book Antiqua"/>
          <w:color w:val="000000"/>
        </w:rPr>
        <w:t>In the ABRAZO trial, investigators studied talazoparib in patients with MBC with g BRCA mutations in two cohorts (</w:t>
      </w:r>
      <w:r w:rsidRPr="00DA5A6A">
        <w:rPr>
          <w:rFonts w:ascii="Book Antiqua" w:eastAsia="Book Antiqua" w:hAnsi="Book Antiqua" w:cs="Book Antiqua"/>
          <w:i/>
          <w:iCs/>
          <w:color w:val="000000"/>
        </w:rPr>
        <w:t>n</w:t>
      </w:r>
      <w:r w:rsidRPr="00DA5A6A">
        <w:rPr>
          <w:rFonts w:ascii="Book Antiqua" w:eastAsia="Book Antiqua" w:hAnsi="Book Antiqua" w:cs="Book Antiqua"/>
          <w:color w:val="000000"/>
        </w:rPr>
        <w:t xml:space="preserve"> = 84). In cohort 1, patients had responded to platinum based chemotherapy. In cohort 2, they had progressed through multiple lines of non</w:t>
      </w:r>
      <w:r w:rsidR="00927219">
        <w:rPr>
          <w:rFonts w:ascii="Book Antiqua" w:eastAsia="Book Antiqua" w:hAnsi="Book Antiqua" w:cs="Book Antiqua"/>
          <w:color w:val="000000"/>
        </w:rPr>
        <w:t>-</w:t>
      </w:r>
      <w:r w:rsidRPr="00DA5A6A">
        <w:rPr>
          <w:rFonts w:ascii="Book Antiqua" w:eastAsia="Book Antiqua" w:hAnsi="Book Antiqua" w:cs="Book Antiqua"/>
          <w:color w:val="000000"/>
        </w:rPr>
        <w:t>platinum based regimens and had gBRCA mutations. In cohort 1, 60% of patients had TNBC. Response rates in TNBC were modest at 26% (including both cohorts). There was a subset of patients with durable responses with 11% having prolonged response at the time of data cutoff</w:t>
      </w:r>
      <w:r w:rsidR="005B2670"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65</w:t>
      </w:r>
      <w:r w:rsidR="005B2670"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w:t>
      </w:r>
    </w:p>
    <w:p w14:paraId="131438CD" w14:textId="4DB64043" w:rsidR="00A77B3E" w:rsidRPr="00DA5A6A" w:rsidRDefault="00F74C48" w:rsidP="00DA5A6A">
      <w:pPr>
        <w:spacing w:line="360" w:lineRule="auto"/>
        <w:ind w:firstLineChars="200" w:firstLine="480"/>
        <w:jc w:val="both"/>
        <w:rPr>
          <w:rFonts w:ascii="Book Antiqua" w:hAnsi="Book Antiqua"/>
        </w:rPr>
      </w:pPr>
      <w:r w:rsidRPr="00DA5A6A">
        <w:rPr>
          <w:rFonts w:ascii="Book Antiqua" w:eastAsia="Book Antiqua" w:hAnsi="Book Antiqua" w:cs="Book Antiqua"/>
          <w:color w:val="000000"/>
        </w:rPr>
        <w:lastRenderedPageBreak/>
        <w:t>In the phase II BROCADE trial, investigators studied the addition of veliparib in a randomised (1:1:1) trial with three arms with intermittent Veliparib/Carboplatin/Paclitaxel (VCP), Placebo/Carboplatin/Paclitaxel or Veliparib/Temozolomide</w:t>
      </w:r>
      <w:r w:rsidR="005B2670"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66</w:t>
      </w:r>
      <w:r w:rsidR="005B2670"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Investigators identified a non-significant PFS benefit of 1.8 mo with the addition of veliparib to carboplatin/paclitaxel (14.1 mo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12.3 mo, HR = 0.79, </w:t>
      </w:r>
      <w:r w:rsidRPr="00DA5A6A">
        <w:rPr>
          <w:rFonts w:ascii="Book Antiqua" w:eastAsia="Book Antiqua" w:hAnsi="Book Antiqua" w:cs="Book Antiqua"/>
          <w:i/>
          <w:iCs/>
          <w:color w:val="000000"/>
        </w:rPr>
        <w:t>P</w:t>
      </w:r>
      <w:r w:rsidRPr="00DA5A6A">
        <w:rPr>
          <w:rFonts w:ascii="Book Antiqua" w:eastAsia="Book Antiqua" w:hAnsi="Book Antiqua" w:cs="Book Antiqua"/>
          <w:color w:val="000000"/>
        </w:rPr>
        <w:t xml:space="preserve"> = 0.22) There was also no significant OS difference between these arms (28.3 </w:t>
      </w:r>
      <w:r w:rsidR="009267D3" w:rsidRPr="00DA5A6A">
        <w:rPr>
          <w:rFonts w:ascii="Book Antiqua" w:eastAsia="Book Antiqua" w:hAnsi="Book Antiqua" w:cs="Book Antiqua"/>
          <w:color w:val="000000"/>
        </w:rPr>
        <w:t>mo</w:t>
      </w:r>
      <w:r w:rsidR="009267D3" w:rsidRPr="00DA5A6A">
        <w:rPr>
          <w:rFonts w:ascii="Book Antiqua" w:eastAsia="Book Antiqua" w:hAnsi="Book Antiqua" w:cs="Book Antiqua"/>
          <w:i/>
          <w:iCs/>
          <w:color w:val="000000"/>
        </w:rPr>
        <w:t xml:space="preserve"> </w:t>
      </w:r>
      <w:r w:rsidRPr="00DA5A6A">
        <w:rPr>
          <w:rFonts w:ascii="Book Antiqua" w:eastAsia="Book Antiqua" w:hAnsi="Book Antiqua" w:cs="Book Antiqua"/>
          <w:i/>
          <w:iCs/>
          <w:color w:val="000000"/>
        </w:rPr>
        <w:t xml:space="preserve">vs </w:t>
      </w:r>
      <w:r w:rsidRPr="00DA5A6A">
        <w:rPr>
          <w:rFonts w:ascii="Book Antiqua" w:eastAsia="Book Antiqua" w:hAnsi="Book Antiqua" w:cs="Book Antiqua"/>
          <w:color w:val="000000"/>
        </w:rPr>
        <w:t>25.9 mo). The temozolomide/veliparib arm was significantly inferior with a median PFS of 7.4 mo and OS of 19.1 mo.</w:t>
      </w:r>
    </w:p>
    <w:p w14:paraId="09D3C0F4" w14:textId="77777777" w:rsidR="00A77B3E" w:rsidRPr="00DA5A6A" w:rsidRDefault="00A77B3E" w:rsidP="00DA5A6A">
      <w:pPr>
        <w:spacing w:line="360" w:lineRule="auto"/>
        <w:ind w:hanging="1"/>
        <w:jc w:val="both"/>
        <w:rPr>
          <w:rFonts w:ascii="Book Antiqua" w:hAnsi="Book Antiqua"/>
        </w:rPr>
      </w:pPr>
    </w:p>
    <w:p w14:paraId="1B9E1820" w14:textId="69485364" w:rsidR="00A77B3E" w:rsidRPr="00DA5A6A" w:rsidRDefault="00F74C48" w:rsidP="00DA5A6A">
      <w:pPr>
        <w:spacing w:line="360" w:lineRule="auto"/>
        <w:ind w:hanging="1"/>
        <w:jc w:val="both"/>
        <w:rPr>
          <w:rFonts w:ascii="Book Antiqua" w:hAnsi="Book Antiqua"/>
          <w:i/>
          <w:iCs/>
        </w:rPr>
      </w:pPr>
      <w:r w:rsidRPr="00DA5A6A">
        <w:rPr>
          <w:rFonts w:ascii="Book Antiqua" w:eastAsia="Book Antiqua" w:hAnsi="Book Antiqua" w:cs="Book Antiqua"/>
          <w:b/>
          <w:bCs/>
          <w:i/>
          <w:iCs/>
          <w:color w:val="000000"/>
        </w:rPr>
        <w:t xml:space="preserve">Phase III OLYMPIAD </w:t>
      </w:r>
      <w:r w:rsidR="003A2E2B" w:rsidRPr="00DA5A6A">
        <w:rPr>
          <w:rFonts w:ascii="Book Antiqua" w:eastAsia="Book Antiqua" w:hAnsi="Book Antiqua" w:cs="Book Antiqua"/>
          <w:b/>
          <w:bCs/>
          <w:i/>
          <w:iCs/>
          <w:color w:val="000000"/>
        </w:rPr>
        <w:t>t</w:t>
      </w:r>
      <w:r w:rsidRPr="00DA5A6A">
        <w:rPr>
          <w:rFonts w:ascii="Book Antiqua" w:eastAsia="Book Antiqua" w:hAnsi="Book Antiqua" w:cs="Book Antiqua"/>
          <w:b/>
          <w:bCs/>
          <w:i/>
          <w:iCs/>
          <w:color w:val="000000"/>
        </w:rPr>
        <w:t>rial</w:t>
      </w:r>
    </w:p>
    <w:p w14:paraId="1B10420B" w14:textId="5B7852CC" w:rsidR="00A77B3E" w:rsidRPr="00DA5A6A" w:rsidRDefault="00F74C48" w:rsidP="00DA5A6A">
      <w:pPr>
        <w:spacing w:line="360" w:lineRule="auto"/>
        <w:ind w:hanging="1"/>
        <w:jc w:val="both"/>
        <w:rPr>
          <w:rFonts w:ascii="Book Antiqua" w:eastAsia="Book Antiqua" w:hAnsi="Book Antiqua" w:cs="Book Antiqua"/>
          <w:color w:val="000000"/>
        </w:rPr>
      </w:pPr>
      <w:r w:rsidRPr="00DA5A6A">
        <w:rPr>
          <w:rFonts w:ascii="Book Antiqua" w:eastAsia="Book Antiqua" w:hAnsi="Book Antiqua" w:cs="Book Antiqua"/>
          <w:color w:val="000000"/>
        </w:rPr>
        <w:t>In the phase 3 study, OLYMPIAD investigators (Table 5) studied olaparib in patients with MBC and gBRCA</w:t>
      </w:r>
      <w:r w:rsidR="003A2E2B"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67</w:t>
      </w:r>
      <w:r w:rsidR="003A2E2B"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Half of patients had ER/PR-positive breast cancer with the remainder having TNBC. The cohort was heterogenous with 71.2% of patients having received any lines of treatments previously and 29.3% of patients having had prior exposure to platinum-based chemotherapy. Patients were randomised in a 2:1 manner (201:95) to receive olaparib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standard therapy (capecitabine/eribulin/vinorelbine). Median PFS was significantly longer in the olaparib group in contrast to the chemotherapy group (7 mo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4.2 mo). In a subgroup analysis, the HR of benefit was significantly elevated in the TNBC group (0.43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0.82 in the HR positive group). The response rate was 59.9% in the olaparib group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28.8% in the standard group. However, </w:t>
      </w:r>
      <w:r w:rsidR="00970DFA">
        <w:rPr>
          <w:rFonts w:ascii="Book Antiqua" w:eastAsia="Book Antiqua" w:hAnsi="Book Antiqua" w:cs="Book Antiqua"/>
          <w:color w:val="000000"/>
        </w:rPr>
        <w:t>OS</w:t>
      </w:r>
      <w:r w:rsidRPr="00DA5A6A">
        <w:rPr>
          <w:rFonts w:ascii="Book Antiqua" w:eastAsia="Book Antiqua" w:hAnsi="Book Antiqua" w:cs="Book Antiqua"/>
          <w:color w:val="000000"/>
        </w:rPr>
        <w:t xml:space="preserve"> did not significantly differ between groups-19.3 mo in the olaparib group and 17.1 mo in the control group.</w:t>
      </w:r>
    </w:p>
    <w:p w14:paraId="35EFD456" w14:textId="77777777" w:rsidR="00074196" w:rsidRPr="00DA5A6A" w:rsidRDefault="00074196" w:rsidP="00DA5A6A">
      <w:pPr>
        <w:spacing w:line="360" w:lineRule="auto"/>
        <w:ind w:hanging="1"/>
        <w:jc w:val="both"/>
        <w:rPr>
          <w:rFonts w:ascii="Book Antiqua" w:hAnsi="Book Antiqua"/>
        </w:rPr>
      </w:pPr>
    </w:p>
    <w:p w14:paraId="59C25F3C" w14:textId="35692820" w:rsidR="00A77B3E" w:rsidRPr="00DA5A6A" w:rsidRDefault="00F74C48" w:rsidP="00DA5A6A">
      <w:pPr>
        <w:spacing w:line="360" w:lineRule="auto"/>
        <w:ind w:hanging="1"/>
        <w:jc w:val="both"/>
        <w:rPr>
          <w:rFonts w:ascii="Book Antiqua" w:hAnsi="Book Antiqua"/>
          <w:i/>
          <w:iCs/>
        </w:rPr>
      </w:pPr>
      <w:r w:rsidRPr="00DA5A6A">
        <w:rPr>
          <w:rFonts w:ascii="Book Antiqua" w:eastAsia="Book Antiqua" w:hAnsi="Book Antiqua" w:cs="Book Antiqua"/>
          <w:b/>
          <w:bCs/>
          <w:i/>
          <w:iCs/>
          <w:color w:val="000000"/>
        </w:rPr>
        <w:t xml:space="preserve">Phase III EMBRCA </w:t>
      </w:r>
      <w:r w:rsidR="00074196" w:rsidRPr="00DA5A6A">
        <w:rPr>
          <w:rFonts w:ascii="Book Antiqua" w:eastAsia="Book Antiqua" w:hAnsi="Book Antiqua" w:cs="Book Antiqua"/>
          <w:b/>
          <w:bCs/>
          <w:i/>
          <w:iCs/>
          <w:color w:val="000000"/>
        </w:rPr>
        <w:t>t</w:t>
      </w:r>
      <w:r w:rsidRPr="00DA5A6A">
        <w:rPr>
          <w:rFonts w:ascii="Book Antiqua" w:eastAsia="Book Antiqua" w:hAnsi="Book Antiqua" w:cs="Book Antiqua"/>
          <w:b/>
          <w:bCs/>
          <w:i/>
          <w:iCs/>
          <w:color w:val="000000"/>
        </w:rPr>
        <w:t>rial</w:t>
      </w:r>
    </w:p>
    <w:p w14:paraId="10CC6654" w14:textId="3E876855" w:rsidR="00A77B3E" w:rsidRPr="00DA5A6A" w:rsidRDefault="00F74C48" w:rsidP="00DA5A6A">
      <w:pPr>
        <w:spacing w:line="360" w:lineRule="auto"/>
        <w:ind w:hanging="1"/>
        <w:jc w:val="both"/>
        <w:rPr>
          <w:rFonts w:ascii="Book Antiqua" w:eastAsia="Book Antiqua" w:hAnsi="Book Antiqua" w:cs="Book Antiqua"/>
          <w:color w:val="000000"/>
        </w:rPr>
      </w:pPr>
      <w:r w:rsidRPr="00DA5A6A">
        <w:rPr>
          <w:rFonts w:ascii="Book Antiqua" w:eastAsia="Book Antiqua" w:hAnsi="Book Antiqua" w:cs="Book Antiqua"/>
          <w:color w:val="000000"/>
        </w:rPr>
        <w:t>In the pivotal phase 3 study EMBRCA, author’s investigated talazoparib in 431 patients with gBRCA mutations and MBC</w:t>
      </w:r>
      <w:r w:rsidR="000E0F9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68</w:t>
      </w:r>
      <w:r w:rsidR="000E0F9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Approximately half of patients had TNBC with the remainder having ER/PR-positive breast cancer. Patients had a median of 2 prior lines of chemotherapy and were randomised in a 2:1 manner to receive talazoparib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physician’s choice (eribulin/capecitabine/gemcitabine/vinorelbine). Median PFS was greater in the talazoparib group compared to the control group-8.6 mo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5.6 mo with an objective </w:t>
      </w:r>
      <w:r w:rsidRPr="00DA5A6A">
        <w:rPr>
          <w:rFonts w:ascii="Book Antiqua" w:eastAsia="Book Antiqua" w:hAnsi="Book Antiqua" w:cs="Book Antiqua"/>
          <w:color w:val="000000"/>
        </w:rPr>
        <w:lastRenderedPageBreak/>
        <w:t xml:space="preserve">response rate of 62.6%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27.2%. Benefit within the TNBC and HR positive subgroups was equivalent. Crucially however, median OS was not significantly greater in the talazoparib group compared to the placebo group (19.3 mo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19.5 mo)</w:t>
      </w:r>
      <w:r w:rsidR="000E0F9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69</w:t>
      </w:r>
      <w:r w:rsidR="000E0F9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Patients in the talazoparib group did however have improved health related quality of life outcomes.</w:t>
      </w:r>
      <w:r w:rsidR="002D6101" w:rsidRPr="00DA5A6A">
        <w:rPr>
          <w:rFonts w:ascii="Book Antiqua" w:eastAsia="Book Antiqua" w:hAnsi="Book Antiqua" w:cs="Book Antiqua"/>
          <w:color w:val="000000"/>
        </w:rPr>
        <w:t xml:space="preserve"> More than a quarter (</w:t>
      </w:r>
      <w:r w:rsidRPr="00DA5A6A">
        <w:rPr>
          <w:rFonts w:ascii="Book Antiqua" w:eastAsia="Book Antiqua" w:hAnsi="Book Antiqua" w:cs="Book Antiqua"/>
          <w:color w:val="000000"/>
        </w:rPr>
        <w:t>25.5%</w:t>
      </w:r>
      <w:r w:rsidR="002D6101" w:rsidRPr="00DA5A6A">
        <w:rPr>
          <w:rFonts w:ascii="Book Antiqua" w:eastAsia="Book Antiqua" w:hAnsi="Book Antiqua" w:cs="Book Antiqua"/>
          <w:color w:val="000000"/>
        </w:rPr>
        <w:t>)</w:t>
      </w:r>
      <w:r w:rsidRPr="00DA5A6A">
        <w:rPr>
          <w:rFonts w:ascii="Book Antiqua" w:eastAsia="Book Antiqua" w:hAnsi="Book Antiqua" w:cs="Book Antiqua"/>
          <w:color w:val="000000"/>
        </w:rPr>
        <w:t xml:space="preserve"> of patients suffered from a grade 3 or grade 4 adverse</w:t>
      </w:r>
      <w:r w:rsidR="002D6101" w:rsidRPr="00DA5A6A">
        <w:rPr>
          <w:rFonts w:ascii="Book Antiqua" w:eastAsia="Book Antiqua" w:hAnsi="Book Antiqua" w:cs="Book Antiqua"/>
          <w:color w:val="000000"/>
        </w:rPr>
        <w:t xml:space="preserve"> event in the talazoparib group which was </w:t>
      </w:r>
      <w:r w:rsidRPr="00DA5A6A">
        <w:rPr>
          <w:rFonts w:ascii="Book Antiqua" w:eastAsia="Book Antiqua" w:hAnsi="Book Antiqua" w:cs="Book Antiqua"/>
          <w:color w:val="000000"/>
        </w:rPr>
        <w:t>similar to the control group (25.4%). Notably, one patient suffered from the rare but well described PARPi toxicity of acute myeloid leukaemia.</w:t>
      </w:r>
    </w:p>
    <w:p w14:paraId="7807DA19" w14:textId="77777777" w:rsidR="000E0F92" w:rsidRPr="00DA5A6A" w:rsidRDefault="000E0F92" w:rsidP="00DA5A6A">
      <w:pPr>
        <w:spacing w:line="360" w:lineRule="auto"/>
        <w:ind w:hanging="1"/>
        <w:jc w:val="both"/>
        <w:rPr>
          <w:rFonts w:ascii="Book Antiqua" w:hAnsi="Book Antiqua"/>
        </w:rPr>
      </w:pPr>
    </w:p>
    <w:p w14:paraId="0C7E5CB7" w14:textId="1B785CB8" w:rsidR="00A77B3E" w:rsidRPr="00DA5A6A" w:rsidRDefault="00F74C48" w:rsidP="00DA5A6A">
      <w:pPr>
        <w:spacing w:line="360" w:lineRule="auto"/>
        <w:ind w:hanging="1"/>
        <w:jc w:val="both"/>
        <w:rPr>
          <w:rFonts w:ascii="Book Antiqua" w:hAnsi="Book Antiqua"/>
          <w:i/>
          <w:iCs/>
        </w:rPr>
      </w:pPr>
      <w:r w:rsidRPr="00DA5A6A">
        <w:rPr>
          <w:rFonts w:ascii="Book Antiqua" w:eastAsia="Book Antiqua" w:hAnsi="Book Antiqua" w:cs="Book Antiqua"/>
          <w:b/>
          <w:bCs/>
          <w:i/>
          <w:iCs/>
          <w:color w:val="000000"/>
        </w:rPr>
        <w:t xml:space="preserve">Phase III BROCADE3 </w:t>
      </w:r>
      <w:r w:rsidR="000E0F92" w:rsidRPr="00DA5A6A">
        <w:rPr>
          <w:rFonts w:ascii="Book Antiqua" w:eastAsia="Book Antiqua" w:hAnsi="Book Antiqua" w:cs="Book Antiqua"/>
          <w:b/>
          <w:bCs/>
          <w:i/>
          <w:iCs/>
          <w:color w:val="000000"/>
        </w:rPr>
        <w:t>t</w:t>
      </w:r>
      <w:r w:rsidRPr="00DA5A6A">
        <w:rPr>
          <w:rFonts w:ascii="Book Antiqua" w:eastAsia="Book Antiqua" w:hAnsi="Book Antiqua" w:cs="Book Antiqua"/>
          <w:b/>
          <w:bCs/>
          <w:i/>
          <w:iCs/>
          <w:color w:val="000000"/>
        </w:rPr>
        <w:t>rial</w:t>
      </w:r>
    </w:p>
    <w:p w14:paraId="66B794CC" w14:textId="7B9244CD" w:rsidR="00A77B3E" w:rsidRPr="00DA5A6A" w:rsidRDefault="00F74C48" w:rsidP="00DA5A6A">
      <w:pPr>
        <w:spacing w:line="360" w:lineRule="auto"/>
        <w:ind w:hanging="1"/>
        <w:jc w:val="both"/>
        <w:rPr>
          <w:rFonts w:ascii="Book Antiqua" w:hAnsi="Book Antiqua"/>
        </w:rPr>
      </w:pPr>
      <w:r w:rsidRPr="00DA5A6A">
        <w:rPr>
          <w:rFonts w:ascii="Book Antiqua" w:eastAsia="Book Antiqua" w:hAnsi="Book Antiqua" w:cs="Book Antiqua"/>
          <w:color w:val="000000"/>
        </w:rPr>
        <w:t xml:space="preserve">In the phase III study presented at ESMO in 2019, the BROCADE3 investigators compared </w:t>
      </w:r>
      <w:r w:rsidR="005B2670" w:rsidRPr="00DA5A6A">
        <w:rPr>
          <w:rFonts w:ascii="Book Antiqua" w:eastAsia="Book Antiqua" w:hAnsi="Book Antiqua" w:cs="Book Antiqua"/>
          <w:color w:val="000000"/>
        </w:rPr>
        <w:t>VCP</w:t>
      </w:r>
      <w:r w:rsidRPr="00DA5A6A">
        <w:rPr>
          <w:rFonts w:ascii="Book Antiqua" w:eastAsia="Book Antiqua" w:hAnsi="Book Antiqua" w:cs="Book Antiqua"/>
          <w:color w:val="000000"/>
        </w:rPr>
        <w:t xml:space="preserve"> compared to carboplatin/paclitaxel in patients with MBC and a gBRCA mutation</w:t>
      </w:r>
      <w:r w:rsidR="000E0F9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70</w:t>
      </w:r>
      <w:r w:rsidR="000E0F9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Patients were randomised in a 2:1 manner, with 337 patients in the veliparib group and 172 patients in the control group. Once again, half of patients had TNBC (52%). Only 19% of patients had previously received any line of treatment for MBC. Patients had an improved PFS with veliparib compared to placebo (14.5 mo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12.6 mo, HR = 0.70). PFS in the ER/PR-positive group and TNBC groups were equivalent. However, OS was not significantly different between groups at an interim analysis (33.5 mo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28.2 mo, HR 0.95). The addition of veliparib did cause increased toxicities including any adverse event leading to discontinuation (15.6%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10.8%), anaemia (81.1%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69.1%), thrombocytopenia (79.6%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70.5%) and diarrhoea (48%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38.1%). At ASCO 2020, further analysis was presented which investigated patients who transitioned to monotherapy prior to progression in patients in either arm of the study</w:t>
      </w:r>
      <w:r w:rsidR="000E0F9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71</w:t>
      </w:r>
      <w:r w:rsidR="000E0F9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In the </w:t>
      </w:r>
      <w:r w:rsidR="005B2670" w:rsidRPr="00DA5A6A">
        <w:rPr>
          <w:rFonts w:ascii="Book Antiqua" w:eastAsia="Book Antiqua" w:hAnsi="Book Antiqua" w:cs="Book Antiqua"/>
          <w:color w:val="000000"/>
        </w:rPr>
        <w:t>VCP</w:t>
      </w:r>
      <w:r w:rsidRPr="00DA5A6A">
        <w:rPr>
          <w:rFonts w:ascii="Book Antiqua" w:eastAsia="Book Antiqua" w:hAnsi="Book Antiqua" w:cs="Book Antiqua"/>
          <w:color w:val="000000"/>
        </w:rPr>
        <w:t xml:space="preserve"> arm, 136 patients crossed over to veliparib monotherapy and 58 patients in the carboplatin/paclitaxel crossed over to monotherapy. The analysis suggests that the PFS benefit seen in the overall population is at least partially contributed to by those patients receiving veliparib monotherapy and the trial suggests significant antitumour activity with veliparib monotherapy. It remains unclear if a carboplatin induction regimen with PARPi maintenance may result in similar efficacy outcomes while sparing patients of some of the toxicity of combination approaches.</w:t>
      </w:r>
    </w:p>
    <w:p w14:paraId="19365750" w14:textId="77777777" w:rsidR="00A77B3E" w:rsidRPr="00DA5A6A" w:rsidRDefault="00A77B3E" w:rsidP="00DA5A6A">
      <w:pPr>
        <w:spacing w:line="360" w:lineRule="auto"/>
        <w:jc w:val="both"/>
        <w:rPr>
          <w:rFonts w:ascii="Book Antiqua" w:hAnsi="Book Antiqua"/>
        </w:rPr>
      </w:pPr>
    </w:p>
    <w:p w14:paraId="54C06A42" w14:textId="77777777" w:rsidR="00A77B3E" w:rsidRPr="00DA5A6A" w:rsidRDefault="00F74C48" w:rsidP="00DA5A6A">
      <w:pPr>
        <w:spacing w:line="360" w:lineRule="auto"/>
        <w:ind w:hanging="1"/>
        <w:jc w:val="both"/>
        <w:rPr>
          <w:rFonts w:ascii="Book Antiqua" w:hAnsi="Book Antiqua"/>
          <w:i/>
          <w:iCs/>
        </w:rPr>
      </w:pPr>
      <w:r w:rsidRPr="00DA5A6A">
        <w:rPr>
          <w:rFonts w:ascii="Book Antiqua" w:eastAsia="Book Antiqua" w:hAnsi="Book Antiqua" w:cs="Book Antiqua"/>
          <w:b/>
          <w:bCs/>
          <w:i/>
          <w:iCs/>
          <w:color w:val="000000"/>
        </w:rPr>
        <w:lastRenderedPageBreak/>
        <w:t>Beyond BRCA</w:t>
      </w:r>
    </w:p>
    <w:p w14:paraId="03505567" w14:textId="06B7F069"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color w:val="000000"/>
        </w:rPr>
        <w:t xml:space="preserve">The antitumor activity of PARP inhibitors has been established in </w:t>
      </w:r>
      <w:r w:rsidRPr="00DA5A6A">
        <w:rPr>
          <w:rFonts w:ascii="Book Antiqua" w:eastAsia="Book Antiqua" w:hAnsi="Book Antiqua" w:cs="Book Antiqua"/>
          <w:i/>
          <w:iCs/>
          <w:color w:val="000000"/>
        </w:rPr>
        <w:t>BRCA1/BRCA2</w:t>
      </w:r>
      <w:r w:rsidRPr="00DA5A6A">
        <w:rPr>
          <w:rFonts w:ascii="Book Antiqua" w:eastAsia="Book Antiqua" w:hAnsi="Book Antiqua" w:cs="Book Antiqua"/>
          <w:color w:val="000000"/>
        </w:rPr>
        <w:t xml:space="preserve"> germline mutation carriers however whether they have a role in patients with somatic mutations in </w:t>
      </w:r>
      <w:r w:rsidRPr="00DA5A6A">
        <w:rPr>
          <w:rFonts w:ascii="Book Antiqua" w:eastAsia="Book Antiqua" w:hAnsi="Book Antiqua" w:cs="Book Antiqua"/>
          <w:i/>
          <w:iCs/>
          <w:color w:val="000000"/>
        </w:rPr>
        <w:t>BRCA1/BRCA2</w:t>
      </w:r>
      <w:r w:rsidRPr="00DA5A6A">
        <w:rPr>
          <w:rFonts w:ascii="Book Antiqua" w:eastAsia="Book Antiqua" w:hAnsi="Book Antiqua" w:cs="Book Antiqua"/>
          <w:color w:val="000000"/>
        </w:rPr>
        <w:t xml:space="preserve"> or in germline mutations in DNA damage response genes other that </w:t>
      </w:r>
      <w:r w:rsidRPr="00DA5A6A">
        <w:rPr>
          <w:rFonts w:ascii="Book Antiqua" w:eastAsia="Book Antiqua" w:hAnsi="Book Antiqua" w:cs="Book Antiqua"/>
          <w:i/>
          <w:iCs/>
          <w:color w:val="000000"/>
        </w:rPr>
        <w:t>BRCA1/BRCA2</w:t>
      </w:r>
      <w:r w:rsidRPr="00DA5A6A">
        <w:rPr>
          <w:rFonts w:ascii="Book Antiqua" w:eastAsia="Book Antiqua" w:hAnsi="Book Antiqua" w:cs="Book Antiqua"/>
          <w:color w:val="000000"/>
        </w:rPr>
        <w:t xml:space="preserve"> remains unclear. Recent studies have tried to provide data to answer the question.</w:t>
      </w:r>
    </w:p>
    <w:p w14:paraId="73924D85" w14:textId="3CE51370" w:rsidR="00A77B3E" w:rsidRPr="00DA5A6A" w:rsidRDefault="00F74C48" w:rsidP="00DA5A6A">
      <w:pPr>
        <w:spacing w:line="360" w:lineRule="auto"/>
        <w:ind w:firstLineChars="200" w:firstLine="480"/>
        <w:jc w:val="both"/>
        <w:rPr>
          <w:rFonts w:ascii="Book Antiqua" w:hAnsi="Book Antiqua"/>
        </w:rPr>
      </w:pPr>
      <w:r w:rsidRPr="00DA5A6A">
        <w:rPr>
          <w:rFonts w:ascii="Book Antiqua" w:eastAsia="Book Antiqua" w:hAnsi="Book Antiqua" w:cs="Book Antiqua"/>
          <w:color w:val="000000"/>
        </w:rPr>
        <w:t xml:space="preserve">In the TBCRC 048 study presented at ASCO in 2020, investigators studied the antitumour activity of olaparib in a basket study. Cohort 1 included patients with germline mutations in HRD excluding </w:t>
      </w:r>
      <w:r w:rsidRPr="00DA5A6A">
        <w:rPr>
          <w:rFonts w:ascii="Book Antiqua" w:eastAsia="Book Antiqua" w:hAnsi="Book Antiqua" w:cs="Book Antiqua"/>
          <w:i/>
          <w:iCs/>
          <w:color w:val="000000"/>
        </w:rPr>
        <w:t>BRCA1/BRCA2</w:t>
      </w:r>
      <w:r w:rsidRPr="00DA5A6A">
        <w:rPr>
          <w:rFonts w:ascii="Book Antiqua" w:eastAsia="Book Antiqua" w:hAnsi="Book Antiqua" w:cs="Book Antiqua"/>
          <w:color w:val="000000"/>
        </w:rPr>
        <w:t xml:space="preserve"> and Cohort 2 included somatic mutations in these genes or </w:t>
      </w:r>
      <w:r w:rsidRPr="00DA5A6A">
        <w:rPr>
          <w:rFonts w:ascii="Book Antiqua" w:eastAsia="Book Antiqua" w:hAnsi="Book Antiqua" w:cs="Book Antiqua"/>
          <w:i/>
          <w:iCs/>
          <w:color w:val="000000"/>
        </w:rPr>
        <w:t>BRCA1/BRCA2</w:t>
      </w:r>
      <w:r w:rsidR="000E0F9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72</w:t>
      </w:r>
      <w:r w:rsidR="000E0F9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27 patients were enrolled in cohort 1 and 26 patients in cohort 2. Most notably, only 19% of patients had TNBC with the majority of the remainder diagnosed with ER/PR-positive tumours. The most common mutations included </w:t>
      </w:r>
      <w:r w:rsidRPr="00DA5A6A">
        <w:rPr>
          <w:rFonts w:ascii="Book Antiqua" w:eastAsia="Book Antiqua" w:hAnsi="Book Antiqua" w:cs="Book Antiqua"/>
          <w:i/>
          <w:iCs/>
          <w:color w:val="000000"/>
        </w:rPr>
        <w:t>BRCA1</w:t>
      </w:r>
      <w:r w:rsidRPr="00AA0234">
        <w:rPr>
          <w:rFonts w:ascii="Book Antiqua" w:eastAsia="Book Antiqua" w:hAnsi="Book Antiqua" w:cs="Book Antiqua"/>
          <w:color w:val="000000"/>
        </w:rPr>
        <w:t xml:space="preserve"> (6)</w:t>
      </w:r>
      <w:r w:rsidRPr="00DA5A6A">
        <w:rPr>
          <w:rFonts w:ascii="Book Antiqua" w:eastAsia="Book Antiqua" w:hAnsi="Book Antiqua" w:cs="Book Antiqua"/>
          <w:i/>
          <w:iCs/>
          <w:color w:val="000000"/>
        </w:rPr>
        <w:t>, BRCA2</w:t>
      </w:r>
      <w:r w:rsidRPr="00AA0234">
        <w:rPr>
          <w:rFonts w:ascii="Book Antiqua" w:eastAsia="Book Antiqua" w:hAnsi="Book Antiqua" w:cs="Book Antiqua"/>
          <w:color w:val="000000"/>
        </w:rPr>
        <w:t xml:space="preserve"> (9)</w:t>
      </w:r>
      <w:r w:rsidRPr="00DA5A6A">
        <w:rPr>
          <w:rFonts w:ascii="Book Antiqua" w:eastAsia="Book Antiqua" w:hAnsi="Book Antiqua" w:cs="Book Antiqua"/>
          <w:i/>
          <w:iCs/>
          <w:color w:val="000000"/>
        </w:rPr>
        <w:t xml:space="preserve">, ATM </w:t>
      </w:r>
      <w:r w:rsidRPr="00AA0234">
        <w:rPr>
          <w:rFonts w:ascii="Book Antiqua" w:eastAsia="Book Antiqua" w:hAnsi="Book Antiqua" w:cs="Book Antiqua"/>
          <w:color w:val="000000"/>
        </w:rPr>
        <w:t>(10)</w:t>
      </w:r>
      <w:r w:rsidRPr="00DA5A6A">
        <w:rPr>
          <w:rFonts w:ascii="Book Antiqua" w:eastAsia="Book Antiqua" w:hAnsi="Book Antiqua" w:cs="Book Antiqua"/>
          <w:i/>
          <w:iCs/>
          <w:color w:val="000000"/>
        </w:rPr>
        <w:t>, CHEK2</w:t>
      </w:r>
      <w:r w:rsidRPr="00AA0234">
        <w:rPr>
          <w:rFonts w:ascii="Book Antiqua" w:eastAsia="Book Antiqua" w:hAnsi="Book Antiqua" w:cs="Book Antiqua"/>
          <w:color w:val="000000"/>
        </w:rPr>
        <w:t xml:space="preserve"> (8)</w:t>
      </w:r>
      <w:r w:rsidRPr="00DA5A6A">
        <w:rPr>
          <w:rFonts w:ascii="Book Antiqua" w:eastAsia="Book Antiqua" w:hAnsi="Book Antiqua" w:cs="Book Antiqua"/>
          <w:i/>
          <w:iCs/>
          <w:color w:val="000000"/>
        </w:rPr>
        <w:t xml:space="preserve">, PALB2 </w:t>
      </w:r>
      <w:r w:rsidRPr="00AA0234">
        <w:rPr>
          <w:rFonts w:ascii="Book Antiqua" w:eastAsia="Book Antiqua" w:hAnsi="Book Antiqua" w:cs="Book Antiqua"/>
          <w:color w:val="000000"/>
        </w:rPr>
        <w:t>(13)</w:t>
      </w:r>
      <w:r w:rsidRPr="00DA5A6A">
        <w:rPr>
          <w:rFonts w:ascii="Book Antiqua" w:eastAsia="Book Antiqua" w:hAnsi="Book Antiqua" w:cs="Book Antiqua"/>
          <w:color w:val="000000"/>
        </w:rPr>
        <w:t xml:space="preserve">. In the germline cohort, the overall response rate was 33% however all responses were in the </w:t>
      </w:r>
      <w:r w:rsidRPr="00DA5A6A">
        <w:rPr>
          <w:rFonts w:ascii="Book Antiqua" w:eastAsia="Book Antiqua" w:hAnsi="Book Antiqua" w:cs="Book Antiqua"/>
          <w:i/>
          <w:iCs/>
          <w:color w:val="000000"/>
        </w:rPr>
        <w:t>PALB2</w:t>
      </w:r>
      <w:r w:rsidRPr="00DA5A6A">
        <w:rPr>
          <w:rFonts w:ascii="Book Antiqua" w:eastAsia="Book Antiqua" w:hAnsi="Book Antiqua" w:cs="Book Antiqua"/>
          <w:color w:val="000000"/>
        </w:rPr>
        <w:t xml:space="preserve"> cohort with an 82% response within that group. The median duration of response was 9 mo. For the somatic cohort, the overall response rate was 31% however all responses were in the </w:t>
      </w:r>
      <w:r w:rsidRPr="00DA5A6A">
        <w:rPr>
          <w:rFonts w:ascii="Book Antiqua" w:eastAsia="Book Antiqua" w:hAnsi="Book Antiqua" w:cs="Book Antiqua"/>
          <w:i/>
          <w:iCs/>
          <w:color w:val="000000"/>
        </w:rPr>
        <w:t>BRCA1/BRCA2</w:t>
      </w:r>
      <w:r w:rsidRPr="00DA5A6A">
        <w:rPr>
          <w:rFonts w:ascii="Book Antiqua" w:eastAsia="Book Antiqua" w:hAnsi="Book Antiqua" w:cs="Book Antiqua"/>
          <w:color w:val="000000"/>
        </w:rPr>
        <w:t xml:space="preserve"> cohort with a 50% response within that group. The study met its primary endpoint of greater than 20% overall response rate in the cohort.</w:t>
      </w:r>
    </w:p>
    <w:p w14:paraId="0CA7108D" w14:textId="6280BC52" w:rsidR="00A77B3E" w:rsidRPr="00DA5A6A" w:rsidRDefault="00F74C48" w:rsidP="00DA5A6A">
      <w:pPr>
        <w:spacing w:line="360" w:lineRule="auto"/>
        <w:ind w:firstLineChars="200" w:firstLine="480"/>
        <w:jc w:val="both"/>
        <w:rPr>
          <w:rFonts w:ascii="Book Antiqua" w:hAnsi="Book Antiqua"/>
        </w:rPr>
      </w:pPr>
      <w:r w:rsidRPr="00DA5A6A">
        <w:rPr>
          <w:rFonts w:ascii="Book Antiqua" w:eastAsia="Book Antiqua" w:hAnsi="Book Antiqua" w:cs="Book Antiqua"/>
          <w:color w:val="000000"/>
          <w:shd w:val="clear" w:color="auto" w:fill="FFFFFF"/>
        </w:rPr>
        <w:t>The SWOG S1416 study, presented at ASCO in 2020, investigated the combination veliparib and cisplatin in patients with metastatic TNBC whom were mostly (70%) chemotherapy naïve</w:t>
      </w:r>
      <w:r w:rsidR="000E0F92"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vertAlign w:val="superscript"/>
        </w:rPr>
        <w:t>73</w:t>
      </w:r>
      <w:r w:rsidR="000E0F92"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rPr>
        <w:t>. Patients were enrolled and treated up-front with the combination approach. During their treatment, blood and tissue samples were analysed for g BRCA mutations, HRD score, germline non</w:t>
      </w:r>
      <w:r w:rsidR="00927219">
        <w:rPr>
          <w:rFonts w:ascii="Book Antiqua" w:eastAsia="Book Antiqua" w:hAnsi="Book Antiqua" w:cs="Book Antiqua"/>
          <w:color w:val="000000"/>
          <w:shd w:val="clear" w:color="auto" w:fill="FFFFFF"/>
        </w:rPr>
        <w:t>-</w:t>
      </w:r>
      <w:r w:rsidRPr="00DA5A6A">
        <w:rPr>
          <w:rFonts w:ascii="Book Antiqua" w:eastAsia="Book Antiqua" w:hAnsi="Book Antiqua" w:cs="Book Antiqua"/>
          <w:i/>
          <w:iCs/>
          <w:color w:val="000000"/>
          <w:shd w:val="clear" w:color="auto" w:fill="FFFFFF"/>
        </w:rPr>
        <w:t>BRCA1/BRCA2</w:t>
      </w:r>
      <w:r w:rsidRPr="00DA5A6A">
        <w:rPr>
          <w:rFonts w:ascii="Book Antiqua" w:eastAsia="Book Antiqua" w:hAnsi="Book Antiqua" w:cs="Book Antiqua"/>
          <w:color w:val="000000"/>
          <w:shd w:val="clear" w:color="auto" w:fill="FFFFFF"/>
        </w:rPr>
        <w:t xml:space="preserve"> HRD associated mutations and </w:t>
      </w:r>
      <w:r w:rsidRPr="00DA5A6A">
        <w:rPr>
          <w:rFonts w:ascii="Book Antiqua" w:eastAsia="Book Antiqua" w:hAnsi="Book Antiqua" w:cs="Book Antiqua"/>
          <w:i/>
          <w:iCs/>
          <w:color w:val="000000"/>
          <w:shd w:val="clear" w:color="auto" w:fill="FFFFFF"/>
        </w:rPr>
        <w:t>BRCA1</w:t>
      </w:r>
      <w:r w:rsidRPr="00DA5A6A">
        <w:rPr>
          <w:rFonts w:ascii="Book Antiqua" w:eastAsia="Book Antiqua" w:hAnsi="Book Antiqua" w:cs="Book Antiqua"/>
          <w:color w:val="000000"/>
          <w:shd w:val="clear" w:color="auto" w:fill="FFFFFF"/>
        </w:rPr>
        <w:t xml:space="preserve"> associated methylation mutations. </w:t>
      </w:r>
      <w:r w:rsidRPr="00DA5A6A">
        <w:rPr>
          <w:rFonts w:ascii="Book Antiqua" w:eastAsia="Book Antiqua" w:hAnsi="Book Antiqua" w:cs="Book Antiqua"/>
          <w:color w:val="000000"/>
        </w:rPr>
        <w:t xml:space="preserve">The HRD score utilises </w:t>
      </w:r>
      <w:r w:rsidRPr="00DA5A6A">
        <w:rPr>
          <w:rFonts w:ascii="Book Antiqua" w:eastAsia="Book Antiqua" w:hAnsi="Book Antiqua" w:cs="Book Antiqua"/>
          <w:color w:val="000000"/>
          <w:shd w:val="clear" w:color="auto" w:fill="FFFFFF"/>
        </w:rPr>
        <w:t xml:space="preserve">loss of heterozygosity, telomeric allelic imbalance, and large-scale state transitions to develop a score which identifies tumours with a </w:t>
      </w:r>
      <w:r w:rsidRPr="00DA5A6A">
        <w:rPr>
          <w:rFonts w:ascii="Book Antiqua" w:eastAsia="Book Antiqua" w:hAnsi="Book Antiqua" w:cs="Book Antiqua"/>
          <w:i/>
          <w:iCs/>
          <w:color w:val="000000"/>
          <w:shd w:val="clear" w:color="auto" w:fill="FFFFFF"/>
        </w:rPr>
        <w:t>BRCA-like</w:t>
      </w:r>
      <w:r w:rsidRPr="00DA5A6A">
        <w:rPr>
          <w:rFonts w:ascii="Book Antiqua" w:eastAsia="Book Antiqua" w:hAnsi="Book Antiqua" w:cs="Book Antiqua"/>
          <w:color w:val="000000"/>
          <w:shd w:val="clear" w:color="auto" w:fill="FFFFFF"/>
        </w:rPr>
        <w:t xml:space="preserve"> phenotype</w:t>
      </w:r>
      <w:r w:rsidR="000E0F92"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vertAlign w:val="superscript"/>
        </w:rPr>
        <w:t>74</w:t>
      </w:r>
      <w:r w:rsidR="000E0F92"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rPr>
        <w:t xml:space="preserve">. 37 patients with gBRCA mutations were identified, 101 patients with </w:t>
      </w:r>
      <w:r w:rsidRPr="00DA5A6A">
        <w:rPr>
          <w:rFonts w:ascii="Book Antiqua" w:eastAsia="Book Antiqua" w:hAnsi="Book Antiqua" w:cs="Book Antiqua"/>
          <w:i/>
          <w:iCs/>
          <w:color w:val="000000"/>
          <w:shd w:val="clear" w:color="auto" w:fill="FFFFFF"/>
        </w:rPr>
        <w:t>BRCA1/BRCA2</w:t>
      </w:r>
      <w:r w:rsidR="00927219">
        <w:rPr>
          <w:rFonts w:ascii="Book Antiqua" w:eastAsia="Book Antiqua" w:hAnsi="Book Antiqua" w:cs="Book Antiqua"/>
          <w:color w:val="000000"/>
          <w:shd w:val="clear" w:color="auto" w:fill="FFFFFF"/>
        </w:rPr>
        <w:t>-</w:t>
      </w:r>
      <w:r w:rsidRPr="00DA5A6A">
        <w:rPr>
          <w:rFonts w:ascii="Book Antiqua" w:eastAsia="Book Antiqua" w:hAnsi="Book Antiqua" w:cs="Book Antiqua"/>
          <w:color w:val="000000"/>
          <w:shd w:val="clear" w:color="auto" w:fill="FFFFFF"/>
        </w:rPr>
        <w:t xml:space="preserve">like phenotype (most identified </w:t>
      </w:r>
      <w:r w:rsidRPr="00DA5A6A">
        <w:rPr>
          <w:rFonts w:ascii="Book Antiqua" w:eastAsia="Book Antiqua" w:hAnsi="Book Antiqua" w:cs="Book Antiqua"/>
          <w:i/>
          <w:iCs/>
          <w:color w:val="000000"/>
          <w:shd w:val="clear" w:color="auto" w:fill="FFFFFF"/>
        </w:rPr>
        <w:t>via</w:t>
      </w:r>
      <w:r w:rsidRPr="00DA5A6A">
        <w:rPr>
          <w:rFonts w:ascii="Book Antiqua" w:eastAsia="Book Antiqua" w:hAnsi="Book Antiqua" w:cs="Book Antiqua"/>
          <w:color w:val="000000"/>
          <w:shd w:val="clear" w:color="auto" w:fill="FFFFFF"/>
        </w:rPr>
        <w:t xml:space="preserve"> HRD score) and 110 non</w:t>
      </w:r>
      <w:r w:rsidR="00927219">
        <w:rPr>
          <w:rFonts w:ascii="Book Antiqua" w:eastAsia="Book Antiqua" w:hAnsi="Book Antiqua" w:cs="Book Antiqua"/>
          <w:color w:val="000000"/>
          <w:shd w:val="clear" w:color="auto" w:fill="FFFFFF"/>
        </w:rPr>
        <w:t>-</w:t>
      </w:r>
      <w:r w:rsidRPr="00DA5A6A">
        <w:rPr>
          <w:rFonts w:ascii="Book Antiqua" w:eastAsia="Book Antiqua" w:hAnsi="Book Antiqua" w:cs="Book Antiqua"/>
          <w:i/>
          <w:iCs/>
          <w:color w:val="000000"/>
          <w:shd w:val="clear" w:color="auto" w:fill="FFFFFF"/>
        </w:rPr>
        <w:t>BRCA1/BRCA2</w:t>
      </w:r>
      <w:r w:rsidRPr="00DA5A6A">
        <w:rPr>
          <w:rFonts w:ascii="Book Antiqua" w:eastAsia="Book Antiqua" w:hAnsi="Book Antiqua" w:cs="Book Antiqua"/>
          <w:color w:val="000000"/>
          <w:shd w:val="clear" w:color="auto" w:fill="FFFFFF"/>
        </w:rPr>
        <w:t xml:space="preserve"> like patients. The gBRCA group was underpowered. Within the </w:t>
      </w:r>
      <w:r w:rsidRPr="00DA5A6A">
        <w:rPr>
          <w:rFonts w:ascii="Book Antiqua" w:eastAsia="Book Antiqua" w:hAnsi="Book Antiqua" w:cs="Book Antiqua"/>
          <w:i/>
          <w:iCs/>
          <w:color w:val="000000"/>
          <w:shd w:val="clear" w:color="auto" w:fill="FFFFFF"/>
        </w:rPr>
        <w:t>BRCA1/BRCA2</w:t>
      </w:r>
      <w:r w:rsidR="00927219">
        <w:rPr>
          <w:rFonts w:ascii="Book Antiqua" w:eastAsia="Book Antiqua" w:hAnsi="Book Antiqua" w:cs="Book Antiqua"/>
          <w:color w:val="000000"/>
          <w:shd w:val="clear" w:color="auto" w:fill="FFFFFF"/>
        </w:rPr>
        <w:t>-</w:t>
      </w:r>
      <w:r w:rsidRPr="00DA5A6A">
        <w:rPr>
          <w:rFonts w:ascii="Book Antiqua" w:eastAsia="Book Antiqua" w:hAnsi="Book Antiqua" w:cs="Book Antiqua"/>
          <w:color w:val="000000"/>
          <w:shd w:val="clear" w:color="auto" w:fill="FFFFFF"/>
        </w:rPr>
        <w:t xml:space="preserve">like group, PFS was significantly greater within the veliparib group in contrast to the placebo arm (5.7 mo </w:t>
      </w:r>
      <w:r w:rsidRPr="00DA5A6A">
        <w:rPr>
          <w:rFonts w:ascii="Book Antiqua" w:eastAsia="Book Antiqua" w:hAnsi="Book Antiqua" w:cs="Book Antiqua"/>
          <w:i/>
          <w:iCs/>
          <w:color w:val="000000"/>
          <w:shd w:val="clear" w:color="auto" w:fill="FFFFFF"/>
        </w:rPr>
        <w:t>vs</w:t>
      </w:r>
      <w:r w:rsidRPr="00DA5A6A">
        <w:rPr>
          <w:rFonts w:ascii="Book Antiqua" w:eastAsia="Book Antiqua" w:hAnsi="Book Antiqua" w:cs="Book Antiqua"/>
          <w:color w:val="000000"/>
          <w:shd w:val="clear" w:color="auto" w:fill="FFFFFF"/>
        </w:rPr>
        <w:t xml:space="preserve"> 4.3 mo, </w:t>
      </w:r>
      <w:r w:rsidRPr="00DA5A6A">
        <w:rPr>
          <w:rFonts w:ascii="Book Antiqua" w:eastAsia="Book Antiqua" w:hAnsi="Book Antiqua" w:cs="Book Antiqua"/>
          <w:i/>
          <w:iCs/>
          <w:color w:val="000000"/>
          <w:shd w:val="clear" w:color="auto" w:fill="FFFFFF"/>
        </w:rPr>
        <w:t>P</w:t>
      </w:r>
      <w:r w:rsidRPr="00DA5A6A">
        <w:rPr>
          <w:rFonts w:ascii="Book Antiqua" w:eastAsia="Book Antiqua" w:hAnsi="Book Antiqua" w:cs="Book Antiqua"/>
          <w:color w:val="000000"/>
          <w:shd w:val="clear" w:color="auto" w:fill="FFFFFF"/>
        </w:rPr>
        <w:t xml:space="preserve"> = 0.02). </w:t>
      </w:r>
      <w:r w:rsidRPr="00DA5A6A">
        <w:rPr>
          <w:rFonts w:ascii="Book Antiqua" w:eastAsia="Book Antiqua" w:hAnsi="Book Antiqua" w:cs="Book Antiqua"/>
          <w:color w:val="000000"/>
          <w:shd w:val="clear" w:color="auto" w:fill="FFFFFF"/>
        </w:rPr>
        <w:lastRenderedPageBreak/>
        <w:t xml:space="preserve">Within this same cohort, there was a numerically but non-significant improvement in </w:t>
      </w:r>
      <w:r w:rsidR="00970DFA">
        <w:rPr>
          <w:rFonts w:ascii="Book Antiqua" w:eastAsia="Book Antiqua" w:hAnsi="Book Antiqua" w:cs="Book Antiqua"/>
          <w:color w:val="000000"/>
          <w:shd w:val="clear" w:color="auto" w:fill="FFFFFF"/>
        </w:rPr>
        <w:t>OS</w:t>
      </w:r>
      <w:r w:rsidRPr="00DA5A6A">
        <w:rPr>
          <w:rFonts w:ascii="Book Antiqua" w:eastAsia="Book Antiqua" w:hAnsi="Book Antiqua" w:cs="Book Antiqua"/>
          <w:color w:val="000000"/>
          <w:shd w:val="clear" w:color="auto" w:fill="FFFFFF"/>
        </w:rPr>
        <w:t xml:space="preserve"> in patients in the veliparib group in contrast to the placebo group (13.7</w:t>
      </w:r>
      <w:r w:rsidR="009267D3" w:rsidRPr="009267D3">
        <w:rPr>
          <w:rFonts w:ascii="Book Antiqua" w:eastAsia="Book Antiqua" w:hAnsi="Book Antiqua" w:cs="Book Antiqua"/>
          <w:color w:val="000000"/>
        </w:rPr>
        <w:t xml:space="preserve"> </w:t>
      </w:r>
      <w:r w:rsidR="009267D3" w:rsidRPr="00DA5A6A">
        <w:rPr>
          <w:rFonts w:ascii="Book Antiqua" w:eastAsia="Book Antiqua" w:hAnsi="Book Antiqua" w:cs="Book Antiqua"/>
          <w:color w:val="000000"/>
        </w:rPr>
        <w:t>mo</w:t>
      </w:r>
      <w:r w:rsidRPr="00DA5A6A">
        <w:rPr>
          <w:rFonts w:ascii="Book Antiqua" w:eastAsia="Book Antiqua" w:hAnsi="Book Antiqua" w:cs="Book Antiqua"/>
          <w:color w:val="000000"/>
          <w:shd w:val="clear" w:color="auto" w:fill="FFFFFF"/>
        </w:rPr>
        <w:t xml:space="preserve"> </w:t>
      </w:r>
      <w:r w:rsidRPr="00DA5A6A">
        <w:rPr>
          <w:rFonts w:ascii="Book Antiqua" w:eastAsia="Book Antiqua" w:hAnsi="Book Antiqua" w:cs="Book Antiqua"/>
          <w:i/>
          <w:iCs/>
          <w:color w:val="000000"/>
          <w:shd w:val="clear" w:color="auto" w:fill="FFFFFF"/>
        </w:rPr>
        <w:t>vs</w:t>
      </w:r>
      <w:r w:rsidRPr="00DA5A6A">
        <w:rPr>
          <w:rFonts w:ascii="Book Antiqua" w:eastAsia="Book Antiqua" w:hAnsi="Book Antiqua" w:cs="Book Antiqua"/>
          <w:color w:val="000000"/>
          <w:shd w:val="clear" w:color="auto" w:fill="FFFFFF"/>
        </w:rPr>
        <w:t xml:space="preserve"> 12.1 mo, </w:t>
      </w:r>
      <w:r w:rsidRPr="00DA5A6A">
        <w:rPr>
          <w:rFonts w:ascii="Book Antiqua" w:eastAsia="Book Antiqua" w:hAnsi="Book Antiqua" w:cs="Book Antiqua"/>
          <w:i/>
          <w:iCs/>
          <w:color w:val="000000"/>
          <w:shd w:val="clear" w:color="auto" w:fill="FFFFFF"/>
        </w:rPr>
        <w:t>P</w:t>
      </w:r>
      <w:r w:rsidRPr="00DA5A6A">
        <w:rPr>
          <w:rFonts w:ascii="Book Antiqua" w:eastAsia="Book Antiqua" w:hAnsi="Book Antiqua" w:cs="Book Antiqua"/>
          <w:color w:val="000000"/>
          <w:shd w:val="clear" w:color="auto" w:fill="FFFFFF"/>
        </w:rPr>
        <w:t xml:space="preserve"> = 0.14). There was no improvement in PFS in the non-HRD group. No new safety signals emerged.</w:t>
      </w:r>
    </w:p>
    <w:p w14:paraId="0032BC01" w14:textId="77777777" w:rsidR="00A77B3E" w:rsidRPr="00DA5A6A" w:rsidRDefault="00A77B3E" w:rsidP="00DA5A6A">
      <w:pPr>
        <w:spacing w:line="360" w:lineRule="auto"/>
        <w:jc w:val="both"/>
        <w:rPr>
          <w:rFonts w:ascii="Book Antiqua" w:hAnsi="Book Antiqua"/>
        </w:rPr>
      </w:pPr>
    </w:p>
    <w:p w14:paraId="3563307B" w14:textId="784C994D" w:rsidR="00A77B3E" w:rsidRPr="00DA5A6A" w:rsidRDefault="00F74C48" w:rsidP="00DA5A6A">
      <w:pPr>
        <w:spacing w:line="360" w:lineRule="auto"/>
        <w:ind w:hanging="1"/>
        <w:jc w:val="both"/>
        <w:rPr>
          <w:rFonts w:ascii="Book Antiqua" w:hAnsi="Book Antiqua"/>
          <w:i/>
          <w:iCs/>
        </w:rPr>
      </w:pPr>
      <w:r w:rsidRPr="00DA5A6A">
        <w:rPr>
          <w:rFonts w:ascii="Book Antiqua" w:eastAsia="Book Antiqua" w:hAnsi="Book Antiqua" w:cs="Book Antiqua"/>
          <w:b/>
          <w:bCs/>
          <w:i/>
          <w:iCs/>
          <w:color w:val="000000"/>
          <w:shd w:val="clear" w:color="auto" w:fill="FFFFFF"/>
        </w:rPr>
        <w:t xml:space="preserve">Take </w:t>
      </w:r>
      <w:r w:rsidR="000E0F92" w:rsidRPr="00DA5A6A">
        <w:rPr>
          <w:rFonts w:ascii="Book Antiqua" w:eastAsia="Book Antiqua" w:hAnsi="Book Antiqua" w:cs="Book Antiqua"/>
          <w:b/>
          <w:bCs/>
          <w:i/>
          <w:iCs/>
          <w:color w:val="000000"/>
          <w:shd w:val="clear" w:color="auto" w:fill="FFFFFF"/>
        </w:rPr>
        <w:t>h</w:t>
      </w:r>
      <w:r w:rsidRPr="00DA5A6A">
        <w:rPr>
          <w:rFonts w:ascii="Book Antiqua" w:eastAsia="Book Antiqua" w:hAnsi="Book Antiqua" w:cs="Book Antiqua"/>
          <w:b/>
          <w:bCs/>
          <w:i/>
          <w:iCs/>
          <w:color w:val="000000"/>
          <w:shd w:val="clear" w:color="auto" w:fill="FFFFFF"/>
        </w:rPr>
        <w:t xml:space="preserve">ome </w:t>
      </w:r>
      <w:r w:rsidR="000E0F92" w:rsidRPr="00DA5A6A">
        <w:rPr>
          <w:rFonts w:ascii="Book Antiqua" w:eastAsia="Book Antiqua" w:hAnsi="Book Antiqua" w:cs="Book Antiqua"/>
          <w:b/>
          <w:bCs/>
          <w:i/>
          <w:iCs/>
          <w:color w:val="000000"/>
          <w:shd w:val="clear" w:color="auto" w:fill="FFFFFF"/>
        </w:rPr>
        <w:t>m</w:t>
      </w:r>
      <w:r w:rsidRPr="00DA5A6A">
        <w:rPr>
          <w:rFonts w:ascii="Book Antiqua" w:eastAsia="Book Antiqua" w:hAnsi="Book Antiqua" w:cs="Book Antiqua"/>
          <w:b/>
          <w:bCs/>
          <w:i/>
          <w:iCs/>
          <w:color w:val="000000"/>
          <w:shd w:val="clear" w:color="auto" w:fill="FFFFFF"/>
        </w:rPr>
        <w:t>essage</w:t>
      </w:r>
    </w:p>
    <w:p w14:paraId="0D14C88C" w14:textId="4AB47273"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color w:val="000000"/>
          <w:shd w:val="clear" w:color="auto" w:fill="FFFFFF"/>
        </w:rPr>
        <w:t xml:space="preserve">In patients with gBRCA mutations, three phase III studies have demonstrated efficacy in terms of improvements in PFS and </w:t>
      </w:r>
      <w:r w:rsidR="000E0F92" w:rsidRPr="00DA5A6A">
        <w:rPr>
          <w:rFonts w:ascii="Book Antiqua" w:eastAsia="Book Antiqua" w:hAnsi="Book Antiqua" w:cs="Book Antiqua"/>
          <w:color w:val="000000"/>
          <w:shd w:val="clear" w:color="auto" w:fill="FFFFFF"/>
        </w:rPr>
        <w:t>quality of life</w:t>
      </w:r>
      <w:r w:rsidRPr="00DA5A6A">
        <w:rPr>
          <w:rFonts w:ascii="Book Antiqua" w:eastAsia="Book Antiqua" w:hAnsi="Book Antiqua" w:cs="Book Antiqua"/>
          <w:color w:val="000000"/>
          <w:shd w:val="clear" w:color="auto" w:fill="FFFFFF"/>
        </w:rPr>
        <w:t xml:space="preserve"> compared to chemotherapy. No study has demonstrated an OS advantage however cross over to a PARPi at progression complicates the analysis of this endpoint. These trials identified a subset of patients with long and durable responses however the majority of patients become resistant to these drugs (median PFS of 7 and 8.6 mo in the OLYMPIAD and EMBRCA study). Clinical trials in progress are examining PARP inhibitors in combinations with immunotherapy and other </w:t>
      </w:r>
      <w:r w:rsidR="002D6101" w:rsidRPr="00DA5A6A">
        <w:rPr>
          <w:rFonts w:ascii="Book Antiqua" w:eastAsia="Book Antiqua" w:hAnsi="Book Antiqua" w:cs="Book Antiqua"/>
          <w:color w:val="000000"/>
          <w:shd w:val="clear" w:color="auto" w:fill="FFFFFF"/>
        </w:rPr>
        <w:t>combinations</w:t>
      </w:r>
      <w:r w:rsidRPr="00DA5A6A">
        <w:rPr>
          <w:rFonts w:ascii="Book Antiqua" w:eastAsia="Book Antiqua" w:hAnsi="Book Antiqua" w:cs="Book Antiqua"/>
          <w:color w:val="000000"/>
          <w:shd w:val="clear" w:color="auto" w:fill="FFFFFF"/>
        </w:rPr>
        <w:t xml:space="preserve"> which may prevent the development of resistance to therapy.</w:t>
      </w:r>
    </w:p>
    <w:p w14:paraId="0B0724C6" w14:textId="77777777" w:rsidR="00A77B3E" w:rsidRPr="00DA5A6A" w:rsidRDefault="00A77B3E" w:rsidP="00DA5A6A">
      <w:pPr>
        <w:spacing w:line="360" w:lineRule="auto"/>
        <w:jc w:val="both"/>
        <w:rPr>
          <w:rFonts w:ascii="Book Antiqua" w:hAnsi="Book Antiqua"/>
        </w:rPr>
      </w:pPr>
    </w:p>
    <w:p w14:paraId="2C1A66E5" w14:textId="66781F25" w:rsidR="00A77B3E" w:rsidRPr="00DA5A6A" w:rsidRDefault="00F74C48" w:rsidP="00DA5A6A">
      <w:pPr>
        <w:spacing w:line="360" w:lineRule="auto"/>
        <w:jc w:val="both"/>
        <w:rPr>
          <w:rFonts w:ascii="Book Antiqua" w:hAnsi="Book Antiqua"/>
          <w:i/>
          <w:iCs/>
        </w:rPr>
      </w:pPr>
      <w:r w:rsidRPr="00DA5A6A">
        <w:rPr>
          <w:rFonts w:ascii="Book Antiqua" w:eastAsia="Book Antiqua" w:hAnsi="Book Antiqua" w:cs="Book Antiqua"/>
          <w:b/>
          <w:bCs/>
          <w:i/>
          <w:iCs/>
          <w:color w:val="000000"/>
          <w:shd w:val="clear" w:color="auto" w:fill="FFFFFF"/>
        </w:rPr>
        <w:t xml:space="preserve">Antibody </w:t>
      </w:r>
      <w:r w:rsidR="000E0F92" w:rsidRPr="00DA5A6A">
        <w:rPr>
          <w:rFonts w:ascii="Book Antiqua" w:eastAsia="Book Antiqua" w:hAnsi="Book Antiqua" w:cs="Book Antiqua"/>
          <w:b/>
          <w:bCs/>
          <w:i/>
          <w:iCs/>
          <w:color w:val="000000"/>
          <w:shd w:val="clear" w:color="auto" w:fill="FFFFFF"/>
        </w:rPr>
        <w:t>d</w:t>
      </w:r>
      <w:r w:rsidRPr="00DA5A6A">
        <w:rPr>
          <w:rFonts w:ascii="Book Antiqua" w:eastAsia="Book Antiqua" w:hAnsi="Book Antiqua" w:cs="Book Antiqua"/>
          <w:b/>
          <w:bCs/>
          <w:i/>
          <w:iCs/>
          <w:color w:val="000000"/>
          <w:shd w:val="clear" w:color="auto" w:fill="FFFFFF"/>
        </w:rPr>
        <w:t xml:space="preserve">rug </w:t>
      </w:r>
      <w:r w:rsidR="000E0F92" w:rsidRPr="00DA5A6A">
        <w:rPr>
          <w:rFonts w:ascii="Book Antiqua" w:eastAsia="Book Antiqua" w:hAnsi="Book Antiqua" w:cs="Book Antiqua"/>
          <w:b/>
          <w:bCs/>
          <w:i/>
          <w:iCs/>
          <w:color w:val="000000"/>
          <w:shd w:val="clear" w:color="auto" w:fill="FFFFFF"/>
        </w:rPr>
        <w:t>c</w:t>
      </w:r>
      <w:r w:rsidRPr="00DA5A6A">
        <w:rPr>
          <w:rFonts w:ascii="Book Antiqua" w:eastAsia="Book Antiqua" w:hAnsi="Book Antiqua" w:cs="Book Antiqua"/>
          <w:b/>
          <w:bCs/>
          <w:i/>
          <w:iCs/>
          <w:color w:val="000000"/>
          <w:shd w:val="clear" w:color="auto" w:fill="FFFFFF"/>
        </w:rPr>
        <w:t>onjugates</w:t>
      </w:r>
    </w:p>
    <w:p w14:paraId="73F415EA" w14:textId="1BC398BD" w:rsidR="000E0F92" w:rsidRPr="00DA5A6A" w:rsidRDefault="00F74C48" w:rsidP="00DA5A6A">
      <w:pPr>
        <w:spacing w:line="360" w:lineRule="auto"/>
        <w:ind w:hanging="1"/>
        <w:jc w:val="both"/>
        <w:rPr>
          <w:rFonts w:ascii="Book Antiqua" w:eastAsia="Book Antiqua" w:hAnsi="Book Antiqua" w:cs="Book Antiqua"/>
          <w:color w:val="000000"/>
          <w:shd w:val="clear" w:color="auto" w:fill="FFFFFF"/>
        </w:rPr>
      </w:pPr>
      <w:r w:rsidRPr="00DA5A6A">
        <w:rPr>
          <w:rFonts w:ascii="Book Antiqua" w:eastAsia="Book Antiqua" w:hAnsi="Book Antiqua" w:cs="Book Antiqua"/>
          <w:color w:val="000000"/>
          <w:shd w:val="clear" w:color="auto" w:fill="FFFFFF"/>
        </w:rPr>
        <w:t>Antibody drug conjugates (ADC) offer the potential to deliver highly potent cytotoxic chemotherapy to tumour cells with reduced systemic toxicity (Table 6).</w:t>
      </w:r>
    </w:p>
    <w:p w14:paraId="0BEA240E" w14:textId="294FC2E2" w:rsidR="00A77B3E" w:rsidRPr="00DA5A6A" w:rsidRDefault="00F74C48" w:rsidP="00DA5A6A">
      <w:pPr>
        <w:spacing w:line="360" w:lineRule="auto"/>
        <w:ind w:hanging="1"/>
        <w:jc w:val="both"/>
        <w:rPr>
          <w:rFonts w:ascii="Book Antiqua" w:hAnsi="Book Antiqua"/>
        </w:rPr>
      </w:pPr>
      <w:r w:rsidRPr="00DA5A6A">
        <w:rPr>
          <w:rFonts w:ascii="Book Antiqua" w:eastAsia="Book Antiqua" w:hAnsi="Book Antiqua" w:cs="Book Antiqua"/>
          <w:color w:val="000000"/>
          <w:shd w:val="clear" w:color="auto" w:fill="FFFFFF"/>
        </w:rPr>
        <w:t xml:space="preserve"> </w:t>
      </w:r>
    </w:p>
    <w:p w14:paraId="3075DDCA" w14:textId="1BADA3CD" w:rsidR="00A77B3E" w:rsidRPr="00DA5A6A" w:rsidRDefault="00F74C48" w:rsidP="00DA5A6A">
      <w:pPr>
        <w:spacing w:line="360" w:lineRule="auto"/>
        <w:ind w:hanging="1"/>
        <w:jc w:val="both"/>
        <w:rPr>
          <w:rFonts w:ascii="Book Antiqua" w:hAnsi="Book Antiqua"/>
          <w:i/>
          <w:iCs/>
        </w:rPr>
      </w:pPr>
      <w:r w:rsidRPr="00DA5A6A">
        <w:rPr>
          <w:rFonts w:ascii="Book Antiqua" w:eastAsia="Book Antiqua" w:hAnsi="Book Antiqua" w:cs="Book Antiqua"/>
          <w:b/>
          <w:bCs/>
          <w:i/>
          <w:iCs/>
          <w:color w:val="000000"/>
          <w:shd w:val="clear" w:color="auto" w:fill="FFFFFF"/>
        </w:rPr>
        <w:t xml:space="preserve">Sacituzumab </w:t>
      </w:r>
      <w:r w:rsidR="000E0F92" w:rsidRPr="00DA5A6A">
        <w:rPr>
          <w:rFonts w:ascii="Book Antiqua" w:eastAsia="Book Antiqua" w:hAnsi="Book Antiqua" w:cs="Book Antiqua"/>
          <w:b/>
          <w:bCs/>
          <w:i/>
          <w:iCs/>
          <w:color w:val="000000"/>
          <w:shd w:val="clear" w:color="auto" w:fill="FFFFFF"/>
        </w:rPr>
        <w:t>g</w:t>
      </w:r>
      <w:r w:rsidRPr="00DA5A6A">
        <w:rPr>
          <w:rFonts w:ascii="Book Antiqua" w:eastAsia="Book Antiqua" w:hAnsi="Book Antiqua" w:cs="Book Antiqua"/>
          <w:b/>
          <w:bCs/>
          <w:i/>
          <w:iCs/>
          <w:color w:val="000000"/>
          <w:shd w:val="clear" w:color="auto" w:fill="FFFFFF"/>
        </w:rPr>
        <w:t>ovitecan-</w:t>
      </w:r>
      <w:r w:rsidR="000E0F92" w:rsidRPr="00DA5A6A">
        <w:rPr>
          <w:rFonts w:ascii="Book Antiqua" w:eastAsia="Book Antiqua" w:hAnsi="Book Antiqua" w:cs="Book Antiqua"/>
          <w:b/>
          <w:bCs/>
          <w:i/>
          <w:iCs/>
          <w:color w:val="000000"/>
          <w:shd w:val="clear" w:color="auto" w:fill="FFFFFF"/>
        </w:rPr>
        <w:t>h</w:t>
      </w:r>
      <w:r w:rsidRPr="00DA5A6A">
        <w:rPr>
          <w:rFonts w:ascii="Book Antiqua" w:eastAsia="Book Antiqua" w:hAnsi="Book Antiqua" w:cs="Book Antiqua"/>
          <w:b/>
          <w:bCs/>
          <w:i/>
          <w:iCs/>
          <w:color w:val="000000"/>
          <w:shd w:val="clear" w:color="auto" w:fill="FFFFFF"/>
        </w:rPr>
        <w:t>ziy</w:t>
      </w:r>
    </w:p>
    <w:p w14:paraId="34CA6AC5" w14:textId="556958E0" w:rsidR="00A77B3E" w:rsidRPr="00DA5A6A" w:rsidRDefault="00F74C48" w:rsidP="00DA5A6A">
      <w:pPr>
        <w:spacing w:line="360" w:lineRule="auto"/>
        <w:ind w:hanging="1"/>
        <w:jc w:val="both"/>
        <w:rPr>
          <w:rFonts w:ascii="Book Antiqua" w:hAnsi="Book Antiqua"/>
        </w:rPr>
      </w:pPr>
      <w:r w:rsidRPr="00DA5A6A">
        <w:rPr>
          <w:rFonts w:ascii="Book Antiqua" w:eastAsia="Book Antiqua" w:hAnsi="Book Antiqua" w:cs="Book Antiqua"/>
          <w:color w:val="000000"/>
          <w:shd w:val="clear" w:color="auto" w:fill="FFFFFF"/>
        </w:rPr>
        <w:t xml:space="preserve">Sacituzumab </w:t>
      </w:r>
      <w:r w:rsidR="000E0F92" w:rsidRPr="00DA5A6A">
        <w:rPr>
          <w:rFonts w:ascii="Book Antiqua" w:eastAsia="Book Antiqua" w:hAnsi="Book Antiqua" w:cs="Book Antiqua"/>
          <w:color w:val="000000"/>
          <w:shd w:val="clear" w:color="auto" w:fill="FFFFFF"/>
        </w:rPr>
        <w:t>g</w:t>
      </w:r>
      <w:r w:rsidRPr="00DA5A6A">
        <w:rPr>
          <w:rFonts w:ascii="Book Antiqua" w:eastAsia="Book Antiqua" w:hAnsi="Book Antiqua" w:cs="Book Antiqua"/>
          <w:color w:val="000000"/>
          <w:shd w:val="clear" w:color="auto" w:fill="FFFFFF"/>
        </w:rPr>
        <w:t>ovitecan</w:t>
      </w:r>
      <w:r w:rsidR="000E0F92" w:rsidRPr="00DA5A6A">
        <w:rPr>
          <w:rFonts w:ascii="Book Antiqua" w:eastAsia="Book Antiqua" w:hAnsi="Book Antiqua" w:cs="Book Antiqua"/>
          <w:color w:val="000000"/>
          <w:shd w:val="clear" w:color="auto" w:fill="FFFFFF"/>
        </w:rPr>
        <w:t xml:space="preserve"> (SG)</w:t>
      </w:r>
      <w:r w:rsidR="00927219">
        <w:rPr>
          <w:rFonts w:ascii="Book Antiqua" w:eastAsia="Book Antiqua" w:hAnsi="Book Antiqua" w:cs="Book Antiqua"/>
          <w:color w:val="000000"/>
          <w:shd w:val="clear" w:color="auto" w:fill="FFFFFF"/>
        </w:rPr>
        <w:t>-</w:t>
      </w:r>
      <w:r w:rsidR="000E0F92" w:rsidRPr="00DA5A6A">
        <w:rPr>
          <w:rFonts w:ascii="Book Antiqua" w:eastAsia="Book Antiqua" w:hAnsi="Book Antiqua" w:cs="Book Antiqua"/>
          <w:color w:val="000000"/>
          <w:shd w:val="clear" w:color="auto" w:fill="FFFFFF"/>
        </w:rPr>
        <w:t>h</w:t>
      </w:r>
      <w:r w:rsidRPr="00DA5A6A">
        <w:rPr>
          <w:rFonts w:ascii="Book Antiqua" w:eastAsia="Book Antiqua" w:hAnsi="Book Antiqua" w:cs="Book Antiqua"/>
          <w:color w:val="000000"/>
          <w:shd w:val="clear" w:color="auto" w:fill="FFFFFF"/>
        </w:rPr>
        <w:t xml:space="preserve">ziy is an ADC in which </w:t>
      </w:r>
      <w:r w:rsidRPr="00DA5A6A">
        <w:rPr>
          <w:rFonts w:ascii="Book Antiqua" w:eastAsia="Book Antiqua" w:hAnsi="Book Antiqua" w:cs="Book Antiqua"/>
          <w:color w:val="000000"/>
        </w:rPr>
        <w:t>a topoisomerase I inhibitor, is coupled to the humanized antitrophoblast cell-surface antigen 2 (Trop-2) monoclonal antibody hRS7 IgG1κ through the cleavable CL2A linker. SN-38, a derivative of irinotecan, is subsequently delivered into the cells both intracellularly and into the tumour microenvironment and has demonstrated potent antitumour activity</w:t>
      </w:r>
      <w:r w:rsidR="000E0F9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75</w:t>
      </w:r>
      <w:r w:rsidR="000E0F9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S</w:t>
      </w:r>
      <w:r w:rsidR="000E0F92" w:rsidRPr="00DA5A6A">
        <w:rPr>
          <w:rFonts w:ascii="Book Antiqua" w:eastAsia="Book Antiqua" w:hAnsi="Book Antiqua" w:cs="Book Antiqua"/>
          <w:color w:val="000000"/>
        </w:rPr>
        <w:t>G-h</w:t>
      </w:r>
      <w:r w:rsidRPr="00DA5A6A">
        <w:rPr>
          <w:rFonts w:ascii="Book Antiqua" w:eastAsia="Book Antiqua" w:hAnsi="Book Antiqua" w:cs="Book Antiqua"/>
          <w:color w:val="000000"/>
        </w:rPr>
        <w:t>ziy has been investigated in multiple epithelial tumours including TNBC. In a phase 2 single arm study, SG</w:t>
      </w:r>
      <w:r w:rsidR="000E0F92" w:rsidRPr="00DA5A6A">
        <w:rPr>
          <w:rFonts w:ascii="Book Antiqua" w:eastAsia="Book Antiqua" w:hAnsi="Book Antiqua" w:cs="Book Antiqua"/>
          <w:color w:val="000000"/>
        </w:rPr>
        <w:t>-</w:t>
      </w:r>
      <w:r w:rsidRPr="00DA5A6A">
        <w:rPr>
          <w:rFonts w:ascii="Book Antiqua" w:eastAsia="Book Antiqua" w:hAnsi="Book Antiqua" w:cs="Book Antiqua"/>
          <w:color w:val="000000"/>
        </w:rPr>
        <w:t>Hziy demonstrated impressive response rates in a heavily pre-treated TNBC population</w:t>
      </w:r>
      <w:r w:rsidR="000E0F9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76</w:t>
      </w:r>
      <w:r w:rsidR="000E0F9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xml:space="preserve">. 108 patients with metastatic TNBC were enrolled in the trial whom had multiple previous lines of treatment with a median of 3 prior treatments received. Overall response rate was 33% with 3 complete responses. The median duration of </w:t>
      </w:r>
      <w:r w:rsidRPr="00DA5A6A">
        <w:rPr>
          <w:rFonts w:ascii="Book Antiqua" w:eastAsia="Book Antiqua" w:hAnsi="Book Antiqua" w:cs="Book Antiqua"/>
          <w:color w:val="000000"/>
        </w:rPr>
        <w:lastRenderedPageBreak/>
        <w:t>response was 7.7 mo with a median PFS of 5.5 mo. Notably, patients were able to remain on treatment longer than they had on prior therapies, suggesting a lack of cross resistance. The safety profile was acceptable with only 2.8% of patients discontinuing due to an adverse event. Grade 3 events included neutropenia (26%), anaemia (11%), fatigue and asthenia (11%). Grade 4 neutropenia was reported in 16% of patients.</w:t>
      </w:r>
    </w:p>
    <w:p w14:paraId="546EDFFB" w14:textId="31A37A75" w:rsidR="00A77B3E" w:rsidRPr="00DA5A6A" w:rsidRDefault="00F74C48" w:rsidP="00DA5A6A">
      <w:pPr>
        <w:spacing w:line="360" w:lineRule="auto"/>
        <w:ind w:firstLineChars="200" w:firstLine="480"/>
        <w:jc w:val="both"/>
        <w:rPr>
          <w:rFonts w:ascii="Book Antiqua" w:eastAsia="Book Antiqua" w:hAnsi="Book Antiqua" w:cs="Book Antiqua"/>
          <w:color w:val="000000"/>
        </w:rPr>
      </w:pPr>
      <w:r w:rsidRPr="00DA5A6A">
        <w:rPr>
          <w:rFonts w:ascii="Book Antiqua" w:eastAsia="Book Antiqua" w:hAnsi="Book Antiqua" w:cs="Book Antiqua"/>
          <w:color w:val="000000"/>
        </w:rPr>
        <w:t>At the ESMO congress 2020, authors presented results from the ASCENT study, a randomized phase 3 study of sacituzumab govitecan (</w:t>
      </w:r>
      <w:r w:rsidRPr="00DA5A6A">
        <w:rPr>
          <w:rFonts w:ascii="Book Antiqua" w:eastAsia="Book Antiqua" w:hAnsi="Book Antiqua" w:cs="Book Antiqua"/>
          <w:i/>
          <w:iCs/>
          <w:color w:val="000000"/>
        </w:rPr>
        <w:t>n</w:t>
      </w:r>
      <w:r w:rsidRPr="00DA5A6A">
        <w:rPr>
          <w:rFonts w:ascii="Book Antiqua" w:eastAsia="Book Antiqua" w:hAnsi="Book Antiqua" w:cs="Book Antiqua"/>
          <w:color w:val="000000"/>
        </w:rPr>
        <w:t xml:space="preserve"> = 267)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treatment of physician’s choice (</w:t>
      </w:r>
      <w:r w:rsidRPr="00DA5A6A">
        <w:rPr>
          <w:rFonts w:ascii="Book Antiqua" w:eastAsia="Book Antiqua" w:hAnsi="Book Antiqua" w:cs="Book Antiqua"/>
          <w:i/>
          <w:iCs/>
          <w:color w:val="000000"/>
        </w:rPr>
        <w:t>n</w:t>
      </w:r>
      <w:r w:rsidRPr="00DA5A6A">
        <w:rPr>
          <w:rFonts w:ascii="Book Antiqua" w:eastAsia="Book Antiqua" w:hAnsi="Book Antiqua" w:cs="Book Antiqua"/>
          <w:color w:val="000000"/>
        </w:rPr>
        <w:t xml:space="preserve"> = 262) in patients (pts) with previously treated metastatic TNBC</w:t>
      </w:r>
      <w:r w:rsidR="000E0F9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vertAlign w:val="superscript"/>
        </w:rPr>
        <w:t>77</w:t>
      </w:r>
      <w:r w:rsidR="000E0F92" w:rsidRPr="00DA5A6A">
        <w:rPr>
          <w:rFonts w:ascii="Book Antiqua" w:eastAsia="Book Antiqua" w:hAnsi="Book Antiqua" w:cs="Book Antiqua"/>
          <w:color w:val="000000"/>
          <w:vertAlign w:val="superscript"/>
        </w:rPr>
        <w:t>]</w:t>
      </w:r>
      <w:r w:rsidRPr="00DA5A6A">
        <w:rPr>
          <w:rFonts w:ascii="Book Antiqua" w:eastAsia="Book Antiqua" w:hAnsi="Book Antiqua" w:cs="Book Antiqua"/>
          <w:color w:val="000000"/>
        </w:rPr>
        <w:t>. Patients had received at least 2 prior lines of treatment prior to enrolment. The primary outcome was investigator assessed PFS in the brain metastases free population. Progression free survival was significantly prolonged in the investigation arm with a PFS (5.6</w:t>
      </w:r>
      <w:r w:rsidR="00970DFA" w:rsidRPr="00970DFA">
        <w:rPr>
          <w:rFonts w:ascii="Book Antiqua" w:eastAsia="Book Antiqua" w:hAnsi="Book Antiqua" w:cs="Book Antiqua"/>
          <w:color w:val="000000"/>
        </w:rPr>
        <w:t xml:space="preserve"> </w:t>
      </w:r>
      <w:r w:rsidR="00970DFA" w:rsidRPr="00DA5A6A">
        <w:rPr>
          <w:rFonts w:ascii="Book Antiqua" w:eastAsia="Book Antiqua" w:hAnsi="Book Antiqua" w:cs="Book Antiqua"/>
          <w:color w:val="000000"/>
        </w:rPr>
        <w:t>mo</w:t>
      </w:r>
      <w:r w:rsidRPr="00DA5A6A">
        <w:rPr>
          <w:rFonts w:ascii="Book Antiqua" w:eastAsia="Book Antiqua" w:hAnsi="Book Antiqua" w:cs="Book Antiqua"/>
          <w:color w:val="000000"/>
        </w:rPr>
        <w:t xml:space="preserve">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1.7 mo, HR 0.41, </w:t>
      </w:r>
      <w:r w:rsidR="000E0F92" w:rsidRPr="00DA5A6A">
        <w:rPr>
          <w:rFonts w:ascii="Book Antiqua" w:eastAsia="Book Antiqua" w:hAnsi="Book Antiqua" w:cs="Book Antiqua"/>
          <w:i/>
          <w:iCs/>
          <w:color w:val="000000"/>
        </w:rPr>
        <w:t>P</w:t>
      </w:r>
      <w:r w:rsidRPr="00DA5A6A">
        <w:rPr>
          <w:rFonts w:ascii="Book Antiqua" w:eastAsia="Book Antiqua" w:hAnsi="Book Antiqua" w:cs="Book Antiqua"/>
          <w:color w:val="000000"/>
        </w:rPr>
        <w:t xml:space="preserve"> &lt; 0.0001). Median OS was significantly prolonged with SG (12.1 </w:t>
      </w:r>
      <w:r w:rsidR="00970DFA" w:rsidRPr="00DA5A6A">
        <w:rPr>
          <w:rFonts w:ascii="Book Antiqua" w:eastAsia="Book Antiqua" w:hAnsi="Book Antiqua" w:cs="Book Antiqua"/>
          <w:color w:val="000000"/>
        </w:rPr>
        <w:t>mo</w:t>
      </w:r>
      <w:r w:rsidR="00970DFA" w:rsidRPr="00970DFA">
        <w:rPr>
          <w:rFonts w:ascii="Book Antiqua" w:eastAsia="Book Antiqua" w:hAnsi="Book Antiqua" w:cs="Book Antiqua"/>
          <w:i/>
          <w:iCs/>
          <w:color w:val="000000"/>
        </w:rPr>
        <w:t xml:space="preserve"> </w:t>
      </w:r>
      <w:r w:rsidRPr="00970DF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6.7 mo, HR 0.48, </w:t>
      </w:r>
      <w:r w:rsidR="000E0F92" w:rsidRPr="00DA5A6A">
        <w:rPr>
          <w:rFonts w:ascii="Book Antiqua" w:eastAsia="Book Antiqua" w:hAnsi="Book Antiqua" w:cs="Book Antiqua"/>
          <w:i/>
          <w:iCs/>
          <w:color w:val="000000"/>
        </w:rPr>
        <w:t>P</w:t>
      </w:r>
      <w:r w:rsidRPr="00DA5A6A">
        <w:rPr>
          <w:rFonts w:ascii="Book Antiqua" w:eastAsia="Book Antiqua" w:hAnsi="Book Antiqua" w:cs="Book Antiqua"/>
          <w:color w:val="000000"/>
        </w:rPr>
        <w:t xml:space="preserve"> &lt;</w:t>
      </w:r>
      <w:r w:rsidR="00970DFA">
        <w:rPr>
          <w:rFonts w:ascii="Book Antiqua" w:eastAsia="Book Antiqua" w:hAnsi="Book Antiqua" w:cs="Book Antiqua"/>
          <w:color w:val="000000"/>
        </w:rPr>
        <w:t xml:space="preserve"> </w:t>
      </w:r>
      <w:r w:rsidRPr="00DA5A6A">
        <w:rPr>
          <w:rFonts w:ascii="Book Antiqua" w:eastAsia="Book Antiqua" w:hAnsi="Book Antiqua" w:cs="Book Antiqua"/>
          <w:color w:val="000000"/>
        </w:rPr>
        <w:t>0.0001). The most common grade 3 or 4 adverse events with SG were diarrhoea (10%), ana</w:t>
      </w:r>
      <w:r w:rsidR="009418A6" w:rsidRPr="00DA5A6A">
        <w:rPr>
          <w:rFonts w:ascii="Book Antiqua" w:eastAsia="Book Antiqua" w:hAnsi="Book Antiqua" w:cs="Book Antiqua"/>
          <w:color w:val="000000"/>
        </w:rPr>
        <w:t xml:space="preserve">emia (8%) and leukopenia (10%). </w:t>
      </w:r>
      <w:r w:rsidRPr="00DA5A6A">
        <w:rPr>
          <w:rFonts w:ascii="Book Antiqua" w:eastAsia="Book Antiqua" w:hAnsi="Book Antiqua" w:cs="Book Antiqua"/>
          <w:color w:val="000000"/>
        </w:rPr>
        <w:t>Only 4.7% of patients discontinue</w:t>
      </w:r>
      <w:r w:rsidR="009418A6" w:rsidRPr="00DA5A6A">
        <w:rPr>
          <w:rFonts w:ascii="Book Antiqua" w:eastAsia="Book Antiqua" w:hAnsi="Book Antiqua" w:cs="Book Antiqua"/>
          <w:color w:val="000000"/>
        </w:rPr>
        <w:t>d</w:t>
      </w:r>
      <w:r w:rsidRPr="00DA5A6A">
        <w:rPr>
          <w:rFonts w:ascii="Book Antiqua" w:eastAsia="Book Antiqua" w:hAnsi="Book Antiqua" w:cs="Book Antiqua"/>
          <w:color w:val="000000"/>
        </w:rPr>
        <w:t xml:space="preserve"> the drug due to toxicity and there was no treatment related deaths.</w:t>
      </w:r>
    </w:p>
    <w:p w14:paraId="73A27E51" w14:textId="77777777" w:rsidR="000E0F92" w:rsidRPr="00DA5A6A" w:rsidRDefault="000E0F92" w:rsidP="00AA0234">
      <w:pPr>
        <w:spacing w:line="360" w:lineRule="auto"/>
        <w:jc w:val="both"/>
        <w:rPr>
          <w:rFonts w:ascii="Book Antiqua" w:hAnsi="Book Antiqua"/>
        </w:rPr>
      </w:pPr>
    </w:p>
    <w:p w14:paraId="3C9386E9" w14:textId="70F4242A" w:rsidR="00A77B3E" w:rsidRPr="00DA5A6A" w:rsidRDefault="00F74C48" w:rsidP="00DA5A6A">
      <w:pPr>
        <w:spacing w:line="360" w:lineRule="auto"/>
        <w:ind w:hanging="1"/>
        <w:jc w:val="both"/>
        <w:rPr>
          <w:rFonts w:ascii="Book Antiqua" w:hAnsi="Book Antiqua"/>
          <w:i/>
          <w:iCs/>
        </w:rPr>
      </w:pPr>
      <w:r w:rsidRPr="00DA5A6A">
        <w:rPr>
          <w:rFonts w:ascii="Book Antiqua" w:eastAsia="Book Antiqua" w:hAnsi="Book Antiqua" w:cs="Book Antiqua"/>
          <w:b/>
          <w:bCs/>
          <w:i/>
          <w:iCs/>
          <w:color w:val="000000"/>
        </w:rPr>
        <w:t xml:space="preserve">Ladiratuzumab </w:t>
      </w:r>
      <w:r w:rsidR="000E0F92" w:rsidRPr="00DA5A6A">
        <w:rPr>
          <w:rFonts w:ascii="Book Antiqua" w:eastAsia="Book Antiqua" w:hAnsi="Book Antiqua" w:cs="Book Antiqua"/>
          <w:b/>
          <w:bCs/>
          <w:i/>
          <w:iCs/>
          <w:color w:val="000000"/>
        </w:rPr>
        <w:t>v</w:t>
      </w:r>
      <w:r w:rsidRPr="00DA5A6A">
        <w:rPr>
          <w:rFonts w:ascii="Book Antiqua" w:eastAsia="Book Antiqua" w:hAnsi="Book Antiqua" w:cs="Book Antiqua"/>
          <w:b/>
          <w:bCs/>
          <w:i/>
          <w:iCs/>
          <w:color w:val="000000"/>
        </w:rPr>
        <w:t>edotin</w:t>
      </w:r>
    </w:p>
    <w:p w14:paraId="02AB739D" w14:textId="1060C973" w:rsidR="00A77B3E" w:rsidRDefault="00F74C48" w:rsidP="00DA5A6A">
      <w:pPr>
        <w:spacing w:line="360" w:lineRule="auto"/>
        <w:ind w:hanging="1"/>
        <w:jc w:val="both"/>
        <w:rPr>
          <w:rFonts w:ascii="Book Antiqua" w:eastAsia="Book Antiqua" w:hAnsi="Book Antiqua" w:cs="Book Antiqua"/>
          <w:color w:val="000000"/>
          <w:shd w:val="clear" w:color="auto" w:fill="FFFFFF"/>
        </w:rPr>
      </w:pPr>
      <w:r w:rsidRPr="00DA5A6A">
        <w:rPr>
          <w:rFonts w:ascii="Book Antiqua" w:eastAsia="Book Antiqua" w:hAnsi="Book Antiqua" w:cs="Book Antiqua"/>
          <w:color w:val="000000"/>
          <w:shd w:val="clear" w:color="auto" w:fill="FFFFFF"/>
        </w:rPr>
        <w:t xml:space="preserve">Ladiratuzumab </w:t>
      </w:r>
      <w:r w:rsidR="000E0F92" w:rsidRPr="00DA5A6A">
        <w:rPr>
          <w:rFonts w:ascii="Book Antiqua" w:eastAsia="Book Antiqua" w:hAnsi="Book Antiqua" w:cs="Book Antiqua"/>
          <w:color w:val="000000"/>
          <w:shd w:val="clear" w:color="auto" w:fill="FFFFFF"/>
        </w:rPr>
        <w:t>v</w:t>
      </w:r>
      <w:r w:rsidRPr="00DA5A6A">
        <w:rPr>
          <w:rFonts w:ascii="Book Antiqua" w:eastAsia="Book Antiqua" w:hAnsi="Book Antiqua" w:cs="Book Antiqua"/>
          <w:color w:val="000000"/>
          <w:shd w:val="clear" w:color="auto" w:fill="FFFFFF"/>
        </w:rPr>
        <w:t>edotin (LV) targets LIV-1, a transmembrane cell adhesion molecule highly overexpressed in TNBC. The drug’s payload is the microtubule disrupting agent-monomethyl auristatin E. A Phase 1b/2 trial of LV in combination with pembrolizumab was investigated in a treatment naïve population with metastatic TNBC</w:t>
      </w:r>
      <w:r w:rsidR="000E0F92"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vertAlign w:val="superscript"/>
        </w:rPr>
        <w:t>78</w:t>
      </w:r>
      <w:r w:rsidR="000E0F92"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rPr>
        <w:t>. The trial was based on the biological rationale for a synergistic effect of the addition of two immune modulating agents in the first-line setting. 19 patients were included in the dose finding cohort with a further 32 in the dose expansion cohort. Patients were not pre-selected for LIV1 or PD-L1 expression. Response rates were encouraging at 54% in 26 evaluable patients regardless of their PDL-1 expression. Further work will be needed to clarify where LV may fit into the treatment paradigm for TNBC in the crowded field of the first-line setting.</w:t>
      </w:r>
    </w:p>
    <w:p w14:paraId="6C1D0A94" w14:textId="77777777" w:rsidR="00970DFA" w:rsidRPr="00DA5A6A" w:rsidRDefault="00970DFA" w:rsidP="00DA5A6A">
      <w:pPr>
        <w:spacing w:line="360" w:lineRule="auto"/>
        <w:ind w:hanging="1"/>
        <w:jc w:val="both"/>
        <w:rPr>
          <w:rFonts w:ascii="Book Antiqua" w:hAnsi="Book Antiqua"/>
        </w:rPr>
      </w:pPr>
    </w:p>
    <w:p w14:paraId="067EEEC8" w14:textId="3D332824" w:rsidR="00A77B3E" w:rsidRPr="00DA5A6A" w:rsidRDefault="00F74C48" w:rsidP="00DA5A6A">
      <w:pPr>
        <w:spacing w:line="360" w:lineRule="auto"/>
        <w:ind w:hanging="1"/>
        <w:jc w:val="both"/>
        <w:rPr>
          <w:rFonts w:ascii="Book Antiqua" w:hAnsi="Book Antiqua"/>
          <w:i/>
          <w:iCs/>
        </w:rPr>
      </w:pPr>
      <w:r w:rsidRPr="00DA5A6A">
        <w:rPr>
          <w:rFonts w:ascii="Book Antiqua" w:eastAsia="Book Antiqua" w:hAnsi="Book Antiqua" w:cs="Book Antiqua"/>
          <w:b/>
          <w:bCs/>
          <w:i/>
          <w:iCs/>
          <w:color w:val="000000"/>
          <w:shd w:val="clear" w:color="auto" w:fill="FFFFFF"/>
        </w:rPr>
        <w:t xml:space="preserve">Trastuzumab </w:t>
      </w:r>
      <w:r w:rsidR="000E0F92" w:rsidRPr="00DA5A6A">
        <w:rPr>
          <w:rFonts w:ascii="Book Antiqua" w:eastAsia="Book Antiqua" w:hAnsi="Book Antiqua" w:cs="Book Antiqua"/>
          <w:b/>
          <w:bCs/>
          <w:i/>
          <w:iCs/>
          <w:color w:val="000000"/>
          <w:shd w:val="clear" w:color="auto" w:fill="FFFFFF"/>
        </w:rPr>
        <w:t>d</w:t>
      </w:r>
      <w:r w:rsidRPr="00DA5A6A">
        <w:rPr>
          <w:rFonts w:ascii="Book Antiqua" w:eastAsia="Book Antiqua" w:hAnsi="Book Antiqua" w:cs="Book Antiqua"/>
          <w:b/>
          <w:bCs/>
          <w:i/>
          <w:iCs/>
          <w:color w:val="000000"/>
          <w:shd w:val="clear" w:color="auto" w:fill="FFFFFF"/>
        </w:rPr>
        <w:t>etuxtecan</w:t>
      </w:r>
    </w:p>
    <w:p w14:paraId="4E9B3098" w14:textId="108EA54F" w:rsidR="00A77B3E" w:rsidRPr="00DA5A6A" w:rsidRDefault="00F74C48" w:rsidP="00DA5A6A">
      <w:pPr>
        <w:spacing w:line="360" w:lineRule="auto"/>
        <w:ind w:hanging="1"/>
        <w:jc w:val="both"/>
        <w:rPr>
          <w:rFonts w:ascii="Book Antiqua" w:eastAsia="Book Antiqua" w:hAnsi="Book Antiqua" w:cs="Book Antiqua"/>
          <w:color w:val="000000"/>
          <w:shd w:val="clear" w:color="auto" w:fill="FFFFFF"/>
        </w:rPr>
      </w:pPr>
      <w:r w:rsidRPr="00DA5A6A">
        <w:rPr>
          <w:rFonts w:ascii="Book Antiqua" w:eastAsia="Book Antiqua" w:hAnsi="Book Antiqua" w:cs="Book Antiqua"/>
          <w:color w:val="000000"/>
          <w:shd w:val="clear" w:color="auto" w:fill="FFFFFF"/>
        </w:rPr>
        <w:lastRenderedPageBreak/>
        <w:t>Trastuzumab deruxtecan (DS-8201) is an ADC with an anti-HER2 antibody, a cleavable tetrapeptide-based linker, and a topoisomerase I inhibitor</w:t>
      </w:r>
      <w:r w:rsidR="000E0F92"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vertAlign w:val="superscript"/>
        </w:rPr>
        <w:t>79</w:t>
      </w:r>
      <w:r w:rsidR="000E0F92"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rPr>
        <w:t>. It has shown promising activity in HER2 + metastatic breast cancer and is part of the treatment paradigm post TDM1 for HER2 + MBC</w:t>
      </w:r>
      <w:r w:rsidR="000E0F92"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vertAlign w:val="superscript"/>
        </w:rPr>
        <w:t>80</w:t>
      </w:r>
      <w:r w:rsidR="000E0F92"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rPr>
        <w:t>. However, there has been interest in the drug in patients with HER2 Low tumours (IHC1</w:t>
      </w:r>
      <w:r w:rsidR="000E0F92" w:rsidRPr="00DA5A6A">
        <w:rPr>
          <w:rFonts w:ascii="Book Antiqua" w:eastAsia="Book Antiqua" w:hAnsi="Book Antiqua" w:cs="Book Antiqua"/>
          <w:color w:val="000000"/>
          <w:shd w:val="clear" w:color="auto" w:fill="FFFFFF"/>
        </w:rPr>
        <w:t xml:space="preserve"> </w:t>
      </w:r>
      <w:r w:rsidRPr="00DA5A6A">
        <w:rPr>
          <w:rFonts w:ascii="Book Antiqua" w:eastAsia="Book Antiqua" w:hAnsi="Book Antiqua" w:cs="Book Antiqua"/>
          <w:color w:val="000000"/>
          <w:shd w:val="clear" w:color="auto" w:fill="FFFFFF"/>
        </w:rPr>
        <w:t xml:space="preserve">+/IHC2 + </w:t>
      </w:r>
      <w:r w:rsidR="000E0F92" w:rsidRPr="00DA5A6A">
        <w:rPr>
          <w:rFonts w:ascii="Book Antiqua" w:eastAsia="Book Antiqua" w:hAnsi="Book Antiqua" w:cs="Book Antiqua"/>
          <w:color w:val="000000"/>
          <w:shd w:val="clear" w:color="auto" w:fill="FFFFFF"/>
        </w:rPr>
        <w:t>and</w:t>
      </w:r>
      <w:r w:rsidRPr="00DA5A6A">
        <w:rPr>
          <w:rFonts w:ascii="Book Antiqua" w:eastAsia="Book Antiqua" w:hAnsi="Book Antiqua" w:cs="Book Antiqua"/>
          <w:color w:val="000000"/>
          <w:shd w:val="clear" w:color="auto" w:fill="FFFFFF"/>
        </w:rPr>
        <w:t xml:space="preserve"> FISH -) tumours. A phase 1b study investigated its utility in this subgroup with safety evaluated in 53 patients</w:t>
      </w:r>
      <w:r w:rsidR="000E0F92"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vertAlign w:val="superscript"/>
        </w:rPr>
        <w:t>81</w:t>
      </w:r>
      <w:r w:rsidR="000E0F92"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rPr>
        <w:t>. A total of 54 patients were included with a median of 7.5 treatments previously received. The objective response rates were encouraging at 37% and a median duration of response of 10.4 mo. However, the majority of patients had ER/PR-positive tumours with only 7 TNBC patients included. There was one of 7 patients who responded within the TNBC subgroup. Notably, 3 patients developed fatal drug induced interstitial lung disease.</w:t>
      </w:r>
    </w:p>
    <w:p w14:paraId="4B6879C0" w14:textId="77777777" w:rsidR="000E0F92" w:rsidRPr="00DA5A6A" w:rsidRDefault="000E0F92" w:rsidP="00DA5A6A">
      <w:pPr>
        <w:spacing w:line="360" w:lineRule="auto"/>
        <w:ind w:hanging="1"/>
        <w:jc w:val="both"/>
        <w:rPr>
          <w:rFonts w:ascii="Book Antiqua" w:hAnsi="Book Antiqua"/>
        </w:rPr>
      </w:pPr>
    </w:p>
    <w:p w14:paraId="32A4220F" w14:textId="4626A049" w:rsidR="00A77B3E" w:rsidRPr="00DA5A6A" w:rsidRDefault="00F74C48" w:rsidP="00DA5A6A">
      <w:pPr>
        <w:spacing w:line="360" w:lineRule="auto"/>
        <w:ind w:hanging="1"/>
        <w:jc w:val="both"/>
        <w:rPr>
          <w:rFonts w:ascii="Book Antiqua" w:hAnsi="Book Antiqua"/>
          <w:i/>
          <w:iCs/>
        </w:rPr>
      </w:pPr>
      <w:r w:rsidRPr="00DA5A6A">
        <w:rPr>
          <w:rFonts w:ascii="Book Antiqua" w:eastAsia="Book Antiqua" w:hAnsi="Book Antiqua" w:cs="Book Antiqua"/>
          <w:b/>
          <w:bCs/>
          <w:i/>
          <w:iCs/>
          <w:color w:val="000000"/>
          <w:shd w:val="clear" w:color="auto" w:fill="FFFFFF"/>
        </w:rPr>
        <w:t>US-1402</w:t>
      </w:r>
    </w:p>
    <w:p w14:paraId="5DBB64C0" w14:textId="17C61931" w:rsidR="00A77B3E" w:rsidRPr="00DA5A6A" w:rsidRDefault="00F74C48" w:rsidP="00DA5A6A">
      <w:pPr>
        <w:spacing w:line="360" w:lineRule="auto"/>
        <w:ind w:hanging="1"/>
        <w:jc w:val="both"/>
        <w:rPr>
          <w:rFonts w:ascii="Book Antiqua" w:hAnsi="Book Antiqua"/>
        </w:rPr>
      </w:pPr>
      <w:r w:rsidRPr="00DA5A6A">
        <w:rPr>
          <w:rFonts w:ascii="Book Antiqua" w:eastAsia="Book Antiqua" w:hAnsi="Book Antiqua" w:cs="Book Antiqua"/>
          <w:color w:val="000000"/>
          <w:shd w:val="clear" w:color="auto" w:fill="FFFFFF"/>
        </w:rPr>
        <w:t>U3-1402 is a novel HER3-targeted antibody-drug conjugate designed with a peptide-based cleavable linker and a topoisomerase I inhibitor exatecan derivative (DXd) payload. It has a high drug-to-antibody ratio (</w:t>
      </w:r>
      <w:r w:rsidR="000E0F92" w:rsidRPr="00DA5A6A">
        <w:rPr>
          <w:rFonts w:ascii="Book Antiqua" w:eastAsia="Book Antiqua" w:hAnsi="Book Antiqua" w:cs="Book Antiqua"/>
          <w:color w:val="000000"/>
          <w:shd w:val="clear" w:color="auto" w:fill="FFFFFF"/>
        </w:rPr>
        <w:t>approximately</w:t>
      </w:r>
      <w:r w:rsidRPr="00DA5A6A">
        <w:rPr>
          <w:rFonts w:ascii="Book Antiqua" w:eastAsia="Book Antiqua" w:hAnsi="Book Antiqua" w:cs="Book Antiqua"/>
          <w:color w:val="000000"/>
          <w:shd w:val="clear" w:color="auto" w:fill="FFFFFF"/>
        </w:rPr>
        <w:t xml:space="preserve"> 8:1), and the stable linker is selectively cleaved by lysosomal enzymes upregulated in tumour cells</w:t>
      </w:r>
      <w:r w:rsidR="000E0F92"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vertAlign w:val="superscript"/>
        </w:rPr>
        <w:t>82</w:t>
      </w:r>
      <w:r w:rsidR="000E0F92"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rPr>
        <w:t>. It also exhibits bystander effect onto neighbouring tumour cells with antigen heterogeneity. A phase 1/2 multicentre, open label trial evaluated the safety and efficacy of the U3-1402 in HER2 negative, (including ER/PR-positive and TNBC) HER3 expressing advanced breast cancer. Among the 21 patients that received U3-1402, the ORR was 33% and disease-control late (including complete response, partial response and stable disease) was 95%. Grade ¾ toxicity included thrombocytopenia and increased liver enzymes</w:t>
      </w:r>
      <w:r w:rsidR="000E0F92"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vertAlign w:val="superscript"/>
        </w:rPr>
        <w:t>40</w:t>
      </w:r>
      <w:r w:rsidR="000E0F92"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rPr>
        <w:t>.</w:t>
      </w:r>
    </w:p>
    <w:p w14:paraId="791508A4" w14:textId="77777777" w:rsidR="00A77B3E" w:rsidRPr="00DA5A6A" w:rsidRDefault="00A77B3E" w:rsidP="00DA5A6A">
      <w:pPr>
        <w:spacing w:line="360" w:lineRule="auto"/>
        <w:ind w:hanging="1"/>
        <w:jc w:val="both"/>
        <w:rPr>
          <w:rFonts w:ascii="Book Antiqua" w:hAnsi="Book Antiqua"/>
        </w:rPr>
      </w:pPr>
    </w:p>
    <w:p w14:paraId="36F97530" w14:textId="77777777" w:rsidR="00A77B3E" w:rsidRPr="00DA5A6A" w:rsidRDefault="00F74C48" w:rsidP="00DA5A6A">
      <w:pPr>
        <w:spacing w:line="360" w:lineRule="auto"/>
        <w:ind w:hanging="1"/>
        <w:jc w:val="both"/>
        <w:rPr>
          <w:rFonts w:ascii="Book Antiqua" w:eastAsia="Book Antiqua" w:hAnsi="Book Antiqua" w:cs="Book Antiqua"/>
          <w:b/>
          <w:caps/>
          <w:color w:val="000000"/>
          <w:u w:val="single"/>
        </w:rPr>
      </w:pPr>
      <w:r w:rsidRPr="00DA5A6A">
        <w:rPr>
          <w:rFonts w:ascii="Book Antiqua" w:eastAsia="Book Antiqua" w:hAnsi="Book Antiqua" w:cs="Book Antiqua"/>
          <w:b/>
          <w:caps/>
          <w:color w:val="000000"/>
          <w:u w:val="single"/>
        </w:rPr>
        <w:t>Targeted Therapies</w:t>
      </w:r>
    </w:p>
    <w:p w14:paraId="1B1184C9" w14:textId="77777777" w:rsidR="00A77B3E" w:rsidRPr="00DA5A6A" w:rsidRDefault="00F74C48" w:rsidP="00DA5A6A">
      <w:pPr>
        <w:spacing w:line="360" w:lineRule="auto"/>
        <w:ind w:hanging="1"/>
        <w:jc w:val="both"/>
        <w:rPr>
          <w:rFonts w:ascii="Book Antiqua" w:hAnsi="Book Antiqua"/>
          <w:i/>
          <w:iCs/>
        </w:rPr>
      </w:pPr>
      <w:r w:rsidRPr="00DA5A6A">
        <w:rPr>
          <w:rFonts w:ascii="Book Antiqua" w:eastAsia="Book Antiqua" w:hAnsi="Book Antiqua" w:cs="Book Antiqua"/>
          <w:b/>
          <w:bCs/>
          <w:i/>
          <w:iCs/>
          <w:color w:val="000000"/>
          <w:shd w:val="clear" w:color="auto" w:fill="FFFFFF"/>
        </w:rPr>
        <w:t>Alpelisib</w:t>
      </w:r>
    </w:p>
    <w:p w14:paraId="0A1FDE67" w14:textId="5B45D4E0" w:rsidR="00A77B3E" w:rsidRPr="00DA5A6A" w:rsidRDefault="00F74C48" w:rsidP="00DA5A6A">
      <w:pPr>
        <w:spacing w:line="360" w:lineRule="auto"/>
        <w:ind w:hanging="1"/>
        <w:jc w:val="both"/>
        <w:rPr>
          <w:rFonts w:ascii="Book Antiqua" w:eastAsia="Book Antiqua" w:hAnsi="Book Antiqua" w:cs="Book Antiqua"/>
          <w:color w:val="000000"/>
          <w:shd w:val="clear" w:color="auto" w:fill="FFFFFF"/>
        </w:rPr>
      </w:pPr>
      <w:r w:rsidRPr="00DA5A6A">
        <w:rPr>
          <w:rFonts w:ascii="Book Antiqua" w:eastAsia="Book Antiqua" w:hAnsi="Book Antiqua" w:cs="Book Antiqua"/>
          <w:color w:val="000000"/>
          <w:shd w:val="clear" w:color="auto" w:fill="FFFFFF"/>
        </w:rPr>
        <w:t>The PI3K pathway has been a focus of research in solid organ tumours due to its role in cell growth, deregulated apoptosis and association with both taxane and endocrine resistance</w:t>
      </w:r>
      <w:r w:rsidR="000E0F92"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vertAlign w:val="superscript"/>
        </w:rPr>
        <w:t>83</w:t>
      </w:r>
      <w:r w:rsidR="000E0F92"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rPr>
        <w:t>. Alpelisib is a potent, oral, class 1 inhibitor of the PI3K alpha isoform. A Phase I/II study investigated alpelisib plus nab-paclitaxel in HER2</w:t>
      </w:r>
      <w:r w:rsidR="00927219">
        <w:rPr>
          <w:rFonts w:ascii="Book Antiqua" w:eastAsia="Book Antiqua" w:hAnsi="Book Antiqua" w:cs="Book Antiqua"/>
          <w:color w:val="000000"/>
          <w:shd w:val="clear" w:color="auto" w:fill="FFFFFF"/>
        </w:rPr>
        <w:t>-</w:t>
      </w:r>
      <w:r w:rsidRPr="00DA5A6A">
        <w:rPr>
          <w:rFonts w:ascii="Book Antiqua" w:eastAsia="Book Antiqua" w:hAnsi="Book Antiqua" w:cs="Book Antiqua"/>
          <w:color w:val="000000"/>
          <w:shd w:val="clear" w:color="auto" w:fill="FFFFFF"/>
        </w:rPr>
        <w:t>negative MBC</w:t>
      </w:r>
      <w:r w:rsidR="000E0F92"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vertAlign w:val="superscript"/>
        </w:rPr>
        <w:t>84</w:t>
      </w:r>
      <w:r w:rsidR="000E0F92"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rPr>
        <w:t xml:space="preserve">. </w:t>
      </w:r>
      <w:r w:rsidRPr="00DA5A6A">
        <w:rPr>
          <w:rFonts w:ascii="Book Antiqua" w:eastAsia="Book Antiqua" w:hAnsi="Book Antiqua" w:cs="Book Antiqua"/>
          <w:color w:val="000000"/>
          <w:shd w:val="clear" w:color="auto" w:fill="FFFFFF"/>
        </w:rPr>
        <w:lastRenderedPageBreak/>
        <w:t>Patients were enrolled into the phase I dose expansion cohort (</w:t>
      </w:r>
      <w:r w:rsidRPr="00DA5A6A">
        <w:rPr>
          <w:rFonts w:ascii="Book Antiqua" w:eastAsia="Book Antiqua" w:hAnsi="Book Antiqua" w:cs="Book Antiqua"/>
          <w:i/>
          <w:iCs/>
          <w:color w:val="000000"/>
          <w:shd w:val="clear" w:color="auto" w:fill="FFFFFF"/>
        </w:rPr>
        <w:t>n</w:t>
      </w:r>
      <w:r w:rsidRPr="00DA5A6A">
        <w:rPr>
          <w:rFonts w:ascii="Book Antiqua" w:eastAsia="Book Antiqua" w:hAnsi="Book Antiqua" w:cs="Book Antiqua"/>
          <w:color w:val="000000"/>
          <w:shd w:val="clear" w:color="auto" w:fill="FFFFFF"/>
        </w:rPr>
        <w:t xml:space="preserve"> = 10) or the efficacy phase II (</w:t>
      </w:r>
      <w:r w:rsidRPr="00DA5A6A">
        <w:rPr>
          <w:rFonts w:ascii="Book Antiqua" w:eastAsia="Book Antiqua" w:hAnsi="Book Antiqua" w:cs="Book Antiqua"/>
          <w:i/>
          <w:iCs/>
          <w:color w:val="000000"/>
          <w:shd w:val="clear" w:color="auto" w:fill="FFFFFF"/>
        </w:rPr>
        <w:t>n</w:t>
      </w:r>
      <w:r w:rsidRPr="00DA5A6A">
        <w:rPr>
          <w:rFonts w:ascii="Book Antiqua" w:eastAsia="Book Antiqua" w:hAnsi="Book Antiqua" w:cs="Book Antiqua"/>
          <w:color w:val="000000"/>
          <w:shd w:val="clear" w:color="auto" w:fill="FFFFFF"/>
        </w:rPr>
        <w:t xml:space="preserve"> = 30) component. Among the cohort, 30% had TNBC and 74% of patients had received prior chemotherapy. Overall response rate was encouraging at 57% with a median PFS of 7 mo. However, within the PI3K mutated cohort, response rate was 65% with a median PFS of 13 mo. Results are encouraging that targeting the PI3K pathway may have clinical utility in TNBC.</w:t>
      </w:r>
    </w:p>
    <w:p w14:paraId="5AE9B853" w14:textId="77777777" w:rsidR="000E0F92" w:rsidRPr="00DA5A6A" w:rsidRDefault="000E0F92" w:rsidP="00DA5A6A">
      <w:pPr>
        <w:spacing w:line="360" w:lineRule="auto"/>
        <w:ind w:hanging="1"/>
        <w:jc w:val="both"/>
        <w:rPr>
          <w:rFonts w:ascii="Book Antiqua" w:hAnsi="Book Antiqua"/>
        </w:rPr>
      </w:pPr>
    </w:p>
    <w:p w14:paraId="03A3BE8F" w14:textId="77777777" w:rsidR="00A77B3E" w:rsidRPr="00DA5A6A" w:rsidRDefault="00F74C48" w:rsidP="00DA5A6A">
      <w:pPr>
        <w:spacing w:line="360" w:lineRule="auto"/>
        <w:ind w:hanging="1"/>
        <w:jc w:val="both"/>
        <w:rPr>
          <w:rFonts w:ascii="Book Antiqua" w:hAnsi="Book Antiqua"/>
          <w:i/>
          <w:iCs/>
        </w:rPr>
      </w:pPr>
      <w:r w:rsidRPr="00DA5A6A">
        <w:rPr>
          <w:rFonts w:ascii="Book Antiqua" w:eastAsia="Book Antiqua" w:hAnsi="Book Antiqua" w:cs="Book Antiqua"/>
          <w:b/>
          <w:bCs/>
          <w:i/>
          <w:iCs/>
          <w:color w:val="000000"/>
          <w:shd w:val="clear" w:color="auto" w:fill="FFFFFF"/>
        </w:rPr>
        <w:t>Ipatasertib</w:t>
      </w:r>
    </w:p>
    <w:p w14:paraId="3BD21CB6" w14:textId="3575636A" w:rsidR="00A77B3E" w:rsidRPr="00DA5A6A" w:rsidRDefault="00F74C48" w:rsidP="00DA5A6A">
      <w:pPr>
        <w:spacing w:line="360" w:lineRule="auto"/>
        <w:ind w:hanging="1"/>
        <w:jc w:val="both"/>
        <w:rPr>
          <w:rFonts w:ascii="Book Antiqua" w:eastAsia="Book Antiqua" w:hAnsi="Book Antiqua" w:cs="Book Antiqua"/>
          <w:color w:val="000000"/>
          <w:shd w:val="clear" w:color="auto" w:fill="FFFFFF"/>
        </w:rPr>
      </w:pPr>
      <w:r w:rsidRPr="00DA5A6A">
        <w:rPr>
          <w:rFonts w:ascii="Book Antiqua" w:eastAsia="Book Antiqua" w:hAnsi="Book Antiqua" w:cs="Book Antiqua"/>
          <w:color w:val="000000"/>
          <w:shd w:val="clear" w:color="auto" w:fill="FFFFFF"/>
        </w:rPr>
        <w:t>The</w:t>
      </w:r>
      <w:r w:rsidR="00910A52" w:rsidRPr="00DA5A6A">
        <w:rPr>
          <w:rFonts w:ascii="Book Antiqua" w:eastAsia="Book Antiqua" w:hAnsi="Book Antiqua" w:cs="Book Antiqua"/>
          <w:color w:val="000000"/>
          <w:shd w:val="clear" w:color="auto" w:fill="FFFFFF"/>
        </w:rPr>
        <w:t xml:space="preserve"> protein kinase B</w:t>
      </w:r>
      <w:r w:rsidRPr="00DA5A6A">
        <w:rPr>
          <w:rFonts w:ascii="Book Antiqua" w:eastAsia="Book Antiqua" w:hAnsi="Book Antiqua" w:cs="Book Antiqua"/>
          <w:color w:val="000000"/>
          <w:shd w:val="clear" w:color="auto" w:fill="FFFFFF"/>
        </w:rPr>
        <w:t xml:space="preserve"> (</w:t>
      </w:r>
      <w:r w:rsidR="00910A52" w:rsidRPr="00DA5A6A">
        <w:rPr>
          <w:rFonts w:ascii="Book Antiqua" w:eastAsia="Book Antiqua" w:hAnsi="Book Antiqua" w:cs="Book Antiqua"/>
          <w:color w:val="000000"/>
          <w:shd w:val="clear" w:color="auto" w:fill="FFFFFF"/>
        </w:rPr>
        <w:t>AKT</w:t>
      </w:r>
      <w:r w:rsidRPr="00DA5A6A">
        <w:rPr>
          <w:rFonts w:ascii="Book Antiqua" w:eastAsia="Book Antiqua" w:hAnsi="Book Antiqua" w:cs="Book Antiqua"/>
          <w:color w:val="000000"/>
          <w:shd w:val="clear" w:color="auto" w:fill="FFFFFF"/>
        </w:rPr>
        <w:t>) pathway is commonly mutated in solid organ tumours playing a crucial role in cell survival and growth. AKT activation commonly occurs through phosphate and tensin homolog (PTEN) loss or PIK3CA mutations. However, targeting the AKT pathway has proven to be challenging due to the associated toxicities. Ipatasertib is a potent AKT pathway signalling inhibitor which has demonstrated tolerance and antitumour activity in early clinical studies</w:t>
      </w:r>
      <w:r w:rsidR="00EF3936"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vertAlign w:val="superscript"/>
        </w:rPr>
        <w:t>85</w:t>
      </w:r>
      <w:r w:rsidR="00EF3936"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rPr>
        <w:t xml:space="preserve">. The LOTUS trial investigated ipatasertib in 124 patients in a randomised phase 2 study of ipatasertib/paclitaxel </w:t>
      </w:r>
      <w:r w:rsidRPr="00DA5A6A">
        <w:rPr>
          <w:rFonts w:ascii="Book Antiqua" w:eastAsia="Book Antiqua" w:hAnsi="Book Antiqua" w:cs="Book Antiqua"/>
          <w:i/>
          <w:iCs/>
          <w:color w:val="000000"/>
          <w:shd w:val="clear" w:color="auto" w:fill="FFFFFF"/>
        </w:rPr>
        <w:t>vs</w:t>
      </w:r>
      <w:r w:rsidRPr="00DA5A6A">
        <w:rPr>
          <w:rFonts w:ascii="Book Antiqua" w:eastAsia="Book Antiqua" w:hAnsi="Book Antiqua" w:cs="Book Antiqua"/>
          <w:color w:val="000000"/>
          <w:shd w:val="clear" w:color="auto" w:fill="FFFFFF"/>
        </w:rPr>
        <w:t xml:space="preserve"> placebo/paclitaxel as first-line therapy for TNBC</w:t>
      </w:r>
      <w:r w:rsidR="00EF3936"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vertAlign w:val="superscript"/>
        </w:rPr>
        <w:t>86</w:t>
      </w:r>
      <w:r w:rsidR="00EF3936"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rPr>
        <w:t xml:space="preserve">. In the overall population, the median PFS was enhanced with ipatasertib (6.2 mo </w:t>
      </w:r>
      <w:r w:rsidRPr="00DA5A6A">
        <w:rPr>
          <w:rFonts w:ascii="Book Antiqua" w:eastAsia="Book Antiqua" w:hAnsi="Book Antiqua" w:cs="Book Antiqua"/>
          <w:i/>
          <w:iCs/>
          <w:color w:val="000000"/>
          <w:shd w:val="clear" w:color="auto" w:fill="FFFFFF"/>
        </w:rPr>
        <w:t>vs</w:t>
      </w:r>
      <w:r w:rsidRPr="00DA5A6A">
        <w:rPr>
          <w:rFonts w:ascii="Book Antiqua" w:eastAsia="Book Antiqua" w:hAnsi="Book Antiqua" w:cs="Book Antiqua"/>
          <w:color w:val="000000"/>
          <w:shd w:val="clear" w:color="auto" w:fill="FFFFFF"/>
        </w:rPr>
        <w:t xml:space="preserve"> 4.9 mo, HR =0.6, </w:t>
      </w:r>
      <w:r w:rsidRPr="00DA5A6A">
        <w:rPr>
          <w:rFonts w:ascii="Book Antiqua" w:eastAsia="Book Antiqua" w:hAnsi="Book Antiqua" w:cs="Book Antiqua"/>
          <w:i/>
          <w:iCs/>
          <w:color w:val="000000"/>
          <w:shd w:val="clear" w:color="auto" w:fill="FFFFFF"/>
        </w:rPr>
        <w:t>P</w:t>
      </w:r>
      <w:r w:rsidRPr="00DA5A6A">
        <w:rPr>
          <w:rFonts w:ascii="Book Antiqua" w:eastAsia="Book Antiqua" w:hAnsi="Book Antiqua" w:cs="Book Antiqua"/>
          <w:color w:val="000000"/>
          <w:shd w:val="clear" w:color="auto" w:fill="FFFFFF"/>
        </w:rPr>
        <w:t xml:space="preserve"> = 0.037). In patients with PTEN-low tumours (identified </w:t>
      </w:r>
      <w:r w:rsidRPr="00DA5A6A">
        <w:rPr>
          <w:rFonts w:ascii="Book Antiqua" w:eastAsia="Book Antiqua" w:hAnsi="Book Antiqua" w:cs="Book Antiqua"/>
          <w:i/>
          <w:iCs/>
          <w:color w:val="000000"/>
          <w:shd w:val="clear" w:color="auto" w:fill="FFFFFF"/>
        </w:rPr>
        <w:t>via</w:t>
      </w:r>
      <w:r w:rsidRPr="00DA5A6A">
        <w:rPr>
          <w:rFonts w:ascii="Book Antiqua" w:eastAsia="Book Antiqua" w:hAnsi="Book Antiqua" w:cs="Book Antiqua"/>
          <w:color w:val="000000"/>
          <w:shd w:val="clear" w:color="auto" w:fill="FFFFFF"/>
        </w:rPr>
        <w:t xml:space="preserve"> immunohistochemistry), median PFS was 6.2 mo with ipatasertib </w:t>
      </w:r>
      <w:r w:rsidRPr="00DA5A6A">
        <w:rPr>
          <w:rFonts w:ascii="Book Antiqua" w:eastAsia="Book Antiqua" w:hAnsi="Book Antiqua" w:cs="Book Antiqua"/>
          <w:i/>
          <w:iCs/>
          <w:color w:val="000000"/>
          <w:shd w:val="clear" w:color="auto" w:fill="FFFFFF"/>
        </w:rPr>
        <w:t>vs</w:t>
      </w:r>
      <w:r w:rsidRPr="00DA5A6A">
        <w:rPr>
          <w:rFonts w:ascii="Book Antiqua" w:eastAsia="Book Antiqua" w:hAnsi="Book Antiqua" w:cs="Book Antiqua"/>
          <w:color w:val="000000"/>
          <w:shd w:val="clear" w:color="auto" w:fill="FFFFFF"/>
        </w:rPr>
        <w:t xml:space="preserve"> 3.7 mo with placebo. However, within the </w:t>
      </w:r>
      <w:r w:rsidRPr="00DA5A6A">
        <w:rPr>
          <w:rFonts w:ascii="Book Antiqua" w:eastAsia="Book Antiqua" w:hAnsi="Book Antiqua" w:cs="Book Antiqua"/>
          <w:color w:val="000000"/>
        </w:rPr>
        <w:t xml:space="preserve">PIK3CA/AKT1/PTEN-altered tumours, PFS was 9 mo </w:t>
      </w:r>
      <w:r w:rsidRPr="00DA5A6A">
        <w:rPr>
          <w:rFonts w:ascii="Book Antiqua" w:eastAsia="Book Antiqua" w:hAnsi="Book Antiqua" w:cs="Book Antiqua"/>
          <w:i/>
          <w:iCs/>
          <w:color w:val="000000"/>
        </w:rPr>
        <w:t>vs</w:t>
      </w:r>
      <w:r w:rsidRPr="00DA5A6A">
        <w:rPr>
          <w:rFonts w:ascii="Book Antiqua" w:eastAsia="Book Antiqua" w:hAnsi="Book Antiqua" w:cs="Book Antiqua"/>
          <w:color w:val="000000"/>
        </w:rPr>
        <w:t xml:space="preserve"> 4.9 mo (HR 0.44, </w:t>
      </w:r>
      <w:r w:rsidRPr="00DA5A6A">
        <w:rPr>
          <w:rFonts w:ascii="Book Antiqua" w:eastAsia="Book Antiqua" w:hAnsi="Book Antiqua" w:cs="Book Antiqua"/>
          <w:i/>
          <w:iCs/>
          <w:color w:val="000000"/>
        </w:rPr>
        <w:t>P</w:t>
      </w:r>
      <w:r w:rsidRPr="00DA5A6A">
        <w:rPr>
          <w:rFonts w:ascii="Book Antiqua" w:eastAsia="Book Antiqua" w:hAnsi="Book Antiqua" w:cs="Book Antiqua"/>
          <w:color w:val="000000"/>
        </w:rPr>
        <w:t xml:space="preserve"> = 0.041).</w:t>
      </w:r>
      <w:r w:rsidRPr="00DA5A6A">
        <w:rPr>
          <w:rFonts w:ascii="Book Antiqua" w:eastAsia="Book Antiqua" w:hAnsi="Book Antiqua" w:cs="Book Antiqua"/>
          <w:color w:val="000000"/>
          <w:shd w:val="clear" w:color="auto" w:fill="FFFFFF"/>
        </w:rPr>
        <w:t xml:space="preserve"> The most common toxicity was diarrhoea in 23 % of patients in the ipatasertib arm leading to discontinuation in 3% of patients.</w:t>
      </w:r>
    </w:p>
    <w:p w14:paraId="7373A5C8" w14:textId="77777777" w:rsidR="00EF3936" w:rsidRPr="00DA5A6A" w:rsidRDefault="00EF3936" w:rsidP="00DA5A6A">
      <w:pPr>
        <w:spacing w:line="360" w:lineRule="auto"/>
        <w:ind w:hanging="1"/>
        <w:jc w:val="both"/>
        <w:rPr>
          <w:rFonts w:ascii="Book Antiqua" w:hAnsi="Book Antiqua"/>
        </w:rPr>
      </w:pPr>
    </w:p>
    <w:p w14:paraId="06A444C4" w14:textId="77777777" w:rsidR="00A77B3E" w:rsidRPr="00DA5A6A" w:rsidRDefault="00F74C48" w:rsidP="00DA5A6A">
      <w:pPr>
        <w:spacing w:line="360" w:lineRule="auto"/>
        <w:ind w:hanging="1"/>
        <w:jc w:val="both"/>
        <w:rPr>
          <w:rFonts w:ascii="Book Antiqua" w:hAnsi="Book Antiqua"/>
          <w:i/>
          <w:iCs/>
        </w:rPr>
      </w:pPr>
      <w:r w:rsidRPr="00DA5A6A">
        <w:rPr>
          <w:rFonts w:ascii="Book Antiqua" w:eastAsia="Book Antiqua" w:hAnsi="Book Antiqua" w:cs="Book Antiqua"/>
          <w:b/>
          <w:bCs/>
          <w:i/>
          <w:iCs/>
          <w:color w:val="000000"/>
          <w:shd w:val="clear" w:color="auto" w:fill="FFFFFF"/>
        </w:rPr>
        <w:t>Trilaciclib</w:t>
      </w:r>
    </w:p>
    <w:p w14:paraId="66EED417" w14:textId="41E40FDA" w:rsidR="00A77B3E" w:rsidRPr="00DA5A6A" w:rsidRDefault="00F74C48" w:rsidP="00DA5A6A">
      <w:pPr>
        <w:spacing w:line="360" w:lineRule="auto"/>
        <w:ind w:hanging="1"/>
        <w:jc w:val="both"/>
        <w:rPr>
          <w:rFonts w:ascii="Book Antiqua" w:hAnsi="Book Antiqua"/>
        </w:rPr>
      </w:pPr>
      <w:r w:rsidRPr="00DA5A6A">
        <w:rPr>
          <w:rFonts w:ascii="Book Antiqua" w:eastAsia="Book Antiqua" w:hAnsi="Book Antiqua" w:cs="Book Antiqua"/>
          <w:color w:val="000000"/>
          <w:shd w:val="clear" w:color="auto" w:fill="FFFFFF"/>
        </w:rPr>
        <w:t>Trilaciclib is a potent, intravenous cyclin dependent kinase 4/6 (CDK4/6) inhibitor which is thought to acutely protect from cytotoxic associated myelosuppression and may promote immunogenic tumour cell death</w:t>
      </w:r>
      <w:r w:rsidR="00EF3936"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vertAlign w:val="superscript"/>
        </w:rPr>
        <w:t>87</w:t>
      </w:r>
      <w:r w:rsidR="00EF3936"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rPr>
        <w:t>. A phase II study of trilaciclib in TNBC in combination with the doublet of gemcitabine/carboplatin was designed to identify a reduction in myelosuppression associated with chemotherapy</w:t>
      </w:r>
      <w:r w:rsidR="00EF3936"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vertAlign w:val="superscript"/>
        </w:rPr>
        <w:t>88</w:t>
      </w:r>
      <w:r w:rsidR="00EF3936" w:rsidRPr="00DA5A6A">
        <w:rPr>
          <w:rFonts w:ascii="Book Antiqua" w:eastAsia="Book Antiqua" w:hAnsi="Book Antiqua" w:cs="Book Antiqua"/>
          <w:color w:val="000000"/>
          <w:shd w:val="clear" w:color="auto" w:fill="FFFFFF"/>
          <w:vertAlign w:val="superscript"/>
        </w:rPr>
        <w:t>]</w:t>
      </w:r>
      <w:r w:rsidRPr="00DA5A6A">
        <w:rPr>
          <w:rFonts w:ascii="Book Antiqua" w:eastAsia="Book Antiqua" w:hAnsi="Book Antiqua" w:cs="Book Antiqua"/>
          <w:color w:val="000000"/>
          <w:shd w:val="clear" w:color="auto" w:fill="FFFFFF"/>
        </w:rPr>
        <w:t>. Patients (</w:t>
      </w:r>
      <w:r w:rsidRPr="00DA5A6A">
        <w:rPr>
          <w:rFonts w:ascii="Book Antiqua" w:eastAsia="Book Antiqua" w:hAnsi="Book Antiqua" w:cs="Book Antiqua"/>
          <w:i/>
          <w:iCs/>
          <w:color w:val="000000"/>
          <w:shd w:val="clear" w:color="auto" w:fill="FFFFFF"/>
        </w:rPr>
        <w:t>n</w:t>
      </w:r>
      <w:r w:rsidRPr="00DA5A6A">
        <w:rPr>
          <w:rFonts w:ascii="Book Antiqua" w:eastAsia="Book Antiqua" w:hAnsi="Book Antiqua" w:cs="Book Antiqua"/>
          <w:color w:val="000000"/>
          <w:shd w:val="clear" w:color="auto" w:fill="FFFFFF"/>
        </w:rPr>
        <w:t xml:space="preserve"> = 102) were assigned in a 1:1:1 fashion to (Cohort 1) gemcitabine/carboplatin alone </w:t>
      </w:r>
      <w:r w:rsidRPr="00DA5A6A">
        <w:rPr>
          <w:rFonts w:ascii="Book Antiqua" w:eastAsia="Book Antiqua" w:hAnsi="Book Antiqua" w:cs="Book Antiqua"/>
          <w:i/>
          <w:iCs/>
          <w:color w:val="000000"/>
          <w:shd w:val="clear" w:color="auto" w:fill="FFFFFF"/>
        </w:rPr>
        <w:t>vs</w:t>
      </w:r>
      <w:r w:rsidRPr="00DA5A6A">
        <w:rPr>
          <w:rFonts w:ascii="Book Antiqua" w:eastAsia="Book Antiqua" w:hAnsi="Book Antiqua" w:cs="Book Antiqua"/>
          <w:color w:val="000000"/>
          <w:shd w:val="clear" w:color="auto" w:fill="FFFFFF"/>
        </w:rPr>
        <w:t xml:space="preserve"> (Cohort 2) </w:t>
      </w:r>
      <w:r w:rsidRPr="00DA5A6A">
        <w:rPr>
          <w:rFonts w:ascii="Book Antiqua" w:eastAsia="Book Antiqua" w:hAnsi="Book Antiqua" w:cs="Book Antiqua"/>
          <w:color w:val="000000"/>
          <w:shd w:val="clear" w:color="auto" w:fill="FFFFFF"/>
        </w:rPr>
        <w:lastRenderedPageBreak/>
        <w:t xml:space="preserve">gemcitabine/carboplatin/trilaciclib (D1/D8) </w:t>
      </w:r>
      <w:r w:rsidRPr="00DA5A6A">
        <w:rPr>
          <w:rFonts w:ascii="Book Antiqua" w:eastAsia="Book Antiqua" w:hAnsi="Book Antiqua" w:cs="Book Antiqua"/>
          <w:i/>
          <w:iCs/>
          <w:color w:val="000000"/>
          <w:shd w:val="clear" w:color="auto" w:fill="FFFFFF"/>
        </w:rPr>
        <w:t>vs</w:t>
      </w:r>
      <w:r w:rsidRPr="00DA5A6A">
        <w:rPr>
          <w:rFonts w:ascii="Book Antiqua" w:eastAsia="Book Antiqua" w:hAnsi="Book Antiqua" w:cs="Book Antiqua"/>
          <w:color w:val="000000"/>
          <w:shd w:val="clear" w:color="auto" w:fill="FFFFFF"/>
        </w:rPr>
        <w:t xml:space="preserve"> (Cohort 3) gemcitabine/carboplatin (D2/D9) </w:t>
      </w:r>
      <w:r w:rsidR="00EF3936" w:rsidRPr="00DA5A6A">
        <w:rPr>
          <w:rFonts w:ascii="Book Antiqua" w:eastAsia="Book Antiqua" w:hAnsi="Book Antiqua" w:cs="Book Antiqua"/>
          <w:color w:val="000000"/>
          <w:shd w:val="clear" w:color="auto" w:fill="FFFFFF"/>
        </w:rPr>
        <w:t>and</w:t>
      </w:r>
      <w:r w:rsidRPr="00DA5A6A">
        <w:rPr>
          <w:rFonts w:ascii="Book Antiqua" w:eastAsia="Book Antiqua" w:hAnsi="Book Antiqua" w:cs="Book Antiqua"/>
          <w:color w:val="000000"/>
          <w:shd w:val="clear" w:color="auto" w:fill="FFFFFF"/>
        </w:rPr>
        <w:t xml:space="preserve"> Trilaciclib (D1/2/8/9). Approximately 2/3</w:t>
      </w:r>
      <w:r w:rsidRPr="00DA5A6A">
        <w:rPr>
          <w:rFonts w:ascii="Book Antiqua" w:eastAsia="Book Antiqua" w:hAnsi="Book Antiqua" w:cs="Book Antiqua"/>
          <w:color w:val="000000"/>
          <w:shd w:val="clear" w:color="auto" w:fill="FFFFFF"/>
          <w:vertAlign w:val="superscript"/>
        </w:rPr>
        <w:t>rd</w:t>
      </w:r>
      <w:r w:rsidR="00EF3936" w:rsidRPr="00DA5A6A">
        <w:rPr>
          <w:rFonts w:ascii="Book Antiqua" w:eastAsia="Book Antiqua" w:hAnsi="Book Antiqua" w:cs="Book Antiqua"/>
          <w:color w:val="000000"/>
          <w:shd w:val="clear" w:color="auto" w:fill="FFFFFF"/>
          <w:vertAlign w:val="superscript"/>
        </w:rPr>
        <w:t>s</w:t>
      </w:r>
      <w:r w:rsidRPr="00DA5A6A">
        <w:rPr>
          <w:rFonts w:ascii="Book Antiqua" w:eastAsia="Book Antiqua" w:hAnsi="Book Antiqua" w:cs="Book Antiqua"/>
          <w:color w:val="000000"/>
          <w:shd w:val="clear" w:color="auto" w:fill="FFFFFF"/>
        </w:rPr>
        <w:t xml:space="preserve"> of patients were treatment naïve (in the metastatic setting). There was no significant difference in myelosuppression between the groups, however there was a significant </w:t>
      </w:r>
      <w:r w:rsidR="00970DFA">
        <w:rPr>
          <w:rFonts w:ascii="Book Antiqua" w:eastAsia="Book Antiqua" w:hAnsi="Book Antiqua" w:cs="Book Antiqua"/>
          <w:color w:val="000000"/>
          <w:shd w:val="clear" w:color="auto" w:fill="FFFFFF"/>
        </w:rPr>
        <w:t>OS</w:t>
      </w:r>
      <w:r w:rsidRPr="00DA5A6A">
        <w:rPr>
          <w:rFonts w:ascii="Book Antiqua" w:eastAsia="Book Antiqua" w:hAnsi="Book Antiqua" w:cs="Book Antiqua"/>
          <w:color w:val="000000"/>
          <w:shd w:val="clear" w:color="auto" w:fill="FFFFFF"/>
        </w:rPr>
        <w:t xml:space="preserve"> benefit in the trilaciclib arms. Patients in Cohort 1 had a median </w:t>
      </w:r>
      <w:r w:rsidR="00970DFA">
        <w:rPr>
          <w:rFonts w:ascii="Book Antiqua" w:eastAsia="Book Antiqua" w:hAnsi="Book Antiqua" w:cs="Book Antiqua"/>
          <w:color w:val="000000"/>
          <w:shd w:val="clear" w:color="auto" w:fill="FFFFFF"/>
        </w:rPr>
        <w:t>OS</w:t>
      </w:r>
      <w:r w:rsidRPr="00DA5A6A">
        <w:rPr>
          <w:rFonts w:ascii="Book Antiqua" w:eastAsia="Book Antiqua" w:hAnsi="Book Antiqua" w:cs="Book Antiqua"/>
          <w:color w:val="000000"/>
          <w:shd w:val="clear" w:color="auto" w:fill="FFFFFF"/>
        </w:rPr>
        <w:t xml:space="preserve"> of 12.6 mo </w:t>
      </w:r>
      <w:r w:rsidRPr="00DA5A6A">
        <w:rPr>
          <w:rFonts w:ascii="Book Antiqua" w:eastAsia="Book Antiqua" w:hAnsi="Book Antiqua" w:cs="Book Antiqua"/>
          <w:i/>
          <w:iCs/>
          <w:color w:val="000000"/>
          <w:shd w:val="clear" w:color="auto" w:fill="FFFFFF"/>
        </w:rPr>
        <w:t>vs</w:t>
      </w:r>
      <w:r w:rsidRPr="00DA5A6A">
        <w:rPr>
          <w:rFonts w:ascii="Book Antiqua" w:eastAsia="Book Antiqua" w:hAnsi="Book Antiqua" w:cs="Book Antiqua"/>
          <w:color w:val="000000"/>
          <w:shd w:val="clear" w:color="auto" w:fill="FFFFFF"/>
        </w:rPr>
        <w:t xml:space="preserve"> 20.6 mo in Cohort 2 and 17.6 mo in Cohort 3. </w:t>
      </w:r>
    </w:p>
    <w:p w14:paraId="734B5BBB" w14:textId="77777777" w:rsidR="00A77B3E" w:rsidRPr="00DA5A6A" w:rsidRDefault="00A77B3E" w:rsidP="00DA5A6A">
      <w:pPr>
        <w:spacing w:line="360" w:lineRule="auto"/>
        <w:ind w:hanging="1"/>
        <w:jc w:val="both"/>
        <w:rPr>
          <w:rFonts w:ascii="Book Antiqua" w:hAnsi="Book Antiqua"/>
        </w:rPr>
      </w:pPr>
    </w:p>
    <w:p w14:paraId="2D0B0BEC" w14:textId="77777777"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b/>
          <w:caps/>
          <w:color w:val="000000"/>
          <w:u w:val="single"/>
        </w:rPr>
        <w:t>CONCLUSION</w:t>
      </w:r>
    </w:p>
    <w:p w14:paraId="1BD5214C" w14:textId="1126E420" w:rsidR="00A77B3E" w:rsidRPr="00DA5A6A" w:rsidRDefault="00F74C48" w:rsidP="00DA5A6A">
      <w:pPr>
        <w:spacing w:line="360" w:lineRule="auto"/>
        <w:ind w:hanging="1"/>
        <w:jc w:val="both"/>
        <w:rPr>
          <w:rFonts w:ascii="Book Antiqua" w:hAnsi="Book Antiqua"/>
        </w:rPr>
      </w:pPr>
      <w:r w:rsidRPr="00DA5A6A">
        <w:rPr>
          <w:rFonts w:ascii="Book Antiqua" w:eastAsia="Book Antiqua" w:hAnsi="Book Antiqua" w:cs="Book Antiqua"/>
          <w:color w:val="000000"/>
          <w:shd w:val="clear" w:color="auto" w:fill="FFFFFF"/>
        </w:rPr>
        <w:t xml:space="preserve">Despite recent advances, metastatic TNBC remains an aggressive disease which predominantly affects younger patients. Recent advances in pre-clinical science have demonstrated an impressive rationale for the use of IO and PARPi. </w:t>
      </w:r>
    </w:p>
    <w:p w14:paraId="5A167458" w14:textId="7F4C7336" w:rsidR="00A77B3E" w:rsidRPr="00DA5A6A" w:rsidRDefault="00F74C48" w:rsidP="00DA5A6A">
      <w:pPr>
        <w:spacing w:line="360" w:lineRule="auto"/>
        <w:ind w:firstLineChars="200" w:firstLine="480"/>
        <w:jc w:val="both"/>
        <w:rPr>
          <w:rFonts w:ascii="Book Antiqua" w:hAnsi="Book Antiqua"/>
        </w:rPr>
      </w:pPr>
      <w:r w:rsidRPr="00DA5A6A">
        <w:rPr>
          <w:rFonts w:ascii="Book Antiqua" w:eastAsia="Book Antiqua" w:hAnsi="Book Antiqua" w:cs="Book Antiqua"/>
          <w:color w:val="000000"/>
          <w:shd w:val="clear" w:color="auto" w:fill="FFFFFF"/>
        </w:rPr>
        <w:t>There is evidence of activity for the use PD</w:t>
      </w:r>
      <w:r w:rsidR="00927219">
        <w:rPr>
          <w:rFonts w:ascii="Book Antiqua" w:eastAsia="Book Antiqua" w:hAnsi="Book Antiqua" w:cs="Book Antiqua"/>
          <w:color w:val="000000"/>
          <w:shd w:val="clear" w:color="auto" w:fill="FFFFFF"/>
        </w:rPr>
        <w:t>-</w:t>
      </w:r>
      <w:r w:rsidRPr="00DA5A6A">
        <w:rPr>
          <w:rFonts w:ascii="Book Antiqua" w:eastAsia="Book Antiqua" w:hAnsi="Book Antiqua" w:cs="Book Antiqua"/>
          <w:color w:val="000000"/>
          <w:shd w:val="clear" w:color="auto" w:fill="FFFFFF"/>
        </w:rPr>
        <w:t xml:space="preserve">L1 or PD-1 inhibitors in the first-line setting of TNBC. However, this has not yet resulted in statistically significant improvements in </w:t>
      </w:r>
      <w:r w:rsidR="00970DFA">
        <w:rPr>
          <w:rFonts w:ascii="Book Antiqua" w:eastAsia="Book Antiqua" w:hAnsi="Book Antiqua" w:cs="Book Antiqua"/>
          <w:color w:val="000000"/>
          <w:shd w:val="clear" w:color="auto" w:fill="FFFFFF"/>
        </w:rPr>
        <w:t>OS</w:t>
      </w:r>
      <w:r w:rsidRPr="00DA5A6A">
        <w:rPr>
          <w:rFonts w:ascii="Book Antiqua" w:eastAsia="Book Antiqua" w:hAnsi="Book Antiqua" w:cs="Book Antiqua"/>
          <w:color w:val="000000"/>
          <w:shd w:val="clear" w:color="auto" w:fill="FFFFFF"/>
        </w:rPr>
        <w:t xml:space="preserve">. Additionally, it remains unclear why findings with the combination of nab-paclitaxel and atezolizumab were not reproducible when atezolizumab was combined with paclitaxel. </w:t>
      </w:r>
      <w:r w:rsidR="00970DFA">
        <w:rPr>
          <w:rFonts w:ascii="Book Antiqua" w:eastAsia="Book Antiqua" w:hAnsi="Book Antiqua" w:cs="Book Antiqua"/>
          <w:color w:val="000000"/>
          <w:shd w:val="clear" w:color="auto" w:fill="FFFFFF"/>
        </w:rPr>
        <w:t>OS</w:t>
      </w:r>
      <w:r w:rsidRPr="00DA5A6A">
        <w:rPr>
          <w:rFonts w:ascii="Book Antiqua" w:eastAsia="Book Antiqua" w:hAnsi="Book Antiqua" w:cs="Book Antiqua"/>
          <w:color w:val="000000"/>
          <w:shd w:val="clear" w:color="auto" w:fill="FFFFFF"/>
        </w:rPr>
        <w:t xml:space="preserve"> analysis from the KEYNOTE</w:t>
      </w:r>
      <w:r w:rsidR="00927219">
        <w:rPr>
          <w:rFonts w:ascii="Book Antiqua" w:eastAsia="Book Antiqua" w:hAnsi="Book Antiqua" w:cs="Book Antiqua"/>
          <w:color w:val="000000"/>
          <w:shd w:val="clear" w:color="auto" w:fill="FFFFFF"/>
        </w:rPr>
        <w:t>-</w:t>
      </w:r>
      <w:r w:rsidRPr="00DA5A6A">
        <w:rPr>
          <w:rFonts w:ascii="Book Antiqua" w:eastAsia="Book Antiqua" w:hAnsi="Book Antiqua" w:cs="Book Antiqua"/>
          <w:color w:val="000000"/>
          <w:shd w:val="clear" w:color="auto" w:fill="FFFFFF"/>
        </w:rPr>
        <w:t>355 study may assist us in reaching final conclusions for the up-front combination of IO and chemotherapy. However, these conflicting results suggest that the addition of IO into routine practice should be done so with caution.</w:t>
      </w:r>
    </w:p>
    <w:p w14:paraId="2BCC14EB" w14:textId="00DA607C" w:rsidR="00A77B3E" w:rsidRPr="00DA5A6A" w:rsidRDefault="00F74C48" w:rsidP="00DA5A6A">
      <w:pPr>
        <w:spacing w:line="360" w:lineRule="auto"/>
        <w:ind w:firstLineChars="200" w:firstLine="480"/>
        <w:jc w:val="both"/>
        <w:rPr>
          <w:rFonts w:ascii="Book Antiqua" w:hAnsi="Book Antiqua"/>
        </w:rPr>
      </w:pPr>
      <w:r w:rsidRPr="00DA5A6A">
        <w:rPr>
          <w:rFonts w:ascii="Book Antiqua" w:eastAsia="Book Antiqua" w:hAnsi="Book Antiqua" w:cs="Book Antiqua"/>
          <w:color w:val="000000"/>
          <w:shd w:val="clear" w:color="auto" w:fill="FFFFFF"/>
        </w:rPr>
        <w:t>Patients with g BRCA mutations have a consistent but modest PFS benefit of 1-3 mo across multiple phase I/II/III studies. However, these have unfortunately not translated into an OS benefit. While PARPi may have a future role in the treatment paradigm for TNBC, the OS benefits for patients remains unclear.</w:t>
      </w:r>
    </w:p>
    <w:p w14:paraId="1356A0BD" w14:textId="62CAB416" w:rsidR="00A77B3E" w:rsidRPr="00DA5A6A" w:rsidRDefault="00F74C48" w:rsidP="00DA5A6A">
      <w:pPr>
        <w:spacing w:line="360" w:lineRule="auto"/>
        <w:ind w:firstLineChars="200" w:firstLine="480"/>
        <w:jc w:val="both"/>
        <w:rPr>
          <w:rFonts w:ascii="Book Antiqua" w:hAnsi="Book Antiqua"/>
        </w:rPr>
      </w:pPr>
      <w:r w:rsidRPr="00DA5A6A">
        <w:rPr>
          <w:rFonts w:ascii="Book Antiqua" w:eastAsia="Book Antiqua" w:hAnsi="Book Antiqua" w:cs="Book Antiqua"/>
          <w:color w:val="000000"/>
          <w:shd w:val="clear" w:color="auto" w:fill="FFFFFF"/>
        </w:rPr>
        <w:t>Encouragingly, antibody-drug conjugates and targeted therapies have demonstrated impressive response rates and PFS benefits in the monotherapy or combination settings in patients with TNBC. Most recently,</w:t>
      </w:r>
      <w:r w:rsidR="00EF3936" w:rsidRPr="00DA5A6A">
        <w:rPr>
          <w:rFonts w:ascii="Book Antiqua" w:eastAsia="Book Antiqua" w:hAnsi="Book Antiqua" w:cs="Book Antiqua"/>
          <w:color w:val="000000"/>
          <w:shd w:val="clear" w:color="auto" w:fill="FFFFFF"/>
        </w:rPr>
        <w:t xml:space="preserve"> </w:t>
      </w:r>
      <w:r w:rsidRPr="00DA5A6A">
        <w:rPr>
          <w:rFonts w:ascii="Book Antiqua" w:eastAsia="Book Antiqua" w:hAnsi="Book Antiqua" w:cs="Book Antiqua"/>
          <w:color w:val="000000"/>
          <w:shd w:val="clear" w:color="auto" w:fill="FFFFFF"/>
        </w:rPr>
        <w:t xml:space="preserve">SG has demonstrated an impressive 6 mo’ </w:t>
      </w:r>
      <w:r w:rsidR="00970DFA">
        <w:rPr>
          <w:rFonts w:ascii="Book Antiqua" w:eastAsia="Book Antiqua" w:hAnsi="Book Antiqua" w:cs="Book Antiqua"/>
          <w:color w:val="000000"/>
          <w:shd w:val="clear" w:color="auto" w:fill="FFFFFF"/>
        </w:rPr>
        <w:t>OS</w:t>
      </w:r>
      <w:r w:rsidRPr="00DA5A6A">
        <w:rPr>
          <w:rFonts w:ascii="Book Antiqua" w:eastAsia="Book Antiqua" w:hAnsi="Book Antiqua" w:cs="Book Antiqua"/>
          <w:color w:val="000000"/>
          <w:shd w:val="clear" w:color="auto" w:fill="FFFFFF"/>
        </w:rPr>
        <w:t xml:space="preserve"> benefit in a heavily pre-treated population. It is likely that SG will have a significant role to play in the future of TNBC in the monotherapy or combination setting.</w:t>
      </w:r>
    </w:p>
    <w:p w14:paraId="143A304B" w14:textId="313CF3B2" w:rsidR="00A77B3E" w:rsidRPr="00DA5A6A" w:rsidRDefault="00F74C48" w:rsidP="00DA5A6A">
      <w:pPr>
        <w:spacing w:line="360" w:lineRule="auto"/>
        <w:ind w:firstLineChars="200" w:firstLine="480"/>
        <w:jc w:val="both"/>
        <w:rPr>
          <w:rFonts w:ascii="Book Antiqua" w:eastAsia="Book Antiqua" w:hAnsi="Book Antiqua" w:cs="Book Antiqua"/>
          <w:color w:val="000000"/>
          <w:shd w:val="clear" w:color="auto" w:fill="FFFFFF"/>
        </w:rPr>
      </w:pPr>
      <w:r w:rsidRPr="00DA5A6A">
        <w:rPr>
          <w:rFonts w:ascii="Book Antiqua" w:eastAsia="Book Antiqua" w:hAnsi="Book Antiqua" w:cs="Book Antiqua"/>
          <w:color w:val="000000"/>
          <w:shd w:val="clear" w:color="auto" w:fill="FFFFFF"/>
        </w:rPr>
        <w:t xml:space="preserve">It is likely that the future of metastatic TNBC will involve treatment algorithms with combination approaches using chemotherapy, immunotherapy, PARPi, ADC and </w:t>
      </w:r>
      <w:r w:rsidRPr="00DA5A6A">
        <w:rPr>
          <w:rFonts w:ascii="Book Antiqua" w:eastAsia="Book Antiqua" w:hAnsi="Book Antiqua" w:cs="Book Antiqua"/>
          <w:color w:val="000000"/>
          <w:shd w:val="clear" w:color="auto" w:fill="FFFFFF"/>
        </w:rPr>
        <w:lastRenderedPageBreak/>
        <w:t>targeted therapies. Hopefully, the combination of the old and new will ensure that clinical outcomes continue to improve for our patients.</w:t>
      </w:r>
    </w:p>
    <w:p w14:paraId="130A3AED" w14:textId="77777777" w:rsidR="009418A6" w:rsidRPr="00DA5A6A" w:rsidRDefault="009418A6" w:rsidP="00DA5A6A">
      <w:pPr>
        <w:spacing w:line="360" w:lineRule="auto"/>
        <w:jc w:val="both"/>
        <w:rPr>
          <w:rFonts w:ascii="Book Antiqua" w:eastAsia="Book Antiqua" w:hAnsi="Book Antiqua" w:cs="Book Antiqua"/>
          <w:b/>
          <w:bCs/>
          <w:i/>
          <w:iCs/>
          <w:color w:val="000000"/>
          <w:shd w:val="clear" w:color="auto" w:fill="FFFFFF"/>
        </w:rPr>
      </w:pPr>
    </w:p>
    <w:p w14:paraId="175B6B84" w14:textId="57BD44EE" w:rsidR="00A77B3E" w:rsidRPr="00DA5A6A" w:rsidRDefault="00F74C48" w:rsidP="00DA5A6A">
      <w:pPr>
        <w:spacing w:line="360" w:lineRule="auto"/>
        <w:jc w:val="both"/>
        <w:rPr>
          <w:rFonts w:ascii="Book Antiqua" w:hAnsi="Book Antiqua"/>
          <w:i/>
          <w:iCs/>
        </w:rPr>
      </w:pPr>
      <w:r w:rsidRPr="00DA5A6A">
        <w:rPr>
          <w:rFonts w:ascii="Book Antiqua" w:eastAsia="Book Antiqua" w:hAnsi="Book Antiqua" w:cs="Book Antiqua"/>
          <w:b/>
          <w:bCs/>
          <w:i/>
          <w:iCs/>
          <w:color w:val="000000"/>
          <w:shd w:val="clear" w:color="auto" w:fill="FFFFFF"/>
        </w:rPr>
        <w:t xml:space="preserve">Clinical </w:t>
      </w:r>
      <w:r w:rsidR="00EF3936" w:rsidRPr="00DA5A6A">
        <w:rPr>
          <w:rFonts w:ascii="Book Antiqua" w:eastAsia="Book Antiqua" w:hAnsi="Book Antiqua" w:cs="Book Antiqua"/>
          <w:b/>
          <w:bCs/>
          <w:i/>
          <w:iCs/>
          <w:color w:val="000000"/>
          <w:shd w:val="clear" w:color="auto" w:fill="FFFFFF"/>
        </w:rPr>
        <w:t>p</w:t>
      </w:r>
      <w:r w:rsidRPr="00DA5A6A">
        <w:rPr>
          <w:rFonts w:ascii="Book Antiqua" w:eastAsia="Book Antiqua" w:hAnsi="Book Antiqua" w:cs="Book Antiqua"/>
          <w:b/>
          <w:bCs/>
          <w:i/>
          <w:iCs/>
          <w:color w:val="000000"/>
          <w:shd w:val="clear" w:color="auto" w:fill="FFFFFF"/>
        </w:rPr>
        <w:t xml:space="preserve">ractice </w:t>
      </w:r>
      <w:r w:rsidR="00EF3936" w:rsidRPr="00DA5A6A">
        <w:rPr>
          <w:rFonts w:ascii="Book Antiqua" w:eastAsia="Book Antiqua" w:hAnsi="Book Antiqua" w:cs="Book Antiqua"/>
          <w:b/>
          <w:bCs/>
          <w:i/>
          <w:iCs/>
          <w:color w:val="000000"/>
          <w:shd w:val="clear" w:color="auto" w:fill="FFFFFF"/>
        </w:rPr>
        <w:t>p</w:t>
      </w:r>
      <w:r w:rsidRPr="00DA5A6A">
        <w:rPr>
          <w:rFonts w:ascii="Book Antiqua" w:eastAsia="Book Antiqua" w:hAnsi="Book Antiqua" w:cs="Book Antiqua"/>
          <w:b/>
          <w:bCs/>
          <w:i/>
          <w:iCs/>
          <w:color w:val="000000"/>
          <w:shd w:val="clear" w:color="auto" w:fill="FFFFFF"/>
        </w:rPr>
        <w:t>oints</w:t>
      </w:r>
    </w:p>
    <w:p w14:paraId="6DEEC469" w14:textId="51C4FE50" w:rsidR="00A77B3E" w:rsidRPr="00DA5A6A" w:rsidRDefault="00F2709B" w:rsidP="00AA0234">
      <w:pPr>
        <w:spacing w:line="360" w:lineRule="auto"/>
        <w:jc w:val="both"/>
        <w:rPr>
          <w:rFonts w:ascii="Book Antiqua" w:hAnsi="Book Antiqua"/>
        </w:rPr>
      </w:pPr>
      <w:r>
        <w:rPr>
          <w:rFonts w:ascii="Book Antiqua" w:eastAsia="Book Antiqua" w:hAnsi="Book Antiqua" w:cs="Book Antiqua"/>
          <w:color w:val="000000"/>
          <w:shd w:val="clear" w:color="auto" w:fill="FFFFFF"/>
        </w:rPr>
        <w:t>(</w:t>
      </w:r>
      <w:r w:rsidR="00646F22" w:rsidRPr="00DA5A6A">
        <w:rPr>
          <w:rFonts w:ascii="Book Antiqua" w:eastAsia="Book Antiqua" w:hAnsi="Book Antiqua" w:cs="Book Antiqua"/>
          <w:color w:val="000000"/>
          <w:shd w:val="clear" w:color="auto" w:fill="FFFFFF"/>
        </w:rPr>
        <w:t>1</w:t>
      </w:r>
      <w:r>
        <w:rPr>
          <w:rFonts w:ascii="Book Antiqua" w:eastAsia="Book Antiqua" w:hAnsi="Book Antiqua" w:cs="Book Antiqua"/>
          <w:color w:val="000000"/>
          <w:shd w:val="clear" w:color="auto" w:fill="FFFFFF"/>
        </w:rPr>
        <w:t xml:space="preserve">) </w:t>
      </w:r>
      <w:r w:rsidR="00F74C48" w:rsidRPr="00DA5A6A">
        <w:rPr>
          <w:rFonts w:ascii="Book Antiqua" w:eastAsia="Book Antiqua" w:hAnsi="Book Antiqua" w:cs="Book Antiqua"/>
          <w:color w:val="000000"/>
          <w:shd w:val="clear" w:color="auto" w:fill="FFFFFF"/>
        </w:rPr>
        <w:t xml:space="preserve">Despite recent </w:t>
      </w:r>
      <w:r w:rsidR="009418A6" w:rsidRPr="00DA5A6A">
        <w:rPr>
          <w:rFonts w:ascii="Book Antiqua" w:eastAsia="Book Antiqua" w:hAnsi="Book Antiqua" w:cs="Book Antiqua"/>
          <w:color w:val="000000"/>
          <w:shd w:val="clear" w:color="auto" w:fill="FFFFFF"/>
        </w:rPr>
        <w:t>drug developments</w:t>
      </w:r>
      <w:r w:rsidR="002F357F" w:rsidRPr="00DA5A6A">
        <w:rPr>
          <w:rFonts w:ascii="Book Antiqua" w:eastAsia="Book Antiqua" w:hAnsi="Book Antiqua" w:cs="Book Antiqua"/>
          <w:color w:val="000000"/>
          <w:shd w:val="clear" w:color="auto" w:fill="FFFFFF"/>
        </w:rPr>
        <w:t>, chemotherapy remains integral to the management of advanced</w:t>
      </w:r>
      <w:r w:rsidR="00F74C48" w:rsidRPr="00DA5A6A">
        <w:rPr>
          <w:rFonts w:ascii="Book Antiqua" w:eastAsia="Book Antiqua" w:hAnsi="Book Antiqua" w:cs="Book Antiqua"/>
          <w:color w:val="000000"/>
          <w:shd w:val="clear" w:color="auto" w:fill="FFFFFF"/>
        </w:rPr>
        <w:t xml:space="preserve"> TNBC</w:t>
      </w:r>
      <w:r w:rsidR="00AA02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(2) </w:t>
      </w:r>
      <w:r w:rsidR="00AA0234">
        <w:rPr>
          <w:rFonts w:ascii="Book Antiqua" w:eastAsia="Book Antiqua" w:hAnsi="Book Antiqua" w:cs="Book Antiqua"/>
          <w:color w:val="000000"/>
          <w:shd w:val="clear" w:color="auto" w:fill="FFFFFF"/>
        </w:rPr>
        <w:t>i</w:t>
      </w:r>
      <w:r w:rsidR="00F74C48" w:rsidRPr="00DA5A6A">
        <w:rPr>
          <w:rFonts w:ascii="Book Antiqua" w:eastAsia="Book Antiqua" w:hAnsi="Book Antiqua" w:cs="Book Antiqua"/>
          <w:color w:val="000000"/>
          <w:shd w:val="clear" w:color="auto" w:fill="FFFFFF"/>
        </w:rPr>
        <w:t>mmunotherapy and PARPi have shown much promise but have yet to demonstrate a proven OS benefit in this disease</w:t>
      </w:r>
      <w:r w:rsidR="00AA0234">
        <w:rPr>
          <w:rFonts w:ascii="Book Antiqua" w:eastAsia="Book Antiqua" w:hAnsi="Book Antiqua" w:cs="Book Antiqua"/>
          <w:color w:val="000000"/>
          <w:shd w:val="clear" w:color="auto" w:fill="FFFFFF"/>
        </w:rPr>
        <w:t>;</w:t>
      </w:r>
      <w:r w:rsidR="00AA0234">
        <w:rPr>
          <w:rFonts w:ascii="Book Antiqua" w:hAnsi="Book Antiqua" w:hint="eastAsia"/>
          <w:lang w:eastAsia="zh-CN"/>
        </w:rPr>
        <w:t xml:space="preserve"> </w:t>
      </w:r>
      <w:r w:rsidR="00AA0234">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nd (3) </w:t>
      </w:r>
      <w:r w:rsidR="00AA0234">
        <w:rPr>
          <w:rFonts w:ascii="Book Antiqua" w:eastAsia="Book Antiqua" w:hAnsi="Book Antiqua" w:cs="Book Antiqua"/>
          <w:color w:val="000000"/>
          <w:shd w:val="clear" w:color="auto" w:fill="FFFFFF"/>
        </w:rPr>
        <w:t>a</w:t>
      </w:r>
      <w:r w:rsidR="00F74C48" w:rsidRPr="00DA5A6A">
        <w:rPr>
          <w:rFonts w:ascii="Book Antiqua" w:eastAsia="Book Antiqua" w:hAnsi="Book Antiqua" w:cs="Book Antiqua"/>
          <w:color w:val="000000"/>
          <w:shd w:val="clear" w:color="auto" w:fill="FFFFFF"/>
        </w:rPr>
        <w:t>ntibody drug conjugates and other targeted therapies may ultimately prove to be the next frontier in treating this illness</w:t>
      </w:r>
      <w:r w:rsidR="00EF3936" w:rsidRPr="00DA5A6A">
        <w:rPr>
          <w:rFonts w:ascii="Book Antiqua" w:eastAsia="Book Antiqua" w:hAnsi="Book Antiqua" w:cs="Book Antiqua"/>
          <w:color w:val="000000"/>
          <w:shd w:val="clear" w:color="auto" w:fill="FFFFFF"/>
        </w:rPr>
        <w:t>.</w:t>
      </w:r>
    </w:p>
    <w:p w14:paraId="0CF45E6D" w14:textId="77777777" w:rsidR="00E00EFF" w:rsidRPr="00DA5A6A" w:rsidRDefault="00E00EFF" w:rsidP="00DA5A6A">
      <w:pPr>
        <w:spacing w:line="360" w:lineRule="auto"/>
        <w:jc w:val="both"/>
        <w:rPr>
          <w:rFonts w:ascii="Book Antiqua" w:hAnsi="Book Antiqua"/>
        </w:rPr>
      </w:pPr>
    </w:p>
    <w:p w14:paraId="083FFEE1" w14:textId="70A53522"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b/>
          <w:color w:val="000000"/>
        </w:rPr>
        <w:t>REFERENCES</w:t>
      </w:r>
    </w:p>
    <w:p w14:paraId="1A627522" w14:textId="1F88EDC1" w:rsidR="00421EA9" w:rsidRPr="00DA5A6A" w:rsidRDefault="00421EA9" w:rsidP="00DA5A6A">
      <w:pPr>
        <w:spacing w:line="360" w:lineRule="auto"/>
        <w:jc w:val="both"/>
        <w:rPr>
          <w:rFonts w:ascii="Book Antiqua" w:hAnsi="Book Antiqua"/>
        </w:rPr>
      </w:pPr>
      <w:bookmarkStart w:id="2" w:name="OLE_LINK2579"/>
      <w:r w:rsidRPr="00DA5A6A">
        <w:rPr>
          <w:rFonts w:ascii="Book Antiqua" w:hAnsi="Book Antiqua"/>
        </w:rPr>
        <w:t xml:space="preserve">1 </w:t>
      </w:r>
      <w:r w:rsidRPr="00DA5A6A">
        <w:rPr>
          <w:rFonts w:ascii="Book Antiqua" w:hAnsi="Book Antiqua"/>
          <w:b/>
          <w:bCs/>
        </w:rPr>
        <w:t>Perou CM</w:t>
      </w:r>
      <w:r w:rsidRPr="00DA5A6A">
        <w:rPr>
          <w:rFonts w:ascii="Book Antiqua" w:hAnsi="Book Antiqua"/>
        </w:rPr>
        <w:t xml:space="preserve">, Sørlie T, Eisen MB, van de Rijn M, Jeffrey SS, Rees CA, Pollack JR, Ross DT, Johnsen H, Akslen LA, Fluge O, Pergamenschikov A, Williams C, Zhu SX, Lønning PE, Børresen-Dale AL, Brown PO, Botstein D. Molecular portraits of human breast tumours. </w:t>
      </w:r>
      <w:r w:rsidRPr="00DA5A6A">
        <w:rPr>
          <w:rFonts w:ascii="Book Antiqua" w:hAnsi="Book Antiqua"/>
          <w:i/>
          <w:iCs/>
        </w:rPr>
        <w:t>Nature</w:t>
      </w:r>
      <w:r w:rsidRPr="00DA5A6A">
        <w:rPr>
          <w:rFonts w:ascii="Book Antiqua" w:hAnsi="Book Antiqua"/>
        </w:rPr>
        <w:t xml:space="preserve"> 2000; </w:t>
      </w:r>
      <w:r w:rsidRPr="00DA5A6A">
        <w:rPr>
          <w:rFonts w:ascii="Book Antiqua" w:hAnsi="Book Antiqua"/>
          <w:b/>
          <w:bCs/>
        </w:rPr>
        <w:t>406</w:t>
      </w:r>
      <w:r w:rsidRPr="00DA5A6A">
        <w:rPr>
          <w:rFonts w:ascii="Book Antiqua" w:hAnsi="Book Antiqua"/>
        </w:rPr>
        <w:t>: 747-752 [PMID: 10963602 DOI: 10.1038/35021093]</w:t>
      </w:r>
    </w:p>
    <w:p w14:paraId="4E34543F" w14:textId="6315BAAF" w:rsidR="00421EA9" w:rsidRPr="00DA5A6A" w:rsidRDefault="00421EA9" w:rsidP="00DA5A6A">
      <w:pPr>
        <w:spacing w:line="360" w:lineRule="auto"/>
        <w:jc w:val="both"/>
        <w:rPr>
          <w:rFonts w:ascii="Book Antiqua" w:hAnsi="Book Antiqua"/>
        </w:rPr>
      </w:pPr>
      <w:r w:rsidRPr="00DA5A6A">
        <w:rPr>
          <w:rFonts w:ascii="Book Antiqua" w:hAnsi="Book Antiqua"/>
        </w:rPr>
        <w:t xml:space="preserve">2 </w:t>
      </w:r>
      <w:r w:rsidRPr="00DA5A6A">
        <w:rPr>
          <w:rFonts w:ascii="Book Antiqua" w:hAnsi="Book Antiqua"/>
          <w:b/>
          <w:bCs/>
        </w:rPr>
        <w:t>Costa RLB</w:t>
      </w:r>
      <w:r w:rsidRPr="00DA5A6A">
        <w:rPr>
          <w:rFonts w:ascii="Book Antiqua" w:hAnsi="Book Antiqua"/>
        </w:rPr>
        <w:t xml:space="preserve">, Gradishar WJ. Triple-Negative Breast Cancer: Current Practice and Future Directions. </w:t>
      </w:r>
      <w:r w:rsidRPr="00DA5A6A">
        <w:rPr>
          <w:rFonts w:ascii="Book Antiqua" w:hAnsi="Book Antiqua"/>
          <w:i/>
          <w:iCs/>
        </w:rPr>
        <w:t>J Oncol Pract</w:t>
      </w:r>
      <w:r w:rsidRPr="00DA5A6A">
        <w:rPr>
          <w:rFonts w:ascii="Book Antiqua" w:hAnsi="Book Antiqua"/>
        </w:rPr>
        <w:t xml:space="preserve"> 2017; </w:t>
      </w:r>
      <w:r w:rsidRPr="00DA5A6A">
        <w:rPr>
          <w:rFonts w:ascii="Book Antiqua" w:hAnsi="Book Antiqua"/>
          <w:b/>
          <w:bCs/>
        </w:rPr>
        <w:t>13</w:t>
      </w:r>
      <w:r w:rsidRPr="00DA5A6A">
        <w:rPr>
          <w:rFonts w:ascii="Book Antiqua" w:hAnsi="Book Antiqua"/>
        </w:rPr>
        <w:t>: 301-303 [PMID: 28489982 DOI: 10.1200/JOP.2017.023333]</w:t>
      </w:r>
    </w:p>
    <w:p w14:paraId="4890C5E2" w14:textId="53A7C6E8" w:rsidR="00421EA9" w:rsidRPr="00DA5A6A" w:rsidRDefault="00421EA9" w:rsidP="00DA5A6A">
      <w:pPr>
        <w:spacing w:line="360" w:lineRule="auto"/>
        <w:jc w:val="both"/>
        <w:rPr>
          <w:rFonts w:ascii="Book Antiqua" w:hAnsi="Book Antiqua"/>
        </w:rPr>
      </w:pPr>
      <w:r w:rsidRPr="00DA5A6A">
        <w:rPr>
          <w:rFonts w:ascii="Book Antiqua" w:hAnsi="Book Antiqua"/>
        </w:rPr>
        <w:t xml:space="preserve">3 </w:t>
      </w:r>
      <w:r w:rsidRPr="00DA5A6A">
        <w:rPr>
          <w:rFonts w:ascii="Book Antiqua" w:hAnsi="Book Antiqua"/>
          <w:b/>
          <w:bCs/>
        </w:rPr>
        <w:t>Nielsen TO</w:t>
      </w:r>
      <w:r w:rsidRPr="00DA5A6A">
        <w:rPr>
          <w:rFonts w:ascii="Book Antiqua" w:hAnsi="Book Antiqua"/>
        </w:rPr>
        <w:t xml:space="preserve">, Hsu FD, Jensen K, Cheang M, Karaca G, Hu Z, Hernandez-Boussard T, Livasy C, Cowan D, Dressler L, Akslen LA, Ragaz J, Gown AM, Gilks CB, van de Rijn M, Perou CM. Immunohistochemical and clinical characterization of the basal-like subtype of invasive breast carcinoma. </w:t>
      </w:r>
      <w:r w:rsidRPr="00DA5A6A">
        <w:rPr>
          <w:rFonts w:ascii="Book Antiqua" w:hAnsi="Book Antiqua"/>
          <w:i/>
          <w:iCs/>
        </w:rPr>
        <w:t>Clin Cancer Res</w:t>
      </w:r>
      <w:r w:rsidRPr="00DA5A6A">
        <w:rPr>
          <w:rFonts w:ascii="Book Antiqua" w:hAnsi="Book Antiqua"/>
        </w:rPr>
        <w:t xml:space="preserve"> 2004; </w:t>
      </w:r>
      <w:r w:rsidRPr="00DA5A6A">
        <w:rPr>
          <w:rFonts w:ascii="Book Antiqua" w:hAnsi="Book Antiqua"/>
          <w:b/>
          <w:bCs/>
        </w:rPr>
        <w:t>10</w:t>
      </w:r>
      <w:r w:rsidRPr="00DA5A6A">
        <w:rPr>
          <w:rFonts w:ascii="Book Antiqua" w:hAnsi="Book Antiqua"/>
        </w:rPr>
        <w:t>: 5367-5374 [PMID: 15328174 DOI: 10.1158/1078-0432.CCR-04-0220]</w:t>
      </w:r>
    </w:p>
    <w:p w14:paraId="75045680" w14:textId="66868B5E" w:rsidR="00421EA9" w:rsidRPr="00DA5A6A" w:rsidRDefault="00421EA9" w:rsidP="00DA5A6A">
      <w:pPr>
        <w:spacing w:line="360" w:lineRule="auto"/>
        <w:jc w:val="both"/>
        <w:rPr>
          <w:rFonts w:ascii="Book Antiqua" w:hAnsi="Book Antiqua"/>
        </w:rPr>
      </w:pPr>
      <w:r w:rsidRPr="00DA5A6A">
        <w:rPr>
          <w:rFonts w:ascii="Book Antiqua" w:hAnsi="Book Antiqua"/>
        </w:rPr>
        <w:t xml:space="preserve">4 </w:t>
      </w:r>
      <w:r w:rsidRPr="00DA5A6A">
        <w:rPr>
          <w:rFonts w:ascii="Book Antiqua" w:hAnsi="Book Antiqua"/>
          <w:b/>
          <w:bCs/>
        </w:rPr>
        <w:t>Liu Y</w:t>
      </w:r>
      <w:r w:rsidRPr="00DA5A6A">
        <w:rPr>
          <w:rFonts w:ascii="Book Antiqua" w:hAnsi="Book Antiqua"/>
        </w:rPr>
        <w:t xml:space="preserve">, Xin T, Huang DY, Shen WX, Li L, Lv YJ, Jin YH, Song XW, Teng C, Jiang QY. Prognosis in very young women with triple-negative breast cancer: retrospective study of 216 cases. </w:t>
      </w:r>
      <w:r w:rsidRPr="00DA5A6A">
        <w:rPr>
          <w:rFonts w:ascii="Book Antiqua" w:hAnsi="Book Antiqua"/>
          <w:i/>
          <w:iCs/>
        </w:rPr>
        <w:t>Med Oncol</w:t>
      </w:r>
      <w:r w:rsidRPr="00DA5A6A">
        <w:rPr>
          <w:rFonts w:ascii="Book Antiqua" w:hAnsi="Book Antiqua"/>
        </w:rPr>
        <w:t xml:space="preserve"> 2014; </w:t>
      </w:r>
      <w:r w:rsidRPr="00DA5A6A">
        <w:rPr>
          <w:rFonts w:ascii="Book Antiqua" w:hAnsi="Book Antiqua"/>
          <w:b/>
          <w:bCs/>
        </w:rPr>
        <w:t>31</w:t>
      </w:r>
      <w:r w:rsidRPr="00DA5A6A">
        <w:rPr>
          <w:rFonts w:ascii="Book Antiqua" w:hAnsi="Book Antiqua"/>
        </w:rPr>
        <w:t>: 222 [PMID: 25391919 DOI: 10.1007/s12032-014-0222-2]</w:t>
      </w:r>
    </w:p>
    <w:p w14:paraId="42775FD1" w14:textId="529D943A" w:rsidR="00421EA9" w:rsidRPr="00DA5A6A" w:rsidRDefault="00421EA9" w:rsidP="00DA5A6A">
      <w:pPr>
        <w:spacing w:line="360" w:lineRule="auto"/>
        <w:jc w:val="both"/>
        <w:rPr>
          <w:rFonts w:ascii="Book Antiqua" w:hAnsi="Book Antiqua"/>
        </w:rPr>
      </w:pPr>
      <w:r w:rsidRPr="00DA5A6A">
        <w:rPr>
          <w:rFonts w:ascii="Book Antiqua" w:hAnsi="Book Antiqua"/>
        </w:rPr>
        <w:t xml:space="preserve">5 </w:t>
      </w:r>
      <w:r w:rsidRPr="00DA5A6A">
        <w:rPr>
          <w:rFonts w:ascii="Book Antiqua" w:hAnsi="Book Antiqua"/>
          <w:b/>
          <w:bCs/>
        </w:rPr>
        <w:t>Stead LA</w:t>
      </w:r>
      <w:r w:rsidRPr="00DA5A6A">
        <w:rPr>
          <w:rFonts w:ascii="Book Antiqua" w:hAnsi="Book Antiqua"/>
        </w:rPr>
        <w:t xml:space="preserve">, Lash TL, Sobieraj JE, Chi DD, Westrup JL, Charlot M, Blanchard RA, Lee JC, King TC, Rosenberg CL. Triple-negative breast cancers are increased in black women regardless of age or body mass index. </w:t>
      </w:r>
      <w:r w:rsidRPr="00DA5A6A">
        <w:rPr>
          <w:rFonts w:ascii="Book Antiqua" w:hAnsi="Book Antiqua"/>
          <w:i/>
          <w:iCs/>
        </w:rPr>
        <w:t>Breast Cancer Res</w:t>
      </w:r>
      <w:r w:rsidRPr="00DA5A6A">
        <w:rPr>
          <w:rFonts w:ascii="Book Antiqua" w:hAnsi="Book Antiqua"/>
        </w:rPr>
        <w:t xml:space="preserve"> 2009; </w:t>
      </w:r>
      <w:r w:rsidRPr="00DA5A6A">
        <w:rPr>
          <w:rFonts w:ascii="Book Antiqua" w:hAnsi="Book Antiqua"/>
          <w:b/>
          <w:bCs/>
        </w:rPr>
        <w:t>11</w:t>
      </w:r>
      <w:r w:rsidRPr="00DA5A6A">
        <w:rPr>
          <w:rFonts w:ascii="Book Antiqua" w:hAnsi="Book Antiqua"/>
        </w:rPr>
        <w:t>: R18 [PMID: 19320967 DOI: 10.1186/bcr2242]</w:t>
      </w:r>
    </w:p>
    <w:p w14:paraId="78A39D61" w14:textId="024C5150" w:rsidR="00421EA9" w:rsidRPr="00DA5A6A" w:rsidRDefault="00421EA9" w:rsidP="00DA5A6A">
      <w:pPr>
        <w:spacing w:line="360" w:lineRule="auto"/>
        <w:jc w:val="both"/>
        <w:rPr>
          <w:rFonts w:ascii="Book Antiqua" w:hAnsi="Book Antiqua"/>
        </w:rPr>
      </w:pPr>
      <w:r w:rsidRPr="00DA5A6A">
        <w:rPr>
          <w:rFonts w:ascii="Book Antiqua" w:hAnsi="Book Antiqua"/>
        </w:rPr>
        <w:lastRenderedPageBreak/>
        <w:t xml:space="preserve">6 </w:t>
      </w:r>
      <w:r w:rsidRPr="00DA5A6A">
        <w:rPr>
          <w:rFonts w:ascii="Book Antiqua" w:hAnsi="Book Antiqua"/>
          <w:b/>
          <w:bCs/>
        </w:rPr>
        <w:t>Sørlie T</w:t>
      </w:r>
      <w:r w:rsidRPr="00DA5A6A">
        <w:rPr>
          <w:rFonts w:ascii="Book Antiqua" w:hAnsi="Book Antiqua"/>
        </w:rPr>
        <w:t xml:space="preserve">, Wang Y, Xiao C, Johnsen H, Naume B, Samaha RR, Børresen-Dale AL. Distinct molecular mechanisms underlying clinically relevant subtypes of breast cancer: gene expression analyses across three different platforms. </w:t>
      </w:r>
      <w:r w:rsidRPr="00DA5A6A">
        <w:rPr>
          <w:rFonts w:ascii="Book Antiqua" w:hAnsi="Book Antiqua"/>
          <w:i/>
          <w:iCs/>
        </w:rPr>
        <w:t>BMC Genomics</w:t>
      </w:r>
      <w:r w:rsidRPr="00DA5A6A">
        <w:rPr>
          <w:rFonts w:ascii="Book Antiqua" w:hAnsi="Book Antiqua"/>
        </w:rPr>
        <w:t xml:space="preserve"> 2006; </w:t>
      </w:r>
      <w:r w:rsidRPr="00DA5A6A">
        <w:rPr>
          <w:rFonts w:ascii="Book Antiqua" w:hAnsi="Book Antiqua"/>
          <w:b/>
          <w:bCs/>
        </w:rPr>
        <w:t>7</w:t>
      </w:r>
      <w:r w:rsidRPr="00DA5A6A">
        <w:rPr>
          <w:rFonts w:ascii="Book Antiqua" w:hAnsi="Book Antiqua"/>
        </w:rPr>
        <w:t>: 127 [PMID: 16729877 DOI: 10.1186/1471-2164-7-127]</w:t>
      </w:r>
    </w:p>
    <w:p w14:paraId="37D984E1" w14:textId="44D80E2E" w:rsidR="00421EA9" w:rsidRPr="00DA5A6A" w:rsidRDefault="00421EA9" w:rsidP="00DA5A6A">
      <w:pPr>
        <w:spacing w:line="360" w:lineRule="auto"/>
        <w:jc w:val="both"/>
        <w:rPr>
          <w:rFonts w:ascii="Book Antiqua" w:hAnsi="Book Antiqua"/>
        </w:rPr>
      </w:pPr>
      <w:r w:rsidRPr="00DA5A6A">
        <w:rPr>
          <w:rFonts w:ascii="Book Antiqua" w:hAnsi="Book Antiqua"/>
        </w:rPr>
        <w:t xml:space="preserve">7 </w:t>
      </w:r>
      <w:r w:rsidRPr="00DA5A6A">
        <w:rPr>
          <w:rFonts w:ascii="Book Antiqua" w:hAnsi="Book Antiqua"/>
          <w:b/>
          <w:bCs/>
        </w:rPr>
        <w:t>Howlader N</w:t>
      </w:r>
      <w:r w:rsidRPr="00DA5A6A">
        <w:rPr>
          <w:rFonts w:ascii="Book Antiqua" w:hAnsi="Book Antiqua"/>
        </w:rPr>
        <w:t xml:space="preserve">, Cronin KA, Kurian AW, Andridge R. Differences in Breast Cancer Survival by Molecular Subtypes in the United States. </w:t>
      </w:r>
      <w:r w:rsidRPr="00DA5A6A">
        <w:rPr>
          <w:rFonts w:ascii="Book Antiqua" w:hAnsi="Book Antiqua"/>
          <w:i/>
          <w:iCs/>
        </w:rPr>
        <w:t>Cancer Epidemiol Biomarkers Prev</w:t>
      </w:r>
      <w:r w:rsidRPr="00DA5A6A">
        <w:rPr>
          <w:rFonts w:ascii="Book Antiqua" w:hAnsi="Book Antiqua"/>
        </w:rPr>
        <w:t xml:space="preserve"> 2018; </w:t>
      </w:r>
      <w:r w:rsidRPr="00DA5A6A">
        <w:rPr>
          <w:rFonts w:ascii="Book Antiqua" w:hAnsi="Book Antiqua"/>
          <w:b/>
          <w:bCs/>
        </w:rPr>
        <w:t>27</w:t>
      </w:r>
      <w:r w:rsidRPr="00DA5A6A">
        <w:rPr>
          <w:rFonts w:ascii="Book Antiqua" w:hAnsi="Book Antiqua"/>
        </w:rPr>
        <w:t>: 619-626 [PMID: 29593010 DOI: 10.1158/1055-9965.EPI-17-0627]</w:t>
      </w:r>
    </w:p>
    <w:p w14:paraId="2ECB8248" w14:textId="674D020F" w:rsidR="00421EA9" w:rsidRPr="00DA5A6A" w:rsidRDefault="00421EA9" w:rsidP="00DA5A6A">
      <w:pPr>
        <w:spacing w:line="360" w:lineRule="auto"/>
        <w:jc w:val="both"/>
        <w:rPr>
          <w:rFonts w:ascii="Book Antiqua" w:hAnsi="Book Antiqua"/>
        </w:rPr>
      </w:pPr>
      <w:r w:rsidRPr="00DA5A6A">
        <w:rPr>
          <w:rFonts w:ascii="Book Antiqua" w:hAnsi="Book Antiqua"/>
        </w:rPr>
        <w:t xml:space="preserve">8 </w:t>
      </w:r>
      <w:r w:rsidRPr="00DA5A6A">
        <w:rPr>
          <w:rFonts w:ascii="Book Antiqua" w:hAnsi="Book Antiqua"/>
          <w:b/>
          <w:bCs/>
        </w:rPr>
        <w:t>Yao Y</w:t>
      </w:r>
      <w:r w:rsidRPr="00DA5A6A">
        <w:rPr>
          <w:rFonts w:ascii="Book Antiqua" w:hAnsi="Book Antiqua"/>
        </w:rPr>
        <w:t xml:space="preserve">, Chu Y, Xu B, Hu Q, Song Q. Risk factors for distant metastasis of patients with primary triple-negative breast cancer. </w:t>
      </w:r>
      <w:r w:rsidRPr="00DA5A6A">
        <w:rPr>
          <w:rFonts w:ascii="Book Antiqua" w:hAnsi="Book Antiqua"/>
          <w:i/>
          <w:iCs/>
        </w:rPr>
        <w:t>Biosci Rep</w:t>
      </w:r>
      <w:r w:rsidRPr="00DA5A6A">
        <w:rPr>
          <w:rFonts w:ascii="Book Antiqua" w:hAnsi="Book Antiqua"/>
        </w:rPr>
        <w:t xml:space="preserve"> 2019; </w:t>
      </w:r>
      <w:r w:rsidRPr="00DA5A6A">
        <w:rPr>
          <w:rFonts w:ascii="Book Antiqua" w:hAnsi="Book Antiqua"/>
          <w:b/>
          <w:bCs/>
        </w:rPr>
        <w:t>39</w:t>
      </w:r>
      <w:r w:rsidR="0005667E" w:rsidRPr="00DA5A6A">
        <w:rPr>
          <w:rFonts w:ascii="Book Antiqua" w:hAnsi="Book Antiqua"/>
          <w:b/>
          <w:bCs/>
        </w:rPr>
        <w:t xml:space="preserve">: </w:t>
      </w:r>
      <w:r w:rsidR="0005667E" w:rsidRPr="00DA5A6A">
        <w:rPr>
          <w:rFonts w:ascii="Book Antiqua" w:hAnsi="Book Antiqua"/>
        </w:rPr>
        <w:t>BSR20190288</w:t>
      </w:r>
      <w:r w:rsidRPr="00DA5A6A">
        <w:rPr>
          <w:rFonts w:ascii="Book Antiqua" w:hAnsi="Book Antiqua"/>
        </w:rPr>
        <w:t xml:space="preserve"> [PMID: 31113872 DOI: 10.1042/BSR20190288]</w:t>
      </w:r>
    </w:p>
    <w:p w14:paraId="5051D621" w14:textId="5EE5EBA4" w:rsidR="00421EA9" w:rsidRPr="00DA5A6A" w:rsidRDefault="00421EA9" w:rsidP="00DA5A6A">
      <w:pPr>
        <w:spacing w:line="360" w:lineRule="auto"/>
        <w:jc w:val="both"/>
        <w:rPr>
          <w:rFonts w:ascii="Book Antiqua" w:hAnsi="Book Antiqua"/>
        </w:rPr>
      </w:pPr>
      <w:r w:rsidRPr="00DA5A6A">
        <w:rPr>
          <w:rFonts w:ascii="Book Antiqua" w:hAnsi="Book Antiqua"/>
        </w:rPr>
        <w:t xml:space="preserve">9 </w:t>
      </w:r>
      <w:r w:rsidRPr="00DA5A6A">
        <w:rPr>
          <w:rFonts w:ascii="Book Antiqua" w:hAnsi="Book Antiqua"/>
          <w:b/>
          <w:bCs/>
        </w:rPr>
        <w:t>Dent R</w:t>
      </w:r>
      <w:r w:rsidRPr="00DA5A6A">
        <w:rPr>
          <w:rFonts w:ascii="Book Antiqua" w:hAnsi="Book Antiqua"/>
        </w:rPr>
        <w:t xml:space="preserve">, Trudeau M, Pritchard KI, Hanna WM, Kahn HK, Sawka CA, Lickley LA, Rawlinson E, Sun P, Narod SA. Triple-negative breast cancer: clinical features and patterns of recurrence. </w:t>
      </w:r>
      <w:r w:rsidRPr="00DA5A6A">
        <w:rPr>
          <w:rFonts w:ascii="Book Antiqua" w:hAnsi="Book Antiqua"/>
          <w:i/>
          <w:iCs/>
        </w:rPr>
        <w:t>Clin Cancer Res</w:t>
      </w:r>
      <w:r w:rsidRPr="00DA5A6A">
        <w:rPr>
          <w:rFonts w:ascii="Book Antiqua" w:hAnsi="Book Antiqua"/>
        </w:rPr>
        <w:t xml:space="preserve"> 2007; </w:t>
      </w:r>
      <w:r w:rsidRPr="00DA5A6A">
        <w:rPr>
          <w:rFonts w:ascii="Book Antiqua" w:hAnsi="Book Antiqua"/>
          <w:b/>
          <w:bCs/>
        </w:rPr>
        <w:t>13</w:t>
      </w:r>
      <w:r w:rsidRPr="00DA5A6A">
        <w:rPr>
          <w:rFonts w:ascii="Book Antiqua" w:hAnsi="Book Antiqua"/>
        </w:rPr>
        <w:t>: 4429-4434 [PMID: 17671126 DOI: 10.1158/1078-0432.CCR-06-3045]</w:t>
      </w:r>
    </w:p>
    <w:p w14:paraId="6C20081F" w14:textId="52D16F5C" w:rsidR="002F357F" w:rsidRPr="00DA5A6A" w:rsidRDefault="00421EA9" w:rsidP="00DA5A6A">
      <w:pPr>
        <w:spacing w:line="360" w:lineRule="auto"/>
        <w:jc w:val="both"/>
        <w:rPr>
          <w:rFonts w:ascii="Book Antiqua" w:hAnsi="Book Antiqua"/>
        </w:rPr>
      </w:pPr>
      <w:r w:rsidRPr="00DA5A6A">
        <w:rPr>
          <w:rFonts w:ascii="Book Antiqua" w:hAnsi="Book Antiqua"/>
        </w:rPr>
        <w:t xml:space="preserve">10 </w:t>
      </w:r>
      <w:r w:rsidRPr="00DA5A6A">
        <w:rPr>
          <w:rFonts w:ascii="Book Antiqua" w:hAnsi="Book Antiqua"/>
          <w:b/>
          <w:bCs/>
        </w:rPr>
        <w:t>Liedtke C</w:t>
      </w:r>
      <w:r w:rsidRPr="00DA5A6A">
        <w:rPr>
          <w:rFonts w:ascii="Book Antiqua" w:hAnsi="Book Antiqua"/>
        </w:rPr>
        <w:t xml:space="preserve">, Mazouni C, Hess KR, André F, Tordai A, Mejia JA, Symmans WF, Gonzalez-Angulo AM, Hennessy B, Green M, Cristofanilli M, Hortobagyi GN, Pusztai L. Response to neoadjuvant therapy and long-term survival in patients with triple-negative breast cancer. </w:t>
      </w:r>
      <w:r w:rsidRPr="00DA5A6A">
        <w:rPr>
          <w:rFonts w:ascii="Book Antiqua" w:hAnsi="Book Antiqua"/>
          <w:i/>
          <w:iCs/>
        </w:rPr>
        <w:t>J Clin Oncol</w:t>
      </w:r>
      <w:r w:rsidRPr="00DA5A6A">
        <w:rPr>
          <w:rFonts w:ascii="Book Antiqua" w:hAnsi="Book Antiqua"/>
        </w:rPr>
        <w:t xml:space="preserve"> 2008; </w:t>
      </w:r>
      <w:r w:rsidRPr="00DA5A6A">
        <w:rPr>
          <w:rFonts w:ascii="Book Antiqua" w:hAnsi="Book Antiqua"/>
          <w:b/>
          <w:bCs/>
        </w:rPr>
        <w:t>26</w:t>
      </w:r>
      <w:r w:rsidRPr="00DA5A6A">
        <w:rPr>
          <w:rFonts w:ascii="Book Antiqua" w:hAnsi="Book Antiqua"/>
        </w:rPr>
        <w:t>: 1275-1281 [PMID: 18250347 DOI: 10.1200/JCO.2007.14.4147]</w:t>
      </w:r>
    </w:p>
    <w:p w14:paraId="3860AE92" w14:textId="52D16F5C" w:rsidR="00421EA9" w:rsidRPr="00DA5A6A" w:rsidRDefault="00421EA9" w:rsidP="00DA5A6A">
      <w:pPr>
        <w:spacing w:line="360" w:lineRule="auto"/>
        <w:jc w:val="both"/>
        <w:rPr>
          <w:rFonts w:ascii="Book Antiqua" w:hAnsi="Book Antiqua"/>
        </w:rPr>
      </w:pPr>
      <w:r w:rsidRPr="00DA5A6A">
        <w:rPr>
          <w:rFonts w:ascii="Book Antiqua" w:hAnsi="Book Antiqua"/>
        </w:rPr>
        <w:t xml:space="preserve">11 </w:t>
      </w:r>
      <w:r w:rsidRPr="00DA5A6A">
        <w:rPr>
          <w:rFonts w:ascii="Book Antiqua" w:hAnsi="Book Antiqua"/>
          <w:b/>
          <w:bCs/>
        </w:rPr>
        <w:t>Jin J</w:t>
      </w:r>
      <w:r w:rsidRPr="00DA5A6A">
        <w:rPr>
          <w:rFonts w:ascii="Book Antiqua" w:hAnsi="Book Antiqua"/>
        </w:rPr>
        <w:t xml:space="preserve">, Gao Y, Zhang J, Wang L, Wang B, Cao J, Shao Z, Wang Z. Incidence, pattern and prognosis of brain metastases in patients with metastatic triple negative breast cancer. </w:t>
      </w:r>
      <w:r w:rsidRPr="00DA5A6A">
        <w:rPr>
          <w:rFonts w:ascii="Book Antiqua" w:hAnsi="Book Antiqua"/>
          <w:i/>
          <w:iCs/>
        </w:rPr>
        <w:t>BMC Cancer</w:t>
      </w:r>
      <w:r w:rsidRPr="00DA5A6A">
        <w:rPr>
          <w:rFonts w:ascii="Book Antiqua" w:hAnsi="Book Antiqua"/>
        </w:rPr>
        <w:t xml:space="preserve"> 2018; </w:t>
      </w:r>
      <w:r w:rsidRPr="00DA5A6A">
        <w:rPr>
          <w:rFonts w:ascii="Book Antiqua" w:hAnsi="Book Antiqua"/>
          <w:b/>
          <w:bCs/>
        </w:rPr>
        <w:t>18</w:t>
      </w:r>
      <w:r w:rsidRPr="00DA5A6A">
        <w:rPr>
          <w:rFonts w:ascii="Book Antiqua" w:hAnsi="Book Antiqua"/>
        </w:rPr>
        <w:t>: 446 [PMID: 29673325 DOI: 10.1186/s12885-018-4371-0]</w:t>
      </w:r>
    </w:p>
    <w:p w14:paraId="7015E44A" w14:textId="071317D1" w:rsidR="00421EA9" w:rsidRPr="00DA5A6A" w:rsidRDefault="00421EA9" w:rsidP="00DA5A6A">
      <w:pPr>
        <w:spacing w:line="360" w:lineRule="auto"/>
        <w:jc w:val="both"/>
        <w:rPr>
          <w:rFonts w:ascii="Book Antiqua" w:hAnsi="Book Antiqua"/>
        </w:rPr>
      </w:pPr>
      <w:r w:rsidRPr="00DA5A6A">
        <w:rPr>
          <w:rFonts w:ascii="Book Antiqua" w:hAnsi="Book Antiqua"/>
        </w:rPr>
        <w:t xml:space="preserve">12 </w:t>
      </w:r>
      <w:r w:rsidRPr="00DA5A6A">
        <w:rPr>
          <w:rFonts w:ascii="Book Antiqua" w:hAnsi="Book Antiqua"/>
          <w:b/>
          <w:bCs/>
        </w:rPr>
        <w:t>Fan C</w:t>
      </w:r>
      <w:r w:rsidRPr="00DA5A6A">
        <w:rPr>
          <w:rFonts w:ascii="Book Antiqua" w:hAnsi="Book Antiqua"/>
        </w:rPr>
        <w:t xml:space="preserve">, Oh DS, Wessels L, Weigelt B, Nuyten DS, Nobel AB, van't Veer LJ, Perou CM. Concordance among gene-expression-based predictors for breast cancer. </w:t>
      </w:r>
      <w:r w:rsidRPr="00DA5A6A">
        <w:rPr>
          <w:rFonts w:ascii="Book Antiqua" w:hAnsi="Book Antiqua"/>
          <w:i/>
          <w:iCs/>
        </w:rPr>
        <w:t>N Engl J Med</w:t>
      </w:r>
      <w:r w:rsidRPr="00DA5A6A">
        <w:rPr>
          <w:rFonts w:ascii="Book Antiqua" w:hAnsi="Book Antiqua"/>
        </w:rPr>
        <w:t xml:space="preserve"> 2006; </w:t>
      </w:r>
      <w:r w:rsidRPr="00DA5A6A">
        <w:rPr>
          <w:rFonts w:ascii="Book Antiqua" w:hAnsi="Book Antiqua"/>
          <w:b/>
          <w:bCs/>
        </w:rPr>
        <w:t>355</w:t>
      </w:r>
      <w:r w:rsidRPr="00DA5A6A">
        <w:rPr>
          <w:rFonts w:ascii="Book Antiqua" w:hAnsi="Book Antiqua"/>
        </w:rPr>
        <w:t>: 560-569 [PMID: 16899776 DOI: 10.1056/NEJMoa052933]</w:t>
      </w:r>
    </w:p>
    <w:p w14:paraId="12E3CF24" w14:textId="2B3F2163" w:rsidR="00421EA9" w:rsidRPr="00DA5A6A" w:rsidRDefault="00421EA9" w:rsidP="00DA5A6A">
      <w:pPr>
        <w:spacing w:line="360" w:lineRule="auto"/>
        <w:jc w:val="both"/>
        <w:rPr>
          <w:rFonts w:ascii="Book Antiqua" w:hAnsi="Book Antiqua"/>
          <w:lang w:val="pt-BR"/>
        </w:rPr>
      </w:pPr>
      <w:r w:rsidRPr="00DA5A6A">
        <w:rPr>
          <w:rFonts w:ascii="Book Antiqua" w:hAnsi="Book Antiqua"/>
        </w:rPr>
        <w:t xml:space="preserve">13 </w:t>
      </w:r>
      <w:r w:rsidRPr="00DA5A6A">
        <w:rPr>
          <w:rFonts w:ascii="Book Antiqua" w:hAnsi="Book Antiqua"/>
          <w:b/>
          <w:bCs/>
        </w:rPr>
        <w:t>Bertucci F</w:t>
      </w:r>
      <w:r w:rsidRPr="00DA5A6A">
        <w:rPr>
          <w:rFonts w:ascii="Book Antiqua" w:hAnsi="Book Antiqua"/>
        </w:rPr>
        <w:t xml:space="preserve">, Finetti P, Cervera N, Esterni B, Hermitte F, Viens P, Birnbaum D. How basal are triple-negative breast cancers? </w:t>
      </w:r>
      <w:r w:rsidRPr="00DA5A6A">
        <w:rPr>
          <w:rFonts w:ascii="Book Antiqua" w:hAnsi="Book Antiqua"/>
          <w:i/>
          <w:iCs/>
          <w:lang w:val="pt-BR"/>
        </w:rPr>
        <w:t>Int J Cancer</w:t>
      </w:r>
      <w:r w:rsidRPr="00DA5A6A">
        <w:rPr>
          <w:rFonts w:ascii="Book Antiqua" w:hAnsi="Book Antiqua"/>
          <w:lang w:val="pt-BR"/>
        </w:rPr>
        <w:t xml:space="preserve"> 2008; </w:t>
      </w:r>
      <w:r w:rsidRPr="00DA5A6A">
        <w:rPr>
          <w:rFonts w:ascii="Book Antiqua" w:hAnsi="Book Antiqua"/>
          <w:b/>
          <w:bCs/>
          <w:lang w:val="pt-BR"/>
        </w:rPr>
        <w:t>123</w:t>
      </w:r>
      <w:r w:rsidRPr="00DA5A6A">
        <w:rPr>
          <w:rFonts w:ascii="Book Antiqua" w:hAnsi="Book Antiqua"/>
          <w:lang w:val="pt-BR"/>
        </w:rPr>
        <w:t>: 236-240 [PMID: 18398844 DOI: 10.1002/ijc.23518]</w:t>
      </w:r>
    </w:p>
    <w:p w14:paraId="488E4D0D" w14:textId="2FF0ACE1" w:rsidR="00421EA9" w:rsidRPr="00DA5A6A" w:rsidRDefault="00421EA9" w:rsidP="00DA5A6A">
      <w:pPr>
        <w:spacing w:line="360" w:lineRule="auto"/>
        <w:jc w:val="both"/>
        <w:rPr>
          <w:rFonts w:ascii="Book Antiqua" w:hAnsi="Book Antiqua"/>
        </w:rPr>
      </w:pPr>
      <w:r w:rsidRPr="00DA5A6A">
        <w:rPr>
          <w:rFonts w:ascii="Book Antiqua" w:hAnsi="Book Antiqua"/>
          <w:lang w:val="pt-BR"/>
        </w:rPr>
        <w:t xml:space="preserve">14 </w:t>
      </w:r>
      <w:r w:rsidRPr="00DA5A6A">
        <w:rPr>
          <w:rFonts w:ascii="Book Antiqua" w:hAnsi="Book Antiqua"/>
          <w:b/>
          <w:bCs/>
          <w:lang w:val="pt-BR"/>
        </w:rPr>
        <w:t>Rakha EA</w:t>
      </w:r>
      <w:r w:rsidRPr="00DA5A6A">
        <w:rPr>
          <w:rFonts w:ascii="Book Antiqua" w:hAnsi="Book Antiqua"/>
          <w:lang w:val="pt-BR"/>
        </w:rPr>
        <w:t xml:space="preserve">, Reis-Filho JS, Ellis IO. </w:t>
      </w:r>
      <w:r w:rsidRPr="00DA5A6A">
        <w:rPr>
          <w:rFonts w:ascii="Book Antiqua" w:hAnsi="Book Antiqua"/>
        </w:rPr>
        <w:t xml:space="preserve">Basal-like breast cancer: a critical review. </w:t>
      </w:r>
      <w:r w:rsidRPr="00DA5A6A">
        <w:rPr>
          <w:rFonts w:ascii="Book Antiqua" w:hAnsi="Book Antiqua"/>
          <w:i/>
          <w:iCs/>
        </w:rPr>
        <w:t>J Clin Oncol</w:t>
      </w:r>
      <w:r w:rsidRPr="00DA5A6A">
        <w:rPr>
          <w:rFonts w:ascii="Book Antiqua" w:hAnsi="Book Antiqua"/>
        </w:rPr>
        <w:t xml:space="preserve"> 2008; </w:t>
      </w:r>
      <w:r w:rsidRPr="00DA5A6A">
        <w:rPr>
          <w:rFonts w:ascii="Book Antiqua" w:hAnsi="Book Antiqua"/>
          <w:b/>
          <w:bCs/>
        </w:rPr>
        <w:t>26</w:t>
      </w:r>
      <w:r w:rsidRPr="00DA5A6A">
        <w:rPr>
          <w:rFonts w:ascii="Book Antiqua" w:hAnsi="Book Antiqua"/>
        </w:rPr>
        <w:t>: 2568-2581 [PMID: 18487574 DOI: 10.1200/JCO.2007.13.1748]</w:t>
      </w:r>
    </w:p>
    <w:p w14:paraId="162ED5AD" w14:textId="3F250C61" w:rsidR="00421EA9" w:rsidRPr="00DA5A6A" w:rsidRDefault="00421EA9" w:rsidP="00DA5A6A">
      <w:pPr>
        <w:spacing w:line="360" w:lineRule="auto"/>
        <w:jc w:val="both"/>
        <w:rPr>
          <w:rFonts w:ascii="Book Antiqua" w:hAnsi="Book Antiqua"/>
        </w:rPr>
      </w:pPr>
      <w:r w:rsidRPr="00BC597D">
        <w:rPr>
          <w:rFonts w:ascii="Book Antiqua" w:hAnsi="Book Antiqua"/>
        </w:rPr>
        <w:lastRenderedPageBreak/>
        <w:t xml:space="preserve">15 </w:t>
      </w:r>
      <w:r w:rsidRPr="00BC597D">
        <w:rPr>
          <w:rFonts w:ascii="Book Antiqua" w:hAnsi="Book Antiqua"/>
          <w:b/>
          <w:bCs/>
        </w:rPr>
        <w:t>Reis-Filho JS</w:t>
      </w:r>
      <w:r w:rsidRPr="00BC597D">
        <w:rPr>
          <w:rFonts w:ascii="Book Antiqua" w:hAnsi="Book Antiqua"/>
        </w:rPr>
        <w:t xml:space="preserve">, Tutt AN. </w:t>
      </w:r>
      <w:r w:rsidRPr="00DA5A6A">
        <w:rPr>
          <w:rFonts w:ascii="Book Antiqua" w:hAnsi="Book Antiqua"/>
        </w:rPr>
        <w:t xml:space="preserve">Triple negative tumours: a critical review. </w:t>
      </w:r>
      <w:r w:rsidRPr="00DA5A6A">
        <w:rPr>
          <w:rFonts w:ascii="Book Antiqua" w:hAnsi="Book Antiqua"/>
          <w:i/>
          <w:iCs/>
        </w:rPr>
        <w:t>Histopathology</w:t>
      </w:r>
      <w:r w:rsidRPr="00DA5A6A">
        <w:rPr>
          <w:rFonts w:ascii="Book Antiqua" w:hAnsi="Book Antiqua"/>
        </w:rPr>
        <w:t xml:space="preserve"> 2008; </w:t>
      </w:r>
      <w:r w:rsidRPr="00DA5A6A">
        <w:rPr>
          <w:rFonts w:ascii="Book Antiqua" w:hAnsi="Book Antiqua"/>
          <w:b/>
          <w:bCs/>
        </w:rPr>
        <w:t>52</w:t>
      </w:r>
      <w:r w:rsidRPr="00DA5A6A">
        <w:rPr>
          <w:rFonts w:ascii="Book Antiqua" w:hAnsi="Book Antiqua"/>
        </w:rPr>
        <w:t>: 108-118 [PMID: 18171422 DOI: 10.1111/j.1365-2559.2007.02889.x]</w:t>
      </w:r>
    </w:p>
    <w:p w14:paraId="1DC7FB2F" w14:textId="0B58BA83" w:rsidR="00421EA9" w:rsidRPr="00DA5A6A" w:rsidRDefault="00421EA9" w:rsidP="00DA5A6A">
      <w:pPr>
        <w:spacing w:line="360" w:lineRule="auto"/>
        <w:jc w:val="both"/>
        <w:rPr>
          <w:rFonts w:ascii="Book Antiqua" w:hAnsi="Book Antiqua"/>
        </w:rPr>
      </w:pPr>
      <w:r w:rsidRPr="00DA5A6A">
        <w:rPr>
          <w:rFonts w:ascii="Book Antiqua" w:hAnsi="Book Antiqua"/>
        </w:rPr>
        <w:t xml:space="preserve">16 </w:t>
      </w:r>
      <w:r w:rsidRPr="00DA5A6A">
        <w:rPr>
          <w:rFonts w:ascii="Book Antiqua" w:hAnsi="Book Antiqua"/>
          <w:b/>
          <w:bCs/>
        </w:rPr>
        <w:t>Foulkes WD</w:t>
      </w:r>
      <w:r w:rsidRPr="00DA5A6A">
        <w:rPr>
          <w:rFonts w:ascii="Book Antiqua" w:hAnsi="Book Antiqua"/>
        </w:rPr>
        <w:t xml:space="preserve">, Smith IE, Reis-Filho JS. Triple-negative breast cancer. </w:t>
      </w:r>
      <w:r w:rsidRPr="00DA5A6A">
        <w:rPr>
          <w:rFonts w:ascii="Book Antiqua" w:hAnsi="Book Antiqua"/>
          <w:i/>
          <w:iCs/>
        </w:rPr>
        <w:t>N Engl J Med</w:t>
      </w:r>
      <w:r w:rsidRPr="00DA5A6A">
        <w:rPr>
          <w:rFonts w:ascii="Book Antiqua" w:hAnsi="Book Antiqua"/>
        </w:rPr>
        <w:t xml:space="preserve"> 2010; </w:t>
      </w:r>
      <w:r w:rsidRPr="00DA5A6A">
        <w:rPr>
          <w:rFonts w:ascii="Book Antiqua" w:hAnsi="Book Antiqua"/>
          <w:b/>
          <w:bCs/>
        </w:rPr>
        <w:t>363</w:t>
      </w:r>
      <w:r w:rsidRPr="00DA5A6A">
        <w:rPr>
          <w:rFonts w:ascii="Book Antiqua" w:hAnsi="Book Antiqua"/>
        </w:rPr>
        <w:t>: 1938-1948 [PMID: 21067385 DOI: 10.1056/NEJMra1001389]</w:t>
      </w:r>
    </w:p>
    <w:p w14:paraId="1BFBE96E" w14:textId="65F7DBD3" w:rsidR="00421EA9" w:rsidRPr="00DA5A6A" w:rsidRDefault="00421EA9" w:rsidP="00DA5A6A">
      <w:pPr>
        <w:spacing w:line="360" w:lineRule="auto"/>
        <w:jc w:val="both"/>
        <w:rPr>
          <w:rFonts w:ascii="Book Antiqua" w:hAnsi="Book Antiqua"/>
        </w:rPr>
      </w:pPr>
      <w:r w:rsidRPr="00DA5A6A">
        <w:rPr>
          <w:rFonts w:ascii="Book Antiqua" w:hAnsi="Book Antiqua"/>
        </w:rPr>
        <w:t xml:space="preserve">17 </w:t>
      </w:r>
      <w:r w:rsidRPr="00DA5A6A">
        <w:rPr>
          <w:rFonts w:ascii="Book Antiqua" w:hAnsi="Book Antiqua"/>
          <w:b/>
          <w:bCs/>
        </w:rPr>
        <w:t>Lim E</w:t>
      </w:r>
      <w:r w:rsidRPr="00DA5A6A">
        <w:rPr>
          <w:rFonts w:ascii="Book Antiqua" w:hAnsi="Book Antiqua"/>
        </w:rPr>
        <w:t xml:space="preserve">, Vaillant F, Wu D, Forrest NC, Pal B, Hart AH, Asselin-Labat ML, Gyorki DE, Ward T, Partanen A, Feleppa F, Huschtscha LI, Thorne HJ; kConFab, Fox SB, Yan M, French JD, Brown MA, Smyth GK, Visvader JE, Lindeman GJ. Aberrant luminal progenitors as the candidate target population for basal tumor development in BRCA1 mutation carriers. </w:t>
      </w:r>
      <w:r w:rsidRPr="00DA5A6A">
        <w:rPr>
          <w:rFonts w:ascii="Book Antiqua" w:hAnsi="Book Antiqua"/>
          <w:i/>
          <w:iCs/>
        </w:rPr>
        <w:t>Nat Med</w:t>
      </w:r>
      <w:r w:rsidRPr="00DA5A6A">
        <w:rPr>
          <w:rFonts w:ascii="Book Antiqua" w:hAnsi="Book Antiqua"/>
        </w:rPr>
        <w:t xml:space="preserve"> 2009; </w:t>
      </w:r>
      <w:r w:rsidRPr="00DA5A6A">
        <w:rPr>
          <w:rFonts w:ascii="Book Antiqua" w:hAnsi="Book Antiqua"/>
          <w:b/>
          <w:bCs/>
        </w:rPr>
        <w:t>15</w:t>
      </w:r>
      <w:r w:rsidRPr="00DA5A6A">
        <w:rPr>
          <w:rFonts w:ascii="Book Antiqua" w:hAnsi="Book Antiqua"/>
        </w:rPr>
        <w:t>: 907-913 [PMID: 19648928 DOI: 10.1038/nm.2000]</w:t>
      </w:r>
    </w:p>
    <w:p w14:paraId="2A36F302" w14:textId="70B91C3E" w:rsidR="00421EA9" w:rsidRPr="00DA5A6A" w:rsidRDefault="00421EA9" w:rsidP="00DA5A6A">
      <w:pPr>
        <w:spacing w:line="360" w:lineRule="auto"/>
        <w:jc w:val="both"/>
        <w:rPr>
          <w:rFonts w:ascii="Book Antiqua" w:hAnsi="Book Antiqua"/>
        </w:rPr>
      </w:pPr>
      <w:r w:rsidRPr="00DA5A6A">
        <w:rPr>
          <w:rFonts w:ascii="Book Antiqua" w:hAnsi="Book Antiqua"/>
        </w:rPr>
        <w:t xml:space="preserve">18 </w:t>
      </w:r>
      <w:r w:rsidRPr="00DA5A6A">
        <w:rPr>
          <w:rFonts w:ascii="Book Antiqua" w:hAnsi="Book Antiqua"/>
          <w:b/>
          <w:bCs/>
        </w:rPr>
        <w:t>Foulkes WD</w:t>
      </w:r>
      <w:r w:rsidRPr="00DA5A6A">
        <w:rPr>
          <w:rFonts w:ascii="Book Antiqua" w:hAnsi="Book Antiqua"/>
        </w:rPr>
        <w:t xml:space="preserve">, Stefansson IM, Chappuis PO, Bégin LR, Goffin JR, Wong N, Trudel M, Akslen LA. Germline BRCA1 mutations and a basal epithelial phenotype in breast cancer. </w:t>
      </w:r>
      <w:r w:rsidRPr="00DA5A6A">
        <w:rPr>
          <w:rFonts w:ascii="Book Antiqua" w:hAnsi="Book Antiqua"/>
          <w:i/>
          <w:iCs/>
        </w:rPr>
        <w:t>J Natl Cancer Inst</w:t>
      </w:r>
      <w:r w:rsidRPr="00DA5A6A">
        <w:rPr>
          <w:rFonts w:ascii="Book Antiqua" w:hAnsi="Book Antiqua"/>
        </w:rPr>
        <w:t xml:space="preserve"> 2003; </w:t>
      </w:r>
      <w:r w:rsidRPr="00DA5A6A">
        <w:rPr>
          <w:rFonts w:ascii="Book Antiqua" w:hAnsi="Book Antiqua"/>
          <w:b/>
          <w:bCs/>
        </w:rPr>
        <w:t>95</w:t>
      </w:r>
      <w:r w:rsidRPr="00DA5A6A">
        <w:rPr>
          <w:rFonts w:ascii="Book Antiqua" w:hAnsi="Book Antiqua"/>
        </w:rPr>
        <w:t>: 1482-1485 [PMID: 14519755 DOI: 10.1093/jnci/djg050]</w:t>
      </w:r>
    </w:p>
    <w:p w14:paraId="19156999" w14:textId="087D7AA0" w:rsidR="00421EA9" w:rsidRPr="00DA5A6A" w:rsidRDefault="00421EA9" w:rsidP="00DA5A6A">
      <w:pPr>
        <w:spacing w:line="360" w:lineRule="auto"/>
        <w:jc w:val="both"/>
        <w:rPr>
          <w:rFonts w:ascii="Book Antiqua" w:hAnsi="Book Antiqua"/>
        </w:rPr>
      </w:pPr>
      <w:r w:rsidRPr="00DA5A6A">
        <w:rPr>
          <w:rFonts w:ascii="Book Antiqua" w:hAnsi="Book Antiqua"/>
        </w:rPr>
        <w:t xml:space="preserve">19 </w:t>
      </w:r>
      <w:r w:rsidRPr="00DA5A6A">
        <w:rPr>
          <w:rFonts w:ascii="Book Antiqua" w:hAnsi="Book Antiqua"/>
          <w:b/>
          <w:bCs/>
        </w:rPr>
        <w:t>Lakhani SR</w:t>
      </w:r>
      <w:r w:rsidRPr="00DA5A6A">
        <w:rPr>
          <w:rFonts w:ascii="Book Antiqua" w:hAnsi="Book Antiqua"/>
        </w:rPr>
        <w:t xml:space="preserve">, Reis-Filho JS, Fulford L, Penault-Llorca F, van der Vijver M, Parry S, Bishop T, Benitez J, Rivas C, Bignon YJ, Chang-Claude J, Hamann U, Cornelisse CJ, Devilee P, Beckmann MW, Nestle-Krämling C, Daly PA, Haites N, Varley J, Lalloo F, Evans G, Maugard C, Meijers-Heijboer H, Klijn JG, Olah E, Gusterson BA, Pilotti S, Radice P, Scherneck S, Sobol H, Jacquemier J, Wagner T, Peto J, Stratton MR, McGuffog L, Easton DF; Breast Cancer Linkage Consortium. Prediction of BRCA1 status in patients with breast cancer using estrogen receptor and basal phenotype. </w:t>
      </w:r>
      <w:r w:rsidRPr="00DA5A6A">
        <w:rPr>
          <w:rFonts w:ascii="Book Antiqua" w:hAnsi="Book Antiqua"/>
          <w:i/>
          <w:iCs/>
        </w:rPr>
        <w:t>Clin Cancer Res</w:t>
      </w:r>
      <w:r w:rsidRPr="00DA5A6A">
        <w:rPr>
          <w:rFonts w:ascii="Book Antiqua" w:hAnsi="Book Antiqua"/>
        </w:rPr>
        <w:t xml:space="preserve"> 2005; </w:t>
      </w:r>
      <w:r w:rsidRPr="00DA5A6A">
        <w:rPr>
          <w:rFonts w:ascii="Book Antiqua" w:hAnsi="Book Antiqua"/>
          <w:b/>
          <w:bCs/>
        </w:rPr>
        <w:t>11</w:t>
      </w:r>
      <w:r w:rsidRPr="00DA5A6A">
        <w:rPr>
          <w:rFonts w:ascii="Book Antiqua" w:hAnsi="Book Antiqua"/>
        </w:rPr>
        <w:t>: 5175-5180 [PMID: 16033833 DOI: 10.1158/1078-0432.CCR-04-2424]</w:t>
      </w:r>
    </w:p>
    <w:p w14:paraId="6580CC33" w14:textId="50D60897" w:rsidR="00421EA9" w:rsidRPr="00DA5A6A" w:rsidRDefault="00421EA9" w:rsidP="00DA5A6A">
      <w:pPr>
        <w:spacing w:line="360" w:lineRule="auto"/>
        <w:jc w:val="both"/>
        <w:rPr>
          <w:rFonts w:ascii="Book Antiqua" w:hAnsi="Book Antiqua"/>
        </w:rPr>
      </w:pPr>
      <w:r w:rsidRPr="00DA5A6A">
        <w:rPr>
          <w:rFonts w:ascii="Book Antiqua" w:hAnsi="Book Antiqua"/>
        </w:rPr>
        <w:t xml:space="preserve">20 </w:t>
      </w:r>
      <w:r w:rsidRPr="00DA5A6A">
        <w:rPr>
          <w:rFonts w:ascii="Book Antiqua" w:hAnsi="Book Antiqua"/>
          <w:b/>
          <w:bCs/>
        </w:rPr>
        <w:t>Peshkin BN</w:t>
      </w:r>
      <w:r w:rsidRPr="00DA5A6A">
        <w:rPr>
          <w:rFonts w:ascii="Book Antiqua" w:hAnsi="Book Antiqua"/>
        </w:rPr>
        <w:t xml:space="preserve">, Alabek ML, Isaacs C. BRCA1/2 mutations and triple negative breast cancers. </w:t>
      </w:r>
      <w:r w:rsidRPr="00DA5A6A">
        <w:rPr>
          <w:rFonts w:ascii="Book Antiqua" w:hAnsi="Book Antiqua"/>
          <w:i/>
          <w:iCs/>
        </w:rPr>
        <w:t>Breast Dis</w:t>
      </w:r>
      <w:r w:rsidRPr="00DA5A6A">
        <w:rPr>
          <w:rFonts w:ascii="Book Antiqua" w:hAnsi="Book Antiqua"/>
        </w:rPr>
        <w:t xml:space="preserve"> 2010; </w:t>
      </w:r>
      <w:r w:rsidRPr="00DA5A6A">
        <w:rPr>
          <w:rFonts w:ascii="Book Antiqua" w:hAnsi="Book Antiqua"/>
          <w:b/>
          <w:bCs/>
        </w:rPr>
        <w:t>32</w:t>
      </w:r>
      <w:r w:rsidRPr="00DA5A6A">
        <w:rPr>
          <w:rFonts w:ascii="Book Antiqua" w:hAnsi="Book Antiqua"/>
        </w:rPr>
        <w:t>: 25-33 [PMID: 21778580 DOI: 10.3233/BD-2010-0306]</w:t>
      </w:r>
    </w:p>
    <w:p w14:paraId="1926B485" w14:textId="3E147919" w:rsidR="00421EA9" w:rsidRPr="00DA5A6A" w:rsidRDefault="00421EA9" w:rsidP="00DA5A6A">
      <w:pPr>
        <w:spacing w:line="360" w:lineRule="auto"/>
        <w:jc w:val="both"/>
        <w:rPr>
          <w:rFonts w:ascii="Book Antiqua" w:hAnsi="Book Antiqua"/>
        </w:rPr>
      </w:pPr>
      <w:r w:rsidRPr="00DA5A6A">
        <w:rPr>
          <w:rFonts w:ascii="Book Antiqua" w:hAnsi="Book Antiqua"/>
        </w:rPr>
        <w:t xml:space="preserve">21 </w:t>
      </w:r>
      <w:r w:rsidRPr="00DA5A6A">
        <w:rPr>
          <w:rFonts w:ascii="Book Antiqua" w:hAnsi="Book Antiqua"/>
          <w:b/>
          <w:bCs/>
        </w:rPr>
        <w:t>Byrum AK</w:t>
      </w:r>
      <w:r w:rsidRPr="00DA5A6A">
        <w:rPr>
          <w:rFonts w:ascii="Book Antiqua" w:hAnsi="Book Antiqua"/>
        </w:rPr>
        <w:t xml:space="preserve">, Vindigni A, Mosammaparast N. Defining and Modulating 'BRCAness'. </w:t>
      </w:r>
      <w:r w:rsidRPr="00DA5A6A">
        <w:rPr>
          <w:rFonts w:ascii="Book Antiqua" w:hAnsi="Book Antiqua"/>
          <w:i/>
          <w:iCs/>
        </w:rPr>
        <w:t>Trends Cell Biol</w:t>
      </w:r>
      <w:r w:rsidRPr="00DA5A6A">
        <w:rPr>
          <w:rFonts w:ascii="Book Antiqua" w:hAnsi="Book Antiqua"/>
        </w:rPr>
        <w:t xml:space="preserve"> 2019; </w:t>
      </w:r>
      <w:r w:rsidRPr="00DA5A6A">
        <w:rPr>
          <w:rFonts w:ascii="Book Antiqua" w:hAnsi="Book Antiqua"/>
          <w:b/>
          <w:bCs/>
        </w:rPr>
        <w:t>29</w:t>
      </w:r>
      <w:r w:rsidRPr="00DA5A6A">
        <w:rPr>
          <w:rFonts w:ascii="Book Antiqua" w:hAnsi="Book Antiqua"/>
        </w:rPr>
        <w:t>: 740-751 [PMID: 31362850 DOI: 10.1016/j.tcb.2019.06.005]</w:t>
      </w:r>
    </w:p>
    <w:p w14:paraId="7CE80CAF" w14:textId="327691AB" w:rsidR="00421EA9" w:rsidRPr="00DA5A6A" w:rsidRDefault="00421EA9" w:rsidP="00DA5A6A">
      <w:pPr>
        <w:spacing w:line="360" w:lineRule="auto"/>
        <w:jc w:val="both"/>
        <w:rPr>
          <w:rFonts w:ascii="Book Antiqua" w:hAnsi="Book Antiqua"/>
        </w:rPr>
      </w:pPr>
      <w:r w:rsidRPr="00DA5A6A">
        <w:rPr>
          <w:rFonts w:ascii="Book Antiqua" w:hAnsi="Book Antiqua"/>
        </w:rPr>
        <w:t xml:space="preserve">22 </w:t>
      </w:r>
      <w:r w:rsidRPr="00DA5A6A">
        <w:rPr>
          <w:rFonts w:ascii="Book Antiqua" w:hAnsi="Book Antiqua"/>
          <w:b/>
          <w:bCs/>
        </w:rPr>
        <w:t>Turner N</w:t>
      </w:r>
      <w:r w:rsidRPr="00DA5A6A">
        <w:rPr>
          <w:rFonts w:ascii="Book Antiqua" w:hAnsi="Book Antiqua"/>
        </w:rPr>
        <w:t xml:space="preserve">, Tutt A, Ashworth A. Hallmarks of 'BRCAness' in sporadic cancers. </w:t>
      </w:r>
      <w:r w:rsidRPr="00DA5A6A">
        <w:rPr>
          <w:rFonts w:ascii="Book Antiqua" w:hAnsi="Book Antiqua"/>
          <w:i/>
          <w:iCs/>
        </w:rPr>
        <w:t>Nat Rev Cancer</w:t>
      </w:r>
      <w:r w:rsidRPr="00DA5A6A">
        <w:rPr>
          <w:rFonts w:ascii="Book Antiqua" w:hAnsi="Book Antiqua"/>
        </w:rPr>
        <w:t xml:space="preserve"> 2004; </w:t>
      </w:r>
      <w:r w:rsidRPr="00DA5A6A">
        <w:rPr>
          <w:rFonts w:ascii="Book Antiqua" w:hAnsi="Book Antiqua"/>
          <w:b/>
          <w:bCs/>
        </w:rPr>
        <w:t>4</w:t>
      </w:r>
      <w:r w:rsidRPr="00DA5A6A">
        <w:rPr>
          <w:rFonts w:ascii="Book Antiqua" w:hAnsi="Book Antiqua"/>
        </w:rPr>
        <w:t>: 814-819 [PMID: 15510162 DOI: 10.1038/nrc1457]</w:t>
      </w:r>
    </w:p>
    <w:p w14:paraId="6D3B8284" w14:textId="09BF21F2" w:rsidR="00421EA9" w:rsidRPr="00DA5A6A" w:rsidRDefault="00421EA9" w:rsidP="00DA5A6A">
      <w:pPr>
        <w:spacing w:line="360" w:lineRule="auto"/>
        <w:jc w:val="both"/>
        <w:rPr>
          <w:rFonts w:ascii="Book Antiqua" w:hAnsi="Book Antiqua"/>
        </w:rPr>
      </w:pPr>
      <w:r w:rsidRPr="00DA5A6A">
        <w:rPr>
          <w:rFonts w:ascii="Book Antiqua" w:hAnsi="Book Antiqua"/>
        </w:rPr>
        <w:t xml:space="preserve">23 </w:t>
      </w:r>
      <w:r w:rsidRPr="00DA5A6A">
        <w:rPr>
          <w:rFonts w:ascii="Book Antiqua" w:hAnsi="Book Antiqua"/>
          <w:b/>
          <w:bCs/>
        </w:rPr>
        <w:t>Keung MYT</w:t>
      </w:r>
      <w:r w:rsidRPr="00DA5A6A">
        <w:rPr>
          <w:rFonts w:ascii="Book Antiqua" w:hAnsi="Book Antiqua"/>
        </w:rPr>
        <w:t xml:space="preserve">, Wu Y, Vadgama JV. PARP Inhibitors as a Therapeutic Agent for Homologous Recombination Deficiency in Breast Cancers. </w:t>
      </w:r>
      <w:r w:rsidRPr="00DA5A6A">
        <w:rPr>
          <w:rFonts w:ascii="Book Antiqua" w:hAnsi="Book Antiqua"/>
          <w:i/>
          <w:iCs/>
        </w:rPr>
        <w:t>J Clin Med</w:t>
      </w:r>
      <w:r w:rsidRPr="00DA5A6A">
        <w:rPr>
          <w:rFonts w:ascii="Book Antiqua" w:hAnsi="Book Antiqua"/>
        </w:rPr>
        <w:t xml:space="preserve"> 2019; </w:t>
      </w:r>
      <w:r w:rsidRPr="00DA5A6A">
        <w:rPr>
          <w:rFonts w:ascii="Book Antiqua" w:hAnsi="Book Antiqua"/>
          <w:b/>
          <w:bCs/>
        </w:rPr>
        <w:t>8</w:t>
      </w:r>
      <w:r w:rsidRPr="00DA5A6A">
        <w:rPr>
          <w:rFonts w:ascii="Book Antiqua" w:hAnsi="Book Antiqua"/>
        </w:rPr>
        <w:t xml:space="preserve"> [PMID: 30934991 DOI: 10.3390/jcm8040435]</w:t>
      </w:r>
    </w:p>
    <w:p w14:paraId="1F0B065B" w14:textId="0485E5B5" w:rsidR="00421EA9" w:rsidRPr="00DA5A6A" w:rsidRDefault="00421EA9" w:rsidP="00DA5A6A">
      <w:pPr>
        <w:spacing w:line="360" w:lineRule="auto"/>
        <w:jc w:val="both"/>
        <w:rPr>
          <w:rFonts w:ascii="Book Antiqua" w:hAnsi="Book Antiqua"/>
        </w:rPr>
      </w:pPr>
      <w:r w:rsidRPr="00DA5A6A">
        <w:rPr>
          <w:rFonts w:ascii="Book Antiqua" w:hAnsi="Book Antiqua"/>
        </w:rPr>
        <w:lastRenderedPageBreak/>
        <w:t xml:space="preserve">24 </w:t>
      </w:r>
      <w:r w:rsidRPr="00DA5A6A">
        <w:rPr>
          <w:rFonts w:ascii="Book Antiqua" w:hAnsi="Book Antiqua"/>
          <w:b/>
          <w:bCs/>
        </w:rPr>
        <w:t>Yu T</w:t>
      </w:r>
      <w:r w:rsidRPr="00DA5A6A">
        <w:rPr>
          <w:rFonts w:ascii="Book Antiqua" w:hAnsi="Book Antiqua"/>
        </w:rPr>
        <w:t xml:space="preserve">, Di G. Role of tumor microenvironment in triple-negative breast cancer and its prognostic significance. </w:t>
      </w:r>
      <w:r w:rsidRPr="00DA5A6A">
        <w:rPr>
          <w:rFonts w:ascii="Book Antiqua" w:hAnsi="Book Antiqua"/>
          <w:i/>
          <w:iCs/>
        </w:rPr>
        <w:t>Chin J Cancer Res</w:t>
      </w:r>
      <w:r w:rsidRPr="00DA5A6A">
        <w:rPr>
          <w:rFonts w:ascii="Book Antiqua" w:hAnsi="Book Antiqua"/>
        </w:rPr>
        <w:t xml:space="preserve"> 2017; </w:t>
      </w:r>
      <w:r w:rsidRPr="00DA5A6A">
        <w:rPr>
          <w:rFonts w:ascii="Book Antiqua" w:hAnsi="Book Antiqua"/>
          <w:b/>
          <w:bCs/>
        </w:rPr>
        <w:t>29</w:t>
      </w:r>
      <w:r w:rsidRPr="00DA5A6A">
        <w:rPr>
          <w:rFonts w:ascii="Book Antiqua" w:hAnsi="Book Antiqua"/>
        </w:rPr>
        <w:t>: 237-252 [PMID: 28729775 DOI: 10.21147/j.issn.1000-9604.2017.03.10]</w:t>
      </w:r>
    </w:p>
    <w:p w14:paraId="04FF830A" w14:textId="1FCA0B5A" w:rsidR="00421EA9" w:rsidRPr="00DA5A6A" w:rsidRDefault="00421EA9" w:rsidP="00DA5A6A">
      <w:pPr>
        <w:spacing w:line="360" w:lineRule="auto"/>
        <w:jc w:val="both"/>
        <w:rPr>
          <w:rFonts w:ascii="Book Antiqua" w:hAnsi="Book Antiqua"/>
          <w:lang w:val="pt-BR"/>
        </w:rPr>
      </w:pPr>
      <w:r w:rsidRPr="00DA5A6A">
        <w:rPr>
          <w:rFonts w:ascii="Book Antiqua" w:hAnsi="Book Antiqua"/>
        </w:rPr>
        <w:t xml:space="preserve">25 </w:t>
      </w:r>
      <w:r w:rsidRPr="00DA5A6A">
        <w:rPr>
          <w:rFonts w:ascii="Book Antiqua" w:hAnsi="Book Antiqua"/>
          <w:b/>
          <w:bCs/>
        </w:rPr>
        <w:t>Nagarajan D</w:t>
      </w:r>
      <w:r w:rsidRPr="00DA5A6A">
        <w:rPr>
          <w:rFonts w:ascii="Book Antiqua" w:hAnsi="Book Antiqua"/>
        </w:rPr>
        <w:t xml:space="preserve">, McArdle SEB. Immune Landscape of Breast Cancers. </w:t>
      </w:r>
      <w:r w:rsidRPr="00DA5A6A">
        <w:rPr>
          <w:rFonts w:ascii="Book Antiqua" w:hAnsi="Book Antiqua"/>
          <w:i/>
          <w:iCs/>
          <w:lang w:val="pt-BR"/>
        </w:rPr>
        <w:t>Biomedicines</w:t>
      </w:r>
      <w:r w:rsidRPr="00DA5A6A">
        <w:rPr>
          <w:rFonts w:ascii="Book Antiqua" w:hAnsi="Book Antiqua"/>
          <w:lang w:val="pt-BR"/>
        </w:rPr>
        <w:t xml:space="preserve"> 2018; </w:t>
      </w:r>
      <w:r w:rsidRPr="00DA5A6A">
        <w:rPr>
          <w:rFonts w:ascii="Book Antiqua" w:hAnsi="Book Antiqua"/>
          <w:b/>
          <w:bCs/>
          <w:lang w:val="pt-BR"/>
        </w:rPr>
        <w:t>6</w:t>
      </w:r>
      <w:r w:rsidRPr="00DA5A6A">
        <w:rPr>
          <w:rFonts w:ascii="Book Antiqua" w:hAnsi="Book Antiqua"/>
          <w:lang w:val="pt-BR"/>
        </w:rPr>
        <w:t xml:space="preserve"> [PMID: 29439457 DOI: 10.3390/biomedicines6010020]</w:t>
      </w:r>
    </w:p>
    <w:p w14:paraId="5952D007" w14:textId="252230D2" w:rsidR="00421EA9" w:rsidRPr="00DA5A6A" w:rsidRDefault="00421EA9" w:rsidP="00DA5A6A">
      <w:pPr>
        <w:spacing w:line="360" w:lineRule="auto"/>
        <w:jc w:val="both"/>
        <w:rPr>
          <w:rFonts w:ascii="Book Antiqua" w:hAnsi="Book Antiqua"/>
        </w:rPr>
      </w:pPr>
      <w:r w:rsidRPr="00DA5A6A">
        <w:rPr>
          <w:rFonts w:ascii="Book Antiqua" w:hAnsi="Book Antiqua"/>
          <w:lang w:val="pt-BR"/>
        </w:rPr>
        <w:t xml:space="preserve">26 </w:t>
      </w:r>
      <w:r w:rsidRPr="00DA5A6A">
        <w:rPr>
          <w:rFonts w:ascii="Book Antiqua" w:hAnsi="Book Antiqua"/>
          <w:b/>
          <w:bCs/>
          <w:lang w:val="pt-BR"/>
        </w:rPr>
        <w:t>García-Teijido P</w:t>
      </w:r>
      <w:r w:rsidRPr="00DA5A6A">
        <w:rPr>
          <w:rFonts w:ascii="Book Antiqua" w:hAnsi="Book Antiqua"/>
          <w:lang w:val="pt-BR"/>
        </w:rPr>
        <w:t xml:space="preserve">, Cabal ML, Fernández IP, Pérez YF. </w:t>
      </w:r>
      <w:r w:rsidRPr="00DA5A6A">
        <w:rPr>
          <w:rFonts w:ascii="Book Antiqua" w:hAnsi="Book Antiqua"/>
        </w:rPr>
        <w:t xml:space="preserve">Tumor-Infiltrating Lymphocytes in Triple Negative Breast Cancer: The Future of Immune Targeting. </w:t>
      </w:r>
      <w:r w:rsidRPr="00DA5A6A">
        <w:rPr>
          <w:rFonts w:ascii="Book Antiqua" w:hAnsi="Book Antiqua"/>
          <w:i/>
          <w:iCs/>
        </w:rPr>
        <w:t>Clin Med Insights Oncol</w:t>
      </w:r>
      <w:r w:rsidRPr="00DA5A6A">
        <w:rPr>
          <w:rFonts w:ascii="Book Antiqua" w:hAnsi="Book Antiqua"/>
        </w:rPr>
        <w:t xml:space="preserve"> 2016; </w:t>
      </w:r>
      <w:r w:rsidRPr="00DA5A6A">
        <w:rPr>
          <w:rFonts w:ascii="Book Antiqua" w:hAnsi="Book Antiqua"/>
          <w:b/>
          <w:bCs/>
        </w:rPr>
        <w:t>10</w:t>
      </w:r>
      <w:r w:rsidRPr="00DA5A6A">
        <w:rPr>
          <w:rFonts w:ascii="Book Antiqua" w:hAnsi="Book Antiqua"/>
        </w:rPr>
        <w:t>: 31-39 [PMID: 27081325 DOI: 10.4137/CMO.S34540]</w:t>
      </w:r>
    </w:p>
    <w:p w14:paraId="59037BA0" w14:textId="2BB7B9D0" w:rsidR="00421EA9" w:rsidRPr="00DA5A6A" w:rsidRDefault="00421EA9" w:rsidP="00DA5A6A">
      <w:pPr>
        <w:spacing w:line="360" w:lineRule="auto"/>
        <w:jc w:val="both"/>
        <w:rPr>
          <w:rFonts w:ascii="Book Antiqua" w:hAnsi="Book Antiqua"/>
        </w:rPr>
      </w:pPr>
      <w:r w:rsidRPr="00DA5A6A">
        <w:rPr>
          <w:rFonts w:ascii="Book Antiqua" w:hAnsi="Book Antiqua"/>
        </w:rPr>
        <w:t xml:space="preserve">27 </w:t>
      </w:r>
      <w:r w:rsidRPr="00DA5A6A">
        <w:rPr>
          <w:rFonts w:ascii="Book Antiqua" w:hAnsi="Book Antiqua"/>
          <w:b/>
          <w:bCs/>
        </w:rPr>
        <w:t>Loi S</w:t>
      </w:r>
      <w:r w:rsidRPr="00DA5A6A">
        <w:rPr>
          <w:rFonts w:ascii="Book Antiqua" w:hAnsi="Book Antiqua"/>
        </w:rPr>
        <w:t xml:space="preserve">, Drubay D, Adams S, Pruneri G, Francis PA, Lacroix-Triki M, Joensuu H, Dieci MV, Badve S, Demaria S, Gray R, Munzone E, Lemonnier J, Sotiriou C, Piccart MJ, Kellokumpu-Lehtinen PL, Vingiani A, Gray K, Andre F, Denkert C, Salgado R, Michiels S. Tumor-Infiltrating Lymphocytes and Prognosis: A Pooled Individual Patient Analysis of Early-Stage Triple-Negative Breast Cancers. </w:t>
      </w:r>
      <w:r w:rsidRPr="00DA5A6A">
        <w:rPr>
          <w:rFonts w:ascii="Book Antiqua" w:hAnsi="Book Antiqua"/>
          <w:i/>
          <w:iCs/>
        </w:rPr>
        <w:t>J Clin Oncol</w:t>
      </w:r>
      <w:r w:rsidRPr="00DA5A6A">
        <w:rPr>
          <w:rFonts w:ascii="Book Antiqua" w:hAnsi="Book Antiqua"/>
        </w:rPr>
        <w:t xml:space="preserve"> 2019; </w:t>
      </w:r>
      <w:r w:rsidRPr="00DA5A6A">
        <w:rPr>
          <w:rFonts w:ascii="Book Antiqua" w:hAnsi="Book Antiqua"/>
          <w:b/>
          <w:bCs/>
        </w:rPr>
        <w:t>37</w:t>
      </w:r>
      <w:r w:rsidRPr="00DA5A6A">
        <w:rPr>
          <w:rFonts w:ascii="Book Antiqua" w:hAnsi="Book Antiqua"/>
        </w:rPr>
        <w:t>: 559-569 [PMID: 30650045 DOI: 10.1200/JCO.18.01010]</w:t>
      </w:r>
    </w:p>
    <w:p w14:paraId="75AA9638" w14:textId="77777777" w:rsidR="00421EA9" w:rsidRPr="00DA5A6A" w:rsidRDefault="00421EA9" w:rsidP="00DA5A6A">
      <w:pPr>
        <w:spacing w:line="360" w:lineRule="auto"/>
        <w:jc w:val="both"/>
        <w:rPr>
          <w:rFonts w:ascii="Book Antiqua" w:hAnsi="Book Antiqua"/>
        </w:rPr>
      </w:pPr>
      <w:r w:rsidRPr="00DA5A6A">
        <w:rPr>
          <w:rFonts w:ascii="Book Antiqua" w:hAnsi="Book Antiqua"/>
        </w:rPr>
        <w:t xml:space="preserve">28 </w:t>
      </w:r>
      <w:r w:rsidRPr="00DA5A6A">
        <w:rPr>
          <w:rFonts w:ascii="Book Antiqua" w:hAnsi="Book Antiqua"/>
          <w:b/>
          <w:bCs/>
        </w:rPr>
        <w:t>Zhang L</w:t>
      </w:r>
      <w:r w:rsidRPr="00DA5A6A">
        <w:rPr>
          <w:rFonts w:ascii="Book Antiqua" w:hAnsi="Book Antiqua"/>
        </w:rPr>
        <w:t xml:space="preserve">, Wang XI, Ding J, Sun Q, Zhang S. The predictive and prognostic value of Foxp3+/CD25+ regulatory T cells and PD-L1 expression in triple negative breast cancer. </w:t>
      </w:r>
      <w:r w:rsidRPr="00DA5A6A">
        <w:rPr>
          <w:rFonts w:ascii="Book Antiqua" w:hAnsi="Book Antiqua"/>
          <w:i/>
          <w:iCs/>
        </w:rPr>
        <w:t>Ann Diagn Pathol</w:t>
      </w:r>
      <w:r w:rsidRPr="00DA5A6A">
        <w:rPr>
          <w:rFonts w:ascii="Book Antiqua" w:hAnsi="Book Antiqua"/>
        </w:rPr>
        <w:t xml:space="preserve"> 2019; </w:t>
      </w:r>
      <w:r w:rsidRPr="00DA5A6A">
        <w:rPr>
          <w:rFonts w:ascii="Book Antiqua" w:hAnsi="Book Antiqua"/>
          <w:b/>
          <w:bCs/>
        </w:rPr>
        <w:t>40</w:t>
      </w:r>
      <w:r w:rsidRPr="00DA5A6A">
        <w:rPr>
          <w:rFonts w:ascii="Book Antiqua" w:hAnsi="Book Antiqua"/>
        </w:rPr>
        <w:t>: 143-151 [PMID: 31096176 DOI: 10.1016/j.anndiagpath.2019.04.004]</w:t>
      </w:r>
    </w:p>
    <w:p w14:paraId="2C51CE2B" w14:textId="42602C04" w:rsidR="00421EA9" w:rsidRPr="00DA5A6A" w:rsidRDefault="00421EA9" w:rsidP="00DA5A6A">
      <w:pPr>
        <w:spacing w:line="360" w:lineRule="auto"/>
        <w:jc w:val="both"/>
        <w:rPr>
          <w:rFonts w:ascii="Book Antiqua" w:hAnsi="Book Antiqua"/>
        </w:rPr>
      </w:pPr>
      <w:r w:rsidRPr="00DA5A6A">
        <w:rPr>
          <w:rFonts w:ascii="Book Antiqua" w:hAnsi="Book Antiqua"/>
        </w:rPr>
        <w:t xml:space="preserve">29 </w:t>
      </w:r>
      <w:r w:rsidRPr="00DA5A6A">
        <w:rPr>
          <w:rFonts w:ascii="Book Antiqua" w:hAnsi="Book Antiqua"/>
          <w:b/>
          <w:bCs/>
        </w:rPr>
        <w:t>Ibrahim EM</w:t>
      </w:r>
      <w:r w:rsidRPr="00DA5A6A">
        <w:rPr>
          <w:rFonts w:ascii="Book Antiqua" w:hAnsi="Book Antiqua"/>
        </w:rPr>
        <w:t xml:space="preserve">, Al-Foheidi ME, Al-Mansour MM, Kazkaz GA. The prognostic value of tumor-infiltrating lymphocytes in triple-negative breast cancer: a meta-analysis. </w:t>
      </w:r>
      <w:r w:rsidRPr="00DA5A6A">
        <w:rPr>
          <w:rFonts w:ascii="Book Antiqua" w:hAnsi="Book Antiqua"/>
          <w:i/>
          <w:iCs/>
        </w:rPr>
        <w:t>Breast Cancer Res Treat</w:t>
      </w:r>
      <w:r w:rsidRPr="00DA5A6A">
        <w:rPr>
          <w:rFonts w:ascii="Book Antiqua" w:hAnsi="Book Antiqua"/>
        </w:rPr>
        <w:t xml:space="preserve"> 2014; </w:t>
      </w:r>
      <w:r w:rsidRPr="00DA5A6A">
        <w:rPr>
          <w:rFonts w:ascii="Book Antiqua" w:hAnsi="Book Antiqua"/>
          <w:b/>
          <w:bCs/>
        </w:rPr>
        <w:t>148</w:t>
      </w:r>
      <w:r w:rsidRPr="00DA5A6A">
        <w:rPr>
          <w:rFonts w:ascii="Book Antiqua" w:hAnsi="Book Antiqua"/>
        </w:rPr>
        <w:t>: 467-476 [PMID: 25361613 DOI: 10.1007/s10549-014-3185-2]</w:t>
      </w:r>
    </w:p>
    <w:p w14:paraId="595F09C8" w14:textId="7E856BEB" w:rsidR="00421EA9" w:rsidRPr="00DA5A6A" w:rsidRDefault="00421EA9" w:rsidP="00DA5A6A">
      <w:pPr>
        <w:spacing w:line="360" w:lineRule="auto"/>
        <w:jc w:val="both"/>
        <w:rPr>
          <w:rFonts w:ascii="Book Antiqua" w:hAnsi="Book Antiqua"/>
        </w:rPr>
      </w:pPr>
      <w:r w:rsidRPr="00DA5A6A">
        <w:rPr>
          <w:rFonts w:ascii="Book Antiqua" w:hAnsi="Book Antiqua"/>
        </w:rPr>
        <w:t xml:space="preserve">30 </w:t>
      </w:r>
      <w:r w:rsidRPr="00DA5A6A">
        <w:rPr>
          <w:rFonts w:ascii="Book Antiqua" w:hAnsi="Book Antiqua"/>
          <w:b/>
          <w:bCs/>
        </w:rPr>
        <w:t>Pagès F</w:t>
      </w:r>
      <w:r w:rsidRPr="00DA5A6A">
        <w:rPr>
          <w:rFonts w:ascii="Book Antiqua" w:hAnsi="Book Antiqua"/>
        </w:rPr>
        <w:t xml:space="preserve">, Galon J, Dieu-Nosjean MC, Tartour E, Sautès-Fridman C, Fridman WH. Immune infiltration in human tumors: a prognostic factor that should not be ignored. </w:t>
      </w:r>
      <w:r w:rsidRPr="00DA5A6A">
        <w:rPr>
          <w:rFonts w:ascii="Book Antiqua" w:hAnsi="Book Antiqua"/>
          <w:i/>
          <w:iCs/>
        </w:rPr>
        <w:t>Oncogene</w:t>
      </w:r>
      <w:r w:rsidRPr="00DA5A6A">
        <w:rPr>
          <w:rFonts w:ascii="Book Antiqua" w:hAnsi="Book Antiqua"/>
        </w:rPr>
        <w:t xml:space="preserve"> 2010; </w:t>
      </w:r>
      <w:r w:rsidRPr="00DA5A6A">
        <w:rPr>
          <w:rFonts w:ascii="Book Antiqua" w:hAnsi="Book Antiqua"/>
          <w:b/>
          <w:bCs/>
        </w:rPr>
        <w:t>29</w:t>
      </w:r>
      <w:r w:rsidRPr="00DA5A6A">
        <w:rPr>
          <w:rFonts w:ascii="Book Antiqua" w:hAnsi="Book Antiqua"/>
        </w:rPr>
        <w:t>: 1093-1102 [PMID: 19946335 DOI: 10.1038/onc.2009.416]</w:t>
      </w:r>
    </w:p>
    <w:p w14:paraId="2E072668" w14:textId="5F8A07BC" w:rsidR="00421EA9" w:rsidRPr="00DA5A6A" w:rsidRDefault="00421EA9" w:rsidP="00DA5A6A">
      <w:pPr>
        <w:spacing w:line="360" w:lineRule="auto"/>
        <w:jc w:val="both"/>
        <w:rPr>
          <w:rFonts w:ascii="Book Antiqua" w:hAnsi="Book Antiqua"/>
        </w:rPr>
      </w:pPr>
      <w:r w:rsidRPr="00DA5A6A">
        <w:rPr>
          <w:rFonts w:ascii="Book Antiqua" w:hAnsi="Book Antiqua"/>
        </w:rPr>
        <w:t xml:space="preserve">31 </w:t>
      </w:r>
      <w:r w:rsidRPr="00DA5A6A">
        <w:rPr>
          <w:rFonts w:ascii="Book Antiqua" w:hAnsi="Book Antiqua"/>
          <w:b/>
          <w:bCs/>
        </w:rPr>
        <w:t>Salgado R</w:t>
      </w:r>
      <w:r w:rsidRPr="00DA5A6A">
        <w:rPr>
          <w:rFonts w:ascii="Book Antiqua" w:hAnsi="Book Antiqua"/>
        </w:rPr>
        <w:t xml:space="preserve">, Denkert C, Demaria S, Sirtaine N, Klauschen F, Pruneri G, Wienert S, Van den Eynden G, Baehner FL, Penault-Llorca F, Perez EA, Thompson EA, Symmans WF, Richardson AL, Brock J, Criscitiello C, Bailey H, Ignatiadis M, Floris G, Sparano J, Kos Z, Nielsen T, Rimm DL, Allison KH, Reis-Filho JS, Loibl S, Sotiriou C, Viale G, Badve S, Adams S, Willard-Gallo K, Loi S; International TILs Working Group 2014. The evaluation of tumor-infiltrating lymphocytes (TILs) in breast cancer: recommendations by an </w:t>
      </w:r>
      <w:r w:rsidRPr="00DA5A6A">
        <w:rPr>
          <w:rFonts w:ascii="Book Antiqua" w:hAnsi="Book Antiqua"/>
        </w:rPr>
        <w:lastRenderedPageBreak/>
        <w:t xml:space="preserve">International TILs Working Group 2014. </w:t>
      </w:r>
      <w:r w:rsidRPr="00DA5A6A">
        <w:rPr>
          <w:rFonts w:ascii="Book Antiqua" w:hAnsi="Book Antiqua"/>
          <w:i/>
          <w:iCs/>
        </w:rPr>
        <w:t>Ann Oncol</w:t>
      </w:r>
      <w:r w:rsidRPr="00DA5A6A">
        <w:rPr>
          <w:rFonts w:ascii="Book Antiqua" w:hAnsi="Book Antiqua"/>
        </w:rPr>
        <w:t xml:space="preserve"> 2015; </w:t>
      </w:r>
      <w:r w:rsidRPr="00DA5A6A">
        <w:rPr>
          <w:rFonts w:ascii="Book Antiqua" w:hAnsi="Book Antiqua"/>
          <w:b/>
          <w:bCs/>
        </w:rPr>
        <w:t>26</w:t>
      </w:r>
      <w:r w:rsidRPr="00DA5A6A">
        <w:rPr>
          <w:rFonts w:ascii="Book Antiqua" w:hAnsi="Book Antiqua"/>
        </w:rPr>
        <w:t>: 259-271 [PMID: 25214542 DOI: 10.1093/annonc/mdu450]</w:t>
      </w:r>
    </w:p>
    <w:p w14:paraId="63593B12" w14:textId="4D57B0C1" w:rsidR="00421EA9" w:rsidRPr="00DA5A6A" w:rsidRDefault="00421EA9" w:rsidP="00DA5A6A">
      <w:pPr>
        <w:spacing w:line="360" w:lineRule="auto"/>
        <w:jc w:val="both"/>
        <w:rPr>
          <w:rFonts w:ascii="Book Antiqua" w:hAnsi="Book Antiqua"/>
        </w:rPr>
      </w:pPr>
      <w:r w:rsidRPr="00DA5A6A">
        <w:rPr>
          <w:rFonts w:ascii="Book Antiqua" w:hAnsi="Book Antiqua"/>
        </w:rPr>
        <w:t xml:space="preserve">32 </w:t>
      </w:r>
      <w:r w:rsidRPr="00DA5A6A">
        <w:rPr>
          <w:rFonts w:ascii="Book Antiqua" w:hAnsi="Book Antiqua"/>
          <w:b/>
          <w:bCs/>
        </w:rPr>
        <w:t>Denkert C</w:t>
      </w:r>
      <w:r w:rsidRPr="00DA5A6A">
        <w:rPr>
          <w:rFonts w:ascii="Book Antiqua" w:hAnsi="Book Antiqua"/>
        </w:rPr>
        <w:t xml:space="preserve">, Wienert S, Poterie A, Loibl S, Budczies J, Badve S, Bago-Horvath Z, Bane A, Bedri S, Brock J, Chmielik E, Christgen M, Colpaert C, Demaria S, Van den Eynden G, Floris G, Fox SB, Gao D, Ingold Heppner B, Kim SR, Kos Z, Kreipe HH, Lakhani SR, Penault-Llorca F, Pruneri G, Radosevic-Robin N, Rimm DL, Schnitt SJ, Sinn BV, Sinn P, Sirtaine N, O'Toole SA, Viale G, Van de Vijver K, de Wind R, von Minckwitz G, Klauschen F, Untch M, Fasching PA, Reimer T, Willard-Gallo K, Michiels S, Loi S, Salgado R. Standardized evaluation of tumor-infiltrating lymphocytes in breast cancer: results of the ring studies of the international immuno-oncology biomarker working group. </w:t>
      </w:r>
      <w:r w:rsidRPr="00DA5A6A">
        <w:rPr>
          <w:rFonts w:ascii="Book Antiqua" w:hAnsi="Book Antiqua"/>
          <w:i/>
          <w:iCs/>
        </w:rPr>
        <w:t>Mod Pathol</w:t>
      </w:r>
      <w:r w:rsidRPr="00DA5A6A">
        <w:rPr>
          <w:rFonts w:ascii="Book Antiqua" w:hAnsi="Book Antiqua"/>
        </w:rPr>
        <w:t xml:space="preserve"> 2016; </w:t>
      </w:r>
      <w:r w:rsidRPr="00DA5A6A">
        <w:rPr>
          <w:rFonts w:ascii="Book Antiqua" w:hAnsi="Book Antiqua"/>
          <w:b/>
          <w:bCs/>
        </w:rPr>
        <w:t>29</w:t>
      </w:r>
      <w:r w:rsidRPr="00DA5A6A">
        <w:rPr>
          <w:rFonts w:ascii="Book Antiqua" w:hAnsi="Book Antiqua"/>
        </w:rPr>
        <w:t>: 1155-1164 [PMID: 27363491 DOI: 10.1038/modpathol.2016.109]</w:t>
      </w:r>
    </w:p>
    <w:p w14:paraId="713C12D4" w14:textId="3824C6D0" w:rsidR="00421EA9" w:rsidRPr="00DA5A6A" w:rsidRDefault="00421EA9" w:rsidP="00DA5A6A">
      <w:pPr>
        <w:spacing w:line="360" w:lineRule="auto"/>
        <w:jc w:val="both"/>
        <w:rPr>
          <w:rFonts w:ascii="Book Antiqua" w:hAnsi="Book Antiqua"/>
        </w:rPr>
      </w:pPr>
      <w:r w:rsidRPr="00DA5A6A">
        <w:rPr>
          <w:rFonts w:ascii="Book Antiqua" w:hAnsi="Book Antiqua"/>
        </w:rPr>
        <w:t xml:space="preserve">33 </w:t>
      </w:r>
      <w:r w:rsidRPr="00DA5A6A">
        <w:rPr>
          <w:rFonts w:ascii="Book Antiqua" w:hAnsi="Book Antiqua"/>
          <w:b/>
          <w:bCs/>
        </w:rPr>
        <w:t>Mittendorf EA</w:t>
      </w:r>
      <w:r w:rsidRPr="00DA5A6A">
        <w:rPr>
          <w:rFonts w:ascii="Book Antiqua" w:hAnsi="Book Antiqua"/>
        </w:rPr>
        <w:t xml:space="preserve">, Philips AV, Meric-Bernstam F, Qiao N, Wu Y, Harrington S, Su X, Wang Y, Gonzalez-Angulo AM, Akcakanat A, Chawla A, Curran M, Hwu P, Sharma P, Litton JK, Molldrem JJ, Alatrash G. PD-L1 expression in triple-negative breast cancer. </w:t>
      </w:r>
      <w:r w:rsidRPr="00DA5A6A">
        <w:rPr>
          <w:rFonts w:ascii="Book Antiqua" w:hAnsi="Book Antiqua"/>
          <w:i/>
          <w:iCs/>
        </w:rPr>
        <w:t>Cancer Immunol Res</w:t>
      </w:r>
      <w:r w:rsidRPr="00DA5A6A">
        <w:rPr>
          <w:rFonts w:ascii="Book Antiqua" w:hAnsi="Book Antiqua"/>
        </w:rPr>
        <w:t xml:space="preserve"> 2014; </w:t>
      </w:r>
      <w:r w:rsidRPr="00DA5A6A">
        <w:rPr>
          <w:rFonts w:ascii="Book Antiqua" w:hAnsi="Book Antiqua"/>
          <w:b/>
          <w:bCs/>
        </w:rPr>
        <w:t>2</w:t>
      </w:r>
      <w:r w:rsidRPr="00DA5A6A">
        <w:rPr>
          <w:rFonts w:ascii="Book Antiqua" w:hAnsi="Book Antiqua"/>
        </w:rPr>
        <w:t>: 361-370 [PMID: 24764583 DOI: 10.1158/2326-6066.CIR-13-0127]</w:t>
      </w:r>
    </w:p>
    <w:p w14:paraId="28AB416F" w14:textId="75EBE636" w:rsidR="00421EA9" w:rsidRPr="00DA5A6A" w:rsidRDefault="00421EA9" w:rsidP="00DA5A6A">
      <w:pPr>
        <w:spacing w:line="360" w:lineRule="auto"/>
        <w:jc w:val="both"/>
        <w:rPr>
          <w:rFonts w:ascii="Book Antiqua" w:hAnsi="Book Antiqua"/>
        </w:rPr>
      </w:pPr>
      <w:r w:rsidRPr="00DA5A6A">
        <w:rPr>
          <w:rFonts w:ascii="Book Antiqua" w:hAnsi="Book Antiqua"/>
        </w:rPr>
        <w:t xml:space="preserve">34 </w:t>
      </w:r>
      <w:r w:rsidRPr="00DA5A6A">
        <w:rPr>
          <w:rFonts w:ascii="Book Antiqua" w:hAnsi="Book Antiqua"/>
          <w:b/>
          <w:bCs/>
        </w:rPr>
        <w:t>Narang P</w:t>
      </w:r>
      <w:r w:rsidRPr="00DA5A6A">
        <w:rPr>
          <w:rFonts w:ascii="Book Antiqua" w:hAnsi="Book Antiqua"/>
        </w:rPr>
        <w:t xml:space="preserve">, Chen M, Sharma AA, Anderson KS, Wilson MA. The neoepitope landscape of breast cancer: implications for immunotherapy. </w:t>
      </w:r>
      <w:r w:rsidRPr="00DA5A6A">
        <w:rPr>
          <w:rFonts w:ascii="Book Antiqua" w:hAnsi="Book Antiqua"/>
          <w:i/>
          <w:iCs/>
        </w:rPr>
        <w:t>BMC Cancer</w:t>
      </w:r>
      <w:r w:rsidRPr="00DA5A6A">
        <w:rPr>
          <w:rFonts w:ascii="Book Antiqua" w:hAnsi="Book Antiqua"/>
        </w:rPr>
        <w:t xml:space="preserve"> 2019; </w:t>
      </w:r>
      <w:r w:rsidRPr="00DA5A6A">
        <w:rPr>
          <w:rFonts w:ascii="Book Antiqua" w:hAnsi="Book Antiqua"/>
          <w:b/>
          <w:bCs/>
        </w:rPr>
        <w:t>19</w:t>
      </w:r>
      <w:r w:rsidRPr="00DA5A6A">
        <w:rPr>
          <w:rFonts w:ascii="Book Antiqua" w:hAnsi="Book Antiqua"/>
        </w:rPr>
        <w:t>: 200 [PMID: 30832597 DOI: 10.1186/s12885-019-5402-1]</w:t>
      </w:r>
    </w:p>
    <w:p w14:paraId="4CFA00E3" w14:textId="75EB9ED9" w:rsidR="00421EA9" w:rsidRPr="00DA5A6A" w:rsidRDefault="00421EA9" w:rsidP="00DA5A6A">
      <w:pPr>
        <w:spacing w:line="360" w:lineRule="auto"/>
        <w:jc w:val="both"/>
        <w:rPr>
          <w:rFonts w:ascii="Book Antiqua" w:hAnsi="Book Antiqua"/>
        </w:rPr>
      </w:pPr>
      <w:r w:rsidRPr="00DA5A6A">
        <w:rPr>
          <w:rFonts w:ascii="Book Antiqua" w:hAnsi="Book Antiqua"/>
        </w:rPr>
        <w:t xml:space="preserve">35 </w:t>
      </w:r>
      <w:r w:rsidRPr="00DA5A6A">
        <w:rPr>
          <w:rFonts w:ascii="Book Antiqua" w:hAnsi="Book Antiqua"/>
          <w:b/>
          <w:bCs/>
        </w:rPr>
        <w:t>Sabatier R</w:t>
      </w:r>
      <w:r w:rsidRPr="00DA5A6A">
        <w:rPr>
          <w:rFonts w:ascii="Book Antiqua" w:hAnsi="Book Antiqua"/>
        </w:rPr>
        <w:t xml:space="preserve">, Finetti P, Mamessier E, Adelaide J, Chaffanet M, Ali HR, Viens P, Caldas C, Birnbaum D, Bertucci F. Prognostic and predictive value of PDL1 expression in breast cancer. </w:t>
      </w:r>
      <w:r w:rsidRPr="00DA5A6A">
        <w:rPr>
          <w:rFonts w:ascii="Book Antiqua" w:hAnsi="Book Antiqua"/>
          <w:i/>
          <w:iCs/>
        </w:rPr>
        <w:t>Oncotarget</w:t>
      </w:r>
      <w:r w:rsidRPr="00DA5A6A">
        <w:rPr>
          <w:rFonts w:ascii="Book Antiqua" w:hAnsi="Book Antiqua"/>
        </w:rPr>
        <w:t xml:space="preserve"> 2015; </w:t>
      </w:r>
      <w:r w:rsidRPr="00DA5A6A">
        <w:rPr>
          <w:rFonts w:ascii="Book Antiqua" w:hAnsi="Book Antiqua"/>
          <w:b/>
          <w:bCs/>
        </w:rPr>
        <w:t>6</w:t>
      </w:r>
      <w:r w:rsidRPr="00DA5A6A">
        <w:rPr>
          <w:rFonts w:ascii="Book Antiqua" w:hAnsi="Book Antiqua"/>
        </w:rPr>
        <w:t>: 5449-5464 [PMID: 25669979 DOI: 10.18632/oncotarget.3216]</w:t>
      </w:r>
    </w:p>
    <w:p w14:paraId="2E00DBD5" w14:textId="6B39E723" w:rsidR="00421EA9" w:rsidRPr="00DA5A6A" w:rsidRDefault="00421EA9" w:rsidP="00DA5A6A">
      <w:pPr>
        <w:spacing w:line="360" w:lineRule="auto"/>
        <w:jc w:val="both"/>
        <w:rPr>
          <w:rFonts w:ascii="Book Antiqua" w:hAnsi="Book Antiqua"/>
        </w:rPr>
      </w:pPr>
      <w:r w:rsidRPr="00DA5A6A">
        <w:rPr>
          <w:rFonts w:ascii="Book Antiqua" w:hAnsi="Book Antiqua"/>
        </w:rPr>
        <w:t xml:space="preserve">36 </w:t>
      </w:r>
      <w:r w:rsidRPr="00DA5A6A">
        <w:rPr>
          <w:rFonts w:ascii="Book Antiqua" w:hAnsi="Book Antiqua"/>
          <w:b/>
          <w:bCs/>
        </w:rPr>
        <w:t>Salmaninejad A</w:t>
      </w:r>
      <w:r w:rsidRPr="00DA5A6A">
        <w:rPr>
          <w:rFonts w:ascii="Book Antiqua" w:hAnsi="Book Antiqua"/>
        </w:rPr>
        <w:t xml:space="preserve">, Valilou SF, Shabgah AG, Aslani S, Alimardani M, Pasdar A, Sahebkar A. PD-1/PD-L1 pathway: Basic biology and role in cancer immunotherapy. </w:t>
      </w:r>
      <w:r w:rsidRPr="00DA5A6A">
        <w:rPr>
          <w:rFonts w:ascii="Book Antiqua" w:hAnsi="Book Antiqua"/>
          <w:i/>
          <w:iCs/>
        </w:rPr>
        <w:t>J Cell Physiol</w:t>
      </w:r>
      <w:r w:rsidRPr="00DA5A6A">
        <w:rPr>
          <w:rFonts w:ascii="Book Antiqua" w:hAnsi="Book Antiqua"/>
        </w:rPr>
        <w:t xml:space="preserve"> 2019; </w:t>
      </w:r>
      <w:r w:rsidRPr="00DA5A6A">
        <w:rPr>
          <w:rFonts w:ascii="Book Antiqua" w:hAnsi="Book Antiqua"/>
          <w:b/>
          <w:bCs/>
        </w:rPr>
        <w:t>234</w:t>
      </w:r>
      <w:r w:rsidRPr="00DA5A6A">
        <w:rPr>
          <w:rFonts w:ascii="Book Antiqua" w:hAnsi="Book Antiqua"/>
        </w:rPr>
        <w:t>: 16824-16837 [PMID: 30784085 DOI: 10.1002/jcp.28358]</w:t>
      </w:r>
    </w:p>
    <w:p w14:paraId="71FE4C46" w14:textId="276510BE" w:rsidR="00421EA9" w:rsidRPr="00DA5A6A" w:rsidRDefault="00421EA9" w:rsidP="00DA5A6A">
      <w:pPr>
        <w:spacing w:line="360" w:lineRule="auto"/>
        <w:jc w:val="both"/>
        <w:rPr>
          <w:rFonts w:ascii="Book Antiqua" w:hAnsi="Book Antiqua"/>
        </w:rPr>
      </w:pPr>
      <w:r w:rsidRPr="00DA5A6A">
        <w:rPr>
          <w:rFonts w:ascii="Book Antiqua" w:hAnsi="Book Antiqua"/>
        </w:rPr>
        <w:t xml:space="preserve">37 </w:t>
      </w:r>
      <w:r w:rsidRPr="00DA5A6A">
        <w:rPr>
          <w:rFonts w:ascii="Book Antiqua" w:hAnsi="Book Antiqua"/>
          <w:b/>
          <w:bCs/>
        </w:rPr>
        <w:t>Barroso-Sousa R</w:t>
      </w:r>
      <w:r w:rsidRPr="00DA5A6A">
        <w:rPr>
          <w:rFonts w:ascii="Book Antiqua" w:hAnsi="Book Antiqua"/>
        </w:rPr>
        <w:t xml:space="preserve">, Keenan TE, Pernas S, Exman P, Jain E, Garrido-Castro AC, Hughes M, Bychkovsky B, Umeton R, Files JL, Lindeman NI, MacConaill LE, Hodi FS, Krop IE, Dillon D, Winer EP, Wagle N, Lin NU, Mittendorf EA, Van Allen EM, Tolaney SM. Tumor Mutational Burden and </w:t>
      </w:r>
      <w:r w:rsidRPr="00DA5A6A">
        <w:rPr>
          <w:rFonts w:ascii="Book Antiqua" w:hAnsi="Book Antiqua"/>
          <w:i/>
          <w:iCs/>
        </w:rPr>
        <w:t>PTEN</w:t>
      </w:r>
      <w:r w:rsidRPr="00DA5A6A">
        <w:rPr>
          <w:rFonts w:ascii="Book Antiqua" w:hAnsi="Book Antiqua"/>
        </w:rPr>
        <w:t xml:space="preserve"> Alterations as Molecular Correlates of Response to PD-</w:t>
      </w:r>
      <w:r w:rsidRPr="00DA5A6A">
        <w:rPr>
          <w:rFonts w:ascii="Book Antiqua" w:hAnsi="Book Antiqua"/>
        </w:rPr>
        <w:lastRenderedPageBreak/>
        <w:t xml:space="preserve">1/L1 Blockade in Metastatic Triple-Negative Breast Cancer. </w:t>
      </w:r>
      <w:r w:rsidRPr="00DA5A6A">
        <w:rPr>
          <w:rFonts w:ascii="Book Antiqua" w:hAnsi="Book Antiqua"/>
          <w:i/>
          <w:iCs/>
        </w:rPr>
        <w:t>Clin Cancer Res</w:t>
      </w:r>
      <w:r w:rsidRPr="00DA5A6A">
        <w:rPr>
          <w:rFonts w:ascii="Book Antiqua" w:hAnsi="Book Antiqua"/>
        </w:rPr>
        <w:t xml:space="preserve"> 2020; </w:t>
      </w:r>
      <w:r w:rsidRPr="00DA5A6A">
        <w:rPr>
          <w:rFonts w:ascii="Book Antiqua" w:hAnsi="Book Antiqua"/>
          <w:b/>
          <w:bCs/>
        </w:rPr>
        <w:t>26</w:t>
      </w:r>
      <w:r w:rsidRPr="00DA5A6A">
        <w:rPr>
          <w:rFonts w:ascii="Book Antiqua" w:hAnsi="Book Antiqua"/>
        </w:rPr>
        <w:t>: 2565-2572 [PMID: 32019858 DOI: 10.1158/1078-0432.CCR-19-3507]</w:t>
      </w:r>
    </w:p>
    <w:p w14:paraId="43C107B9" w14:textId="6B401992" w:rsidR="00421EA9" w:rsidRPr="00DA5A6A" w:rsidRDefault="00421EA9" w:rsidP="00DA5A6A">
      <w:pPr>
        <w:spacing w:line="360" w:lineRule="auto"/>
        <w:jc w:val="both"/>
        <w:rPr>
          <w:rFonts w:ascii="Book Antiqua" w:hAnsi="Book Antiqua"/>
        </w:rPr>
      </w:pPr>
      <w:r w:rsidRPr="00DA5A6A">
        <w:rPr>
          <w:rFonts w:ascii="Book Antiqua" w:hAnsi="Book Antiqua"/>
        </w:rPr>
        <w:t xml:space="preserve">38 </w:t>
      </w:r>
      <w:r w:rsidRPr="00DA5A6A">
        <w:rPr>
          <w:rFonts w:ascii="Book Antiqua" w:hAnsi="Book Antiqua"/>
          <w:b/>
          <w:bCs/>
        </w:rPr>
        <w:t>Goodman AM</w:t>
      </w:r>
      <w:r w:rsidRPr="00DA5A6A">
        <w:rPr>
          <w:rFonts w:ascii="Book Antiqua" w:hAnsi="Book Antiqua"/>
        </w:rPr>
        <w:t xml:space="preserve">, Kato S, Bazhenova L, Patel SP, Frampton GM, Miller V, Stephens PJ, Daniels GA, Kurzrock R. Tumor Mutational Burden as an Independent Predictor of Response to Immunotherapy in Diverse Cancers. </w:t>
      </w:r>
      <w:r w:rsidRPr="00DA5A6A">
        <w:rPr>
          <w:rFonts w:ascii="Book Antiqua" w:hAnsi="Book Antiqua"/>
          <w:i/>
          <w:iCs/>
        </w:rPr>
        <w:t>Mol Cancer Ther</w:t>
      </w:r>
      <w:r w:rsidRPr="00DA5A6A">
        <w:rPr>
          <w:rFonts w:ascii="Book Antiqua" w:hAnsi="Book Antiqua"/>
        </w:rPr>
        <w:t xml:space="preserve"> 2017; </w:t>
      </w:r>
      <w:r w:rsidRPr="00DA5A6A">
        <w:rPr>
          <w:rFonts w:ascii="Book Antiqua" w:hAnsi="Book Antiqua"/>
          <w:b/>
          <w:bCs/>
        </w:rPr>
        <w:t>16</w:t>
      </w:r>
      <w:r w:rsidRPr="00DA5A6A">
        <w:rPr>
          <w:rFonts w:ascii="Book Antiqua" w:hAnsi="Book Antiqua"/>
        </w:rPr>
        <w:t>: 2598-2608 [PMID: 28835386 DOI: 10.1158/1535-7163.MCT-17-0386]</w:t>
      </w:r>
    </w:p>
    <w:p w14:paraId="5F522C6E" w14:textId="1521D9FF" w:rsidR="00421EA9" w:rsidRPr="00DA5A6A" w:rsidRDefault="00421EA9" w:rsidP="00DA5A6A">
      <w:pPr>
        <w:spacing w:line="360" w:lineRule="auto"/>
        <w:jc w:val="both"/>
        <w:rPr>
          <w:rFonts w:ascii="Book Antiqua" w:hAnsi="Book Antiqua"/>
        </w:rPr>
      </w:pPr>
      <w:r w:rsidRPr="00DA5A6A">
        <w:rPr>
          <w:rFonts w:ascii="Book Antiqua" w:hAnsi="Book Antiqua"/>
        </w:rPr>
        <w:t xml:space="preserve">39 </w:t>
      </w:r>
      <w:r w:rsidRPr="00DA5A6A">
        <w:rPr>
          <w:rFonts w:ascii="Book Antiqua" w:hAnsi="Book Antiqua"/>
          <w:b/>
          <w:bCs/>
        </w:rPr>
        <w:t>Chan TA</w:t>
      </w:r>
      <w:r w:rsidRPr="00DA5A6A">
        <w:rPr>
          <w:rFonts w:ascii="Book Antiqua" w:hAnsi="Book Antiqua"/>
        </w:rPr>
        <w:t xml:space="preserve">, Yarchoan M, Jaffee E, Swanton C, Quezada SA, Stenzinger A, Peters S. Development of tumor mutation burden as an immunotherapy biomarker: utility for the oncology clinic. </w:t>
      </w:r>
      <w:r w:rsidRPr="00DA5A6A">
        <w:rPr>
          <w:rFonts w:ascii="Book Antiqua" w:hAnsi="Book Antiqua"/>
          <w:i/>
          <w:iCs/>
        </w:rPr>
        <w:t>Ann Oncol</w:t>
      </w:r>
      <w:r w:rsidRPr="00DA5A6A">
        <w:rPr>
          <w:rFonts w:ascii="Book Antiqua" w:hAnsi="Book Antiqua"/>
        </w:rPr>
        <w:t xml:space="preserve"> 2019; </w:t>
      </w:r>
      <w:r w:rsidRPr="00DA5A6A">
        <w:rPr>
          <w:rFonts w:ascii="Book Antiqua" w:hAnsi="Book Antiqua"/>
          <w:b/>
          <w:bCs/>
        </w:rPr>
        <w:t>30</w:t>
      </w:r>
      <w:r w:rsidRPr="00DA5A6A">
        <w:rPr>
          <w:rFonts w:ascii="Book Antiqua" w:hAnsi="Book Antiqua"/>
        </w:rPr>
        <w:t>: 44-56 [PMID: 30395155 DOI: 10.1093/annonc/mdy495]</w:t>
      </w:r>
    </w:p>
    <w:p w14:paraId="6E7F6B33" w14:textId="4A5B0F15" w:rsidR="00421EA9" w:rsidRPr="00DA5A6A" w:rsidRDefault="00421EA9" w:rsidP="00DA5A6A">
      <w:pPr>
        <w:spacing w:line="360" w:lineRule="auto"/>
        <w:jc w:val="both"/>
        <w:rPr>
          <w:rFonts w:ascii="Book Antiqua" w:hAnsi="Book Antiqua"/>
        </w:rPr>
      </w:pPr>
      <w:r w:rsidRPr="00DA5A6A">
        <w:rPr>
          <w:rFonts w:ascii="Book Antiqua" w:hAnsi="Book Antiqua"/>
        </w:rPr>
        <w:t xml:space="preserve">40 </w:t>
      </w:r>
      <w:r w:rsidRPr="00DA5A6A">
        <w:rPr>
          <w:rFonts w:ascii="Book Antiqua" w:hAnsi="Book Antiqua"/>
          <w:b/>
          <w:bCs/>
        </w:rPr>
        <w:t>Yonemori K</w:t>
      </w:r>
      <w:r w:rsidRPr="00DA66EB">
        <w:rPr>
          <w:rFonts w:ascii="Book Antiqua" w:hAnsi="Book Antiqua"/>
        </w:rPr>
        <w:t>,</w:t>
      </w:r>
      <w:r w:rsidRPr="00DA5A6A">
        <w:rPr>
          <w:rFonts w:ascii="Book Antiqua" w:hAnsi="Book Antiqua"/>
        </w:rPr>
        <w:t xml:space="preserve"> Masuda N, Takahashi S, Kogawa T, Iwata, H. Single agent activity of U3-1402, a HER3- targeting antibody–drug conjugate, in HER3- overexpressing metastatic breast cancer: updated results from a phase I/II trial. </w:t>
      </w:r>
      <w:r w:rsidRPr="00DA5A6A">
        <w:rPr>
          <w:rFonts w:ascii="Book Antiqua" w:hAnsi="Book Antiqua"/>
          <w:i/>
          <w:iCs/>
        </w:rPr>
        <w:t>Ann Oncol</w:t>
      </w:r>
      <w:r w:rsidRPr="00DA5A6A">
        <w:rPr>
          <w:rFonts w:ascii="Book Antiqua" w:hAnsi="Book Antiqua"/>
        </w:rPr>
        <w:t xml:space="preserve"> 2019; </w:t>
      </w:r>
      <w:r w:rsidRPr="00DA5A6A">
        <w:rPr>
          <w:rFonts w:ascii="Book Antiqua" w:hAnsi="Book Antiqua"/>
          <w:b/>
          <w:bCs/>
        </w:rPr>
        <w:t>30</w:t>
      </w:r>
      <w:r w:rsidRPr="00DA5A6A">
        <w:rPr>
          <w:rFonts w:ascii="Book Antiqua" w:hAnsi="Book Antiqua"/>
        </w:rPr>
        <w:t xml:space="preserve"> [DOI: 10.1093/annonc/mdz100.002]</w:t>
      </w:r>
    </w:p>
    <w:p w14:paraId="29406B4E" w14:textId="6095C967" w:rsidR="00421EA9" w:rsidRPr="00DA5A6A" w:rsidRDefault="00421EA9" w:rsidP="00DA5A6A">
      <w:pPr>
        <w:spacing w:line="360" w:lineRule="auto"/>
        <w:jc w:val="both"/>
        <w:rPr>
          <w:rFonts w:ascii="Book Antiqua" w:hAnsi="Book Antiqua"/>
        </w:rPr>
      </w:pPr>
      <w:r w:rsidRPr="00DA5A6A">
        <w:rPr>
          <w:rFonts w:ascii="Book Antiqua" w:hAnsi="Book Antiqua"/>
        </w:rPr>
        <w:t xml:space="preserve">41 </w:t>
      </w:r>
      <w:r w:rsidRPr="00DA5A6A">
        <w:rPr>
          <w:rFonts w:ascii="Book Antiqua" w:hAnsi="Book Antiqua"/>
          <w:b/>
          <w:bCs/>
        </w:rPr>
        <w:t>Carey LA</w:t>
      </w:r>
      <w:r w:rsidRPr="00DA5A6A">
        <w:rPr>
          <w:rFonts w:ascii="Book Antiqua" w:hAnsi="Book Antiqua"/>
        </w:rPr>
        <w:t xml:space="preserve">, Dees EC, Sawyer L, Gatti L, Moore DT, Collichio F, Ollila DW, Sartor CI, Graham ML, Perou CM. The triple negative paradox: primary tumor chemosensitivity of breast cancer subtypes. </w:t>
      </w:r>
      <w:r w:rsidRPr="00DA5A6A">
        <w:rPr>
          <w:rFonts w:ascii="Book Antiqua" w:hAnsi="Book Antiqua"/>
          <w:i/>
          <w:iCs/>
        </w:rPr>
        <w:t>Clin Cancer Res</w:t>
      </w:r>
      <w:r w:rsidRPr="00DA5A6A">
        <w:rPr>
          <w:rFonts w:ascii="Book Antiqua" w:hAnsi="Book Antiqua"/>
        </w:rPr>
        <w:t xml:space="preserve"> 2007; </w:t>
      </w:r>
      <w:r w:rsidRPr="00DA5A6A">
        <w:rPr>
          <w:rFonts w:ascii="Book Antiqua" w:hAnsi="Book Antiqua"/>
          <w:b/>
          <w:bCs/>
        </w:rPr>
        <w:t>13</w:t>
      </w:r>
      <w:r w:rsidRPr="00DA5A6A">
        <w:rPr>
          <w:rFonts w:ascii="Book Antiqua" w:hAnsi="Book Antiqua"/>
        </w:rPr>
        <w:t>: 2329-2334 [PMID: 17438091 DOI: 10.1158/1078-0432.CCR-06-1109]</w:t>
      </w:r>
    </w:p>
    <w:p w14:paraId="276158D8" w14:textId="6D5C5C1E" w:rsidR="00421EA9" w:rsidRPr="00DA5A6A" w:rsidRDefault="00421EA9" w:rsidP="00DA5A6A">
      <w:pPr>
        <w:spacing w:line="360" w:lineRule="auto"/>
        <w:jc w:val="both"/>
        <w:rPr>
          <w:rFonts w:ascii="Book Antiqua" w:hAnsi="Book Antiqua"/>
        </w:rPr>
      </w:pPr>
      <w:r w:rsidRPr="00DA5A6A">
        <w:rPr>
          <w:rFonts w:ascii="Book Antiqua" w:hAnsi="Book Antiqua"/>
        </w:rPr>
        <w:t xml:space="preserve">42 </w:t>
      </w:r>
      <w:r w:rsidRPr="00DA5A6A">
        <w:rPr>
          <w:rFonts w:ascii="Book Antiqua" w:hAnsi="Book Antiqua"/>
          <w:b/>
          <w:bCs/>
        </w:rPr>
        <w:t>Cardoso F</w:t>
      </w:r>
      <w:r w:rsidRPr="00DA5A6A">
        <w:rPr>
          <w:rFonts w:ascii="Book Antiqua" w:hAnsi="Book Antiqua"/>
        </w:rPr>
        <w:t xml:space="preserve">, Senkus E, Costa A, Papadopoulos E, Aapro M, André F, Harbeck N, Aguilar Lopez B, Barrios CH, Bergh J, Biganzoli L, Boers-Doets CB, Cardoso MJ, Carey LA, Cortés J, Curigliano G, Diéras V, El Saghir NS, Eniu A, Fallowfield L, Francis PA, Gelmon K, Johnston SRD, Kaufman B, Koppikar S, Krop IE, Mayer M, Nakigudde G, Offersen BV, Ohno S, Pagani O, Paluch-Shimon S, Penault-Llorca F, Prat A, Rugo HS, Sledge GW, Spence D, Thomssen C, Vorobiof DA, Xu B, Norton L, Winer EP. 4th ESO-ESMO International Consensus Guidelines for Advanced Breast Cancer (ABC 4)†. </w:t>
      </w:r>
      <w:r w:rsidRPr="00DA5A6A">
        <w:rPr>
          <w:rFonts w:ascii="Book Antiqua" w:hAnsi="Book Antiqua"/>
          <w:i/>
          <w:iCs/>
        </w:rPr>
        <w:t>Ann Oncol</w:t>
      </w:r>
      <w:r w:rsidRPr="00DA5A6A">
        <w:rPr>
          <w:rFonts w:ascii="Book Antiqua" w:hAnsi="Book Antiqua"/>
        </w:rPr>
        <w:t xml:space="preserve"> 2018; </w:t>
      </w:r>
      <w:r w:rsidRPr="00DA5A6A">
        <w:rPr>
          <w:rFonts w:ascii="Book Antiqua" w:hAnsi="Book Antiqua"/>
          <w:b/>
          <w:bCs/>
        </w:rPr>
        <w:t>29</w:t>
      </w:r>
      <w:r w:rsidRPr="00DA5A6A">
        <w:rPr>
          <w:rFonts w:ascii="Book Antiqua" w:hAnsi="Book Antiqua"/>
        </w:rPr>
        <w:t>: 1634-1657 [PMID: 30032243 DOI: 10.1093/annonc/mdy192]</w:t>
      </w:r>
    </w:p>
    <w:p w14:paraId="5C9A1136" w14:textId="37C1F644" w:rsidR="00421EA9" w:rsidRPr="00DA5A6A" w:rsidRDefault="00421EA9" w:rsidP="00DA5A6A">
      <w:pPr>
        <w:spacing w:line="360" w:lineRule="auto"/>
        <w:jc w:val="both"/>
        <w:rPr>
          <w:rFonts w:ascii="Book Antiqua" w:hAnsi="Book Antiqua"/>
        </w:rPr>
      </w:pPr>
      <w:r w:rsidRPr="00DA5A6A">
        <w:rPr>
          <w:rFonts w:ascii="Book Antiqua" w:hAnsi="Book Antiqua"/>
        </w:rPr>
        <w:t xml:space="preserve">43 </w:t>
      </w:r>
      <w:r w:rsidRPr="00DA5A6A">
        <w:rPr>
          <w:rFonts w:ascii="Book Antiqua" w:hAnsi="Book Antiqua"/>
          <w:b/>
          <w:bCs/>
        </w:rPr>
        <w:t>Smith KL,</w:t>
      </w:r>
      <w:r w:rsidRPr="00DA5A6A">
        <w:rPr>
          <w:rFonts w:ascii="Book Antiqua" w:hAnsi="Book Antiqua"/>
        </w:rPr>
        <w:t xml:space="preserve"> Smith M Lou, Burns J. Breast Cancer. NCCN Guidelines. 2020</w:t>
      </w:r>
    </w:p>
    <w:p w14:paraId="1D932E0B" w14:textId="0B46D3BA" w:rsidR="00421EA9" w:rsidRPr="00DA5A6A" w:rsidRDefault="00421EA9" w:rsidP="00DA5A6A">
      <w:pPr>
        <w:spacing w:line="360" w:lineRule="auto"/>
        <w:jc w:val="both"/>
        <w:rPr>
          <w:rFonts w:ascii="Book Antiqua" w:hAnsi="Book Antiqua"/>
        </w:rPr>
      </w:pPr>
      <w:r w:rsidRPr="00DA5A6A">
        <w:rPr>
          <w:rFonts w:ascii="Book Antiqua" w:hAnsi="Book Antiqua"/>
        </w:rPr>
        <w:t xml:space="preserve">44 </w:t>
      </w:r>
      <w:r w:rsidRPr="00DA5A6A">
        <w:rPr>
          <w:rFonts w:ascii="Book Antiqua" w:hAnsi="Book Antiqua"/>
          <w:b/>
          <w:bCs/>
        </w:rPr>
        <w:t>Sparano JA</w:t>
      </w:r>
      <w:r w:rsidRPr="00DA5A6A">
        <w:rPr>
          <w:rFonts w:ascii="Book Antiqua" w:hAnsi="Book Antiqua"/>
        </w:rPr>
        <w:t xml:space="preserve">, Makhson AN, Semiglazov VF, Tjulandin SA, Balashova OI, Bondarenko IN, Bogdanova NV, Manikhas GM, Oliynychenko GP, Chatikhine VA, Zhuang SH, Xiu L, Yuan Z, Rackoff WR. Pegylated liposomal doxorubicin plus docetaxel significantly </w:t>
      </w:r>
      <w:r w:rsidRPr="00DA5A6A">
        <w:rPr>
          <w:rFonts w:ascii="Book Antiqua" w:hAnsi="Book Antiqua"/>
        </w:rPr>
        <w:lastRenderedPageBreak/>
        <w:t xml:space="preserve">improves time to progression without additive cardiotoxicity compared with docetaxel monotherapy in patients with advanced breast cancer previously treated with neoadjuvant-adjuvant anthracycline therapy: results from a randomized phase III study. </w:t>
      </w:r>
      <w:r w:rsidRPr="00DA5A6A">
        <w:rPr>
          <w:rFonts w:ascii="Book Antiqua" w:hAnsi="Book Antiqua"/>
          <w:i/>
          <w:iCs/>
        </w:rPr>
        <w:t>J Clin Oncol</w:t>
      </w:r>
      <w:r w:rsidRPr="00DA5A6A">
        <w:rPr>
          <w:rFonts w:ascii="Book Antiqua" w:hAnsi="Book Antiqua"/>
        </w:rPr>
        <w:t xml:space="preserve"> 2009; </w:t>
      </w:r>
      <w:r w:rsidRPr="00DA5A6A">
        <w:rPr>
          <w:rFonts w:ascii="Book Antiqua" w:hAnsi="Book Antiqua"/>
          <w:b/>
          <w:bCs/>
        </w:rPr>
        <w:t>27</w:t>
      </w:r>
      <w:r w:rsidRPr="00DA5A6A">
        <w:rPr>
          <w:rFonts w:ascii="Book Antiqua" w:hAnsi="Book Antiqua"/>
        </w:rPr>
        <w:t>: 4522-4529 [PMID: 19687336 DOI: 10.1200/JCO.2008.20.5013]</w:t>
      </w:r>
    </w:p>
    <w:p w14:paraId="325A2547" w14:textId="37353E8B" w:rsidR="00421EA9" w:rsidRPr="00DA5A6A" w:rsidRDefault="00421EA9" w:rsidP="00DA5A6A">
      <w:pPr>
        <w:spacing w:line="360" w:lineRule="auto"/>
        <w:jc w:val="both"/>
        <w:rPr>
          <w:rFonts w:ascii="Book Antiqua" w:hAnsi="Book Antiqua"/>
        </w:rPr>
      </w:pPr>
      <w:r w:rsidRPr="00DA5A6A">
        <w:rPr>
          <w:rFonts w:ascii="Book Antiqua" w:hAnsi="Book Antiqua"/>
        </w:rPr>
        <w:t xml:space="preserve">45 </w:t>
      </w:r>
      <w:r w:rsidRPr="00DA5A6A">
        <w:rPr>
          <w:rFonts w:ascii="Book Antiqua" w:hAnsi="Book Antiqua"/>
          <w:b/>
          <w:bCs/>
        </w:rPr>
        <w:t>Cardoso F</w:t>
      </w:r>
      <w:r w:rsidRPr="00DA5A6A">
        <w:rPr>
          <w:rFonts w:ascii="Book Antiqua" w:hAnsi="Book Antiqua"/>
        </w:rPr>
        <w:t xml:space="preserve">, Bedard PL, Winer EP, Pagani O, Senkus-Konefka E, Fallowfield LJ, Kyriakides S, Costa A, Cufer T, Albain KS; ESO-MBC Task Force. International guidelines for management of metastatic breast cancer: combination vs sequential single-agent chemotherapy. </w:t>
      </w:r>
      <w:r w:rsidRPr="00DA5A6A">
        <w:rPr>
          <w:rFonts w:ascii="Book Antiqua" w:hAnsi="Book Antiqua"/>
          <w:i/>
          <w:iCs/>
        </w:rPr>
        <w:t>J Natl Cancer Inst</w:t>
      </w:r>
      <w:r w:rsidRPr="00DA5A6A">
        <w:rPr>
          <w:rFonts w:ascii="Book Antiqua" w:hAnsi="Book Antiqua"/>
        </w:rPr>
        <w:t xml:space="preserve"> 2009; </w:t>
      </w:r>
      <w:r w:rsidRPr="00DA5A6A">
        <w:rPr>
          <w:rFonts w:ascii="Book Antiqua" w:hAnsi="Book Antiqua"/>
          <w:b/>
          <w:bCs/>
        </w:rPr>
        <w:t>101</w:t>
      </w:r>
      <w:r w:rsidRPr="00DA5A6A">
        <w:rPr>
          <w:rFonts w:ascii="Book Antiqua" w:hAnsi="Book Antiqua"/>
        </w:rPr>
        <w:t>: 1174-1181 [PMID: 19657108 DOI: 10.1093/jnci/djp235]</w:t>
      </w:r>
    </w:p>
    <w:p w14:paraId="4754E0FF" w14:textId="10AD2846" w:rsidR="00421EA9" w:rsidRPr="00DA5A6A" w:rsidRDefault="00421EA9" w:rsidP="00DA5A6A">
      <w:pPr>
        <w:spacing w:line="360" w:lineRule="auto"/>
        <w:jc w:val="both"/>
        <w:rPr>
          <w:rFonts w:ascii="Book Antiqua" w:hAnsi="Book Antiqua"/>
        </w:rPr>
      </w:pPr>
      <w:r w:rsidRPr="00DA5A6A">
        <w:rPr>
          <w:rFonts w:ascii="Book Antiqua" w:hAnsi="Book Antiqua"/>
        </w:rPr>
        <w:t xml:space="preserve">46 </w:t>
      </w:r>
      <w:r w:rsidRPr="00DA5A6A">
        <w:rPr>
          <w:rFonts w:ascii="Book Antiqua" w:hAnsi="Book Antiqua"/>
          <w:b/>
          <w:bCs/>
        </w:rPr>
        <w:t>Isakoff SJ</w:t>
      </w:r>
      <w:r w:rsidRPr="00DA5A6A">
        <w:rPr>
          <w:rFonts w:ascii="Book Antiqua" w:hAnsi="Book Antiqua"/>
        </w:rPr>
        <w:t xml:space="preserve">, Mayer EL, He L, Traina TA, Carey LA, Krag KJ, Rugo HS, Liu MC, Stearns V, Come SE, Timms KM, Hartman AR, Borger DR, Finkelstein DM, Garber JE, Ryan PD, Winer EP, Goss PE, Ellisen LW. TBCRC009: A Multicenter Phase II Clinical Trial of Platinum Monotherapy With Biomarker Assessment in Metastatic Triple-Negative Breast Cancer. </w:t>
      </w:r>
      <w:r w:rsidRPr="00DA5A6A">
        <w:rPr>
          <w:rFonts w:ascii="Book Antiqua" w:hAnsi="Book Antiqua"/>
          <w:i/>
          <w:iCs/>
        </w:rPr>
        <w:t>J Clin Oncol</w:t>
      </w:r>
      <w:r w:rsidRPr="00DA5A6A">
        <w:rPr>
          <w:rFonts w:ascii="Book Antiqua" w:hAnsi="Book Antiqua"/>
        </w:rPr>
        <w:t xml:space="preserve"> 2015; </w:t>
      </w:r>
      <w:r w:rsidRPr="00DA5A6A">
        <w:rPr>
          <w:rFonts w:ascii="Book Antiqua" w:hAnsi="Book Antiqua"/>
          <w:b/>
          <w:bCs/>
        </w:rPr>
        <w:t>33</w:t>
      </w:r>
      <w:r w:rsidRPr="00DA5A6A">
        <w:rPr>
          <w:rFonts w:ascii="Book Antiqua" w:hAnsi="Book Antiqua"/>
        </w:rPr>
        <w:t>: 1902-1909 [PMID: 25847936 DOI: 10.1200/JCO.2014.57.6660]</w:t>
      </w:r>
    </w:p>
    <w:p w14:paraId="1E486610" w14:textId="5DEECDBC" w:rsidR="00421EA9" w:rsidRPr="00DA5A6A" w:rsidRDefault="00421EA9" w:rsidP="00DA5A6A">
      <w:pPr>
        <w:spacing w:line="360" w:lineRule="auto"/>
        <w:jc w:val="both"/>
        <w:rPr>
          <w:rFonts w:ascii="Book Antiqua" w:hAnsi="Book Antiqua"/>
        </w:rPr>
      </w:pPr>
      <w:r w:rsidRPr="00DA5A6A">
        <w:rPr>
          <w:rFonts w:ascii="Book Antiqua" w:hAnsi="Book Antiqua"/>
        </w:rPr>
        <w:t xml:space="preserve">47 </w:t>
      </w:r>
      <w:r w:rsidRPr="00DA5A6A">
        <w:rPr>
          <w:rFonts w:ascii="Book Antiqua" w:hAnsi="Book Antiqua"/>
          <w:b/>
          <w:bCs/>
        </w:rPr>
        <w:t>Telli ML</w:t>
      </w:r>
      <w:r w:rsidRPr="00DA5A6A">
        <w:rPr>
          <w:rFonts w:ascii="Book Antiqua" w:hAnsi="Book Antiqua"/>
        </w:rPr>
        <w:t xml:space="preserve">, Timms KM, Reid J, Hennessy B, Mills GB, Jensen KC, Szallasi Z, Barry WT, Winer EP, Tung NM, Isakoff SJ, Ryan PD, Greene-Colozzi A, Gutin A, Sangale Z, Iliev D, Neff C, Abkevich V, Jones JT, Lanchbury JS, Hartman AR, Garber JE, Ford JM, Silver DP, Richardson AL. Homologous Recombination Deficiency (HRD) Score Predicts Response to Platinum-Containing Neoadjuvant Chemotherapy in Patients with Triple-Negative Breast Cancer. </w:t>
      </w:r>
      <w:r w:rsidRPr="00DA5A6A">
        <w:rPr>
          <w:rFonts w:ascii="Book Antiqua" w:hAnsi="Book Antiqua"/>
          <w:i/>
          <w:iCs/>
        </w:rPr>
        <w:t>Clin Cancer Res</w:t>
      </w:r>
      <w:r w:rsidRPr="00DA5A6A">
        <w:rPr>
          <w:rFonts w:ascii="Book Antiqua" w:hAnsi="Book Antiqua"/>
        </w:rPr>
        <w:t xml:space="preserve"> 2016; </w:t>
      </w:r>
      <w:r w:rsidRPr="00DA5A6A">
        <w:rPr>
          <w:rFonts w:ascii="Book Antiqua" w:hAnsi="Book Antiqua"/>
          <w:b/>
          <w:bCs/>
        </w:rPr>
        <w:t>22</w:t>
      </w:r>
      <w:r w:rsidRPr="00DA5A6A">
        <w:rPr>
          <w:rFonts w:ascii="Book Antiqua" w:hAnsi="Book Antiqua"/>
        </w:rPr>
        <w:t>: 3764-3773 [PMID: 26957554 DOI: 10.1158/1078-0432.CCR-15-2477]</w:t>
      </w:r>
    </w:p>
    <w:p w14:paraId="5A803BF8" w14:textId="2D578A01" w:rsidR="00421EA9" w:rsidRPr="00DA5A6A" w:rsidRDefault="00421EA9" w:rsidP="00DA5A6A">
      <w:pPr>
        <w:spacing w:line="360" w:lineRule="auto"/>
        <w:jc w:val="both"/>
        <w:rPr>
          <w:rFonts w:ascii="Book Antiqua" w:hAnsi="Book Antiqua"/>
        </w:rPr>
      </w:pPr>
      <w:r w:rsidRPr="00DA5A6A">
        <w:rPr>
          <w:rFonts w:ascii="Book Antiqua" w:hAnsi="Book Antiqua"/>
        </w:rPr>
        <w:t xml:space="preserve">48 </w:t>
      </w:r>
      <w:r w:rsidRPr="00DA5A6A">
        <w:rPr>
          <w:rFonts w:ascii="Book Antiqua" w:hAnsi="Book Antiqua"/>
          <w:b/>
          <w:bCs/>
        </w:rPr>
        <w:t>Tutt A</w:t>
      </w:r>
      <w:r w:rsidRPr="00DA5A6A">
        <w:rPr>
          <w:rFonts w:ascii="Book Antiqua" w:hAnsi="Book Antiqua"/>
        </w:rPr>
        <w:t xml:space="preserve">, Tovey H, Cheang MCU, Kernaghan S, Kilburn L, Gazinska P, Owen J, Abraham J, Barrett S, Barrett-Lee P, Brown R, Chan S, Dowsett M, Flanagan JM, Fox L, Grigoriadis A, Gutin A, Harper-Wynne C, Hatton MQ, Hoadley KA, Parikh J, Parker P, Perou CM, Roylance R, Shah V, Shaw A, Smith IE, Timms KM, Wardley AM, Wilson G, Gillett C, Lanchbury JS, Ashworth A, Rahman N, Harries M, Ellis P, Pinder SE, Bliss JM. Carboplatin in BRCA1/2-mutated and triple-negative breast cancer BRCAness subgroups: the TNT Trial. </w:t>
      </w:r>
      <w:r w:rsidRPr="00DA5A6A">
        <w:rPr>
          <w:rFonts w:ascii="Book Antiqua" w:hAnsi="Book Antiqua"/>
          <w:i/>
          <w:iCs/>
        </w:rPr>
        <w:t>Nat Med</w:t>
      </w:r>
      <w:r w:rsidRPr="00DA5A6A">
        <w:rPr>
          <w:rFonts w:ascii="Book Antiqua" w:hAnsi="Book Antiqua"/>
        </w:rPr>
        <w:t xml:space="preserve"> 2018; </w:t>
      </w:r>
      <w:r w:rsidRPr="00DA5A6A">
        <w:rPr>
          <w:rFonts w:ascii="Book Antiqua" w:hAnsi="Book Antiqua"/>
          <w:b/>
          <w:bCs/>
        </w:rPr>
        <w:t>24</w:t>
      </w:r>
      <w:r w:rsidRPr="00DA5A6A">
        <w:rPr>
          <w:rFonts w:ascii="Book Antiqua" w:hAnsi="Book Antiqua"/>
        </w:rPr>
        <w:t>: 628-637 [PMID: 29713086 DOI: 10.1038/s41591-018-0009-7]</w:t>
      </w:r>
    </w:p>
    <w:p w14:paraId="04896FDD" w14:textId="125600A3" w:rsidR="00421EA9" w:rsidRPr="00DA5A6A" w:rsidRDefault="00421EA9" w:rsidP="00DA5A6A">
      <w:pPr>
        <w:spacing w:line="360" w:lineRule="auto"/>
        <w:jc w:val="both"/>
        <w:rPr>
          <w:rFonts w:ascii="Book Antiqua" w:hAnsi="Book Antiqua"/>
        </w:rPr>
      </w:pPr>
      <w:r w:rsidRPr="00DA5A6A">
        <w:rPr>
          <w:rFonts w:ascii="Book Antiqua" w:hAnsi="Book Antiqua"/>
        </w:rPr>
        <w:lastRenderedPageBreak/>
        <w:t xml:space="preserve">49 </w:t>
      </w:r>
      <w:r w:rsidRPr="00DA5A6A">
        <w:rPr>
          <w:rFonts w:ascii="Book Antiqua" w:hAnsi="Book Antiqua"/>
          <w:b/>
          <w:bCs/>
        </w:rPr>
        <w:t>Cortes J</w:t>
      </w:r>
      <w:r w:rsidRPr="00DA5A6A">
        <w:rPr>
          <w:rFonts w:ascii="Book Antiqua" w:hAnsi="Book Antiqua"/>
        </w:rPr>
        <w:t xml:space="preserve">, O'Shaughnessy J, Loesch D, Blum JL, Vahdat LT, Petrakova K, Chollet P, Manikas A, Diéras V, Delozier T, Vladimirov V, Cardoso F, Koh H, Bougnoux P, Dutcus CE, Seegobin S, Mir D, Meneses N, Wanders J, Twelves C; EMBRACE (Eisai Metastatic Breast Cancer Study Assessing Physician's Choice Versus E7389) investigators. Eribulin monotherapy versus treatment of physician's choice in patients with metastatic breast cancer (EMBRACE): a phase 3 open-label randomised study. </w:t>
      </w:r>
      <w:r w:rsidRPr="00DA5A6A">
        <w:rPr>
          <w:rFonts w:ascii="Book Antiqua" w:hAnsi="Book Antiqua"/>
          <w:i/>
          <w:iCs/>
        </w:rPr>
        <w:t>Lancet</w:t>
      </w:r>
      <w:r w:rsidRPr="00DA5A6A">
        <w:rPr>
          <w:rFonts w:ascii="Book Antiqua" w:hAnsi="Book Antiqua"/>
        </w:rPr>
        <w:t xml:space="preserve"> 2011; </w:t>
      </w:r>
      <w:r w:rsidRPr="00DA5A6A">
        <w:rPr>
          <w:rFonts w:ascii="Book Antiqua" w:hAnsi="Book Antiqua"/>
          <w:b/>
          <w:bCs/>
        </w:rPr>
        <w:t>377</w:t>
      </w:r>
      <w:r w:rsidRPr="00DA5A6A">
        <w:rPr>
          <w:rFonts w:ascii="Book Antiqua" w:hAnsi="Book Antiqua"/>
        </w:rPr>
        <w:t>: 914-923 [PMID: 21376385 DOI: 10.1016/S0140-6736(11)60070-6]</w:t>
      </w:r>
    </w:p>
    <w:p w14:paraId="279531CD" w14:textId="08633081" w:rsidR="00421EA9" w:rsidRPr="00DA5A6A" w:rsidRDefault="00421EA9" w:rsidP="00DA5A6A">
      <w:pPr>
        <w:spacing w:line="360" w:lineRule="auto"/>
        <w:jc w:val="both"/>
        <w:rPr>
          <w:rFonts w:ascii="Book Antiqua" w:hAnsi="Book Antiqua"/>
        </w:rPr>
      </w:pPr>
      <w:r w:rsidRPr="00DA5A6A">
        <w:rPr>
          <w:rFonts w:ascii="Book Antiqua" w:hAnsi="Book Antiqua"/>
        </w:rPr>
        <w:t xml:space="preserve">50 </w:t>
      </w:r>
      <w:r w:rsidRPr="00DA5A6A">
        <w:rPr>
          <w:rFonts w:ascii="Book Antiqua" w:hAnsi="Book Antiqua"/>
          <w:b/>
          <w:bCs/>
        </w:rPr>
        <w:t>Nanda R</w:t>
      </w:r>
      <w:r w:rsidRPr="00DA5A6A">
        <w:rPr>
          <w:rFonts w:ascii="Book Antiqua" w:hAnsi="Book Antiqua"/>
        </w:rPr>
        <w:t xml:space="preserve">, Chow LQ, Dees EC, Berger R, Gupta S, Geva R, Pusztai L, Pathiraja K, Aktan G, Cheng JD, Karantza V, Buisseret L. Pembrolizumab in Patients With Advanced Triple-Negative Breast Cancer: Phase Ib KEYNOTE-012 Study. </w:t>
      </w:r>
      <w:r w:rsidRPr="00DA5A6A">
        <w:rPr>
          <w:rFonts w:ascii="Book Antiqua" w:hAnsi="Book Antiqua"/>
          <w:i/>
          <w:iCs/>
        </w:rPr>
        <w:t>J Clin Oncol</w:t>
      </w:r>
      <w:r w:rsidRPr="00DA5A6A">
        <w:rPr>
          <w:rFonts w:ascii="Book Antiqua" w:hAnsi="Book Antiqua"/>
        </w:rPr>
        <w:t xml:space="preserve"> 2016; </w:t>
      </w:r>
      <w:r w:rsidRPr="00DA5A6A">
        <w:rPr>
          <w:rFonts w:ascii="Book Antiqua" w:hAnsi="Book Antiqua"/>
          <w:b/>
          <w:bCs/>
        </w:rPr>
        <w:t>34</w:t>
      </w:r>
      <w:r w:rsidRPr="00DA5A6A">
        <w:rPr>
          <w:rFonts w:ascii="Book Antiqua" w:hAnsi="Book Antiqua"/>
        </w:rPr>
        <w:t>: 2460-2467 [PMID: 27138582 DOI: 10.1200/JCO.2015.64.8931]</w:t>
      </w:r>
    </w:p>
    <w:p w14:paraId="21A44803" w14:textId="60487CAF" w:rsidR="00421EA9" w:rsidRPr="00DA5A6A" w:rsidRDefault="00421EA9" w:rsidP="00DA5A6A">
      <w:pPr>
        <w:spacing w:line="360" w:lineRule="auto"/>
        <w:jc w:val="both"/>
        <w:rPr>
          <w:rFonts w:ascii="Book Antiqua" w:hAnsi="Book Antiqua"/>
        </w:rPr>
      </w:pPr>
      <w:r w:rsidRPr="00DA5A6A">
        <w:rPr>
          <w:rFonts w:ascii="Book Antiqua" w:hAnsi="Book Antiqua"/>
        </w:rPr>
        <w:t xml:space="preserve">51 </w:t>
      </w:r>
      <w:r w:rsidRPr="00DA5A6A">
        <w:rPr>
          <w:rFonts w:ascii="Book Antiqua" w:hAnsi="Book Antiqua"/>
          <w:b/>
          <w:bCs/>
        </w:rPr>
        <w:t>Dirix LY</w:t>
      </w:r>
      <w:r w:rsidRPr="00DA5A6A">
        <w:rPr>
          <w:rFonts w:ascii="Book Antiqua" w:hAnsi="Book Antiqua"/>
        </w:rPr>
        <w:t xml:space="preserve">, Takacs I, Jerusalem G, Nikolinakos P, Arkenau HT, Forero-Torres A, Boccia R, Lippman ME, Somer R, Smakal M, Emens LA, Hrinczenko B, Edenfield W, Gurtler J, von Heydebreck A, Grote HJ, Chin K, Hamilton EP. Avelumab, an anti-PD-L1 antibody, in patients with locally advanced or metastatic breast cancer: a phase 1b JAVELIN Solid Tumor study. </w:t>
      </w:r>
      <w:r w:rsidRPr="00DA5A6A">
        <w:rPr>
          <w:rFonts w:ascii="Book Antiqua" w:hAnsi="Book Antiqua"/>
          <w:i/>
          <w:iCs/>
        </w:rPr>
        <w:t>Breast Cancer Res Treat</w:t>
      </w:r>
      <w:r w:rsidRPr="00DA5A6A">
        <w:rPr>
          <w:rFonts w:ascii="Book Antiqua" w:hAnsi="Book Antiqua"/>
        </w:rPr>
        <w:t xml:space="preserve"> 2018; </w:t>
      </w:r>
      <w:r w:rsidRPr="00DA5A6A">
        <w:rPr>
          <w:rFonts w:ascii="Book Antiqua" w:hAnsi="Book Antiqua"/>
          <w:b/>
          <w:bCs/>
        </w:rPr>
        <w:t>167</w:t>
      </w:r>
      <w:r w:rsidRPr="00DA5A6A">
        <w:rPr>
          <w:rFonts w:ascii="Book Antiqua" w:hAnsi="Book Antiqua"/>
        </w:rPr>
        <w:t>: 671-686 [PMID: 29063313 DOI: 10.1007/s10549-017-4537-5]</w:t>
      </w:r>
    </w:p>
    <w:p w14:paraId="366B59F5" w14:textId="57E42BC6" w:rsidR="00421EA9" w:rsidRPr="00DA5A6A" w:rsidRDefault="00421EA9" w:rsidP="00DA5A6A">
      <w:pPr>
        <w:spacing w:line="360" w:lineRule="auto"/>
        <w:jc w:val="both"/>
        <w:rPr>
          <w:rFonts w:ascii="Book Antiqua" w:hAnsi="Book Antiqua"/>
        </w:rPr>
      </w:pPr>
      <w:r w:rsidRPr="00DA5A6A">
        <w:rPr>
          <w:rFonts w:ascii="Book Antiqua" w:hAnsi="Book Antiqua"/>
        </w:rPr>
        <w:t xml:space="preserve">52 </w:t>
      </w:r>
      <w:r w:rsidRPr="00DA5A6A">
        <w:rPr>
          <w:rFonts w:ascii="Book Antiqua" w:hAnsi="Book Antiqua"/>
          <w:b/>
          <w:bCs/>
        </w:rPr>
        <w:t>Emens LA</w:t>
      </w:r>
      <w:r w:rsidRPr="00DA5A6A">
        <w:rPr>
          <w:rFonts w:ascii="Book Antiqua" w:hAnsi="Book Antiqua"/>
        </w:rPr>
        <w:t xml:space="preserve">, Cruz C, Eder JP, Braiteh F, Chung C, Tolaney SM, Kuter I, Nanda R, Cassier PA, Delord JP, Gordon MS, ElGabry E, Chang CW, Sarkar I, Grossman W, O'Hear C, Fassò M, Molinero L, Schmid P. Long-term Clinical Outcomes and Biomarker Analyses of Atezolizumab Therapy for Patients With Metastatic Triple-Negative Breast Cancer: A Phase 1 Study. </w:t>
      </w:r>
      <w:r w:rsidRPr="00DA5A6A">
        <w:rPr>
          <w:rFonts w:ascii="Book Antiqua" w:hAnsi="Book Antiqua"/>
          <w:i/>
          <w:iCs/>
        </w:rPr>
        <w:t>JAMA Oncol</w:t>
      </w:r>
      <w:r w:rsidRPr="00DA5A6A">
        <w:rPr>
          <w:rFonts w:ascii="Book Antiqua" w:hAnsi="Book Antiqua"/>
        </w:rPr>
        <w:t xml:space="preserve"> 2019; </w:t>
      </w:r>
      <w:r w:rsidRPr="00DA5A6A">
        <w:rPr>
          <w:rFonts w:ascii="Book Antiqua" w:hAnsi="Book Antiqua"/>
          <w:b/>
          <w:bCs/>
        </w:rPr>
        <w:t>5</w:t>
      </w:r>
      <w:r w:rsidRPr="00DA5A6A">
        <w:rPr>
          <w:rFonts w:ascii="Book Antiqua" w:hAnsi="Book Antiqua"/>
        </w:rPr>
        <w:t>: 74-82 [PMID: 30242306 DOI: 10.1001/jamaoncol.2018.4224]</w:t>
      </w:r>
    </w:p>
    <w:p w14:paraId="4F66CEB1" w14:textId="677041D7" w:rsidR="00421EA9" w:rsidRPr="00DA5A6A" w:rsidRDefault="00421EA9" w:rsidP="00DA5A6A">
      <w:pPr>
        <w:spacing w:line="360" w:lineRule="auto"/>
        <w:jc w:val="both"/>
        <w:rPr>
          <w:rFonts w:ascii="Book Antiqua" w:hAnsi="Book Antiqua"/>
        </w:rPr>
      </w:pPr>
      <w:r w:rsidRPr="00DA5A6A">
        <w:rPr>
          <w:rFonts w:ascii="Book Antiqua" w:hAnsi="Book Antiqua"/>
        </w:rPr>
        <w:t xml:space="preserve">53 </w:t>
      </w:r>
      <w:r w:rsidRPr="00DA5A6A">
        <w:rPr>
          <w:rFonts w:ascii="Book Antiqua" w:hAnsi="Book Antiqua"/>
          <w:b/>
          <w:bCs/>
        </w:rPr>
        <w:t>Adams S</w:t>
      </w:r>
      <w:r w:rsidRPr="00DA5A6A">
        <w:rPr>
          <w:rFonts w:ascii="Book Antiqua" w:hAnsi="Book Antiqua"/>
        </w:rPr>
        <w:t xml:space="preserve">, Schmid P, Rugo HS, Winer EP, Loirat D, Awada A, Cescon DW, Iwata H, Campone M, Nanda R, Hui R, Curigliano G, Toppmeyer D, O'Shaughnessy J, Loi S, Paluch-Shimon S, Tan AR, Card D, Zhao J, Karantza V, Cortés J. Pembrolizumab monotherapy for previously treated metastatic triple-negative breast cancer: cohort A of the phase II KEYNOTE-086 study. </w:t>
      </w:r>
      <w:r w:rsidRPr="00DA5A6A">
        <w:rPr>
          <w:rFonts w:ascii="Book Antiqua" w:hAnsi="Book Antiqua"/>
          <w:i/>
          <w:iCs/>
        </w:rPr>
        <w:t>Ann Oncol</w:t>
      </w:r>
      <w:r w:rsidRPr="00DA5A6A">
        <w:rPr>
          <w:rFonts w:ascii="Book Antiqua" w:hAnsi="Book Antiqua"/>
        </w:rPr>
        <w:t xml:space="preserve"> 2019; </w:t>
      </w:r>
      <w:r w:rsidRPr="00DA5A6A">
        <w:rPr>
          <w:rFonts w:ascii="Book Antiqua" w:hAnsi="Book Antiqua"/>
          <w:b/>
          <w:bCs/>
        </w:rPr>
        <w:t>30</w:t>
      </w:r>
      <w:r w:rsidRPr="00DA5A6A">
        <w:rPr>
          <w:rFonts w:ascii="Book Antiqua" w:hAnsi="Book Antiqua"/>
        </w:rPr>
        <w:t>: 397-404 [PMID: 30475950 DOI: 10.1093/annonc/mdy517]</w:t>
      </w:r>
    </w:p>
    <w:p w14:paraId="3614291A" w14:textId="5E5624F2" w:rsidR="00421EA9" w:rsidRPr="00DA5A6A" w:rsidRDefault="00421EA9" w:rsidP="00DA5A6A">
      <w:pPr>
        <w:spacing w:line="360" w:lineRule="auto"/>
        <w:jc w:val="both"/>
        <w:rPr>
          <w:rFonts w:ascii="Book Antiqua" w:hAnsi="Book Antiqua"/>
        </w:rPr>
      </w:pPr>
      <w:r w:rsidRPr="00DA5A6A">
        <w:rPr>
          <w:rFonts w:ascii="Book Antiqua" w:hAnsi="Book Antiqua"/>
        </w:rPr>
        <w:lastRenderedPageBreak/>
        <w:t xml:space="preserve">54 </w:t>
      </w:r>
      <w:r w:rsidRPr="00DA5A6A">
        <w:rPr>
          <w:rFonts w:ascii="Book Antiqua" w:hAnsi="Book Antiqua"/>
          <w:b/>
          <w:bCs/>
        </w:rPr>
        <w:t>Cortés J,</w:t>
      </w:r>
      <w:r w:rsidRPr="00DA5A6A">
        <w:rPr>
          <w:rFonts w:ascii="Book Antiqua" w:hAnsi="Book Antiqua"/>
        </w:rPr>
        <w:t xml:space="preserve"> Lipatov O, Im S-A, </w:t>
      </w:r>
      <w:r w:rsidR="007F5AAE" w:rsidRPr="00DA5A6A">
        <w:rPr>
          <w:rFonts w:ascii="Book Antiqua" w:eastAsia="Microsoft YaHei" w:hAnsi="Book Antiqua"/>
          <w:color w:val="000000"/>
          <w:shd w:val="clear" w:color="auto" w:fill="FFFFFF"/>
        </w:rPr>
        <w:t xml:space="preserve">Gonalves A, Winer EP. </w:t>
      </w:r>
      <w:r w:rsidRPr="00DA5A6A">
        <w:rPr>
          <w:rFonts w:ascii="Book Antiqua" w:hAnsi="Book Antiqua"/>
        </w:rPr>
        <w:t xml:space="preserve">LBA21 - KEYNOTE-119: Phase III study of pembrolizumab (pembro) vs single-agent chemotherapy (chemo) for metastatic triple negative breast cancer (mTNBC). </w:t>
      </w:r>
      <w:r w:rsidRPr="00DA5A6A">
        <w:rPr>
          <w:rFonts w:ascii="Book Antiqua" w:hAnsi="Book Antiqua"/>
          <w:i/>
          <w:iCs/>
        </w:rPr>
        <w:t>Ann Oncol</w:t>
      </w:r>
      <w:r w:rsidRPr="00DA5A6A">
        <w:rPr>
          <w:rFonts w:ascii="Book Antiqua" w:hAnsi="Book Antiqua"/>
        </w:rPr>
        <w:t xml:space="preserve"> 2019;</w:t>
      </w:r>
      <w:r w:rsidR="00521D5F" w:rsidRPr="00DA5A6A">
        <w:rPr>
          <w:rFonts w:ascii="Book Antiqua" w:hAnsi="Book Antiqua"/>
        </w:rPr>
        <w:t xml:space="preserve"> </w:t>
      </w:r>
      <w:r w:rsidRPr="00DA5A6A">
        <w:rPr>
          <w:rFonts w:ascii="Book Antiqua" w:hAnsi="Book Antiqua"/>
          <w:b/>
          <w:bCs/>
        </w:rPr>
        <w:t>30:</w:t>
      </w:r>
      <w:r w:rsidR="00521D5F" w:rsidRPr="00DA5A6A">
        <w:rPr>
          <w:rFonts w:ascii="Book Antiqua" w:hAnsi="Book Antiqua"/>
        </w:rPr>
        <w:t xml:space="preserve"> </w:t>
      </w:r>
      <w:r w:rsidRPr="00DA5A6A">
        <w:rPr>
          <w:rFonts w:ascii="Book Antiqua" w:hAnsi="Book Antiqua"/>
        </w:rPr>
        <w:t>v859-v860</w:t>
      </w:r>
      <w:r w:rsidR="00521D5F" w:rsidRPr="00DA5A6A">
        <w:rPr>
          <w:rFonts w:ascii="Book Antiqua" w:hAnsi="Book Antiqua"/>
        </w:rPr>
        <w:t xml:space="preserve"> [DOI: 10.1093/annonc/mdz394.010]</w:t>
      </w:r>
      <w:r w:rsidRPr="00DA5A6A">
        <w:rPr>
          <w:rFonts w:ascii="Book Antiqua" w:hAnsi="Book Antiqua"/>
        </w:rPr>
        <w:t xml:space="preserve"> </w:t>
      </w:r>
    </w:p>
    <w:p w14:paraId="3E79AB41" w14:textId="19E101DD" w:rsidR="00421EA9" w:rsidRPr="00DA5A6A" w:rsidRDefault="00421EA9" w:rsidP="00DA5A6A">
      <w:pPr>
        <w:spacing w:line="360" w:lineRule="auto"/>
        <w:jc w:val="both"/>
        <w:rPr>
          <w:rFonts w:ascii="Book Antiqua" w:hAnsi="Book Antiqua"/>
        </w:rPr>
      </w:pPr>
      <w:r w:rsidRPr="00DA5A6A">
        <w:rPr>
          <w:rFonts w:ascii="Book Antiqua" w:hAnsi="Book Antiqua"/>
        </w:rPr>
        <w:t xml:space="preserve">55 </w:t>
      </w:r>
      <w:r w:rsidRPr="00DA5A6A">
        <w:rPr>
          <w:rFonts w:ascii="Book Antiqua" w:hAnsi="Book Antiqua"/>
          <w:b/>
          <w:bCs/>
        </w:rPr>
        <w:t>Adams S</w:t>
      </w:r>
      <w:r w:rsidRPr="00DA5A6A">
        <w:rPr>
          <w:rFonts w:ascii="Book Antiqua" w:hAnsi="Book Antiqua"/>
        </w:rPr>
        <w:t xml:space="preserve">, Diamond JR, Hamilton E, Pohlmann PR, Tolaney SM, Chang CW, Zhang W, Iizuka K, Foster PG, Molinero L, Funke R, Powderly J. Atezolizumab Plus nab-Paclitaxel in the Treatment of Metastatic Triple-Negative Breast Cancer With 2-Year Survival Follow-up: A Phase 1b Clinical Trial. </w:t>
      </w:r>
      <w:r w:rsidRPr="00DA5A6A">
        <w:rPr>
          <w:rFonts w:ascii="Book Antiqua" w:hAnsi="Book Antiqua"/>
          <w:i/>
          <w:iCs/>
        </w:rPr>
        <w:t>JAMA Oncol</w:t>
      </w:r>
      <w:r w:rsidRPr="00DA5A6A">
        <w:rPr>
          <w:rFonts w:ascii="Book Antiqua" w:hAnsi="Book Antiqua"/>
        </w:rPr>
        <w:t xml:space="preserve"> 2019; </w:t>
      </w:r>
      <w:r w:rsidRPr="00DA5A6A">
        <w:rPr>
          <w:rFonts w:ascii="Book Antiqua" w:hAnsi="Book Antiqua"/>
          <w:b/>
          <w:bCs/>
        </w:rPr>
        <w:t>5</w:t>
      </w:r>
      <w:r w:rsidRPr="00DA5A6A">
        <w:rPr>
          <w:rFonts w:ascii="Book Antiqua" w:hAnsi="Book Antiqua"/>
        </w:rPr>
        <w:t>: 334-342 [PMID: 30347025 DOI: 10.1001/jamaoncol.2018.5152]</w:t>
      </w:r>
    </w:p>
    <w:p w14:paraId="5CABAA2A" w14:textId="6811289D" w:rsidR="00421EA9" w:rsidRPr="00DA5A6A" w:rsidRDefault="00421EA9" w:rsidP="00DA5A6A">
      <w:pPr>
        <w:spacing w:line="360" w:lineRule="auto"/>
        <w:jc w:val="both"/>
        <w:rPr>
          <w:rFonts w:ascii="Book Antiqua" w:hAnsi="Book Antiqua"/>
        </w:rPr>
      </w:pPr>
      <w:r w:rsidRPr="00DA5A6A">
        <w:rPr>
          <w:rFonts w:ascii="Book Antiqua" w:hAnsi="Book Antiqua"/>
        </w:rPr>
        <w:t xml:space="preserve">56 </w:t>
      </w:r>
      <w:r w:rsidRPr="00DA5A6A">
        <w:rPr>
          <w:rFonts w:ascii="Book Antiqua" w:hAnsi="Book Antiqua"/>
          <w:b/>
          <w:bCs/>
        </w:rPr>
        <w:t>Schmid P</w:t>
      </w:r>
      <w:r w:rsidRPr="00DA5A6A">
        <w:rPr>
          <w:rFonts w:ascii="Book Antiqua" w:hAnsi="Book Antiqua"/>
        </w:rPr>
        <w:t xml:space="preserve">, Adams S, Rugo HS, Schneeweiss A, Barrios CH, Iwata H, Diéras V, Hegg R, Im SA, Shaw Wright G, Henschel V, Molinero L, Chui SY, Funke R, Husain A, Winer EP, Loi S, Emens LA; IMpassion130 Trial Investigators. Atezolizumab and Nab-Paclitaxel in Advanced Triple-Negative Breast Cancer. </w:t>
      </w:r>
      <w:r w:rsidRPr="00DA5A6A">
        <w:rPr>
          <w:rFonts w:ascii="Book Antiqua" w:hAnsi="Book Antiqua"/>
          <w:i/>
          <w:iCs/>
        </w:rPr>
        <w:t>N Engl J Med</w:t>
      </w:r>
      <w:r w:rsidRPr="00DA5A6A">
        <w:rPr>
          <w:rFonts w:ascii="Book Antiqua" w:hAnsi="Book Antiqua"/>
        </w:rPr>
        <w:t xml:space="preserve"> 2018; </w:t>
      </w:r>
      <w:r w:rsidRPr="00DA5A6A">
        <w:rPr>
          <w:rFonts w:ascii="Book Antiqua" w:hAnsi="Book Antiqua"/>
          <w:b/>
          <w:bCs/>
        </w:rPr>
        <w:t>379</w:t>
      </w:r>
      <w:r w:rsidRPr="00DA5A6A">
        <w:rPr>
          <w:rFonts w:ascii="Book Antiqua" w:hAnsi="Book Antiqua"/>
        </w:rPr>
        <w:t>: 2108-2121 [PMID: 30345906 DOI: 10.1056/NEJMoa1809615]</w:t>
      </w:r>
    </w:p>
    <w:p w14:paraId="40ABE706" w14:textId="0FBF74BB" w:rsidR="00421EA9" w:rsidRPr="00DA5A6A" w:rsidRDefault="00421EA9" w:rsidP="00DA5A6A">
      <w:pPr>
        <w:spacing w:line="360" w:lineRule="auto"/>
        <w:jc w:val="both"/>
        <w:rPr>
          <w:rFonts w:ascii="Book Antiqua" w:hAnsi="Book Antiqua"/>
        </w:rPr>
      </w:pPr>
      <w:r w:rsidRPr="00DA5A6A">
        <w:rPr>
          <w:rFonts w:ascii="Book Antiqua" w:hAnsi="Book Antiqua"/>
        </w:rPr>
        <w:t xml:space="preserve">57 </w:t>
      </w:r>
      <w:r w:rsidRPr="00DA5A6A">
        <w:rPr>
          <w:rFonts w:ascii="Book Antiqua" w:hAnsi="Book Antiqua"/>
          <w:b/>
          <w:bCs/>
        </w:rPr>
        <w:t>Tolaney SM,</w:t>
      </w:r>
      <w:r w:rsidRPr="00DA5A6A">
        <w:rPr>
          <w:rFonts w:ascii="Book Antiqua" w:hAnsi="Book Antiqua"/>
        </w:rPr>
        <w:t xml:space="preserve"> Kalinsky K, Kaklamani V, </w:t>
      </w:r>
      <w:r w:rsidR="00D5240F" w:rsidRPr="00DA5A6A">
        <w:rPr>
          <w:rFonts w:ascii="Book Antiqua" w:hAnsi="Book Antiqua"/>
        </w:rPr>
        <w:t xml:space="preserve">Savulsky C, Diab S. </w:t>
      </w:r>
      <w:r w:rsidRPr="00DA5A6A">
        <w:rPr>
          <w:rFonts w:ascii="Book Antiqua" w:hAnsi="Book Antiqua"/>
        </w:rPr>
        <w:t xml:space="preserve">Abstract PD6-13: Phase 1b/2 study to evaluate eribulin mesylate in combination with pembrolizumab in patients with metastatic triple-negative breast cancer. </w:t>
      </w:r>
      <w:r w:rsidRPr="00DA5A6A">
        <w:rPr>
          <w:rFonts w:ascii="Book Antiqua" w:hAnsi="Book Antiqua"/>
          <w:i/>
          <w:iCs/>
        </w:rPr>
        <w:t>Cancer Res</w:t>
      </w:r>
      <w:r w:rsidRPr="00DA5A6A">
        <w:rPr>
          <w:rFonts w:ascii="Book Antiqua" w:hAnsi="Book Antiqua"/>
        </w:rPr>
        <w:t xml:space="preserve"> 2018;</w:t>
      </w:r>
      <w:r w:rsidR="00D5240F" w:rsidRPr="00DA5A6A">
        <w:rPr>
          <w:rFonts w:ascii="Book Antiqua" w:hAnsi="Book Antiqua"/>
        </w:rPr>
        <w:t xml:space="preserve"> </w:t>
      </w:r>
      <w:r w:rsidRPr="00DA5A6A">
        <w:rPr>
          <w:rFonts w:ascii="Book Antiqua" w:hAnsi="Book Antiqua"/>
          <w:b/>
          <w:bCs/>
        </w:rPr>
        <w:t>78:</w:t>
      </w:r>
      <w:r w:rsidR="00D5240F" w:rsidRPr="00DA5A6A">
        <w:rPr>
          <w:rFonts w:ascii="Book Antiqua" w:hAnsi="Book Antiqua"/>
        </w:rPr>
        <w:t xml:space="preserve"> </w:t>
      </w:r>
      <w:r w:rsidRPr="00DA5A6A">
        <w:rPr>
          <w:rFonts w:ascii="Book Antiqua" w:hAnsi="Book Antiqua"/>
        </w:rPr>
        <w:t>PD6-13-PD6-13</w:t>
      </w:r>
      <w:r w:rsidR="00D5240F" w:rsidRPr="00DA5A6A">
        <w:rPr>
          <w:rFonts w:ascii="Book Antiqua" w:hAnsi="Book Antiqua"/>
        </w:rPr>
        <w:t xml:space="preserve"> [DOI: 10.1158/1538-7445.SABCS17-PD6-13]</w:t>
      </w:r>
    </w:p>
    <w:p w14:paraId="1DCA9BE3" w14:textId="534E562F" w:rsidR="00421EA9" w:rsidRPr="00DA5A6A" w:rsidRDefault="00421EA9" w:rsidP="00DA5A6A">
      <w:pPr>
        <w:spacing w:line="360" w:lineRule="auto"/>
        <w:jc w:val="both"/>
        <w:rPr>
          <w:rFonts w:ascii="Book Antiqua" w:hAnsi="Book Antiqua"/>
        </w:rPr>
      </w:pPr>
      <w:r w:rsidRPr="00DA5A6A">
        <w:rPr>
          <w:rFonts w:ascii="Book Antiqua" w:hAnsi="Book Antiqua"/>
        </w:rPr>
        <w:t xml:space="preserve">58 </w:t>
      </w:r>
      <w:r w:rsidR="00811070" w:rsidRPr="00DA5A6A">
        <w:rPr>
          <w:rFonts w:ascii="Book Antiqua" w:hAnsi="Book Antiqua"/>
          <w:b/>
          <w:bCs/>
        </w:rPr>
        <w:t>Castan JC,</w:t>
      </w:r>
      <w:r w:rsidR="00811070" w:rsidRPr="00DA5A6A">
        <w:rPr>
          <w:rFonts w:ascii="Book Antiqua" w:hAnsi="Book Antiqua"/>
        </w:rPr>
        <w:t xml:space="preserve"> Guo Z, Karantza V, Aktan G. Keynote-355: randomized, double-blind, phase iii study of pembrolizumab (pembro) + chemotherapy (chemo) vs placebo (pbo) + chemo for previously untreated, locally recurrent, inoperable or metastatic triple-negative breast cancer (mtnbc) - sciencedirect. </w:t>
      </w:r>
      <w:r w:rsidR="00811070" w:rsidRPr="00DA5A6A">
        <w:rPr>
          <w:rFonts w:ascii="Book Antiqua" w:hAnsi="Book Antiqua"/>
          <w:i/>
          <w:iCs/>
        </w:rPr>
        <w:t>Ann Oncol</w:t>
      </w:r>
      <w:r w:rsidR="00811070" w:rsidRPr="00DA5A6A">
        <w:rPr>
          <w:rFonts w:ascii="Book Antiqua" w:hAnsi="Book Antiqua"/>
        </w:rPr>
        <w:t xml:space="preserve"> 2017; </w:t>
      </w:r>
      <w:r w:rsidR="00811070" w:rsidRPr="00DA5A6A">
        <w:rPr>
          <w:rFonts w:ascii="Book Antiqua" w:hAnsi="Book Antiqua"/>
          <w:b/>
          <w:bCs/>
        </w:rPr>
        <w:t>28</w:t>
      </w:r>
      <w:r w:rsidR="00811070" w:rsidRPr="006A0862">
        <w:rPr>
          <w:rFonts w:ascii="Book Antiqua" w:hAnsi="Book Antiqua"/>
        </w:rPr>
        <w:t>:</w:t>
      </w:r>
      <w:r w:rsidR="00811070" w:rsidRPr="00DA5A6A">
        <w:rPr>
          <w:rFonts w:ascii="Book Antiqua" w:hAnsi="Book Antiqua"/>
          <w:b/>
          <w:bCs/>
        </w:rPr>
        <w:t xml:space="preserve"> </w:t>
      </w:r>
      <w:r w:rsidR="00811070" w:rsidRPr="00DA5A6A">
        <w:rPr>
          <w:rFonts w:ascii="Book Antiqua" w:hAnsi="Book Antiqua"/>
        </w:rPr>
        <w:t xml:space="preserve">x25 [DOI: </w:t>
      </w:r>
      <w:hyperlink r:id="rId8" w:tgtFrame="_blank" w:tooltip="Persistent link using digital object identifier" w:history="1">
        <w:r w:rsidR="00811070" w:rsidRPr="00DA5A6A">
          <w:rPr>
            <w:rFonts w:ascii="Book Antiqua" w:hAnsi="Book Antiqua"/>
          </w:rPr>
          <w:t>10.1093/annonc/mdx656</w:t>
        </w:r>
      </w:hyperlink>
      <w:r w:rsidR="00811070" w:rsidRPr="00DA5A6A">
        <w:rPr>
          <w:rFonts w:ascii="Book Antiqua" w:hAnsi="Book Antiqua"/>
        </w:rPr>
        <w:t>]</w:t>
      </w:r>
    </w:p>
    <w:p w14:paraId="00CB0A9E" w14:textId="1074FEC2" w:rsidR="00421EA9" w:rsidRPr="00DA5A6A" w:rsidRDefault="00421EA9" w:rsidP="00DA5A6A">
      <w:pPr>
        <w:spacing w:line="360" w:lineRule="auto"/>
        <w:jc w:val="both"/>
        <w:rPr>
          <w:rFonts w:ascii="Book Antiqua" w:hAnsi="Book Antiqua"/>
        </w:rPr>
      </w:pPr>
      <w:r w:rsidRPr="00DA5A6A">
        <w:rPr>
          <w:rFonts w:ascii="Book Antiqua" w:hAnsi="Book Antiqua"/>
        </w:rPr>
        <w:t xml:space="preserve">59 </w:t>
      </w:r>
      <w:r w:rsidRPr="00DA5A6A">
        <w:rPr>
          <w:rFonts w:ascii="Book Antiqua" w:hAnsi="Book Antiqua"/>
          <w:b/>
          <w:bCs/>
        </w:rPr>
        <w:t>Rugo HS</w:t>
      </w:r>
      <w:r w:rsidRPr="006A0862">
        <w:rPr>
          <w:rFonts w:ascii="Book Antiqua" w:hAnsi="Book Antiqua"/>
        </w:rPr>
        <w:t xml:space="preserve">, </w:t>
      </w:r>
      <w:r w:rsidRPr="00DA5A6A">
        <w:rPr>
          <w:rFonts w:ascii="Book Antiqua" w:hAnsi="Book Antiqua"/>
        </w:rPr>
        <w:t xml:space="preserve">Loi S, Adams S, </w:t>
      </w:r>
      <w:r w:rsidR="003D7DC7" w:rsidRPr="00DA5A6A">
        <w:rPr>
          <w:rFonts w:ascii="Book Antiqua" w:hAnsi="Book Antiqua"/>
        </w:rPr>
        <w:t>Schmid P, Schneeweiss A, Barrios CH, Iwata H, Dieras VC, Winer EP, Kockx M, Peeters D, Chui SY, Lin JC, Nguyen Duc A, Viale G, Molinero L, Emens LA.</w:t>
      </w:r>
      <w:r w:rsidRPr="00DA5A6A">
        <w:rPr>
          <w:rFonts w:ascii="Book Antiqua" w:hAnsi="Book Antiqua"/>
        </w:rPr>
        <w:t xml:space="preserve"> LBA20 - Performance of PD-L1 immunohistochemistry (IHC) assays in unresectable locally advanced or metastatic triple-negative breast cancer (mTNBC): Post-hoc analysis of IMpassion130. </w:t>
      </w:r>
      <w:r w:rsidRPr="00DA5A6A">
        <w:rPr>
          <w:rFonts w:ascii="Book Antiqua" w:hAnsi="Book Antiqua"/>
          <w:i/>
          <w:iCs/>
        </w:rPr>
        <w:t>Ann Oncol</w:t>
      </w:r>
      <w:r w:rsidRPr="00DA5A6A">
        <w:rPr>
          <w:rFonts w:ascii="Book Antiqua" w:hAnsi="Book Antiqua"/>
        </w:rPr>
        <w:t xml:space="preserve"> 2019;</w:t>
      </w:r>
      <w:r w:rsidR="007030C9" w:rsidRPr="00DA5A6A">
        <w:rPr>
          <w:rFonts w:ascii="Book Antiqua" w:hAnsi="Book Antiqua"/>
          <w:b/>
          <w:bCs/>
        </w:rPr>
        <w:t xml:space="preserve"> </w:t>
      </w:r>
      <w:r w:rsidRPr="00DA5A6A">
        <w:rPr>
          <w:rFonts w:ascii="Book Antiqua" w:hAnsi="Book Antiqua"/>
          <w:b/>
          <w:bCs/>
        </w:rPr>
        <w:t>30</w:t>
      </w:r>
      <w:r w:rsidRPr="006A0862">
        <w:rPr>
          <w:rFonts w:ascii="Book Antiqua" w:hAnsi="Book Antiqua"/>
        </w:rPr>
        <w:t>:</w:t>
      </w:r>
      <w:r w:rsidR="007030C9" w:rsidRPr="00DA5A6A">
        <w:rPr>
          <w:rFonts w:ascii="Book Antiqua" w:hAnsi="Book Antiqua"/>
        </w:rPr>
        <w:t xml:space="preserve"> </w:t>
      </w:r>
      <w:r w:rsidRPr="00DA5A6A">
        <w:rPr>
          <w:rFonts w:ascii="Book Antiqua" w:hAnsi="Book Antiqua"/>
        </w:rPr>
        <w:t xml:space="preserve">v858-v859 </w:t>
      </w:r>
      <w:r w:rsidR="007030C9" w:rsidRPr="00DA5A6A">
        <w:rPr>
          <w:rFonts w:ascii="Book Antiqua" w:hAnsi="Book Antiqua"/>
        </w:rPr>
        <w:t>[DOI</w:t>
      </w:r>
      <w:r w:rsidRPr="00DA5A6A">
        <w:rPr>
          <w:rFonts w:ascii="Book Antiqua" w:hAnsi="Book Antiqua"/>
        </w:rPr>
        <w:t>:</w:t>
      </w:r>
      <w:r w:rsidR="007030C9" w:rsidRPr="00DA5A6A">
        <w:rPr>
          <w:rFonts w:ascii="Book Antiqua" w:hAnsi="Book Antiqua"/>
        </w:rPr>
        <w:t xml:space="preserve"> </w:t>
      </w:r>
      <w:r w:rsidRPr="00DA5A6A">
        <w:rPr>
          <w:rFonts w:ascii="Book Antiqua" w:hAnsi="Book Antiqua"/>
        </w:rPr>
        <w:t>10.1093/annonc/mdz394.009</w:t>
      </w:r>
      <w:r w:rsidR="007030C9" w:rsidRPr="00DA5A6A">
        <w:rPr>
          <w:rFonts w:ascii="Book Antiqua" w:hAnsi="Book Antiqua"/>
        </w:rPr>
        <w:t>]</w:t>
      </w:r>
    </w:p>
    <w:p w14:paraId="0862F6E4" w14:textId="5EE1DC0B" w:rsidR="00421EA9" w:rsidRPr="00DA5A6A" w:rsidRDefault="00421EA9" w:rsidP="00DA5A6A">
      <w:pPr>
        <w:spacing w:line="360" w:lineRule="auto"/>
        <w:jc w:val="both"/>
        <w:rPr>
          <w:rFonts w:ascii="Book Antiqua" w:hAnsi="Book Antiqua"/>
        </w:rPr>
      </w:pPr>
      <w:r w:rsidRPr="00DA5A6A">
        <w:rPr>
          <w:rFonts w:ascii="Book Antiqua" w:hAnsi="Book Antiqua"/>
        </w:rPr>
        <w:lastRenderedPageBreak/>
        <w:t xml:space="preserve">60 </w:t>
      </w:r>
      <w:r w:rsidRPr="00DA5A6A">
        <w:rPr>
          <w:rFonts w:ascii="Book Antiqua" w:hAnsi="Book Antiqua"/>
          <w:b/>
          <w:bCs/>
        </w:rPr>
        <w:t>Kulangara K</w:t>
      </w:r>
      <w:r w:rsidRPr="00DA5A6A">
        <w:rPr>
          <w:rFonts w:ascii="Book Antiqua" w:hAnsi="Book Antiqua"/>
        </w:rPr>
        <w:t xml:space="preserve">, Zhang N, Corigliano E, Guerrero L, Waldroup S, Jaiswal D, Ms MJ, Shah S, Hanks D, Wang J, Lunceford J, Savage MJ, Juco J, Emancipator K. Clinical Utility of the Combined Positive Score for Programmed Death Ligand-1 Expression and the Approval of Pembrolizumab for Treatment of Gastric Cancer. </w:t>
      </w:r>
      <w:r w:rsidRPr="00DA5A6A">
        <w:rPr>
          <w:rFonts w:ascii="Book Antiqua" w:hAnsi="Book Antiqua"/>
          <w:i/>
          <w:iCs/>
        </w:rPr>
        <w:t>Arch Pathol Lab Med</w:t>
      </w:r>
      <w:r w:rsidRPr="00DA5A6A">
        <w:rPr>
          <w:rFonts w:ascii="Book Antiqua" w:hAnsi="Book Antiqua"/>
        </w:rPr>
        <w:t xml:space="preserve"> 2019; </w:t>
      </w:r>
      <w:r w:rsidRPr="00DA5A6A">
        <w:rPr>
          <w:rFonts w:ascii="Book Antiqua" w:hAnsi="Book Antiqua"/>
          <w:b/>
          <w:bCs/>
        </w:rPr>
        <w:t>143</w:t>
      </w:r>
      <w:r w:rsidRPr="00DA5A6A">
        <w:rPr>
          <w:rFonts w:ascii="Book Antiqua" w:hAnsi="Book Antiqua"/>
        </w:rPr>
        <w:t>: 330-337 [PMID: 30028179 DOI: 10.5858/arpa.2018-0043-OA]</w:t>
      </w:r>
    </w:p>
    <w:p w14:paraId="57A631BD" w14:textId="15A41E53" w:rsidR="00421EA9" w:rsidRPr="00DA5A6A" w:rsidRDefault="00421EA9" w:rsidP="00DA5A6A">
      <w:pPr>
        <w:spacing w:line="360" w:lineRule="auto"/>
        <w:jc w:val="both"/>
        <w:rPr>
          <w:rFonts w:ascii="Book Antiqua" w:hAnsi="Book Antiqua"/>
        </w:rPr>
      </w:pPr>
      <w:r w:rsidRPr="00DA5A6A">
        <w:rPr>
          <w:rFonts w:ascii="Book Antiqua" w:hAnsi="Book Antiqua"/>
        </w:rPr>
        <w:t xml:space="preserve">61 </w:t>
      </w:r>
      <w:r w:rsidRPr="00DA5A6A">
        <w:rPr>
          <w:rFonts w:ascii="Book Antiqua" w:hAnsi="Book Antiqua"/>
          <w:b/>
          <w:bCs/>
        </w:rPr>
        <w:t>Schmid P</w:t>
      </w:r>
      <w:r w:rsidRPr="00DA5A6A">
        <w:rPr>
          <w:rFonts w:ascii="Book Antiqua" w:hAnsi="Book Antiqua"/>
        </w:rPr>
        <w:t xml:space="preserve">, Cortes J, Pusztai L, McArthur H, Kümmel S, Bergh J, Denkert C, Park YH, Hui R, Harbeck N, Takahashi M, Foukakis T, Fasching PA, Cardoso F, Untch M, Jia L, Karantza V, Zhao J, Aktan G, Dent R, O'Shaughnessy J; KEYNOTE-522 Investigators. Pembrolizumab for Early Triple-Negative Breast Cancer. </w:t>
      </w:r>
      <w:r w:rsidRPr="00DA5A6A">
        <w:rPr>
          <w:rFonts w:ascii="Book Antiqua" w:hAnsi="Book Antiqua"/>
          <w:i/>
          <w:iCs/>
        </w:rPr>
        <w:t>N Engl J Med</w:t>
      </w:r>
      <w:r w:rsidRPr="00DA5A6A">
        <w:rPr>
          <w:rFonts w:ascii="Book Antiqua" w:hAnsi="Book Antiqua"/>
        </w:rPr>
        <w:t xml:space="preserve"> 2020; </w:t>
      </w:r>
      <w:r w:rsidRPr="00DA5A6A">
        <w:rPr>
          <w:rFonts w:ascii="Book Antiqua" w:hAnsi="Book Antiqua"/>
          <w:b/>
          <w:bCs/>
        </w:rPr>
        <w:t>382</w:t>
      </w:r>
      <w:r w:rsidRPr="00DA5A6A">
        <w:rPr>
          <w:rFonts w:ascii="Book Antiqua" w:hAnsi="Book Antiqua"/>
        </w:rPr>
        <w:t>: 810-821 [PMID: 32101663 DOI: 10.1056/NEJMoa1910549]</w:t>
      </w:r>
    </w:p>
    <w:p w14:paraId="1DCF0BBF" w14:textId="132F1182" w:rsidR="00421EA9" w:rsidRPr="00DA5A6A" w:rsidRDefault="00421EA9" w:rsidP="00DA5A6A">
      <w:pPr>
        <w:spacing w:line="360" w:lineRule="auto"/>
        <w:jc w:val="both"/>
        <w:rPr>
          <w:rFonts w:ascii="Book Antiqua" w:hAnsi="Book Antiqua"/>
        </w:rPr>
      </w:pPr>
      <w:r w:rsidRPr="00DA5A6A">
        <w:rPr>
          <w:rFonts w:ascii="Book Antiqua" w:hAnsi="Book Antiqua"/>
        </w:rPr>
        <w:t xml:space="preserve">62 </w:t>
      </w:r>
      <w:r w:rsidRPr="00DA5A6A">
        <w:rPr>
          <w:rFonts w:ascii="Book Antiqua" w:hAnsi="Book Antiqua"/>
          <w:b/>
          <w:bCs/>
        </w:rPr>
        <w:t>Fuentes-Antrás J</w:t>
      </w:r>
      <w:r w:rsidRPr="00DA5A6A">
        <w:rPr>
          <w:rFonts w:ascii="Book Antiqua" w:hAnsi="Book Antiqua"/>
        </w:rPr>
        <w:t xml:space="preserve">, Guevara-Hoyer K, Baliu-Piqué M, García-Sáenz JÁ, Pérez-Segura P, Pandiella A, Ocaña A. Adoptive Cell Therapy in Breast Cancer: A Current Perspective of Next-Generation Medicine. </w:t>
      </w:r>
      <w:r w:rsidRPr="00DA5A6A">
        <w:rPr>
          <w:rFonts w:ascii="Book Antiqua" w:hAnsi="Book Antiqua"/>
          <w:i/>
          <w:iCs/>
        </w:rPr>
        <w:t>Front Oncol</w:t>
      </w:r>
      <w:r w:rsidRPr="00DA5A6A">
        <w:rPr>
          <w:rFonts w:ascii="Book Antiqua" w:hAnsi="Book Antiqua"/>
        </w:rPr>
        <w:t xml:space="preserve"> 2020; </w:t>
      </w:r>
      <w:r w:rsidRPr="00DA5A6A">
        <w:rPr>
          <w:rFonts w:ascii="Book Antiqua" w:hAnsi="Book Antiqua"/>
          <w:b/>
          <w:bCs/>
        </w:rPr>
        <w:t>10</w:t>
      </w:r>
      <w:r w:rsidRPr="00DA5A6A">
        <w:rPr>
          <w:rFonts w:ascii="Book Antiqua" w:hAnsi="Book Antiqua"/>
        </w:rPr>
        <w:t>: 605633 [PMID: 33194771 DOI: 10.3389/fonc.2020.605633]</w:t>
      </w:r>
    </w:p>
    <w:p w14:paraId="2B0265B8" w14:textId="542C22CE" w:rsidR="00421EA9" w:rsidRPr="00DA5A6A" w:rsidRDefault="00421EA9" w:rsidP="00DA5A6A">
      <w:pPr>
        <w:spacing w:line="360" w:lineRule="auto"/>
        <w:jc w:val="both"/>
        <w:rPr>
          <w:rFonts w:ascii="Book Antiqua" w:hAnsi="Book Antiqua"/>
        </w:rPr>
      </w:pPr>
      <w:r w:rsidRPr="00DA5A6A">
        <w:rPr>
          <w:rFonts w:ascii="Book Antiqua" w:hAnsi="Book Antiqua"/>
        </w:rPr>
        <w:t xml:space="preserve">63 </w:t>
      </w:r>
      <w:r w:rsidRPr="00DA5A6A">
        <w:rPr>
          <w:rFonts w:ascii="Book Antiqua" w:hAnsi="Book Antiqua"/>
          <w:b/>
          <w:bCs/>
        </w:rPr>
        <w:t>Tutt A</w:t>
      </w:r>
      <w:r w:rsidRPr="00DA5A6A">
        <w:rPr>
          <w:rFonts w:ascii="Book Antiqua" w:hAnsi="Book Antiqua"/>
        </w:rPr>
        <w:t xml:space="preserve">, Robson M, Garber JE, Domchek SM, Audeh MW, Weitzel JN, Friedlander M, Arun B, Loman N, Schmutzler RK, Wardley A, Mitchell G, Earl H, Wickens M, Carmichael J. Oral poly(ADP-ribose) polymerase inhibitor olaparib in patients with BRCA1 or BRCA2 mutations and advanced breast cancer: a proof-of-concept trial. </w:t>
      </w:r>
      <w:r w:rsidRPr="00DA5A6A">
        <w:rPr>
          <w:rFonts w:ascii="Book Antiqua" w:hAnsi="Book Antiqua"/>
          <w:i/>
          <w:iCs/>
        </w:rPr>
        <w:t>Lancet</w:t>
      </w:r>
      <w:r w:rsidRPr="00DA5A6A">
        <w:rPr>
          <w:rFonts w:ascii="Book Antiqua" w:hAnsi="Book Antiqua"/>
        </w:rPr>
        <w:t xml:space="preserve"> 2010; </w:t>
      </w:r>
      <w:r w:rsidRPr="00DA5A6A">
        <w:rPr>
          <w:rFonts w:ascii="Book Antiqua" w:hAnsi="Book Antiqua"/>
          <w:b/>
          <w:bCs/>
        </w:rPr>
        <w:t>376</w:t>
      </w:r>
      <w:r w:rsidRPr="00DA5A6A">
        <w:rPr>
          <w:rFonts w:ascii="Book Antiqua" w:hAnsi="Book Antiqua"/>
        </w:rPr>
        <w:t>: 235-244 [PMID: 20609467 DOI: 10.1016/S0140-6736(10)60892-6]</w:t>
      </w:r>
    </w:p>
    <w:p w14:paraId="16051AB0" w14:textId="3C400BB5" w:rsidR="00421EA9" w:rsidRPr="00DA5A6A" w:rsidRDefault="00421EA9" w:rsidP="00DA5A6A">
      <w:pPr>
        <w:spacing w:line="360" w:lineRule="auto"/>
        <w:jc w:val="both"/>
        <w:rPr>
          <w:rFonts w:ascii="Book Antiqua" w:hAnsi="Book Antiqua"/>
        </w:rPr>
      </w:pPr>
      <w:r w:rsidRPr="00DA5A6A">
        <w:rPr>
          <w:rFonts w:ascii="Book Antiqua" w:hAnsi="Book Antiqua"/>
        </w:rPr>
        <w:t xml:space="preserve">64 </w:t>
      </w:r>
      <w:r w:rsidRPr="00DA5A6A">
        <w:rPr>
          <w:rFonts w:ascii="Book Antiqua" w:hAnsi="Book Antiqua"/>
          <w:b/>
          <w:bCs/>
        </w:rPr>
        <w:t>Kaufman B</w:t>
      </w:r>
      <w:r w:rsidRPr="00DA5A6A">
        <w:rPr>
          <w:rFonts w:ascii="Book Antiqua" w:hAnsi="Book Antiqua"/>
        </w:rPr>
        <w:t xml:space="preserve">, Shapira-Frommer R, Schmutzler RK, Audeh MW, Friedlander M, Balmaña J, Mitchell G, Fried G, Stemmer SM, Hubert A, Rosengarten O, Steiner M, Loman N, Bowen K, Fielding A, Domchek SM. Olaparib monotherapy in patients with advanced cancer and a germline BRCA1/2 mutation. </w:t>
      </w:r>
      <w:r w:rsidRPr="00DA5A6A">
        <w:rPr>
          <w:rFonts w:ascii="Book Antiqua" w:hAnsi="Book Antiqua"/>
          <w:i/>
          <w:iCs/>
        </w:rPr>
        <w:t>J Clin Oncol</w:t>
      </w:r>
      <w:r w:rsidRPr="00DA5A6A">
        <w:rPr>
          <w:rFonts w:ascii="Book Antiqua" w:hAnsi="Book Antiqua"/>
        </w:rPr>
        <w:t xml:space="preserve"> 2015; </w:t>
      </w:r>
      <w:r w:rsidRPr="00DA5A6A">
        <w:rPr>
          <w:rFonts w:ascii="Book Antiqua" w:hAnsi="Book Antiqua"/>
          <w:b/>
          <w:bCs/>
        </w:rPr>
        <w:t>33</w:t>
      </w:r>
      <w:r w:rsidRPr="00DA5A6A">
        <w:rPr>
          <w:rFonts w:ascii="Book Antiqua" w:hAnsi="Book Antiqua"/>
        </w:rPr>
        <w:t>: 244-250 [PMID: 25366685 DOI: 10.1200/JCO.2014.56.2728]</w:t>
      </w:r>
    </w:p>
    <w:p w14:paraId="5CDD996B" w14:textId="3EEDEEDE" w:rsidR="00421EA9" w:rsidRPr="00DA5A6A" w:rsidRDefault="00421EA9" w:rsidP="00DA5A6A">
      <w:pPr>
        <w:spacing w:line="360" w:lineRule="auto"/>
        <w:jc w:val="both"/>
        <w:rPr>
          <w:rFonts w:ascii="Book Antiqua" w:hAnsi="Book Antiqua"/>
        </w:rPr>
      </w:pPr>
      <w:r w:rsidRPr="00DA5A6A">
        <w:rPr>
          <w:rFonts w:ascii="Book Antiqua" w:hAnsi="Book Antiqua"/>
        </w:rPr>
        <w:t xml:space="preserve">65 </w:t>
      </w:r>
      <w:r w:rsidRPr="00DA5A6A">
        <w:rPr>
          <w:rFonts w:ascii="Book Antiqua" w:hAnsi="Book Antiqua"/>
          <w:b/>
          <w:bCs/>
        </w:rPr>
        <w:t>Turner NC</w:t>
      </w:r>
      <w:r w:rsidRPr="006A0862">
        <w:rPr>
          <w:rFonts w:ascii="Book Antiqua" w:hAnsi="Book Antiqua"/>
        </w:rPr>
        <w:t>,</w:t>
      </w:r>
      <w:r w:rsidRPr="00DA5A6A">
        <w:rPr>
          <w:rFonts w:ascii="Book Antiqua" w:hAnsi="Book Antiqua"/>
        </w:rPr>
        <w:t xml:space="preserve"> Telli ML, Rugo HS, </w:t>
      </w:r>
      <w:r w:rsidR="0019381D" w:rsidRPr="00DA5A6A">
        <w:rPr>
          <w:rFonts w:ascii="Book Antiqua" w:hAnsi="Book Antiqua"/>
        </w:rPr>
        <w:t>Mailliez A, Robson ME.</w:t>
      </w:r>
      <w:r w:rsidRPr="00DA5A6A">
        <w:rPr>
          <w:rFonts w:ascii="Book Antiqua" w:hAnsi="Book Antiqua"/>
        </w:rPr>
        <w:t xml:space="preserve"> Final results of a phase 2 study of talazoparib (TALA) following platinum or multiple cytotoxic regimens in advanced breast cancer patients (pts) with germline BRCA1/2 mutations (ABRAZO). </w:t>
      </w:r>
      <w:r w:rsidRPr="00DA5A6A">
        <w:rPr>
          <w:rFonts w:ascii="Book Antiqua" w:hAnsi="Book Antiqua"/>
          <w:i/>
          <w:iCs/>
        </w:rPr>
        <w:t>J Clin Oncol</w:t>
      </w:r>
      <w:r w:rsidRPr="00DA5A6A">
        <w:rPr>
          <w:rFonts w:ascii="Book Antiqua" w:hAnsi="Book Antiqua"/>
        </w:rPr>
        <w:t xml:space="preserve"> 2017;</w:t>
      </w:r>
      <w:r w:rsidR="0019381D" w:rsidRPr="00DA5A6A">
        <w:rPr>
          <w:rFonts w:ascii="Book Antiqua" w:hAnsi="Book Antiqua"/>
        </w:rPr>
        <w:t xml:space="preserve"> </w:t>
      </w:r>
      <w:r w:rsidRPr="00DA5A6A">
        <w:rPr>
          <w:rFonts w:ascii="Book Antiqua" w:hAnsi="Book Antiqua"/>
          <w:b/>
          <w:bCs/>
        </w:rPr>
        <w:t>35</w:t>
      </w:r>
      <w:r w:rsidRPr="006A0862">
        <w:rPr>
          <w:rFonts w:ascii="Book Antiqua" w:hAnsi="Book Antiqua"/>
        </w:rPr>
        <w:t>:</w:t>
      </w:r>
      <w:r w:rsidR="0019381D" w:rsidRPr="00DA5A6A">
        <w:rPr>
          <w:rFonts w:ascii="Book Antiqua" w:hAnsi="Book Antiqua"/>
        </w:rPr>
        <w:t xml:space="preserve"> </w:t>
      </w:r>
      <w:r w:rsidRPr="00DA5A6A">
        <w:rPr>
          <w:rFonts w:ascii="Book Antiqua" w:hAnsi="Book Antiqua"/>
        </w:rPr>
        <w:t xml:space="preserve">1007 </w:t>
      </w:r>
      <w:r w:rsidR="003D7DC7" w:rsidRPr="00DA5A6A">
        <w:rPr>
          <w:rFonts w:ascii="Book Antiqua" w:hAnsi="Book Antiqua"/>
        </w:rPr>
        <w:t>[</w:t>
      </w:r>
      <w:r w:rsidR="0019381D" w:rsidRPr="00DA5A6A">
        <w:rPr>
          <w:rFonts w:ascii="Book Antiqua" w:hAnsi="Book Antiqua"/>
        </w:rPr>
        <w:t>DOI</w:t>
      </w:r>
      <w:r w:rsidRPr="00DA5A6A">
        <w:rPr>
          <w:rFonts w:ascii="Book Antiqua" w:hAnsi="Book Antiqua"/>
        </w:rPr>
        <w:t>:</w:t>
      </w:r>
      <w:r w:rsidR="0019381D" w:rsidRPr="00DA5A6A">
        <w:rPr>
          <w:rFonts w:ascii="Book Antiqua" w:hAnsi="Book Antiqua"/>
        </w:rPr>
        <w:t xml:space="preserve"> </w:t>
      </w:r>
      <w:r w:rsidRPr="00DA5A6A">
        <w:rPr>
          <w:rFonts w:ascii="Book Antiqua" w:hAnsi="Book Antiqua"/>
        </w:rPr>
        <w:t>10.1200/JCO.2017.35.15_suppl.1007</w:t>
      </w:r>
      <w:r w:rsidR="003D7DC7" w:rsidRPr="00DA5A6A">
        <w:rPr>
          <w:rFonts w:ascii="Book Antiqua" w:hAnsi="Book Antiqua"/>
        </w:rPr>
        <w:t>]</w:t>
      </w:r>
    </w:p>
    <w:p w14:paraId="3C5382A6" w14:textId="378049C9" w:rsidR="00421EA9" w:rsidRPr="00DA5A6A" w:rsidRDefault="00421EA9" w:rsidP="00DA5A6A">
      <w:pPr>
        <w:spacing w:line="360" w:lineRule="auto"/>
        <w:jc w:val="both"/>
        <w:rPr>
          <w:rFonts w:ascii="Book Antiqua" w:hAnsi="Book Antiqua"/>
        </w:rPr>
      </w:pPr>
      <w:r w:rsidRPr="00DA5A6A">
        <w:rPr>
          <w:rFonts w:ascii="Book Antiqua" w:hAnsi="Book Antiqua"/>
        </w:rPr>
        <w:t xml:space="preserve">66 </w:t>
      </w:r>
      <w:r w:rsidRPr="00DA5A6A">
        <w:rPr>
          <w:rFonts w:ascii="Book Antiqua" w:hAnsi="Book Antiqua"/>
          <w:b/>
          <w:bCs/>
        </w:rPr>
        <w:t>Han HS</w:t>
      </w:r>
      <w:r w:rsidRPr="00DA5A6A">
        <w:rPr>
          <w:rFonts w:ascii="Book Antiqua" w:hAnsi="Book Antiqua"/>
        </w:rPr>
        <w:t xml:space="preserve">, Diéras V, Robson M, Palácová M, Marcom PK, Jager A, Bondarenko I, Citrin D, Campone M, Telli ML, Domchek SM, Friedlander M, Kaufman B, Garber JE, Shparyk </w:t>
      </w:r>
      <w:r w:rsidRPr="00DA5A6A">
        <w:rPr>
          <w:rFonts w:ascii="Book Antiqua" w:hAnsi="Book Antiqua"/>
        </w:rPr>
        <w:lastRenderedPageBreak/>
        <w:t xml:space="preserve">Y, Chmielowska E, Jakobsen EH, Kaklamani V, Gradishar W, Ratajczak CK, Nickner C, Qin Q, Qian J, Shepherd SP, Isakoff SJ, Puhalla S. Veliparib with temozolomide or carboplatin/paclitaxel versus placebo with carboplatin/paclitaxel in patients with BRCA1/2 locally recurrent/metastatic breast cancer: randomized phase II study. </w:t>
      </w:r>
      <w:r w:rsidRPr="00DA5A6A">
        <w:rPr>
          <w:rFonts w:ascii="Book Antiqua" w:hAnsi="Book Antiqua"/>
          <w:i/>
          <w:iCs/>
        </w:rPr>
        <w:t>Ann Oncol</w:t>
      </w:r>
      <w:r w:rsidRPr="00DA5A6A">
        <w:rPr>
          <w:rFonts w:ascii="Book Antiqua" w:hAnsi="Book Antiqua"/>
        </w:rPr>
        <w:t xml:space="preserve"> 2018; </w:t>
      </w:r>
      <w:r w:rsidRPr="00DA5A6A">
        <w:rPr>
          <w:rFonts w:ascii="Book Antiqua" w:hAnsi="Book Antiqua"/>
          <w:b/>
          <w:bCs/>
        </w:rPr>
        <w:t>29</w:t>
      </w:r>
      <w:r w:rsidRPr="00DA5A6A">
        <w:rPr>
          <w:rFonts w:ascii="Book Antiqua" w:hAnsi="Book Antiqua"/>
        </w:rPr>
        <w:t>: 154-161 [PMID: 29045554 DOI: 10.1093/annonc/mdx505]</w:t>
      </w:r>
    </w:p>
    <w:p w14:paraId="6AC7FFE8" w14:textId="4F9B7A7C" w:rsidR="00421EA9" w:rsidRPr="00DA5A6A" w:rsidRDefault="00421EA9" w:rsidP="00DA5A6A">
      <w:pPr>
        <w:spacing w:line="360" w:lineRule="auto"/>
        <w:jc w:val="both"/>
        <w:rPr>
          <w:rFonts w:ascii="Book Antiqua" w:hAnsi="Book Antiqua"/>
        </w:rPr>
      </w:pPr>
      <w:r w:rsidRPr="00DA5A6A">
        <w:rPr>
          <w:rFonts w:ascii="Book Antiqua" w:hAnsi="Book Antiqua"/>
        </w:rPr>
        <w:t xml:space="preserve">67 </w:t>
      </w:r>
      <w:r w:rsidRPr="00DA5A6A">
        <w:rPr>
          <w:rFonts w:ascii="Book Antiqua" w:hAnsi="Book Antiqua"/>
          <w:b/>
          <w:bCs/>
        </w:rPr>
        <w:t>Robson M</w:t>
      </w:r>
      <w:r w:rsidRPr="00DA5A6A">
        <w:rPr>
          <w:rFonts w:ascii="Book Antiqua" w:hAnsi="Book Antiqua"/>
        </w:rPr>
        <w:t xml:space="preserve">, Im SA, Senkus E, Xu B, Domchek SM, Masuda N, Delaloge S, Li W, Tung N, Armstrong A, Wu W, Goessl C, Runswick S, Conte P. Olaparib for Metastatic Breast Cancer in Patients with a Germline BRCA Mutation. </w:t>
      </w:r>
      <w:r w:rsidRPr="00DA5A6A">
        <w:rPr>
          <w:rFonts w:ascii="Book Antiqua" w:hAnsi="Book Antiqua"/>
          <w:i/>
          <w:iCs/>
        </w:rPr>
        <w:t>N Engl J Med</w:t>
      </w:r>
      <w:r w:rsidRPr="00DA5A6A">
        <w:rPr>
          <w:rFonts w:ascii="Book Antiqua" w:hAnsi="Book Antiqua"/>
        </w:rPr>
        <w:t xml:space="preserve"> 2017; </w:t>
      </w:r>
      <w:r w:rsidRPr="00DA5A6A">
        <w:rPr>
          <w:rFonts w:ascii="Book Antiqua" w:hAnsi="Book Antiqua"/>
          <w:b/>
          <w:bCs/>
        </w:rPr>
        <w:t>377</w:t>
      </w:r>
      <w:r w:rsidRPr="00DA5A6A">
        <w:rPr>
          <w:rFonts w:ascii="Book Antiqua" w:hAnsi="Book Antiqua"/>
        </w:rPr>
        <w:t>: 523-533 [PMID: 28578601 DOI: 10.1056/NEJMoa1706450]</w:t>
      </w:r>
    </w:p>
    <w:p w14:paraId="15B14CD0" w14:textId="1AB6D86A" w:rsidR="00421EA9" w:rsidRPr="00DA5A6A" w:rsidRDefault="00421EA9" w:rsidP="00DA5A6A">
      <w:pPr>
        <w:spacing w:line="360" w:lineRule="auto"/>
        <w:jc w:val="both"/>
        <w:rPr>
          <w:rFonts w:ascii="Book Antiqua" w:hAnsi="Book Antiqua"/>
        </w:rPr>
      </w:pPr>
      <w:r w:rsidRPr="00DA5A6A">
        <w:rPr>
          <w:rFonts w:ascii="Book Antiqua" w:hAnsi="Book Antiqua"/>
        </w:rPr>
        <w:t xml:space="preserve">68 </w:t>
      </w:r>
      <w:r w:rsidRPr="00DA5A6A">
        <w:rPr>
          <w:rFonts w:ascii="Book Antiqua" w:hAnsi="Book Antiqua"/>
          <w:b/>
          <w:bCs/>
        </w:rPr>
        <w:t>Litton JK</w:t>
      </w:r>
      <w:r w:rsidRPr="00DA5A6A">
        <w:rPr>
          <w:rFonts w:ascii="Book Antiqua" w:hAnsi="Book Antiqua"/>
        </w:rPr>
        <w:t xml:space="preserve">, Rugo HS, Ettl J, Hurvitz SA, Gonçalves A, Lee KH, Fehrenbacher L, Yerushalmi R, Mina LA, Martin M, Roché H, Im YH, Quek RGW, Markova D, Tudor IC, Hannah AL, Eiermann W, Blum JL. Talazoparib in Patients with Advanced Breast Cancer and a Germline BRCA Mutation. </w:t>
      </w:r>
      <w:r w:rsidRPr="00DA5A6A">
        <w:rPr>
          <w:rFonts w:ascii="Book Antiqua" w:hAnsi="Book Antiqua"/>
          <w:i/>
          <w:iCs/>
        </w:rPr>
        <w:t>N Engl J Med</w:t>
      </w:r>
      <w:r w:rsidRPr="00DA5A6A">
        <w:rPr>
          <w:rFonts w:ascii="Book Antiqua" w:hAnsi="Book Antiqua"/>
        </w:rPr>
        <w:t xml:space="preserve"> 2018; </w:t>
      </w:r>
      <w:r w:rsidRPr="00DA5A6A">
        <w:rPr>
          <w:rFonts w:ascii="Book Antiqua" w:hAnsi="Book Antiqua"/>
          <w:b/>
          <w:bCs/>
        </w:rPr>
        <w:t>379</w:t>
      </w:r>
      <w:r w:rsidRPr="00DA5A6A">
        <w:rPr>
          <w:rFonts w:ascii="Book Antiqua" w:hAnsi="Book Antiqua"/>
        </w:rPr>
        <w:t>: 753-763 [PMID: 30110579 DOI: 10.1056/NEJMoa1802905]</w:t>
      </w:r>
    </w:p>
    <w:p w14:paraId="4DDC7FD5" w14:textId="73992D87" w:rsidR="00421EA9" w:rsidRPr="00DA5A6A" w:rsidRDefault="00421EA9" w:rsidP="00DA5A6A">
      <w:pPr>
        <w:spacing w:line="360" w:lineRule="auto"/>
        <w:jc w:val="both"/>
        <w:rPr>
          <w:rFonts w:ascii="Book Antiqua" w:hAnsi="Book Antiqua"/>
        </w:rPr>
      </w:pPr>
      <w:r w:rsidRPr="00DA5A6A">
        <w:rPr>
          <w:rFonts w:ascii="Book Antiqua" w:hAnsi="Book Antiqua"/>
        </w:rPr>
        <w:t xml:space="preserve">69 </w:t>
      </w:r>
      <w:r w:rsidRPr="00DA5A6A">
        <w:rPr>
          <w:rFonts w:ascii="Book Antiqua" w:hAnsi="Book Antiqua"/>
          <w:b/>
          <w:bCs/>
        </w:rPr>
        <w:t>Litton JK</w:t>
      </w:r>
      <w:r w:rsidRPr="00DA5A6A">
        <w:rPr>
          <w:rFonts w:ascii="Book Antiqua" w:hAnsi="Book Antiqua"/>
        </w:rPr>
        <w:t xml:space="preserve">, Hurvitz SA, Mina LA, Rugo HS, Lee KH, Gonçalves A, Diab S, Woodward N, Goodwin A, Yerushalmi R, Roché H, Im YH, Eiermann W, Quek RGW, Usari T, Lanzalone S, Czibere A, Blum JL, Martin M, Ettl J. Talazoparib versus chemotherapy in patients with germline BRCA1/2-mutated HER2-negative advanced breast cancer: final overall survival results from the EMBRACA trial. </w:t>
      </w:r>
      <w:r w:rsidRPr="00DA5A6A">
        <w:rPr>
          <w:rFonts w:ascii="Book Antiqua" w:hAnsi="Book Antiqua"/>
          <w:i/>
          <w:iCs/>
        </w:rPr>
        <w:t>Ann Oncol</w:t>
      </w:r>
      <w:r w:rsidRPr="00DA5A6A">
        <w:rPr>
          <w:rFonts w:ascii="Book Antiqua" w:hAnsi="Book Antiqua"/>
        </w:rPr>
        <w:t xml:space="preserve"> 2020; </w:t>
      </w:r>
      <w:r w:rsidRPr="00DA5A6A">
        <w:rPr>
          <w:rFonts w:ascii="Book Antiqua" w:hAnsi="Book Antiqua"/>
          <w:b/>
          <w:bCs/>
        </w:rPr>
        <w:t>31</w:t>
      </w:r>
      <w:r w:rsidRPr="00DA5A6A">
        <w:rPr>
          <w:rFonts w:ascii="Book Antiqua" w:hAnsi="Book Antiqua"/>
        </w:rPr>
        <w:t>: 1526-1535 [PMID: 32828825 DOI: 10.1016/j.annonc.2020.08.2098]</w:t>
      </w:r>
    </w:p>
    <w:p w14:paraId="1F20F808" w14:textId="5090CF69" w:rsidR="00421EA9" w:rsidRPr="00DA5A6A" w:rsidRDefault="00421EA9" w:rsidP="00DA5A6A">
      <w:pPr>
        <w:spacing w:line="360" w:lineRule="auto"/>
        <w:jc w:val="both"/>
        <w:rPr>
          <w:rFonts w:ascii="Book Antiqua" w:hAnsi="Book Antiqua"/>
        </w:rPr>
      </w:pPr>
      <w:r w:rsidRPr="00DA5A6A">
        <w:rPr>
          <w:rFonts w:ascii="Book Antiqua" w:hAnsi="Book Antiqua"/>
        </w:rPr>
        <w:t xml:space="preserve">70 </w:t>
      </w:r>
      <w:r w:rsidRPr="00DA5A6A">
        <w:rPr>
          <w:rFonts w:ascii="Book Antiqua" w:hAnsi="Book Antiqua"/>
          <w:b/>
          <w:bCs/>
        </w:rPr>
        <w:t>Diéras VC</w:t>
      </w:r>
      <w:r w:rsidRPr="006A0862">
        <w:rPr>
          <w:rFonts w:ascii="Book Antiqua" w:hAnsi="Book Antiqua"/>
        </w:rPr>
        <w:t>,</w:t>
      </w:r>
      <w:r w:rsidRPr="00DA5A6A">
        <w:rPr>
          <w:rFonts w:ascii="Book Antiqua" w:hAnsi="Book Antiqua"/>
        </w:rPr>
        <w:t xml:space="preserve"> Han HS, Kaufman B, </w:t>
      </w:r>
      <w:r w:rsidR="00694384" w:rsidRPr="00DA5A6A">
        <w:rPr>
          <w:rFonts w:ascii="Book Antiqua" w:hAnsi="Book Antiqua"/>
        </w:rPr>
        <w:t xml:space="preserve">Wildiers H, Arun BK. </w:t>
      </w:r>
      <w:r w:rsidRPr="00DA5A6A">
        <w:rPr>
          <w:rFonts w:ascii="Book Antiqua" w:hAnsi="Book Antiqua"/>
        </w:rPr>
        <w:t xml:space="preserve">LBA9 - Phase III study of veliparib with carboplatin and paclitaxel in HER2-negative advanced/metastatic gBRCA-associated breast cancer. </w:t>
      </w:r>
      <w:r w:rsidRPr="00DA5A6A">
        <w:rPr>
          <w:rFonts w:ascii="Book Antiqua" w:hAnsi="Book Antiqua"/>
          <w:i/>
          <w:iCs/>
        </w:rPr>
        <w:t>Ann Oncol</w:t>
      </w:r>
      <w:r w:rsidRPr="00DA5A6A">
        <w:rPr>
          <w:rFonts w:ascii="Book Antiqua" w:hAnsi="Book Antiqua"/>
        </w:rPr>
        <w:t xml:space="preserve"> 2019;</w:t>
      </w:r>
      <w:r w:rsidR="008A0B3E" w:rsidRPr="00DA5A6A">
        <w:rPr>
          <w:rFonts w:ascii="Book Antiqua" w:hAnsi="Book Antiqua"/>
        </w:rPr>
        <w:t xml:space="preserve"> </w:t>
      </w:r>
      <w:r w:rsidRPr="00DA5A6A">
        <w:rPr>
          <w:rFonts w:ascii="Book Antiqua" w:hAnsi="Book Antiqua"/>
          <w:b/>
          <w:bCs/>
        </w:rPr>
        <w:t>30</w:t>
      </w:r>
      <w:r w:rsidRPr="006A0862">
        <w:rPr>
          <w:rFonts w:ascii="Book Antiqua" w:hAnsi="Book Antiqua"/>
        </w:rPr>
        <w:t>:</w:t>
      </w:r>
      <w:r w:rsidR="008A0B3E" w:rsidRPr="00DA5A6A">
        <w:rPr>
          <w:rFonts w:ascii="Book Antiqua" w:hAnsi="Book Antiqua"/>
        </w:rPr>
        <w:t xml:space="preserve"> </w:t>
      </w:r>
      <w:r w:rsidRPr="00DA5A6A">
        <w:rPr>
          <w:rFonts w:ascii="Book Antiqua" w:hAnsi="Book Antiqua"/>
        </w:rPr>
        <w:t xml:space="preserve">v857-v858 </w:t>
      </w:r>
      <w:r w:rsidR="008A0B3E" w:rsidRPr="00DA5A6A">
        <w:rPr>
          <w:rFonts w:ascii="Book Antiqua" w:hAnsi="Book Antiqua"/>
        </w:rPr>
        <w:t>[</w:t>
      </w:r>
      <w:r w:rsidR="00F17F7E" w:rsidRPr="00DA5A6A">
        <w:rPr>
          <w:rFonts w:ascii="Book Antiqua" w:hAnsi="Book Antiqua"/>
        </w:rPr>
        <w:t>DOI</w:t>
      </w:r>
      <w:r w:rsidRPr="00DA5A6A">
        <w:rPr>
          <w:rFonts w:ascii="Book Antiqua" w:hAnsi="Book Antiqua"/>
        </w:rPr>
        <w:t>:</w:t>
      </w:r>
      <w:r w:rsidR="008A0B3E" w:rsidRPr="00DA5A6A">
        <w:rPr>
          <w:rFonts w:ascii="Book Antiqua" w:hAnsi="Book Antiqua"/>
        </w:rPr>
        <w:t xml:space="preserve"> </w:t>
      </w:r>
      <w:r w:rsidRPr="00DA5A6A">
        <w:rPr>
          <w:rFonts w:ascii="Book Antiqua" w:hAnsi="Book Antiqua"/>
        </w:rPr>
        <w:t>10.1093/annonc/mdz394.008</w:t>
      </w:r>
      <w:r w:rsidR="008A0B3E" w:rsidRPr="00DA5A6A">
        <w:rPr>
          <w:rFonts w:ascii="Book Antiqua" w:hAnsi="Book Antiqua"/>
        </w:rPr>
        <w:t>]</w:t>
      </w:r>
    </w:p>
    <w:p w14:paraId="4ED802BA" w14:textId="709FAC3E" w:rsidR="00421EA9" w:rsidRPr="00DA5A6A" w:rsidRDefault="00421EA9" w:rsidP="00DA5A6A">
      <w:pPr>
        <w:spacing w:line="360" w:lineRule="auto"/>
        <w:jc w:val="both"/>
        <w:rPr>
          <w:rFonts w:ascii="Book Antiqua" w:hAnsi="Book Antiqua"/>
        </w:rPr>
      </w:pPr>
      <w:r w:rsidRPr="00DA5A6A">
        <w:rPr>
          <w:rFonts w:ascii="Book Antiqua" w:hAnsi="Book Antiqua"/>
        </w:rPr>
        <w:t xml:space="preserve">71 </w:t>
      </w:r>
      <w:r w:rsidRPr="00DA5A6A">
        <w:rPr>
          <w:rFonts w:ascii="Book Antiqua" w:hAnsi="Book Antiqua"/>
          <w:b/>
          <w:bCs/>
        </w:rPr>
        <w:t>Han HS</w:t>
      </w:r>
      <w:r w:rsidRPr="006A0862">
        <w:rPr>
          <w:rFonts w:ascii="Book Antiqua" w:hAnsi="Book Antiqua"/>
        </w:rPr>
        <w:t>,</w:t>
      </w:r>
      <w:r w:rsidRPr="00DA5A6A">
        <w:rPr>
          <w:rFonts w:ascii="Book Antiqua" w:hAnsi="Book Antiqua"/>
        </w:rPr>
        <w:t xml:space="preserve"> Arun B, Kaufman B, </w:t>
      </w:r>
      <w:r w:rsidR="008A0B3E" w:rsidRPr="00DA5A6A">
        <w:rPr>
          <w:rFonts w:ascii="Book Antiqua" w:hAnsi="Book Antiqua"/>
        </w:rPr>
        <w:t>Wildiers H, Arun BK.</w:t>
      </w:r>
      <w:r w:rsidRPr="00DA5A6A">
        <w:rPr>
          <w:rFonts w:ascii="Book Antiqua" w:hAnsi="Book Antiqua"/>
        </w:rPr>
        <w:t xml:space="preserve"> Veliparib (V) monotherapy (monoTx) following combination therapy with V + carboplatin/paclitaxel (CP) in patients with gBRCA-associated advanced breast cancer: Exploratory results from BROCADE3. </w:t>
      </w:r>
      <w:r w:rsidRPr="00DA5A6A">
        <w:rPr>
          <w:rFonts w:ascii="Book Antiqua" w:hAnsi="Book Antiqua"/>
          <w:i/>
          <w:iCs/>
        </w:rPr>
        <w:t>J Clin Oncol</w:t>
      </w:r>
      <w:r w:rsidRPr="00DA5A6A">
        <w:rPr>
          <w:rFonts w:ascii="Book Antiqua" w:hAnsi="Book Antiqua"/>
        </w:rPr>
        <w:t xml:space="preserve"> 2020;</w:t>
      </w:r>
      <w:r w:rsidR="008A0B3E" w:rsidRPr="00DA5A6A">
        <w:rPr>
          <w:rFonts w:ascii="Book Antiqua" w:hAnsi="Book Antiqua"/>
        </w:rPr>
        <w:t xml:space="preserve"> </w:t>
      </w:r>
      <w:r w:rsidRPr="00DA5A6A">
        <w:rPr>
          <w:rFonts w:ascii="Book Antiqua" w:hAnsi="Book Antiqua"/>
          <w:b/>
          <w:bCs/>
        </w:rPr>
        <w:t>38</w:t>
      </w:r>
      <w:r w:rsidRPr="006A0862">
        <w:rPr>
          <w:rFonts w:ascii="Book Antiqua" w:hAnsi="Book Antiqua"/>
        </w:rPr>
        <w:t>:</w:t>
      </w:r>
      <w:r w:rsidR="008A0B3E" w:rsidRPr="00DA5A6A">
        <w:rPr>
          <w:rFonts w:ascii="Book Antiqua" w:hAnsi="Book Antiqua"/>
        </w:rPr>
        <w:t xml:space="preserve"> </w:t>
      </w:r>
      <w:r w:rsidRPr="00DA5A6A">
        <w:rPr>
          <w:rFonts w:ascii="Book Antiqua" w:hAnsi="Book Antiqua"/>
        </w:rPr>
        <w:t xml:space="preserve">1091 </w:t>
      </w:r>
      <w:r w:rsidR="008A0B3E" w:rsidRPr="00DA5A6A">
        <w:rPr>
          <w:rFonts w:ascii="Book Antiqua" w:hAnsi="Book Antiqua"/>
        </w:rPr>
        <w:t>[DOI</w:t>
      </w:r>
      <w:r w:rsidRPr="00DA5A6A">
        <w:rPr>
          <w:rFonts w:ascii="Book Antiqua" w:hAnsi="Book Antiqua"/>
        </w:rPr>
        <w:t>:</w:t>
      </w:r>
      <w:r w:rsidR="008A0B3E" w:rsidRPr="00DA5A6A">
        <w:rPr>
          <w:rFonts w:ascii="Book Antiqua" w:hAnsi="Book Antiqua"/>
        </w:rPr>
        <w:t xml:space="preserve"> </w:t>
      </w:r>
      <w:r w:rsidRPr="00DA5A6A">
        <w:rPr>
          <w:rFonts w:ascii="Book Antiqua" w:hAnsi="Book Antiqua"/>
        </w:rPr>
        <w:t>10.1200/JCO.2020.38.15_suppl.1091</w:t>
      </w:r>
      <w:r w:rsidR="008A0B3E" w:rsidRPr="00DA5A6A">
        <w:rPr>
          <w:rFonts w:ascii="Book Antiqua" w:hAnsi="Book Antiqua"/>
        </w:rPr>
        <w:t>]</w:t>
      </w:r>
    </w:p>
    <w:p w14:paraId="4FED7FC6" w14:textId="1E54E33E" w:rsidR="00421EA9" w:rsidRPr="00DA5A6A" w:rsidRDefault="00421EA9" w:rsidP="00DA5A6A">
      <w:pPr>
        <w:spacing w:line="360" w:lineRule="auto"/>
        <w:jc w:val="both"/>
        <w:rPr>
          <w:rFonts w:ascii="Book Antiqua" w:hAnsi="Book Antiqua"/>
        </w:rPr>
      </w:pPr>
      <w:r w:rsidRPr="00DA5A6A">
        <w:rPr>
          <w:rFonts w:ascii="Book Antiqua" w:hAnsi="Book Antiqua"/>
        </w:rPr>
        <w:t xml:space="preserve">72 </w:t>
      </w:r>
      <w:r w:rsidRPr="00DA5A6A">
        <w:rPr>
          <w:rFonts w:ascii="Book Antiqua" w:hAnsi="Book Antiqua"/>
          <w:b/>
          <w:bCs/>
        </w:rPr>
        <w:t>Tung NM</w:t>
      </w:r>
      <w:r w:rsidRPr="006A0862">
        <w:rPr>
          <w:rFonts w:ascii="Book Antiqua" w:hAnsi="Book Antiqua"/>
        </w:rPr>
        <w:t>,</w:t>
      </w:r>
      <w:r w:rsidRPr="00DA5A6A">
        <w:rPr>
          <w:rFonts w:ascii="Book Antiqua" w:hAnsi="Book Antiqua"/>
        </w:rPr>
        <w:t xml:space="preserve"> Robson ME, Ventz S, </w:t>
      </w:r>
      <w:r w:rsidR="008A0B3E" w:rsidRPr="00DA5A6A">
        <w:rPr>
          <w:rFonts w:ascii="Book Antiqua" w:hAnsi="Book Antiqua"/>
        </w:rPr>
        <w:t xml:space="preserve">Santa-Maria CA, Garber JE. </w:t>
      </w:r>
      <w:r w:rsidRPr="00DA5A6A">
        <w:rPr>
          <w:rFonts w:ascii="Book Antiqua" w:hAnsi="Book Antiqua"/>
        </w:rPr>
        <w:t xml:space="preserve">TBCRC 048: A phase II study of olaparib monotherapy in metastatic breast cancer patients with germline or </w:t>
      </w:r>
      <w:r w:rsidRPr="00DA5A6A">
        <w:rPr>
          <w:rFonts w:ascii="Book Antiqua" w:hAnsi="Book Antiqua"/>
        </w:rPr>
        <w:lastRenderedPageBreak/>
        <w:t xml:space="preserve">somatic mutations in DNA damage response (DDR) pathway genes (Olaparib Expanded). </w:t>
      </w:r>
      <w:r w:rsidRPr="00DA5A6A">
        <w:rPr>
          <w:rFonts w:ascii="Book Antiqua" w:hAnsi="Book Antiqua"/>
          <w:i/>
          <w:iCs/>
        </w:rPr>
        <w:t>J Clin Oncol</w:t>
      </w:r>
      <w:r w:rsidRPr="00DA5A6A">
        <w:rPr>
          <w:rFonts w:ascii="Book Antiqua" w:hAnsi="Book Antiqua"/>
        </w:rPr>
        <w:t xml:space="preserve"> 2020;</w:t>
      </w:r>
      <w:r w:rsidR="008A0B3E" w:rsidRPr="00DA5A6A">
        <w:rPr>
          <w:rFonts w:ascii="Book Antiqua" w:hAnsi="Book Antiqua"/>
          <w:b/>
          <w:bCs/>
        </w:rPr>
        <w:t xml:space="preserve"> </w:t>
      </w:r>
      <w:r w:rsidRPr="00DA5A6A">
        <w:rPr>
          <w:rFonts w:ascii="Book Antiqua" w:hAnsi="Book Antiqua"/>
          <w:b/>
          <w:bCs/>
        </w:rPr>
        <w:t>38</w:t>
      </w:r>
      <w:r w:rsidRPr="006A0862">
        <w:rPr>
          <w:rFonts w:ascii="Book Antiqua" w:hAnsi="Book Antiqua"/>
        </w:rPr>
        <w:t>:</w:t>
      </w:r>
      <w:r w:rsidR="008A0B3E" w:rsidRPr="00DA5A6A">
        <w:rPr>
          <w:rFonts w:ascii="Book Antiqua" w:hAnsi="Book Antiqua"/>
        </w:rPr>
        <w:t xml:space="preserve"> </w:t>
      </w:r>
      <w:r w:rsidRPr="00DA5A6A">
        <w:rPr>
          <w:rFonts w:ascii="Book Antiqua" w:hAnsi="Book Antiqua"/>
        </w:rPr>
        <w:t xml:space="preserve">1002 </w:t>
      </w:r>
      <w:r w:rsidR="008A0B3E" w:rsidRPr="00DA5A6A">
        <w:rPr>
          <w:rFonts w:ascii="Book Antiqua" w:hAnsi="Book Antiqua"/>
        </w:rPr>
        <w:t>[DOI</w:t>
      </w:r>
      <w:r w:rsidRPr="00DA5A6A">
        <w:rPr>
          <w:rFonts w:ascii="Book Antiqua" w:hAnsi="Book Antiqua"/>
        </w:rPr>
        <w:t>:</w:t>
      </w:r>
      <w:r w:rsidR="008A0B3E" w:rsidRPr="00DA5A6A">
        <w:rPr>
          <w:rFonts w:ascii="Book Antiqua" w:hAnsi="Book Antiqua"/>
        </w:rPr>
        <w:t xml:space="preserve"> </w:t>
      </w:r>
      <w:r w:rsidRPr="00DA5A6A">
        <w:rPr>
          <w:rFonts w:ascii="Book Antiqua" w:hAnsi="Book Antiqua"/>
        </w:rPr>
        <w:t>10.1200/JCO.2020.38.15_suppl.1002</w:t>
      </w:r>
      <w:r w:rsidR="008A0B3E" w:rsidRPr="00DA5A6A">
        <w:rPr>
          <w:rFonts w:ascii="Book Antiqua" w:hAnsi="Book Antiqua"/>
        </w:rPr>
        <w:t>]</w:t>
      </w:r>
    </w:p>
    <w:p w14:paraId="654B9F7A" w14:textId="4B8D6EB9" w:rsidR="00421EA9" w:rsidRPr="00DA5A6A" w:rsidRDefault="00421EA9" w:rsidP="00DA5A6A">
      <w:pPr>
        <w:spacing w:line="360" w:lineRule="auto"/>
        <w:jc w:val="both"/>
        <w:rPr>
          <w:rFonts w:ascii="Book Antiqua" w:hAnsi="Book Antiqua"/>
        </w:rPr>
      </w:pPr>
      <w:r w:rsidRPr="00DA5A6A">
        <w:rPr>
          <w:rFonts w:ascii="Book Antiqua" w:hAnsi="Book Antiqua"/>
        </w:rPr>
        <w:t xml:space="preserve">73 </w:t>
      </w:r>
      <w:r w:rsidRPr="00DA5A6A">
        <w:rPr>
          <w:rFonts w:ascii="Book Antiqua" w:hAnsi="Book Antiqua"/>
          <w:b/>
          <w:bCs/>
        </w:rPr>
        <w:t>Sharma P</w:t>
      </w:r>
      <w:r w:rsidRPr="006A0862">
        <w:rPr>
          <w:rFonts w:ascii="Book Antiqua" w:hAnsi="Book Antiqua"/>
        </w:rPr>
        <w:t>,</w:t>
      </w:r>
      <w:r w:rsidRPr="00DA5A6A">
        <w:rPr>
          <w:rFonts w:ascii="Book Antiqua" w:hAnsi="Book Antiqua"/>
        </w:rPr>
        <w:t xml:space="preserve"> Rodler E, Barlow WE, </w:t>
      </w:r>
      <w:r w:rsidR="008F3534" w:rsidRPr="00DA5A6A">
        <w:rPr>
          <w:rFonts w:ascii="Book Antiqua" w:hAnsi="Book Antiqua"/>
        </w:rPr>
        <w:t xml:space="preserve">Gralow J, Hortobagyi GN. </w:t>
      </w:r>
      <w:r w:rsidRPr="00DA5A6A">
        <w:rPr>
          <w:rFonts w:ascii="Book Antiqua" w:hAnsi="Book Antiqua"/>
        </w:rPr>
        <w:t xml:space="preserve">Results of a phase II randomized trial of cisplatin +/- veliparib in metastatic triple-negative breast cancer (TNBC) and/or germline BRCA-associated breast cancer (SWOG S1416). </w:t>
      </w:r>
      <w:r w:rsidRPr="00DA5A6A">
        <w:rPr>
          <w:rFonts w:ascii="Book Antiqua" w:hAnsi="Book Antiqua"/>
          <w:i/>
          <w:iCs/>
        </w:rPr>
        <w:t>J Clin Oncol</w:t>
      </w:r>
      <w:r w:rsidRPr="00DA5A6A">
        <w:rPr>
          <w:rFonts w:ascii="Book Antiqua" w:hAnsi="Book Antiqua"/>
        </w:rPr>
        <w:t xml:space="preserve"> 2020;</w:t>
      </w:r>
      <w:r w:rsidR="006F1F02" w:rsidRPr="00DA5A6A">
        <w:rPr>
          <w:rFonts w:ascii="Book Antiqua" w:hAnsi="Book Antiqua"/>
        </w:rPr>
        <w:t xml:space="preserve"> </w:t>
      </w:r>
      <w:r w:rsidRPr="00DA5A6A">
        <w:rPr>
          <w:rFonts w:ascii="Book Antiqua" w:hAnsi="Book Antiqua"/>
          <w:b/>
          <w:bCs/>
        </w:rPr>
        <w:t>38</w:t>
      </w:r>
      <w:r w:rsidRPr="006A0862">
        <w:rPr>
          <w:rFonts w:ascii="Book Antiqua" w:hAnsi="Book Antiqua"/>
        </w:rPr>
        <w:t>:</w:t>
      </w:r>
      <w:r w:rsidR="006F1F02" w:rsidRPr="00DA5A6A">
        <w:rPr>
          <w:rFonts w:ascii="Book Antiqua" w:hAnsi="Book Antiqua"/>
        </w:rPr>
        <w:t xml:space="preserve"> </w:t>
      </w:r>
      <w:r w:rsidRPr="00DA5A6A">
        <w:rPr>
          <w:rFonts w:ascii="Book Antiqua" w:hAnsi="Book Antiqua"/>
        </w:rPr>
        <w:t xml:space="preserve">1001 </w:t>
      </w:r>
      <w:r w:rsidR="008F3534" w:rsidRPr="00DA5A6A">
        <w:rPr>
          <w:rFonts w:ascii="Book Antiqua" w:hAnsi="Book Antiqua"/>
        </w:rPr>
        <w:t>[</w:t>
      </w:r>
      <w:r w:rsidR="006F1F02" w:rsidRPr="00DA5A6A">
        <w:rPr>
          <w:rFonts w:ascii="Book Antiqua" w:hAnsi="Book Antiqua"/>
        </w:rPr>
        <w:t>DOI</w:t>
      </w:r>
      <w:r w:rsidRPr="00DA5A6A">
        <w:rPr>
          <w:rFonts w:ascii="Book Antiqua" w:hAnsi="Book Antiqua"/>
        </w:rPr>
        <w:t>:</w:t>
      </w:r>
      <w:r w:rsidR="006F1F02" w:rsidRPr="00DA5A6A">
        <w:rPr>
          <w:rFonts w:ascii="Book Antiqua" w:hAnsi="Book Antiqua"/>
        </w:rPr>
        <w:t xml:space="preserve"> </w:t>
      </w:r>
      <w:r w:rsidRPr="00DA5A6A">
        <w:rPr>
          <w:rFonts w:ascii="Book Antiqua" w:hAnsi="Book Antiqua"/>
        </w:rPr>
        <w:t>10.1200/JCO.2020.38.15_suppl.1001</w:t>
      </w:r>
      <w:r w:rsidR="006F1F02" w:rsidRPr="00DA5A6A">
        <w:rPr>
          <w:rFonts w:ascii="Book Antiqua" w:hAnsi="Book Antiqua"/>
        </w:rPr>
        <w:t>]</w:t>
      </w:r>
    </w:p>
    <w:p w14:paraId="2131EF47" w14:textId="7C69577D" w:rsidR="00421EA9" w:rsidRPr="00DA5A6A" w:rsidRDefault="00421EA9" w:rsidP="00DA5A6A">
      <w:pPr>
        <w:spacing w:line="360" w:lineRule="auto"/>
        <w:jc w:val="both"/>
        <w:rPr>
          <w:rFonts w:ascii="Book Antiqua" w:hAnsi="Book Antiqua"/>
        </w:rPr>
      </w:pPr>
      <w:r w:rsidRPr="00DA5A6A">
        <w:rPr>
          <w:rFonts w:ascii="Book Antiqua" w:hAnsi="Book Antiqua"/>
        </w:rPr>
        <w:t xml:space="preserve">74 </w:t>
      </w:r>
      <w:r w:rsidRPr="00DA5A6A">
        <w:rPr>
          <w:rFonts w:ascii="Book Antiqua" w:hAnsi="Book Antiqua"/>
          <w:b/>
          <w:bCs/>
        </w:rPr>
        <w:t>Takaya H</w:t>
      </w:r>
      <w:r w:rsidRPr="00DA5A6A">
        <w:rPr>
          <w:rFonts w:ascii="Book Antiqua" w:hAnsi="Book Antiqua"/>
        </w:rPr>
        <w:t xml:space="preserve">, Nakai H, Takamatsu S, Mandai M, Matsumura N. Homologous recombination deficiency status-based classification of high-grade serous ovarian carcinoma. </w:t>
      </w:r>
      <w:r w:rsidRPr="00DA5A6A">
        <w:rPr>
          <w:rFonts w:ascii="Book Antiqua" w:hAnsi="Book Antiqua"/>
          <w:i/>
          <w:iCs/>
        </w:rPr>
        <w:t>Sci Rep</w:t>
      </w:r>
      <w:r w:rsidRPr="00DA5A6A">
        <w:rPr>
          <w:rFonts w:ascii="Book Antiqua" w:hAnsi="Book Antiqua"/>
        </w:rPr>
        <w:t xml:space="preserve"> 2020; </w:t>
      </w:r>
      <w:r w:rsidRPr="00DA5A6A">
        <w:rPr>
          <w:rFonts w:ascii="Book Antiqua" w:hAnsi="Book Antiqua"/>
          <w:b/>
          <w:bCs/>
        </w:rPr>
        <w:t>10</w:t>
      </w:r>
      <w:r w:rsidRPr="00DA5A6A">
        <w:rPr>
          <w:rFonts w:ascii="Book Antiqua" w:hAnsi="Book Antiqua"/>
        </w:rPr>
        <w:t>: 2757 [PMID: 32066851 DOI: 10.1038/s41598-020-59671-3]</w:t>
      </w:r>
    </w:p>
    <w:p w14:paraId="13B5361C" w14:textId="704E5A95" w:rsidR="00421EA9" w:rsidRPr="00DA5A6A" w:rsidRDefault="00421EA9" w:rsidP="00DA5A6A">
      <w:pPr>
        <w:spacing w:line="360" w:lineRule="auto"/>
        <w:jc w:val="both"/>
        <w:rPr>
          <w:rFonts w:ascii="Book Antiqua" w:hAnsi="Book Antiqua"/>
        </w:rPr>
      </w:pPr>
      <w:r w:rsidRPr="00DA5A6A">
        <w:rPr>
          <w:rFonts w:ascii="Book Antiqua" w:hAnsi="Book Antiqua"/>
        </w:rPr>
        <w:t xml:space="preserve">75 </w:t>
      </w:r>
      <w:r w:rsidRPr="00DA5A6A">
        <w:rPr>
          <w:rFonts w:ascii="Book Antiqua" w:hAnsi="Book Antiqua"/>
          <w:b/>
          <w:bCs/>
        </w:rPr>
        <w:t>Starodub AN</w:t>
      </w:r>
      <w:r w:rsidRPr="00DA5A6A">
        <w:rPr>
          <w:rFonts w:ascii="Book Antiqua" w:hAnsi="Book Antiqua"/>
        </w:rPr>
        <w:t xml:space="preserve">, Ocean AJ, Shah MA, Guarino MJ, Picozzi VJ Jr, Vahdat LT, Thomas SS, Govindan SV, Maliakal PP, Wegener WA, Hamburger SA, Sharkey RM, Goldenberg DM. First-in-Human Trial of a Novel Anti-Trop-2 Antibody-SN-38 Conjugate, Sacituzumab Govitecan, for the Treatment of Diverse Metastatic Solid Tumors. </w:t>
      </w:r>
      <w:r w:rsidRPr="00DA5A6A">
        <w:rPr>
          <w:rFonts w:ascii="Book Antiqua" w:hAnsi="Book Antiqua"/>
          <w:i/>
          <w:iCs/>
        </w:rPr>
        <w:t>Clin Cancer Res</w:t>
      </w:r>
      <w:r w:rsidRPr="00DA5A6A">
        <w:rPr>
          <w:rFonts w:ascii="Book Antiqua" w:hAnsi="Book Antiqua"/>
        </w:rPr>
        <w:t xml:space="preserve"> 2015; </w:t>
      </w:r>
      <w:r w:rsidRPr="00DA5A6A">
        <w:rPr>
          <w:rFonts w:ascii="Book Antiqua" w:hAnsi="Book Antiqua"/>
          <w:b/>
          <w:bCs/>
        </w:rPr>
        <w:t>21</w:t>
      </w:r>
      <w:r w:rsidRPr="00DA5A6A">
        <w:rPr>
          <w:rFonts w:ascii="Book Antiqua" w:hAnsi="Book Antiqua"/>
        </w:rPr>
        <w:t>: 3870-3878 [PMID: 25944802 DOI: 10.1158/1078-0432.CCR-14-3321]</w:t>
      </w:r>
    </w:p>
    <w:p w14:paraId="29E9964E" w14:textId="08F5EFDB" w:rsidR="00421EA9" w:rsidRPr="00DA5A6A" w:rsidRDefault="00421EA9" w:rsidP="00DA5A6A">
      <w:pPr>
        <w:spacing w:line="360" w:lineRule="auto"/>
        <w:jc w:val="both"/>
        <w:rPr>
          <w:rFonts w:ascii="Book Antiqua" w:hAnsi="Book Antiqua"/>
        </w:rPr>
      </w:pPr>
      <w:r w:rsidRPr="00DA5A6A">
        <w:rPr>
          <w:rFonts w:ascii="Book Antiqua" w:hAnsi="Book Antiqua"/>
        </w:rPr>
        <w:t xml:space="preserve">76 </w:t>
      </w:r>
      <w:r w:rsidRPr="00DA5A6A">
        <w:rPr>
          <w:rFonts w:ascii="Book Antiqua" w:hAnsi="Book Antiqua"/>
          <w:b/>
          <w:bCs/>
        </w:rPr>
        <w:t>Bardia A</w:t>
      </w:r>
      <w:r w:rsidRPr="00DA5A6A">
        <w:rPr>
          <w:rFonts w:ascii="Book Antiqua" w:hAnsi="Book Antiqua"/>
        </w:rPr>
        <w:t xml:space="preserve">, Mayer IA, Vahdat LT, Tolaney SM, Isakoff SJ, Diamond JR, O'Shaughnessy J, Moroose RL, Santin AD, Abramson VG, Shah NC, Rugo HS, Goldenberg DM, Sweidan AM, Iannone R, Washkowitz S, Sharkey RM, Wegener WA, Kalinsky K. Sacituzumab Govitecan-hziy in Refractory Metastatic Triple-Negative Breast Cancer. </w:t>
      </w:r>
      <w:r w:rsidRPr="00DA5A6A">
        <w:rPr>
          <w:rFonts w:ascii="Book Antiqua" w:hAnsi="Book Antiqua"/>
          <w:i/>
          <w:iCs/>
        </w:rPr>
        <w:t>N Engl J Med</w:t>
      </w:r>
      <w:r w:rsidRPr="00DA5A6A">
        <w:rPr>
          <w:rFonts w:ascii="Book Antiqua" w:hAnsi="Book Antiqua"/>
        </w:rPr>
        <w:t xml:space="preserve"> 2019; </w:t>
      </w:r>
      <w:r w:rsidRPr="00DA5A6A">
        <w:rPr>
          <w:rFonts w:ascii="Book Antiqua" w:hAnsi="Book Antiqua"/>
          <w:b/>
          <w:bCs/>
        </w:rPr>
        <w:t>380</w:t>
      </w:r>
      <w:r w:rsidRPr="00DA5A6A">
        <w:rPr>
          <w:rFonts w:ascii="Book Antiqua" w:hAnsi="Book Antiqua"/>
        </w:rPr>
        <w:t>: 741-751 [PMID: 30786188 DOI: 10.1056/NEJMoa1814213]</w:t>
      </w:r>
    </w:p>
    <w:p w14:paraId="013808C7" w14:textId="1EF6652F" w:rsidR="00421EA9" w:rsidRPr="00DA5A6A" w:rsidRDefault="00421EA9" w:rsidP="00DA5A6A">
      <w:pPr>
        <w:spacing w:line="360" w:lineRule="auto"/>
        <w:jc w:val="both"/>
        <w:rPr>
          <w:rFonts w:ascii="Book Antiqua" w:hAnsi="Book Antiqua"/>
        </w:rPr>
      </w:pPr>
      <w:r w:rsidRPr="00DA5A6A">
        <w:rPr>
          <w:rFonts w:ascii="Book Antiqua" w:hAnsi="Book Antiqua"/>
        </w:rPr>
        <w:t xml:space="preserve">77 </w:t>
      </w:r>
      <w:r w:rsidRPr="00DA5A6A">
        <w:rPr>
          <w:rFonts w:ascii="Book Antiqua" w:hAnsi="Book Antiqua"/>
          <w:b/>
          <w:bCs/>
        </w:rPr>
        <w:t>Bardia</w:t>
      </w:r>
      <w:r w:rsidR="00845AD1" w:rsidRPr="00DA5A6A">
        <w:rPr>
          <w:rFonts w:ascii="Book Antiqua" w:hAnsi="Book Antiqua"/>
          <w:b/>
          <w:bCs/>
        </w:rPr>
        <w:t xml:space="preserve"> A</w:t>
      </w:r>
      <w:r w:rsidRPr="006A0862">
        <w:rPr>
          <w:rFonts w:ascii="Book Antiqua" w:hAnsi="Book Antiqua"/>
        </w:rPr>
        <w:t>,</w:t>
      </w:r>
      <w:r w:rsidRPr="00DA5A6A">
        <w:rPr>
          <w:rFonts w:ascii="Book Antiqua" w:hAnsi="Book Antiqua"/>
        </w:rPr>
        <w:t xml:space="preserve"> Tolaney</w:t>
      </w:r>
      <w:r w:rsidR="00845AD1" w:rsidRPr="00DA5A6A">
        <w:rPr>
          <w:rFonts w:ascii="Book Antiqua" w:hAnsi="Book Antiqua"/>
        </w:rPr>
        <w:t xml:space="preserve"> SM</w:t>
      </w:r>
      <w:r w:rsidRPr="00DA5A6A">
        <w:rPr>
          <w:rFonts w:ascii="Book Antiqua" w:hAnsi="Book Antiqua"/>
        </w:rPr>
        <w:t>, Loirat</w:t>
      </w:r>
      <w:r w:rsidR="00845AD1" w:rsidRPr="00DA5A6A">
        <w:rPr>
          <w:rFonts w:ascii="Book Antiqua" w:hAnsi="Book Antiqua"/>
        </w:rPr>
        <w:t xml:space="preserve"> D</w:t>
      </w:r>
      <w:r w:rsidRPr="00DA5A6A">
        <w:rPr>
          <w:rFonts w:ascii="Book Antiqua" w:hAnsi="Book Antiqua"/>
        </w:rPr>
        <w:t>, Punie</w:t>
      </w:r>
      <w:r w:rsidR="00845AD1" w:rsidRPr="00DA5A6A">
        <w:rPr>
          <w:rFonts w:ascii="Book Antiqua" w:hAnsi="Book Antiqua"/>
        </w:rPr>
        <w:t xml:space="preserve"> K</w:t>
      </w:r>
      <w:r w:rsidRPr="00DA5A6A">
        <w:rPr>
          <w:rFonts w:ascii="Book Antiqua" w:hAnsi="Book Antiqua"/>
        </w:rPr>
        <w:t>, Oliveira</w:t>
      </w:r>
      <w:r w:rsidR="00845AD1" w:rsidRPr="00DA5A6A">
        <w:rPr>
          <w:rFonts w:ascii="Book Antiqua" w:hAnsi="Book Antiqua"/>
        </w:rPr>
        <w:t xml:space="preserve"> M</w:t>
      </w:r>
      <w:r w:rsidRPr="00DA5A6A">
        <w:rPr>
          <w:rFonts w:ascii="Book Antiqua" w:hAnsi="Book Antiqua"/>
        </w:rPr>
        <w:t>, Rugo</w:t>
      </w:r>
      <w:r w:rsidR="00845AD1" w:rsidRPr="00DA5A6A">
        <w:rPr>
          <w:rFonts w:ascii="Book Antiqua" w:hAnsi="Book Antiqua"/>
        </w:rPr>
        <w:t xml:space="preserve"> HS</w:t>
      </w:r>
      <w:r w:rsidRPr="00DA5A6A">
        <w:rPr>
          <w:rFonts w:ascii="Book Antiqua" w:hAnsi="Book Antiqua"/>
        </w:rPr>
        <w:t>, Brufsky</w:t>
      </w:r>
      <w:r w:rsidR="00845AD1" w:rsidRPr="00DA5A6A">
        <w:rPr>
          <w:rFonts w:ascii="Book Antiqua" w:hAnsi="Book Antiqua"/>
        </w:rPr>
        <w:t xml:space="preserve"> A</w:t>
      </w:r>
      <w:r w:rsidRPr="00DA5A6A">
        <w:rPr>
          <w:rFonts w:ascii="Book Antiqua" w:hAnsi="Book Antiqua"/>
        </w:rPr>
        <w:t>, Kalinsky</w:t>
      </w:r>
      <w:r w:rsidR="00845AD1" w:rsidRPr="00DA5A6A">
        <w:rPr>
          <w:rFonts w:ascii="Book Antiqua" w:hAnsi="Book Antiqua"/>
        </w:rPr>
        <w:t xml:space="preserve"> K</w:t>
      </w:r>
      <w:r w:rsidRPr="00DA5A6A">
        <w:rPr>
          <w:rFonts w:ascii="Book Antiqua" w:hAnsi="Book Antiqua"/>
        </w:rPr>
        <w:t>, Cortés</w:t>
      </w:r>
      <w:r w:rsidR="00845AD1" w:rsidRPr="00DA5A6A">
        <w:rPr>
          <w:rFonts w:ascii="Book Antiqua" w:hAnsi="Book Antiqua"/>
        </w:rPr>
        <w:t xml:space="preserve"> J</w:t>
      </w:r>
      <w:r w:rsidRPr="00DA5A6A">
        <w:rPr>
          <w:rFonts w:ascii="Book Antiqua" w:hAnsi="Book Antiqua"/>
        </w:rPr>
        <w:t>, O’Shaughnessy</w:t>
      </w:r>
      <w:r w:rsidR="00845AD1" w:rsidRPr="00DA5A6A">
        <w:rPr>
          <w:rFonts w:ascii="Book Antiqua" w:hAnsi="Book Antiqua"/>
        </w:rPr>
        <w:t xml:space="preserve"> J</w:t>
      </w:r>
      <w:r w:rsidRPr="00DA5A6A">
        <w:rPr>
          <w:rFonts w:ascii="Book Antiqua" w:hAnsi="Book Antiqua"/>
        </w:rPr>
        <w:t>, Dieras</w:t>
      </w:r>
      <w:r w:rsidR="00845AD1" w:rsidRPr="00DA5A6A">
        <w:rPr>
          <w:rFonts w:ascii="Book Antiqua" w:hAnsi="Book Antiqua"/>
        </w:rPr>
        <w:t xml:space="preserve"> VC</w:t>
      </w:r>
      <w:r w:rsidRPr="00DA5A6A">
        <w:rPr>
          <w:rFonts w:ascii="Book Antiqua" w:hAnsi="Book Antiqua"/>
        </w:rPr>
        <w:t>, Carey</w:t>
      </w:r>
      <w:r w:rsidR="00845AD1" w:rsidRPr="00DA5A6A">
        <w:rPr>
          <w:rFonts w:ascii="Book Antiqua" w:hAnsi="Book Antiqua"/>
        </w:rPr>
        <w:t xml:space="preserve"> LA</w:t>
      </w:r>
      <w:r w:rsidRPr="00DA5A6A">
        <w:rPr>
          <w:rFonts w:ascii="Book Antiqua" w:hAnsi="Book Antiqua"/>
        </w:rPr>
        <w:t>, Gianni</w:t>
      </w:r>
      <w:r w:rsidR="00845AD1" w:rsidRPr="00DA5A6A">
        <w:rPr>
          <w:rFonts w:ascii="Book Antiqua" w:hAnsi="Book Antiqua"/>
        </w:rPr>
        <w:t xml:space="preserve"> L</w:t>
      </w:r>
      <w:r w:rsidRPr="00DA5A6A">
        <w:rPr>
          <w:rFonts w:ascii="Book Antiqua" w:hAnsi="Book Antiqua"/>
        </w:rPr>
        <w:t>, Piccart</w:t>
      </w:r>
      <w:r w:rsidR="00845AD1" w:rsidRPr="00DA5A6A">
        <w:rPr>
          <w:rFonts w:ascii="Book Antiqua" w:hAnsi="Book Antiqua"/>
        </w:rPr>
        <w:t xml:space="preserve"> M</w:t>
      </w:r>
      <w:r w:rsidRPr="00DA5A6A">
        <w:rPr>
          <w:rFonts w:ascii="Book Antiqua" w:hAnsi="Book Antiqua"/>
        </w:rPr>
        <w:t>, Loibl</w:t>
      </w:r>
      <w:r w:rsidR="00845AD1" w:rsidRPr="00DA5A6A">
        <w:rPr>
          <w:rFonts w:ascii="Book Antiqua" w:hAnsi="Book Antiqua"/>
        </w:rPr>
        <w:t xml:space="preserve"> S</w:t>
      </w:r>
      <w:r w:rsidRPr="00DA5A6A">
        <w:rPr>
          <w:rFonts w:ascii="Book Antiqua" w:hAnsi="Book Antiqua"/>
        </w:rPr>
        <w:t>, Goldenberg</w:t>
      </w:r>
      <w:r w:rsidR="00845AD1" w:rsidRPr="00DA5A6A">
        <w:rPr>
          <w:rFonts w:ascii="Book Antiqua" w:hAnsi="Book Antiqua"/>
        </w:rPr>
        <w:t xml:space="preserve"> D</w:t>
      </w:r>
      <w:r w:rsidRPr="00DA5A6A">
        <w:rPr>
          <w:rFonts w:ascii="Book Antiqua" w:hAnsi="Book Antiqua"/>
        </w:rPr>
        <w:t>, Hong</w:t>
      </w:r>
      <w:r w:rsidR="00845AD1" w:rsidRPr="00DA5A6A">
        <w:rPr>
          <w:rFonts w:ascii="Book Antiqua" w:hAnsi="Book Antiqua"/>
        </w:rPr>
        <w:t xml:space="preserve"> Q</w:t>
      </w:r>
      <w:r w:rsidRPr="00DA5A6A">
        <w:rPr>
          <w:rFonts w:ascii="Book Antiqua" w:hAnsi="Book Antiqua"/>
        </w:rPr>
        <w:t>, Olivo</w:t>
      </w:r>
      <w:r w:rsidR="00845AD1" w:rsidRPr="00DA5A6A">
        <w:rPr>
          <w:rFonts w:ascii="Book Antiqua" w:hAnsi="Book Antiqua"/>
        </w:rPr>
        <w:t xml:space="preserve"> MS</w:t>
      </w:r>
      <w:r w:rsidRPr="00DA5A6A">
        <w:rPr>
          <w:rFonts w:ascii="Book Antiqua" w:hAnsi="Book Antiqua"/>
        </w:rPr>
        <w:t xml:space="preserve">, </w:t>
      </w:r>
      <w:r w:rsidR="00845AD1" w:rsidRPr="00DA5A6A">
        <w:rPr>
          <w:rFonts w:ascii="Book Antiqua" w:hAnsi="Book Antiqua"/>
        </w:rPr>
        <w:t>Hurvitz SA</w:t>
      </w:r>
      <w:r w:rsidRPr="00DA5A6A">
        <w:rPr>
          <w:rFonts w:ascii="Book Antiqua" w:hAnsi="Book Antiqua"/>
        </w:rPr>
        <w:t xml:space="preserve">. LBA17 - ASCENT: A randomized phase III study of sacituzumab govitecan (SG) vs treatment of physician’s choice (TPC) in patients (pts) with previously treated metastatic triple-negative breast cancer (mTNBC). </w:t>
      </w:r>
      <w:r w:rsidRPr="00DA5A6A">
        <w:rPr>
          <w:rFonts w:ascii="Book Antiqua" w:hAnsi="Book Antiqua"/>
          <w:i/>
          <w:iCs/>
        </w:rPr>
        <w:t>Ann Oncol</w:t>
      </w:r>
      <w:r w:rsidR="00046D30" w:rsidRPr="00DA5A6A">
        <w:rPr>
          <w:rFonts w:ascii="Book Antiqua" w:hAnsi="Book Antiqua"/>
          <w:i/>
          <w:iCs/>
        </w:rPr>
        <w:t xml:space="preserve"> </w:t>
      </w:r>
      <w:r w:rsidRPr="00DA5A6A">
        <w:rPr>
          <w:rFonts w:ascii="Book Antiqua" w:hAnsi="Book Antiqua"/>
        </w:rPr>
        <w:t>2020</w:t>
      </w:r>
      <w:r w:rsidR="00046D30" w:rsidRPr="00DA5A6A">
        <w:rPr>
          <w:rFonts w:ascii="Book Antiqua" w:hAnsi="Book Antiqua"/>
        </w:rPr>
        <w:t>;</w:t>
      </w:r>
      <w:r w:rsidRPr="00DA5A6A">
        <w:rPr>
          <w:rFonts w:ascii="Book Antiqua" w:hAnsi="Book Antiqua"/>
        </w:rPr>
        <w:t xml:space="preserve"> </w:t>
      </w:r>
      <w:r w:rsidRPr="00DA5A6A">
        <w:rPr>
          <w:rFonts w:ascii="Book Antiqua" w:hAnsi="Book Antiqua"/>
          <w:b/>
          <w:bCs/>
        </w:rPr>
        <w:t>31</w:t>
      </w:r>
      <w:r w:rsidRPr="006A0862">
        <w:rPr>
          <w:rFonts w:ascii="Book Antiqua" w:hAnsi="Book Antiqua"/>
        </w:rPr>
        <w:t>:</w:t>
      </w:r>
      <w:r w:rsidRPr="00DA5A6A">
        <w:rPr>
          <w:rFonts w:ascii="Book Antiqua" w:hAnsi="Book Antiqua"/>
        </w:rPr>
        <w:t xml:space="preserve"> S1142-S1215 </w:t>
      </w:r>
      <w:r w:rsidR="00046D30" w:rsidRPr="00DA5A6A">
        <w:rPr>
          <w:rFonts w:ascii="Book Antiqua" w:hAnsi="Book Antiqua"/>
        </w:rPr>
        <w:t xml:space="preserve">[DOI: </w:t>
      </w:r>
      <w:hyperlink r:id="rId9" w:tgtFrame="_blank" w:tooltip="Persistent link using digital object identifier" w:history="1">
        <w:r w:rsidR="00046D30" w:rsidRPr="00DA5A6A">
          <w:rPr>
            <w:rFonts w:ascii="Book Antiqua" w:hAnsi="Book Antiqua"/>
          </w:rPr>
          <w:t>10.1016/j.annonc.2020.08.2245</w:t>
        </w:r>
      </w:hyperlink>
      <w:r w:rsidR="00046D30" w:rsidRPr="00DA5A6A">
        <w:rPr>
          <w:rFonts w:ascii="Book Antiqua" w:hAnsi="Book Antiqua"/>
        </w:rPr>
        <w:t>]</w:t>
      </w:r>
    </w:p>
    <w:p w14:paraId="5DB576FC" w14:textId="514E5860" w:rsidR="00421EA9" w:rsidRPr="00DA5A6A" w:rsidRDefault="00421EA9" w:rsidP="00DA5A6A">
      <w:pPr>
        <w:spacing w:line="360" w:lineRule="auto"/>
        <w:jc w:val="both"/>
        <w:rPr>
          <w:rFonts w:ascii="Book Antiqua" w:hAnsi="Book Antiqua"/>
        </w:rPr>
      </w:pPr>
      <w:r w:rsidRPr="00DA5A6A">
        <w:rPr>
          <w:rFonts w:ascii="Book Antiqua" w:hAnsi="Book Antiqua"/>
        </w:rPr>
        <w:t xml:space="preserve">78 </w:t>
      </w:r>
      <w:r w:rsidRPr="00DA5A6A">
        <w:rPr>
          <w:rFonts w:ascii="Book Antiqua" w:hAnsi="Book Antiqua"/>
          <w:b/>
          <w:bCs/>
        </w:rPr>
        <w:t>Han H (Heather)</w:t>
      </w:r>
      <w:r w:rsidRPr="006A0862">
        <w:rPr>
          <w:rFonts w:ascii="Book Antiqua" w:hAnsi="Book Antiqua"/>
        </w:rPr>
        <w:t>,</w:t>
      </w:r>
      <w:r w:rsidRPr="00DA5A6A">
        <w:rPr>
          <w:rFonts w:ascii="Book Antiqua" w:hAnsi="Book Antiqua"/>
        </w:rPr>
        <w:t xml:space="preserve"> Diab S, Alemany C</w:t>
      </w:r>
      <w:r w:rsidR="004E0BE2" w:rsidRPr="00DA5A6A">
        <w:rPr>
          <w:rFonts w:ascii="Book Antiqua" w:hAnsi="Book Antiqua"/>
        </w:rPr>
        <w:t>.</w:t>
      </w:r>
      <w:r w:rsidRPr="00DA5A6A">
        <w:rPr>
          <w:rFonts w:ascii="Book Antiqua" w:hAnsi="Book Antiqua"/>
        </w:rPr>
        <w:t xml:space="preserve"> Abstract PD1-06: Open label phase 1b/2 study of ladiratuzumab vedotin in combination with pembrolizumab for first-line treatment of patients with unresectable locally-advanced or metastatic triple-negative breast cancer. </w:t>
      </w:r>
      <w:r w:rsidRPr="00DA5A6A">
        <w:rPr>
          <w:rFonts w:ascii="Book Antiqua" w:hAnsi="Book Antiqua"/>
          <w:i/>
          <w:iCs/>
        </w:rPr>
        <w:t xml:space="preserve">Cancer Res </w:t>
      </w:r>
      <w:r w:rsidRPr="00DA5A6A">
        <w:rPr>
          <w:rFonts w:ascii="Book Antiqua" w:hAnsi="Book Antiqua"/>
        </w:rPr>
        <w:t>2020;</w:t>
      </w:r>
      <w:r w:rsidR="004E0BE2" w:rsidRPr="00DA5A6A">
        <w:rPr>
          <w:rFonts w:ascii="Book Antiqua" w:hAnsi="Book Antiqua"/>
        </w:rPr>
        <w:t xml:space="preserve"> </w:t>
      </w:r>
      <w:r w:rsidRPr="00DA5A6A">
        <w:rPr>
          <w:rFonts w:ascii="Book Antiqua" w:hAnsi="Book Antiqua"/>
          <w:b/>
          <w:bCs/>
        </w:rPr>
        <w:t>80</w:t>
      </w:r>
      <w:r w:rsidRPr="006A0862">
        <w:rPr>
          <w:rFonts w:ascii="Book Antiqua" w:hAnsi="Book Antiqua"/>
        </w:rPr>
        <w:t>:</w:t>
      </w:r>
      <w:r w:rsidR="004E0BE2" w:rsidRPr="00DA5A6A">
        <w:rPr>
          <w:rFonts w:ascii="Book Antiqua" w:hAnsi="Book Antiqua"/>
        </w:rPr>
        <w:t xml:space="preserve"> </w:t>
      </w:r>
      <w:r w:rsidRPr="00DA5A6A">
        <w:rPr>
          <w:rFonts w:ascii="Book Antiqua" w:hAnsi="Book Antiqua"/>
        </w:rPr>
        <w:t xml:space="preserve">PD1-06 LP-PD1-06 </w:t>
      </w:r>
      <w:r w:rsidR="004E0BE2" w:rsidRPr="00DA5A6A">
        <w:rPr>
          <w:rFonts w:ascii="Book Antiqua" w:hAnsi="Book Antiqua"/>
        </w:rPr>
        <w:t>[DOI</w:t>
      </w:r>
      <w:r w:rsidRPr="00DA5A6A">
        <w:rPr>
          <w:rFonts w:ascii="Book Antiqua" w:hAnsi="Book Antiqua"/>
        </w:rPr>
        <w:t>:</w:t>
      </w:r>
      <w:r w:rsidR="004E0BE2" w:rsidRPr="00DA5A6A">
        <w:rPr>
          <w:rFonts w:ascii="Book Antiqua" w:hAnsi="Book Antiqua"/>
        </w:rPr>
        <w:t xml:space="preserve"> </w:t>
      </w:r>
      <w:bookmarkStart w:id="3" w:name="OLE_LINK2582"/>
      <w:r w:rsidRPr="00DA5A6A">
        <w:rPr>
          <w:rFonts w:ascii="Book Antiqua" w:hAnsi="Book Antiqua"/>
        </w:rPr>
        <w:t>10.1158/1538-7445.SABCS19-PD1-06</w:t>
      </w:r>
      <w:bookmarkEnd w:id="3"/>
      <w:r w:rsidR="004E0BE2" w:rsidRPr="00DA5A6A">
        <w:rPr>
          <w:rFonts w:ascii="Book Antiqua" w:hAnsi="Book Antiqua"/>
        </w:rPr>
        <w:t>]</w:t>
      </w:r>
    </w:p>
    <w:p w14:paraId="15A28056" w14:textId="5FD6D38C" w:rsidR="00421EA9" w:rsidRPr="00DA5A6A" w:rsidRDefault="00421EA9" w:rsidP="00DA5A6A">
      <w:pPr>
        <w:spacing w:line="360" w:lineRule="auto"/>
        <w:jc w:val="both"/>
        <w:rPr>
          <w:rFonts w:ascii="Book Antiqua" w:hAnsi="Book Antiqua"/>
        </w:rPr>
      </w:pPr>
      <w:r w:rsidRPr="00DA5A6A">
        <w:rPr>
          <w:rFonts w:ascii="Book Antiqua" w:hAnsi="Book Antiqua"/>
        </w:rPr>
        <w:lastRenderedPageBreak/>
        <w:t xml:space="preserve">79 </w:t>
      </w:r>
      <w:r w:rsidRPr="00DA5A6A">
        <w:rPr>
          <w:rFonts w:ascii="Book Antiqua" w:hAnsi="Book Antiqua"/>
          <w:b/>
          <w:bCs/>
        </w:rPr>
        <w:t>Doi T</w:t>
      </w:r>
      <w:r w:rsidRPr="00DA5A6A">
        <w:rPr>
          <w:rFonts w:ascii="Book Antiqua" w:hAnsi="Book Antiqua"/>
        </w:rPr>
        <w:t xml:space="preserve">, Shitara K, Naito Y, Shimomura A, Fujiwara Y, Yonemori K, Shimizu C, Shimoi T, Kuboki Y, Matsubara N, Kitano A, Jikoh T, Lee C, Fujisaki Y, Ogitani Y, Yver A, Tamura K. Safety, pharmacokinetics, and antitumour activity of trastuzumab deruxtecan (DS-8201), a HER2-targeting antibody-drug conjugate, in patients with advanced breast and gastric or gastro-oesophageal tumours: a phase 1 dose-escalation study. </w:t>
      </w:r>
      <w:r w:rsidRPr="00DA5A6A">
        <w:rPr>
          <w:rFonts w:ascii="Book Antiqua" w:hAnsi="Book Antiqua"/>
          <w:i/>
          <w:iCs/>
        </w:rPr>
        <w:t>Lancet Oncol</w:t>
      </w:r>
      <w:r w:rsidRPr="00DA5A6A">
        <w:rPr>
          <w:rFonts w:ascii="Book Antiqua" w:hAnsi="Book Antiqua"/>
        </w:rPr>
        <w:t xml:space="preserve"> 2017; </w:t>
      </w:r>
      <w:r w:rsidRPr="00DA5A6A">
        <w:rPr>
          <w:rFonts w:ascii="Book Antiqua" w:hAnsi="Book Antiqua"/>
          <w:b/>
          <w:bCs/>
        </w:rPr>
        <w:t>18</w:t>
      </w:r>
      <w:r w:rsidRPr="00DA5A6A">
        <w:rPr>
          <w:rFonts w:ascii="Book Antiqua" w:hAnsi="Book Antiqua"/>
        </w:rPr>
        <w:t>: 1512-1522 [PMID: 29037983 DOI: 10.1016/S1470-2045(17)30604-6]</w:t>
      </w:r>
    </w:p>
    <w:p w14:paraId="16221991" w14:textId="7DDE6B16" w:rsidR="00421EA9" w:rsidRPr="00DA5A6A" w:rsidRDefault="00421EA9" w:rsidP="00DA5A6A">
      <w:pPr>
        <w:spacing w:line="360" w:lineRule="auto"/>
        <w:jc w:val="both"/>
        <w:rPr>
          <w:rFonts w:ascii="Book Antiqua" w:hAnsi="Book Antiqua"/>
        </w:rPr>
      </w:pPr>
      <w:r w:rsidRPr="00DA5A6A">
        <w:rPr>
          <w:rFonts w:ascii="Book Antiqua" w:hAnsi="Book Antiqua"/>
        </w:rPr>
        <w:t xml:space="preserve">80 </w:t>
      </w:r>
      <w:r w:rsidRPr="00DA5A6A">
        <w:rPr>
          <w:rFonts w:ascii="Book Antiqua" w:hAnsi="Book Antiqua"/>
          <w:b/>
          <w:bCs/>
        </w:rPr>
        <w:t>Modi S</w:t>
      </w:r>
      <w:r w:rsidRPr="00DA5A6A">
        <w:rPr>
          <w:rFonts w:ascii="Book Antiqua" w:hAnsi="Book Antiqua"/>
        </w:rPr>
        <w:t xml:space="preserve">, Saura C, Yamashita T, Park YH, Kim SB, Tamura K, Andre F, Iwata H, Ito Y, Tsurutani J, Sohn J, Denduluri N, Perrin C, Aogi K, Tokunaga E, Im SA, Lee KS, Hurvitz SA, Cortes J, Lee C, Chen S, Zhang L, Shahidi J, Yver A, Krop I; DESTINY-Breast01 Investigators. Trastuzumab Deruxtecan in Previously Treated HER2-Positive Breast Cancer. </w:t>
      </w:r>
      <w:r w:rsidRPr="00DA5A6A">
        <w:rPr>
          <w:rFonts w:ascii="Book Antiqua" w:hAnsi="Book Antiqua"/>
          <w:i/>
          <w:iCs/>
        </w:rPr>
        <w:t>N Engl J Med</w:t>
      </w:r>
      <w:r w:rsidRPr="00DA5A6A">
        <w:rPr>
          <w:rFonts w:ascii="Book Antiqua" w:hAnsi="Book Antiqua"/>
        </w:rPr>
        <w:t xml:space="preserve"> 2020; </w:t>
      </w:r>
      <w:r w:rsidRPr="00DA5A6A">
        <w:rPr>
          <w:rFonts w:ascii="Book Antiqua" w:hAnsi="Book Antiqua"/>
          <w:b/>
          <w:bCs/>
        </w:rPr>
        <w:t>382</w:t>
      </w:r>
      <w:r w:rsidRPr="00DA5A6A">
        <w:rPr>
          <w:rFonts w:ascii="Book Antiqua" w:hAnsi="Book Antiqua"/>
        </w:rPr>
        <w:t>: 610-621 [PMID: 31825192 DOI: 10.1056/NEJMoa1914510]</w:t>
      </w:r>
    </w:p>
    <w:p w14:paraId="353B9D9A" w14:textId="58BF2367" w:rsidR="00421EA9" w:rsidRPr="00DA5A6A" w:rsidRDefault="00421EA9" w:rsidP="00DA5A6A">
      <w:pPr>
        <w:spacing w:line="360" w:lineRule="auto"/>
        <w:jc w:val="both"/>
        <w:rPr>
          <w:rFonts w:ascii="Book Antiqua" w:hAnsi="Book Antiqua"/>
        </w:rPr>
      </w:pPr>
      <w:r w:rsidRPr="00DA5A6A">
        <w:rPr>
          <w:rFonts w:ascii="Book Antiqua" w:hAnsi="Book Antiqua"/>
        </w:rPr>
        <w:t xml:space="preserve">81 </w:t>
      </w:r>
      <w:r w:rsidRPr="00DA5A6A">
        <w:rPr>
          <w:rFonts w:ascii="Book Antiqua" w:hAnsi="Book Antiqua"/>
          <w:b/>
          <w:bCs/>
        </w:rPr>
        <w:t>Modi S</w:t>
      </w:r>
      <w:r w:rsidRPr="00DA5A6A">
        <w:rPr>
          <w:rFonts w:ascii="Book Antiqua" w:hAnsi="Book Antiqua"/>
        </w:rPr>
        <w:t xml:space="preserve">, Park H, Murthy RK, Iwata H, Tamura K, Tsurutani J, Moreno-Aspitia A, Doi T, Sagara Y, Redfern C, Krop IE, Lee C, Fujisaki Y, Sugihara M, Zhang L, Shahidi J, Takahashi S. Antitumor Activity and Safety of Trastuzumab Deruxtecan in Patients With HER2-Low-Expressing Advanced Breast Cancer: Results From a Phase Ib Study. </w:t>
      </w:r>
      <w:r w:rsidRPr="00DA5A6A">
        <w:rPr>
          <w:rFonts w:ascii="Book Antiqua" w:hAnsi="Book Antiqua"/>
          <w:i/>
          <w:iCs/>
        </w:rPr>
        <w:t>J Clin Oncol</w:t>
      </w:r>
      <w:r w:rsidRPr="00DA5A6A">
        <w:rPr>
          <w:rFonts w:ascii="Book Antiqua" w:hAnsi="Book Antiqua"/>
        </w:rPr>
        <w:t xml:space="preserve"> 2020; </w:t>
      </w:r>
      <w:r w:rsidRPr="00DA5A6A">
        <w:rPr>
          <w:rFonts w:ascii="Book Antiqua" w:hAnsi="Book Antiqua"/>
          <w:b/>
          <w:bCs/>
        </w:rPr>
        <w:t>38</w:t>
      </w:r>
      <w:r w:rsidRPr="00DA5A6A">
        <w:rPr>
          <w:rFonts w:ascii="Book Antiqua" w:hAnsi="Book Antiqua"/>
        </w:rPr>
        <w:t>: 1887-1896 [PMID: 32058843 DOI: 10.1200/JCO.19.02318]</w:t>
      </w:r>
    </w:p>
    <w:p w14:paraId="4B19F330" w14:textId="57468580" w:rsidR="00421EA9" w:rsidRPr="00DA5A6A" w:rsidRDefault="00421EA9" w:rsidP="00DA5A6A">
      <w:pPr>
        <w:spacing w:line="360" w:lineRule="auto"/>
        <w:jc w:val="both"/>
        <w:rPr>
          <w:rFonts w:ascii="Book Antiqua" w:hAnsi="Book Antiqua"/>
        </w:rPr>
      </w:pPr>
      <w:r w:rsidRPr="00DA5A6A">
        <w:rPr>
          <w:rFonts w:ascii="Book Antiqua" w:hAnsi="Book Antiqua"/>
        </w:rPr>
        <w:t xml:space="preserve">82 </w:t>
      </w:r>
      <w:r w:rsidR="004428CF" w:rsidRPr="00DA5A6A">
        <w:rPr>
          <w:rFonts w:ascii="Book Antiqua" w:hAnsi="Book Antiqua"/>
          <w:b/>
          <w:bCs/>
        </w:rPr>
        <w:t>Kim SB</w:t>
      </w:r>
      <w:r w:rsidR="004428CF" w:rsidRPr="006A0862">
        <w:rPr>
          <w:rFonts w:ascii="Book Antiqua" w:hAnsi="Book Antiqua"/>
        </w:rPr>
        <w:t xml:space="preserve">, </w:t>
      </w:r>
      <w:r w:rsidR="004428CF" w:rsidRPr="00DA5A6A">
        <w:rPr>
          <w:rFonts w:ascii="Book Antiqua" w:hAnsi="Book Antiqua"/>
        </w:rPr>
        <w:t xml:space="preserve">Meric-Bernstam F, Kalyan A, Babich A, Berlin J. First-in-human phase i study of aprutumab ixadotin, a fibroblast growth factor receptor 2 antibody–drug conjugate (bay 1187982) in patients with advanced cancer. </w:t>
      </w:r>
      <w:r w:rsidR="004428CF" w:rsidRPr="00DA5A6A">
        <w:rPr>
          <w:rFonts w:ascii="Book Antiqua" w:hAnsi="Book Antiqua"/>
          <w:i/>
          <w:iCs/>
        </w:rPr>
        <w:t>Target Oncol</w:t>
      </w:r>
      <w:r w:rsidR="004428CF" w:rsidRPr="00DA5A6A">
        <w:rPr>
          <w:rFonts w:ascii="Book Antiqua" w:hAnsi="Book Antiqua"/>
        </w:rPr>
        <w:t xml:space="preserve"> 2019; </w:t>
      </w:r>
      <w:r w:rsidR="004428CF" w:rsidRPr="00DA5A6A">
        <w:rPr>
          <w:rFonts w:ascii="Book Antiqua" w:hAnsi="Book Antiqua"/>
          <w:b/>
          <w:bCs/>
        </w:rPr>
        <w:t>14</w:t>
      </w:r>
      <w:r w:rsidR="004428CF" w:rsidRPr="006A0862">
        <w:rPr>
          <w:rFonts w:ascii="Book Antiqua" w:hAnsi="Book Antiqua"/>
        </w:rPr>
        <w:t>:</w:t>
      </w:r>
      <w:r w:rsidR="004428CF" w:rsidRPr="00DA5A6A">
        <w:rPr>
          <w:rFonts w:ascii="Book Antiqua" w:hAnsi="Book Antiqua"/>
        </w:rPr>
        <w:t xml:space="preserve"> 591-601 [DOI: 10.1007/s11523-019-00670-4]</w:t>
      </w:r>
    </w:p>
    <w:p w14:paraId="3D9354E6" w14:textId="54F8D704" w:rsidR="00421EA9" w:rsidRPr="00DA5A6A" w:rsidRDefault="00421EA9" w:rsidP="00DA5A6A">
      <w:pPr>
        <w:spacing w:line="360" w:lineRule="auto"/>
        <w:jc w:val="both"/>
        <w:rPr>
          <w:rFonts w:ascii="Book Antiqua" w:hAnsi="Book Antiqua"/>
        </w:rPr>
      </w:pPr>
      <w:r w:rsidRPr="00DA5A6A">
        <w:rPr>
          <w:rFonts w:ascii="Book Antiqua" w:hAnsi="Book Antiqua"/>
        </w:rPr>
        <w:t xml:space="preserve">83 </w:t>
      </w:r>
      <w:r w:rsidRPr="00DA5A6A">
        <w:rPr>
          <w:rFonts w:ascii="Book Antiqua" w:hAnsi="Book Antiqua"/>
          <w:b/>
          <w:bCs/>
        </w:rPr>
        <w:t>Verret B</w:t>
      </w:r>
      <w:r w:rsidRPr="00DA5A6A">
        <w:rPr>
          <w:rFonts w:ascii="Book Antiqua" w:hAnsi="Book Antiqua"/>
        </w:rPr>
        <w:t xml:space="preserve">, Cortes J, Bachelot T, Andre F, Arnedos M. Efficacy of PI3K inhibitors in advanced breast cancer. </w:t>
      </w:r>
      <w:r w:rsidRPr="00DA5A6A">
        <w:rPr>
          <w:rFonts w:ascii="Book Antiqua" w:hAnsi="Book Antiqua"/>
          <w:i/>
          <w:iCs/>
        </w:rPr>
        <w:t>Ann Oncol</w:t>
      </w:r>
      <w:r w:rsidRPr="00DA5A6A">
        <w:rPr>
          <w:rFonts w:ascii="Book Antiqua" w:hAnsi="Book Antiqua"/>
        </w:rPr>
        <w:t xml:space="preserve"> 2019; </w:t>
      </w:r>
      <w:r w:rsidRPr="00DA5A6A">
        <w:rPr>
          <w:rFonts w:ascii="Book Antiqua" w:hAnsi="Book Antiqua"/>
          <w:b/>
          <w:bCs/>
        </w:rPr>
        <w:t>30</w:t>
      </w:r>
      <w:r w:rsidRPr="00DA5A6A">
        <w:rPr>
          <w:rFonts w:ascii="Book Antiqua" w:hAnsi="Book Antiqua"/>
        </w:rPr>
        <w:t>: x12-x20 [PMID: 31928690 DOI: 10.1093/annonc/mdz381]</w:t>
      </w:r>
    </w:p>
    <w:p w14:paraId="582CDAF0" w14:textId="6D174F7B" w:rsidR="00421EA9" w:rsidRPr="00DA5A6A" w:rsidRDefault="00421EA9" w:rsidP="00DA5A6A">
      <w:pPr>
        <w:spacing w:line="360" w:lineRule="auto"/>
        <w:jc w:val="both"/>
        <w:rPr>
          <w:rFonts w:ascii="Book Antiqua" w:hAnsi="Book Antiqua"/>
        </w:rPr>
      </w:pPr>
      <w:r w:rsidRPr="00DA5A6A">
        <w:rPr>
          <w:rFonts w:ascii="Book Antiqua" w:hAnsi="Book Antiqua"/>
        </w:rPr>
        <w:t xml:space="preserve">84 </w:t>
      </w:r>
      <w:r w:rsidRPr="00DA5A6A">
        <w:rPr>
          <w:rFonts w:ascii="Book Antiqua" w:hAnsi="Book Antiqua"/>
          <w:b/>
          <w:bCs/>
        </w:rPr>
        <w:t>Sharma P</w:t>
      </w:r>
      <w:r w:rsidRPr="006A0862">
        <w:rPr>
          <w:rFonts w:ascii="Book Antiqua" w:hAnsi="Book Antiqua"/>
        </w:rPr>
        <w:t>,</w:t>
      </w:r>
      <w:r w:rsidRPr="00DA5A6A">
        <w:rPr>
          <w:rFonts w:ascii="Book Antiqua" w:hAnsi="Book Antiqua"/>
        </w:rPr>
        <w:t xml:space="preserve"> Abramson VG, O’Dea A, </w:t>
      </w:r>
      <w:r w:rsidR="0078543D" w:rsidRPr="00DA5A6A">
        <w:rPr>
          <w:rFonts w:ascii="Book Antiqua" w:hAnsi="Book Antiqua"/>
        </w:rPr>
        <w:t>Pathak HB, Godwin AK.</w:t>
      </w:r>
      <w:r w:rsidRPr="00DA5A6A">
        <w:rPr>
          <w:rFonts w:ascii="Book Antiqua" w:hAnsi="Book Antiqua"/>
        </w:rPr>
        <w:t xml:space="preserve"> Clinical and biomarker results from phase I/II study of PI3K inhibitor BYL 719 (alpelisib) plus nab-paclitaxel in HER2-negative metastatic breast cancer. </w:t>
      </w:r>
      <w:r w:rsidRPr="00DA5A6A">
        <w:rPr>
          <w:rFonts w:ascii="Book Antiqua" w:hAnsi="Book Antiqua"/>
          <w:i/>
          <w:iCs/>
        </w:rPr>
        <w:t>J Clin Oncol</w:t>
      </w:r>
      <w:r w:rsidRPr="00DA5A6A">
        <w:rPr>
          <w:rFonts w:ascii="Book Antiqua" w:hAnsi="Book Antiqua"/>
        </w:rPr>
        <w:t xml:space="preserve"> 2018;</w:t>
      </w:r>
      <w:r w:rsidR="0078543D" w:rsidRPr="00DA5A6A">
        <w:rPr>
          <w:rFonts w:ascii="Book Antiqua" w:hAnsi="Book Antiqua"/>
        </w:rPr>
        <w:t xml:space="preserve"> </w:t>
      </w:r>
      <w:r w:rsidRPr="00DA5A6A">
        <w:rPr>
          <w:rFonts w:ascii="Book Antiqua" w:hAnsi="Book Antiqua"/>
          <w:b/>
          <w:bCs/>
        </w:rPr>
        <w:t>36</w:t>
      </w:r>
      <w:r w:rsidRPr="006A0862">
        <w:rPr>
          <w:rFonts w:ascii="Book Antiqua" w:hAnsi="Book Antiqua"/>
        </w:rPr>
        <w:t>:</w:t>
      </w:r>
      <w:r w:rsidR="0078543D" w:rsidRPr="00DA5A6A">
        <w:rPr>
          <w:rFonts w:ascii="Book Antiqua" w:hAnsi="Book Antiqua"/>
        </w:rPr>
        <w:t xml:space="preserve"> </w:t>
      </w:r>
      <w:r w:rsidRPr="00DA5A6A">
        <w:rPr>
          <w:rFonts w:ascii="Book Antiqua" w:hAnsi="Book Antiqua"/>
        </w:rPr>
        <w:t xml:space="preserve">1018 </w:t>
      </w:r>
      <w:r w:rsidR="0078543D" w:rsidRPr="00DA5A6A">
        <w:rPr>
          <w:rFonts w:ascii="Book Antiqua" w:hAnsi="Book Antiqua"/>
        </w:rPr>
        <w:t>[DOI</w:t>
      </w:r>
      <w:r w:rsidRPr="00DA5A6A">
        <w:rPr>
          <w:rFonts w:ascii="Book Antiqua" w:hAnsi="Book Antiqua"/>
        </w:rPr>
        <w:t>:</w:t>
      </w:r>
      <w:r w:rsidR="0078543D" w:rsidRPr="00DA5A6A">
        <w:rPr>
          <w:rFonts w:ascii="Book Antiqua" w:hAnsi="Book Antiqua"/>
        </w:rPr>
        <w:t xml:space="preserve"> </w:t>
      </w:r>
      <w:r w:rsidRPr="00DA5A6A">
        <w:rPr>
          <w:rFonts w:ascii="Book Antiqua" w:hAnsi="Book Antiqua"/>
        </w:rPr>
        <w:t>10.1200/JCO.2018.36.15_suppl.1018</w:t>
      </w:r>
      <w:r w:rsidR="0078543D" w:rsidRPr="00DA5A6A">
        <w:rPr>
          <w:rFonts w:ascii="Book Antiqua" w:hAnsi="Book Antiqua"/>
        </w:rPr>
        <w:t>]</w:t>
      </w:r>
    </w:p>
    <w:p w14:paraId="4BD80BCB" w14:textId="66580A77" w:rsidR="00421EA9" w:rsidRPr="00DA5A6A" w:rsidRDefault="00421EA9" w:rsidP="00DA5A6A">
      <w:pPr>
        <w:spacing w:line="360" w:lineRule="auto"/>
        <w:jc w:val="both"/>
        <w:rPr>
          <w:rFonts w:ascii="Book Antiqua" w:hAnsi="Book Antiqua"/>
        </w:rPr>
      </w:pPr>
      <w:r w:rsidRPr="00DA5A6A">
        <w:rPr>
          <w:rFonts w:ascii="Book Antiqua" w:hAnsi="Book Antiqua"/>
        </w:rPr>
        <w:t xml:space="preserve">85 Correction: A First-in-Human Phase I Study of the ATP-Competitive AKT Inhibitor Ipatasertib Demonstrates Robust and Safe Targeting of AKT in Patients with Solid </w:t>
      </w:r>
      <w:r w:rsidRPr="00DA5A6A">
        <w:rPr>
          <w:rFonts w:ascii="Book Antiqua" w:hAnsi="Book Antiqua"/>
        </w:rPr>
        <w:lastRenderedPageBreak/>
        <w:t xml:space="preserve">Tumors. </w:t>
      </w:r>
      <w:r w:rsidRPr="00DA5A6A">
        <w:rPr>
          <w:rFonts w:ascii="Book Antiqua" w:hAnsi="Book Antiqua"/>
          <w:i/>
          <w:iCs/>
        </w:rPr>
        <w:t>Cancer Discov</w:t>
      </w:r>
      <w:r w:rsidRPr="00DA5A6A">
        <w:rPr>
          <w:rFonts w:ascii="Book Antiqua" w:hAnsi="Book Antiqua"/>
        </w:rPr>
        <w:t xml:space="preserve"> 2018; </w:t>
      </w:r>
      <w:r w:rsidRPr="00DA5A6A">
        <w:rPr>
          <w:rFonts w:ascii="Book Antiqua" w:hAnsi="Book Antiqua"/>
          <w:b/>
          <w:bCs/>
        </w:rPr>
        <w:t>8</w:t>
      </w:r>
      <w:r w:rsidRPr="00DA5A6A">
        <w:rPr>
          <w:rFonts w:ascii="Book Antiqua" w:hAnsi="Book Antiqua"/>
        </w:rPr>
        <w:t>: 1490 [PMID: 30385525 DOI: 10.1158/2159-8290.CD-18-1114]</w:t>
      </w:r>
    </w:p>
    <w:p w14:paraId="3A494616" w14:textId="15215365" w:rsidR="00421EA9" w:rsidRPr="00DA5A6A" w:rsidRDefault="00421EA9" w:rsidP="00DA5A6A">
      <w:pPr>
        <w:spacing w:line="360" w:lineRule="auto"/>
        <w:jc w:val="both"/>
        <w:rPr>
          <w:rFonts w:ascii="Book Antiqua" w:hAnsi="Book Antiqua"/>
        </w:rPr>
      </w:pPr>
      <w:r w:rsidRPr="00DA5A6A">
        <w:rPr>
          <w:rFonts w:ascii="Book Antiqua" w:hAnsi="Book Antiqua"/>
        </w:rPr>
        <w:t xml:space="preserve">86 </w:t>
      </w:r>
      <w:r w:rsidRPr="00DA5A6A">
        <w:rPr>
          <w:rFonts w:ascii="Book Antiqua" w:hAnsi="Book Antiqua"/>
          <w:b/>
          <w:bCs/>
        </w:rPr>
        <w:t>Kim SB</w:t>
      </w:r>
      <w:r w:rsidRPr="00DA5A6A">
        <w:rPr>
          <w:rFonts w:ascii="Book Antiqua" w:hAnsi="Book Antiqua"/>
        </w:rPr>
        <w:t xml:space="preserve">, Dent R, Im SA, Espié M, Blau S, Tan AR, Isakoff SJ, Oliveira M, Saura C, Wongchenko MJ, Kapp AV, Chan WY, Singel SM, Maslyar DJ, Baselga J; LOTUS investigators. Ipatasertib plus paclitaxel versus placebo plus paclitaxel as first-line therapy for metastatic triple-negative breast cancer (LOTUS): a multicentre, randomised, double-blind, placebo-controlled, phase 2 trial. </w:t>
      </w:r>
      <w:r w:rsidRPr="00DA5A6A">
        <w:rPr>
          <w:rFonts w:ascii="Book Antiqua" w:hAnsi="Book Antiqua"/>
          <w:i/>
          <w:iCs/>
        </w:rPr>
        <w:t>Lancet Oncol</w:t>
      </w:r>
      <w:r w:rsidRPr="00DA5A6A">
        <w:rPr>
          <w:rFonts w:ascii="Book Antiqua" w:hAnsi="Book Antiqua"/>
        </w:rPr>
        <w:t xml:space="preserve"> 2017; </w:t>
      </w:r>
      <w:r w:rsidRPr="00DA5A6A">
        <w:rPr>
          <w:rFonts w:ascii="Book Antiqua" w:hAnsi="Book Antiqua"/>
          <w:b/>
          <w:bCs/>
        </w:rPr>
        <w:t>18</w:t>
      </w:r>
      <w:r w:rsidRPr="00DA5A6A">
        <w:rPr>
          <w:rFonts w:ascii="Book Antiqua" w:hAnsi="Book Antiqua"/>
        </w:rPr>
        <w:t>: 1360-1372 [PMID: 28800861 DOI: 10.1016/S1470-2045(17)30450-3]</w:t>
      </w:r>
    </w:p>
    <w:p w14:paraId="28127D94" w14:textId="7FFC8257" w:rsidR="00421EA9" w:rsidRPr="00DA5A6A" w:rsidRDefault="00421EA9" w:rsidP="00DA5A6A">
      <w:pPr>
        <w:spacing w:line="360" w:lineRule="auto"/>
        <w:jc w:val="both"/>
        <w:rPr>
          <w:rFonts w:ascii="Book Antiqua" w:hAnsi="Book Antiqua"/>
        </w:rPr>
      </w:pPr>
      <w:r w:rsidRPr="00DA5A6A">
        <w:rPr>
          <w:rFonts w:ascii="Book Antiqua" w:hAnsi="Book Antiqua"/>
        </w:rPr>
        <w:t xml:space="preserve">87 </w:t>
      </w:r>
      <w:r w:rsidRPr="00DA5A6A">
        <w:rPr>
          <w:rFonts w:ascii="Book Antiqua" w:hAnsi="Book Antiqua"/>
          <w:b/>
          <w:bCs/>
        </w:rPr>
        <w:t>He S</w:t>
      </w:r>
      <w:r w:rsidRPr="00DA5A6A">
        <w:rPr>
          <w:rFonts w:ascii="Book Antiqua" w:hAnsi="Book Antiqua"/>
        </w:rPr>
        <w:t xml:space="preserve">, Roberts PJ, Sorrentino JA, Bisi JE, Storrie-White H, Tiessen RG, Makhuli KM, Wargin WA, Tadema H, van Hoogdalem EJ, Strum JC, Malik R, Sharpless NE. Transient CDK4/6 inhibition protects hematopoietic stem cells from chemotherapy-induced exhaustion. </w:t>
      </w:r>
      <w:r w:rsidRPr="00DA5A6A">
        <w:rPr>
          <w:rFonts w:ascii="Book Antiqua" w:hAnsi="Book Antiqua"/>
          <w:i/>
          <w:iCs/>
        </w:rPr>
        <w:t>Sci Transl Med</w:t>
      </w:r>
      <w:r w:rsidRPr="00DA5A6A">
        <w:rPr>
          <w:rFonts w:ascii="Book Antiqua" w:hAnsi="Book Antiqua"/>
        </w:rPr>
        <w:t xml:space="preserve"> 2017; </w:t>
      </w:r>
      <w:r w:rsidRPr="00DA5A6A">
        <w:rPr>
          <w:rFonts w:ascii="Book Antiqua" w:hAnsi="Book Antiqua"/>
          <w:b/>
          <w:bCs/>
        </w:rPr>
        <w:t>9</w:t>
      </w:r>
      <w:r w:rsidRPr="00DA5A6A">
        <w:rPr>
          <w:rFonts w:ascii="Book Antiqua" w:hAnsi="Book Antiqua"/>
        </w:rPr>
        <w:t xml:space="preserve"> [PMID: 28446688 DOI: 10.1126/scitranslmed.aal3986]</w:t>
      </w:r>
    </w:p>
    <w:p w14:paraId="68686A75" w14:textId="1DCF808A" w:rsidR="00421EA9" w:rsidRPr="00DA5A6A" w:rsidRDefault="00421EA9" w:rsidP="00DA5A6A">
      <w:pPr>
        <w:spacing w:line="360" w:lineRule="auto"/>
        <w:jc w:val="both"/>
        <w:rPr>
          <w:rFonts w:ascii="Book Antiqua" w:hAnsi="Book Antiqua"/>
        </w:rPr>
      </w:pPr>
      <w:r w:rsidRPr="00DA5A6A">
        <w:rPr>
          <w:rFonts w:ascii="Book Antiqua" w:hAnsi="Book Antiqua"/>
        </w:rPr>
        <w:t xml:space="preserve">88 </w:t>
      </w:r>
      <w:r w:rsidRPr="00DA5A6A">
        <w:rPr>
          <w:rFonts w:ascii="Book Antiqua" w:hAnsi="Book Antiqua"/>
          <w:b/>
          <w:bCs/>
        </w:rPr>
        <w:t>Tan AR</w:t>
      </w:r>
      <w:r w:rsidRPr="00DA5A6A">
        <w:rPr>
          <w:rFonts w:ascii="Book Antiqua" w:hAnsi="Book Antiqua"/>
        </w:rPr>
        <w:t xml:space="preserve">, Wright GS, Thummala AR, Danso MA, Popovic L, Pluard TJ, Han HS, Vojnović Ž, Vasev N, Ma L, Richards DA, Wilks ST, Milenković D, Yang Z, Antal JM, Morris SR, O'Shaughnessy J. Trilaciclib plus chemotherapy versus chemotherapy alone in patients with metastatic triple-negative breast cancer: a multicentre, randomised, open-label, phase 2 trial. </w:t>
      </w:r>
      <w:r w:rsidRPr="00DA5A6A">
        <w:rPr>
          <w:rFonts w:ascii="Book Antiqua" w:hAnsi="Book Antiqua"/>
          <w:i/>
          <w:iCs/>
        </w:rPr>
        <w:t>Lancet Oncol</w:t>
      </w:r>
      <w:r w:rsidRPr="00DA5A6A">
        <w:rPr>
          <w:rFonts w:ascii="Book Antiqua" w:hAnsi="Book Antiqua"/>
        </w:rPr>
        <w:t xml:space="preserve"> 2019; </w:t>
      </w:r>
      <w:r w:rsidRPr="00DA5A6A">
        <w:rPr>
          <w:rFonts w:ascii="Book Antiqua" w:hAnsi="Book Antiqua"/>
          <w:b/>
          <w:bCs/>
        </w:rPr>
        <w:t>20</w:t>
      </w:r>
      <w:r w:rsidRPr="00DA5A6A">
        <w:rPr>
          <w:rFonts w:ascii="Book Antiqua" w:hAnsi="Book Antiqua"/>
        </w:rPr>
        <w:t>: 1587-1601 [PMID: 31575503 DOI: 10.1016/S1470-2045(19)30616-3]</w:t>
      </w:r>
    </w:p>
    <w:p w14:paraId="3C82E415" w14:textId="2477BC9A" w:rsidR="002F357F" w:rsidRPr="00DA5A6A" w:rsidRDefault="002F357F" w:rsidP="00DA5A6A">
      <w:pPr>
        <w:spacing w:line="360" w:lineRule="auto"/>
        <w:jc w:val="both"/>
        <w:rPr>
          <w:rFonts w:ascii="Book Antiqua" w:hAnsi="Book Antiqua" w:cs="Segoe UI"/>
          <w:color w:val="212121"/>
          <w:shd w:val="clear" w:color="auto" w:fill="FFFFFF"/>
        </w:rPr>
      </w:pPr>
      <w:r w:rsidRPr="00DA5A6A">
        <w:rPr>
          <w:rFonts w:ascii="Book Antiqua" w:hAnsi="Book Antiqua"/>
        </w:rPr>
        <w:t xml:space="preserve">89 </w:t>
      </w:r>
      <w:r w:rsidRPr="00DA5A6A">
        <w:rPr>
          <w:rFonts w:ascii="Book Antiqua" w:hAnsi="Book Antiqua" w:cs="Segoe UI"/>
          <w:b/>
          <w:color w:val="212121"/>
          <w:shd w:val="clear" w:color="auto" w:fill="FFFFFF"/>
        </w:rPr>
        <w:t>Li CH</w:t>
      </w:r>
      <w:r w:rsidRPr="00DA5A6A">
        <w:rPr>
          <w:rFonts w:ascii="Book Antiqua" w:hAnsi="Book Antiqua" w:cs="Segoe UI"/>
          <w:color w:val="212121"/>
          <w:shd w:val="clear" w:color="auto" w:fill="FFFFFF"/>
        </w:rPr>
        <w:t xml:space="preserve">, Karantza V, Aktan G, Lala M. Current treatment landscape for patients with locally recurrent inoperable or metastatic triple-negative breast cancer: a systematic literature review. </w:t>
      </w:r>
      <w:r w:rsidRPr="00DA5A6A">
        <w:rPr>
          <w:rFonts w:ascii="Book Antiqua" w:hAnsi="Book Antiqua" w:cs="Segoe UI"/>
          <w:i/>
          <w:color w:val="212121"/>
          <w:shd w:val="clear" w:color="auto" w:fill="FFFFFF"/>
        </w:rPr>
        <w:t>Breast Cancer Res</w:t>
      </w:r>
      <w:r w:rsidRPr="00DA5A6A">
        <w:rPr>
          <w:rFonts w:ascii="Book Antiqua" w:hAnsi="Book Antiqua" w:cs="Segoe UI"/>
          <w:color w:val="212121"/>
          <w:shd w:val="clear" w:color="auto" w:fill="FFFFFF"/>
        </w:rPr>
        <w:t xml:space="preserve"> 2019;</w:t>
      </w:r>
      <w:r w:rsidR="00192E3E" w:rsidRPr="00DA5A6A">
        <w:rPr>
          <w:rFonts w:ascii="Book Antiqua" w:hAnsi="Book Antiqua" w:cs="Segoe UI"/>
          <w:b/>
          <w:bCs/>
          <w:color w:val="212121"/>
          <w:shd w:val="clear" w:color="auto" w:fill="FFFFFF"/>
        </w:rPr>
        <w:t xml:space="preserve"> </w:t>
      </w:r>
      <w:r w:rsidRPr="00DA5A6A">
        <w:rPr>
          <w:rFonts w:ascii="Book Antiqua" w:hAnsi="Book Antiqua" w:cs="Segoe UI"/>
          <w:b/>
          <w:bCs/>
          <w:color w:val="212121"/>
          <w:shd w:val="clear" w:color="auto" w:fill="FFFFFF"/>
        </w:rPr>
        <w:t>21:</w:t>
      </w:r>
      <w:r w:rsidR="00192E3E" w:rsidRPr="00DA5A6A">
        <w:rPr>
          <w:rFonts w:ascii="Book Antiqua" w:hAnsi="Book Antiqua" w:cs="Segoe UI"/>
          <w:color w:val="212121"/>
          <w:shd w:val="clear" w:color="auto" w:fill="FFFFFF"/>
        </w:rPr>
        <w:t xml:space="preserve"> </w:t>
      </w:r>
      <w:r w:rsidRPr="00DA5A6A">
        <w:rPr>
          <w:rFonts w:ascii="Book Antiqua" w:hAnsi="Book Antiqua" w:cs="Segoe UI"/>
          <w:color w:val="212121"/>
          <w:shd w:val="clear" w:color="auto" w:fill="FFFFFF"/>
        </w:rPr>
        <w:t xml:space="preserve">143 </w:t>
      </w:r>
      <w:r w:rsidR="00192E3E" w:rsidRPr="00DA5A6A">
        <w:rPr>
          <w:rFonts w:ascii="Book Antiqua" w:hAnsi="Book Antiqua" w:cs="Segoe UI"/>
          <w:color w:val="212121"/>
          <w:shd w:val="clear" w:color="auto" w:fill="FFFFFF"/>
        </w:rPr>
        <w:t xml:space="preserve">[PMID: </w:t>
      </w:r>
      <w:bookmarkStart w:id="4" w:name="OLE_LINK2583"/>
      <w:r w:rsidR="00192E3E" w:rsidRPr="00DA5A6A">
        <w:rPr>
          <w:rFonts w:ascii="Book Antiqua" w:hAnsi="Book Antiqua" w:cs="Segoe UI"/>
          <w:color w:val="212121"/>
          <w:shd w:val="clear" w:color="auto" w:fill="FFFFFF"/>
        </w:rPr>
        <w:t>31842957</w:t>
      </w:r>
      <w:bookmarkEnd w:id="4"/>
      <w:r w:rsidR="00192E3E" w:rsidRPr="00DA5A6A">
        <w:rPr>
          <w:rFonts w:ascii="Book Antiqua" w:hAnsi="Book Antiqua" w:cs="Segoe UI"/>
          <w:color w:val="212121"/>
          <w:shd w:val="clear" w:color="auto" w:fill="FFFFFF"/>
        </w:rPr>
        <w:t xml:space="preserve"> DOI</w:t>
      </w:r>
      <w:r w:rsidRPr="00DA5A6A">
        <w:rPr>
          <w:rFonts w:ascii="Book Antiqua" w:hAnsi="Book Antiqua" w:cs="Segoe UI"/>
          <w:color w:val="212121"/>
          <w:shd w:val="clear" w:color="auto" w:fill="FFFFFF"/>
        </w:rPr>
        <w:t>: 10.1186/s13058-019-1210-4</w:t>
      </w:r>
      <w:r w:rsidR="00192E3E" w:rsidRPr="00DA5A6A">
        <w:rPr>
          <w:rFonts w:ascii="Book Antiqua" w:hAnsi="Book Antiqua" w:cs="Segoe UI"/>
          <w:color w:val="212121"/>
          <w:shd w:val="clear" w:color="auto" w:fill="FFFFFF"/>
        </w:rPr>
        <w:t>]</w:t>
      </w:r>
    </w:p>
    <w:p w14:paraId="55650B80" w14:textId="51EB84BC" w:rsidR="00DB3801" w:rsidRPr="00DA5A6A" w:rsidRDefault="00DB3801" w:rsidP="00DA5A6A">
      <w:pPr>
        <w:shd w:val="clear" w:color="auto" w:fill="FFFFFF"/>
        <w:spacing w:line="360" w:lineRule="auto"/>
        <w:jc w:val="both"/>
        <w:rPr>
          <w:rFonts w:ascii="Book Antiqua" w:hAnsi="Book Antiqua" w:cs="Arial"/>
        </w:rPr>
      </w:pPr>
      <w:r w:rsidRPr="00DA5A6A">
        <w:rPr>
          <w:rFonts w:ascii="Book Antiqua" w:hAnsi="Book Antiqua" w:cs="Arial"/>
        </w:rPr>
        <w:t>90</w:t>
      </w:r>
      <w:r w:rsidR="00DA5A6A" w:rsidRPr="00DA5A6A">
        <w:rPr>
          <w:rFonts w:ascii="Book Antiqua" w:hAnsi="Book Antiqua" w:cs="Arial"/>
        </w:rPr>
        <w:t xml:space="preserve"> </w:t>
      </w:r>
      <w:r w:rsidR="00DA5A6A" w:rsidRPr="00DA5A6A">
        <w:rPr>
          <w:rStyle w:val="journalname"/>
          <w:rFonts w:ascii="Book Antiqua" w:hAnsi="Book Antiqua" w:cs="Arial" w:hint="eastAsia"/>
          <w:b/>
          <w:bCs/>
        </w:rPr>
        <w:t>Page DB</w:t>
      </w:r>
      <w:r w:rsidR="00DA5A6A" w:rsidRPr="006A0862">
        <w:rPr>
          <w:rStyle w:val="journalname"/>
          <w:rFonts w:ascii="Book Antiqua" w:hAnsi="Book Antiqua" w:cs="Arial" w:hint="eastAsia"/>
        </w:rPr>
        <w:t>,</w:t>
      </w:r>
      <w:r w:rsidR="00DA5A6A" w:rsidRPr="00DA5A6A">
        <w:rPr>
          <w:rStyle w:val="journalname"/>
          <w:rFonts w:ascii="Book Antiqua" w:hAnsi="Book Antiqua" w:cs="Arial" w:hint="eastAsia"/>
          <w:b/>
          <w:bCs/>
        </w:rPr>
        <w:t xml:space="preserve"> </w:t>
      </w:r>
      <w:r w:rsidR="00DA5A6A" w:rsidRPr="00DA5A6A">
        <w:rPr>
          <w:rStyle w:val="journalname"/>
          <w:rFonts w:ascii="Book Antiqua" w:hAnsi="Book Antiqua" w:cs="Arial" w:hint="eastAsia"/>
        </w:rPr>
        <w:t xml:space="preserve">Chun B, Pucilowska J, Kim I, Mcarthur HL. </w:t>
      </w:r>
      <w:r w:rsidR="00312777" w:rsidRPr="00DA5A6A">
        <w:rPr>
          <w:rStyle w:val="journalname"/>
          <w:rFonts w:ascii="Book Antiqua" w:hAnsi="Book Antiqua" w:cs="Arial"/>
        </w:rPr>
        <w:t>Pembrolizumab (pembro) with paclitaxel (taxol) or capecitabine (cape) as early treatment of metastatic triple-negative breast cancer (mTNBC).</w:t>
      </w:r>
      <w:r w:rsidRPr="00DA5A6A">
        <w:rPr>
          <w:rFonts w:ascii="Book Antiqua" w:hAnsi="Book Antiqua" w:cs="Arial"/>
        </w:rPr>
        <w:t xml:space="preserve"> </w:t>
      </w:r>
      <w:r w:rsidRPr="00DA5A6A">
        <w:rPr>
          <w:rStyle w:val="journalname"/>
          <w:rFonts w:ascii="Book Antiqua" w:hAnsi="Book Antiqua" w:cs="Arial"/>
          <w:i/>
          <w:iCs/>
          <w:shd w:val="clear" w:color="auto" w:fill="FFFFFF"/>
        </w:rPr>
        <w:t>J Clin Oncol</w:t>
      </w:r>
      <w:r w:rsidR="00DA5A6A">
        <w:rPr>
          <w:rFonts w:ascii="Book Antiqua" w:hAnsi="Book Antiqua" w:cs="Arial"/>
          <w:shd w:val="clear" w:color="auto" w:fill="FFFFFF"/>
        </w:rPr>
        <w:t xml:space="preserve"> </w:t>
      </w:r>
      <w:r w:rsidRPr="00DA5A6A">
        <w:rPr>
          <w:rStyle w:val="year"/>
          <w:rFonts w:ascii="Book Antiqua" w:hAnsi="Book Antiqua" w:cs="Arial"/>
          <w:shd w:val="clear" w:color="auto" w:fill="FFFFFF"/>
        </w:rPr>
        <w:t>2019</w:t>
      </w:r>
      <w:r w:rsidR="00DA5A6A">
        <w:rPr>
          <w:rStyle w:val="year"/>
          <w:rFonts w:ascii="Book Antiqua" w:hAnsi="Book Antiqua" w:cs="Arial"/>
          <w:shd w:val="clear" w:color="auto" w:fill="FFFFFF"/>
        </w:rPr>
        <w:t>,</w:t>
      </w:r>
      <w:r w:rsidR="00DA5A6A">
        <w:rPr>
          <w:rFonts w:ascii="Book Antiqua" w:hAnsi="Book Antiqua" w:cs="Arial"/>
          <w:shd w:val="clear" w:color="auto" w:fill="FFFFFF"/>
        </w:rPr>
        <w:t xml:space="preserve"> </w:t>
      </w:r>
      <w:r w:rsidRPr="00DA5A6A">
        <w:rPr>
          <w:rStyle w:val="volume"/>
          <w:rFonts w:ascii="Book Antiqua" w:hAnsi="Book Antiqua" w:cs="Arial"/>
          <w:shd w:val="clear" w:color="auto" w:fill="FFFFFF"/>
        </w:rPr>
        <w:t>37</w:t>
      </w:r>
      <w:r w:rsidRPr="00DA5A6A">
        <w:rPr>
          <w:rFonts w:ascii="Book Antiqua" w:hAnsi="Book Antiqua" w:cs="Arial"/>
          <w:shd w:val="clear" w:color="auto" w:fill="FFFFFF"/>
        </w:rPr>
        <w:t>:</w:t>
      </w:r>
      <w:r w:rsidR="00DA5A6A">
        <w:rPr>
          <w:rFonts w:ascii="Book Antiqua" w:hAnsi="Book Antiqua" w:cs="Arial"/>
          <w:shd w:val="clear" w:color="auto" w:fill="FFFFFF"/>
        </w:rPr>
        <w:t xml:space="preserve"> </w:t>
      </w:r>
      <w:r w:rsidRPr="00DA5A6A">
        <w:rPr>
          <w:rStyle w:val="issue"/>
          <w:rFonts w:ascii="Book Antiqua" w:hAnsi="Book Antiqua" w:cs="Arial"/>
          <w:b/>
          <w:bCs/>
          <w:shd w:val="clear" w:color="auto" w:fill="FFFFFF"/>
        </w:rPr>
        <w:t>15</w:t>
      </w:r>
      <w:r w:rsidR="00DA5A6A" w:rsidRPr="006A0862">
        <w:rPr>
          <w:rStyle w:val="issue"/>
          <w:rFonts w:ascii="Book Antiqua" w:hAnsi="Book Antiqua" w:cs="Arial"/>
          <w:shd w:val="clear" w:color="auto" w:fill="FFFFFF"/>
        </w:rPr>
        <w:t>:</w:t>
      </w:r>
      <w:r w:rsidR="00DA5A6A">
        <w:rPr>
          <w:rStyle w:val="issue"/>
          <w:rFonts w:ascii="Book Antiqua" w:hAnsi="Book Antiqua" w:cs="Arial"/>
          <w:shd w:val="clear" w:color="auto" w:fill="FFFFFF"/>
        </w:rPr>
        <w:t xml:space="preserve"> </w:t>
      </w:r>
      <w:r w:rsidRPr="00DA5A6A">
        <w:rPr>
          <w:rStyle w:val="page"/>
          <w:rFonts w:ascii="Book Antiqua" w:hAnsi="Book Antiqua" w:cs="Arial"/>
          <w:shd w:val="clear" w:color="auto" w:fill="FFFFFF"/>
        </w:rPr>
        <w:t>1015-1015</w:t>
      </w:r>
      <w:r w:rsidR="00DA5A6A">
        <w:rPr>
          <w:rStyle w:val="page"/>
          <w:rFonts w:ascii="Book Antiqua" w:hAnsi="Book Antiqua" w:cs="Arial"/>
          <w:shd w:val="clear" w:color="auto" w:fill="FFFFFF"/>
        </w:rPr>
        <w:t xml:space="preserve"> [DOI:</w:t>
      </w:r>
      <w:r w:rsidR="00DA5A6A" w:rsidRPr="00DA5A6A">
        <w:rPr>
          <w:rStyle w:val="nlmstring-name"/>
        </w:rPr>
        <w:t xml:space="preserve"> </w:t>
      </w:r>
      <w:r w:rsidR="00DA5A6A" w:rsidRPr="00DA5A6A">
        <w:rPr>
          <w:rStyle w:val="nlmstring-name"/>
          <w:rFonts w:ascii="Book Antiqua" w:hAnsi="Book Antiqua" w:cs="Arial" w:hint="eastAsia"/>
        </w:rPr>
        <w:t>10.1200/JCO.2019.37.15_suppl.1015</w:t>
      </w:r>
      <w:r w:rsidR="00DA5A6A" w:rsidRPr="00DA5A6A">
        <w:rPr>
          <w:rStyle w:val="nlmstring-name"/>
        </w:rPr>
        <w:t>]</w:t>
      </w:r>
    </w:p>
    <w:bookmarkEnd w:id="2"/>
    <w:p w14:paraId="3358B366" w14:textId="2234F8B9" w:rsidR="00DB3801" w:rsidRPr="00DA5A6A" w:rsidRDefault="00DB3801" w:rsidP="00DA5A6A">
      <w:pPr>
        <w:spacing w:line="360" w:lineRule="auto"/>
        <w:jc w:val="both"/>
        <w:rPr>
          <w:rFonts w:ascii="Book Antiqua" w:hAnsi="Book Antiqua"/>
        </w:rPr>
        <w:sectPr w:rsidR="00DB3801" w:rsidRPr="00DA5A6A">
          <w:pgSz w:w="12240" w:h="15840"/>
          <w:pgMar w:top="1440" w:right="1440" w:bottom="1440" w:left="1440" w:header="720" w:footer="720" w:gutter="0"/>
          <w:cols w:space="720"/>
          <w:docGrid w:linePitch="360"/>
        </w:sectPr>
      </w:pPr>
    </w:p>
    <w:p w14:paraId="050699C0" w14:textId="77777777"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b/>
          <w:color w:val="000000"/>
        </w:rPr>
        <w:lastRenderedPageBreak/>
        <w:t>Footnotes</w:t>
      </w:r>
    </w:p>
    <w:p w14:paraId="69451830" w14:textId="718A85AB"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b/>
          <w:bCs/>
          <w:color w:val="000000"/>
        </w:rPr>
        <w:t xml:space="preserve">Conflict-of-interest statement: </w:t>
      </w:r>
      <w:r w:rsidRPr="00DA5A6A">
        <w:rPr>
          <w:rFonts w:ascii="Book Antiqua" w:eastAsia="Book Antiqua" w:hAnsi="Book Antiqua" w:cs="Book Antiqua"/>
          <w:color w:val="000000"/>
        </w:rPr>
        <w:t>The authors have no conflict of interests to declare</w:t>
      </w:r>
      <w:r w:rsidR="00421EA9" w:rsidRPr="00DA5A6A">
        <w:rPr>
          <w:rFonts w:ascii="Book Antiqua" w:eastAsia="Book Antiqua" w:hAnsi="Book Antiqua" w:cs="Book Antiqua"/>
          <w:color w:val="000000"/>
        </w:rPr>
        <w:t>.</w:t>
      </w:r>
    </w:p>
    <w:p w14:paraId="1ABDE78B" w14:textId="77777777" w:rsidR="00A77B3E" w:rsidRPr="00DA5A6A" w:rsidRDefault="00A77B3E" w:rsidP="00DA5A6A">
      <w:pPr>
        <w:spacing w:line="360" w:lineRule="auto"/>
        <w:jc w:val="both"/>
        <w:rPr>
          <w:rFonts w:ascii="Book Antiqua" w:hAnsi="Book Antiqua"/>
        </w:rPr>
      </w:pPr>
    </w:p>
    <w:p w14:paraId="02688DE0" w14:textId="77777777"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b/>
          <w:bCs/>
          <w:color w:val="000000"/>
        </w:rPr>
        <w:t xml:space="preserve">Open-Access: </w:t>
      </w:r>
      <w:r w:rsidRPr="00DA5A6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177DB5" w14:textId="77777777" w:rsidR="00A77B3E" w:rsidRPr="00DA5A6A" w:rsidRDefault="00A77B3E" w:rsidP="00DA5A6A">
      <w:pPr>
        <w:spacing w:line="360" w:lineRule="auto"/>
        <w:jc w:val="both"/>
        <w:rPr>
          <w:rFonts w:ascii="Book Antiqua" w:hAnsi="Book Antiqua"/>
        </w:rPr>
      </w:pPr>
    </w:p>
    <w:p w14:paraId="203E2621" w14:textId="7D973B1B"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b/>
          <w:color w:val="000000"/>
        </w:rPr>
        <w:t xml:space="preserve">Manuscript source: </w:t>
      </w:r>
      <w:r w:rsidRPr="00DA5A6A">
        <w:rPr>
          <w:rFonts w:ascii="Book Antiqua" w:eastAsia="Book Antiqua" w:hAnsi="Book Antiqua" w:cs="Book Antiqua"/>
          <w:color w:val="000000"/>
        </w:rPr>
        <w:t xml:space="preserve">Invited </w:t>
      </w:r>
      <w:r w:rsidR="00096850" w:rsidRPr="00DA5A6A">
        <w:rPr>
          <w:rFonts w:ascii="Book Antiqua" w:eastAsia="Book Antiqua" w:hAnsi="Book Antiqua" w:cs="Book Antiqua"/>
          <w:color w:val="000000"/>
        </w:rPr>
        <w:t>m</w:t>
      </w:r>
      <w:r w:rsidRPr="00DA5A6A">
        <w:rPr>
          <w:rFonts w:ascii="Book Antiqua" w:eastAsia="Book Antiqua" w:hAnsi="Book Antiqua" w:cs="Book Antiqua"/>
          <w:color w:val="000000"/>
        </w:rPr>
        <w:t>anuscript</w:t>
      </w:r>
    </w:p>
    <w:p w14:paraId="0B499242" w14:textId="77777777" w:rsidR="00A77B3E" w:rsidRPr="00DA5A6A" w:rsidRDefault="00A77B3E" w:rsidP="00DA5A6A">
      <w:pPr>
        <w:spacing w:line="360" w:lineRule="auto"/>
        <w:jc w:val="both"/>
        <w:rPr>
          <w:rFonts w:ascii="Book Antiqua" w:hAnsi="Book Antiqua"/>
        </w:rPr>
      </w:pPr>
    </w:p>
    <w:p w14:paraId="207CA16B" w14:textId="77777777"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b/>
          <w:color w:val="000000"/>
        </w:rPr>
        <w:t xml:space="preserve">Peer-review started: </w:t>
      </w:r>
      <w:r w:rsidRPr="00DA5A6A">
        <w:rPr>
          <w:rFonts w:ascii="Book Antiqua" w:eastAsia="Book Antiqua" w:hAnsi="Book Antiqua" w:cs="Book Antiqua"/>
          <w:color w:val="000000"/>
        </w:rPr>
        <w:t>November 26, 2020</w:t>
      </w:r>
    </w:p>
    <w:p w14:paraId="684940E0" w14:textId="77777777"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b/>
          <w:color w:val="000000"/>
        </w:rPr>
        <w:t xml:space="preserve">First decision: </w:t>
      </w:r>
      <w:r w:rsidRPr="00DA5A6A">
        <w:rPr>
          <w:rFonts w:ascii="Book Antiqua" w:eastAsia="Book Antiqua" w:hAnsi="Book Antiqua" w:cs="Book Antiqua"/>
          <w:color w:val="000000"/>
        </w:rPr>
        <w:t>December 11, 2020</w:t>
      </w:r>
    </w:p>
    <w:p w14:paraId="5D4AC001" w14:textId="77777777"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b/>
          <w:color w:val="000000"/>
        </w:rPr>
        <w:t xml:space="preserve">Article in press: </w:t>
      </w:r>
    </w:p>
    <w:p w14:paraId="17B4DACE" w14:textId="77777777" w:rsidR="00A77B3E" w:rsidRPr="00DA5A6A" w:rsidRDefault="00A77B3E" w:rsidP="00DA5A6A">
      <w:pPr>
        <w:spacing w:line="360" w:lineRule="auto"/>
        <w:jc w:val="both"/>
        <w:rPr>
          <w:rFonts w:ascii="Book Antiqua" w:hAnsi="Book Antiqua"/>
        </w:rPr>
      </w:pPr>
    </w:p>
    <w:p w14:paraId="103ACEA8" w14:textId="7E8DE69F"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b/>
          <w:color w:val="000000"/>
        </w:rPr>
        <w:t xml:space="preserve">Specialty type: </w:t>
      </w:r>
      <w:r w:rsidR="00096850" w:rsidRPr="00DA5A6A">
        <w:rPr>
          <w:rFonts w:ascii="Book Antiqua" w:eastAsia="Microsoft YaHei" w:hAnsi="Book Antiqua" w:cs="SimSun"/>
        </w:rPr>
        <w:t>Oncology</w:t>
      </w:r>
      <w:r w:rsidRPr="00DA5A6A">
        <w:rPr>
          <w:rFonts w:ascii="Book Antiqua" w:eastAsia="Book Antiqua" w:hAnsi="Book Antiqua" w:cs="Book Antiqua"/>
          <w:color w:val="000000"/>
        </w:rPr>
        <w:t xml:space="preserve"> </w:t>
      </w:r>
    </w:p>
    <w:p w14:paraId="3B16B0E3" w14:textId="77777777"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b/>
          <w:color w:val="000000"/>
        </w:rPr>
        <w:t xml:space="preserve">Country/Territory of origin: </w:t>
      </w:r>
      <w:r w:rsidRPr="00DA5A6A">
        <w:rPr>
          <w:rFonts w:ascii="Book Antiqua" w:eastAsia="Book Antiqua" w:hAnsi="Book Antiqua" w:cs="Book Antiqua"/>
          <w:color w:val="000000"/>
        </w:rPr>
        <w:t>Ireland</w:t>
      </w:r>
    </w:p>
    <w:p w14:paraId="708CD498" w14:textId="77777777"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b/>
          <w:color w:val="000000"/>
        </w:rPr>
        <w:t>Peer-review report’s scientific quality classification</w:t>
      </w:r>
    </w:p>
    <w:p w14:paraId="65C4CD24" w14:textId="77777777"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color w:val="000000"/>
        </w:rPr>
        <w:t>Grade A (Excellent): 0</w:t>
      </w:r>
    </w:p>
    <w:p w14:paraId="49FEDD15" w14:textId="77777777"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color w:val="000000"/>
        </w:rPr>
        <w:t>Grade B (Very good): B</w:t>
      </w:r>
    </w:p>
    <w:p w14:paraId="517443E6" w14:textId="77777777"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color w:val="000000"/>
        </w:rPr>
        <w:t>Grade C (Good): 0</w:t>
      </w:r>
    </w:p>
    <w:p w14:paraId="745D9D27" w14:textId="77777777"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color w:val="000000"/>
        </w:rPr>
        <w:t>Grade D (Fair): 0</w:t>
      </w:r>
    </w:p>
    <w:p w14:paraId="4662CFC3" w14:textId="77777777" w:rsidR="00A77B3E" w:rsidRPr="00DA5A6A" w:rsidRDefault="00F74C48" w:rsidP="00DA5A6A">
      <w:pPr>
        <w:spacing w:line="360" w:lineRule="auto"/>
        <w:jc w:val="both"/>
        <w:rPr>
          <w:rFonts w:ascii="Book Antiqua" w:hAnsi="Book Antiqua"/>
        </w:rPr>
      </w:pPr>
      <w:r w:rsidRPr="00DA5A6A">
        <w:rPr>
          <w:rFonts w:ascii="Book Antiqua" w:eastAsia="Book Antiqua" w:hAnsi="Book Antiqua" w:cs="Book Antiqua"/>
          <w:color w:val="000000"/>
        </w:rPr>
        <w:t>Grade E (Poor): 0</w:t>
      </w:r>
    </w:p>
    <w:p w14:paraId="57C94993" w14:textId="77777777" w:rsidR="00A77B3E" w:rsidRPr="00DA5A6A" w:rsidRDefault="00A77B3E" w:rsidP="00DA5A6A">
      <w:pPr>
        <w:spacing w:line="360" w:lineRule="auto"/>
        <w:jc w:val="both"/>
        <w:rPr>
          <w:rFonts w:ascii="Book Antiqua" w:hAnsi="Book Antiqua"/>
        </w:rPr>
      </w:pPr>
    </w:p>
    <w:p w14:paraId="60186F28" w14:textId="3459D7CC" w:rsidR="00A77B3E" w:rsidRPr="00DA5A6A" w:rsidRDefault="00F74C48" w:rsidP="00DA5A6A">
      <w:pPr>
        <w:spacing w:line="360" w:lineRule="auto"/>
        <w:jc w:val="both"/>
        <w:rPr>
          <w:rFonts w:ascii="Book Antiqua" w:eastAsia="Book Antiqua" w:hAnsi="Book Antiqua" w:cs="Book Antiqua"/>
          <w:b/>
          <w:color w:val="000000"/>
        </w:rPr>
      </w:pPr>
      <w:r w:rsidRPr="00DA5A6A">
        <w:rPr>
          <w:rFonts w:ascii="Book Antiqua" w:eastAsia="Book Antiqua" w:hAnsi="Book Antiqua" w:cs="Book Antiqua"/>
          <w:b/>
          <w:color w:val="000000"/>
        </w:rPr>
        <w:t xml:space="preserve">P-Reviewer: </w:t>
      </w:r>
      <w:r w:rsidRPr="00DA5A6A">
        <w:rPr>
          <w:rFonts w:ascii="Book Antiqua" w:eastAsia="Book Antiqua" w:hAnsi="Book Antiqua" w:cs="Book Antiqua"/>
          <w:color w:val="000000"/>
        </w:rPr>
        <w:t>Wongkajornsilp A</w:t>
      </w:r>
      <w:r w:rsidRPr="00DA5A6A">
        <w:rPr>
          <w:rFonts w:ascii="Book Antiqua" w:eastAsia="Book Antiqua" w:hAnsi="Book Antiqua" w:cs="Book Antiqua"/>
          <w:b/>
          <w:color w:val="000000"/>
        </w:rPr>
        <w:t xml:space="preserve"> S-Editor: </w:t>
      </w:r>
      <w:r w:rsidRPr="00DA5A6A">
        <w:rPr>
          <w:rFonts w:ascii="Book Antiqua" w:eastAsia="Book Antiqua" w:hAnsi="Book Antiqua" w:cs="Book Antiqua"/>
          <w:color w:val="000000"/>
        </w:rPr>
        <w:t>Fan JR</w:t>
      </w:r>
      <w:r w:rsidRPr="00DA5A6A">
        <w:rPr>
          <w:rFonts w:ascii="Book Antiqua" w:eastAsia="Book Antiqua" w:hAnsi="Book Antiqua" w:cs="Book Antiqua"/>
          <w:b/>
          <w:color w:val="000000"/>
        </w:rPr>
        <w:t xml:space="preserve"> L-Editor: </w:t>
      </w:r>
      <w:r w:rsidR="00954162">
        <w:rPr>
          <w:rFonts w:ascii="Book Antiqua" w:eastAsia="Book Antiqua" w:hAnsi="Book Antiqua" w:cs="Book Antiqua"/>
          <w:bCs/>
          <w:color w:val="000000"/>
        </w:rPr>
        <w:t>Filipodia</w:t>
      </w:r>
      <w:r w:rsidRPr="00DA5A6A">
        <w:rPr>
          <w:rFonts w:ascii="Book Antiqua" w:eastAsia="Book Antiqua" w:hAnsi="Book Antiqua" w:cs="Book Antiqua"/>
          <w:b/>
          <w:color w:val="000000"/>
        </w:rPr>
        <w:t xml:space="preserve"> P-Editor: </w:t>
      </w:r>
    </w:p>
    <w:p w14:paraId="246D3ACF" w14:textId="7B909D84" w:rsidR="00F74C48" w:rsidRPr="00DA5A6A" w:rsidRDefault="00F74C48" w:rsidP="00DA5A6A">
      <w:pPr>
        <w:spacing w:line="360" w:lineRule="auto"/>
        <w:jc w:val="both"/>
        <w:rPr>
          <w:rFonts w:ascii="Book Antiqua" w:hAnsi="Book Antiqua" w:cs="Arial"/>
          <w:b/>
        </w:rPr>
      </w:pPr>
      <w:r w:rsidRPr="00DA5A6A">
        <w:rPr>
          <w:rFonts w:ascii="Book Antiqua" w:eastAsia="Book Antiqua" w:hAnsi="Book Antiqua" w:cs="Book Antiqua"/>
          <w:b/>
          <w:color w:val="000000"/>
        </w:rPr>
        <w:br w:type="page"/>
      </w:r>
      <w:r w:rsidR="00637A74" w:rsidRPr="00DA5A6A">
        <w:rPr>
          <w:rFonts w:ascii="Book Antiqua" w:hAnsi="Book Antiqua" w:cs="Arial"/>
          <w:b/>
          <w:bCs/>
        </w:rPr>
        <w:lastRenderedPageBreak/>
        <w:t xml:space="preserve">Table 1 </w:t>
      </w:r>
      <w:r w:rsidR="00637A74" w:rsidRPr="00DA5A6A">
        <w:rPr>
          <w:rFonts w:ascii="Book Antiqua" w:hAnsi="Book Antiqua" w:cs="Arial"/>
          <w:b/>
        </w:rPr>
        <w:t xml:space="preserve">Historical </w:t>
      </w:r>
      <w:r w:rsidR="00393454" w:rsidRPr="00DA5A6A">
        <w:rPr>
          <w:rFonts w:ascii="Book Antiqua" w:hAnsi="Book Antiqua" w:cs="Arial"/>
          <w:b/>
        </w:rPr>
        <w:t>o</w:t>
      </w:r>
      <w:r w:rsidR="00637A74" w:rsidRPr="00DA5A6A">
        <w:rPr>
          <w:rFonts w:ascii="Book Antiqua" w:hAnsi="Book Antiqua" w:cs="Arial"/>
          <w:b/>
        </w:rPr>
        <w:t xml:space="preserve">utcomes in </w:t>
      </w:r>
      <w:r w:rsidR="00393454" w:rsidRPr="00DA5A6A">
        <w:rPr>
          <w:rFonts w:ascii="Book Antiqua" w:hAnsi="Book Antiqua" w:cs="Arial"/>
          <w:b/>
        </w:rPr>
        <w:t>m</w:t>
      </w:r>
      <w:r w:rsidR="00637A74" w:rsidRPr="00DA5A6A">
        <w:rPr>
          <w:rFonts w:ascii="Book Antiqua" w:hAnsi="Book Antiqua" w:cs="Arial"/>
          <w:b/>
        </w:rPr>
        <w:t xml:space="preserve">etastatic </w:t>
      </w:r>
      <w:r w:rsidR="00393454" w:rsidRPr="00DA5A6A">
        <w:rPr>
          <w:rFonts w:ascii="Book Antiqua" w:hAnsi="Book Antiqua" w:cs="Arial"/>
          <w:b/>
        </w:rPr>
        <w:t>t</w:t>
      </w:r>
      <w:r w:rsidR="00637A74" w:rsidRPr="00DA5A6A">
        <w:rPr>
          <w:rFonts w:ascii="Book Antiqua" w:hAnsi="Book Antiqua" w:cs="Arial"/>
          <w:b/>
        </w:rPr>
        <w:t xml:space="preserve">riple </w:t>
      </w:r>
      <w:r w:rsidR="00393454" w:rsidRPr="00DA5A6A">
        <w:rPr>
          <w:rFonts w:ascii="Book Antiqua" w:hAnsi="Book Antiqua" w:cs="Arial"/>
          <w:b/>
        </w:rPr>
        <w:t>n</w:t>
      </w:r>
      <w:r w:rsidR="00637A74" w:rsidRPr="00DA5A6A">
        <w:rPr>
          <w:rFonts w:ascii="Book Antiqua" w:hAnsi="Book Antiqua" w:cs="Arial"/>
          <w:b/>
        </w:rPr>
        <w:t xml:space="preserve">egative </w:t>
      </w:r>
      <w:r w:rsidR="00393454" w:rsidRPr="00DA5A6A">
        <w:rPr>
          <w:rFonts w:ascii="Book Antiqua" w:hAnsi="Book Antiqua" w:cs="Arial"/>
          <w:b/>
        </w:rPr>
        <w:t>b</w:t>
      </w:r>
      <w:r w:rsidR="00637A74" w:rsidRPr="00DA5A6A">
        <w:rPr>
          <w:rFonts w:ascii="Book Antiqua" w:hAnsi="Book Antiqua" w:cs="Arial"/>
          <w:b/>
        </w:rPr>
        <w:t xml:space="preserve">reast </w:t>
      </w:r>
      <w:r w:rsidR="00393454" w:rsidRPr="00DA5A6A">
        <w:rPr>
          <w:rFonts w:ascii="Book Antiqua" w:hAnsi="Book Antiqua" w:cs="Arial"/>
          <w:b/>
        </w:rPr>
        <w:t>c</w:t>
      </w:r>
      <w:r w:rsidR="00637A74" w:rsidRPr="00DA5A6A">
        <w:rPr>
          <w:rFonts w:ascii="Book Antiqua" w:hAnsi="Book Antiqua" w:cs="Arial"/>
          <w:b/>
        </w:rPr>
        <w:t xml:space="preserve">ancer </w:t>
      </w:r>
    </w:p>
    <w:tbl>
      <w:tblPr>
        <w:tblStyle w:val="TableGrid"/>
        <w:tblW w:w="936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1"/>
        <w:gridCol w:w="1782"/>
        <w:gridCol w:w="2091"/>
        <w:gridCol w:w="1937"/>
      </w:tblGrid>
      <w:tr w:rsidR="00637A74" w:rsidRPr="00DA5A6A" w14:paraId="1C21A28C" w14:textId="77777777" w:rsidTr="00695FCF">
        <w:trPr>
          <w:trHeight w:val="421"/>
        </w:trPr>
        <w:tc>
          <w:tcPr>
            <w:tcW w:w="3551" w:type="dxa"/>
            <w:tcBorders>
              <w:top w:val="single" w:sz="4" w:space="0" w:color="auto"/>
              <w:bottom w:val="single" w:sz="4" w:space="0" w:color="auto"/>
            </w:tcBorders>
          </w:tcPr>
          <w:p w14:paraId="7AA24939" w14:textId="77777777" w:rsidR="00637A74" w:rsidRPr="00DA5A6A" w:rsidRDefault="00637A74" w:rsidP="00DA5A6A">
            <w:pPr>
              <w:spacing w:line="360" w:lineRule="auto"/>
              <w:jc w:val="both"/>
              <w:rPr>
                <w:rFonts w:ascii="Book Antiqua" w:hAnsi="Book Antiqua" w:cs="Arial"/>
                <w:b/>
                <w:bCs/>
              </w:rPr>
            </w:pPr>
          </w:p>
        </w:tc>
        <w:tc>
          <w:tcPr>
            <w:tcW w:w="1782" w:type="dxa"/>
            <w:tcBorders>
              <w:top w:val="single" w:sz="4" w:space="0" w:color="auto"/>
              <w:bottom w:val="single" w:sz="4" w:space="0" w:color="auto"/>
            </w:tcBorders>
          </w:tcPr>
          <w:p w14:paraId="3EE00FAF" w14:textId="7614B1F1" w:rsidR="00637A74" w:rsidRPr="00DA5A6A" w:rsidRDefault="00637A74" w:rsidP="00DA5A6A">
            <w:pPr>
              <w:spacing w:line="360" w:lineRule="auto"/>
              <w:jc w:val="both"/>
              <w:rPr>
                <w:rFonts w:ascii="Book Antiqua" w:hAnsi="Book Antiqua" w:cs="Arial"/>
                <w:b/>
                <w:bCs/>
              </w:rPr>
            </w:pPr>
            <w:r w:rsidRPr="00DA5A6A">
              <w:rPr>
                <w:rFonts w:ascii="Book Antiqua" w:eastAsia="Times New Roman" w:hAnsi="Book Antiqua" w:cs="Arial"/>
                <w:b/>
                <w:bCs/>
                <w:kern w:val="24"/>
                <w:lang w:val="en-GB" w:eastAsia="en-IE"/>
              </w:rPr>
              <w:t>ORR (%)</w:t>
            </w:r>
          </w:p>
        </w:tc>
        <w:tc>
          <w:tcPr>
            <w:tcW w:w="2091" w:type="dxa"/>
            <w:tcBorders>
              <w:top w:val="single" w:sz="4" w:space="0" w:color="auto"/>
              <w:bottom w:val="single" w:sz="4" w:space="0" w:color="auto"/>
            </w:tcBorders>
          </w:tcPr>
          <w:p w14:paraId="34C68FB5" w14:textId="3009A4D1" w:rsidR="00637A74" w:rsidRPr="00DA5A6A" w:rsidRDefault="00637A74" w:rsidP="00695FCF">
            <w:pPr>
              <w:spacing w:line="360" w:lineRule="auto"/>
              <w:jc w:val="both"/>
              <w:rPr>
                <w:rFonts w:ascii="Book Antiqua" w:hAnsi="Book Antiqua" w:cs="Arial"/>
                <w:b/>
                <w:bCs/>
              </w:rPr>
            </w:pPr>
            <w:r w:rsidRPr="00DA5A6A">
              <w:rPr>
                <w:rFonts w:ascii="Book Antiqua" w:eastAsia="Times New Roman" w:hAnsi="Book Antiqua" w:cs="Arial"/>
                <w:b/>
                <w:bCs/>
                <w:kern w:val="24"/>
                <w:lang w:val="en-GB" w:eastAsia="en-IE"/>
              </w:rPr>
              <w:t>PFS (mo)</w:t>
            </w:r>
          </w:p>
        </w:tc>
        <w:tc>
          <w:tcPr>
            <w:tcW w:w="1937" w:type="dxa"/>
            <w:tcBorders>
              <w:top w:val="single" w:sz="4" w:space="0" w:color="auto"/>
              <w:bottom w:val="single" w:sz="4" w:space="0" w:color="auto"/>
            </w:tcBorders>
          </w:tcPr>
          <w:p w14:paraId="4083D225" w14:textId="7D04A83C" w:rsidR="00637A74" w:rsidRPr="00DA5A6A" w:rsidRDefault="00637A74" w:rsidP="00695FCF">
            <w:pPr>
              <w:spacing w:line="360" w:lineRule="auto"/>
              <w:jc w:val="both"/>
              <w:rPr>
                <w:rFonts w:ascii="Book Antiqua" w:hAnsi="Book Antiqua" w:cs="Arial"/>
                <w:b/>
                <w:bCs/>
              </w:rPr>
            </w:pPr>
            <w:r w:rsidRPr="00DA5A6A">
              <w:rPr>
                <w:rFonts w:ascii="Book Antiqua" w:eastAsia="Times New Roman" w:hAnsi="Book Antiqua" w:cs="Arial"/>
                <w:b/>
                <w:bCs/>
                <w:kern w:val="24"/>
                <w:lang w:val="en-GB" w:eastAsia="en-IE"/>
              </w:rPr>
              <w:t>OS (mo)</w:t>
            </w:r>
          </w:p>
        </w:tc>
      </w:tr>
      <w:tr w:rsidR="00637A74" w:rsidRPr="00DA5A6A" w14:paraId="7C4BAC90" w14:textId="77777777" w:rsidTr="00695FCF">
        <w:trPr>
          <w:trHeight w:val="386"/>
        </w:trPr>
        <w:tc>
          <w:tcPr>
            <w:tcW w:w="3551" w:type="dxa"/>
            <w:tcBorders>
              <w:top w:val="single" w:sz="4" w:space="0" w:color="auto"/>
            </w:tcBorders>
          </w:tcPr>
          <w:p w14:paraId="516584D0" w14:textId="2293D209" w:rsidR="00637A74" w:rsidRPr="00DA5A6A" w:rsidRDefault="00637A74"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 xml:space="preserve">Single agent </w:t>
            </w:r>
            <w:r w:rsidR="004604D9" w:rsidRPr="00DA5A6A">
              <w:rPr>
                <w:rFonts w:ascii="Book Antiqua" w:eastAsia="Times New Roman" w:hAnsi="Book Antiqua" w:cs="Arial"/>
                <w:kern w:val="24"/>
                <w:lang w:val="en-GB" w:eastAsia="en-IE"/>
              </w:rPr>
              <w:t>c</w:t>
            </w:r>
            <w:r w:rsidRPr="00DA5A6A">
              <w:rPr>
                <w:rFonts w:ascii="Book Antiqua" w:eastAsia="Times New Roman" w:hAnsi="Book Antiqua" w:cs="Arial"/>
                <w:kern w:val="24"/>
                <w:lang w:val="en-GB" w:eastAsia="en-IE"/>
              </w:rPr>
              <w:t>hemotherapy</w:t>
            </w:r>
          </w:p>
        </w:tc>
        <w:tc>
          <w:tcPr>
            <w:tcW w:w="1782" w:type="dxa"/>
            <w:tcBorders>
              <w:top w:val="single" w:sz="4" w:space="0" w:color="auto"/>
            </w:tcBorders>
          </w:tcPr>
          <w:p w14:paraId="3EA502FE" w14:textId="77777777" w:rsidR="00637A74" w:rsidRPr="00DA5A6A" w:rsidRDefault="00637A74" w:rsidP="00DA5A6A">
            <w:pPr>
              <w:spacing w:line="360" w:lineRule="auto"/>
              <w:jc w:val="both"/>
              <w:rPr>
                <w:rFonts w:ascii="Book Antiqua" w:hAnsi="Book Antiqua" w:cs="Arial"/>
                <w:b/>
                <w:bCs/>
              </w:rPr>
            </w:pPr>
          </w:p>
        </w:tc>
        <w:tc>
          <w:tcPr>
            <w:tcW w:w="2091" w:type="dxa"/>
            <w:tcBorders>
              <w:top w:val="single" w:sz="4" w:space="0" w:color="auto"/>
            </w:tcBorders>
          </w:tcPr>
          <w:p w14:paraId="5B70A589" w14:textId="77777777" w:rsidR="00637A74" w:rsidRPr="00DA5A6A" w:rsidRDefault="00637A74" w:rsidP="00DA5A6A">
            <w:pPr>
              <w:spacing w:line="360" w:lineRule="auto"/>
              <w:jc w:val="both"/>
              <w:rPr>
                <w:rFonts w:ascii="Book Antiqua" w:hAnsi="Book Antiqua" w:cs="Arial"/>
                <w:b/>
                <w:bCs/>
              </w:rPr>
            </w:pPr>
          </w:p>
        </w:tc>
        <w:tc>
          <w:tcPr>
            <w:tcW w:w="1937" w:type="dxa"/>
            <w:tcBorders>
              <w:top w:val="single" w:sz="4" w:space="0" w:color="auto"/>
            </w:tcBorders>
          </w:tcPr>
          <w:p w14:paraId="0B8B5BC1" w14:textId="77777777" w:rsidR="00637A74" w:rsidRPr="00DA5A6A" w:rsidRDefault="00637A74" w:rsidP="00DA5A6A">
            <w:pPr>
              <w:spacing w:line="360" w:lineRule="auto"/>
              <w:jc w:val="both"/>
              <w:rPr>
                <w:rFonts w:ascii="Book Antiqua" w:hAnsi="Book Antiqua" w:cs="Arial"/>
                <w:b/>
                <w:bCs/>
              </w:rPr>
            </w:pPr>
          </w:p>
        </w:tc>
      </w:tr>
      <w:tr w:rsidR="00637A74" w:rsidRPr="00DA5A6A" w14:paraId="540F266B" w14:textId="77777777" w:rsidTr="00695FCF">
        <w:trPr>
          <w:trHeight w:val="432"/>
        </w:trPr>
        <w:tc>
          <w:tcPr>
            <w:tcW w:w="3551" w:type="dxa"/>
          </w:tcPr>
          <w:p w14:paraId="7E280C04" w14:textId="2940B693" w:rsidR="00637A74" w:rsidRPr="00DA5A6A" w:rsidRDefault="00637A74" w:rsidP="00DA5A6A">
            <w:pPr>
              <w:spacing w:line="360" w:lineRule="auto"/>
              <w:jc w:val="both"/>
              <w:rPr>
                <w:rFonts w:ascii="Book Antiqua" w:eastAsia="Times New Roman" w:hAnsi="Book Antiqua" w:cs="Arial"/>
                <w:lang w:eastAsia="en-IE"/>
              </w:rPr>
            </w:pPr>
            <w:r w:rsidRPr="00DA5A6A">
              <w:rPr>
                <w:rFonts w:ascii="Book Antiqua" w:eastAsia="Times New Roman" w:hAnsi="Book Antiqua" w:cs="Arial"/>
                <w:kern w:val="24"/>
                <w:lang w:val="en-GB" w:eastAsia="en-IE"/>
              </w:rPr>
              <w:t>1L</w:t>
            </w:r>
          </w:p>
        </w:tc>
        <w:tc>
          <w:tcPr>
            <w:tcW w:w="1782" w:type="dxa"/>
          </w:tcPr>
          <w:p w14:paraId="6161F175" w14:textId="32A8FCEB" w:rsidR="00637A74" w:rsidRPr="00DA5A6A" w:rsidRDefault="00637A74" w:rsidP="00DA5A6A">
            <w:pPr>
              <w:spacing w:line="360" w:lineRule="auto"/>
              <w:jc w:val="both"/>
              <w:rPr>
                <w:rFonts w:ascii="Book Antiqua" w:eastAsia="Times New Roman" w:hAnsi="Book Antiqua" w:cs="Arial"/>
                <w:lang w:eastAsia="en-IE"/>
              </w:rPr>
            </w:pPr>
            <w:r w:rsidRPr="00DA5A6A">
              <w:rPr>
                <w:rFonts w:ascii="Book Antiqua" w:eastAsia="Times New Roman" w:hAnsi="Book Antiqua" w:cs="Arial"/>
                <w:kern w:val="24"/>
                <w:lang w:val="en-GB" w:eastAsia="en-IE"/>
              </w:rPr>
              <w:t>10.0-28.0</w:t>
            </w:r>
          </w:p>
        </w:tc>
        <w:tc>
          <w:tcPr>
            <w:tcW w:w="2091" w:type="dxa"/>
          </w:tcPr>
          <w:p w14:paraId="05790706" w14:textId="17FBA335" w:rsidR="00637A74" w:rsidRPr="00DA5A6A" w:rsidRDefault="00637A74" w:rsidP="00DA5A6A">
            <w:pPr>
              <w:spacing w:line="360" w:lineRule="auto"/>
              <w:jc w:val="both"/>
              <w:rPr>
                <w:rFonts w:ascii="Book Antiqua" w:eastAsia="Times New Roman" w:hAnsi="Book Antiqua" w:cs="Arial"/>
                <w:lang w:eastAsia="en-IE"/>
              </w:rPr>
            </w:pPr>
            <w:r w:rsidRPr="00DA5A6A">
              <w:rPr>
                <w:rFonts w:ascii="Book Antiqua" w:eastAsia="Times New Roman" w:hAnsi="Book Antiqua" w:cs="Arial"/>
                <w:kern w:val="24"/>
                <w:lang w:val="en-GB" w:eastAsia="en-IE"/>
              </w:rPr>
              <w:t>3.5-5.4</w:t>
            </w:r>
          </w:p>
        </w:tc>
        <w:tc>
          <w:tcPr>
            <w:tcW w:w="1937" w:type="dxa"/>
          </w:tcPr>
          <w:p w14:paraId="0F0F2BC7" w14:textId="2BB0E7F2" w:rsidR="00637A74" w:rsidRPr="00DA5A6A" w:rsidRDefault="00637A74" w:rsidP="00DA5A6A">
            <w:pPr>
              <w:spacing w:line="360" w:lineRule="auto"/>
              <w:jc w:val="both"/>
              <w:rPr>
                <w:rFonts w:ascii="Book Antiqua" w:eastAsia="Times New Roman" w:hAnsi="Book Antiqua" w:cs="Arial"/>
                <w:lang w:eastAsia="en-IE"/>
              </w:rPr>
            </w:pPr>
            <w:r w:rsidRPr="00DA5A6A">
              <w:rPr>
                <w:rFonts w:ascii="Book Antiqua" w:eastAsia="Times New Roman" w:hAnsi="Book Antiqua" w:cs="Arial"/>
                <w:kern w:val="24"/>
                <w:lang w:val="en-GB" w:eastAsia="en-IE"/>
              </w:rPr>
              <w:t>9.9-17.5</w:t>
            </w:r>
          </w:p>
        </w:tc>
      </w:tr>
      <w:tr w:rsidR="00820B36" w:rsidRPr="00DA5A6A" w14:paraId="339CC5E1" w14:textId="77777777" w:rsidTr="00695FCF">
        <w:trPr>
          <w:trHeight w:val="287"/>
        </w:trPr>
        <w:tc>
          <w:tcPr>
            <w:tcW w:w="3551" w:type="dxa"/>
          </w:tcPr>
          <w:p w14:paraId="63ECDEE2" w14:textId="201C2269" w:rsidR="00820B36" w:rsidRPr="00DA5A6A" w:rsidRDefault="00820B36"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val="en-GB" w:eastAsia="en-IE"/>
              </w:rPr>
              <w:t>2L</w:t>
            </w:r>
          </w:p>
        </w:tc>
        <w:tc>
          <w:tcPr>
            <w:tcW w:w="1782" w:type="dxa"/>
          </w:tcPr>
          <w:p w14:paraId="112F6297" w14:textId="6546CC00" w:rsidR="00820B36" w:rsidRPr="00DA5A6A" w:rsidRDefault="00820B36"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eastAsia="en-IE"/>
              </w:rPr>
              <w:t>6.0-18.0</w:t>
            </w:r>
          </w:p>
        </w:tc>
        <w:tc>
          <w:tcPr>
            <w:tcW w:w="2091" w:type="dxa"/>
          </w:tcPr>
          <w:p w14:paraId="61E5F034" w14:textId="15A466E3" w:rsidR="00820B36" w:rsidRPr="00DA5A6A" w:rsidRDefault="00820B36"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eastAsia="en-IE"/>
              </w:rPr>
              <w:t>2.7-3.4</w:t>
            </w:r>
          </w:p>
        </w:tc>
        <w:tc>
          <w:tcPr>
            <w:tcW w:w="1937" w:type="dxa"/>
          </w:tcPr>
          <w:p w14:paraId="4D3CE151" w14:textId="0933F4BD" w:rsidR="00820B36" w:rsidRPr="00DA5A6A" w:rsidRDefault="00820B36"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eastAsia="en-IE"/>
              </w:rPr>
              <w:t>9.2-15.2</w:t>
            </w:r>
          </w:p>
        </w:tc>
      </w:tr>
      <w:tr w:rsidR="00637A74" w:rsidRPr="00DA5A6A" w14:paraId="0856BD68" w14:textId="77777777" w:rsidTr="00695FCF">
        <w:trPr>
          <w:trHeight w:val="453"/>
        </w:trPr>
        <w:tc>
          <w:tcPr>
            <w:tcW w:w="3551" w:type="dxa"/>
          </w:tcPr>
          <w:p w14:paraId="2D331958" w14:textId="04448DE1" w:rsidR="00637A74" w:rsidRPr="00DA5A6A" w:rsidRDefault="00637A74"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 xml:space="preserve">Combination </w:t>
            </w:r>
            <w:r w:rsidR="00820B36" w:rsidRPr="00DA5A6A">
              <w:rPr>
                <w:rFonts w:ascii="Book Antiqua" w:eastAsia="Times New Roman" w:hAnsi="Book Antiqua" w:cs="Arial"/>
                <w:kern w:val="24"/>
                <w:lang w:val="en-GB" w:eastAsia="en-IE"/>
              </w:rPr>
              <w:t>c</w:t>
            </w:r>
            <w:r w:rsidRPr="00DA5A6A">
              <w:rPr>
                <w:rFonts w:ascii="Book Antiqua" w:eastAsia="Times New Roman" w:hAnsi="Book Antiqua" w:cs="Arial"/>
                <w:kern w:val="24"/>
                <w:lang w:val="en-GB" w:eastAsia="en-IE"/>
              </w:rPr>
              <w:t>hemotherapy</w:t>
            </w:r>
          </w:p>
        </w:tc>
        <w:tc>
          <w:tcPr>
            <w:tcW w:w="1782" w:type="dxa"/>
          </w:tcPr>
          <w:p w14:paraId="1C6012E6" w14:textId="77777777" w:rsidR="00637A74" w:rsidRPr="00DA5A6A" w:rsidRDefault="00637A74" w:rsidP="00DA5A6A">
            <w:pPr>
              <w:spacing w:line="360" w:lineRule="auto"/>
              <w:jc w:val="both"/>
              <w:rPr>
                <w:rFonts w:ascii="Book Antiqua" w:hAnsi="Book Antiqua" w:cs="Arial"/>
                <w:b/>
                <w:bCs/>
              </w:rPr>
            </w:pPr>
          </w:p>
        </w:tc>
        <w:tc>
          <w:tcPr>
            <w:tcW w:w="2091" w:type="dxa"/>
          </w:tcPr>
          <w:p w14:paraId="2CC1B16F" w14:textId="77777777" w:rsidR="00637A74" w:rsidRPr="00DA5A6A" w:rsidRDefault="00637A74" w:rsidP="00DA5A6A">
            <w:pPr>
              <w:spacing w:line="360" w:lineRule="auto"/>
              <w:jc w:val="both"/>
              <w:rPr>
                <w:rFonts w:ascii="Book Antiqua" w:hAnsi="Book Antiqua" w:cs="Arial"/>
                <w:b/>
                <w:bCs/>
              </w:rPr>
            </w:pPr>
          </w:p>
        </w:tc>
        <w:tc>
          <w:tcPr>
            <w:tcW w:w="1937" w:type="dxa"/>
          </w:tcPr>
          <w:p w14:paraId="1DC0CBCA" w14:textId="77777777" w:rsidR="00637A74" w:rsidRPr="00DA5A6A" w:rsidRDefault="00637A74" w:rsidP="00DA5A6A">
            <w:pPr>
              <w:spacing w:line="360" w:lineRule="auto"/>
              <w:jc w:val="both"/>
              <w:rPr>
                <w:rFonts w:ascii="Book Antiqua" w:hAnsi="Book Antiqua" w:cs="Arial"/>
                <w:b/>
                <w:bCs/>
              </w:rPr>
            </w:pPr>
          </w:p>
        </w:tc>
      </w:tr>
      <w:tr w:rsidR="00637A74" w:rsidRPr="00DA5A6A" w14:paraId="07CA80E3" w14:textId="77777777" w:rsidTr="00695FCF">
        <w:trPr>
          <w:trHeight w:val="445"/>
        </w:trPr>
        <w:tc>
          <w:tcPr>
            <w:tcW w:w="3551" w:type="dxa"/>
          </w:tcPr>
          <w:p w14:paraId="5A8AF1B3" w14:textId="5503AF4D" w:rsidR="00637A74" w:rsidRPr="00DA5A6A" w:rsidRDefault="00637A74" w:rsidP="00DA5A6A">
            <w:pPr>
              <w:spacing w:line="360" w:lineRule="auto"/>
              <w:jc w:val="both"/>
              <w:rPr>
                <w:rFonts w:ascii="Book Antiqua" w:eastAsia="Times New Roman" w:hAnsi="Book Antiqua" w:cs="Arial"/>
                <w:lang w:eastAsia="en-IE"/>
              </w:rPr>
            </w:pPr>
            <w:r w:rsidRPr="00DA5A6A">
              <w:rPr>
                <w:rFonts w:ascii="Book Antiqua" w:eastAsia="Times New Roman" w:hAnsi="Book Antiqua" w:cs="Arial"/>
                <w:kern w:val="24"/>
                <w:lang w:val="en-GB" w:eastAsia="en-IE"/>
              </w:rPr>
              <w:t>1L</w:t>
            </w:r>
          </w:p>
        </w:tc>
        <w:tc>
          <w:tcPr>
            <w:tcW w:w="1782" w:type="dxa"/>
          </w:tcPr>
          <w:p w14:paraId="1F6758E4" w14:textId="35FDA615" w:rsidR="00637A74" w:rsidRPr="00DA5A6A" w:rsidRDefault="00637A74" w:rsidP="00DA5A6A">
            <w:pPr>
              <w:spacing w:line="360" w:lineRule="auto"/>
              <w:jc w:val="both"/>
              <w:rPr>
                <w:rFonts w:ascii="Book Antiqua" w:eastAsia="Times New Roman" w:hAnsi="Book Antiqua" w:cs="Arial"/>
                <w:lang w:eastAsia="en-IE"/>
              </w:rPr>
            </w:pPr>
            <w:r w:rsidRPr="00DA5A6A">
              <w:rPr>
                <w:rFonts w:ascii="Book Antiqua" w:eastAsia="Times New Roman" w:hAnsi="Book Antiqua" w:cs="Arial"/>
                <w:kern w:val="24"/>
                <w:lang w:val="en-GB" w:eastAsia="en-IE"/>
              </w:rPr>
              <w:t>14.8</w:t>
            </w:r>
            <w:r w:rsidR="00D26E12">
              <w:rPr>
                <w:rFonts w:ascii="Book Antiqua" w:eastAsia="Times New Roman" w:hAnsi="Book Antiqua" w:cs="Arial"/>
                <w:kern w:val="24"/>
                <w:lang w:val="en-GB" w:eastAsia="en-IE"/>
              </w:rPr>
              <w:t>-</w:t>
            </w:r>
            <w:r w:rsidRPr="00DA5A6A">
              <w:rPr>
                <w:rFonts w:ascii="Book Antiqua" w:eastAsia="Times New Roman" w:hAnsi="Book Antiqua" w:cs="Arial"/>
                <w:kern w:val="24"/>
                <w:lang w:val="en-GB" w:eastAsia="en-IE"/>
              </w:rPr>
              <w:t>64.3</w:t>
            </w:r>
          </w:p>
        </w:tc>
        <w:tc>
          <w:tcPr>
            <w:tcW w:w="2091" w:type="dxa"/>
          </w:tcPr>
          <w:p w14:paraId="5AC9D5C7" w14:textId="50A35018" w:rsidR="00637A74" w:rsidRPr="00DA5A6A" w:rsidRDefault="00637A74" w:rsidP="00DA5A6A">
            <w:pPr>
              <w:spacing w:line="360" w:lineRule="auto"/>
              <w:jc w:val="both"/>
              <w:rPr>
                <w:rFonts w:ascii="Book Antiqua" w:eastAsia="Times New Roman" w:hAnsi="Book Antiqua" w:cs="Arial"/>
                <w:lang w:eastAsia="en-IE"/>
              </w:rPr>
            </w:pPr>
            <w:r w:rsidRPr="00DA5A6A">
              <w:rPr>
                <w:rFonts w:ascii="Book Antiqua" w:eastAsia="Times New Roman" w:hAnsi="Book Antiqua" w:cs="Arial"/>
                <w:kern w:val="24"/>
                <w:lang w:val="en-GB" w:eastAsia="en-IE"/>
              </w:rPr>
              <w:t>4.8</w:t>
            </w:r>
            <w:r w:rsidR="00D26E12">
              <w:rPr>
                <w:rFonts w:ascii="Book Antiqua" w:eastAsia="Times New Roman" w:hAnsi="Book Antiqua" w:cs="Arial"/>
                <w:kern w:val="24"/>
                <w:lang w:val="en-GB" w:eastAsia="en-IE"/>
              </w:rPr>
              <w:t>-</w:t>
            </w:r>
            <w:r w:rsidRPr="00DA5A6A">
              <w:rPr>
                <w:rFonts w:ascii="Book Antiqua" w:eastAsia="Times New Roman" w:hAnsi="Book Antiqua" w:cs="Arial"/>
                <w:kern w:val="24"/>
                <w:lang w:val="en-GB" w:eastAsia="en-IE"/>
              </w:rPr>
              <w:t>9.0</w:t>
            </w:r>
          </w:p>
        </w:tc>
        <w:tc>
          <w:tcPr>
            <w:tcW w:w="1937" w:type="dxa"/>
          </w:tcPr>
          <w:p w14:paraId="0C1B20EB" w14:textId="2CFDC6AF" w:rsidR="00637A74" w:rsidRPr="00DA5A6A" w:rsidRDefault="00637A74" w:rsidP="00DA5A6A">
            <w:pPr>
              <w:spacing w:line="360" w:lineRule="auto"/>
              <w:jc w:val="both"/>
              <w:rPr>
                <w:rFonts w:ascii="Book Antiqua" w:eastAsia="Times New Roman" w:hAnsi="Book Antiqua" w:cs="Arial"/>
                <w:lang w:eastAsia="en-IE"/>
              </w:rPr>
            </w:pPr>
            <w:r w:rsidRPr="00DA5A6A">
              <w:rPr>
                <w:rFonts w:ascii="Book Antiqua" w:eastAsia="Times New Roman" w:hAnsi="Book Antiqua" w:cs="Arial"/>
                <w:kern w:val="24"/>
                <w:lang w:val="en-GB" w:eastAsia="en-IE"/>
              </w:rPr>
              <w:t>13.9-24.2</w:t>
            </w:r>
          </w:p>
        </w:tc>
      </w:tr>
      <w:tr w:rsidR="005408E0" w:rsidRPr="00DA5A6A" w14:paraId="0CE01562" w14:textId="77777777" w:rsidTr="00695FCF">
        <w:trPr>
          <w:trHeight w:val="432"/>
        </w:trPr>
        <w:tc>
          <w:tcPr>
            <w:tcW w:w="3551" w:type="dxa"/>
          </w:tcPr>
          <w:p w14:paraId="24EF0F14" w14:textId="711F23F1" w:rsidR="005408E0" w:rsidRPr="00DA5A6A" w:rsidRDefault="005408E0"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val="en-GB" w:eastAsia="en-IE"/>
              </w:rPr>
              <w:t>2L+</w:t>
            </w:r>
          </w:p>
        </w:tc>
        <w:tc>
          <w:tcPr>
            <w:tcW w:w="1782" w:type="dxa"/>
          </w:tcPr>
          <w:p w14:paraId="02224B6F" w14:textId="24C64634" w:rsidR="005408E0" w:rsidRPr="00DA5A6A" w:rsidRDefault="005408E0"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eastAsia="en-IE"/>
              </w:rPr>
              <w:t>27.0</w:t>
            </w:r>
            <w:r w:rsidRPr="00DA5A6A">
              <w:rPr>
                <w:rFonts w:ascii="Book Antiqua" w:eastAsia="Times New Roman" w:hAnsi="Book Antiqua" w:cs="Arial"/>
                <w:kern w:val="24"/>
                <w:vertAlign w:val="superscript"/>
                <w:lang w:eastAsia="en-IE"/>
              </w:rPr>
              <w:t>1</w:t>
            </w:r>
            <w:r w:rsidRPr="00DA5A6A">
              <w:rPr>
                <w:rFonts w:ascii="Book Antiqua" w:eastAsia="Times New Roman" w:hAnsi="Book Antiqua" w:cs="Arial"/>
                <w:kern w:val="24"/>
                <w:lang w:eastAsia="en-IE"/>
              </w:rPr>
              <w:t>-60.0</w:t>
            </w:r>
          </w:p>
        </w:tc>
        <w:tc>
          <w:tcPr>
            <w:tcW w:w="2091" w:type="dxa"/>
          </w:tcPr>
          <w:p w14:paraId="78B49AA4" w14:textId="5E098B56" w:rsidR="005408E0" w:rsidRPr="00DA5A6A" w:rsidRDefault="005408E0"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val="en-GB" w:eastAsia="en-IE"/>
              </w:rPr>
              <w:t>2.9-7.0</w:t>
            </w:r>
          </w:p>
        </w:tc>
        <w:tc>
          <w:tcPr>
            <w:tcW w:w="1937" w:type="dxa"/>
          </w:tcPr>
          <w:p w14:paraId="439D840F" w14:textId="199454E1" w:rsidR="005408E0" w:rsidRPr="00DA5A6A" w:rsidRDefault="005408E0"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val="en-GB" w:eastAsia="en-IE"/>
              </w:rPr>
              <w:t>8.1-16.5</w:t>
            </w:r>
          </w:p>
        </w:tc>
      </w:tr>
    </w:tbl>
    <w:p w14:paraId="040E02E0" w14:textId="57D4D9E5" w:rsidR="003B741C" w:rsidRPr="00DA5A6A" w:rsidRDefault="005408E0" w:rsidP="00DA5A6A">
      <w:pPr>
        <w:spacing w:line="360" w:lineRule="auto"/>
        <w:jc w:val="both"/>
        <w:rPr>
          <w:rFonts w:ascii="Book Antiqua" w:hAnsi="Book Antiqua" w:cs="Arial"/>
          <w:bCs/>
        </w:rPr>
      </w:pPr>
      <w:r w:rsidRPr="00DA5A6A">
        <w:rPr>
          <w:rFonts w:ascii="Book Antiqua" w:hAnsi="Book Antiqua" w:cs="Arial"/>
          <w:bCs/>
          <w:vertAlign w:val="superscript"/>
        </w:rPr>
        <w:t>1</w:t>
      </w:r>
      <w:r w:rsidRPr="00DA5A6A">
        <w:rPr>
          <w:rFonts w:ascii="Book Antiqua" w:hAnsi="Book Antiqua" w:cs="Arial"/>
          <w:bCs/>
        </w:rPr>
        <w:t>1-3</w:t>
      </w:r>
      <w:r w:rsidR="008A7325" w:rsidRPr="00DA5A6A">
        <w:rPr>
          <w:rFonts w:ascii="Book Antiqua" w:hAnsi="Book Antiqua" w:cs="Arial"/>
          <w:bCs/>
        </w:rPr>
        <w:t>L</w:t>
      </w:r>
      <w:r w:rsidRPr="00DA5A6A">
        <w:rPr>
          <w:rFonts w:ascii="Book Antiqua" w:hAnsi="Book Antiqua" w:cs="Arial"/>
          <w:bCs/>
        </w:rPr>
        <w:t>ines</w:t>
      </w:r>
      <w:r w:rsidRPr="00DA5A6A">
        <w:rPr>
          <w:rFonts w:ascii="Book Antiqua" w:hAnsi="Book Antiqua" w:cs="Arial"/>
          <w:lang w:eastAsia="zh-CN"/>
        </w:rPr>
        <w:t>.</w:t>
      </w:r>
      <w:r w:rsidRPr="00DA5A6A">
        <w:rPr>
          <w:rFonts w:ascii="Book Antiqua" w:hAnsi="Book Antiqua" w:cs="Arial"/>
          <w:b/>
          <w:bCs/>
          <w:lang w:eastAsia="zh-CN"/>
        </w:rPr>
        <w:t xml:space="preserve"> </w:t>
      </w:r>
      <w:r w:rsidRPr="00DA5A6A">
        <w:rPr>
          <w:rFonts w:ascii="Book Antiqua" w:hAnsi="Book Antiqua" w:cs="Arial"/>
          <w:bCs/>
        </w:rPr>
        <w:t>Adapted from</w:t>
      </w:r>
      <w:r w:rsidR="00075D50" w:rsidRPr="00DA5A6A">
        <w:rPr>
          <w:rFonts w:ascii="Book Antiqua" w:hAnsi="Book Antiqua" w:cs="Arial"/>
          <w:bCs/>
        </w:rPr>
        <w:t>:</w:t>
      </w:r>
      <w:r w:rsidRPr="00DA5A6A">
        <w:rPr>
          <w:rFonts w:ascii="Book Antiqua" w:hAnsi="Book Antiqua" w:cs="Arial"/>
          <w:bCs/>
        </w:rPr>
        <w:t xml:space="preserve"> Li </w:t>
      </w:r>
      <w:r w:rsidRPr="00DA5A6A">
        <w:rPr>
          <w:rFonts w:ascii="Book Antiqua" w:hAnsi="Book Antiqua" w:cs="Arial"/>
          <w:bCs/>
          <w:i/>
          <w:iCs/>
        </w:rPr>
        <w:t>et al</w:t>
      </w:r>
      <w:r w:rsidR="001E3C18" w:rsidRPr="00DA5A6A">
        <w:rPr>
          <w:rFonts w:ascii="Book Antiqua" w:eastAsia="Book Antiqua" w:hAnsi="Book Antiqua" w:cs="Book Antiqua"/>
          <w:shd w:val="clear" w:color="auto" w:fill="FFFFFF"/>
          <w:vertAlign w:val="superscript"/>
        </w:rPr>
        <w:t>[89]</w:t>
      </w:r>
      <w:r w:rsidR="00DB3801" w:rsidRPr="00DA5A6A">
        <w:rPr>
          <w:rFonts w:ascii="Book Antiqua" w:hAnsi="Book Antiqua" w:cs="Arial"/>
          <w:bCs/>
        </w:rPr>
        <w:t xml:space="preserve">. </w:t>
      </w:r>
      <w:r w:rsidR="00DB3801" w:rsidRPr="00DA5A6A">
        <w:rPr>
          <w:rFonts w:ascii="Book Antiqua" w:eastAsia="Times New Roman" w:hAnsi="Book Antiqua" w:cs="Arial"/>
          <w:kern w:val="24"/>
          <w:lang w:val="en-GB" w:eastAsia="en-IE"/>
        </w:rPr>
        <w:t>ORR: Overall response rate</w:t>
      </w:r>
      <w:r w:rsidR="00E73B57" w:rsidRPr="00DA5A6A">
        <w:rPr>
          <w:rFonts w:ascii="Book Antiqua" w:eastAsia="Times New Roman" w:hAnsi="Book Antiqua" w:cs="Arial"/>
          <w:kern w:val="24"/>
          <w:lang w:val="en-GB" w:eastAsia="en-IE"/>
        </w:rPr>
        <w:t xml:space="preserve">; PFS: </w:t>
      </w:r>
      <w:r w:rsidR="00E73B57" w:rsidRPr="00DA5A6A">
        <w:rPr>
          <w:rFonts w:ascii="Book Antiqua" w:eastAsia="Book Antiqua" w:hAnsi="Book Antiqua" w:cs="Book Antiqua"/>
          <w:color w:val="000000"/>
        </w:rPr>
        <w:t>Progression free survival; OS: Overall survival.</w:t>
      </w:r>
      <w:r w:rsidR="00DB3801" w:rsidRPr="00DA5A6A">
        <w:rPr>
          <w:rFonts w:ascii="Book Antiqua" w:eastAsia="Book Antiqua" w:hAnsi="Book Antiqua" w:cs="Book Antiqua"/>
          <w:color w:val="000000"/>
          <w:shd w:val="clear" w:color="auto" w:fill="FFFFFF"/>
          <w:vertAlign w:val="superscript"/>
        </w:rPr>
        <w:t xml:space="preserve"> </w:t>
      </w:r>
    </w:p>
    <w:p w14:paraId="57F93C2E" w14:textId="4F51B0F3" w:rsidR="00637A74" w:rsidRPr="00DA5A6A" w:rsidRDefault="003B741C" w:rsidP="00DA5A6A">
      <w:pPr>
        <w:spacing w:line="360" w:lineRule="auto"/>
        <w:jc w:val="both"/>
        <w:rPr>
          <w:rFonts w:ascii="Book Antiqua" w:hAnsi="Book Antiqua"/>
          <w:b/>
        </w:rPr>
      </w:pPr>
      <w:r w:rsidRPr="00DA5A6A">
        <w:rPr>
          <w:rFonts w:ascii="Book Antiqua" w:hAnsi="Book Antiqua" w:cs="Arial"/>
          <w:b/>
          <w:bCs/>
        </w:rPr>
        <w:br w:type="page"/>
      </w:r>
      <w:r w:rsidRPr="00DA5A6A">
        <w:rPr>
          <w:rFonts w:ascii="Book Antiqua" w:hAnsi="Book Antiqua"/>
          <w:b/>
          <w:bCs/>
        </w:rPr>
        <w:lastRenderedPageBreak/>
        <w:t>Table 2</w:t>
      </w:r>
      <w:r w:rsidRPr="00DA5A6A">
        <w:rPr>
          <w:rFonts w:ascii="Book Antiqua" w:hAnsi="Book Antiqua"/>
          <w:b/>
        </w:rPr>
        <w:t xml:space="preserve"> Immunotherapy as a monotherapy in metastatic triple negative breast cancer</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7"/>
        <w:gridCol w:w="633"/>
        <w:gridCol w:w="880"/>
        <w:gridCol w:w="1134"/>
        <w:gridCol w:w="1134"/>
        <w:gridCol w:w="1134"/>
        <w:gridCol w:w="1418"/>
        <w:gridCol w:w="1246"/>
      </w:tblGrid>
      <w:tr w:rsidR="00B913A0" w:rsidRPr="00DA5A6A" w14:paraId="1B291A6E" w14:textId="77777777" w:rsidTr="00910045">
        <w:tc>
          <w:tcPr>
            <w:tcW w:w="1997" w:type="dxa"/>
            <w:tcBorders>
              <w:top w:val="single" w:sz="4" w:space="0" w:color="auto"/>
              <w:bottom w:val="single" w:sz="4" w:space="0" w:color="auto"/>
            </w:tcBorders>
          </w:tcPr>
          <w:p w14:paraId="113F407E" w14:textId="1EC74BBE" w:rsidR="00B913A0" w:rsidRPr="00DA5A6A" w:rsidRDefault="00B913A0" w:rsidP="00DA5A6A">
            <w:pPr>
              <w:spacing w:line="360" w:lineRule="auto"/>
              <w:jc w:val="both"/>
              <w:rPr>
                <w:rFonts w:ascii="Book Antiqua" w:hAnsi="Book Antiqua"/>
                <w:b/>
              </w:rPr>
            </w:pPr>
            <w:r w:rsidRPr="00DA5A6A">
              <w:rPr>
                <w:rFonts w:ascii="Book Antiqua" w:eastAsia="Times New Roman" w:hAnsi="Book Antiqua" w:cs="Arial"/>
                <w:b/>
                <w:bCs/>
                <w:kern w:val="24"/>
                <w:lang w:val="en-GB" w:eastAsia="en-IE"/>
              </w:rPr>
              <w:t>Trial</w:t>
            </w:r>
          </w:p>
        </w:tc>
        <w:tc>
          <w:tcPr>
            <w:tcW w:w="633" w:type="dxa"/>
            <w:tcBorders>
              <w:top w:val="single" w:sz="4" w:space="0" w:color="auto"/>
              <w:bottom w:val="single" w:sz="4" w:space="0" w:color="auto"/>
            </w:tcBorders>
          </w:tcPr>
          <w:p w14:paraId="4299D28D" w14:textId="6675F883" w:rsidR="00B913A0" w:rsidRPr="00DA5A6A" w:rsidRDefault="00AC1A93" w:rsidP="00DA5A6A">
            <w:pPr>
              <w:spacing w:line="360" w:lineRule="auto"/>
              <w:jc w:val="both"/>
              <w:rPr>
                <w:rFonts w:ascii="Book Antiqua" w:hAnsi="Book Antiqua"/>
                <w:b/>
              </w:rPr>
            </w:pPr>
            <w:r w:rsidRPr="00DA5A6A">
              <w:rPr>
                <w:rFonts w:ascii="Book Antiqua" w:eastAsia="Times New Roman" w:hAnsi="Book Antiqua" w:cs="Arial"/>
                <w:b/>
                <w:bCs/>
                <w:i/>
                <w:iCs/>
                <w:kern w:val="24"/>
                <w:lang w:val="en-GB" w:eastAsia="en-IE"/>
              </w:rPr>
              <w:t>n</w:t>
            </w:r>
          </w:p>
        </w:tc>
        <w:tc>
          <w:tcPr>
            <w:tcW w:w="880" w:type="dxa"/>
            <w:tcBorders>
              <w:top w:val="single" w:sz="4" w:space="0" w:color="auto"/>
              <w:bottom w:val="single" w:sz="4" w:space="0" w:color="auto"/>
            </w:tcBorders>
          </w:tcPr>
          <w:p w14:paraId="222F4E94" w14:textId="5B1095A8" w:rsidR="00B913A0" w:rsidRPr="00DA5A6A" w:rsidRDefault="00B913A0" w:rsidP="00DA5A6A">
            <w:pPr>
              <w:spacing w:line="360" w:lineRule="auto"/>
              <w:jc w:val="both"/>
              <w:rPr>
                <w:rFonts w:ascii="Book Antiqua" w:hAnsi="Book Antiqua"/>
                <w:b/>
              </w:rPr>
            </w:pPr>
            <w:r w:rsidRPr="00DA5A6A">
              <w:rPr>
                <w:rFonts w:ascii="Book Antiqua" w:eastAsia="Times New Roman" w:hAnsi="Book Antiqua" w:cs="Arial"/>
                <w:b/>
                <w:bCs/>
                <w:kern w:val="24"/>
                <w:lang w:val="en-GB" w:eastAsia="en-IE"/>
              </w:rPr>
              <w:t>Drug</w:t>
            </w:r>
          </w:p>
        </w:tc>
        <w:tc>
          <w:tcPr>
            <w:tcW w:w="1134" w:type="dxa"/>
            <w:tcBorders>
              <w:top w:val="single" w:sz="4" w:space="0" w:color="auto"/>
              <w:bottom w:val="single" w:sz="4" w:space="0" w:color="auto"/>
            </w:tcBorders>
          </w:tcPr>
          <w:p w14:paraId="0BE65810" w14:textId="264A3B47" w:rsidR="00B913A0" w:rsidRPr="00DA5A6A" w:rsidRDefault="00B913A0" w:rsidP="00DA5A6A">
            <w:pPr>
              <w:spacing w:line="360" w:lineRule="auto"/>
              <w:jc w:val="both"/>
              <w:rPr>
                <w:rFonts w:ascii="Book Antiqua" w:hAnsi="Book Antiqua"/>
                <w:b/>
              </w:rPr>
            </w:pPr>
            <w:r w:rsidRPr="00DA5A6A">
              <w:rPr>
                <w:rFonts w:ascii="Book Antiqua" w:eastAsia="Times New Roman" w:hAnsi="Book Antiqua" w:cs="Arial"/>
                <w:b/>
                <w:bCs/>
                <w:kern w:val="24"/>
                <w:lang w:val="en-GB" w:eastAsia="en-IE"/>
              </w:rPr>
              <w:t>ORR</w:t>
            </w:r>
            <w:r w:rsidRPr="00DA5A6A">
              <w:rPr>
                <w:rFonts w:ascii="Book Antiqua" w:hAnsi="Book Antiqua" w:cs="Arial"/>
                <w:b/>
                <w:bCs/>
                <w:kern w:val="24"/>
                <w:lang w:eastAsia="zh-CN"/>
              </w:rPr>
              <w:t xml:space="preserve"> </w:t>
            </w:r>
            <w:r w:rsidRPr="00DA5A6A">
              <w:rPr>
                <w:rFonts w:ascii="Book Antiqua" w:eastAsia="Times New Roman" w:hAnsi="Book Antiqua" w:cs="Arial"/>
                <w:b/>
                <w:bCs/>
                <w:kern w:val="24"/>
                <w:lang w:val="en-GB" w:eastAsia="en-IE"/>
              </w:rPr>
              <w:t>1</w:t>
            </w:r>
            <w:r w:rsidRPr="00DA5A6A">
              <w:rPr>
                <w:rFonts w:ascii="Book Antiqua" w:eastAsia="Times New Roman" w:hAnsi="Book Antiqua" w:cs="Arial"/>
                <w:b/>
                <w:bCs/>
                <w:kern w:val="24"/>
                <w:vertAlign w:val="superscript"/>
                <w:lang w:val="en-GB" w:eastAsia="en-IE"/>
              </w:rPr>
              <w:t>st</w:t>
            </w:r>
            <w:r w:rsidRPr="00DA5A6A">
              <w:rPr>
                <w:rFonts w:ascii="Book Antiqua" w:eastAsia="Times New Roman" w:hAnsi="Book Antiqua" w:cs="Arial"/>
                <w:b/>
                <w:bCs/>
                <w:kern w:val="24"/>
                <w:lang w:val="en-GB" w:eastAsia="en-IE"/>
              </w:rPr>
              <w:t xml:space="preserve"> line</w:t>
            </w:r>
          </w:p>
        </w:tc>
        <w:tc>
          <w:tcPr>
            <w:tcW w:w="1134" w:type="dxa"/>
            <w:tcBorders>
              <w:top w:val="single" w:sz="4" w:space="0" w:color="auto"/>
              <w:bottom w:val="single" w:sz="4" w:space="0" w:color="auto"/>
            </w:tcBorders>
          </w:tcPr>
          <w:p w14:paraId="1ECD1E8E" w14:textId="08D0E631" w:rsidR="00B913A0" w:rsidRPr="00DA5A6A" w:rsidRDefault="00B913A0" w:rsidP="00DA5A6A">
            <w:pPr>
              <w:spacing w:line="360" w:lineRule="auto"/>
              <w:jc w:val="both"/>
              <w:rPr>
                <w:rFonts w:ascii="Book Antiqua" w:hAnsi="Book Antiqua"/>
                <w:b/>
              </w:rPr>
            </w:pPr>
            <w:r w:rsidRPr="00DA5A6A">
              <w:rPr>
                <w:rFonts w:ascii="Book Antiqua" w:eastAsia="Times New Roman" w:hAnsi="Book Antiqua" w:cs="Arial"/>
                <w:b/>
                <w:bCs/>
                <w:kern w:val="24"/>
                <w:lang w:val="en-GB" w:eastAsia="en-IE"/>
              </w:rPr>
              <w:t>ORR</w:t>
            </w:r>
            <w:r w:rsidRPr="00DA5A6A">
              <w:rPr>
                <w:rFonts w:ascii="Book Antiqua" w:hAnsi="Book Antiqua" w:cs="Arial"/>
                <w:b/>
                <w:bCs/>
                <w:kern w:val="24"/>
                <w:lang w:eastAsia="zh-CN"/>
              </w:rPr>
              <w:t xml:space="preserve"> </w:t>
            </w:r>
            <w:r w:rsidRPr="00DA5A6A">
              <w:rPr>
                <w:rFonts w:ascii="Book Antiqua" w:eastAsia="Times New Roman" w:hAnsi="Book Antiqua" w:cs="Arial"/>
                <w:b/>
                <w:bCs/>
                <w:kern w:val="24"/>
                <w:lang w:val="en-GB" w:eastAsia="en-IE"/>
              </w:rPr>
              <w:t>≥ 1 prior line</w:t>
            </w:r>
          </w:p>
        </w:tc>
        <w:tc>
          <w:tcPr>
            <w:tcW w:w="1134" w:type="dxa"/>
            <w:tcBorders>
              <w:top w:val="single" w:sz="4" w:space="0" w:color="auto"/>
              <w:bottom w:val="single" w:sz="4" w:space="0" w:color="auto"/>
            </w:tcBorders>
          </w:tcPr>
          <w:p w14:paraId="3E19DEAA" w14:textId="79389877" w:rsidR="00B913A0" w:rsidRPr="00DA5A6A" w:rsidRDefault="00B913A0" w:rsidP="00AF59F9">
            <w:pPr>
              <w:spacing w:line="360" w:lineRule="auto"/>
              <w:jc w:val="both"/>
              <w:rPr>
                <w:rFonts w:ascii="Book Antiqua" w:hAnsi="Book Antiqua"/>
                <w:b/>
              </w:rPr>
            </w:pPr>
            <w:r w:rsidRPr="00DA5A6A">
              <w:rPr>
                <w:rFonts w:ascii="Book Antiqua" w:eastAsia="Times New Roman" w:hAnsi="Book Antiqua" w:cs="Arial"/>
                <w:b/>
                <w:bCs/>
                <w:kern w:val="24"/>
                <w:lang w:val="en-GB" w:eastAsia="en-IE"/>
              </w:rPr>
              <w:t>Median OS (mo)</w:t>
            </w:r>
            <w:r w:rsidRPr="00DA5A6A">
              <w:rPr>
                <w:rFonts w:ascii="Book Antiqua" w:hAnsi="Book Antiqua" w:cs="Arial"/>
                <w:b/>
                <w:bCs/>
                <w:kern w:val="24"/>
                <w:lang w:eastAsia="zh-CN"/>
              </w:rPr>
              <w:t xml:space="preserve"> </w:t>
            </w:r>
            <w:r w:rsidRPr="00DA5A6A">
              <w:rPr>
                <w:rFonts w:ascii="Book Antiqua" w:eastAsia="Times New Roman" w:hAnsi="Book Antiqua" w:cs="Arial"/>
                <w:b/>
                <w:bCs/>
                <w:kern w:val="24"/>
                <w:lang w:val="en-GB" w:eastAsia="en-IE"/>
              </w:rPr>
              <w:t>1</w:t>
            </w:r>
            <w:r w:rsidRPr="00DA5A6A">
              <w:rPr>
                <w:rFonts w:ascii="Book Antiqua" w:eastAsia="Times New Roman" w:hAnsi="Book Antiqua" w:cs="Arial"/>
                <w:b/>
                <w:bCs/>
                <w:kern w:val="24"/>
                <w:position w:val="7"/>
                <w:vertAlign w:val="superscript"/>
                <w:lang w:val="en-GB" w:eastAsia="en-IE"/>
              </w:rPr>
              <w:t>st</w:t>
            </w:r>
            <w:r w:rsidRPr="00DA5A6A">
              <w:rPr>
                <w:rFonts w:ascii="Book Antiqua" w:eastAsia="Times New Roman" w:hAnsi="Book Antiqua" w:cs="Arial"/>
                <w:b/>
                <w:bCs/>
                <w:kern w:val="24"/>
                <w:lang w:val="en-GB" w:eastAsia="en-IE"/>
              </w:rPr>
              <w:t xml:space="preserve"> line</w:t>
            </w:r>
          </w:p>
        </w:tc>
        <w:tc>
          <w:tcPr>
            <w:tcW w:w="1418" w:type="dxa"/>
            <w:tcBorders>
              <w:top w:val="single" w:sz="4" w:space="0" w:color="auto"/>
              <w:bottom w:val="single" w:sz="4" w:space="0" w:color="auto"/>
            </w:tcBorders>
          </w:tcPr>
          <w:p w14:paraId="017FF8A0" w14:textId="0B3E15C1" w:rsidR="00B913A0" w:rsidRPr="00DA5A6A" w:rsidRDefault="00B913A0" w:rsidP="00AF59F9">
            <w:pPr>
              <w:spacing w:line="360" w:lineRule="auto"/>
              <w:jc w:val="both"/>
              <w:rPr>
                <w:rFonts w:ascii="Book Antiqua" w:eastAsia="Times New Roman" w:hAnsi="Book Antiqua" w:cs="Arial"/>
                <w:lang w:eastAsia="en-IE"/>
              </w:rPr>
            </w:pPr>
            <w:r w:rsidRPr="00DA5A6A">
              <w:rPr>
                <w:rFonts w:ascii="Book Antiqua" w:eastAsia="Times New Roman" w:hAnsi="Book Antiqua" w:cs="Arial"/>
                <w:b/>
                <w:bCs/>
                <w:kern w:val="24"/>
                <w:lang w:val="en-GB" w:eastAsia="en-IE"/>
              </w:rPr>
              <w:t>Median OS (mo)</w:t>
            </w:r>
            <w:r w:rsidR="00F3612F" w:rsidRPr="00DA5A6A">
              <w:rPr>
                <w:rFonts w:ascii="Book Antiqua" w:hAnsi="Book Antiqua" w:cs="Arial"/>
                <w:lang w:eastAsia="zh-CN"/>
              </w:rPr>
              <w:t xml:space="preserve"> </w:t>
            </w:r>
            <w:r w:rsidRPr="00DA5A6A">
              <w:rPr>
                <w:rFonts w:ascii="Book Antiqua" w:eastAsia="Times New Roman" w:hAnsi="Book Antiqua" w:cs="Arial"/>
                <w:b/>
                <w:bCs/>
                <w:kern w:val="24"/>
                <w:lang w:val="en-GB" w:eastAsia="en-IE"/>
              </w:rPr>
              <w:t>≥ 1 line</w:t>
            </w:r>
          </w:p>
        </w:tc>
        <w:tc>
          <w:tcPr>
            <w:tcW w:w="1246" w:type="dxa"/>
            <w:tcBorders>
              <w:top w:val="single" w:sz="4" w:space="0" w:color="auto"/>
              <w:bottom w:val="single" w:sz="4" w:space="0" w:color="auto"/>
            </w:tcBorders>
          </w:tcPr>
          <w:p w14:paraId="2571D5F0" w14:textId="3D525339" w:rsidR="00B913A0" w:rsidRPr="00DA5A6A" w:rsidRDefault="00B913A0" w:rsidP="00DA5A6A">
            <w:pPr>
              <w:spacing w:line="360" w:lineRule="auto"/>
              <w:jc w:val="both"/>
              <w:rPr>
                <w:rFonts w:ascii="Book Antiqua" w:hAnsi="Book Antiqua"/>
                <w:b/>
              </w:rPr>
            </w:pPr>
            <w:r w:rsidRPr="00DA5A6A">
              <w:rPr>
                <w:rFonts w:ascii="Book Antiqua" w:eastAsia="Times New Roman" w:hAnsi="Book Antiqua" w:cs="Arial"/>
                <w:b/>
                <w:bCs/>
                <w:kern w:val="24"/>
                <w:lang w:val="en-GB" w:eastAsia="en-IE"/>
              </w:rPr>
              <w:t>Ref.</w:t>
            </w:r>
          </w:p>
        </w:tc>
      </w:tr>
      <w:tr w:rsidR="00B913A0" w:rsidRPr="00D42DA4" w14:paraId="1E7C0F8B" w14:textId="77777777" w:rsidTr="00910045">
        <w:tc>
          <w:tcPr>
            <w:tcW w:w="1997" w:type="dxa"/>
            <w:tcBorders>
              <w:top w:val="single" w:sz="4" w:space="0" w:color="auto"/>
            </w:tcBorders>
          </w:tcPr>
          <w:p w14:paraId="12E79C75" w14:textId="1A4F8508" w:rsidR="00B913A0" w:rsidRPr="00DA5A6A" w:rsidRDefault="00B913A0" w:rsidP="00DA5A6A">
            <w:pPr>
              <w:spacing w:line="360" w:lineRule="auto"/>
              <w:jc w:val="both"/>
              <w:rPr>
                <w:rFonts w:ascii="Book Antiqua" w:hAnsi="Book Antiqua"/>
                <w:b/>
              </w:rPr>
            </w:pPr>
            <w:r w:rsidRPr="00DA5A6A">
              <w:rPr>
                <w:rFonts w:ascii="Book Antiqua" w:eastAsia="Times New Roman" w:hAnsi="Book Antiqua" w:cs="Arial"/>
                <w:kern w:val="24"/>
                <w:lang w:eastAsia="en-IE"/>
              </w:rPr>
              <w:t>NCT01375842</w:t>
            </w:r>
            <w:r w:rsidRPr="00DA5A6A">
              <w:rPr>
                <w:rFonts w:ascii="Book Antiqua" w:hAnsi="Book Antiqua" w:cs="Arial"/>
                <w:kern w:val="24"/>
                <w:lang w:eastAsia="zh-CN"/>
              </w:rPr>
              <w:t xml:space="preserve"> </w:t>
            </w:r>
            <w:r w:rsidRPr="00DA5A6A">
              <w:rPr>
                <w:rFonts w:ascii="Book Antiqua" w:eastAsia="Times New Roman" w:hAnsi="Book Antiqua" w:cs="Arial"/>
                <w:kern w:val="24"/>
                <w:lang w:eastAsia="en-IE"/>
              </w:rPr>
              <w:t>Phase Ia</w:t>
            </w:r>
          </w:p>
        </w:tc>
        <w:tc>
          <w:tcPr>
            <w:tcW w:w="633" w:type="dxa"/>
            <w:tcBorders>
              <w:top w:val="single" w:sz="4" w:space="0" w:color="auto"/>
            </w:tcBorders>
          </w:tcPr>
          <w:p w14:paraId="5A69EFF5" w14:textId="77AF36C8" w:rsidR="00B913A0" w:rsidRPr="00DA5A6A" w:rsidRDefault="00B913A0" w:rsidP="00DA5A6A">
            <w:pPr>
              <w:spacing w:line="360" w:lineRule="auto"/>
              <w:jc w:val="both"/>
              <w:rPr>
                <w:rFonts w:ascii="Book Antiqua" w:hAnsi="Book Antiqua"/>
                <w:b/>
              </w:rPr>
            </w:pPr>
            <w:r w:rsidRPr="00DA5A6A">
              <w:rPr>
                <w:rFonts w:ascii="Book Antiqua" w:eastAsia="Times New Roman" w:hAnsi="Book Antiqua" w:cs="Arial"/>
                <w:kern w:val="24"/>
                <w:lang w:val="en-GB" w:eastAsia="en-IE"/>
              </w:rPr>
              <w:t>116</w:t>
            </w:r>
          </w:p>
        </w:tc>
        <w:tc>
          <w:tcPr>
            <w:tcW w:w="880" w:type="dxa"/>
            <w:tcBorders>
              <w:top w:val="single" w:sz="4" w:space="0" w:color="auto"/>
            </w:tcBorders>
          </w:tcPr>
          <w:p w14:paraId="2D277C15" w14:textId="17D57D50" w:rsidR="00B913A0" w:rsidRPr="00DA5A6A" w:rsidRDefault="00B913A0" w:rsidP="00DA5A6A">
            <w:pPr>
              <w:spacing w:line="360" w:lineRule="auto"/>
              <w:jc w:val="both"/>
              <w:rPr>
                <w:rFonts w:ascii="Book Antiqua" w:hAnsi="Book Antiqua"/>
                <w:b/>
              </w:rPr>
            </w:pPr>
            <w:r w:rsidRPr="00DA5A6A">
              <w:rPr>
                <w:rFonts w:ascii="Book Antiqua" w:eastAsia="Times New Roman" w:hAnsi="Book Antiqua" w:cs="Arial"/>
                <w:kern w:val="24"/>
                <w:lang w:val="en-GB" w:eastAsia="en-IE"/>
              </w:rPr>
              <w:t>Atezolizumab</w:t>
            </w:r>
          </w:p>
        </w:tc>
        <w:tc>
          <w:tcPr>
            <w:tcW w:w="1134" w:type="dxa"/>
            <w:tcBorders>
              <w:top w:val="single" w:sz="4" w:space="0" w:color="auto"/>
            </w:tcBorders>
          </w:tcPr>
          <w:p w14:paraId="5ED00D57" w14:textId="743513D7" w:rsidR="00B913A0" w:rsidRPr="00DA5A6A" w:rsidRDefault="00B913A0" w:rsidP="00DA5A6A">
            <w:pPr>
              <w:spacing w:line="360" w:lineRule="auto"/>
              <w:jc w:val="both"/>
              <w:rPr>
                <w:rFonts w:ascii="Book Antiqua" w:hAnsi="Book Antiqua"/>
                <w:b/>
              </w:rPr>
            </w:pPr>
            <w:r w:rsidRPr="00DA5A6A">
              <w:rPr>
                <w:rFonts w:ascii="Book Antiqua" w:eastAsia="Times New Roman" w:hAnsi="Book Antiqua" w:cs="Arial"/>
                <w:kern w:val="24"/>
                <w:lang w:val="en-GB" w:eastAsia="en-IE"/>
              </w:rPr>
              <w:t>24%</w:t>
            </w:r>
          </w:p>
        </w:tc>
        <w:tc>
          <w:tcPr>
            <w:tcW w:w="1134" w:type="dxa"/>
            <w:tcBorders>
              <w:top w:val="single" w:sz="4" w:space="0" w:color="auto"/>
            </w:tcBorders>
          </w:tcPr>
          <w:p w14:paraId="6E9CA908" w14:textId="33471EA2" w:rsidR="00B913A0" w:rsidRPr="00DA5A6A" w:rsidRDefault="00B913A0" w:rsidP="00DA5A6A">
            <w:pPr>
              <w:spacing w:line="360" w:lineRule="auto"/>
              <w:jc w:val="both"/>
              <w:rPr>
                <w:rFonts w:ascii="Book Antiqua" w:hAnsi="Book Antiqua"/>
                <w:b/>
              </w:rPr>
            </w:pPr>
            <w:r w:rsidRPr="00DA5A6A">
              <w:rPr>
                <w:rFonts w:ascii="Book Antiqua" w:eastAsia="Times New Roman" w:hAnsi="Book Antiqua" w:cs="Arial"/>
                <w:kern w:val="24"/>
                <w:lang w:val="en-GB" w:eastAsia="en-IE"/>
              </w:rPr>
              <w:t>6%</w:t>
            </w:r>
          </w:p>
        </w:tc>
        <w:tc>
          <w:tcPr>
            <w:tcW w:w="1134" w:type="dxa"/>
            <w:tcBorders>
              <w:top w:val="single" w:sz="4" w:space="0" w:color="auto"/>
            </w:tcBorders>
          </w:tcPr>
          <w:p w14:paraId="0B0D7D5D" w14:textId="4A6F0CAF" w:rsidR="00B913A0" w:rsidRPr="00DA5A6A" w:rsidRDefault="00B913A0" w:rsidP="00DA5A6A">
            <w:pPr>
              <w:spacing w:line="360" w:lineRule="auto"/>
              <w:jc w:val="both"/>
              <w:rPr>
                <w:rFonts w:ascii="Book Antiqua" w:hAnsi="Book Antiqua"/>
                <w:b/>
              </w:rPr>
            </w:pPr>
            <w:r w:rsidRPr="00DA5A6A">
              <w:rPr>
                <w:rFonts w:ascii="Book Antiqua" w:eastAsia="Times New Roman" w:hAnsi="Book Antiqua" w:cs="Arial"/>
                <w:kern w:val="24"/>
                <w:lang w:val="en-GB" w:eastAsia="en-IE"/>
              </w:rPr>
              <w:t>17.6</w:t>
            </w:r>
          </w:p>
        </w:tc>
        <w:tc>
          <w:tcPr>
            <w:tcW w:w="1418" w:type="dxa"/>
            <w:tcBorders>
              <w:top w:val="single" w:sz="4" w:space="0" w:color="auto"/>
            </w:tcBorders>
          </w:tcPr>
          <w:p w14:paraId="1F8F0A2A" w14:textId="21467BA1" w:rsidR="00B913A0" w:rsidRPr="00DA5A6A" w:rsidRDefault="00B913A0" w:rsidP="00DA5A6A">
            <w:pPr>
              <w:spacing w:line="360" w:lineRule="auto"/>
              <w:jc w:val="both"/>
              <w:rPr>
                <w:rFonts w:ascii="Book Antiqua" w:hAnsi="Book Antiqua"/>
                <w:b/>
              </w:rPr>
            </w:pPr>
            <w:r w:rsidRPr="00DA5A6A">
              <w:rPr>
                <w:rFonts w:ascii="Book Antiqua" w:eastAsia="Times New Roman" w:hAnsi="Book Antiqua" w:cs="Arial"/>
                <w:kern w:val="24"/>
                <w:lang w:val="en-GB" w:eastAsia="en-IE"/>
              </w:rPr>
              <w:t xml:space="preserve">7.3 </w:t>
            </w:r>
          </w:p>
        </w:tc>
        <w:tc>
          <w:tcPr>
            <w:tcW w:w="1246" w:type="dxa"/>
            <w:tcBorders>
              <w:top w:val="single" w:sz="4" w:space="0" w:color="auto"/>
            </w:tcBorders>
          </w:tcPr>
          <w:p w14:paraId="4D85BBA2" w14:textId="069CDF88" w:rsidR="00B913A0" w:rsidRPr="00DA5A6A" w:rsidRDefault="00B913A0" w:rsidP="00C80100">
            <w:pPr>
              <w:spacing w:line="360" w:lineRule="auto"/>
              <w:jc w:val="both"/>
              <w:rPr>
                <w:rFonts w:ascii="Book Antiqua" w:hAnsi="Book Antiqua"/>
                <w:b/>
                <w:lang w:val="pt-BR"/>
              </w:rPr>
            </w:pPr>
            <w:r w:rsidRPr="00DA5A6A">
              <w:rPr>
                <w:rFonts w:ascii="Book Antiqua" w:eastAsia="Times New Roman" w:hAnsi="Book Antiqua" w:cs="Arial"/>
                <w:kern w:val="24"/>
                <w:lang w:val="pt-BR" w:eastAsia="en-IE"/>
              </w:rPr>
              <w:t xml:space="preserve">Emens </w:t>
            </w:r>
            <w:r w:rsidRPr="00DA5A6A">
              <w:rPr>
                <w:rFonts w:ascii="Book Antiqua" w:eastAsia="Times New Roman" w:hAnsi="Book Antiqua" w:cs="Arial"/>
                <w:i/>
                <w:iCs/>
                <w:kern w:val="24"/>
                <w:lang w:val="pt-BR" w:eastAsia="en-IE"/>
              </w:rPr>
              <w:t>et al</w:t>
            </w:r>
            <w:r w:rsidRPr="00DA5A6A">
              <w:rPr>
                <w:rFonts w:ascii="Book Antiqua" w:eastAsia="Times New Roman" w:hAnsi="Book Antiqua" w:cs="Arial"/>
                <w:kern w:val="24"/>
                <w:vertAlign w:val="superscript"/>
                <w:lang w:val="pt-BR" w:eastAsia="en-IE"/>
              </w:rPr>
              <w:t>[52]</w:t>
            </w:r>
            <w:r w:rsidRPr="00DA5A6A">
              <w:rPr>
                <w:rFonts w:ascii="Book Antiqua" w:eastAsia="Times New Roman" w:hAnsi="Book Antiqua" w:cs="Arial"/>
                <w:kern w:val="24"/>
                <w:lang w:val="pt-BR" w:eastAsia="en-IE"/>
              </w:rPr>
              <w:t>, 2019</w:t>
            </w:r>
          </w:p>
        </w:tc>
      </w:tr>
      <w:tr w:rsidR="00B913A0" w:rsidRPr="00D42DA4" w14:paraId="4CA67D26" w14:textId="77777777" w:rsidTr="00910045">
        <w:tc>
          <w:tcPr>
            <w:tcW w:w="1997" w:type="dxa"/>
          </w:tcPr>
          <w:p w14:paraId="186D0B3C" w14:textId="5F4EB547" w:rsidR="00B913A0" w:rsidRPr="00DA5A6A" w:rsidRDefault="00B913A0" w:rsidP="00DA5A6A">
            <w:pPr>
              <w:spacing w:line="360" w:lineRule="auto"/>
              <w:jc w:val="both"/>
              <w:rPr>
                <w:rFonts w:ascii="Book Antiqua" w:hAnsi="Book Antiqua"/>
                <w:b/>
              </w:rPr>
            </w:pPr>
            <w:r w:rsidRPr="00DA5A6A">
              <w:rPr>
                <w:rFonts w:ascii="Book Antiqua" w:eastAsia="Times New Roman" w:hAnsi="Book Antiqua" w:cs="Arial"/>
                <w:kern w:val="24"/>
                <w:lang w:val="en-GB" w:eastAsia="en-IE"/>
              </w:rPr>
              <w:t>KEYNOTE-012 Phase Ib</w:t>
            </w:r>
          </w:p>
        </w:tc>
        <w:tc>
          <w:tcPr>
            <w:tcW w:w="633" w:type="dxa"/>
          </w:tcPr>
          <w:p w14:paraId="2A54B811" w14:textId="698D49B8" w:rsidR="00B913A0" w:rsidRPr="00DA5A6A" w:rsidRDefault="00B913A0" w:rsidP="00DA5A6A">
            <w:pPr>
              <w:spacing w:line="360" w:lineRule="auto"/>
              <w:jc w:val="both"/>
              <w:rPr>
                <w:rFonts w:ascii="Book Antiqua" w:hAnsi="Book Antiqua"/>
                <w:b/>
              </w:rPr>
            </w:pPr>
            <w:r w:rsidRPr="00DA5A6A">
              <w:rPr>
                <w:rFonts w:ascii="Book Antiqua" w:eastAsia="Times New Roman" w:hAnsi="Book Antiqua" w:cs="Arial"/>
                <w:kern w:val="24"/>
                <w:lang w:val="en-GB" w:eastAsia="en-IE"/>
              </w:rPr>
              <w:t>32</w:t>
            </w:r>
          </w:p>
        </w:tc>
        <w:tc>
          <w:tcPr>
            <w:tcW w:w="880" w:type="dxa"/>
          </w:tcPr>
          <w:p w14:paraId="0F2631A8" w14:textId="6C520B61" w:rsidR="00B913A0" w:rsidRPr="00DA5A6A" w:rsidRDefault="00B913A0" w:rsidP="00DA5A6A">
            <w:pPr>
              <w:spacing w:line="360" w:lineRule="auto"/>
              <w:jc w:val="both"/>
              <w:rPr>
                <w:rFonts w:ascii="Book Antiqua" w:hAnsi="Book Antiqua"/>
                <w:b/>
              </w:rPr>
            </w:pPr>
            <w:r w:rsidRPr="00DA5A6A">
              <w:rPr>
                <w:rFonts w:ascii="Book Antiqua" w:eastAsia="Times New Roman" w:hAnsi="Book Antiqua" w:cs="Arial"/>
                <w:kern w:val="24"/>
                <w:lang w:val="en-GB" w:eastAsia="en-IE"/>
              </w:rPr>
              <w:t>Pembrolizumab</w:t>
            </w:r>
          </w:p>
        </w:tc>
        <w:tc>
          <w:tcPr>
            <w:tcW w:w="1134" w:type="dxa"/>
          </w:tcPr>
          <w:p w14:paraId="474BA677" w14:textId="77777777" w:rsidR="00B913A0" w:rsidRPr="00DA5A6A" w:rsidRDefault="00B913A0" w:rsidP="00DA5A6A">
            <w:pPr>
              <w:spacing w:line="360" w:lineRule="auto"/>
              <w:jc w:val="both"/>
              <w:rPr>
                <w:rFonts w:ascii="Book Antiqua" w:hAnsi="Book Antiqua"/>
                <w:b/>
              </w:rPr>
            </w:pPr>
          </w:p>
        </w:tc>
        <w:tc>
          <w:tcPr>
            <w:tcW w:w="1134" w:type="dxa"/>
          </w:tcPr>
          <w:p w14:paraId="3C3DF20E" w14:textId="228B8BE4" w:rsidR="00B913A0" w:rsidRPr="00DA5A6A" w:rsidRDefault="00B913A0" w:rsidP="00DA5A6A">
            <w:pPr>
              <w:spacing w:line="360" w:lineRule="auto"/>
              <w:jc w:val="both"/>
              <w:rPr>
                <w:rFonts w:ascii="Book Antiqua" w:hAnsi="Book Antiqua"/>
                <w:b/>
              </w:rPr>
            </w:pPr>
            <w:r w:rsidRPr="00DA5A6A">
              <w:rPr>
                <w:rFonts w:ascii="Book Antiqua" w:eastAsia="Times New Roman" w:hAnsi="Book Antiqua" w:cs="Arial"/>
                <w:kern w:val="24"/>
                <w:lang w:val="en-GB" w:eastAsia="en-IE"/>
              </w:rPr>
              <w:t>18.5</w:t>
            </w:r>
          </w:p>
        </w:tc>
        <w:tc>
          <w:tcPr>
            <w:tcW w:w="1134" w:type="dxa"/>
          </w:tcPr>
          <w:p w14:paraId="2F7BE039" w14:textId="77777777" w:rsidR="00B913A0" w:rsidRPr="00DA5A6A" w:rsidRDefault="00B913A0" w:rsidP="00DA5A6A">
            <w:pPr>
              <w:spacing w:line="360" w:lineRule="auto"/>
              <w:jc w:val="both"/>
              <w:rPr>
                <w:rFonts w:ascii="Book Antiqua" w:hAnsi="Book Antiqua"/>
                <w:b/>
              </w:rPr>
            </w:pPr>
          </w:p>
        </w:tc>
        <w:tc>
          <w:tcPr>
            <w:tcW w:w="1418" w:type="dxa"/>
          </w:tcPr>
          <w:p w14:paraId="3E55BC14" w14:textId="5E8262D9" w:rsidR="00B913A0" w:rsidRPr="00DA5A6A" w:rsidRDefault="00B913A0" w:rsidP="00DA5A6A">
            <w:pPr>
              <w:spacing w:line="360" w:lineRule="auto"/>
              <w:jc w:val="both"/>
              <w:rPr>
                <w:rFonts w:ascii="Book Antiqua" w:hAnsi="Book Antiqua"/>
                <w:b/>
              </w:rPr>
            </w:pPr>
            <w:r w:rsidRPr="00DA5A6A">
              <w:rPr>
                <w:rFonts w:ascii="Book Antiqua" w:eastAsia="Times New Roman" w:hAnsi="Book Antiqua" w:cs="Arial"/>
                <w:kern w:val="24"/>
                <w:lang w:val="en-GB" w:eastAsia="en-IE"/>
              </w:rPr>
              <w:t>11.2</w:t>
            </w:r>
          </w:p>
        </w:tc>
        <w:tc>
          <w:tcPr>
            <w:tcW w:w="1246" w:type="dxa"/>
          </w:tcPr>
          <w:p w14:paraId="7A1D2F24" w14:textId="4B381243" w:rsidR="00B913A0" w:rsidRPr="00DA5A6A" w:rsidRDefault="00B913A0" w:rsidP="00C80100">
            <w:pPr>
              <w:spacing w:line="360" w:lineRule="auto"/>
              <w:jc w:val="both"/>
              <w:rPr>
                <w:rFonts w:ascii="Book Antiqua" w:hAnsi="Book Antiqua"/>
                <w:b/>
                <w:lang w:val="pt-BR"/>
              </w:rPr>
            </w:pPr>
            <w:r w:rsidRPr="00DA5A6A">
              <w:rPr>
                <w:rFonts w:ascii="Book Antiqua" w:eastAsia="Times New Roman" w:hAnsi="Book Antiqua" w:cs="Arial"/>
                <w:kern w:val="24"/>
                <w:lang w:val="pt-BR" w:eastAsia="en-IE"/>
              </w:rPr>
              <w:t xml:space="preserve">Nanda </w:t>
            </w:r>
            <w:r w:rsidRPr="00DA5A6A">
              <w:rPr>
                <w:rFonts w:ascii="Book Antiqua" w:eastAsia="Times New Roman" w:hAnsi="Book Antiqua" w:cs="Arial"/>
                <w:i/>
                <w:iCs/>
                <w:kern w:val="24"/>
                <w:lang w:val="pt-BR" w:eastAsia="en-IE"/>
              </w:rPr>
              <w:t>et al</w:t>
            </w:r>
            <w:r w:rsidRPr="00DA5A6A">
              <w:rPr>
                <w:rFonts w:ascii="Book Antiqua" w:eastAsia="Times New Roman" w:hAnsi="Book Antiqua" w:cs="Arial"/>
                <w:kern w:val="24"/>
                <w:vertAlign w:val="superscript"/>
                <w:lang w:val="pt-BR" w:eastAsia="en-IE"/>
              </w:rPr>
              <w:t>[50]</w:t>
            </w:r>
            <w:r w:rsidRPr="00DA5A6A">
              <w:rPr>
                <w:rFonts w:ascii="Book Antiqua" w:eastAsia="Times New Roman" w:hAnsi="Book Antiqua" w:cs="Arial"/>
                <w:kern w:val="24"/>
                <w:lang w:val="pt-BR" w:eastAsia="en-IE"/>
              </w:rPr>
              <w:t>, 2016</w:t>
            </w:r>
          </w:p>
        </w:tc>
      </w:tr>
      <w:tr w:rsidR="00B913A0" w:rsidRPr="00DA5A6A" w14:paraId="777F6FD2" w14:textId="77777777" w:rsidTr="00910045">
        <w:tc>
          <w:tcPr>
            <w:tcW w:w="1997" w:type="dxa"/>
          </w:tcPr>
          <w:p w14:paraId="5BD45448" w14:textId="6EF1B1A3" w:rsidR="00B913A0" w:rsidRPr="00DA5A6A" w:rsidRDefault="00B913A0"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val="en-GB" w:eastAsia="en-IE"/>
              </w:rPr>
              <w:t>JAVELIN/Phase Ib</w:t>
            </w:r>
          </w:p>
        </w:tc>
        <w:tc>
          <w:tcPr>
            <w:tcW w:w="633" w:type="dxa"/>
          </w:tcPr>
          <w:p w14:paraId="7BB23B2C" w14:textId="4938BF36" w:rsidR="00B913A0" w:rsidRPr="00DA5A6A" w:rsidRDefault="00B913A0"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val="en-GB" w:eastAsia="en-IE"/>
              </w:rPr>
              <w:t>58</w:t>
            </w:r>
          </w:p>
        </w:tc>
        <w:tc>
          <w:tcPr>
            <w:tcW w:w="880" w:type="dxa"/>
          </w:tcPr>
          <w:p w14:paraId="7F951233" w14:textId="210C6458" w:rsidR="00B913A0" w:rsidRPr="00DA5A6A" w:rsidRDefault="00B913A0"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val="en-GB" w:eastAsia="en-IE"/>
              </w:rPr>
              <w:t>Avelumab</w:t>
            </w:r>
          </w:p>
        </w:tc>
        <w:tc>
          <w:tcPr>
            <w:tcW w:w="1134" w:type="dxa"/>
          </w:tcPr>
          <w:p w14:paraId="14E81B40" w14:textId="77777777" w:rsidR="00B913A0" w:rsidRPr="00DA5A6A" w:rsidRDefault="00B913A0" w:rsidP="00DA5A6A">
            <w:pPr>
              <w:spacing w:line="360" w:lineRule="auto"/>
              <w:jc w:val="both"/>
              <w:rPr>
                <w:rFonts w:ascii="Book Antiqua" w:hAnsi="Book Antiqua"/>
                <w:b/>
              </w:rPr>
            </w:pPr>
          </w:p>
        </w:tc>
        <w:tc>
          <w:tcPr>
            <w:tcW w:w="1134" w:type="dxa"/>
          </w:tcPr>
          <w:p w14:paraId="276A2F4F" w14:textId="737242C1" w:rsidR="00B913A0" w:rsidRPr="00DA5A6A" w:rsidRDefault="00B913A0"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val="en-GB" w:eastAsia="en-IE"/>
              </w:rPr>
              <w:t>5.2</w:t>
            </w:r>
          </w:p>
        </w:tc>
        <w:tc>
          <w:tcPr>
            <w:tcW w:w="1134" w:type="dxa"/>
          </w:tcPr>
          <w:p w14:paraId="2FA5A0FF" w14:textId="77777777" w:rsidR="00B913A0" w:rsidRPr="00DA5A6A" w:rsidRDefault="00B913A0" w:rsidP="00DA5A6A">
            <w:pPr>
              <w:spacing w:line="360" w:lineRule="auto"/>
              <w:jc w:val="both"/>
              <w:rPr>
                <w:rFonts w:ascii="Book Antiqua" w:hAnsi="Book Antiqua"/>
                <w:b/>
              </w:rPr>
            </w:pPr>
          </w:p>
        </w:tc>
        <w:tc>
          <w:tcPr>
            <w:tcW w:w="1418" w:type="dxa"/>
          </w:tcPr>
          <w:p w14:paraId="001E326E" w14:textId="0177EE90" w:rsidR="00B913A0" w:rsidRPr="00DA5A6A" w:rsidRDefault="00B913A0"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val="en-GB" w:eastAsia="en-IE"/>
              </w:rPr>
              <w:t>9.2</w:t>
            </w:r>
          </w:p>
        </w:tc>
        <w:tc>
          <w:tcPr>
            <w:tcW w:w="1246" w:type="dxa"/>
          </w:tcPr>
          <w:p w14:paraId="218146A2" w14:textId="7A0282C7" w:rsidR="00B913A0" w:rsidRPr="00DA5A6A" w:rsidRDefault="00B913A0" w:rsidP="00C80100">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val="en-GB" w:eastAsia="en-IE"/>
              </w:rPr>
              <w:t xml:space="preserve">Dirix </w:t>
            </w:r>
            <w:r w:rsidRPr="00DA5A6A">
              <w:rPr>
                <w:rFonts w:ascii="Book Antiqua" w:eastAsia="Times New Roman" w:hAnsi="Book Antiqua" w:cs="Arial"/>
                <w:i/>
                <w:iCs/>
                <w:kern w:val="24"/>
                <w:lang w:val="en-GB" w:eastAsia="en-IE"/>
              </w:rPr>
              <w:t>et al</w:t>
            </w:r>
            <w:r w:rsidRPr="00DA5A6A">
              <w:rPr>
                <w:rFonts w:ascii="Book Antiqua" w:eastAsia="Times New Roman" w:hAnsi="Book Antiqua" w:cs="Arial"/>
                <w:kern w:val="24"/>
                <w:vertAlign w:val="superscript"/>
                <w:lang w:val="en-GB" w:eastAsia="en-IE"/>
              </w:rPr>
              <w:t>[51]</w:t>
            </w:r>
            <w:r w:rsidRPr="00DA5A6A">
              <w:rPr>
                <w:rFonts w:ascii="Book Antiqua" w:eastAsia="Times New Roman" w:hAnsi="Book Antiqua" w:cs="Arial"/>
                <w:kern w:val="24"/>
                <w:lang w:val="en-GB" w:eastAsia="en-IE"/>
              </w:rPr>
              <w:t>, 201</w:t>
            </w:r>
            <w:r w:rsidR="0008306D" w:rsidRPr="00DA5A6A">
              <w:rPr>
                <w:rFonts w:ascii="Book Antiqua" w:eastAsia="Times New Roman" w:hAnsi="Book Antiqua" w:cs="Arial"/>
                <w:kern w:val="24"/>
                <w:lang w:val="en-GB" w:eastAsia="en-IE"/>
              </w:rPr>
              <w:t>8</w:t>
            </w:r>
          </w:p>
        </w:tc>
      </w:tr>
      <w:tr w:rsidR="00B913A0" w:rsidRPr="00DA5A6A" w14:paraId="47807577" w14:textId="77777777" w:rsidTr="00910045">
        <w:tc>
          <w:tcPr>
            <w:tcW w:w="1997" w:type="dxa"/>
          </w:tcPr>
          <w:p w14:paraId="58046F69" w14:textId="52F7D7A5" w:rsidR="00B913A0" w:rsidRPr="00DA5A6A" w:rsidRDefault="00B913A0"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val="en-GB" w:eastAsia="en-IE"/>
              </w:rPr>
              <w:t>KEYNOTE-086</w:t>
            </w:r>
            <w:r w:rsidRPr="00DA5A6A">
              <w:rPr>
                <w:rFonts w:ascii="Book Antiqua" w:hAnsi="Book Antiqua" w:cs="Arial"/>
                <w:kern w:val="24"/>
                <w:lang w:eastAsia="zh-CN"/>
              </w:rPr>
              <w:t xml:space="preserve"> </w:t>
            </w:r>
            <w:r w:rsidRPr="00DA5A6A">
              <w:rPr>
                <w:rFonts w:ascii="Book Antiqua" w:eastAsia="Times New Roman" w:hAnsi="Book Antiqua" w:cs="Arial"/>
                <w:kern w:val="24"/>
                <w:lang w:val="en-GB" w:eastAsia="en-IE"/>
              </w:rPr>
              <w:t>Phase II</w:t>
            </w:r>
          </w:p>
        </w:tc>
        <w:tc>
          <w:tcPr>
            <w:tcW w:w="633" w:type="dxa"/>
          </w:tcPr>
          <w:p w14:paraId="3D32E995" w14:textId="0918BF7E" w:rsidR="00B913A0" w:rsidRPr="00DA5A6A" w:rsidRDefault="00B913A0"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val="en-GB" w:eastAsia="en-IE"/>
              </w:rPr>
              <w:t>170</w:t>
            </w:r>
          </w:p>
        </w:tc>
        <w:tc>
          <w:tcPr>
            <w:tcW w:w="880" w:type="dxa"/>
          </w:tcPr>
          <w:p w14:paraId="6537DC2F" w14:textId="1577037E" w:rsidR="00B913A0" w:rsidRPr="00DA5A6A" w:rsidRDefault="00B913A0"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val="en-GB" w:eastAsia="en-IE"/>
              </w:rPr>
              <w:t>Pembrolizumab</w:t>
            </w:r>
          </w:p>
        </w:tc>
        <w:tc>
          <w:tcPr>
            <w:tcW w:w="1134" w:type="dxa"/>
          </w:tcPr>
          <w:p w14:paraId="2B06D5DC" w14:textId="11CDAD87" w:rsidR="00B913A0" w:rsidRPr="00DA5A6A" w:rsidRDefault="00B913A0" w:rsidP="00DA5A6A">
            <w:pPr>
              <w:spacing w:line="360" w:lineRule="auto"/>
              <w:jc w:val="both"/>
              <w:rPr>
                <w:rFonts w:ascii="Book Antiqua" w:hAnsi="Book Antiqua"/>
                <w:b/>
              </w:rPr>
            </w:pPr>
            <w:r w:rsidRPr="00DA5A6A">
              <w:rPr>
                <w:rFonts w:ascii="Book Antiqua" w:eastAsia="Times New Roman" w:hAnsi="Book Antiqua" w:cs="Arial"/>
                <w:kern w:val="24"/>
                <w:lang w:val="en-GB" w:eastAsia="en-IE"/>
              </w:rPr>
              <w:t>23.1%</w:t>
            </w:r>
          </w:p>
        </w:tc>
        <w:tc>
          <w:tcPr>
            <w:tcW w:w="1134" w:type="dxa"/>
          </w:tcPr>
          <w:p w14:paraId="40472A25" w14:textId="1A86C2BA" w:rsidR="00B913A0" w:rsidRPr="00DA5A6A" w:rsidRDefault="00B913A0"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val="en-GB" w:eastAsia="en-IE"/>
              </w:rPr>
              <w:t>5.3</w:t>
            </w:r>
          </w:p>
        </w:tc>
        <w:tc>
          <w:tcPr>
            <w:tcW w:w="1134" w:type="dxa"/>
          </w:tcPr>
          <w:p w14:paraId="0528A363" w14:textId="3EE91344" w:rsidR="00B913A0" w:rsidRPr="00DA5A6A" w:rsidRDefault="00B913A0" w:rsidP="00DA5A6A">
            <w:pPr>
              <w:spacing w:line="360" w:lineRule="auto"/>
              <w:jc w:val="both"/>
              <w:rPr>
                <w:rFonts w:ascii="Book Antiqua" w:hAnsi="Book Antiqua"/>
                <w:b/>
              </w:rPr>
            </w:pPr>
            <w:r w:rsidRPr="00DA5A6A">
              <w:rPr>
                <w:rFonts w:ascii="Book Antiqua" w:eastAsia="Times New Roman" w:hAnsi="Book Antiqua" w:cs="Arial"/>
                <w:kern w:val="24"/>
                <w:lang w:val="en-GB" w:eastAsia="en-IE"/>
              </w:rPr>
              <w:t>18.0</w:t>
            </w:r>
          </w:p>
        </w:tc>
        <w:tc>
          <w:tcPr>
            <w:tcW w:w="1418" w:type="dxa"/>
          </w:tcPr>
          <w:p w14:paraId="0310CD8F" w14:textId="0E94EC4D" w:rsidR="00B913A0" w:rsidRPr="00DA5A6A" w:rsidRDefault="00B913A0"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val="en-GB" w:eastAsia="en-IE"/>
              </w:rPr>
              <w:t>9.0</w:t>
            </w:r>
          </w:p>
        </w:tc>
        <w:tc>
          <w:tcPr>
            <w:tcW w:w="1246" w:type="dxa"/>
          </w:tcPr>
          <w:p w14:paraId="36AA8A17" w14:textId="4D6013B0" w:rsidR="00B913A0" w:rsidRPr="00DA5A6A" w:rsidRDefault="00B913A0" w:rsidP="00C80100">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val="en-GB" w:eastAsia="en-IE"/>
              </w:rPr>
              <w:t xml:space="preserve">Adams </w:t>
            </w:r>
            <w:r w:rsidRPr="00DA5A6A">
              <w:rPr>
                <w:rFonts w:ascii="Book Antiqua" w:eastAsia="Times New Roman" w:hAnsi="Book Antiqua" w:cs="Arial"/>
                <w:i/>
                <w:iCs/>
                <w:kern w:val="24"/>
                <w:lang w:val="en-GB" w:eastAsia="en-IE"/>
              </w:rPr>
              <w:t>et al</w:t>
            </w:r>
            <w:r w:rsidRPr="00DA5A6A">
              <w:rPr>
                <w:rFonts w:ascii="Book Antiqua" w:eastAsia="Times New Roman" w:hAnsi="Book Antiqua" w:cs="Arial"/>
                <w:kern w:val="24"/>
                <w:vertAlign w:val="superscript"/>
                <w:lang w:val="en-GB" w:eastAsia="en-IE"/>
              </w:rPr>
              <w:t>[53]</w:t>
            </w:r>
            <w:r w:rsidRPr="00DA5A6A">
              <w:rPr>
                <w:rFonts w:ascii="Book Antiqua" w:eastAsia="Times New Roman" w:hAnsi="Book Antiqua" w:cs="Arial"/>
                <w:kern w:val="24"/>
                <w:lang w:val="en-GB" w:eastAsia="en-IE"/>
              </w:rPr>
              <w:t>, 2019</w:t>
            </w:r>
          </w:p>
        </w:tc>
      </w:tr>
      <w:tr w:rsidR="00B913A0" w:rsidRPr="00DA5A6A" w14:paraId="2285276E" w14:textId="77777777" w:rsidTr="00910045">
        <w:tc>
          <w:tcPr>
            <w:tcW w:w="1997" w:type="dxa"/>
          </w:tcPr>
          <w:p w14:paraId="439B971D" w14:textId="058DDDAB" w:rsidR="00B913A0" w:rsidRPr="00DA5A6A" w:rsidRDefault="00B913A0"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val="en-GB" w:eastAsia="en-IE"/>
              </w:rPr>
              <w:t>KEYNOTE-119/Phase III</w:t>
            </w:r>
          </w:p>
        </w:tc>
        <w:tc>
          <w:tcPr>
            <w:tcW w:w="633" w:type="dxa"/>
          </w:tcPr>
          <w:p w14:paraId="43010FEC" w14:textId="2E7D9D20" w:rsidR="00B913A0" w:rsidRPr="00DA5A6A" w:rsidRDefault="00B913A0"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val="en-GB" w:eastAsia="en-IE"/>
              </w:rPr>
              <w:t>622</w:t>
            </w:r>
          </w:p>
        </w:tc>
        <w:tc>
          <w:tcPr>
            <w:tcW w:w="880" w:type="dxa"/>
          </w:tcPr>
          <w:p w14:paraId="1ACCA927" w14:textId="2401A158" w:rsidR="00B913A0" w:rsidRPr="00DA5A6A" w:rsidRDefault="00B913A0"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val="en-GB" w:eastAsia="en-IE"/>
              </w:rPr>
              <w:t xml:space="preserve">Pembrolizumab </w:t>
            </w:r>
            <w:r w:rsidRPr="00DA5A6A">
              <w:rPr>
                <w:rFonts w:ascii="Book Antiqua" w:eastAsia="Times New Roman" w:hAnsi="Book Antiqua" w:cs="Arial"/>
                <w:i/>
                <w:iCs/>
                <w:kern w:val="24"/>
                <w:lang w:val="en-GB" w:eastAsia="en-IE"/>
              </w:rPr>
              <w:t>vs</w:t>
            </w:r>
            <w:r w:rsidRPr="00DA5A6A">
              <w:rPr>
                <w:rFonts w:ascii="Book Antiqua" w:eastAsia="Times New Roman" w:hAnsi="Book Antiqua" w:cs="Arial"/>
                <w:kern w:val="24"/>
                <w:lang w:val="en-GB" w:eastAsia="en-IE"/>
              </w:rPr>
              <w:t xml:space="preserve"> chemo</w:t>
            </w:r>
          </w:p>
        </w:tc>
        <w:tc>
          <w:tcPr>
            <w:tcW w:w="1134" w:type="dxa"/>
          </w:tcPr>
          <w:p w14:paraId="3881FD88" w14:textId="77777777" w:rsidR="00B913A0" w:rsidRPr="00DA5A6A" w:rsidRDefault="00B913A0" w:rsidP="00DA5A6A">
            <w:pPr>
              <w:spacing w:line="360" w:lineRule="auto"/>
              <w:jc w:val="both"/>
              <w:rPr>
                <w:rFonts w:ascii="Book Antiqua" w:hAnsi="Book Antiqua"/>
                <w:b/>
              </w:rPr>
            </w:pPr>
          </w:p>
        </w:tc>
        <w:tc>
          <w:tcPr>
            <w:tcW w:w="1134" w:type="dxa"/>
          </w:tcPr>
          <w:p w14:paraId="6DE8255E" w14:textId="6D97778F" w:rsidR="00B913A0" w:rsidRPr="00DA5A6A" w:rsidRDefault="00B913A0"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val="en-GB" w:eastAsia="en-IE"/>
              </w:rPr>
              <w:t xml:space="preserve">9.6 </w:t>
            </w:r>
            <w:r w:rsidRPr="00DA5A6A">
              <w:rPr>
                <w:rFonts w:ascii="Book Antiqua" w:eastAsia="Times New Roman" w:hAnsi="Book Antiqua" w:cs="Arial"/>
                <w:i/>
                <w:iCs/>
                <w:kern w:val="24"/>
                <w:lang w:val="en-GB" w:eastAsia="en-IE"/>
              </w:rPr>
              <w:t>vs</w:t>
            </w:r>
            <w:r w:rsidRPr="00DA5A6A">
              <w:rPr>
                <w:rFonts w:ascii="Book Antiqua" w:eastAsia="Times New Roman" w:hAnsi="Book Antiqua" w:cs="Arial"/>
                <w:kern w:val="24"/>
                <w:lang w:val="en-GB" w:eastAsia="en-IE"/>
              </w:rPr>
              <w:t xml:space="preserve"> 10.6</w:t>
            </w:r>
          </w:p>
        </w:tc>
        <w:tc>
          <w:tcPr>
            <w:tcW w:w="1134" w:type="dxa"/>
          </w:tcPr>
          <w:p w14:paraId="7DEE749D" w14:textId="77777777" w:rsidR="00B913A0" w:rsidRPr="00DA5A6A" w:rsidRDefault="00B913A0" w:rsidP="00DA5A6A">
            <w:pPr>
              <w:spacing w:line="360" w:lineRule="auto"/>
              <w:jc w:val="both"/>
              <w:rPr>
                <w:rFonts w:ascii="Book Antiqua" w:hAnsi="Book Antiqua"/>
                <w:b/>
              </w:rPr>
            </w:pPr>
          </w:p>
        </w:tc>
        <w:tc>
          <w:tcPr>
            <w:tcW w:w="1418" w:type="dxa"/>
          </w:tcPr>
          <w:p w14:paraId="3FFCB9C6" w14:textId="765CE9C5" w:rsidR="00B913A0" w:rsidRPr="006F7C0C" w:rsidRDefault="00B913A0" w:rsidP="00DA5A6A">
            <w:pPr>
              <w:spacing w:line="360" w:lineRule="auto"/>
              <w:jc w:val="both"/>
              <w:rPr>
                <w:rFonts w:ascii="Book Antiqua" w:eastAsia="Times New Roman" w:hAnsi="Book Antiqua" w:cs="Arial"/>
                <w:lang w:eastAsia="en-IE"/>
              </w:rPr>
            </w:pPr>
            <w:r w:rsidRPr="00DA5A6A">
              <w:rPr>
                <w:rFonts w:ascii="Book Antiqua" w:eastAsia="Times New Roman" w:hAnsi="Book Antiqua" w:cs="Arial"/>
                <w:kern w:val="24"/>
                <w:lang w:eastAsia="en-IE"/>
              </w:rPr>
              <w:t xml:space="preserve">CPS ≥ 1; 10.7 </w:t>
            </w:r>
            <w:r w:rsidRPr="00DA5A6A">
              <w:rPr>
                <w:rFonts w:ascii="Book Antiqua" w:eastAsia="Times New Roman" w:hAnsi="Book Antiqua" w:cs="Arial"/>
                <w:i/>
                <w:iCs/>
                <w:kern w:val="24"/>
                <w:lang w:eastAsia="en-IE"/>
              </w:rPr>
              <w:t>vs</w:t>
            </w:r>
            <w:r w:rsidRPr="00DA5A6A">
              <w:rPr>
                <w:rFonts w:ascii="Book Antiqua" w:eastAsia="Times New Roman" w:hAnsi="Book Antiqua" w:cs="Arial"/>
                <w:kern w:val="24"/>
                <w:lang w:eastAsia="en-IE"/>
              </w:rPr>
              <w:t xml:space="preserve"> 10.2</w:t>
            </w:r>
            <w:r w:rsidRPr="00DA5A6A">
              <w:rPr>
                <w:rFonts w:ascii="Book Antiqua" w:hAnsi="Book Antiqua" w:cs="Arial"/>
                <w:kern w:val="24"/>
                <w:lang w:eastAsia="zh-CN"/>
              </w:rPr>
              <w:t xml:space="preserve">. </w:t>
            </w:r>
            <w:r w:rsidRPr="00DA5A6A">
              <w:rPr>
                <w:rFonts w:ascii="Book Antiqua" w:eastAsia="Times New Roman" w:hAnsi="Book Antiqua" w:cs="Arial"/>
                <w:kern w:val="24"/>
                <w:lang w:eastAsia="en-IE"/>
              </w:rPr>
              <w:t xml:space="preserve">CPS ≥10; 12.7 </w:t>
            </w:r>
            <w:r w:rsidRPr="00DA5A6A">
              <w:rPr>
                <w:rFonts w:ascii="Book Antiqua" w:eastAsia="Times New Roman" w:hAnsi="Book Antiqua" w:cs="Arial"/>
                <w:i/>
                <w:iCs/>
                <w:kern w:val="24"/>
                <w:lang w:eastAsia="en-IE"/>
              </w:rPr>
              <w:t>vs</w:t>
            </w:r>
            <w:r w:rsidRPr="00DA5A6A">
              <w:rPr>
                <w:rFonts w:ascii="Book Antiqua" w:eastAsia="Times New Roman" w:hAnsi="Book Antiqua" w:cs="Arial"/>
                <w:kern w:val="24"/>
                <w:lang w:eastAsia="en-IE"/>
              </w:rPr>
              <w:t xml:space="preserve"> 11.6</w:t>
            </w:r>
            <w:r w:rsidR="006F7C0C">
              <w:rPr>
                <w:rFonts w:ascii="Book Antiqua" w:hAnsi="Book Antiqua" w:cs="Arial" w:hint="eastAsia"/>
                <w:lang w:eastAsia="zh-CN"/>
              </w:rPr>
              <w:t>.</w:t>
            </w:r>
            <w:r w:rsidR="006F7C0C">
              <w:rPr>
                <w:rFonts w:ascii="Book Antiqua" w:hAnsi="Book Antiqua" w:cs="Arial"/>
                <w:lang w:eastAsia="zh-CN"/>
              </w:rPr>
              <w:t xml:space="preserve"> </w:t>
            </w:r>
            <w:r w:rsidRPr="00DA5A6A">
              <w:rPr>
                <w:rFonts w:ascii="Book Antiqua" w:eastAsia="Times New Roman" w:hAnsi="Book Antiqua" w:cs="Arial"/>
                <w:kern w:val="24"/>
                <w:lang w:eastAsia="en-IE"/>
              </w:rPr>
              <w:t xml:space="preserve">CPS ≥ 20; 14.9 </w:t>
            </w:r>
            <w:r w:rsidRPr="00DA5A6A">
              <w:rPr>
                <w:rFonts w:ascii="Book Antiqua" w:eastAsia="Times New Roman" w:hAnsi="Book Antiqua" w:cs="Arial"/>
                <w:i/>
                <w:iCs/>
                <w:kern w:val="24"/>
                <w:lang w:eastAsia="en-IE"/>
              </w:rPr>
              <w:t>vs</w:t>
            </w:r>
            <w:r w:rsidRPr="00DA5A6A">
              <w:rPr>
                <w:rFonts w:ascii="Book Antiqua" w:eastAsia="Times New Roman" w:hAnsi="Book Antiqua" w:cs="Arial"/>
                <w:kern w:val="24"/>
                <w:lang w:eastAsia="en-IE"/>
              </w:rPr>
              <w:t xml:space="preserve"> 12</w:t>
            </w:r>
          </w:p>
        </w:tc>
        <w:tc>
          <w:tcPr>
            <w:tcW w:w="1246" w:type="dxa"/>
          </w:tcPr>
          <w:p w14:paraId="5D6FBBD1" w14:textId="79E02977" w:rsidR="00B913A0" w:rsidRPr="00DA5A6A" w:rsidRDefault="00B913A0" w:rsidP="00C80100">
            <w:pPr>
              <w:spacing w:line="360" w:lineRule="auto"/>
              <w:jc w:val="both"/>
              <w:rPr>
                <w:rFonts w:ascii="Book Antiqua" w:eastAsia="Times New Roman" w:hAnsi="Book Antiqua" w:cs="Arial"/>
                <w:kern w:val="24"/>
                <w:lang w:val="en-GB" w:eastAsia="en-IE"/>
              </w:rPr>
            </w:pPr>
            <w:r w:rsidRPr="00DA5A6A">
              <w:rPr>
                <w:rFonts w:ascii="Book Antiqua" w:eastAsia="Book Antiqua" w:hAnsi="Book Antiqua" w:cs="Book Antiqua"/>
                <w:color w:val="000000"/>
              </w:rPr>
              <w:t>Verret</w:t>
            </w:r>
            <w:r w:rsidRPr="00DA5A6A">
              <w:rPr>
                <w:rFonts w:ascii="Book Antiqua" w:eastAsia="Times New Roman" w:hAnsi="Book Antiqua" w:cs="Arial"/>
                <w:kern w:val="24"/>
                <w:lang w:val="en-GB" w:eastAsia="en-IE"/>
              </w:rPr>
              <w:t xml:space="preserve"> </w:t>
            </w:r>
            <w:r w:rsidRPr="00DA5A6A">
              <w:rPr>
                <w:rFonts w:ascii="Book Antiqua" w:eastAsia="Times New Roman" w:hAnsi="Book Antiqua" w:cs="Arial"/>
                <w:i/>
                <w:iCs/>
                <w:kern w:val="24"/>
                <w:lang w:val="en-GB" w:eastAsia="en-IE"/>
              </w:rPr>
              <w:t>et al</w:t>
            </w:r>
            <w:r w:rsidRPr="00DA5A6A">
              <w:rPr>
                <w:rFonts w:ascii="Book Antiqua" w:eastAsia="Times New Roman" w:hAnsi="Book Antiqua" w:cs="Arial"/>
                <w:kern w:val="24"/>
                <w:vertAlign w:val="superscript"/>
                <w:lang w:val="en-GB" w:eastAsia="en-IE"/>
              </w:rPr>
              <w:t>[83]</w:t>
            </w:r>
            <w:r w:rsidRPr="00DA5A6A">
              <w:rPr>
                <w:rFonts w:ascii="Book Antiqua" w:eastAsia="Times New Roman" w:hAnsi="Book Antiqua" w:cs="Arial"/>
                <w:kern w:val="24"/>
                <w:lang w:val="en-GB" w:eastAsia="en-IE"/>
              </w:rPr>
              <w:t>, 2019</w:t>
            </w:r>
          </w:p>
        </w:tc>
      </w:tr>
    </w:tbl>
    <w:p w14:paraId="768BE27A" w14:textId="7321B425" w:rsidR="006204CD" w:rsidRPr="00DA5A6A" w:rsidRDefault="00E73B57"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 xml:space="preserve">ORR: </w:t>
      </w:r>
      <w:r w:rsidR="00DB3801" w:rsidRPr="00DA5A6A">
        <w:rPr>
          <w:rFonts w:ascii="Book Antiqua" w:eastAsia="Times New Roman" w:hAnsi="Book Antiqua" w:cs="Arial"/>
          <w:kern w:val="24"/>
          <w:lang w:val="en-GB" w:eastAsia="en-IE"/>
        </w:rPr>
        <w:t>Overall response rate</w:t>
      </w:r>
      <w:r w:rsidRPr="00DA5A6A">
        <w:rPr>
          <w:rFonts w:ascii="Book Antiqua" w:eastAsia="Times New Roman" w:hAnsi="Book Antiqua" w:cs="Arial"/>
          <w:kern w:val="24"/>
          <w:lang w:val="en-GB" w:eastAsia="en-IE"/>
        </w:rPr>
        <w:t xml:space="preserve">; </w:t>
      </w:r>
      <w:r w:rsidRPr="00DA5A6A">
        <w:rPr>
          <w:rFonts w:ascii="Book Antiqua" w:eastAsia="Book Antiqua" w:hAnsi="Book Antiqua" w:cs="Book Antiqua"/>
          <w:color w:val="000000"/>
        </w:rPr>
        <w:t xml:space="preserve">OS: Overall survival; </w:t>
      </w:r>
      <w:r w:rsidRPr="00DA5A6A">
        <w:rPr>
          <w:rFonts w:ascii="Book Antiqua" w:hAnsi="Book Antiqua" w:cs="Arial"/>
          <w:kern w:val="24"/>
          <w:lang w:val="en-GB"/>
        </w:rPr>
        <w:t xml:space="preserve">CPS: </w:t>
      </w:r>
      <w:r w:rsidRPr="00DA5A6A">
        <w:rPr>
          <w:rFonts w:ascii="Book Antiqua" w:eastAsia="Book Antiqua" w:hAnsi="Book Antiqua" w:cs="Book Antiqua"/>
          <w:color w:val="000000"/>
        </w:rPr>
        <w:t>Combined positive score.</w:t>
      </w:r>
    </w:p>
    <w:p w14:paraId="77D63D6B" w14:textId="628DDF7E" w:rsidR="006204CD" w:rsidRPr="00DA5A6A" w:rsidRDefault="006204CD" w:rsidP="00DA5A6A">
      <w:pPr>
        <w:spacing w:line="360" w:lineRule="auto"/>
        <w:jc w:val="both"/>
        <w:rPr>
          <w:rFonts w:ascii="Book Antiqua" w:hAnsi="Book Antiqua"/>
          <w:b/>
        </w:rPr>
      </w:pPr>
      <w:r w:rsidRPr="00DA5A6A">
        <w:rPr>
          <w:rFonts w:ascii="Book Antiqua" w:hAnsi="Book Antiqua" w:cs="Arial"/>
          <w:b/>
          <w:bCs/>
        </w:rPr>
        <w:br w:type="page"/>
      </w:r>
      <w:r w:rsidRPr="00DA5A6A">
        <w:rPr>
          <w:rFonts w:ascii="Book Antiqua" w:hAnsi="Book Antiqua"/>
          <w:b/>
          <w:bCs/>
        </w:rPr>
        <w:lastRenderedPageBreak/>
        <w:t>Table 3</w:t>
      </w:r>
      <w:r w:rsidR="00294444" w:rsidRPr="00DA5A6A">
        <w:rPr>
          <w:rFonts w:ascii="Book Antiqua" w:hAnsi="Book Antiqua"/>
          <w:bCs/>
        </w:rPr>
        <w:t xml:space="preserve"> </w:t>
      </w:r>
      <w:r w:rsidRPr="00DA5A6A">
        <w:rPr>
          <w:rFonts w:ascii="Book Antiqua" w:hAnsi="Book Antiqua"/>
          <w:b/>
        </w:rPr>
        <w:t>Early studies of Immunotherapy and chemotherapy in metastatic triple negative breast cancer</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456"/>
        <w:gridCol w:w="1916"/>
        <w:gridCol w:w="1234"/>
        <w:gridCol w:w="763"/>
        <w:gridCol w:w="1046"/>
        <w:gridCol w:w="776"/>
        <w:gridCol w:w="1476"/>
      </w:tblGrid>
      <w:tr w:rsidR="004F2C2F" w:rsidRPr="00DA5A6A" w14:paraId="419BB71E" w14:textId="77777777" w:rsidTr="001E3C18">
        <w:tc>
          <w:tcPr>
            <w:tcW w:w="850" w:type="pct"/>
            <w:tcBorders>
              <w:top w:val="single" w:sz="4" w:space="0" w:color="auto"/>
              <w:bottom w:val="single" w:sz="4" w:space="0" w:color="auto"/>
            </w:tcBorders>
          </w:tcPr>
          <w:p w14:paraId="283E3CE6" w14:textId="74A7F0F7" w:rsidR="004F2C2F" w:rsidRPr="00DA5A6A" w:rsidRDefault="004F2C2F" w:rsidP="00DA5A6A">
            <w:pPr>
              <w:spacing w:line="360" w:lineRule="auto"/>
              <w:jc w:val="both"/>
              <w:rPr>
                <w:rFonts w:ascii="Book Antiqua" w:hAnsi="Book Antiqua" w:cs="Arial"/>
                <w:b/>
                <w:bCs/>
                <w:lang w:val="pt-BR"/>
              </w:rPr>
            </w:pPr>
            <w:r w:rsidRPr="00DA5A6A">
              <w:rPr>
                <w:rFonts w:ascii="Book Antiqua" w:eastAsia="Times New Roman" w:hAnsi="Book Antiqua" w:cs="Arial"/>
                <w:b/>
                <w:bCs/>
                <w:kern w:val="24"/>
                <w:lang w:val="en-GB" w:eastAsia="en-IE"/>
              </w:rPr>
              <w:t>T</w:t>
            </w:r>
            <w:r w:rsidR="00294444" w:rsidRPr="00DA5A6A">
              <w:rPr>
                <w:rFonts w:ascii="Book Antiqua" w:eastAsia="Times New Roman" w:hAnsi="Book Antiqua" w:cs="Arial"/>
                <w:b/>
                <w:bCs/>
                <w:kern w:val="24"/>
                <w:lang w:val="en-GB" w:eastAsia="en-IE"/>
              </w:rPr>
              <w:t>rial</w:t>
            </w:r>
          </w:p>
        </w:tc>
        <w:tc>
          <w:tcPr>
            <w:tcW w:w="235" w:type="pct"/>
            <w:tcBorders>
              <w:top w:val="single" w:sz="4" w:space="0" w:color="auto"/>
              <w:bottom w:val="single" w:sz="4" w:space="0" w:color="auto"/>
            </w:tcBorders>
          </w:tcPr>
          <w:p w14:paraId="76B311B4" w14:textId="0B6568D8" w:rsidR="004F2C2F" w:rsidRPr="00DA5A6A" w:rsidRDefault="00674CB8" w:rsidP="00DA5A6A">
            <w:pPr>
              <w:spacing w:line="360" w:lineRule="auto"/>
              <w:jc w:val="both"/>
              <w:rPr>
                <w:rFonts w:ascii="Book Antiqua" w:hAnsi="Book Antiqua" w:cs="Arial"/>
                <w:b/>
                <w:bCs/>
                <w:i/>
                <w:iCs/>
                <w:lang w:val="pt-BR"/>
              </w:rPr>
            </w:pPr>
            <w:r w:rsidRPr="00DA5A6A">
              <w:rPr>
                <w:rFonts w:ascii="Book Antiqua" w:eastAsia="Times New Roman" w:hAnsi="Book Antiqua" w:cs="Arial"/>
                <w:b/>
                <w:bCs/>
                <w:i/>
                <w:iCs/>
                <w:kern w:val="24"/>
                <w:lang w:val="en-GB" w:eastAsia="en-IE"/>
              </w:rPr>
              <w:t>n</w:t>
            </w:r>
          </w:p>
        </w:tc>
        <w:tc>
          <w:tcPr>
            <w:tcW w:w="960" w:type="pct"/>
            <w:tcBorders>
              <w:top w:val="single" w:sz="4" w:space="0" w:color="auto"/>
              <w:bottom w:val="single" w:sz="4" w:space="0" w:color="auto"/>
            </w:tcBorders>
          </w:tcPr>
          <w:p w14:paraId="4EBB118A" w14:textId="40F3DFCE" w:rsidR="004F2C2F" w:rsidRPr="00DA5A6A" w:rsidRDefault="004F2C2F" w:rsidP="00DA5A6A">
            <w:pPr>
              <w:spacing w:line="360" w:lineRule="auto"/>
              <w:jc w:val="both"/>
              <w:rPr>
                <w:rFonts w:ascii="Book Antiqua" w:hAnsi="Book Antiqua" w:cs="Arial"/>
                <w:b/>
                <w:bCs/>
                <w:lang w:val="pt-BR"/>
              </w:rPr>
            </w:pPr>
            <w:r w:rsidRPr="00DA5A6A">
              <w:rPr>
                <w:rFonts w:ascii="Book Antiqua" w:eastAsia="Times New Roman" w:hAnsi="Book Antiqua" w:cs="Arial"/>
                <w:b/>
                <w:bCs/>
                <w:kern w:val="24"/>
                <w:lang w:val="en-GB" w:eastAsia="en-IE"/>
              </w:rPr>
              <w:t>D</w:t>
            </w:r>
            <w:r w:rsidR="00294444" w:rsidRPr="00DA5A6A">
              <w:rPr>
                <w:rFonts w:ascii="Book Antiqua" w:eastAsia="Times New Roman" w:hAnsi="Book Antiqua" w:cs="Arial"/>
                <w:b/>
                <w:bCs/>
                <w:kern w:val="24"/>
                <w:lang w:val="en-GB" w:eastAsia="en-IE"/>
              </w:rPr>
              <w:t>rug</w:t>
            </w:r>
          </w:p>
        </w:tc>
        <w:tc>
          <w:tcPr>
            <w:tcW w:w="621" w:type="pct"/>
            <w:tcBorders>
              <w:top w:val="single" w:sz="4" w:space="0" w:color="auto"/>
              <w:bottom w:val="single" w:sz="4" w:space="0" w:color="auto"/>
            </w:tcBorders>
          </w:tcPr>
          <w:p w14:paraId="799CAB61" w14:textId="47CEA35A" w:rsidR="004F2C2F" w:rsidRPr="00DA5A6A" w:rsidRDefault="004F2C2F" w:rsidP="00DA5A6A">
            <w:pPr>
              <w:spacing w:line="360" w:lineRule="auto"/>
              <w:jc w:val="both"/>
              <w:rPr>
                <w:rFonts w:ascii="Book Antiqua" w:eastAsia="Times New Roman" w:hAnsi="Book Antiqua" w:cs="Arial"/>
                <w:lang w:eastAsia="en-IE"/>
              </w:rPr>
            </w:pPr>
            <w:r w:rsidRPr="00DA5A6A">
              <w:rPr>
                <w:rFonts w:ascii="Book Antiqua" w:eastAsia="Times New Roman" w:hAnsi="Book Antiqua" w:cs="Arial"/>
                <w:b/>
                <w:bCs/>
                <w:kern w:val="24"/>
                <w:lang w:val="en-GB" w:eastAsia="en-IE"/>
              </w:rPr>
              <w:t>ORR</w:t>
            </w:r>
            <w:r w:rsidR="00294444" w:rsidRPr="00DA5A6A">
              <w:rPr>
                <w:rFonts w:ascii="Book Antiqua" w:hAnsi="Book Antiqua" w:cs="Arial"/>
                <w:b/>
                <w:bCs/>
                <w:kern w:val="24"/>
                <w:lang w:val="en-GB" w:eastAsia="zh-CN"/>
              </w:rPr>
              <w:t xml:space="preserve"> </w:t>
            </w:r>
            <w:r w:rsidRPr="00DA5A6A">
              <w:rPr>
                <w:rFonts w:ascii="Book Antiqua" w:eastAsia="Times New Roman" w:hAnsi="Book Antiqua" w:cs="Arial"/>
                <w:b/>
                <w:bCs/>
                <w:kern w:val="24"/>
                <w:lang w:val="en-GB" w:eastAsia="en-IE"/>
              </w:rPr>
              <w:t>1</w:t>
            </w:r>
            <w:r w:rsidRPr="00DA5A6A">
              <w:rPr>
                <w:rFonts w:ascii="Book Antiqua" w:eastAsia="Times New Roman" w:hAnsi="Book Antiqua" w:cs="Arial"/>
                <w:b/>
                <w:bCs/>
                <w:kern w:val="24"/>
                <w:position w:val="10"/>
                <w:vertAlign w:val="superscript"/>
                <w:lang w:val="en-GB" w:eastAsia="en-IE"/>
              </w:rPr>
              <w:t>st</w:t>
            </w:r>
            <w:r w:rsidRPr="00DA5A6A">
              <w:rPr>
                <w:rFonts w:ascii="Book Antiqua" w:eastAsia="Times New Roman" w:hAnsi="Book Antiqua" w:cs="Arial"/>
                <w:b/>
                <w:bCs/>
                <w:kern w:val="24"/>
                <w:lang w:val="en-GB" w:eastAsia="en-IE"/>
              </w:rPr>
              <w:t xml:space="preserve"> </w:t>
            </w:r>
            <w:r w:rsidR="00294444" w:rsidRPr="00DA5A6A">
              <w:rPr>
                <w:rFonts w:ascii="Book Antiqua" w:eastAsia="Times New Roman" w:hAnsi="Book Antiqua" w:cs="Arial"/>
                <w:b/>
                <w:bCs/>
                <w:kern w:val="24"/>
                <w:lang w:val="en-GB" w:eastAsia="en-IE"/>
              </w:rPr>
              <w:t>l</w:t>
            </w:r>
            <w:r w:rsidRPr="00DA5A6A">
              <w:rPr>
                <w:rFonts w:ascii="Book Antiqua" w:eastAsia="Times New Roman" w:hAnsi="Book Antiqua" w:cs="Arial"/>
                <w:b/>
                <w:bCs/>
                <w:kern w:val="24"/>
                <w:lang w:val="en-GB" w:eastAsia="en-IE"/>
              </w:rPr>
              <w:t>ine</w:t>
            </w:r>
          </w:p>
        </w:tc>
        <w:tc>
          <w:tcPr>
            <w:tcW w:w="387" w:type="pct"/>
            <w:tcBorders>
              <w:top w:val="single" w:sz="4" w:space="0" w:color="auto"/>
              <w:bottom w:val="single" w:sz="4" w:space="0" w:color="auto"/>
            </w:tcBorders>
          </w:tcPr>
          <w:p w14:paraId="0A6796B0" w14:textId="6825869B" w:rsidR="004F2C2F" w:rsidRPr="00DA5A6A" w:rsidRDefault="004F2C2F" w:rsidP="00DA5A6A">
            <w:pPr>
              <w:spacing w:line="360" w:lineRule="auto"/>
              <w:jc w:val="both"/>
              <w:rPr>
                <w:rFonts w:ascii="Book Antiqua" w:eastAsia="Times New Roman" w:hAnsi="Book Antiqua" w:cs="Arial"/>
                <w:lang w:eastAsia="en-IE"/>
              </w:rPr>
            </w:pPr>
            <w:r w:rsidRPr="00DA5A6A">
              <w:rPr>
                <w:rFonts w:ascii="Book Antiqua" w:eastAsia="Times New Roman" w:hAnsi="Book Antiqua" w:cs="Arial"/>
                <w:b/>
                <w:bCs/>
                <w:kern w:val="24"/>
                <w:lang w:val="en-GB" w:eastAsia="en-IE"/>
              </w:rPr>
              <w:t>ORR</w:t>
            </w:r>
            <w:r w:rsidR="00294444" w:rsidRPr="00DA5A6A">
              <w:rPr>
                <w:rFonts w:ascii="Book Antiqua" w:hAnsi="Book Antiqua" w:cs="Arial"/>
                <w:b/>
                <w:bCs/>
                <w:kern w:val="24"/>
                <w:lang w:val="en-GB" w:eastAsia="zh-CN"/>
              </w:rPr>
              <w:t xml:space="preserve"> </w:t>
            </w:r>
            <w:r w:rsidRPr="00DA5A6A">
              <w:rPr>
                <w:rFonts w:ascii="Book Antiqua" w:eastAsia="Times New Roman" w:hAnsi="Book Antiqua" w:cs="Arial"/>
                <w:b/>
                <w:bCs/>
                <w:kern w:val="24"/>
                <w:lang w:val="en-GB" w:eastAsia="en-IE"/>
              </w:rPr>
              <w:t>≥</w:t>
            </w:r>
            <w:r w:rsidR="00294444" w:rsidRPr="00DA5A6A">
              <w:rPr>
                <w:rFonts w:ascii="Book Antiqua" w:eastAsia="Times New Roman" w:hAnsi="Book Antiqua" w:cs="Arial"/>
                <w:b/>
                <w:bCs/>
                <w:kern w:val="24"/>
                <w:lang w:val="en-GB" w:eastAsia="en-IE"/>
              </w:rPr>
              <w:t xml:space="preserve"> </w:t>
            </w:r>
            <w:r w:rsidRPr="00DA5A6A">
              <w:rPr>
                <w:rFonts w:ascii="Book Antiqua" w:eastAsia="Times New Roman" w:hAnsi="Book Antiqua" w:cs="Arial"/>
                <w:b/>
                <w:bCs/>
                <w:kern w:val="24"/>
                <w:lang w:val="en-GB" w:eastAsia="en-IE"/>
              </w:rPr>
              <w:t xml:space="preserve">2 </w:t>
            </w:r>
            <w:r w:rsidR="00294444" w:rsidRPr="00DA5A6A">
              <w:rPr>
                <w:rFonts w:ascii="Book Antiqua" w:eastAsia="Times New Roman" w:hAnsi="Book Antiqua" w:cs="Arial"/>
                <w:b/>
                <w:bCs/>
                <w:kern w:val="24"/>
                <w:lang w:val="en-GB" w:eastAsia="en-IE"/>
              </w:rPr>
              <w:t>l</w:t>
            </w:r>
            <w:r w:rsidRPr="00DA5A6A">
              <w:rPr>
                <w:rFonts w:ascii="Book Antiqua" w:eastAsia="Times New Roman" w:hAnsi="Book Antiqua" w:cs="Arial"/>
                <w:b/>
                <w:bCs/>
                <w:kern w:val="24"/>
                <w:lang w:val="en-GB" w:eastAsia="en-IE"/>
              </w:rPr>
              <w:t>ine</w:t>
            </w:r>
          </w:p>
        </w:tc>
        <w:tc>
          <w:tcPr>
            <w:tcW w:w="528" w:type="pct"/>
            <w:tcBorders>
              <w:top w:val="single" w:sz="4" w:space="0" w:color="auto"/>
              <w:bottom w:val="single" w:sz="4" w:space="0" w:color="auto"/>
            </w:tcBorders>
          </w:tcPr>
          <w:p w14:paraId="430C8786" w14:textId="77BD8665" w:rsidR="004F2C2F" w:rsidRPr="00DA5A6A" w:rsidRDefault="004F2C2F" w:rsidP="00DA5A6A">
            <w:pPr>
              <w:spacing w:line="360" w:lineRule="auto"/>
              <w:jc w:val="both"/>
              <w:rPr>
                <w:rFonts w:ascii="Book Antiqua" w:eastAsia="Times New Roman" w:hAnsi="Book Antiqua" w:cs="Arial"/>
                <w:lang w:eastAsia="en-IE"/>
              </w:rPr>
            </w:pPr>
            <w:r w:rsidRPr="00DA5A6A">
              <w:rPr>
                <w:rFonts w:ascii="Book Antiqua" w:eastAsia="Times New Roman" w:hAnsi="Book Antiqua" w:cs="Arial"/>
                <w:b/>
                <w:bCs/>
                <w:kern w:val="24"/>
                <w:lang w:val="en-GB" w:eastAsia="en-IE"/>
              </w:rPr>
              <w:t>mOS 1</w:t>
            </w:r>
            <w:r w:rsidRPr="00DA5A6A">
              <w:rPr>
                <w:rFonts w:ascii="Book Antiqua" w:eastAsia="Times New Roman" w:hAnsi="Book Antiqua" w:cs="Arial"/>
                <w:b/>
                <w:bCs/>
                <w:kern w:val="24"/>
                <w:position w:val="10"/>
                <w:vertAlign w:val="superscript"/>
                <w:lang w:val="en-GB" w:eastAsia="en-IE"/>
              </w:rPr>
              <w:t>st</w:t>
            </w:r>
            <w:r w:rsidRPr="00DA5A6A">
              <w:rPr>
                <w:rFonts w:ascii="Book Antiqua" w:eastAsia="Times New Roman" w:hAnsi="Book Antiqua" w:cs="Arial"/>
                <w:b/>
                <w:bCs/>
                <w:kern w:val="24"/>
                <w:lang w:val="en-GB" w:eastAsia="en-IE"/>
              </w:rPr>
              <w:t xml:space="preserve"> </w:t>
            </w:r>
            <w:r w:rsidR="00294444" w:rsidRPr="00DA5A6A">
              <w:rPr>
                <w:rFonts w:ascii="Book Antiqua" w:eastAsia="Times New Roman" w:hAnsi="Book Antiqua" w:cs="Arial"/>
                <w:b/>
                <w:bCs/>
                <w:kern w:val="24"/>
                <w:lang w:val="en-GB" w:eastAsia="en-IE"/>
              </w:rPr>
              <w:t>l</w:t>
            </w:r>
            <w:r w:rsidRPr="00DA5A6A">
              <w:rPr>
                <w:rFonts w:ascii="Book Antiqua" w:eastAsia="Times New Roman" w:hAnsi="Book Antiqua" w:cs="Arial"/>
                <w:b/>
                <w:bCs/>
                <w:kern w:val="24"/>
                <w:lang w:val="en-GB" w:eastAsia="en-IE"/>
              </w:rPr>
              <w:t>ine</w:t>
            </w:r>
          </w:p>
        </w:tc>
        <w:tc>
          <w:tcPr>
            <w:tcW w:w="394" w:type="pct"/>
            <w:tcBorders>
              <w:top w:val="single" w:sz="4" w:space="0" w:color="auto"/>
              <w:bottom w:val="single" w:sz="4" w:space="0" w:color="auto"/>
            </w:tcBorders>
          </w:tcPr>
          <w:p w14:paraId="52B7F240" w14:textId="0D37218D" w:rsidR="004F2C2F" w:rsidRPr="00DA5A6A" w:rsidRDefault="004F2C2F" w:rsidP="00DA5A6A">
            <w:pPr>
              <w:spacing w:line="360" w:lineRule="auto"/>
              <w:jc w:val="both"/>
              <w:rPr>
                <w:rFonts w:ascii="Book Antiqua" w:eastAsia="Times New Roman" w:hAnsi="Book Antiqua" w:cs="Arial"/>
                <w:lang w:eastAsia="en-IE"/>
              </w:rPr>
            </w:pPr>
            <w:r w:rsidRPr="00DA5A6A">
              <w:rPr>
                <w:rFonts w:ascii="Book Antiqua" w:eastAsia="Times New Roman" w:hAnsi="Book Antiqua" w:cs="Arial"/>
                <w:b/>
                <w:bCs/>
                <w:kern w:val="24"/>
                <w:lang w:val="en-GB" w:eastAsia="en-IE"/>
              </w:rPr>
              <w:t>mOS</w:t>
            </w:r>
            <w:r w:rsidR="00294444" w:rsidRPr="00DA5A6A">
              <w:rPr>
                <w:rFonts w:ascii="Book Antiqua" w:hAnsi="Book Antiqua" w:cs="Arial"/>
                <w:b/>
                <w:bCs/>
                <w:kern w:val="24"/>
                <w:lang w:val="en-GB" w:eastAsia="zh-CN"/>
              </w:rPr>
              <w:t xml:space="preserve"> </w:t>
            </w:r>
            <w:r w:rsidRPr="00DA5A6A">
              <w:rPr>
                <w:rFonts w:ascii="Book Antiqua" w:eastAsia="Times New Roman" w:hAnsi="Book Antiqua" w:cs="Arial"/>
                <w:b/>
                <w:bCs/>
                <w:kern w:val="24"/>
                <w:lang w:val="en-GB" w:eastAsia="en-IE"/>
              </w:rPr>
              <w:t>2</w:t>
            </w:r>
            <w:r w:rsidRPr="00DA5A6A">
              <w:rPr>
                <w:rFonts w:ascii="Book Antiqua" w:eastAsia="Times New Roman" w:hAnsi="Book Antiqua" w:cs="Arial"/>
                <w:b/>
                <w:bCs/>
                <w:kern w:val="24"/>
                <w:position w:val="10"/>
                <w:vertAlign w:val="superscript"/>
                <w:lang w:val="en-GB" w:eastAsia="en-IE"/>
              </w:rPr>
              <w:t>nd</w:t>
            </w:r>
            <w:r w:rsidRPr="00DA5A6A">
              <w:rPr>
                <w:rFonts w:ascii="Book Antiqua" w:eastAsia="Times New Roman" w:hAnsi="Book Antiqua" w:cs="Arial"/>
                <w:b/>
                <w:bCs/>
                <w:kern w:val="24"/>
                <w:lang w:val="en-GB" w:eastAsia="en-IE"/>
              </w:rPr>
              <w:t xml:space="preserve"> </w:t>
            </w:r>
            <w:r w:rsidR="00294444" w:rsidRPr="00DA5A6A">
              <w:rPr>
                <w:rFonts w:ascii="Book Antiqua" w:eastAsia="Times New Roman" w:hAnsi="Book Antiqua" w:cs="Arial"/>
                <w:b/>
                <w:bCs/>
                <w:kern w:val="24"/>
                <w:lang w:val="en-GB" w:eastAsia="en-IE"/>
              </w:rPr>
              <w:t>l</w:t>
            </w:r>
            <w:r w:rsidRPr="00DA5A6A">
              <w:rPr>
                <w:rFonts w:ascii="Book Antiqua" w:eastAsia="Times New Roman" w:hAnsi="Book Antiqua" w:cs="Arial"/>
                <w:b/>
                <w:bCs/>
                <w:kern w:val="24"/>
                <w:lang w:val="en-GB" w:eastAsia="en-IE"/>
              </w:rPr>
              <w:t>ine</w:t>
            </w:r>
          </w:p>
        </w:tc>
        <w:tc>
          <w:tcPr>
            <w:tcW w:w="1025" w:type="pct"/>
            <w:tcBorders>
              <w:top w:val="single" w:sz="4" w:space="0" w:color="auto"/>
              <w:bottom w:val="single" w:sz="4" w:space="0" w:color="auto"/>
            </w:tcBorders>
          </w:tcPr>
          <w:p w14:paraId="75D56188" w14:textId="72494C76" w:rsidR="004F2C2F" w:rsidRPr="00DA5A6A" w:rsidRDefault="004F2C2F" w:rsidP="00DA5A6A">
            <w:pPr>
              <w:spacing w:line="360" w:lineRule="auto"/>
              <w:jc w:val="both"/>
              <w:rPr>
                <w:rFonts w:ascii="Book Antiqua" w:hAnsi="Book Antiqua" w:cs="Arial"/>
                <w:b/>
                <w:bCs/>
                <w:lang w:val="pt-BR"/>
              </w:rPr>
            </w:pPr>
            <w:r w:rsidRPr="00DA5A6A">
              <w:rPr>
                <w:rFonts w:ascii="Book Antiqua" w:eastAsia="Times New Roman" w:hAnsi="Book Antiqua" w:cs="Arial"/>
                <w:b/>
                <w:bCs/>
                <w:kern w:val="24"/>
                <w:lang w:val="en-GB" w:eastAsia="en-IE"/>
              </w:rPr>
              <w:t>R</w:t>
            </w:r>
            <w:r w:rsidR="00294444" w:rsidRPr="00DA5A6A">
              <w:rPr>
                <w:rFonts w:ascii="Book Antiqua" w:eastAsia="Times New Roman" w:hAnsi="Book Antiqua" w:cs="Arial"/>
                <w:b/>
                <w:bCs/>
                <w:kern w:val="24"/>
                <w:lang w:val="en-GB" w:eastAsia="en-IE"/>
              </w:rPr>
              <w:t>ef.</w:t>
            </w:r>
          </w:p>
        </w:tc>
      </w:tr>
      <w:tr w:rsidR="004F2C2F" w:rsidRPr="00D42DA4" w14:paraId="3069EE36" w14:textId="77777777" w:rsidTr="001E3C18">
        <w:tc>
          <w:tcPr>
            <w:tcW w:w="850" w:type="pct"/>
            <w:tcBorders>
              <w:top w:val="single" w:sz="4" w:space="0" w:color="auto"/>
            </w:tcBorders>
          </w:tcPr>
          <w:p w14:paraId="53699F87" w14:textId="262AAFCD" w:rsidR="004F2C2F" w:rsidRPr="00DA5A6A" w:rsidRDefault="004F2C2F" w:rsidP="00DA5A6A">
            <w:pPr>
              <w:spacing w:line="360" w:lineRule="auto"/>
              <w:jc w:val="both"/>
              <w:rPr>
                <w:rFonts w:ascii="Book Antiqua" w:eastAsia="Times New Roman" w:hAnsi="Book Antiqua" w:cs="Arial"/>
                <w:lang w:eastAsia="en-IE"/>
              </w:rPr>
            </w:pPr>
            <w:r w:rsidRPr="00DA5A6A">
              <w:rPr>
                <w:rFonts w:ascii="Book Antiqua" w:eastAsia="Times New Roman" w:hAnsi="Book Antiqua" w:cs="Arial"/>
                <w:kern w:val="24"/>
                <w:lang w:val="en-GB" w:eastAsia="en-IE"/>
              </w:rPr>
              <w:t>NCT01633970</w:t>
            </w:r>
            <w:r w:rsidR="0008306D" w:rsidRPr="00DA5A6A">
              <w:rPr>
                <w:rFonts w:ascii="Book Antiqua" w:hAnsi="Book Antiqua" w:cs="Arial"/>
                <w:kern w:val="24"/>
                <w:lang w:val="en-GB" w:eastAsia="zh-CN"/>
              </w:rPr>
              <w:t xml:space="preserve"> </w:t>
            </w:r>
            <w:r w:rsidRPr="00DA5A6A">
              <w:rPr>
                <w:rFonts w:ascii="Book Antiqua" w:eastAsia="Times New Roman" w:hAnsi="Book Antiqua" w:cs="Arial"/>
                <w:kern w:val="24"/>
                <w:lang w:val="en-GB" w:eastAsia="en-IE"/>
              </w:rPr>
              <w:t>Phase Ib</w:t>
            </w:r>
          </w:p>
        </w:tc>
        <w:tc>
          <w:tcPr>
            <w:tcW w:w="235" w:type="pct"/>
            <w:tcBorders>
              <w:top w:val="single" w:sz="4" w:space="0" w:color="auto"/>
            </w:tcBorders>
          </w:tcPr>
          <w:p w14:paraId="1619EC7D" w14:textId="684268D1" w:rsidR="004F2C2F" w:rsidRPr="00DA5A6A" w:rsidRDefault="004F2C2F" w:rsidP="00DA5A6A">
            <w:pPr>
              <w:spacing w:line="360" w:lineRule="auto"/>
              <w:jc w:val="both"/>
              <w:rPr>
                <w:rFonts w:ascii="Book Antiqua" w:hAnsi="Book Antiqua" w:cs="Arial"/>
                <w:b/>
                <w:bCs/>
                <w:lang w:val="pt-BR"/>
              </w:rPr>
            </w:pPr>
            <w:r w:rsidRPr="00DA5A6A">
              <w:rPr>
                <w:rFonts w:ascii="Book Antiqua" w:eastAsia="Times New Roman" w:hAnsi="Book Antiqua" w:cs="Arial"/>
                <w:kern w:val="24"/>
                <w:lang w:val="en-GB" w:eastAsia="en-IE"/>
              </w:rPr>
              <w:t>33</w:t>
            </w:r>
          </w:p>
        </w:tc>
        <w:tc>
          <w:tcPr>
            <w:tcW w:w="960" w:type="pct"/>
            <w:tcBorders>
              <w:top w:val="single" w:sz="4" w:space="0" w:color="auto"/>
            </w:tcBorders>
          </w:tcPr>
          <w:p w14:paraId="7B924735" w14:textId="56BC0DB0" w:rsidR="004F2C2F" w:rsidRPr="00DA5A6A" w:rsidRDefault="004F2C2F" w:rsidP="00DA5A6A">
            <w:pPr>
              <w:spacing w:line="360" w:lineRule="auto"/>
              <w:jc w:val="both"/>
              <w:rPr>
                <w:rFonts w:ascii="Book Antiqua" w:hAnsi="Book Antiqua" w:cs="Arial"/>
                <w:b/>
                <w:bCs/>
                <w:lang w:val="pt-BR"/>
              </w:rPr>
            </w:pPr>
            <w:r w:rsidRPr="00DA5A6A">
              <w:rPr>
                <w:rFonts w:ascii="Book Antiqua" w:eastAsia="Times New Roman" w:hAnsi="Book Antiqua" w:cs="Arial"/>
                <w:kern w:val="24"/>
                <w:lang w:val="en-GB" w:eastAsia="en-IE"/>
              </w:rPr>
              <w:t>Atezolizumab + nab-paclitaxel</w:t>
            </w:r>
          </w:p>
        </w:tc>
        <w:tc>
          <w:tcPr>
            <w:tcW w:w="621" w:type="pct"/>
            <w:tcBorders>
              <w:top w:val="single" w:sz="4" w:space="0" w:color="auto"/>
            </w:tcBorders>
          </w:tcPr>
          <w:p w14:paraId="35C2A741" w14:textId="07660B22" w:rsidR="004F2C2F" w:rsidRPr="00DA5A6A" w:rsidRDefault="004F2C2F" w:rsidP="00DA5A6A">
            <w:pPr>
              <w:spacing w:line="360" w:lineRule="auto"/>
              <w:jc w:val="both"/>
              <w:rPr>
                <w:rFonts w:ascii="Book Antiqua" w:hAnsi="Book Antiqua" w:cs="Arial"/>
                <w:b/>
                <w:bCs/>
                <w:lang w:val="pt-BR"/>
              </w:rPr>
            </w:pPr>
            <w:r w:rsidRPr="00DA5A6A">
              <w:rPr>
                <w:rFonts w:ascii="Book Antiqua" w:eastAsia="Times New Roman" w:hAnsi="Book Antiqua" w:cs="Arial"/>
                <w:kern w:val="24"/>
                <w:lang w:val="en-GB" w:eastAsia="en-IE"/>
              </w:rPr>
              <w:t>53.8%</w:t>
            </w:r>
          </w:p>
        </w:tc>
        <w:tc>
          <w:tcPr>
            <w:tcW w:w="387" w:type="pct"/>
            <w:tcBorders>
              <w:top w:val="single" w:sz="4" w:space="0" w:color="auto"/>
            </w:tcBorders>
          </w:tcPr>
          <w:p w14:paraId="07972AC7" w14:textId="70C5C3EE" w:rsidR="004F2C2F" w:rsidRPr="00DA5A6A" w:rsidRDefault="004F2C2F" w:rsidP="00DA5A6A">
            <w:pPr>
              <w:spacing w:line="360" w:lineRule="auto"/>
              <w:jc w:val="both"/>
              <w:rPr>
                <w:rFonts w:ascii="Book Antiqua" w:hAnsi="Book Antiqua" w:cs="Arial"/>
                <w:b/>
                <w:bCs/>
                <w:lang w:val="pt-BR"/>
              </w:rPr>
            </w:pPr>
            <w:r w:rsidRPr="00DA5A6A">
              <w:rPr>
                <w:rFonts w:ascii="Book Antiqua" w:eastAsia="Times New Roman" w:hAnsi="Book Antiqua" w:cs="Arial"/>
                <w:kern w:val="24"/>
                <w:lang w:val="en-GB" w:eastAsia="en-IE"/>
              </w:rPr>
              <w:t>30</w:t>
            </w:r>
          </w:p>
        </w:tc>
        <w:tc>
          <w:tcPr>
            <w:tcW w:w="528" w:type="pct"/>
            <w:tcBorders>
              <w:top w:val="single" w:sz="4" w:space="0" w:color="auto"/>
            </w:tcBorders>
          </w:tcPr>
          <w:p w14:paraId="4D50D6AE" w14:textId="6DFA8495" w:rsidR="004F2C2F" w:rsidRPr="00DA5A6A" w:rsidRDefault="004F2C2F" w:rsidP="00DA5A6A">
            <w:pPr>
              <w:spacing w:line="360" w:lineRule="auto"/>
              <w:jc w:val="both"/>
              <w:rPr>
                <w:rFonts w:ascii="Book Antiqua" w:hAnsi="Book Antiqua" w:cs="Arial"/>
                <w:b/>
                <w:bCs/>
                <w:lang w:val="pt-BR"/>
              </w:rPr>
            </w:pPr>
            <w:r w:rsidRPr="00DA5A6A">
              <w:rPr>
                <w:rFonts w:ascii="Book Antiqua" w:eastAsia="Times New Roman" w:hAnsi="Book Antiqua" w:cs="Arial"/>
                <w:kern w:val="24"/>
                <w:lang w:val="en-GB" w:eastAsia="en-IE"/>
              </w:rPr>
              <w:t>24.2</w:t>
            </w:r>
          </w:p>
        </w:tc>
        <w:tc>
          <w:tcPr>
            <w:tcW w:w="394" w:type="pct"/>
            <w:tcBorders>
              <w:top w:val="single" w:sz="4" w:space="0" w:color="auto"/>
            </w:tcBorders>
          </w:tcPr>
          <w:p w14:paraId="3148A881" w14:textId="3EBD4389" w:rsidR="004F2C2F" w:rsidRPr="00DA5A6A" w:rsidRDefault="004F2C2F" w:rsidP="00DA5A6A">
            <w:pPr>
              <w:spacing w:line="360" w:lineRule="auto"/>
              <w:jc w:val="both"/>
              <w:rPr>
                <w:rFonts w:ascii="Book Antiqua" w:hAnsi="Book Antiqua" w:cs="Arial"/>
                <w:b/>
                <w:bCs/>
                <w:lang w:val="pt-BR"/>
              </w:rPr>
            </w:pPr>
            <w:r w:rsidRPr="00DA5A6A">
              <w:rPr>
                <w:rFonts w:ascii="Book Antiqua" w:eastAsia="Times New Roman" w:hAnsi="Book Antiqua" w:cs="Arial"/>
                <w:kern w:val="24"/>
                <w:lang w:val="en-GB" w:eastAsia="en-IE"/>
              </w:rPr>
              <w:t>12.4</w:t>
            </w:r>
          </w:p>
        </w:tc>
        <w:tc>
          <w:tcPr>
            <w:tcW w:w="1025" w:type="pct"/>
            <w:tcBorders>
              <w:top w:val="single" w:sz="4" w:space="0" w:color="auto"/>
            </w:tcBorders>
          </w:tcPr>
          <w:p w14:paraId="4B7527CB" w14:textId="27A3B4F7" w:rsidR="004F2C2F" w:rsidRPr="00DA5A6A" w:rsidRDefault="004F2C2F" w:rsidP="00C80100">
            <w:pPr>
              <w:spacing w:line="360" w:lineRule="auto"/>
              <w:jc w:val="both"/>
              <w:rPr>
                <w:rFonts w:ascii="Book Antiqua" w:hAnsi="Book Antiqua" w:cs="Arial"/>
                <w:b/>
                <w:bCs/>
                <w:lang w:val="pt-BR"/>
              </w:rPr>
            </w:pPr>
            <w:r w:rsidRPr="00DA5A6A">
              <w:rPr>
                <w:rFonts w:ascii="Book Antiqua" w:eastAsia="Times New Roman" w:hAnsi="Book Antiqua" w:cs="Arial"/>
                <w:kern w:val="24"/>
                <w:lang w:val="pt-BR" w:eastAsia="en-IE"/>
              </w:rPr>
              <w:t>Adams</w:t>
            </w:r>
            <w:r w:rsidR="00922E9B" w:rsidRPr="00DA5A6A">
              <w:rPr>
                <w:rFonts w:ascii="Book Antiqua" w:eastAsia="Times New Roman" w:hAnsi="Book Antiqua" w:cs="Arial"/>
                <w:i/>
                <w:iCs/>
                <w:kern w:val="24"/>
                <w:lang w:val="pt-BR" w:eastAsia="en-IE"/>
              </w:rPr>
              <w:t xml:space="preserve"> et al</w:t>
            </w:r>
            <w:r w:rsidR="00922E9B" w:rsidRPr="00DA5A6A">
              <w:rPr>
                <w:rFonts w:ascii="Book Antiqua" w:eastAsia="Times New Roman" w:hAnsi="Book Antiqua" w:cs="Arial"/>
                <w:kern w:val="24"/>
                <w:vertAlign w:val="superscript"/>
                <w:lang w:val="pt-BR" w:eastAsia="en-IE"/>
              </w:rPr>
              <w:t>[55]</w:t>
            </w:r>
            <w:r w:rsidR="00922E9B" w:rsidRPr="00DA5A6A">
              <w:rPr>
                <w:rFonts w:ascii="Book Antiqua" w:eastAsia="Times New Roman" w:hAnsi="Book Antiqua" w:cs="Arial"/>
                <w:kern w:val="24"/>
                <w:lang w:val="pt-BR" w:eastAsia="en-IE"/>
              </w:rPr>
              <w:t>,</w:t>
            </w:r>
            <w:r w:rsidRPr="00DA5A6A">
              <w:rPr>
                <w:rFonts w:ascii="Book Antiqua" w:eastAsia="Times New Roman" w:hAnsi="Book Antiqua" w:cs="Arial"/>
                <w:kern w:val="24"/>
                <w:lang w:val="pt-BR" w:eastAsia="en-IE"/>
              </w:rPr>
              <w:t xml:space="preserve"> 201</w:t>
            </w:r>
            <w:r w:rsidR="00922E9B" w:rsidRPr="00DA5A6A">
              <w:rPr>
                <w:rFonts w:ascii="Book Antiqua" w:eastAsia="Times New Roman" w:hAnsi="Book Antiqua" w:cs="Arial"/>
                <w:kern w:val="24"/>
                <w:lang w:val="pt-BR" w:eastAsia="en-IE"/>
              </w:rPr>
              <w:t>9</w:t>
            </w:r>
          </w:p>
        </w:tc>
      </w:tr>
      <w:tr w:rsidR="004F2C2F" w:rsidRPr="00DA5A6A" w14:paraId="0E453CA4" w14:textId="77777777" w:rsidTr="001E3C18">
        <w:tc>
          <w:tcPr>
            <w:tcW w:w="850" w:type="pct"/>
          </w:tcPr>
          <w:p w14:paraId="39CF13F6" w14:textId="2F4DD345" w:rsidR="004F2C2F" w:rsidRPr="00DA5A6A" w:rsidRDefault="004F2C2F" w:rsidP="00DA5A6A">
            <w:pPr>
              <w:spacing w:line="360" w:lineRule="auto"/>
              <w:jc w:val="both"/>
              <w:rPr>
                <w:rFonts w:ascii="Book Antiqua" w:eastAsia="Times New Roman" w:hAnsi="Book Antiqua" w:cs="Arial"/>
                <w:lang w:eastAsia="en-IE"/>
              </w:rPr>
            </w:pPr>
            <w:r w:rsidRPr="00DA5A6A">
              <w:rPr>
                <w:rFonts w:ascii="Book Antiqua" w:eastAsia="Times New Roman" w:hAnsi="Book Antiqua" w:cs="Arial"/>
                <w:kern w:val="24"/>
                <w:lang w:val="en-GB" w:eastAsia="en-IE"/>
              </w:rPr>
              <w:t>KEYNOTE-150</w:t>
            </w:r>
            <w:r w:rsidR="0008306D" w:rsidRPr="00DA5A6A">
              <w:rPr>
                <w:rFonts w:ascii="Book Antiqua" w:hAnsi="Book Antiqua" w:cs="Arial"/>
                <w:kern w:val="24"/>
                <w:lang w:val="en-GB" w:eastAsia="zh-CN"/>
              </w:rPr>
              <w:t xml:space="preserve"> </w:t>
            </w:r>
            <w:r w:rsidRPr="00DA5A6A">
              <w:rPr>
                <w:rFonts w:ascii="Book Antiqua" w:eastAsia="Times New Roman" w:hAnsi="Book Antiqua" w:cs="Arial"/>
                <w:kern w:val="24"/>
                <w:lang w:val="en-GB" w:eastAsia="en-IE"/>
              </w:rPr>
              <w:t>Phase 1b/II</w:t>
            </w:r>
          </w:p>
        </w:tc>
        <w:tc>
          <w:tcPr>
            <w:tcW w:w="235" w:type="pct"/>
          </w:tcPr>
          <w:p w14:paraId="583D94C4" w14:textId="0932C76D" w:rsidR="004F2C2F" w:rsidRPr="00DA5A6A" w:rsidRDefault="004F2C2F" w:rsidP="00DA5A6A">
            <w:pPr>
              <w:spacing w:line="360" w:lineRule="auto"/>
              <w:jc w:val="both"/>
              <w:rPr>
                <w:rFonts w:ascii="Book Antiqua" w:hAnsi="Book Antiqua" w:cs="Arial"/>
                <w:b/>
                <w:bCs/>
                <w:lang w:val="pt-BR"/>
              </w:rPr>
            </w:pPr>
            <w:r w:rsidRPr="00DA5A6A">
              <w:rPr>
                <w:rFonts w:ascii="Book Antiqua" w:eastAsia="Times New Roman" w:hAnsi="Book Antiqua" w:cs="Arial"/>
                <w:kern w:val="24"/>
                <w:lang w:val="en-GB" w:eastAsia="en-IE"/>
              </w:rPr>
              <w:t>82</w:t>
            </w:r>
          </w:p>
        </w:tc>
        <w:tc>
          <w:tcPr>
            <w:tcW w:w="960" w:type="pct"/>
          </w:tcPr>
          <w:p w14:paraId="4D80F938" w14:textId="7C1948D5" w:rsidR="004F2C2F" w:rsidRPr="00DA5A6A" w:rsidRDefault="004F2C2F" w:rsidP="00DA5A6A">
            <w:pPr>
              <w:spacing w:line="360" w:lineRule="auto"/>
              <w:jc w:val="both"/>
              <w:rPr>
                <w:rFonts w:ascii="Book Antiqua" w:hAnsi="Book Antiqua" w:cs="Arial"/>
                <w:b/>
                <w:bCs/>
                <w:lang w:val="pt-BR"/>
              </w:rPr>
            </w:pPr>
            <w:r w:rsidRPr="00DA5A6A">
              <w:rPr>
                <w:rFonts w:ascii="Book Antiqua" w:eastAsia="Times New Roman" w:hAnsi="Book Antiqua" w:cs="Arial"/>
                <w:kern w:val="24"/>
                <w:lang w:val="en-GB" w:eastAsia="en-IE"/>
              </w:rPr>
              <w:t>Pembrolizumab + Eribulin</w:t>
            </w:r>
          </w:p>
        </w:tc>
        <w:tc>
          <w:tcPr>
            <w:tcW w:w="621" w:type="pct"/>
          </w:tcPr>
          <w:p w14:paraId="67E5C743" w14:textId="710C01F8" w:rsidR="004F2C2F" w:rsidRPr="00DA5A6A" w:rsidRDefault="004F2C2F" w:rsidP="00DA5A6A">
            <w:pPr>
              <w:spacing w:line="360" w:lineRule="auto"/>
              <w:jc w:val="both"/>
              <w:rPr>
                <w:rFonts w:ascii="Book Antiqua" w:hAnsi="Book Antiqua" w:cs="Arial"/>
                <w:b/>
                <w:bCs/>
                <w:lang w:val="pt-BR"/>
              </w:rPr>
            </w:pPr>
            <w:r w:rsidRPr="00DA5A6A">
              <w:rPr>
                <w:rFonts w:ascii="Book Antiqua" w:eastAsia="Times New Roman" w:hAnsi="Book Antiqua" w:cs="Arial"/>
                <w:kern w:val="24"/>
                <w:lang w:val="en-GB" w:eastAsia="en-IE"/>
              </w:rPr>
              <w:t>25%</w:t>
            </w:r>
          </w:p>
        </w:tc>
        <w:tc>
          <w:tcPr>
            <w:tcW w:w="387" w:type="pct"/>
          </w:tcPr>
          <w:p w14:paraId="751A4115" w14:textId="74B48B30" w:rsidR="004F2C2F" w:rsidRPr="00DA5A6A" w:rsidRDefault="004F2C2F" w:rsidP="00DA5A6A">
            <w:pPr>
              <w:spacing w:line="360" w:lineRule="auto"/>
              <w:jc w:val="both"/>
              <w:rPr>
                <w:rFonts w:ascii="Book Antiqua" w:hAnsi="Book Antiqua" w:cs="Arial"/>
                <w:b/>
                <w:bCs/>
                <w:lang w:val="pt-BR"/>
              </w:rPr>
            </w:pPr>
            <w:r w:rsidRPr="00DA5A6A">
              <w:rPr>
                <w:rFonts w:ascii="Book Antiqua" w:eastAsia="Times New Roman" w:hAnsi="Book Antiqua" w:cs="Arial"/>
                <w:kern w:val="24"/>
                <w:lang w:val="en-GB" w:eastAsia="en-IE"/>
              </w:rPr>
              <w:t>26.5</w:t>
            </w:r>
          </w:p>
        </w:tc>
        <w:tc>
          <w:tcPr>
            <w:tcW w:w="528" w:type="pct"/>
          </w:tcPr>
          <w:p w14:paraId="0B3FCA7A" w14:textId="4D4CB9A1" w:rsidR="004F2C2F" w:rsidRPr="00DA5A6A" w:rsidRDefault="004F2C2F" w:rsidP="00DA5A6A">
            <w:pPr>
              <w:spacing w:line="360" w:lineRule="auto"/>
              <w:jc w:val="both"/>
              <w:rPr>
                <w:rFonts w:ascii="Book Antiqua" w:hAnsi="Book Antiqua" w:cs="Arial"/>
                <w:b/>
                <w:bCs/>
                <w:lang w:val="pt-BR"/>
              </w:rPr>
            </w:pPr>
            <w:r w:rsidRPr="00DA5A6A">
              <w:rPr>
                <w:rFonts w:ascii="Book Antiqua" w:eastAsia="Times New Roman" w:hAnsi="Book Antiqua" w:cs="Arial"/>
                <w:kern w:val="24"/>
                <w:lang w:val="en-GB" w:eastAsia="en-IE"/>
              </w:rPr>
              <w:t>17.7</w:t>
            </w:r>
          </w:p>
        </w:tc>
        <w:tc>
          <w:tcPr>
            <w:tcW w:w="394" w:type="pct"/>
          </w:tcPr>
          <w:p w14:paraId="294769F0" w14:textId="137A45CF" w:rsidR="004F2C2F" w:rsidRPr="00DA5A6A" w:rsidRDefault="004F2C2F" w:rsidP="00DA5A6A">
            <w:pPr>
              <w:spacing w:line="360" w:lineRule="auto"/>
              <w:jc w:val="both"/>
              <w:rPr>
                <w:rFonts w:ascii="Book Antiqua" w:hAnsi="Book Antiqua" w:cs="Arial"/>
                <w:b/>
                <w:bCs/>
                <w:lang w:val="pt-BR"/>
              </w:rPr>
            </w:pPr>
            <w:r w:rsidRPr="00DA5A6A">
              <w:rPr>
                <w:rFonts w:ascii="Book Antiqua" w:eastAsia="Times New Roman" w:hAnsi="Book Antiqua" w:cs="Arial"/>
                <w:kern w:val="24"/>
                <w:lang w:val="en-GB" w:eastAsia="en-IE"/>
              </w:rPr>
              <w:t>NE</w:t>
            </w:r>
          </w:p>
        </w:tc>
        <w:tc>
          <w:tcPr>
            <w:tcW w:w="1025" w:type="pct"/>
          </w:tcPr>
          <w:p w14:paraId="33B7D7D5" w14:textId="4E622F96" w:rsidR="004F2C2F" w:rsidRPr="00DA5A6A" w:rsidRDefault="004F2C2F" w:rsidP="00C80100">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Tolaney</w:t>
            </w:r>
            <w:r w:rsidR="005408E0" w:rsidRPr="00DA5A6A">
              <w:rPr>
                <w:rFonts w:ascii="Book Antiqua" w:eastAsia="Times New Roman" w:hAnsi="Book Antiqua" w:cs="Arial"/>
                <w:kern w:val="24"/>
                <w:lang w:val="en-GB" w:eastAsia="en-IE"/>
              </w:rPr>
              <w:t xml:space="preserve"> </w:t>
            </w:r>
            <w:r w:rsidR="005408E0" w:rsidRPr="00DA5A6A">
              <w:rPr>
                <w:rFonts w:ascii="Book Antiqua" w:eastAsia="Times New Roman" w:hAnsi="Book Antiqua" w:cs="Arial"/>
                <w:i/>
                <w:iCs/>
                <w:kern w:val="24"/>
                <w:lang w:val="en-GB" w:eastAsia="en-IE"/>
              </w:rPr>
              <w:t>et al</w:t>
            </w:r>
            <w:r w:rsidR="005408E0" w:rsidRPr="00DA5A6A">
              <w:rPr>
                <w:rFonts w:ascii="Book Antiqua" w:eastAsia="Times New Roman" w:hAnsi="Book Antiqua" w:cs="Arial"/>
                <w:kern w:val="24"/>
                <w:vertAlign w:val="superscript"/>
                <w:lang w:val="en-GB" w:eastAsia="en-IE"/>
              </w:rPr>
              <w:t>[57]</w:t>
            </w:r>
            <w:r w:rsidR="005408E0" w:rsidRPr="00DA5A6A">
              <w:rPr>
                <w:rFonts w:ascii="Book Antiqua" w:eastAsia="Times New Roman" w:hAnsi="Book Antiqua" w:cs="Arial"/>
                <w:kern w:val="24"/>
                <w:lang w:val="en-GB" w:eastAsia="en-IE"/>
              </w:rPr>
              <w:t>,</w:t>
            </w:r>
            <w:r w:rsidRPr="00DA5A6A">
              <w:rPr>
                <w:rFonts w:ascii="Book Antiqua" w:eastAsia="Times New Roman" w:hAnsi="Book Antiqua" w:cs="Arial"/>
                <w:kern w:val="24"/>
                <w:lang w:val="en-GB" w:eastAsia="en-IE"/>
              </w:rPr>
              <w:t xml:space="preserve"> 2018</w:t>
            </w:r>
          </w:p>
        </w:tc>
      </w:tr>
      <w:tr w:rsidR="004F2C2F" w:rsidRPr="00DA5A6A" w14:paraId="1C4E166D" w14:textId="77777777" w:rsidTr="001E3C18">
        <w:tc>
          <w:tcPr>
            <w:tcW w:w="850" w:type="pct"/>
          </w:tcPr>
          <w:p w14:paraId="6FB98D08" w14:textId="77777777" w:rsidR="00DB3801" w:rsidRPr="00DA5A6A" w:rsidRDefault="004F2C2F" w:rsidP="00DA5A6A">
            <w:pPr>
              <w:spacing w:line="360" w:lineRule="auto"/>
              <w:jc w:val="both"/>
              <w:rPr>
                <w:rFonts w:ascii="Book Antiqua" w:hAnsi="Book Antiqua" w:cs="Arial"/>
                <w:kern w:val="24"/>
                <w:lang w:val="en-GB" w:eastAsia="zh-CN"/>
              </w:rPr>
            </w:pPr>
            <w:r w:rsidRPr="00DA5A6A">
              <w:rPr>
                <w:rFonts w:ascii="Book Antiqua" w:eastAsia="Times New Roman" w:hAnsi="Book Antiqua" w:cs="Arial"/>
                <w:kern w:val="24"/>
                <w:lang w:val="en-GB" w:eastAsia="en-IE"/>
              </w:rPr>
              <w:t xml:space="preserve">Pilot and </w:t>
            </w:r>
            <w:r w:rsidR="00294444" w:rsidRPr="00DA5A6A">
              <w:rPr>
                <w:rFonts w:ascii="Book Antiqua" w:eastAsia="Times New Roman" w:hAnsi="Book Antiqua" w:cs="Arial"/>
                <w:kern w:val="24"/>
                <w:lang w:val="en-GB" w:eastAsia="en-IE"/>
              </w:rPr>
              <w:t>p</w:t>
            </w:r>
            <w:r w:rsidRPr="00DA5A6A">
              <w:rPr>
                <w:rFonts w:ascii="Book Antiqua" w:eastAsia="Times New Roman" w:hAnsi="Book Antiqua" w:cs="Arial"/>
                <w:kern w:val="24"/>
                <w:lang w:val="en-GB" w:eastAsia="en-IE"/>
              </w:rPr>
              <w:t>hase II</w:t>
            </w:r>
            <w:r w:rsidR="0088584C" w:rsidRPr="00DA5A6A">
              <w:rPr>
                <w:rFonts w:ascii="Book Antiqua" w:eastAsia="Times New Roman" w:hAnsi="Book Antiqua" w:cs="Arial"/>
                <w:kern w:val="24"/>
                <w:lang w:val="en-GB" w:eastAsia="en-IE"/>
              </w:rPr>
              <w:t>.</w:t>
            </w:r>
            <w:r w:rsidR="00294444" w:rsidRPr="00DA5A6A">
              <w:rPr>
                <w:rFonts w:ascii="Book Antiqua" w:hAnsi="Book Antiqua" w:cs="Arial"/>
                <w:kern w:val="24"/>
                <w:lang w:val="en-GB" w:eastAsia="zh-CN"/>
              </w:rPr>
              <w:t xml:space="preserve"> </w:t>
            </w:r>
          </w:p>
          <w:p w14:paraId="5B48316E" w14:textId="743BCD90" w:rsidR="004F2C2F" w:rsidRPr="00DA5A6A" w:rsidRDefault="004F2C2F" w:rsidP="00DA5A6A">
            <w:pPr>
              <w:spacing w:line="360" w:lineRule="auto"/>
              <w:jc w:val="both"/>
              <w:rPr>
                <w:rFonts w:ascii="Book Antiqua" w:eastAsia="Times New Roman" w:hAnsi="Book Antiqua" w:cs="Arial"/>
                <w:lang w:eastAsia="en-IE"/>
              </w:rPr>
            </w:pPr>
            <w:r w:rsidRPr="00DA5A6A">
              <w:rPr>
                <w:rFonts w:ascii="Book Antiqua" w:eastAsia="Times New Roman" w:hAnsi="Book Antiqua" w:cs="Arial"/>
                <w:kern w:val="24"/>
                <w:lang w:val="en-GB" w:eastAsia="en-IE"/>
              </w:rPr>
              <w:t>1-2L</w:t>
            </w:r>
            <w:r w:rsidR="001E3C18" w:rsidRPr="00DA5A6A">
              <w:rPr>
                <w:rFonts w:ascii="Book Antiqua" w:eastAsia="Times New Roman" w:hAnsi="Book Antiqua" w:cs="Arial"/>
                <w:kern w:val="24"/>
                <w:vertAlign w:val="superscript"/>
                <w:lang w:val="en-GB" w:eastAsia="en-IE"/>
              </w:rPr>
              <w:t>1</w:t>
            </w:r>
          </w:p>
        </w:tc>
        <w:tc>
          <w:tcPr>
            <w:tcW w:w="235" w:type="pct"/>
          </w:tcPr>
          <w:p w14:paraId="7B9D4005" w14:textId="691C20F9" w:rsidR="004F2C2F" w:rsidRPr="00DA5A6A" w:rsidRDefault="004F2C2F" w:rsidP="00DA5A6A">
            <w:pPr>
              <w:spacing w:line="360" w:lineRule="auto"/>
              <w:jc w:val="both"/>
              <w:rPr>
                <w:rFonts w:ascii="Book Antiqua" w:hAnsi="Book Antiqua" w:cs="Arial"/>
                <w:b/>
                <w:bCs/>
                <w:lang w:val="pt-BR"/>
              </w:rPr>
            </w:pPr>
            <w:r w:rsidRPr="00DA5A6A">
              <w:rPr>
                <w:rFonts w:ascii="Book Antiqua" w:eastAsia="Times New Roman" w:hAnsi="Book Antiqua" w:cs="Arial"/>
                <w:kern w:val="24"/>
                <w:lang w:val="en-GB" w:eastAsia="en-IE"/>
              </w:rPr>
              <w:t>29</w:t>
            </w:r>
          </w:p>
        </w:tc>
        <w:tc>
          <w:tcPr>
            <w:tcW w:w="960" w:type="pct"/>
          </w:tcPr>
          <w:p w14:paraId="5AADF1B5" w14:textId="7729DDC6" w:rsidR="004F2C2F" w:rsidRPr="00DA5A6A" w:rsidRDefault="004F2C2F" w:rsidP="00DA5A6A">
            <w:pPr>
              <w:spacing w:line="360" w:lineRule="auto"/>
              <w:jc w:val="both"/>
              <w:rPr>
                <w:rFonts w:ascii="Book Antiqua" w:hAnsi="Book Antiqua" w:cs="Arial"/>
                <w:b/>
                <w:bCs/>
                <w:lang w:val="pt-BR"/>
              </w:rPr>
            </w:pPr>
            <w:r w:rsidRPr="00DA5A6A">
              <w:rPr>
                <w:rFonts w:ascii="Book Antiqua" w:eastAsia="Times New Roman" w:hAnsi="Book Antiqua" w:cs="Arial"/>
                <w:kern w:val="24"/>
                <w:lang w:val="en-GB" w:eastAsia="en-IE"/>
              </w:rPr>
              <w:t>Pembrolizumab + capecitabine or paclitaxel</w:t>
            </w:r>
          </w:p>
        </w:tc>
        <w:tc>
          <w:tcPr>
            <w:tcW w:w="621" w:type="pct"/>
          </w:tcPr>
          <w:p w14:paraId="5E1E8A30" w14:textId="792F865F" w:rsidR="004F2C2F" w:rsidRPr="00DA5A6A" w:rsidRDefault="004F2C2F" w:rsidP="00DA5A6A">
            <w:pPr>
              <w:spacing w:line="360" w:lineRule="auto"/>
              <w:jc w:val="both"/>
              <w:rPr>
                <w:rFonts w:ascii="Book Antiqua" w:eastAsia="Times New Roman" w:hAnsi="Book Antiqua" w:cs="Arial"/>
                <w:lang w:eastAsia="en-IE"/>
              </w:rPr>
            </w:pPr>
            <w:r w:rsidRPr="00DA5A6A">
              <w:rPr>
                <w:rFonts w:ascii="Book Antiqua" w:eastAsia="Times New Roman" w:hAnsi="Book Antiqua" w:cs="Arial"/>
                <w:kern w:val="24"/>
                <w:lang w:val="en-GB" w:eastAsia="en-IE"/>
              </w:rPr>
              <w:t>43% pembro + cap</w:t>
            </w:r>
            <w:r w:rsidR="00294444" w:rsidRPr="00DA5A6A">
              <w:rPr>
                <w:rFonts w:ascii="Book Antiqua" w:hAnsi="Book Antiqua" w:cs="Arial"/>
                <w:kern w:val="24"/>
                <w:lang w:val="en-GB" w:eastAsia="zh-CN"/>
              </w:rPr>
              <w:t xml:space="preserve">. </w:t>
            </w:r>
            <w:r w:rsidRPr="00DA5A6A">
              <w:rPr>
                <w:rFonts w:ascii="Book Antiqua" w:eastAsia="Times New Roman" w:hAnsi="Book Antiqua" w:cs="Arial"/>
                <w:kern w:val="24"/>
                <w:lang w:val="en-GB" w:eastAsia="en-IE"/>
              </w:rPr>
              <w:t>23% pembro + paclitaxel</w:t>
            </w:r>
          </w:p>
        </w:tc>
        <w:tc>
          <w:tcPr>
            <w:tcW w:w="387" w:type="pct"/>
          </w:tcPr>
          <w:p w14:paraId="54A840AF" w14:textId="77777777" w:rsidR="004F2C2F" w:rsidRPr="00DA5A6A" w:rsidRDefault="004F2C2F" w:rsidP="00DA5A6A">
            <w:pPr>
              <w:spacing w:line="360" w:lineRule="auto"/>
              <w:jc w:val="both"/>
              <w:rPr>
                <w:rFonts w:ascii="Book Antiqua" w:hAnsi="Book Antiqua" w:cs="Arial"/>
                <w:b/>
                <w:bCs/>
                <w:lang w:val="pt-BR"/>
              </w:rPr>
            </w:pPr>
          </w:p>
        </w:tc>
        <w:tc>
          <w:tcPr>
            <w:tcW w:w="528" w:type="pct"/>
          </w:tcPr>
          <w:p w14:paraId="55C64CF8" w14:textId="766B9C9A" w:rsidR="004F2C2F" w:rsidRPr="00DA5A6A" w:rsidRDefault="004F2C2F" w:rsidP="00DA5A6A">
            <w:pPr>
              <w:spacing w:line="360" w:lineRule="auto"/>
              <w:jc w:val="both"/>
              <w:rPr>
                <w:rFonts w:ascii="Book Antiqua" w:eastAsia="Times New Roman" w:hAnsi="Book Antiqua" w:cs="Arial"/>
                <w:lang w:eastAsia="en-IE"/>
              </w:rPr>
            </w:pPr>
            <w:r w:rsidRPr="00DA5A6A">
              <w:rPr>
                <w:rFonts w:ascii="Book Antiqua" w:eastAsia="Times New Roman" w:hAnsi="Book Antiqua" w:cs="Arial"/>
                <w:kern w:val="24"/>
                <w:lang w:val="en-GB" w:eastAsia="en-IE"/>
              </w:rPr>
              <w:t>13.8 pembro + cap</w:t>
            </w:r>
            <w:r w:rsidR="00294444" w:rsidRPr="00DA5A6A">
              <w:rPr>
                <w:rFonts w:ascii="Book Antiqua" w:hAnsi="Book Antiqua" w:cs="Arial"/>
                <w:kern w:val="24"/>
                <w:lang w:val="en-GB" w:eastAsia="zh-CN"/>
              </w:rPr>
              <w:t xml:space="preserve"> </w:t>
            </w:r>
            <w:r w:rsidRPr="00DA5A6A">
              <w:rPr>
                <w:rFonts w:ascii="Book Antiqua" w:eastAsia="Times New Roman" w:hAnsi="Book Antiqua" w:cs="Arial"/>
                <w:kern w:val="24"/>
                <w:lang w:val="en-GB" w:eastAsia="en-IE"/>
              </w:rPr>
              <w:t>7.9 pembro + pac</w:t>
            </w:r>
          </w:p>
        </w:tc>
        <w:tc>
          <w:tcPr>
            <w:tcW w:w="394" w:type="pct"/>
          </w:tcPr>
          <w:p w14:paraId="3383A64E" w14:textId="77777777" w:rsidR="004F2C2F" w:rsidRPr="00DA5A6A" w:rsidRDefault="004F2C2F" w:rsidP="00DA5A6A">
            <w:pPr>
              <w:spacing w:line="360" w:lineRule="auto"/>
              <w:jc w:val="both"/>
              <w:rPr>
                <w:rFonts w:ascii="Book Antiqua" w:hAnsi="Book Antiqua" w:cs="Arial"/>
                <w:b/>
                <w:bCs/>
                <w:lang w:val="pt-BR"/>
              </w:rPr>
            </w:pPr>
          </w:p>
        </w:tc>
        <w:tc>
          <w:tcPr>
            <w:tcW w:w="1025" w:type="pct"/>
          </w:tcPr>
          <w:p w14:paraId="5C8FBA80" w14:textId="25539BF9" w:rsidR="004F2C2F" w:rsidRPr="00DA5A6A" w:rsidRDefault="004F2C2F" w:rsidP="00FD36CA">
            <w:pPr>
              <w:spacing w:line="360" w:lineRule="auto"/>
              <w:jc w:val="both"/>
              <w:rPr>
                <w:rFonts w:ascii="Book Antiqua" w:hAnsi="Book Antiqua" w:cs="Arial"/>
                <w:b/>
                <w:bCs/>
                <w:lang w:val="pt-BR"/>
              </w:rPr>
            </w:pPr>
            <w:r w:rsidRPr="00DA5A6A">
              <w:rPr>
                <w:rFonts w:ascii="Book Antiqua" w:eastAsia="Times New Roman" w:hAnsi="Book Antiqua" w:cs="Arial"/>
                <w:kern w:val="24"/>
                <w:lang w:val="en-GB" w:eastAsia="en-IE"/>
              </w:rPr>
              <w:t>Page</w:t>
            </w:r>
            <w:r w:rsidRPr="00DA5A6A">
              <w:rPr>
                <w:rFonts w:ascii="Book Antiqua" w:eastAsia="Times New Roman" w:hAnsi="Book Antiqua" w:cs="Arial"/>
                <w:kern w:val="24"/>
                <w:lang w:val="pt-BR" w:eastAsia="en-IE"/>
              </w:rPr>
              <w:t xml:space="preserve"> </w:t>
            </w:r>
            <w:r w:rsidRPr="00DA5A6A">
              <w:rPr>
                <w:rFonts w:ascii="Book Antiqua" w:eastAsia="Times New Roman" w:hAnsi="Book Antiqua" w:cs="Arial"/>
                <w:i/>
                <w:iCs/>
                <w:kern w:val="24"/>
                <w:lang w:val="pt-BR" w:eastAsia="en-IE"/>
              </w:rPr>
              <w:t>et al</w:t>
            </w:r>
            <w:r w:rsidR="000525AF" w:rsidRPr="00DA5A6A">
              <w:rPr>
                <w:rFonts w:ascii="Book Antiqua" w:eastAsia="Times New Roman" w:hAnsi="Book Antiqua" w:cs="Arial"/>
                <w:kern w:val="24"/>
                <w:vertAlign w:val="superscript"/>
                <w:lang w:val="en-GB" w:eastAsia="en-IE"/>
              </w:rPr>
              <w:t>[90]</w:t>
            </w:r>
            <w:r w:rsidR="0010179F" w:rsidRPr="00DA5A6A">
              <w:rPr>
                <w:rFonts w:ascii="Book Antiqua" w:eastAsia="Times New Roman" w:hAnsi="Book Antiqua" w:cs="Arial"/>
                <w:kern w:val="24"/>
                <w:lang w:val="pt-BR" w:eastAsia="en-IE"/>
              </w:rPr>
              <w:t>,</w:t>
            </w:r>
            <w:r w:rsidR="00FD36CA">
              <w:rPr>
                <w:rFonts w:ascii="Book Antiqua" w:eastAsia="Times New Roman" w:hAnsi="Book Antiqua" w:cs="Arial"/>
                <w:kern w:val="24"/>
                <w:vertAlign w:val="superscript"/>
                <w:lang w:val="en-GB" w:eastAsia="en-IE"/>
              </w:rPr>
              <w:t xml:space="preserve"> </w:t>
            </w:r>
            <w:r w:rsidRPr="00DA5A6A">
              <w:rPr>
                <w:rFonts w:ascii="Book Antiqua" w:eastAsia="Times New Roman" w:hAnsi="Book Antiqua" w:cs="Arial"/>
                <w:kern w:val="24"/>
                <w:lang w:val="pt-BR" w:eastAsia="en-IE"/>
              </w:rPr>
              <w:t>2019</w:t>
            </w:r>
          </w:p>
        </w:tc>
      </w:tr>
    </w:tbl>
    <w:p w14:paraId="5C7AA6BE" w14:textId="37CF582E" w:rsidR="00FA11F2" w:rsidRPr="00DA5A6A" w:rsidRDefault="001E3C18" w:rsidP="00DA5A6A">
      <w:pPr>
        <w:spacing w:line="360" w:lineRule="auto"/>
        <w:jc w:val="both"/>
        <w:rPr>
          <w:rFonts w:ascii="Book Antiqua" w:eastAsia="Times New Roman" w:hAnsi="Book Antiqua" w:cs="Arial"/>
          <w:kern w:val="24"/>
          <w:lang w:val="en-GB" w:eastAsia="en-IE"/>
        </w:rPr>
      </w:pPr>
      <w:r w:rsidRPr="00DA5A6A">
        <w:rPr>
          <w:rFonts w:ascii="Book Antiqua" w:eastAsia="Book Antiqua" w:hAnsi="Book Antiqua" w:cs="Book Antiqua"/>
          <w:color w:val="000000"/>
          <w:vertAlign w:val="superscript"/>
        </w:rPr>
        <w:t>1</w:t>
      </w:r>
      <w:r w:rsidRPr="00DA5A6A">
        <w:rPr>
          <w:rFonts w:ascii="Book Antiqua" w:eastAsia="Book Antiqua" w:hAnsi="Book Antiqua" w:cs="Book Antiqua"/>
          <w:color w:val="000000"/>
        </w:rPr>
        <w:t>One to two lines of prior treatment.</w:t>
      </w:r>
      <w:r w:rsidRPr="00DA5A6A">
        <w:rPr>
          <w:rFonts w:ascii="Book Antiqua" w:hAnsi="Book Antiqua"/>
          <w:bCs/>
        </w:rPr>
        <w:t xml:space="preserve"> </w:t>
      </w:r>
      <w:r w:rsidR="001534BD" w:rsidRPr="00DA5A6A">
        <w:rPr>
          <w:rFonts w:ascii="Book Antiqua" w:hAnsi="Book Antiqua"/>
          <w:bCs/>
        </w:rPr>
        <w:t>Pembro: Pembrolizumab; Cap: Capecitabine; Pac: Paclitaxel</w:t>
      </w:r>
      <w:r w:rsidR="00294444" w:rsidRPr="00DA5A6A">
        <w:rPr>
          <w:rFonts w:ascii="Book Antiqua" w:hAnsi="Book Antiqua"/>
          <w:bCs/>
        </w:rPr>
        <w:t xml:space="preserve">; </w:t>
      </w:r>
      <w:r w:rsidR="00294444" w:rsidRPr="00DA5A6A">
        <w:rPr>
          <w:rFonts w:ascii="Book Antiqua" w:eastAsia="Times New Roman" w:hAnsi="Book Antiqua" w:cs="Arial"/>
          <w:kern w:val="24"/>
          <w:lang w:val="en-GB" w:eastAsia="en-IE"/>
        </w:rPr>
        <w:t xml:space="preserve">ORR: </w:t>
      </w:r>
      <w:r w:rsidR="00DB3801" w:rsidRPr="00DA5A6A">
        <w:rPr>
          <w:rFonts w:ascii="Book Antiqua" w:eastAsia="Times New Roman" w:hAnsi="Book Antiqua" w:cs="Arial"/>
          <w:kern w:val="24"/>
          <w:lang w:val="en-GB" w:eastAsia="en-IE"/>
        </w:rPr>
        <w:t>Overall response rate</w:t>
      </w:r>
      <w:r w:rsidR="00294444" w:rsidRPr="00DA5A6A">
        <w:rPr>
          <w:rFonts w:ascii="Book Antiqua" w:eastAsia="Times New Roman" w:hAnsi="Book Antiqua" w:cs="Arial"/>
          <w:kern w:val="24"/>
          <w:lang w:val="en-GB" w:eastAsia="en-IE"/>
        </w:rPr>
        <w:t xml:space="preserve">; </w:t>
      </w:r>
      <w:r w:rsidR="00294444" w:rsidRPr="00DA5A6A">
        <w:rPr>
          <w:rFonts w:ascii="Book Antiqua" w:eastAsia="Book Antiqua" w:hAnsi="Book Antiqua" w:cs="Book Antiqua"/>
          <w:color w:val="000000"/>
        </w:rPr>
        <w:t>OS: Overall survival</w:t>
      </w:r>
      <w:r w:rsidRPr="00DA5A6A">
        <w:rPr>
          <w:rFonts w:ascii="Book Antiqua" w:eastAsia="Book Antiqua" w:hAnsi="Book Antiqua" w:cs="Book Antiqua"/>
          <w:color w:val="000000"/>
        </w:rPr>
        <w:t>.</w:t>
      </w:r>
      <w:r w:rsidR="00DB3801" w:rsidRPr="00DA5A6A">
        <w:rPr>
          <w:rFonts w:ascii="Book Antiqua" w:eastAsia="Book Antiqua" w:hAnsi="Book Antiqua" w:cs="Book Antiqua"/>
          <w:color w:val="000000"/>
        </w:rPr>
        <w:t xml:space="preserve"> </w:t>
      </w:r>
    </w:p>
    <w:p w14:paraId="632D92FE" w14:textId="4FB8063F" w:rsidR="002753FC" w:rsidRPr="00DA5A6A" w:rsidRDefault="00FA11F2" w:rsidP="00DA5A6A">
      <w:pPr>
        <w:spacing w:line="360" w:lineRule="auto"/>
        <w:jc w:val="both"/>
        <w:rPr>
          <w:rFonts w:ascii="Book Antiqua" w:hAnsi="Book Antiqua"/>
          <w:b/>
        </w:rPr>
      </w:pPr>
      <w:r w:rsidRPr="00DA5A6A">
        <w:rPr>
          <w:rFonts w:ascii="Book Antiqua" w:hAnsi="Book Antiqua" w:cs="Arial"/>
          <w:b/>
          <w:bCs/>
        </w:rPr>
        <w:br w:type="page"/>
      </w:r>
      <w:r w:rsidRPr="00DA5A6A">
        <w:rPr>
          <w:rFonts w:ascii="Book Antiqua" w:hAnsi="Book Antiqua"/>
          <w:b/>
          <w:bCs/>
        </w:rPr>
        <w:lastRenderedPageBreak/>
        <w:t>Table 4</w:t>
      </w:r>
      <w:r w:rsidRPr="00DA5A6A">
        <w:rPr>
          <w:rFonts w:ascii="Book Antiqua" w:hAnsi="Book Antiqua"/>
          <w:bCs/>
        </w:rPr>
        <w:t xml:space="preserve"> </w:t>
      </w:r>
      <w:r w:rsidRPr="00DA5A6A">
        <w:rPr>
          <w:rFonts w:ascii="Book Antiqua" w:hAnsi="Book Antiqua"/>
          <w:b/>
        </w:rPr>
        <w:t xml:space="preserve">Phase III </w:t>
      </w:r>
      <w:r w:rsidR="00084EAE" w:rsidRPr="00DA5A6A">
        <w:rPr>
          <w:rFonts w:ascii="Book Antiqua" w:hAnsi="Book Antiqua"/>
          <w:b/>
        </w:rPr>
        <w:t>f</w:t>
      </w:r>
      <w:r w:rsidRPr="00DA5A6A">
        <w:rPr>
          <w:rFonts w:ascii="Book Antiqua" w:hAnsi="Book Antiqua"/>
          <w:b/>
        </w:rPr>
        <w:t xml:space="preserve">irst </w:t>
      </w:r>
      <w:r w:rsidR="00084EAE" w:rsidRPr="00DA5A6A">
        <w:rPr>
          <w:rFonts w:ascii="Book Antiqua" w:hAnsi="Book Antiqua"/>
          <w:b/>
        </w:rPr>
        <w:t>l</w:t>
      </w:r>
      <w:r w:rsidRPr="00DA5A6A">
        <w:rPr>
          <w:rFonts w:ascii="Book Antiqua" w:hAnsi="Book Antiqua"/>
          <w:b/>
        </w:rPr>
        <w:t xml:space="preserve">ine </w:t>
      </w:r>
      <w:r w:rsidR="00084EAE" w:rsidRPr="00DA5A6A">
        <w:rPr>
          <w:rFonts w:ascii="Book Antiqua" w:hAnsi="Book Antiqua"/>
          <w:b/>
        </w:rPr>
        <w:t>m</w:t>
      </w:r>
      <w:r w:rsidRPr="00DA5A6A">
        <w:rPr>
          <w:rFonts w:ascii="Book Antiqua" w:hAnsi="Book Antiqua"/>
          <w:b/>
        </w:rPr>
        <w:t xml:space="preserve">etastatic </w:t>
      </w:r>
      <w:r w:rsidR="00084EAE" w:rsidRPr="00DA5A6A">
        <w:rPr>
          <w:rFonts w:ascii="Book Antiqua" w:hAnsi="Book Antiqua"/>
          <w:b/>
        </w:rPr>
        <w:t>i</w:t>
      </w:r>
      <w:r w:rsidRPr="00DA5A6A">
        <w:rPr>
          <w:rFonts w:ascii="Book Antiqua" w:hAnsi="Book Antiqua"/>
          <w:b/>
        </w:rPr>
        <w:t xml:space="preserve">mmunotherapy + </w:t>
      </w:r>
      <w:r w:rsidR="00084EAE" w:rsidRPr="00DA5A6A">
        <w:rPr>
          <w:rFonts w:ascii="Book Antiqua" w:hAnsi="Book Antiqua"/>
          <w:b/>
        </w:rPr>
        <w:t>c</w:t>
      </w:r>
      <w:r w:rsidRPr="00DA5A6A">
        <w:rPr>
          <w:rFonts w:ascii="Book Antiqua" w:hAnsi="Book Antiqua"/>
          <w:b/>
        </w:rPr>
        <w:t>hemotherapy</w:t>
      </w:r>
    </w:p>
    <w:tbl>
      <w:tblPr>
        <w:tblStyle w:val="TableGrid"/>
        <w:tblW w:w="9641"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7"/>
        <w:gridCol w:w="2334"/>
        <w:gridCol w:w="3046"/>
        <w:gridCol w:w="2694"/>
      </w:tblGrid>
      <w:tr w:rsidR="00FA11F2" w:rsidRPr="00DA5A6A" w14:paraId="32722886" w14:textId="77777777" w:rsidTr="00C964AB">
        <w:trPr>
          <w:trHeight w:val="975"/>
        </w:trPr>
        <w:tc>
          <w:tcPr>
            <w:tcW w:w="1567" w:type="dxa"/>
            <w:tcBorders>
              <w:top w:val="single" w:sz="4" w:space="0" w:color="auto"/>
              <w:bottom w:val="single" w:sz="4" w:space="0" w:color="auto"/>
            </w:tcBorders>
          </w:tcPr>
          <w:p w14:paraId="53FBE5E0" w14:textId="77777777" w:rsidR="00FA11F2" w:rsidRPr="00DA5A6A" w:rsidRDefault="00FA11F2" w:rsidP="00DA5A6A">
            <w:pPr>
              <w:spacing w:line="360" w:lineRule="auto"/>
              <w:jc w:val="both"/>
              <w:rPr>
                <w:rFonts w:ascii="Book Antiqua" w:hAnsi="Book Antiqua" w:cs="Arial"/>
                <w:b/>
                <w:bCs/>
              </w:rPr>
            </w:pPr>
          </w:p>
        </w:tc>
        <w:tc>
          <w:tcPr>
            <w:tcW w:w="2334" w:type="dxa"/>
            <w:tcBorders>
              <w:top w:val="single" w:sz="4" w:space="0" w:color="auto"/>
              <w:bottom w:val="single" w:sz="4" w:space="0" w:color="auto"/>
            </w:tcBorders>
          </w:tcPr>
          <w:p w14:paraId="01AEB2FF" w14:textId="6378C8A1" w:rsidR="00FA11F2" w:rsidRPr="00DA5A6A" w:rsidRDefault="00FA11F2" w:rsidP="00DA5A6A">
            <w:pPr>
              <w:spacing w:line="360" w:lineRule="auto"/>
              <w:jc w:val="both"/>
              <w:rPr>
                <w:rFonts w:ascii="Book Antiqua" w:hAnsi="Book Antiqua" w:cs="Arial"/>
                <w:b/>
                <w:bCs/>
              </w:rPr>
            </w:pPr>
            <w:r w:rsidRPr="00DA5A6A">
              <w:rPr>
                <w:rFonts w:ascii="Book Antiqua" w:hAnsi="Book Antiqua" w:cs="Arial"/>
                <w:b/>
                <w:bCs/>
                <w:kern w:val="24"/>
                <w:lang w:val="en-GB"/>
              </w:rPr>
              <w:t>IM</w:t>
            </w:r>
            <w:r w:rsidR="00EA3ED4" w:rsidRPr="00DA5A6A">
              <w:rPr>
                <w:rFonts w:ascii="Book Antiqua" w:hAnsi="Book Antiqua" w:cs="Arial"/>
                <w:b/>
                <w:bCs/>
                <w:kern w:val="24"/>
                <w:lang w:val="en-GB"/>
              </w:rPr>
              <w:t>passion</w:t>
            </w:r>
            <w:r w:rsidRPr="00DA5A6A">
              <w:rPr>
                <w:rFonts w:ascii="Book Antiqua" w:hAnsi="Book Antiqua" w:cs="Arial"/>
                <w:b/>
                <w:bCs/>
                <w:kern w:val="24"/>
                <w:lang w:val="en-GB"/>
              </w:rPr>
              <w:t>130 (PD-L1 inhibitor)</w:t>
            </w:r>
          </w:p>
        </w:tc>
        <w:tc>
          <w:tcPr>
            <w:tcW w:w="3046" w:type="dxa"/>
            <w:tcBorders>
              <w:top w:val="single" w:sz="4" w:space="0" w:color="auto"/>
              <w:bottom w:val="single" w:sz="4" w:space="0" w:color="auto"/>
            </w:tcBorders>
          </w:tcPr>
          <w:p w14:paraId="26159457" w14:textId="03542EB9" w:rsidR="00FA11F2" w:rsidRPr="00DA5A6A" w:rsidRDefault="00FA11F2" w:rsidP="00DA5A6A">
            <w:pPr>
              <w:spacing w:line="360" w:lineRule="auto"/>
              <w:jc w:val="both"/>
              <w:rPr>
                <w:rFonts w:ascii="Book Antiqua" w:hAnsi="Book Antiqua" w:cs="Arial"/>
                <w:b/>
                <w:bCs/>
              </w:rPr>
            </w:pPr>
            <w:r w:rsidRPr="00DA5A6A">
              <w:rPr>
                <w:rFonts w:ascii="Book Antiqua" w:hAnsi="Book Antiqua" w:cs="Arial"/>
                <w:b/>
                <w:bCs/>
                <w:kern w:val="24"/>
                <w:lang w:val="en-GB"/>
              </w:rPr>
              <w:t>K</w:t>
            </w:r>
            <w:r w:rsidR="00EA3ED4" w:rsidRPr="00DA5A6A">
              <w:rPr>
                <w:rFonts w:ascii="Book Antiqua" w:hAnsi="Book Antiqua" w:cs="Arial"/>
                <w:b/>
                <w:bCs/>
                <w:kern w:val="24"/>
                <w:lang w:val="en-GB"/>
              </w:rPr>
              <w:t>eynote</w:t>
            </w:r>
            <w:r w:rsidRPr="00DA5A6A">
              <w:rPr>
                <w:rFonts w:ascii="Book Antiqua" w:hAnsi="Book Antiqua" w:cs="Arial"/>
                <w:b/>
                <w:bCs/>
                <w:kern w:val="24"/>
                <w:lang w:val="en-GB"/>
              </w:rPr>
              <w:t>-355 (PD1 inhibitor)</w:t>
            </w:r>
          </w:p>
        </w:tc>
        <w:tc>
          <w:tcPr>
            <w:tcW w:w="2694" w:type="dxa"/>
            <w:tcBorders>
              <w:top w:val="single" w:sz="4" w:space="0" w:color="auto"/>
              <w:bottom w:val="single" w:sz="4" w:space="0" w:color="auto"/>
            </w:tcBorders>
          </w:tcPr>
          <w:p w14:paraId="24E88DD3" w14:textId="7431AF88" w:rsidR="00FA11F2" w:rsidRPr="00DA5A6A" w:rsidRDefault="00FA11F2" w:rsidP="00DA5A6A">
            <w:pPr>
              <w:spacing w:line="360" w:lineRule="auto"/>
              <w:jc w:val="both"/>
              <w:rPr>
                <w:rFonts w:ascii="Book Antiqua" w:hAnsi="Book Antiqua" w:cs="Arial"/>
                <w:b/>
                <w:bCs/>
              </w:rPr>
            </w:pPr>
            <w:r w:rsidRPr="00DA5A6A">
              <w:rPr>
                <w:rFonts w:ascii="Book Antiqua" w:hAnsi="Book Antiqua" w:cs="Arial"/>
                <w:b/>
                <w:bCs/>
                <w:kern w:val="24"/>
                <w:lang w:val="en-GB"/>
              </w:rPr>
              <w:t>I</w:t>
            </w:r>
            <w:r w:rsidR="00EA3ED4" w:rsidRPr="00DA5A6A">
              <w:rPr>
                <w:rFonts w:ascii="Book Antiqua" w:hAnsi="Book Antiqua" w:cs="Arial"/>
                <w:b/>
                <w:bCs/>
                <w:kern w:val="24"/>
                <w:lang w:val="en-GB"/>
              </w:rPr>
              <w:t>M</w:t>
            </w:r>
            <w:r w:rsidRPr="00DA5A6A">
              <w:rPr>
                <w:rFonts w:ascii="Book Antiqua" w:hAnsi="Book Antiqua" w:cs="Arial"/>
                <w:b/>
                <w:bCs/>
                <w:kern w:val="24"/>
                <w:lang w:val="en-GB"/>
              </w:rPr>
              <w:t>passion131 (PD</w:t>
            </w:r>
            <w:r w:rsidR="00D26E12">
              <w:rPr>
                <w:rFonts w:ascii="Book Antiqua" w:hAnsi="Book Antiqua" w:cs="Arial"/>
                <w:b/>
                <w:bCs/>
                <w:kern w:val="24"/>
                <w:lang w:val="en-GB"/>
              </w:rPr>
              <w:t>-</w:t>
            </w:r>
            <w:r w:rsidRPr="00DA5A6A">
              <w:rPr>
                <w:rFonts w:ascii="Book Antiqua" w:hAnsi="Book Antiqua" w:cs="Arial"/>
                <w:b/>
                <w:bCs/>
                <w:kern w:val="24"/>
                <w:lang w:val="en-GB"/>
              </w:rPr>
              <w:t>L1 inhibitor)</w:t>
            </w:r>
          </w:p>
        </w:tc>
      </w:tr>
      <w:tr w:rsidR="00FA11F2" w:rsidRPr="00BC597D" w14:paraId="38671D25" w14:textId="77777777" w:rsidTr="00C964AB">
        <w:trPr>
          <w:trHeight w:val="2392"/>
        </w:trPr>
        <w:tc>
          <w:tcPr>
            <w:tcW w:w="1567" w:type="dxa"/>
            <w:tcBorders>
              <w:top w:val="single" w:sz="4" w:space="0" w:color="auto"/>
            </w:tcBorders>
          </w:tcPr>
          <w:p w14:paraId="6D8E3112" w14:textId="45F70899" w:rsidR="00FA11F2" w:rsidRPr="00DA5A6A" w:rsidRDefault="00FA11F2" w:rsidP="00DA5A6A">
            <w:pPr>
              <w:spacing w:line="360" w:lineRule="auto"/>
              <w:jc w:val="both"/>
              <w:rPr>
                <w:rFonts w:ascii="Book Antiqua" w:hAnsi="Book Antiqua" w:cs="Arial"/>
                <w:b/>
                <w:bCs/>
              </w:rPr>
            </w:pPr>
            <w:r w:rsidRPr="00DA5A6A">
              <w:rPr>
                <w:rFonts w:ascii="Book Antiqua" w:hAnsi="Book Antiqua" w:cs="Arial"/>
                <w:kern w:val="24"/>
                <w:lang w:val="en-GB"/>
              </w:rPr>
              <w:t>D</w:t>
            </w:r>
            <w:r w:rsidR="002F7E72" w:rsidRPr="00DA5A6A">
              <w:rPr>
                <w:rFonts w:ascii="Book Antiqua" w:hAnsi="Book Antiqua" w:cs="Arial"/>
                <w:kern w:val="24"/>
                <w:lang w:val="en-GB"/>
              </w:rPr>
              <w:t>rugs</w:t>
            </w:r>
          </w:p>
        </w:tc>
        <w:tc>
          <w:tcPr>
            <w:tcW w:w="2334" w:type="dxa"/>
            <w:tcBorders>
              <w:top w:val="single" w:sz="4" w:space="0" w:color="auto"/>
            </w:tcBorders>
          </w:tcPr>
          <w:p w14:paraId="02FD67EB" w14:textId="20E2743E" w:rsidR="00FA11F2" w:rsidRPr="00DA5A6A" w:rsidRDefault="00FA11F2" w:rsidP="00DA5A6A">
            <w:pPr>
              <w:pStyle w:val="NormalWeb"/>
              <w:spacing w:before="0" w:beforeAutospacing="0" w:after="0" w:afterAutospacing="0" w:line="360" w:lineRule="auto"/>
              <w:jc w:val="both"/>
              <w:rPr>
                <w:rFonts w:ascii="Book Antiqua" w:hAnsi="Book Antiqua" w:cs="Arial"/>
              </w:rPr>
            </w:pPr>
            <w:r w:rsidRPr="00DA5A6A">
              <w:rPr>
                <w:rFonts w:ascii="Book Antiqua" w:hAnsi="Book Antiqua" w:cs="Arial"/>
                <w:kern w:val="24"/>
                <w:lang w:val="en-GB"/>
              </w:rPr>
              <w:t xml:space="preserve">Atezolizumab/nab-paclitaxel </w:t>
            </w:r>
            <w:r w:rsidRPr="00DA5A6A">
              <w:rPr>
                <w:rFonts w:ascii="Book Antiqua" w:hAnsi="Book Antiqua" w:cs="Arial"/>
                <w:i/>
                <w:iCs/>
                <w:kern w:val="24"/>
                <w:lang w:val="en-GB"/>
              </w:rPr>
              <w:t>vs</w:t>
            </w:r>
            <w:r w:rsidR="00EA3ED4" w:rsidRPr="00DA5A6A">
              <w:rPr>
                <w:rFonts w:ascii="Book Antiqua" w:hAnsi="Book Antiqua" w:cs="Arial"/>
                <w:i/>
                <w:iCs/>
                <w:kern w:val="24"/>
                <w:lang w:val="en-GB"/>
              </w:rPr>
              <w:t xml:space="preserve"> </w:t>
            </w:r>
            <w:r w:rsidR="00084EAE" w:rsidRPr="00DA5A6A">
              <w:rPr>
                <w:rFonts w:ascii="Book Antiqua" w:hAnsi="Book Antiqua" w:cs="Arial"/>
                <w:kern w:val="24"/>
                <w:lang w:val="en-GB"/>
              </w:rPr>
              <w:t>p</w:t>
            </w:r>
            <w:r w:rsidRPr="00DA5A6A">
              <w:rPr>
                <w:rFonts w:ascii="Book Antiqua" w:hAnsi="Book Antiqua" w:cs="Arial"/>
                <w:kern w:val="24"/>
                <w:lang w:val="en-GB"/>
              </w:rPr>
              <w:t>lacebo/nab-paclitaxel</w:t>
            </w:r>
          </w:p>
        </w:tc>
        <w:tc>
          <w:tcPr>
            <w:tcW w:w="3046" w:type="dxa"/>
            <w:tcBorders>
              <w:top w:val="single" w:sz="4" w:space="0" w:color="auto"/>
            </w:tcBorders>
          </w:tcPr>
          <w:p w14:paraId="4E8856E5" w14:textId="44E9D7C1" w:rsidR="00FA11F2" w:rsidRPr="00DA5A6A" w:rsidRDefault="00FA11F2" w:rsidP="00DA5A6A">
            <w:pPr>
              <w:spacing w:line="360" w:lineRule="auto"/>
              <w:jc w:val="both"/>
              <w:rPr>
                <w:rFonts w:ascii="Book Antiqua" w:hAnsi="Book Antiqua" w:cs="Arial"/>
                <w:b/>
                <w:bCs/>
              </w:rPr>
            </w:pPr>
            <w:r w:rsidRPr="00DA5A6A">
              <w:rPr>
                <w:rFonts w:ascii="Book Antiqua" w:hAnsi="Book Antiqua" w:cs="Arial"/>
                <w:kern w:val="24"/>
              </w:rPr>
              <w:t xml:space="preserve">Pembrolizumab + </w:t>
            </w:r>
            <w:r w:rsidR="00EA3ED4" w:rsidRPr="00DA5A6A">
              <w:rPr>
                <w:rFonts w:ascii="Book Antiqua" w:hAnsi="Book Antiqua" w:cs="Arial"/>
                <w:kern w:val="24"/>
              </w:rPr>
              <w:t>c</w:t>
            </w:r>
            <w:r w:rsidRPr="00DA5A6A">
              <w:rPr>
                <w:rFonts w:ascii="Book Antiqua" w:hAnsi="Book Antiqua" w:cs="Arial"/>
                <w:kern w:val="24"/>
              </w:rPr>
              <w:t xml:space="preserve">hemotherapy (nab-paclitaxel or paclitaxel or gemcitabine/carboplatin </w:t>
            </w:r>
            <w:r w:rsidRPr="00DA5A6A">
              <w:rPr>
                <w:rFonts w:ascii="Book Antiqua" w:hAnsi="Book Antiqua" w:cs="Arial"/>
                <w:i/>
                <w:iCs/>
                <w:kern w:val="24"/>
              </w:rPr>
              <w:t>vs</w:t>
            </w:r>
            <w:r w:rsidRPr="00DA5A6A">
              <w:rPr>
                <w:rFonts w:ascii="Book Antiqua" w:hAnsi="Book Antiqua" w:cs="Arial"/>
                <w:kern w:val="24"/>
              </w:rPr>
              <w:t xml:space="preserve"> </w:t>
            </w:r>
            <w:r w:rsidR="002F7E72" w:rsidRPr="00DA5A6A">
              <w:rPr>
                <w:rFonts w:ascii="Book Antiqua" w:hAnsi="Book Antiqua" w:cs="Arial"/>
                <w:kern w:val="24"/>
              </w:rPr>
              <w:t>p</w:t>
            </w:r>
            <w:r w:rsidRPr="00DA5A6A">
              <w:rPr>
                <w:rFonts w:ascii="Book Antiqua" w:hAnsi="Book Antiqua" w:cs="Arial"/>
                <w:kern w:val="24"/>
              </w:rPr>
              <w:t xml:space="preserve">lacebo + </w:t>
            </w:r>
            <w:r w:rsidR="002F7E72" w:rsidRPr="00DA5A6A">
              <w:rPr>
                <w:rFonts w:ascii="Book Antiqua" w:hAnsi="Book Antiqua" w:cs="Arial"/>
                <w:kern w:val="24"/>
              </w:rPr>
              <w:t>c</w:t>
            </w:r>
            <w:r w:rsidRPr="00DA5A6A">
              <w:rPr>
                <w:rFonts w:ascii="Book Antiqua" w:hAnsi="Book Antiqua" w:cs="Arial"/>
                <w:kern w:val="24"/>
              </w:rPr>
              <w:t>hemo</w:t>
            </w:r>
          </w:p>
        </w:tc>
        <w:tc>
          <w:tcPr>
            <w:tcW w:w="2694" w:type="dxa"/>
            <w:tcBorders>
              <w:top w:val="single" w:sz="4" w:space="0" w:color="auto"/>
            </w:tcBorders>
          </w:tcPr>
          <w:p w14:paraId="5F7A75B2" w14:textId="5EB799DE" w:rsidR="00FA11F2" w:rsidRPr="00DA5A6A" w:rsidRDefault="00FA11F2" w:rsidP="00DA5A6A">
            <w:pPr>
              <w:spacing w:line="360" w:lineRule="auto"/>
              <w:jc w:val="both"/>
              <w:rPr>
                <w:rFonts w:ascii="Book Antiqua" w:hAnsi="Book Antiqua" w:cs="Arial"/>
                <w:b/>
                <w:bCs/>
                <w:lang w:val="pt-BR"/>
              </w:rPr>
            </w:pPr>
            <w:r w:rsidRPr="00DA5A6A">
              <w:rPr>
                <w:rFonts w:ascii="Book Antiqua" w:hAnsi="Book Antiqua" w:cs="Arial"/>
                <w:kern w:val="24"/>
                <w:lang w:val="pt-BR"/>
              </w:rPr>
              <w:t xml:space="preserve">Atezolizumab/paclitaxel </w:t>
            </w:r>
            <w:r w:rsidRPr="00DA5A6A">
              <w:rPr>
                <w:rFonts w:ascii="Book Antiqua" w:hAnsi="Book Antiqua" w:cs="Arial"/>
                <w:i/>
                <w:iCs/>
                <w:kern w:val="24"/>
                <w:lang w:val="pt-BR"/>
              </w:rPr>
              <w:t>vs</w:t>
            </w:r>
            <w:r w:rsidRPr="00DA5A6A">
              <w:rPr>
                <w:rFonts w:ascii="Book Antiqua" w:hAnsi="Book Antiqua" w:cs="Arial"/>
                <w:kern w:val="24"/>
                <w:lang w:val="pt-BR"/>
              </w:rPr>
              <w:t xml:space="preserve"> placebo/paclitaxel</w:t>
            </w:r>
          </w:p>
        </w:tc>
      </w:tr>
      <w:tr w:rsidR="00FA11F2" w:rsidRPr="00DA5A6A" w14:paraId="2AE1CA42" w14:textId="77777777" w:rsidTr="00C964AB">
        <w:trPr>
          <w:trHeight w:val="971"/>
        </w:trPr>
        <w:tc>
          <w:tcPr>
            <w:tcW w:w="1567" w:type="dxa"/>
          </w:tcPr>
          <w:p w14:paraId="01624BFA" w14:textId="4496CD90" w:rsidR="00FA11F2" w:rsidRPr="00DA5A6A" w:rsidRDefault="00FA11F2" w:rsidP="00DA5A6A">
            <w:pPr>
              <w:spacing w:line="360" w:lineRule="auto"/>
              <w:jc w:val="both"/>
              <w:rPr>
                <w:rFonts w:ascii="Book Antiqua" w:hAnsi="Book Antiqua" w:cs="Arial"/>
                <w:b/>
                <w:bCs/>
              </w:rPr>
            </w:pPr>
            <w:r w:rsidRPr="00DA5A6A">
              <w:rPr>
                <w:rFonts w:ascii="Book Antiqua" w:hAnsi="Book Antiqua" w:cs="Arial"/>
                <w:kern w:val="24"/>
                <w:lang w:val="en-GB"/>
              </w:rPr>
              <w:t>ITT (</w:t>
            </w:r>
            <w:r w:rsidRPr="00DA5A6A">
              <w:rPr>
                <w:rFonts w:ascii="Book Antiqua" w:hAnsi="Book Antiqua" w:cs="Arial"/>
                <w:i/>
                <w:iCs/>
                <w:kern w:val="24"/>
                <w:lang w:val="en-GB"/>
              </w:rPr>
              <w:t>N</w:t>
            </w:r>
            <w:r w:rsidRPr="00DA5A6A">
              <w:rPr>
                <w:rFonts w:ascii="Book Antiqua" w:hAnsi="Book Antiqua" w:cs="Arial"/>
                <w:kern w:val="24"/>
                <w:lang w:val="en-GB"/>
              </w:rPr>
              <w:t>)</w:t>
            </w:r>
          </w:p>
        </w:tc>
        <w:tc>
          <w:tcPr>
            <w:tcW w:w="2334" w:type="dxa"/>
          </w:tcPr>
          <w:p w14:paraId="33097789" w14:textId="6858E713" w:rsidR="00FA11F2" w:rsidRPr="00DA5A6A" w:rsidRDefault="00FA11F2" w:rsidP="00DA5A6A">
            <w:pPr>
              <w:spacing w:line="360" w:lineRule="auto"/>
              <w:jc w:val="both"/>
              <w:rPr>
                <w:rFonts w:ascii="Book Antiqua" w:hAnsi="Book Antiqua" w:cs="Arial"/>
                <w:b/>
                <w:bCs/>
              </w:rPr>
            </w:pPr>
            <w:r w:rsidRPr="00DA5A6A">
              <w:rPr>
                <w:rFonts w:ascii="Book Antiqua" w:hAnsi="Book Antiqua" w:cs="Arial"/>
                <w:kern w:val="24"/>
                <w:lang w:val="en-GB"/>
              </w:rPr>
              <w:t xml:space="preserve">451 </w:t>
            </w:r>
            <w:r w:rsidRPr="00DA5A6A">
              <w:rPr>
                <w:rFonts w:ascii="Book Antiqua" w:hAnsi="Book Antiqua" w:cs="Arial"/>
                <w:i/>
                <w:iCs/>
                <w:kern w:val="24"/>
                <w:lang w:val="en-GB"/>
              </w:rPr>
              <w:t>vs</w:t>
            </w:r>
            <w:r w:rsidRPr="00DA5A6A">
              <w:rPr>
                <w:rFonts w:ascii="Book Antiqua" w:hAnsi="Book Antiqua" w:cs="Arial"/>
                <w:kern w:val="24"/>
                <w:lang w:val="en-GB"/>
              </w:rPr>
              <w:t xml:space="preserve"> 451 (1:1 randomisation)</w:t>
            </w:r>
          </w:p>
        </w:tc>
        <w:tc>
          <w:tcPr>
            <w:tcW w:w="3046" w:type="dxa"/>
          </w:tcPr>
          <w:p w14:paraId="0D3B81B7" w14:textId="35A5B4F8" w:rsidR="00FA11F2" w:rsidRPr="00DA5A6A" w:rsidRDefault="00FA11F2" w:rsidP="00DA5A6A">
            <w:pPr>
              <w:spacing w:line="360" w:lineRule="auto"/>
              <w:jc w:val="both"/>
              <w:rPr>
                <w:rFonts w:ascii="Book Antiqua" w:hAnsi="Book Antiqua" w:cs="Arial"/>
                <w:b/>
                <w:bCs/>
              </w:rPr>
            </w:pPr>
            <w:r w:rsidRPr="00DA5A6A">
              <w:rPr>
                <w:rFonts w:ascii="Book Antiqua" w:hAnsi="Book Antiqua" w:cs="Arial"/>
                <w:kern w:val="24"/>
                <w:lang w:val="en-GB"/>
              </w:rPr>
              <w:t xml:space="preserve">566 </w:t>
            </w:r>
            <w:r w:rsidRPr="00DA5A6A">
              <w:rPr>
                <w:rFonts w:ascii="Book Antiqua" w:hAnsi="Book Antiqua" w:cs="Arial"/>
                <w:i/>
                <w:iCs/>
                <w:kern w:val="24"/>
                <w:lang w:val="en-GB"/>
              </w:rPr>
              <w:t>vs</w:t>
            </w:r>
            <w:r w:rsidRPr="00DA5A6A">
              <w:rPr>
                <w:rFonts w:ascii="Book Antiqua" w:hAnsi="Book Antiqua" w:cs="Arial"/>
                <w:kern w:val="24"/>
                <w:lang w:val="en-GB"/>
              </w:rPr>
              <w:t xml:space="preserve"> 281 (2:1 randomisation)</w:t>
            </w:r>
          </w:p>
        </w:tc>
        <w:tc>
          <w:tcPr>
            <w:tcW w:w="2694" w:type="dxa"/>
          </w:tcPr>
          <w:p w14:paraId="3EEBF846" w14:textId="311C6B9B" w:rsidR="00FA11F2" w:rsidRPr="00DA5A6A" w:rsidRDefault="00FA11F2" w:rsidP="00DA5A6A">
            <w:pPr>
              <w:spacing w:line="360" w:lineRule="auto"/>
              <w:jc w:val="both"/>
              <w:rPr>
                <w:rFonts w:ascii="Book Antiqua" w:hAnsi="Book Antiqua" w:cs="Arial"/>
                <w:b/>
                <w:bCs/>
              </w:rPr>
            </w:pPr>
            <w:r w:rsidRPr="00DA5A6A">
              <w:rPr>
                <w:rFonts w:ascii="Book Antiqua" w:hAnsi="Book Antiqua" w:cs="Arial"/>
                <w:kern w:val="24"/>
                <w:lang w:val="en-GB"/>
              </w:rPr>
              <w:t xml:space="preserve">430 </w:t>
            </w:r>
            <w:r w:rsidRPr="00DA5A6A">
              <w:rPr>
                <w:rFonts w:ascii="Book Antiqua" w:hAnsi="Book Antiqua" w:cs="Arial"/>
                <w:i/>
                <w:iCs/>
                <w:kern w:val="24"/>
                <w:lang w:val="en-GB"/>
              </w:rPr>
              <w:t>vs</w:t>
            </w:r>
            <w:r w:rsidRPr="00DA5A6A">
              <w:rPr>
                <w:rFonts w:ascii="Book Antiqua" w:hAnsi="Book Antiqua" w:cs="Arial"/>
                <w:kern w:val="24"/>
                <w:lang w:val="en-GB"/>
              </w:rPr>
              <w:t xml:space="preserve"> 221 (2:1 randomisation)</w:t>
            </w:r>
          </w:p>
        </w:tc>
      </w:tr>
      <w:tr w:rsidR="00FA11F2" w:rsidRPr="00DA5A6A" w14:paraId="75A2D87A" w14:textId="77777777" w:rsidTr="00C964AB">
        <w:trPr>
          <w:trHeight w:val="645"/>
        </w:trPr>
        <w:tc>
          <w:tcPr>
            <w:tcW w:w="1567" w:type="dxa"/>
          </w:tcPr>
          <w:p w14:paraId="0E793009" w14:textId="2A58E729" w:rsidR="00FA11F2" w:rsidRPr="00DA5A6A" w:rsidRDefault="00FA11F2" w:rsidP="00DA5A6A">
            <w:pPr>
              <w:spacing w:line="360" w:lineRule="auto"/>
              <w:jc w:val="both"/>
              <w:rPr>
                <w:rFonts w:ascii="Book Antiqua" w:hAnsi="Book Antiqua" w:cs="Arial"/>
                <w:b/>
                <w:bCs/>
              </w:rPr>
            </w:pPr>
            <w:r w:rsidRPr="00DA5A6A">
              <w:rPr>
                <w:rFonts w:ascii="Book Antiqua" w:hAnsi="Book Antiqua" w:cs="Arial"/>
                <w:kern w:val="24"/>
                <w:lang w:val="en-GB"/>
              </w:rPr>
              <w:t>Inclusion</w:t>
            </w:r>
          </w:p>
        </w:tc>
        <w:tc>
          <w:tcPr>
            <w:tcW w:w="2334" w:type="dxa"/>
          </w:tcPr>
          <w:p w14:paraId="5A348FED" w14:textId="5979C09D" w:rsidR="00FA11F2" w:rsidRPr="00DA5A6A" w:rsidRDefault="00FA11F2" w:rsidP="00DA5A6A">
            <w:pPr>
              <w:spacing w:line="360" w:lineRule="auto"/>
              <w:jc w:val="both"/>
              <w:rPr>
                <w:rFonts w:ascii="Book Antiqua" w:hAnsi="Book Antiqua" w:cs="Arial"/>
                <w:b/>
                <w:bCs/>
              </w:rPr>
            </w:pPr>
            <w:r w:rsidRPr="00DA5A6A">
              <w:rPr>
                <w:rFonts w:ascii="Book Antiqua" w:hAnsi="Book Antiqua" w:cs="Arial"/>
                <w:kern w:val="24"/>
              </w:rPr>
              <w:t>≥ 1 yr DFI</w:t>
            </w:r>
          </w:p>
        </w:tc>
        <w:tc>
          <w:tcPr>
            <w:tcW w:w="3046" w:type="dxa"/>
          </w:tcPr>
          <w:p w14:paraId="2D825BF4" w14:textId="75A8C929" w:rsidR="00FA11F2" w:rsidRPr="00DA5A6A" w:rsidRDefault="00FA11F2" w:rsidP="00DA5A6A">
            <w:pPr>
              <w:spacing w:line="360" w:lineRule="auto"/>
              <w:jc w:val="both"/>
              <w:rPr>
                <w:rFonts w:ascii="Book Antiqua" w:hAnsi="Book Antiqua" w:cs="Arial"/>
                <w:b/>
                <w:bCs/>
              </w:rPr>
            </w:pPr>
            <w:r w:rsidRPr="00DA5A6A">
              <w:rPr>
                <w:rFonts w:ascii="Book Antiqua" w:hAnsi="Book Antiqua" w:cs="Arial"/>
                <w:kern w:val="24"/>
              </w:rPr>
              <w:t>≥ 6 mo DFI</w:t>
            </w:r>
          </w:p>
        </w:tc>
        <w:tc>
          <w:tcPr>
            <w:tcW w:w="2694" w:type="dxa"/>
          </w:tcPr>
          <w:p w14:paraId="7D0E65D8" w14:textId="394642AE" w:rsidR="00FA11F2" w:rsidRPr="00DA5A6A" w:rsidRDefault="00FA11F2" w:rsidP="00DA5A6A">
            <w:pPr>
              <w:spacing w:line="360" w:lineRule="auto"/>
              <w:jc w:val="both"/>
              <w:rPr>
                <w:rFonts w:ascii="Book Antiqua" w:hAnsi="Book Antiqua" w:cs="Arial"/>
                <w:b/>
                <w:bCs/>
              </w:rPr>
            </w:pPr>
            <w:r w:rsidRPr="00DA5A6A">
              <w:rPr>
                <w:rFonts w:ascii="Book Antiqua" w:hAnsi="Book Antiqua" w:cs="Arial"/>
                <w:kern w:val="24"/>
              </w:rPr>
              <w:t>≥ 1 yr DFI</w:t>
            </w:r>
          </w:p>
        </w:tc>
      </w:tr>
      <w:tr w:rsidR="002F7E72" w:rsidRPr="00DA5A6A" w14:paraId="62F918E6" w14:textId="77777777" w:rsidTr="00955D76">
        <w:tc>
          <w:tcPr>
            <w:tcW w:w="1567" w:type="dxa"/>
            <w:vMerge w:val="restart"/>
          </w:tcPr>
          <w:p w14:paraId="63965E18" w14:textId="60007FAE" w:rsidR="002F7E72" w:rsidRPr="00DA5A6A" w:rsidRDefault="002F7E72" w:rsidP="00DA5A6A">
            <w:pPr>
              <w:spacing w:line="360" w:lineRule="auto"/>
              <w:jc w:val="both"/>
              <w:rPr>
                <w:rFonts w:ascii="Book Antiqua" w:hAnsi="Book Antiqua" w:cs="Arial"/>
                <w:b/>
                <w:bCs/>
              </w:rPr>
            </w:pPr>
            <w:r w:rsidRPr="00DA5A6A">
              <w:rPr>
                <w:rFonts w:ascii="Book Antiqua" w:hAnsi="Book Antiqua" w:cs="Arial"/>
                <w:kern w:val="24"/>
                <w:lang w:val="en-GB"/>
              </w:rPr>
              <w:t>PD-L1 status</w:t>
            </w:r>
          </w:p>
        </w:tc>
        <w:tc>
          <w:tcPr>
            <w:tcW w:w="2334" w:type="dxa"/>
          </w:tcPr>
          <w:p w14:paraId="1AA49DE1" w14:textId="25E6B774" w:rsidR="002F7E72" w:rsidRPr="00DA5A6A" w:rsidRDefault="002F7E72" w:rsidP="00DA5A6A">
            <w:pPr>
              <w:pStyle w:val="NormalWeb"/>
              <w:spacing w:before="0" w:beforeAutospacing="0" w:after="0" w:afterAutospacing="0" w:line="360" w:lineRule="auto"/>
              <w:jc w:val="both"/>
              <w:rPr>
                <w:rFonts w:ascii="Book Antiqua" w:hAnsi="Book Antiqua" w:cs="Arial"/>
              </w:rPr>
            </w:pPr>
            <w:r w:rsidRPr="00DA5A6A">
              <w:rPr>
                <w:rFonts w:ascii="Book Antiqua" w:hAnsi="Book Antiqua" w:cs="Arial"/>
                <w:kern w:val="24"/>
                <w:lang w:val="en-GB"/>
              </w:rPr>
              <w:t xml:space="preserve">IC [positive (≥ 1%) </w:t>
            </w:r>
            <w:r w:rsidRPr="00DA5A6A">
              <w:rPr>
                <w:rFonts w:ascii="Book Antiqua" w:hAnsi="Book Antiqua" w:cs="Arial"/>
                <w:i/>
                <w:iCs/>
                <w:kern w:val="24"/>
                <w:lang w:val="en-GB"/>
              </w:rPr>
              <w:t>vs</w:t>
            </w:r>
            <w:r w:rsidRPr="00DA5A6A">
              <w:rPr>
                <w:rFonts w:ascii="Book Antiqua" w:hAnsi="Book Antiqua" w:cs="Arial"/>
                <w:kern w:val="24"/>
                <w:lang w:val="en-GB"/>
              </w:rPr>
              <w:t xml:space="preserve"> negative (&lt; 1%)]</w:t>
            </w:r>
          </w:p>
        </w:tc>
        <w:tc>
          <w:tcPr>
            <w:tcW w:w="3046" w:type="dxa"/>
          </w:tcPr>
          <w:p w14:paraId="38498E71" w14:textId="525A4B6C" w:rsidR="002F7E72" w:rsidRPr="00DA5A6A" w:rsidRDefault="002F7E72" w:rsidP="00DA5A6A">
            <w:pPr>
              <w:pStyle w:val="NormalWeb"/>
              <w:spacing w:before="0" w:beforeAutospacing="0" w:after="0" w:afterAutospacing="0" w:line="360" w:lineRule="auto"/>
              <w:jc w:val="both"/>
              <w:rPr>
                <w:rFonts w:ascii="Book Antiqua" w:hAnsi="Book Antiqua" w:cs="Arial"/>
              </w:rPr>
            </w:pPr>
            <w:r w:rsidRPr="00DA5A6A">
              <w:rPr>
                <w:rFonts w:ascii="Book Antiqua" w:hAnsi="Book Antiqua" w:cs="Arial"/>
                <w:kern w:val="24"/>
                <w:lang w:val="en-GB"/>
              </w:rPr>
              <w:t xml:space="preserve">CPS [positive (≥ 1%) </w:t>
            </w:r>
            <w:r w:rsidRPr="00DA5A6A">
              <w:rPr>
                <w:rFonts w:ascii="Book Antiqua" w:hAnsi="Book Antiqua" w:cs="Arial"/>
                <w:i/>
                <w:iCs/>
                <w:kern w:val="24"/>
                <w:lang w:val="en-GB"/>
              </w:rPr>
              <w:t>vs</w:t>
            </w:r>
            <w:r w:rsidRPr="00DA5A6A">
              <w:rPr>
                <w:rFonts w:ascii="Book Antiqua" w:hAnsi="Book Antiqua" w:cs="Arial"/>
                <w:kern w:val="24"/>
                <w:lang w:val="en-GB"/>
              </w:rPr>
              <w:t xml:space="preserve"> negative (&lt; 1%)] </w:t>
            </w:r>
          </w:p>
        </w:tc>
        <w:tc>
          <w:tcPr>
            <w:tcW w:w="2694" w:type="dxa"/>
          </w:tcPr>
          <w:p w14:paraId="78EA4663" w14:textId="4861DC9A" w:rsidR="002F7E72" w:rsidRPr="00DA5A6A" w:rsidRDefault="002F7E72" w:rsidP="00DA5A6A">
            <w:pPr>
              <w:pStyle w:val="NormalWeb"/>
              <w:spacing w:before="0" w:beforeAutospacing="0" w:after="0" w:afterAutospacing="0" w:line="360" w:lineRule="auto"/>
              <w:jc w:val="both"/>
              <w:rPr>
                <w:rFonts w:ascii="Book Antiqua" w:hAnsi="Book Antiqua" w:cs="Arial"/>
              </w:rPr>
            </w:pPr>
            <w:r w:rsidRPr="00DA5A6A">
              <w:rPr>
                <w:rFonts w:ascii="Book Antiqua" w:hAnsi="Book Antiqua" w:cs="Arial"/>
                <w:kern w:val="24"/>
                <w:lang w:val="en-GB"/>
              </w:rPr>
              <w:t>IC [positive (≥ 1%</w:t>
            </w:r>
            <w:r w:rsidRPr="00DA5A6A">
              <w:rPr>
                <w:rFonts w:ascii="Book Antiqua" w:eastAsia="SimSun" w:hAnsi="Book Antiqua" w:cs="SimSun"/>
                <w:kern w:val="24"/>
                <w:lang w:val="en-GB" w:eastAsia="zh-CN"/>
              </w:rPr>
              <w:t>)</w:t>
            </w:r>
            <w:r w:rsidRPr="00DA5A6A">
              <w:rPr>
                <w:rFonts w:ascii="Book Antiqua" w:hAnsi="Book Antiqua" w:cs="Arial"/>
                <w:kern w:val="24"/>
                <w:lang w:val="en-GB"/>
              </w:rPr>
              <w:t xml:space="preserve"> </w:t>
            </w:r>
            <w:r w:rsidRPr="00DA5A6A">
              <w:rPr>
                <w:rFonts w:ascii="Book Antiqua" w:hAnsi="Book Antiqua" w:cs="Arial"/>
                <w:i/>
                <w:iCs/>
                <w:kern w:val="24"/>
                <w:lang w:val="en-GB"/>
              </w:rPr>
              <w:t>vs</w:t>
            </w:r>
            <w:r w:rsidRPr="00DA5A6A">
              <w:rPr>
                <w:rFonts w:ascii="Book Antiqua" w:hAnsi="Book Antiqua" w:cs="Arial"/>
                <w:kern w:val="24"/>
                <w:lang w:val="en-GB"/>
              </w:rPr>
              <w:t xml:space="preserve"> negative (&lt; 1%)]</w:t>
            </w:r>
          </w:p>
        </w:tc>
      </w:tr>
      <w:tr w:rsidR="002F7E72" w:rsidRPr="00DA5A6A" w14:paraId="16F6AF65" w14:textId="77777777" w:rsidTr="00C964AB">
        <w:trPr>
          <w:trHeight w:val="1181"/>
        </w:trPr>
        <w:tc>
          <w:tcPr>
            <w:tcW w:w="1567" w:type="dxa"/>
            <w:vMerge/>
          </w:tcPr>
          <w:p w14:paraId="6687105B" w14:textId="77777777" w:rsidR="002F7E72" w:rsidRPr="00DA5A6A" w:rsidRDefault="002F7E72" w:rsidP="00DA5A6A">
            <w:pPr>
              <w:spacing w:line="360" w:lineRule="auto"/>
              <w:jc w:val="both"/>
              <w:rPr>
                <w:rFonts w:ascii="Book Antiqua" w:hAnsi="Book Antiqua" w:cs="Arial"/>
                <w:kern w:val="24"/>
                <w:lang w:val="en-GB"/>
              </w:rPr>
            </w:pPr>
          </w:p>
        </w:tc>
        <w:tc>
          <w:tcPr>
            <w:tcW w:w="2334" w:type="dxa"/>
          </w:tcPr>
          <w:p w14:paraId="668B5FDA" w14:textId="7A265460" w:rsidR="002F7E72" w:rsidRPr="00DA5A6A" w:rsidRDefault="002F7E72" w:rsidP="00DA5A6A">
            <w:pPr>
              <w:pStyle w:val="NormalWeb"/>
              <w:spacing w:before="0" w:beforeAutospacing="0" w:after="0" w:afterAutospacing="0" w:line="360" w:lineRule="auto"/>
              <w:jc w:val="both"/>
              <w:rPr>
                <w:rFonts w:ascii="Book Antiqua" w:hAnsi="Book Antiqua" w:cs="Arial"/>
                <w:kern w:val="24"/>
                <w:lang w:val="en-GB"/>
              </w:rPr>
            </w:pPr>
            <w:r w:rsidRPr="00DA5A6A">
              <w:rPr>
                <w:rFonts w:ascii="Book Antiqua" w:hAnsi="Book Antiqua" w:cs="Arial"/>
                <w:kern w:val="24"/>
                <w:lang w:val="en-GB"/>
              </w:rPr>
              <w:t xml:space="preserve">SP142 antibody </w:t>
            </w:r>
            <w:r w:rsidR="001B1529" w:rsidRPr="00DA5A6A">
              <w:rPr>
                <w:rFonts w:ascii="Book Antiqua" w:hAnsi="Book Antiqua" w:cs="Arial"/>
                <w:kern w:val="24"/>
                <w:lang w:val="en-GB"/>
              </w:rPr>
              <w:t>v</w:t>
            </w:r>
            <w:r w:rsidRPr="00DA5A6A">
              <w:rPr>
                <w:rFonts w:ascii="Book Antiqua" w:hAnsi="Book Antiqua" w:cs="Arial"/>
                <w:kern w:val="24"/>
                <w:lang w:val="en-GB"/>
              </w:rPr>
              <w:t xml:space="preserve">entana </w:t>
            </w:r>
            <w:r w:rsidR="001B1529" w:rsidRPr="00DA5A6A">
              <w:rPr>
                <w:rFonts w:ascii="Book Antiqua" w:hAnsi="Book Antiqua" w:cs="Arial"/>
                <w:kern w:val="24"/>
                <w:lang w:val="en-GB"/>
              </w:rPr>
              <w:t>p</w:t>
            </w:r>
            <w:r w:rsidRPr="00DA5A6A">
              <w:rPr>
                <w:rFonts w:ascii="Book Antiqua" w:hAnsi="Book Antiqua" w:cs="Arial"/>
                <w:kern w:val="24"/>
                <w:lang w:val="en-GB"/>
              </w:rPr>
              <w:t>latform</w:t>
            </w:r>
          </w:p>
        </w:tc>
        <w:tc>
          <w:tcPr>
            <w:tcW w:w="3046" w:type="dxa"/>
          </w:tcPr>
          <w:p w14:paraId="0BE92483" w14:textId="5880701F" w:rsidR="002F7E72" w:rsidRPr="00DA5A6A" w:rsidRDefault="002F7E72" w:rsidP="00DA5A6A">
            <w:pPr>
              <w:pStyle w:val="NormalWeb"/>
              <w:spacing w:before="0" w:beforeAutospacing="0" w:after="0" w:afterAutospacing="0" w:line="360" w:lineRule="auto"/>
              <w:jc w:val="both"/>
              <w:rPr>
                <w:rFonts w:ascii="Book Antiqua" w:hAnsi="Book Antiqua" w:cs="Arial"/>
                <w:kern w:val="24"/>
                <w:lang w:val="en-GB"/>
              </w:rPr>
            </w:pPr>
            <w:r w:rsidRPr="00DA5A6A">
              <w:rPr>
                <w:rFonts w:ascii="Book Antiqua" w:hAnsi="Book Antiqua" w:cs="Arial"/>
                <w:kern w:val="24"/>
                <w:lang w:val="en-GB"/>
              </w:rPr>
              <w:t>PD-L1 IHC 22C3 pharmDx kit</w:t>
            </w:r>
          </w:p>
        </w:tc>
        <w:tc>
          <w:tcPr>
            <w:tcW w:w="2694" w:type="dxa"/>
          </w:tcPr>
          <w:p w14:paraId="0A2A61CD" w14:textId="73DEE645" w:rsidR="002F7E72" w:rsidRPr="00DA5A6A" w:rsidRDefault="002F7E72" w:rsidP="00DA5A6A">
            <w:pPr>
              <w:pStyle w:val="NormalWeb"/>
              <w:spacing w:before="0" w:beforeAutospacing="0" w:after="0" w:afterAutospacing="0" w:line="360" w:lineRule="auto"/>
              <w:jc w:val="both"/>
              <w:rPr>
                <w:rFonts w:ascii="Book Antiqua" w:hAnsi="Book Antiqua" w:cs="Arial"/>
                <w:kern w:val="24"/>
                <w:lang w:val="en-GB"/>
              </w:rPr>
            </w:pPr>
            <w:r w:rsidRPr="00DA5A6A">
              <w:rPr>
                <w:rFonts w:ascii="Book Antiqua" w:hAnsi="Book Antiqua" w:cs="Arial"/>
                <w:kern w:val="24"/>
                <w:lang w:val="en-GB"/>
              </w:rPr>
              <w:t xml:space="preserve">SP142 antibody </w:t>
            </w:r>
            <w:r w:rsidR="001B1529" w:rsidRPr="00DA5A6A">
              <w:rPr>
                <w:rFonts w:ascii="Book Antiqua" w:hAnsi="Book Antiqua" w:cs="Arial"/>
                <w:kern w:val="24"/>
                <w:lang w:val="en-GB"/>
              </w:rPr>
              <w:t>v</w:t>
            </w:r>
            <w:r w:rsidRPr="00DA5A6A">
              <w:rPr>
                <w:rFonts w:ascii="Book Antiqua" w:hAnsi="Book Antiqua" w:cs="Arial"/>
                <w:kern w:val="24"/>
                <w:lang w:val="en-GB"/>
              </w:rPr>
              <w:t xml:space="preserve">entana </w:t>
            </w:r>
            <w:r w:rsidR="001B1529" w:rsidRPr="00DA5A6A">
              <w:rPr>
                <w:rFonts w:ascii="Book Antiqua" w:hAnsi="Book Antiqua" w:cs="Arial"/>
                <w:kern w:val="24"/>
                <w:lang w:val="en-GB"/>
              </w:rPr>
              <w:t>p</w:t>
            </w:r>
            <w:r w:rsidRPr="00DA5A6A">
              <w:rPr>
                <w:rFonts w:ascii="Book Antiqua" w:hAnsi="Book Antiqua" w:cs="Arial"/>
                <w:kern w:val="24"/>
                <w:lang w:val="en-GB"/>
              </w:rPr>
              <w:t>latform</w:t>
            </w:r>
          </w:p>
        </w:tc>
      </w:tr>
      <w:tr w:rsidR="00FA11F2" w:rsidRPr="00DA5A6A" w14:paraId="4769BA50" w14:textId="77777777" w:rsidTr="00C964AB">
        <w:trPr>
          <w:trHeight w:val="1546"/>
        </w:trPr>
        <w:tc>
          <w:tcPr>
            <w:tcW w:w="1567" w:type="dxa"/>
          </w:tcPr>
          <w:p w14:paraId="32121FB8" w14:textId="53C914F4" w:rsidR="00FA11F2" w:rsidRPr="00DA5A6A" w:rsidRDefault="00FA11F2" w:rsidP="00DA5A6A">
            <w:pPr>
              <w:spacing w:line="360" w:lineRule="auto"/>
              <w:jc w:val="both"/>
              <w:rPr>
                <w:rFonts w:ascii="Book Antiqua" w:hAnsi="Book Antiqua" w:cs="Arial"/>
                <w:b/>
                <w:bCs/>
              </w:rPr>
            </w:pPr>
            <w:r w:rsidRPr="00DA5A6A">
              <w:rPr>
                <w:rFonts w:ascii="Book Antiqua" w:hAnsi="Book Antiqua" w:cs="Arial"/>
                <w:kern w:val="24"/>
                <w:lang w:val="en-GB"/>
              </w:rPr>
              <w:t xml:space="preserve">Primary </w:t>
            </w:r>
            <w:r w:rsidR="001D415B" w:rsidRPr="00DA5A6A">
              <w:rPr>
                <w:rFonts w:ascii="Book Antiqua" w:hAnsi="Book Antiqua" w:cs="Arial"/>
                <w:kern w:val="24"/>
                <w:lang w:val="en-GB"/>
              </w:rPr>
              <w:t>e</w:t>
            </w:r>
            <w:r w:rsidRPr="00DA5A6A">
              <w:rPr>
                <w:rFonts w:ascii="Book Antiqua" w:hAnsi="Book Antiqua" w:cs="Arial"/>
                <w:kern w:val="24"/>
                <w:lang w:val="en-GB"/>
              </w:rPr>
              <w:t>ndpoints</w:t>
            </w:r>
          </w:p>
        </w:tc>
        <w:tc>
          <w:tcPr>
            <w:tcW w:w="2334" w:type="dxa"/>
          </w:tcPr>
          <w:p w14:paraId="7C57A39E" w14:textId="2450C5CA" w:rsidR="00FA11F2" w:rsidRPr="00DA5A6A" w:rsidRDefault="00FA11F2" w:rsidP="00DA5A6A">
            <w:pPr>
              <w:spacing w:line="360" w:lineRule="auto"/>
              <w:jc w:val="both"/>
              <w:rPr>
                <w:rFonts w:ascii="Book Antiqua" w:hAnsi="Book Antiqua" w:cs="Arial"/>
                <w:b/>
                <w:bCs/>
              </w:rPr>
            </w:pPr>
            <w:r w:rsidRPr="00DA5A6A">
              <w:rPr>
                <w:rFonts w:ascii="Book Antiqua" w:hAnsi="Book Antiqua" w:cs="Arial"/>
                <w:kern w:val="24"/>
                <w:lang w:val="en-GB"/>
              </w:rPr>
              <w:t>PFS and OS in ITT population</w:t>
            </w:r>
          </w:p>
        </w:tc>
        <w:tc>
          <w:tcPr>
            <w:tcW w:w="3046" w:type="dxa"/>
          </w:tcPr>
          <w:p w14:paraId="492CD311" w14:textId="3C070DCA" w:rsidR="00FA11F2" w:rsidRPr="00DA5A6A" w:rsidRDefault="00FA11F2" w:rsidP="00DA5A6A">
            <w:pPr>
              <w:spacing w:line="360" w:lineRule="auto"/>
              <w:jc w:val="both"/>
              <w:rPr>
                <w:rFonts w:ascii="Book Antiqua" w:hAnsi="Book Antiqua" w:cs="Arial"/>
                <w:b/>
                <w:bCs/>
              </w:rPr>
            </w:pPr>
            <w:r w:rsidRPr="00DA5A6A">
              <w:rPr>
                <w:rFonts w:ascii="Book Antiqua" w:hAnsi="Book Antiqua" w:cs="Arial"/>
                <w:kern w:val="24"/>
                <w:lang w:val="en-GB"/>
              </w:rPr>
              <w:t>PFS and OS by PD-L1 status (CPS ≥</w:t>
            </w:r>
            <w:r w:rsidR="001D415B" w:rsidRPr="00DA5A6A">
              <w:rPr>
                <w:rFonts w:ascii="Book Antiqua" w:hAnsi="Book Antiqua" w:cs="Arial"/>
                <w:kern w:val="24"/>
                <w:lang w:val="en-GB"/>
              </w:rPr>
              <w:t xml:space="preserve"> </w:t>
            </w:r>
            <w:r w:rsidRPr="00DA5A6A">
              <w:rPr>
                <w:rFonts w:ascii="Book Antiqua" w:hAnsi="Book Antiqua" w:cs="Arial"/>
                <w:kern w:val="24"/>
                <w:lang w:val="en-GB"/>
              </w:rPr>
              <w:t>10 and ≥</w:t>
            </w:r>
            <w:r w:rsidR="001D415B" w:rsidRPr="00DA5A6A">
              <w:rPr>
                <w:rFonts w:ascii="Book Antiqua" w:hAnsi="Book Antiqua" w:cs="Arial"/>
                <w:kern w:val="24"/>
                <w:lang w:val="en-GB"/>
              </w:rPr>
              <w:t xml:space="preserve"> </w:t>
            </w:r>
            <w:r w:rsidRPr="00DA5A6A">
              <w:rPr>
                <w:rFonts w:ascii="Book Antiqua" w:hAnsi="Book Antiqua" w:cs="Arial"/>
                <w:kern w:val="24"/>
                <w:lang w:val="en-GB"/>
              </w:rPr>
              <w:t>1) in ITT</w:t>
            </w:r>
          </w:p>
        </w:tc>
        <w:tc>
          <w:tcPr>
            <w:tcW w:w="2694" w:type="dxa"/>
          </w:tcPr>
          <w:p w14:paraId="57AA17F4" w14:textId="7E388344" w:rsidR="00FA11F2" w:rsidRPr="00DA5A6A" w:rsidRDefault="00FA11F2" w:rsidP="00DA5A6A">
            <w:pPr>
              <w:spacing w:line="360" w:lineRule="auto"/>
              <w:jc w:val="both"/>
              <w:rPr>
                <w:rFonts w:ascii="Book Antiqua" w:hAnsi="Book Antiqua" w:cs="Arial"/>
                <w:b/>
                <w:bCs/>
              </w:rPr>
            </w:pPr>
            <w:r w:rsidRPr="00DA5A6A">
              <w:rPr>
                <w:rFonts w:ascii="Book Antiqua" w:hAnsi="Book Antiqua" w:cs="Arial"/>
                <w:kern w:val="24"/>
                <w:lang w:val="en-GB"/>
              </w:rPr>
              <w:t>PFS and OS in PD-L1 positive cohort</w:t>
            </w:r>
          </w:p>
        </w:tc>
      </w:tr>
      <w:tr w:rsidR="00FA11F2" w:rsidRPr="00DA5A6A" w14:paraId="5CDA4184" w14:textId="77777777" w:rsidTr="00C964AB">
        <w:trPr>
          <w:trHeight w:val="1136"/>
        </w:trPr>
        <w:tc>
          <w:tcPr>
            <w:tcW w:w="1567" w:type="dxa"/>
          </w:tcPr>
          <w:p w14:paraId="64191D0D" w14:textId="5910C7FB" w:rsidR="00FA11F2" w:rsidRPr="00DA5A6A" w:rsidRDefault="00FA11F2" w:rsidP="00DA5A6A">
            <w:pPr>
              <w:spacing w:line="360" w:lineRule="auto"/>
              <w:jc w:val="both"/>
              <w:rPr>
                <w:rFonts w:ascii="Book Antiqua" w:hAnsi="Book Antiqua" w:cs="Arial"/>
                <w:b/>
                <w:bCs/>
              </w:rPr>
            </w:pPr>
            <w:r w:rsidRPr="00DA5A6A">
              <w:rPr>
                <w:rFonts w:ascii="Book Antiqua" w:hAnsi="Book Antiqua" w:cs="Arial"/>
                <w:kern w:val="24"/>
                <w:lang w:val="en-GB"/>
              </w:rPr>
              <w:t>Median FU</w:t>
            </w:r>
          </w:p>
        </w:tc>
        <w:tc>
          <w:tcPr>
            <w:tcW w:w="2334" w:type="dxa"/>
          </w:tcPr>
          <w:p w14:paraId="327C5A49" w14:textId="78973B5A" w:rsidR="00FA11F2" w:rsidRPr="00DA5A6A" w:rsidRDefault="00FA11F2" w:rsidP="00DA5A6A">
            <w:pPr>
              <w:spacing w:line="360" w:lineRule="auto"/>
              <w:jc w:val="both"/>
              <w:rPr>
                <w:rFonts w:ascii="Book Antiqua" w:hAnsi="Book Antiqua" w:cs="Arial"/>
                <w:b/>
                <w:bCs/>
              </w:rPr>
            </w:pPr>
            <w:r w:rsidRPr="00DA5A6A">
              <w:rPr>
                <w:rFonts w:ascii="Book Antiqua" w:hAnsi="Book Antiqua" w:cs="Arial"/>
                <w:kern w:val="24"/>
                <w:lang w:val="en-GB"/>
              </w:rPr>
              <w:t>18.0 mo (ASCO 2019)</w:t>
            </w:r>
          </w:p>
        </w:tc>
        <w:tc>
          <w:tcPr>
            <w:tcW w:w="3046" w:type="dxa"/>
          </w:tcPr>
          <w:p w14:paraId="67A05ED6" w14:textId="67E9BFDD" w:rsidR="00FA11F2" w:rsidRPr="00DA5A6A" w:rsidRDefault="00FA11F2" w:rsidP="00DA5A6A">
            <w:pPr>
              <w:spacing w:line="360" w:lineRule="auto"/>
              <w:jc w:val="both"/>
              <w:rPr>
                <w:rFonts w:ascii="Book Antiqua" w:hAnsi="Book Antiqua" w:cs="Arial"/>
                <w:b/>
                <w:bCs/>
              </w:rPr>
            </w:pPr>
            <w:r w:rsidRPr="00DA5A6A">
              <w:rPr>
                <w:rFonts w:ascii="Book Antiqua" w:hAnsi="Book Antiqua" w:cs="Arial"/>
                <w:kern w:val="24"/>
                <w:lang w:val="en-GB"/>
              </w:rPr>
              <w:t>25.9 mo and 26.3 mo (ASCO 2020)</w:t>
            </w:r>
          </w:p>
        </w:tc>
        <w:tc>
          <w:tcPr>
            <w:tcW w:w="2694" w:type="dxa"/>
          </w:tcPr>
          <w:p w14:paraId="0E631A0D" w14:textId="0D7264F1" w:rsidR="00FA11F2" w:rsidRPr="00DA5A6A" w:rsidRDefault="00FA11F2" w:rsidP="00DA5A6A">
            <w:pPr>
              <w:spacing w:line="360" w:lineRule="auto"/>
              <w:jc w:val="both"/>
              <w:rPr>
                <w:rFonts w:ascii="Book Antiqua" w:hAnsi="Book Antiqua" w:cs="Arial"/>
                <w:b/>
                <w:bCs/>
              </w:rPr>
            </w:pPr>
            <w:r w:rsidRPr="00DA5A6A">
              <w:rPr>
                <w:rFonts w:ascii="Book Antiqua" w:hAnsi="Book Antiqua" w:cs="Arial"/>
                <w:kern w:val="24"/>
                <w:lang w:val="en-GB"/>
              </w:rPr>
              <w:t>8.6 and 9 mo (ESMO 2020)</w:t>
            </w:r>
          </w:p>
        </w:tc>
      </w:tr>
      <w:tr w:rsidR="00FA11F2" w:rsidRPr="00DA5A6A" w14:paraId="5348956B" w14:textId="77777777" w:rsidTr="00C964AB">
        <w:trPr>
          <w:trHeight w:val="1010"/>
        </w:trPr>
        <w:tc>
          <w:tcPr>
            <w:tcW w:w="1567" w:type="dxa"/>
          </w:tcPr>
          <w:p w14:paraId="79D81981" w14:textId="62A0F048" w:rsidR="00FA11F2" w:rsidRPr="00DA5A6A" w:rsidRDefault="00FA11F2" w:rsidP="00DA5A6A">
            <w:pPr>
              <w:spacing w:line="360" w:lineRule="auto"/>
              <w:jc w:val="both"/>
              <w:rPr>
                <w:rFonts w:ascii="Book Antiqua" w:hAnsi="Book Antiqua" w:cs="Arial"/>
                <w:b/>
                <w:bCs/>
              </w:rPr>
            </w:pPr>
            <w:r w:rsidRPr="00DA5A6A">
              <w:rPr>
                <w:rFonts w:ascii="Book Antiqua" w:hAnsi="Book Antiqua" w:cs="Arial"/>
                <w:kern w:val="24"/>
                <w:lang w:val="en-GB"/>
              </w:rPr>
              <w:t>PFS in PD</w:t>
            </w:r>
            <w:r w:rsidR="00D26E12">
              <w:rPr>
                <w:rFonts w:ascii="Book Antiqua" w:hAnsi="Book Antiqua" w:cs="Arial"/>
                <w:kern w:val="24"/>
                <w:lang w:val="en-GB"/>
              </w:rPr>
              <w:t>-</w:t>
            </w:r>
            <w:r w:rsidRPr="00DA5A6A">
              <w:rPr>
                <w:rFonts w:ascii="Book Antiqua" w:hAnsi="Book Antiqua" w:cs="Arial"/>
                <w:kern w:val="24"/>
                <w:lang w:val="en-GB"/>
              </w:rPr>
              <w:t>L1 +</w:t>
            </w:r>
          </w:p>
        </w:tc>
        <w:tc>
          <w:tcPr>
            <w:tcW w:w="2334" w:type="dxa"/>
          </w:tcPr>
          <w:p w14:paraId="7257626C" w14:textId="42F3E3E7" w:rsidR="00FA11F2" w:rsidRPr="00DA5A6A" w:rsidRDefault="00FA11F2" w:rsidP="00DA5A6A">
            <w:pPr>
              <w:spacing w:line="360" w:lineRule="auto"/>
              <w:jc w:val="both"/>
              <w:rPr>
                <w:rFonts w:ascii="Book Antiqua" w:hAnsi="Book Antiqua" w:cs="Arial"/>
                <w:b/>
                <w:bCs/>
              </w:rPr>
            </w:pPr>
            <w:r w:rsidRPr="00DA5A6A">
              <w:rPr>
                <w:rFonts w:ascii="Book Antiqua" w:hAnsi="Book Antiqua" w:cs="Arial"/>
                <w:kern w:val="24"/>
                <w:lang w:val="en-GB"/>
              </w:rPr>
              <w:t xml:space="preserve">7.5 </w:t>
            </w:r>
            <w:r w:rsidR="00084EAE" w:rsidRPr="00DA5A6A">
              <w:rPr>
                <w:rFonts w:ascii="Book Antiqua" w:hAnsi="Book Antiqua" w:cs="Arial"/>
                <w:kern w:val="24"/>
                <w:lang w:val="en-GB"/>
              </w:rPr>
              <w:t>mo</w:t>
            </w:r>
            <w:r w:rsidR="00084EAE" w:rsidRPr="00DA5A6A">
              <w:rPr>
                <w:rFonts w:ascii="Book Antiqua" w:hAnsi="Book Antiqua" w:cs="Arial"/>
                <w:i/>
                <w:iCs/>
                <w:kern w:val="24"/>
                <w:lang w:val="en-GB"/>
              </w:rPr>
              <w:t xml:space="preserve"> </w:t>
            </w:r>
            <w:r w:rsidRPr="00DA5A6A">
              <w:rPr>
                <w:rFonts w:ascii="Book Antiqua" w:hAnsi="Book Antiqua" w:cs="Arial"/>
                <w:i/>
                <w:iCs/>
                <w:kern w:val="24"/>
                <w:lang w:val="en-GB"/>
              </w:rPr>
              <w:t>vs</w:t>
            </w:r>
            <w:r w:rsidRPr="00DA5A6A">
              <w:rPr>
                <w:rFonts w:ascii="Book Antiqua" w:hAnsi="Book Antiqua" w:cs="Arial"/>
                <w:kern w:val="24"/>
                <w:lang w:val="en-GB"/>
              </w:rPr>
              <w:t xml:space="preserve"> 5 mo</w:t>
            </w:r>
          </w:p>
        </w:tc>
        <w:tc>
          <w:tcPr>
            <w:tcW w:w="3046" w:type="dxa"/>
          </w:tcPr>
          <w:p w14:paraId="1D67AD1E" w14:textId="13CC50E0" w:rsidR="00FA11F2" w:rsidRPr="00DA5A6A" w:rsidRDefault="00FA11F2" w:rsidP="00DA5A6A">
            <w:pPr>
              <w:spacing w:line="360" w:lineRule="auto"/>
              <w:jc w:val="both"/>
              <w:rPr>
                <w:rFonts w:ascii="Book Antiqua" w:hAnsi="Book Antiqua" w:cs="Arial"/>
                <w:b/>
                <w:bCs/>
              </w:rPr>
            </w:pPr>
            <w:r w:rsidRPr="00DA5A6A">
              <w:rPr>
                <w:rFonts w:ascii="Book Antiqua" w:hAnsi="Book Antiqua" w:cs="Arial"/>
                <w:kern w:val="24"/>
                <w:lang w:val="en-GB"/>
              </w:rPr>
              <w:t xml:space="preserve">9.6 </w:t>
            </w:r>
            <w:r w:rsidR="00084EAE" w:rsidRPr="00DA5A6A">
              <w:rPr>
                <w:rFonts w:ascii="Book Antiqua" w:hAnsi="Book Antiqua" w:cs="Arial"/>
                <w:kern w:val="24"/>
                <w:lang w:val="en-GB"/>
              </w:rPr>
              <w:t xml:space="preserve">mo </w:t>
            </w:r>
            <w:r w:rsidRPr="00DA5A6A">
              <w:rPr>
                <w:rFonts w:ascii="Book Antiqua" w:hAnsi="Book Antiqua" w:cs="Arial"/>
                <w:i/>
                <w:iCs/>
                <w:kern w:val="24"/>
                <w:lang w:val="en-GB"/>
              </w:rPr>
              <w:t>vs</w:t>
            </w:r>
            <w:r w:rsidRPr="00DA5A6A">
              <w:rPr>
                <w:rFonts w:ascii="Book Antiqua" w:hAnsi="Book Antiqua" w:cs="Arial"/>
                <w:kern w:val="24"/>
                <w:lang w:val="en-GB"/>
              </w:rPr>
              <w:t xml:space="preserve"> 5.6 mo</w:t>
            </w:r>
          </w:p>
        </w:tc>
        <w:tc>
          <w:tcPr>
            <w:tcW w:w="2694" w:type="dxa"/>
          </w:tcPr>
          <w:p w14:paraId="2D691052" w14:textId="6F9F920C" w:rsidR="00FA11F2" w:rsidRPr="00DA5A6A" w:rsidRDefault="00FA11F2" w:rsidP="00DA5A6A">
            <w:pPr>
              <w:spacing w:line="360" w:lineRule="auto"/>
              <w:jc w:val="both"/>
              <w:rPr>
                <w:rFonts w:ascii="Book Antiqua" w:hAnsi="Book Antiqua" w:cs="Arial"/>
                <w:b/>
                <w:bCs/>
              </w:rPr>
            </w:pPr>
            <w:r w:rsidRPr="00DA5A6A">
              <w:rPr>
                <w:rFonts w:ascii="Book Antiqua" w:hAnsi="Book Antiqua" w:cs="Arial"/>
                <w:kern w:val="24"/>
                <w:lang w:val="en-GB"/>
              </w:rPr>
              <w:t xml:space="preserve">5.7 </w:t>
            </w:r>
            <w:r w:rsidR="00084EAE" w:rsidRPr="00DA5A6A">
              <w:rPr>
                <w:rFonts w:ascii="Book Antiqua" w:hAnsi="Book Antiqua" w:cs="Arial"/>
                <w:kern w:val="24"/>
                <w:lang w:val="en-GB"/>
              </w:rPr>
              <w:t>mo</w:t>
            </w:r>
            <w:r w:rsidR="00084EAE" w:rsidRPr="00DA5A6A">
              <w:rPr>
                <w:rFonts w:ascii="Book Antiqua" w:hAnsi="Book Antiqua" w:cs="Arial"/>
                <w:i/>
                <w:iCs/>
                <w:kern w:val="24"/>
                <w:lang w:val="en-GB"/>
              </w:rPr>
              <w:t xml:space="preserve"> </w:t>
            </w:r>
            <w:r w:rsidRPr="00DA5A6A">
              <w:rPr>
                <w:rFonts w:ascii="Book Antiqua" w:hAnsi="Book Antiqua" w:cs="Arial"/>
                <w:i/>
                <w:iCs/>
                <w:kern w:val="24"/>
                <w:lang w:val="en-GB"/>
              </w:rPr>
              <w:t>vs</w:t>
            </w:r>
            <w:r w:rsidRPr="00DA5A6A">
              <w:rPr>
                <w:rFonts w:ascii="Book Antiqua" w:hAnsi="Book Antiqua" w:cs="Arial"/>
                <w:kern w:val="24"/>
                <w:lang w:val="en-GB"/>
              </w:rPr>
              <w:t xml:space="preserve"> 5.6 mo</w:t>
            </w:r>
          </w:p>
        </w:tc>
      </w:tr>
      <w:tr w:rsidR="00FA11F2" w:rsidRPr="00DA5A6A" w14:paraId="596C5167" w14:textId="77777777" w:rsidTr="00955D76">
        <w:tc>
          <w:tcPr>
            <w:tcW w:w="1567" w:type="dxa"/>
          </w:tcPr>
          <w:p w14:paraId="557BA808" w14:textId="4A4AA3FC" w:rsidR="00FA11F2" w:rsidRPr="00DA5A6A" w:rsidRDefault="00FA11F2" w:rsidP="00DA5A6A">
            <w:pPr>
              <w:spacing w:line="360" w:lineRule="auto"/>
              <w:jc w:val="both"/>
              <w:rPr>
                <w:rFonts w:ascii="Book Antiqua" w:hAnsi="Book Antiqua" w:cs="Arial"/>
                <w:b/>
                <w:bCs/>
              </w:rPr>
            </w:pPr>
            <w:r w:rsidRPr="00DA5A6A">
              <w:rPr>
                <w:rFonts w:ascii="Book Antiqua" w:hAnsi="Book Antiqua" w:cs="Arial"/>
                <w:kern w:val="24"/>
                <w:lang w:val="en-GB"/>
              </w:rPr>
              <w:t>OS in PD</w:t>
            </w:r>
            <w:r w:rsidR="00D26E12">
              <w:rPr>
                <w:rFonts w:ascii="Book Antiqua" w:hAnsi="Book Antiqua" w:cs="Arial"/>
                <w:kern w:val="24"/>
                <w:lang w:val="en-GB"/>
              </w:rPr>
              <w:t>-</w:t>
            </w:r>
            <w:r w:rsidRPr="00DA5A6A">
              <w:rPr>
                <w:rFonts w:ascii="Book Antiqua" w:hAnsi="Book Antiqua" w:cs="Arial"/>
                <w:kern w:val="24"/>
                <w:lang w:val="en-GB"/>
              </w:rPr>
              <w:t>L1</w:t>
            </w:r>
            <w:r w:rsidR="00084EAE" w:rsidRPr="00DA5A6A">
              <w:rPr>
                <w:rFonts w:ascii="Book Antiqua" w:hAnsi="Book Antiqua" w:cs="Arial"/>
                <w:kern w:val="24"/>
                <w:lang w:val="en-GB"/>
              </w:rPr>
              <w:t xml:space="preserve"> </w:t>
            </w:r>
            <w:r w:rsidRPr="00DA5A6A">
              <w:rPr>
                <w:rFonts w:ascii="Book Antiqua" w:hAnsi="Book Antiqua" w:cs="Arial"/>
                <w:kern w:val="24"/>
                <w:lang w:val="en-GB"/>
              </w:rPr>
              <w:t>+</w:t>
            </w:r>
          </w:p>
        </w:tc>
        <w:tc>
          <w:tcPr>
            <w:tcW w:w="2334" w:type="dxa"/>
          </w:tcPr>
          <w:p w14:paraId="03EA21DD" w14:textId="013DDBA6" w:rsidR="00FA11F2" w:rsidRPr="00DA5A6A" w:rsidRDefault="00FA11F2" w:rsidP="00DA5A6A">
            <w:pPr>
              <w:spacing w:line="360" w:lineRule="auto"/>
              <w:jc w:val="both"/>
              <w:rPr>
                <w:rFonts w:ascii="Book Antiqua" w:hAnsi="Book Antiqua" w:cs="Arial"/>
                <w:b/>
                <w:bCs/>
              </w:rPr>
            </w:pPr>
            <w:r w:rsidRPr="00DA5A6A">
              <w:rPr>
                <w:rFonts w:ascii="Book Antiqua" w:hAnsi="Book Antiqua" w:cs="Arial"/>
                <w:kern w:val="24"/>
                <w:lang w:val="en-GB"/>
              </w:rPr>
              <w:t xml:space="preserve">25.4 </w:t>
            </w:r>
            <w:r w:rsidR="00084EAE" w:rsidRPr="00DA5A6A">
              <w:rPr>
                <w:rFonts w:ascii="Book Antiqua" w:hAnsi="Book Antiqua" w:cs="Arial"/>
                <w:kern w:val="24"/>
                <w:lang w:val="en-GB"/>
              </w:rPr>
              <w:t>mo</w:t>
            </w:r>
            <w:r w:rsidR="00084EAE" w:rsidRPr="00DA5A6A">
              <w:rPr>
                <w:rFonts w:ascii="Book Antiqua" w:hAnsi="Book Antiqua" w:cs="Arial"/>
                <w:i/>
                <w:iCs/>
                <w:kern w:val="24"/>
                <w:lang w:val="en-GB"/>
              </w:rPr>
              <w:t xml:space="preserve"> </w:t>
            </w:r>
            <w:r w:rsidRPr="00DA5A6A">
              <w:rPr>
                <w:rFonts w:ascii="Book Antiqua" w:hAnsi="Book Antiqua" w:cs="Arial"/>
                <w:i/>
                <w:iCs/>
                <w:kern w:val="24"/>
                <w:lang w:val="en-GB"/>
              </w:rPr>
              <w:t>vs</w:t>
            </w:r>
            <w:r w:rsidRPr="00DA5A6A">
              <w:rPr>
                <w:rFonts w:ascii="Book Antiqua" w:hAnsi="Book Antiqua" w:cs="Arial"/>
                <w:kern w:val="24"/>
                <w:lang w:val="en-GB"/>
              </w:rPr>
              <w:t xml:space="preserve"> 17.9 mo</w:t>
            </w:r>
          </w:p>
        </w:tc>
        <w:tc>
          <w:tcPr>
            <w:tcW w:w="3046" w:type="dxa"/>
          </w:tcPr>
          <w:p w14:paraId="4821BE6D" w14:textId="195933D9" w:rsidR="00FA11F2" w:rsidRPr="00DA5A6A" w:rsidRDefault="00FA11F2" w:rsidP="00DA5A6A">
            <w:pPr>
              <w:spacing w:line="360" w:lineRule="auto"/>
              <w:jc w:val="both"/>
              <w:rPr>
                <w:rFonts w:ascii="Book Antiqua" w:hAnsi="Book Antiqua" w:cs="Arial"/>
                <w:b/>
                <w:bCs/>
              </w:rPr>
            </w:pPr>
            <w:r w:rsidRPr="00DA5A6A">
              <w:rPr>
                <w:rFonts w:ascii="Book Antiqua" w:hAnsi="Book Antiqua" w:cs="Arial"/>
                <w:kern w:val="24"/>
                <w:lang w:val="en-GB"/>
              </w:rPr>
              <w:t>Awaited</w:t>
            </w:r>
          </w:p>
        </w:tc>
        <w:tc>
          <w:tcPr>
            <w:tcW w:w="2694" w:type="dxa"/>
          </w:tcPr>
          <w:p w14:paraId="51933CB4" w14:textId="03739D57" w:rsidR="00FA11F2" w:rsidRPr="00DA5A6A" w:rsidRDefault="00FA11F2" w:rsidP="00DA5A6A">
            <w:pPr>
              <w:spacing w:line="360" w:lineRule="auto"/>
              <w:jc w:val="both"/>
              <w:rPr>
                <w:rFonts w:ascii="Book Antiqua" w:hAnsi="Book Antiqua" w:cs="Arial"/>
                <w:b/>
                <w:bCs/>
              </w:rPr>
            </w:pPr>
            <w:r w:rsidRPr="00DA5A6A">
              <w:rPr>
                <w:rFonts w:ascii="Book Antiqua" w:hAnsi="Book Antiqua" w:cs="Arial"/>
                <w:kern w:val="24"/>
                <w:lang w:val="en-GB"/>
              </w:rPr>
              <w:t>22.1</w:t>
            </w:r>
            <w:r w:rsidR="00084EAE" w:rsidRPr="00DA5A6A">
              <w:rPr>
                <w:rFonts w:ascii="Book Antiqua" w:hAnsi="Book Antiqua" w:cs="Arial"/>
                <w:kern w:val="24"/>
                <w:lang w:val="en-GB"/>
              </w:rPr>
              <w:t xml:space="preserve"> mo</w:t>
            </w:r>
            <w:r w:rsidRPr="00DA5A6A">
              <w:rPr>
                <w:rFonts w:ascii="Book Antiqua" w:hAnsi="Book Antiqua" w:cs="Arial"/>
                <w:kern w:val="24"/>
                <w:lang w:val="en-GB"/>
              </w:rPr>
              <w:t xml:space="preserve"> </w:t>
            </w:r>
            <w:r w:rsidRPr="00DA5A6A">
              <w:rPr>
                <w:rFonts w:ascii="Book Antiqua" w:hAnsi="Book Antiqua" w:cs="Arial"/>
                <w:i/>
                <w:iCs/>
                <w:kern w:val="24"/>
                <w:lang w:val="en-GB"/>
              </w:rPr>
              <w:t>vs</w:t>
            </w:r>
            <w:r w:rsidRPr="00DA5A6A">
              <w:rPr>
                <w:rFonts w:ascii="Book Antiqua" w:hAnsi="Book Antiqua" w:cs="Arial"/>
                <w:kern w:val="24"/>
                <w:lang w:val="en-GB"/>
              </w:rPr>
              <w:t xml:space="preserve"> 28.3 mo</w:t>
            </w:r>
          </w:p>
        </w:tc>
      </w:tr>
    </w:tbl>
    <w:p w14:paraId="2EBDEE07" w14:textId="2EA98444" w:rsidR="006F7DC4" w:rsidRPr="00DA5A6A" w:rsidRDefault="00084EAE" w:rsidP="00DA5A6A">
      <w:pPr>
        <w:spacing w:line="360" w:lineRule="auto"/>
        <w:jc w:val="both"/>
        <w:rPr>
          <w:rFonts w:ascii="Book Antiqua" w:hAnsi="Book Antiqua" w:cs="Arial"/>
          <w:kern w:val="24"/>
          <w:lang w:val="en-GB"/>
        </w:rPr>
      </w:pPr>
      <w:r w:rsidRPr="00DA5A6A">
        <w:rPr>
          <w:rFonts w:ascii="Book Antiqua" w:hAnsi="Book Antiqua" w:cs="Arial"/>
          <w:kern w:val="24"/>
          <w:lang w:val="en-GB"/>
        </w:rPr>
        <w:t>PD-1: Programmed death 1; PD-L1: Programmed death-ligand 1</w:t>
      </w:r>
      <w:r w:rsidR="001B1529" w:rsidRPr="00DA5A6A">
        <w:rPr>
          <w:rFonts w:ascii="Book Antiqua" w:hAnsi="Book Antiqua" w:cs="Arial"/>
          <w:kern w:val="24"/>
          <w:lang w:val="en-GB"/>
        </w:rPr>
        <w:t xml:space="preserve">; ITT: </w:t>
      </w:r>
      <w:r w:rsidR="001B1529" w:rsidRPr="00DA5A6A">
        <w:rPr>
          <w:rFonts w:ascii="Book Antiqua" w:eastAsia="Book Antiqua" w:hAnsi="Book Antiqua" w:cs="Book Antiqua"/>
          <w:color w:val="000000"/>
          <w:lang w:val="en-GB"/>
        </w:rPr>
        <w:t>I</w:t>
      </w:r>
      <w:r w:rsidR="001B1529" w:rsidRPr="00DA5A6A">
        <w:rPr>
          <w:rFonts w:ascii="Book Antiqua" w:eastAsia="Book Antiqua" w:hAnsi="Book Antiqua" w:cs="Book Antiqua"/>
          <w:color w:val="000000"/>
        </w:rPr>
        <w:t>ntention-to-treat</w:t>
      </w:r>
      <w:r w:rsidR="001B1529" w:rsidRPr="00DA5A6A">
        <w:rPr>
          <w:rFonts w:ascii="Book Antiqua" w:hAnsi="Book Antiqua" w:cs="Arial"/>
          <w:kern w:val="24"/>
          <w:lang w:val="en-GB"/>
        </w:rPr>
        <w:t xml:space="preserve">; </w:t>
      </w:r>
      <w:bookmarkStart w:id="5" w:name="OLE_LINK129"/>
      <w:bookmarkStart w:id="6" w:name="OLE_LINK130"/>
      <w:r w:rsidR="001B1529" w:rsidRPr="00DA5A6A">
        <w:rPr>
          <w:rFonts w:ascii="Book Antiqua" w:hAnsi="Book Antiqua" w:cs="Arial"/>
          <w:kern w:val="24"/>
          <w:lang w:val="en-GB"/>
        </w:rPr>
        <w:t>DFI</w:t>
      </w:r>
      <w:bookmarkEnd w:id="5"/>
      <w:bookmarkEnd w:id="6"/>
      <w:r w:rsidR="001B1529" w:rsidRPr="00DA5A6A">
        <w:rPr>
          <w:rFonts w:ascii="Book Antiqua" w:hAnsi="Book Antiqua" w:cs="Arial"/>
          <w:kern w:val="24"/>
          <w:lang w:val="en-GB"/>
        </w:rPr>
        <w:t xml:space="preserve">: </w:t>
      </w:r>
      <w:r w:rsidR="009418A6" w:rsidRPr="00DA5A6A">
        <w:rPr>
          <w:rFonts w:ascii="Book Antiqua" w:hAnsi="Book Antiqua" w:cs="Arial"/>
          <w:kern w:val="24"/>
          <w:lang w:val="en-GB"/>
        </w:rPr>
        <w:t>Disease Free Interval</w:t>
      </w:r>
      <w:r w:rsidR="001B1529" w:rsidRPr="00DA5A6A">
        <w:rPr>
          <w:rFonts w:ascii="Book Antiqua" w:hAnsi="Book Antiqua" w:cs="Arial"/>
          <w:kern w:val="24"/>
          <w:lang w:val="en-GB"/>
        </w:rPr>
        <w:t xml:space="preserve">; IHC: </w:t>
      </w:r>
      <w:r w:rsidR="00247A22" w:rsidRPr="00DA5A6A">
        <w:rPr>
          <w:rFonts w:ascii="Book Antiqua" w:hAnsi="Book Antiqua" w:cs="Arial"/>
          <w:kern w:val="24"/>
          <w:lang w:val="en-GB"/>
        </w:rPr>
        <w:t>Immunohistochemistry</w:t>
      </w:r>
      <w:r w:rsidR="001B1529" w:rsidRPr="00DA5A6A">
        <w:rPr>
          <w:rFonts w:ascii="Book Antiqua" w:hAnsi="Book Antiqua" w:cs="Arial"/>
          <w:kern w:val="24"/>
          <w:lang w:val="en-GB"/>
        </w:rPr>
        <w:t>; OS: Over</w:t>
      </w:r>
      <w:r w:rsidR="001B1529" w:rsidRPr="00DA5A6A">
        <w:rPr>
          <w:rFonts w:ascii="Book Antiqua" w:eastAsia="Book Antiqua" w:hAnsi="Book Antiqua" w:cs="Book Antiqua"/>
          <w:color w:val="000000"/>
        </w:rPr>
        <w:t>all survival</w:t>
      </w:r>
      <w:r w:rsidR="001B1529" w:rsidRPr="00DA5A6A">
        <w:rPr>
          <w:rFonts w:ascii="Book Antiqua" w:hAnsi="Book Antiqua" w:cs="Arial"/>
          <w:kern w:val="24"/>
          <w:lang w:val="en-GB"/>
        </w:rPr>
        <w:t xml:space="preserve">; ASCO: </w:t>
      </w:r>
      <w:r w:rsidR="00D53E9E" w:rsidRPr="00DA5A6A">
        <w:rPr>
          <w:rFonts w:ascii="Book Antiqua" w:eastAsia="Book Antiqua" w:hAnsi="Book Antiqua" w:cs="Book Antiqua"/>
          <w:color w:val="000000"/>
        </w:rPr>
        <w:lastRenderedPageBreak/>
        <w:t>American Society of Clinical Oncology</w:t>
      </w:r>
      <w:r w:rsidR="001B1529" w:rsidRPr="00DA5A6A">
        <w:rPr>
          <w:rFonts w:ascii="Book Antiqua" w:hAnsi="Book Antiqua" w:cs="Arial"/>
          <w:kern w:val="24"/>
          <w:lang w:val="en-GB"/>
        </w:rPr>
        <w:t xml:space="preserve">; ESMO: </w:t>
      </w:r>
      <w:r w:rsidR="00D53E9E" w:rsidRPr="00DA5A6A">
        <w:rPr>
          <w:rFonts w:ascii="Book Antiqua" w:eastAsia="Book Antiqua" w:hAnsi="Book Antiqua" w:cs="Book Antiqua"/>
          <w:color w:val="000000"/>
        </w:rPr>
        <w:t>European Society of Medical Oncology</w:t>
      </w:r>
      <w:r w:rsidR="001B1529" w:rsidRPr="00DA5A6A">
        <w:rPr>
          <w:rFonts w:ascii="Book Antiqua" w:hAnsi="Book Antiqua" w:cs="Arial"/>
          <w:kern w:val="24"/>
          <w:lang w:val="en-GB"/>
        </w:rPr>
        <w:t xml:space="preserve">; PFS: </w:t>
      </w:r>
      <w:r w:rsidR="00D53E9E" w:rsidRPr="00DA5A6A">
        <w:rPr>
          <w:rFonts w:ascii="Book Antiqua" w:eastAsia="Book Antiqua" w:hAnsi="Book Antiqua" w:cs="Book Antiqua"/>
          <w:color w:val="000000"/>
        </w:rPr>
        <w:t>Progression free survival</w:t>
      </w:r>
      <w:r w:rsidR="00E73B57" w:rsidRPr="00DA5A6A">
        <w:rPr>
          <w:rFonts w:ascii="Book Antiqua" w:hAnsi="Book Antiqua" w:cs="Arial"/>
          <w:kern w:val="24"/>
          <w:lang w:val="en-GB"/>
        </w:rPr>
        <w:t xml:space="preserve">; CPS: </w:t>
      </w:r>
      <w:r w:rsidR="00E73B57" w:rsidRPr="00DA5A6A">
        <w:rPr>
          <w:rFonts w:ascii="Book Antiqua" w:eastAsia="Book Antiqua" w:hAnsi="Book Antiqua" w:cs="Book Antiqua"/>
          <w:color w:val="000000"/>
        </w:rPr>
        <w:t>Combined positive score.</w:t>
      </w:r>
    </w:p>
    <w:p w14:paraId="16ECA20C" w14:textId="61D475F4" w:rsidR="00FA11F2" w:rsidRPr="00DA5A6A" w:rsidRDefault="00D937C6" w:rsidP="00DA5A6A">
      <w:pPr>
        <w:spacing w:line="360" w:lineRule="auto"/>
        <w:jc w:val="both"/>
        <w:rPr>
          <w:rFonts w:ascii="Book Antiqua" w:hAnsi="Book Antiqua" w:cs="Arial"/>
          <w:kern w:val="24"/>
          <w:lang w:val="en-GB"/>
        </w:rPr>
      </w:pPr>
      <w:r w:rsidRPr="00DA5A6A">
        <w:rPr>
          <w:rFonts w:ascii="Book Antiqua" w:hAnsi="Book Antiqua" w:cs="Arial"/>
          <w:b/>
          <w:bCs/>
        </w:rPr>
        <w:br w:type="page"/>
      </w:r>
      <w:r w:rsidRPr="00DA5A6A">
        <w:rPr>
          <w:rFonts w:ascii="Book Antiqua" w:hAnsi="Book Antiqua"/>
          <w:b/>
          <w:bCs/>
        </w:rPr>
        <w:lastRenderedPageBreak/>
        <w:t>Table 5</w:t>
      </w:r>
      <w:r w:rsidR="00DD1755" w:rsidRPr="00DA5A6A">
        <w:rPr>
          <w:rFonts w:ascii="Book Antiqua" w:hAnsi="Book Antiqua"/>
          <w:bCs/>
        </w:rPr>
        <w:t xml:space="preserve"> </w:t>
      </w:r>
      <w:r w:rsidRPr="00DA5A6A">
        <w:rPr>
          <w:rFonts w:ascii="Book Antiqua" w:hAnsi="Book Antiqua"/>
          <w:b/>
        </w:rPr>
        <w:t xml:space="preserve">Pivotal Phase III studies of </w:t>
      </w:r>
      <w:r w:rsidR="00DD1755" w:rsidRPr="00DA5A6A">
        <w:rPr>
          <w:rFonts w:ascii="Book Antiqua" w:eastAsia="Book Antiqua" w:hAnsi="Book Antiqua" w:cs="Book Antiqua"/>
          <w:b/>
          <w:bCs/>
          <w:color w:val="000000"/>
        </w:rPr>
        <w:t xml:space="preserve">poly </w:t>
      </w:r>
      <w:r w:rsidR="003B377F" w:rsidRPr="00DA5A6A">
        <w:rPr>
          <w:rFonts w:ascii="Book Antiqua" w:eastAsia="Book Antiqua" w:hAnsi="Book Antiqua" w:cs="Book Antiqua"/>
          <w:b/>
          <w:bCs/>
          <w:color w:val="000000"/>
        </w:rPr>
        <w:t>adenosine diphosphate</w:t>
      </w:r>
      <w:r w:rsidR="00DD1755" w:rsidRPr="00DA5A6A">
        <w:rPr>
          <w:rFonts w:ascii="Book Antiqua" w:eastAsia="Book Antiqua" w:hAnsi="Book Antiqua" w:cs="Book Antiqua"/>
          <w:b/>
          <w:bCs/>
          <w:color w:val="000000"/>
        </w:rPr>
        <w:t xml:space="preserve"> ribose polymerase</w:t>
      </w:r>
      <w:r w:rsidRPr="00DA5A6A">
        <w:rPr>
          <w:rFonts w:ascii="Book Antiqua" w:hAnsi="Book Antiqua"/>
          <w:b/>
          <w:bCs/>
        </w:rPr>
        <w:t xml:space="preserve"> </w:t>
      </w:r>
      <w:r w:rsidRPr="00DA5A6A">
        <w:rPr>
          <w:rFonts w:ascii="Book Antiqua" w:hAnsi="Book Antiqua"/>
          <w:b/>
        </w:rPr>
        <w:t xml:space="preserve">inhibitors in patients with germline </w:t>
      </w:r>
      <w:r w:rsidRPr="00DA5A6A">
        <w:rPr>
          <w:rFonts w:ascii="Book Antiqua" w:hAnsi="Book Antiqua"/>
          <w:b/>
          <w:i/>
        </w:rPr>
        <w:t>BRCA1/BRCA2</w:t>
      </w:r>
      <w:r w:rsidRPr="00DA5A6A">
        <w:rPr>
          <w:rFonts w:ascii="Book Antiqua" w:hAnsi="Book Antiqua"/>
          <w:b/>
        </w:rPr>
        <w:t xml:space="preserve"> mutations</w:t>
      </w:r>
    </w:p>
    <w:tbl>
      <w:tblPr>
        <w:tblStyle w:val="TableGrid"/>
        <w:tblW w:w="542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676"/>
        <w:gridCol w:w="1486"/>
        <w:gridCol w:w="1217"/>
        <w:gridCol w:w="1218"/>
        <w:gridCol w:w="1218"/>
        <w:gridCol w:w="1218"/>
        <w:gridCol w:w="1589"/>
      </w:tblGrid>
      <w:tr w:rsidR="000161E9" w:rsidRPr="00DA5A6A" w14:paraId="69F1D10B" w14:textId="77777777" w:rsidTr="0047552C">
        <w:tc>
          <w:tcPr>
            <w:tcW w:w="666" w:type="pct"/>
            <w:tcBorders>
              <w:top w:val="single" w:sz="4" w:space="0" w:color="auto"/>
              <w:bottom w:val="single" w:sz="4" w:space="0" w:color="auto"/>
            </w:tcBorders>
          </w:tcPr>
          <w:p w14:paraId="5F01794C" w14:textId="0785432F" w:rsidR="000161E9" w:rsidRPr="00DA5A6A" w:rsidRDefault="000161E9" w:rsidP="00DA5A6A">
            <w:pPr>
              <w:spacing w:line="360" w:lineRule="auto"/>
              <w:jc w:val="both"/>
              <w:rPr>
                <w:rFonts w:ascii="Book Antiqua" w:hAnsi="Book Antiqua" w:cs="Arial"/>
                <w:b/>
                <w:bCs/>
              </w:rPr>
            </w:pPr>
            <w:r w:rsidRPr="00DA5A6A">
              <w:rPr>
                <w:rFonts w:ascii="Book Antiqua" w:eastAsia="Times New Roman" w:hAnsi="Book Antiqua" w:cs="Arial"/>
                <w:b/>
                <w:bCs/>
                <w:kern w:val="24"/>
                <w:lang w:val="en-GB" w:eastAsia="en-IE"/>
              </w:rPr>
              <w:t>Trial</w:t>
            </w:r>
          </w:p>
        </w:tc>
        <w:tc>
          <w:tcPr>
            <w:tcW w:w="351" w:type="pct"/>
            <w:tcBorders>
              <w:top w:val="single" w:sz="4" w:space="0" w:color="auto"/>
              <w:bottom w:val="single" w:sz="4" w:space="0" w:color="auto"/>
            </w:tcBorders>
          </w:tcPr>
          <w:p w14:paraId="56973C30" w14:textId="2ED6C4D2" w:rsidR="000161E9" w:rsidRPr="00DA5A6A" w:rsidRDefault="00AF7118" w:rsidP="00DA5A6A">
            <w:pPr>
              <w:spacing w:line="360" w:lineRule="auto"/>
              <w:jc w:val="both"/>
              <w:rPr>
                <w:rFonts w:ascii="Book Antiqua" w:hAnsi="Book Antiqua" w:cs="Arial"/>
                <w:b/>
                <w:bCs/>
              </w:rPr>
            </w:pPr>
            <w:r w:rsidRPr="00DA5A6A">
              <w:rPr>
                <w:rFonts w:ascii="Book Antiqua" w:eastAsia="Times New Roman" w:hAnsi="Book Antiqua" w:cs="Arial"/>
                <w:b/>
                <w:bCs/>
                <w:i/>
                <w:iCs/>
                <w:kern w:val="24"/>
                <w:lang w:val="en-GB" w:eastAsia="en-IE"/>
              </w:rPr>
              <w:t>n</w:t>
            </w:r>
          </w:p>
        </w:tc>
        <w:tc>
          <w:tcPr>
            <w:tcW w:w="715" w:type="pct"/>
            <w:tcBorders>
              <w:top w:val="single" w:sz="4" w:space="0" w:color="auto"/>
              <w:bottom w:val="single" w:sz="4" w:space="0" w:color="auto"/>
            </w:tcBorders>
          </w:tcPr>
          <w:p w14:paraId="02ECE6A4" w14:textId="77768DB6" w:rsidR="000161E9" w:rsidRPr="00DA5A6A" w:rsidRDefault="000161E9" w:rsidP="00DA5A6A">
            <w:pPr>
              <w:spacing w:line="360" w:lineRule="auto"/>
              <w:jc w:val="both"/>
              <w:rPr>
                <w:rFonts w:ascii="Book Antiqua" w:hAnsi="Book Antiqua" w:cs="Arial"/>
                <w:b/>
                <w:bCs/>
              </w:rPr>
            </w:pPr>
            <w:r w:rsidRPr="00DA5A6A">
              <w:rPr>
                <w:rFonts w:ascii="Book Antiqua" w:eastAsia="Times New Roman" w:hAnsi="Book Antiqua" w:cs="Arial"/>
                <w:b/>
                <w:bCs/>
                <w:kern w:val="24"/>
                <w:lang w:val="en-GB" w:eastAsia="en-IE"/>
              </w:rPr>
              <w:t>Drug</w:t>
            </w:r>
          </w:p>
        </w:tc>
        <w:tc>
          <w:tcPr>
            <w:tcW w:w="617" w:type="pct"/>
            <w:tcBorders>
              <w:top w:val="single" w:sz="4" w:space="0" w:color="auto"/>
              <w:bottom w:val="single" w:sz="4" w:space="0" w:color="auto"/>
            </w:tcBorders>
          </w:tcPr>
          <w:p w14:paraId="5558D5F4" w14:textId="439AE36F" w:rsidR="000161E9" w:rsidRPr="00DA5A6A" w:rsidRDefault="000161E9" w:rsidP="003B58F7">
            <w:pPr>
              <w:spacing w:line="360" w:lineRule="auto"/>
              <w:jc w:val="both"/>
              <w:rPr>
                <w:rFonts w:ascii="Book Antiqua" w:eastAsia="Times New Roman" w:hAnsi="Book Antiqua" w:cs="Arial"/>
                <w:lang w:eastAsia="en-IE"/>
              </w:rPr>
            </w:pPr>
            <w:r w:rsidRPr="00DA5A6A">
              <w:rPr>
                <w:rFonts w:ascii="Book Antiqua" w:eastAsia="Times New Roman" w:hAnsi="Book Antiqua" w:cs="Arial"/>
                <w:b/>
                <w:bCs/>
                <w:kern w:val="24"/>
                <w:lang w:val="en-GB" w:eastAsia="en-IE"/>
              </w:rPr>
              <w:t>Median PFS (mo)</w:t>
            </w:r>
            <w:r w:rsidRPr="00DA5A6A">
              <w:rPr>
                <w:rFonts w:ascii="Book Antiqua" w:hAnsi="Book Antiqua" w:cs="Arial"/>
                <w:b/>
                <w:bCs/>
                <w:kern w:val="24"/>
                <w:lang w:val="en-GB" w:eastAsia="zh-CN"/>
              </w:rPr>
              <w:t xml:space="preserve"> </w:t>
            </w:r>
            <w:r w:rsidRPr="00DA5A6A">
              <w:rPr>
                <w:rFonts w:ascii="Book Antiqua" w:eastAsia="Times New Roman" w:hAnsi="Book Antiqua" w:cs="Arial"/>
                <w:b/>
                <w:bCs/>
                <w:kern w:val="24"/>
                <w:lang w:val="en-GB" w:eastAsia="en-IE"/>
              </w:rPr>
              <w:t>1</w:t>
            </w:r>
            <w:r w:rsidRPr="00DA5A6A">
              <w:rPr>
                <w:rFonts w:ascii="Book Antiqua" w:eastAsia="Times New Roman" w:hAnsi="Book Antiqua" w:cs="Arial"/>
                <w:b/>
                <w:bCs/>
                <w:kern w:val="24"/>
                <w:position w:val="7"/>
                <w:vertAlign w:val="superscript"/>
                <w:lang w:val="en-GB" w:eastAsia="en-IE"/>
              </w:rPr>
              <w:t>st</w:t>
            </w:r>
            <w:r w:rsidRPr="00DA5A6A">
              <w:rPr>
                <w:rFonts w:ascii="Book Antiqua" w:eastAsia="Times New Roman" w:hAnsi="Book Antiqua" w:cs="Arial"/>
                <w:b/>
                <w:bCs/>
                <w:kern w:val="24"/>
                <w:lang w:val="en-GB" w:eastAsia="en-IE"/>
              </w:rPr>
              <w:t xml:space="preserve"> line</w:t>
            </w:r>
          </w:p>
        </w:tc>
        <w:tc>
          <w:tcPr>
            <w:tcW w:w="617" w:type="pct"/>
            <w:tcBorders>
              <w:top w:val="single" w:sz="4" w:space="0" w:color="auto"/>
              <w:bottom w:val="single" w:sz="4" w:space="0" w:color="auto"/>
            </w:tcBorders>
          </w:tcPr>
          <w:p w14:paraId="4C14CA35" w14:textId="2813E262" w:rsidR="000161E9" w:rsidRPr="00DA5A6A" w:rsidRDefault="000161E9" w:rsidP="003B58F7">
            <w:pPr>
              <w:spacing w:line="360" w:lineRule="auto"/>
              <w:jc w:val="both"/>
              <w:rPr>
                <w:rFonts w:ascii="Book Antiqua" w:eastAsia="Times New Roman" w:hAnsi="Book Antiqua" w:cs="Arial"/>
                <w:lang w:eastAsia="en-IE"/>
              </w:rPr>
            </w:pPr>
            <w:r w:rsidRPr="00DA5A6A">
              <w:rPr>
                <w:rFonts w:ascii="Book Antiqua" w:eastAsia="Times New Roman" w:hAnsi="Book Antiqua" w:cs="Arial"/>
                <w:b/>
                <w:bCs/>
                <w:kern w:val="24"/>
                <w:lang w:val="en-GB" w:eastAsia="en-IE"/>
              </w:rPr>
              <w:t>Media PFS (mo)</w:t>
            </w:r>
            <w:r w:rsidRPr="00DA5A6A">
              <w:rPr>
                <w:rFonts w:ascii="Book Antiqua" w:hAnsi="Book Antiqua" w:cs="Arial"/>
                <w:b/>
                <w:bCs/>
                <w:kern w:val="24"/>
                <w:lang w:val="en-GB" w:eastAsia="zh-CN"/>
              </w:rPr>
              <w:t xml:space="preserve"> </w:t>
            </w:r>
            <w:r w:rsidRPr="00DA5A6A">
              <w:rPr>
                <w:rFonts w:ascii="Book Antiqua" w:eastAsia="Times New Roman" w:hAnsi="Book Antiqua" w:cs="Arial"/>
                <w:b/>
                <w:bCs/>
                <w:kern w:val="24"/>
                <w:lang w:val="en-GB" w:eastAsia="en-IE"/>
              </w:rPr>
              <w:t>≥ 1 line</w:t>
            </w:r>
          </w:p>
        </w:tc>
        <w:tc>
          <w:tcPr>
            <w:tcW w:w="617" w:type="pct"/>
            <w:tcBorders>
              <w:top w:val="single" w:sz="4" w:space="0" w:color="auto"/>
              <w:bottom w:val="single" w:sz="4" w:space="0" w:color="auto"/>
            </w:tcBorders>
          </w:tcPr>
          <w:p w14:paraId="549E388E" w14:textId="1DE080E7" w:rsidR="000161E9" w:rsidRPr="00DA5A6A" w:rsidRDefault="000161E9" w:rsidP="003B58F7">
            <w:pPr>
              <w:spacing w:line="360" w:lineRule="auto"/>
              <w:jc w:val="both"/>
              <w:rPr>
                <w:rFonts w:ascii="Book Antiqua" w:eastAsia="Times New Roman" w:hAnsi="Book Antiqua" w:cs="Arial"/>
                <w:lang w:eastAsia="en-IE"/>
              </w:rPr>
            </w:pPr>
            <w:r w:rsidRPr="00DA5A6A">
              <w:rPr>
                <w:rFonts w:ascii="Book Antiqua" w:eastAsia="Times New Roman" w:hAnsi="Book Antiqua" w:cs="Arial"/>
                <w:b/>
                <w:bCs/>
                <w:kern w:val="24"/>
                <w:lang w:val="en-GB" w:eastAsia="en-IE"/>
              </w:rPr>
              <w:t>Media OS (mo)</w:t>
            </w:r>
            <w:r w:rsidRPr="00DA5A6A">
              <w:rPr>
                <w:rFonts w:ascii="Book Antiqua" w:hAnsi="Book Antiqua" w:cs="Arial"/>
                <w:b/>
                <w:bCs/>
                <w:kern w:val="24"/>
                <w:lang w:val="en-GB" w:eastAsia="zh-CN"/>
              </w:rPr>
              <w:t xml:space="preserve"> </w:t>
            </w:r>
            <w:r w:rsidRPr="00DA5A6A">
              <w:rPr>
                <w:rFonts w:ascii="Book Antiqua" w:eastAsia="Times New Roman" w:hAnsi="Book Antiqua" w:cs="Arial"/>
                <w:b/>
                <w:bCs/>
                <w:kern w:val="24"/>
                <w:lang w:val="en-GB" w:eastAsia="en-IE"/>
              </w:rPr>
              <w:t>1</w:t>
            </w:r>
            <w:r w:rsidRPr="00DA5A6A">
              <w:rPr>
                <w:rFonts w:ascii="Book Antiqua" w:eastAsia="Times New Roman" w:hAnsi="Book Antiqua" w:cs="Arial"/>
                <w:b/>
                <w:bCs/>
                <w:kern w:val="24"/>
                <w:position w:val="7"/>
                <w:vertAlign w:val="superscript"/>
                <w:lang w:val="en-GB" w:eastAsia="en-IE"/>
              </w:rPr>
              <w:t>st</w:t>
            </w:r>
            <w:r w:rsidRPr="00DA5A6A">
              <w:rPr>
                <w:rFonts w:ascii="Book Antiqua" w:eastAsia="Times New Roman" w:hAnsi="Book Antiqua" w:cs="Arial"/>
                <w:b/>
                <w:bCs/>
                <w:kern w:val="24"/>
                <w:lang w:val="en-GB" w:eastAsia="en-IE"/>
              </w:rPr>
              <w:t xml:space="preserve"> line</w:t>
            </w:r>
          </w:p>
        </w:tc>
        <w:tc>
          <w:tcPr>
            <w:tcW w:w="617" w:type="pct"/>
            <w:tcBorders>
              <w:top w:val="single" w:sz="4" w:space="0" w:color="auto"/>
              <w:bottom w:val="single" w:sz="4" w:space="0" w:color="auto"/>
            </w:tcBorders>
          </w:tcPr>
          <w:p w14:paraId="54EC8F9A" w14:textId="48BDD357" w:rsidR="000161E9" w:rsidRPr="00BC597D" w:rsidRDefault="000161E9" w:rsidP="003B58F7">
            <w:pPr>
              <w:spacing w:line="360" w:lineRule="auto"/>
              <w:jc w:val="both"/>
              <w:rPr>
                <w:rFonts w:ascii="Book Antiqua" w:eastAsia="Times New Roman" w:hAnsi="Book Antiqua" w:cs="Arial"/>
                <w:lang w:val="pt-BR" w:eastAsia="en-IE"/>
              </w:rPr>
            </w:pPr>
            <w:r w:rsidRPr="00BC597D">
              <w:rPr>
                <w:rFonts w:ascii="Book Antiqua" w:eastAsia="Times New Roman" w:hAnsi="Book Antiqua" w:cs="Arial"/>
                <w:b/>
                <w:bCs/>
                <w:kern w:val="24"/>
                <w:lang w:val="pt-BR" w:eastAsia="en-IE"/>
              </w:rPr>
              <w:t>Media OS (mo)</w:t>
            </w:r>
            <w:r w:rsidRPr="00BC597D">
              <w:rPr>
                <w:rFonts w:ascii="Book Antiqua" w:hAnsi="Book Antiqua" w:cs="Arial"/>
                <w:b/>
                <w:bCs/>
                <w:kern w:val="24"/>
                <w:lang w:val="pt-BR" w:eastAsia="zh-CN"/>
              </w:rPr>
              <w:t xml:space="preserve"> </w:t>
            </w:r>
            <w:r w:rsidRPr="00BC597D">
              <w:rPr>
                <w:rFonts w:ascii="Book Antiqua" w:eastAsia="Times New Roman" w:hAnsi="Book Antiqua" w:cs="Arial"/>
                <w:b/>
                <w:bCs/>
                <w:kern w:val="24"/>
                <w:lang w:val="pt-BR" w:eastAsia="en-IE"/>
              </w:rPr>
              <w:t>≥ 1 line</w:t>
            </w:r>
          </w:p>
        </w:tc>
        <w:tc>
          <w:tcPr>
            <w:tcW w:w="800" w:type="pct"/>
            <w:tcBorders>
              <w:top w:val="single" w:sz="4" w:space="0" w:color="auto"/>
              <w:bottom w:val="single" w:sz="4" w:space="0" w:color="auto"/>
            </w:tcBorders>
          </w:tcPr>
          <w:p w14:paraId="124DF5FE" w14:textId="6FD63762" w:rsidR="000161E9" w:rsidRPr="00DA5A6A" w:rsidRDefault="000161E9" w:rsidP="00DA5A6A">
            <w:pPr>
              <w:spacing w:line="360" w:lineRule="auto"/>
              <w:jc w:val="both"/>
              <w:rPr>
                <w:rFonts w:ascii="Book Antiqua" w:hAnsi="Book Antiqua" w:cs="Arial"/>
                <w:b/>
                <w:bCs/>
              </w:rPr>
            </w:pPr>
            <w:r w:rsidRPr="00DA5A6A">
              <w:rPr>
                <w:rFonts w:ascii="Book Antiqua" w:eastAsia="Times New Roman" w:hAnsi="Book Antiqua" w:cs="Arial"/>
                <w:b/>
                <w:bCs/>
                <w:kern w:val="24"/>
                <w:lang w:val="en-GB" w:eastAsia="en-IE"/>
              </w:rPr>
              <w:t>Ref.</w:t>
            </w:r>
          </w:p>
        </w:tc>
      </w:tr>
      <w:tr w:rsidR="00D937C6" w:rsidRPr="00DA5A6A" w14:paraId="26840FFC" w14:textId="77777777" w:rsidTr="0047552C">
        <w:tc>
          <w:tcPr>
            <w:tcW w:w="666" w:type="pct"/>
            <w:tcBorders>
              <w:top w:val="single" w:sz="4" w:space="0" w:color="auto"/>
            </w:tcBorders>
          </w:tcPr>
          <w:p w14:paraId="3EBC7EC0" w14:textId="53FDC28A" w:rsidR="00D937C6" w:rsidRPr="00DA5A6A" w:rsidRDefault="00D937C6" w:rsidP="00DA5A6A">
            <w:pPr>
              <w:spacing w:line="360" w:lineRule="auto"/>
              <w:jc w:val="both"/>
              <w:rPr>
                <w:rFonts w:ascii="Book Antiqua" w:hAnsi="Book Antiqua" w:cs="Arial"/>
                <w:b/>
                <w:bCs/>
              </w:rPr>
            </w:pPr>
            <w:r w:rsidRPr="00DA5A6A">
              <w:rPr>
                <w:rFonts w:ascii="Book Antiqua" w:eastAsia="Times New Roman" w:hAnsi="Book Antiqua" w:cs="Arial"/>
                <w:kern w:val="24"/>
                <w:lang w:eastAsia="en-IE"/>
              </w:rPr>
              <w:t>OLYMPIAD</w:t>
            </w:r>
          </w:p>
        </w:tc>
        <w:tc>
          <w:tcPr>
            <w:tcW w:w="351" w:type="pct"/>
            <w:tcBorders>
              <w:top w:val="single" w:sz="4" w:space="0" w:color="auto"/>
            </w:tcBorders>
          </w:tcPr>
          <w:p w14:paraId="605750E8" w14:textId="491CFF46" w:rsidR="00D937C6" w:rsidRPr="00DA5A6A" w:rsidRDefault="00D937C6"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296</w:t>
            </w:r>
          </w:p>
        </w:tc>
        <w:tc>
          <w:tcPr>
            <w:tcW w:w="715" w:type="pct"/>
            <w:tcBorders>
              <w:top w:val="single" w:sz="4" w:space="0" w:color="auto"/>
            </w:tcBorders>
          </w:tcPr>
          <w:p w14:paraId="10C7C739" w14:textId="787A03C8" w:rsidR="00D937C6" w:rsidRPr="00DA5A6A" w:rsidRDefault="00D937C6"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Olaparib</w:t>
            </w:r>
          </w:p>
        </w:tc>
        <w:tc>
          <w:tcPr>
            <w:tcW w:w="617" w:type="pct"/>
            <w:tcBorders>
              <w:top w:val="single" w:sz="4" w:space="0" w:color="auto"/>
            </w:tcBorders>
          </w:tcPr>
          <w:p w14:paraId="5B32A19C" w14:textId="77777777" w:rsidR="00D937C6" w:rsidRPr="00DA5A6A" w:rsidRDefault="00D937C6" w:rsidP="00DA5A6A">
            <w:pPr>
              <w:spacing w:line="360" w:lineRule="auto"/>
              <w:jc w:val="both"/>
              <w:rPr>
                <w:rFonts w:ascii="Book Antiqua" w:hAnsi="Book Antiqua" w:cs="Arial"/>
                <w:b/>
                <w:bCs/>
              </w:rPr>
            </w:pPr>
          </w:p>
        </w:tc>
        <w:tc>
          <w:tcPr>
            <w:tcW w:w="617" w:type="pct"/>
            <w:tcBorders>
              <w:top w:val="single" w:sz="4" w:space="0" w:color="auto"/>
            </w:tcBorders>
          </w:tcPr>
          <w:p w14:paraId="406EB796" w14:textId="7BF00A4F" w:rsidR="00D937C6" w:rsidRPr="00DA5A6A" w:rsidRDefault="00D937C6"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7.3</w:t>
            </w:r>
          </w:p>
        </w:tc>
        <w:tc>
          <w:tcPr>
            <w:tcW w:w="617" w:type="pct"/>
            <w:tcBorders>
              <w:top w:val="single" w:sz="4" w:space="0" w:color="auto"/>
            </w:tcBorders>
          </w:tcPr>
          <w:p w14:paraId="7285CE21" w14:textId="77777777" w:rsidR="00D937C6" w:rsidRPr="00DA5A6A" w:rsidRDefault="00D937C6" w:rsidP="00DA5A6A">
            <w:pPr>
              <w:spacing w:line="360" w:lineRule="auto"/>
              <w:jc w:val="both"/>
              <w:rPr>
                <w:rFonts w:ascii="Book Antiqua" w:hAnsi="Book Antiqua" w:cs="Arial"/>
                <w:b/>
                <w:bCs/>
              </w:rPr>
            </w:pPr>
          </w:p>
        </w:tc>
        <w:tc>
          <w:tcPr>
            <w:tcW w:w="617" w:type="pct"/>
            <w:tcBorders>
              <w:top w:val="single" w:sz="4" w:space="0" w:color="auto"/>
            </w:tcBorders>
          </w:tcPr>
          <w:p w14:paraId="1241C3A0" w14:textId="42C8863D" w:rsidR="00D937C6" w:rsidRPr="00DA5A6A" w:rsidRDefault="00D937C6"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19.3</w:t>
            </w:r>
          </w:p>
        </w:tc>
        <w:tc>
          <w:tcPr>
            <w:tcW w:w="800" w:type="pct"/>
            <w:tcBorders>
              <w:top w:val="single" w:sz="4" w:space="0" w:color="auto"/>
            </w:tcBorders>
          </w:tcPr>
          <w:p w14:paraId="7FFA7982" w14:textId="4F4D8CBF" w:rsidR="00D937C6" w:rsidRPr="00DA5A6A" w:rsidRDefault="00D937C6" w:rsidP="00C80100">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 xml:space="preserve">Robson </w:t>
            </w:r>
            <w:r w:rsidRPr="00DA5A6A">
              <w:rPr>
                <w:rFonts w:ascii="Book Antiqua" w:eastAsia="Times New Roman" w:hAnsi="Book Antiqua" w:cs="Arial"/>
                <w:i/>
                <w:iCs/>
                <w:kern w:val="24"/>
                <w:lang w:val="en-GB" w:eastAsia="en-IE"/>
              </w:rPr>
              <w:t>et al</w:t>
            </w:r>
            <w:r w:rsidR="0075235F" w:rsidRPr="00DA5A6A">
              <w:rPr>
                <w:rFonts w:ascii="Book Antiqua" w:eastAsia="Times New Roman" w:hAnsi="Book Antiqua" w:cs="Arial"/>
                <w:kern w:val="24"/>
                <w:vertAlign w:val="superscript"/>
                <w:lang w:val="en-GB" w:eastAsia="en-IE"/>
              </w:rPr>
              <w:t>[67]</w:t>
            </w:r>
            <w:r w:rsidRPr="00DA5A6A">
              <w:rPr>
                <w:rFonts w:ascii="Book Antiqua" w:eastAsia="Times New Roman" w:hAnsi="Book Antiqua" w:cs="Arial"/>
                <w:kern w:val="24"/>
                <w:lang w:val="en-GB" w:eastAsia="en-IE"/>
              </w:rPr>
              <w:t>, 2017</w:t>
            </w:r>
          </w:p>
        </w:tc>
      </w:tr>
      <w:tr w:rsidR="00D937C6" w:rsidRPr="00DA5A6A" w14:paraId="6B864F03" w14:textId="77777777" w:rsidTr="0047552C">
        <w:tc>
          <w:tcPr>
            <w:tcW w:w="666" w:type="pct"/>
          </w:tcPr>
          <w:p w14:paraId="759D241E" w14:textId="2ACF85A8" w:rsidR="00D937C6" w:rsidRPr="00DA5A6A" w:rsidRDefault="00D937C6" w:rsidP="00DA5A6A">
            <w:pPr>
              <w:spacing w:line="360" w:lineRule="auto"/>
              <w:jc w:val="both"/>
              <w:rPr>
                <w:rFonts w:ascii="Book Antiqua" w:hAnsi="Book Antiqua" w:cs="Arial"/>
                <w:b/>
                <w:bCs/>
              </w:rPr>
            </w:pPr>
            <w:r w:rsidRPr="00DA5A6A">
              <w:rPr>
                <w:rFonts w:ascii="Book Antiqua" w:eastAsia="Times New Roman" w:hAnsi="Book Antiqua" w:cs="Arial"/>
                <w:lang w:eastAsia="en-IE"/>
              </w:rPr>
              <w:t>EMBRCA</w:t>
            </w:r>
          </w:p>
        </w:tc>
        <w:tc>
          <w:tcPr>
            <w:tcW w:w="351" w:type="pct"/>
          </w:tcPr>
          <w:p w14:paraId="287F8457" w14:textId="76473E18" w:rsidR="00D937C6" w:rsidRPr="00DA5A6A" w:rsidRDefault="00D937C6"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431</w:t>
            </w:r>
          </w:p>
        </w:tc>
        <w:tc>
          <w:tcPr>
            <w:tcW w:w="715" w:type="pct"/>
          </w:tcPr>
          <w:p w14:paraId="3F04D7BF" w14:textId="2626042C" w:rsidR="00D937C6" w:rsidRPr="00DA5A6A" w:rsidRDefault="00D937C6"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Talazoparib</w:t>
            </w:r>
          </w:p>
        </w:tc>
        <w:tc>
          <w:tcPr>
            <w:tcW w:w="617" w:type="pct"/>
          </w:tcPr>
          <w:p w14:paraId="37D58192" w14:textId="77777777" w:rsidR="00D937C6" w:rsidRPr="00DA5A6A" w:rsidRDefault="00D937C6" w:rsidP="00DA5A6A">
            <w:pPr>
              <w:spacing w:line="360" w:lineRule="auto"/>
              <w:jc w:val="both"/>
              <w:rPr>
                <w:rFonts w:ascii="Book Antiqua" w:hAnsi="Book Antiqua" w:cs="Arial"/>
                <w:b/>
                <w:bCs/>
              </w:rPr>
            </w:pPr>
          </w:p>
        </w:tc>
        <w:tc>
          <w:tcPr>
            <w:tcW w:w="617" w:type="pct"/>
          </w:tcPr>
          <w:p w14:paraId="14D886F2" w14:textId="1B7AE3BA" w:rsidR="00D937C6" w:rsidRPr="00DA5A6A" w:rsidRDefault="00D937C6"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8.6</w:t>
            </w:r>
          </w:p>
        </w:tc>
        <w:tc>
          <w:tcPr>
            <w:tcW w:w="617" w:type="pct"/>
          </w:tcPr>
          <w:p w14:paraId="51BDC1A3" w14:textId="77777777" w:rsidR="00D937C6" w:rsidRPr="00DA5A6A" w:rsidRDefault="00D937C6" w:rsidP="00DA5A6A">
            <w:pPr>
              <w:spacing w:line="360" w:lineRule="auto"/>
              <w:jc w:val="both"/>
              <w:rPr>
                <w:rFonts w:ascii="Book Antiqua" w:hAnsi="Book Antiqua" w:cs="Arial"/>
                <w:b/>
                <w:bCs/>
              </w:rPr>
            </w:pPr>
          </w:p>
        </w:tc>
        <w:tc>
          <w:tcPr>
            <w:tcW w:w="617" w:type="pct"/>
          </w:tcPr>
          <w:p w14:paraId="77BA6E3E" w14:textId="547F24F2" w:rsidR="00D937C6" w:rsidRPr="00DA5A6A" w:rsidRDefault="00D937C6" w:rsidP="00DA5A6A">
            <w:pPr>
              <w:spacing w:line="360" w:lineRule="auto"/>
              <w:jc w:val="both"/>
              <w:rPr>
                <w:rFonts w:ascii="Book Antiqua" w:hAnsi="Book Antiqua" w:cs="Arial"/>
                <w:b/>
                <w:bCs/>
              </w:rPr>
            </w:pPr>
            <w:r w:rsidRPr="00DA5A6A">
              <w:rPr>
                <w:rFonts w:ascii="Book Antiqua" w:eastAsia="Times New Roman" w:hAnsi="Book Antiqua" w:cs="Arial"/>
                <w:lang w:eastAsia="en-IE"/>
              </w:rPr>
              <w:t>19.6</w:t>
            </w:r>
          </w:p>
        </w:tc>
        <w:tc>
          <w:tcPr>
            <w:tcW w:w="800" w:type="pct"/>
          </w:tcPr>
          <w:p w14:paraId="46242D2B" w14:textId="6D1D62C9" w:rsidR="00D937C6" w:rsidRPr="00DA5A6A" w:rsidRDefault="00E65101" w:rsidP="00C80100">
            <w:pPr>
              <w:spacing w:line="360" w:lineRule="auto"/>
              <w:jc w:val="both"/>
              <w:rPr>
                <w:rFonts w:ascii="Book Antiqua" w:hAnsi="Book Antiqua" w:cs="Arial"/>
                <w:b/>
                <w:bCs/>
              </w:rPr>
            </w:pPr>
            <w:r w:rsidRPr="00DA5A6A">
              <w:rPr>
                <w:rFonts w:ascii="Book Antiqua" w:eastAsia="Book Antiqua" w:hAnsi="Book Antiqua" w:cs="Book Antiqua"/>
                <w:color w:val="000000"/>
              </w:rPr>
              <w:t>Litton</w:t>
            </w:r>
            <w:r w:rsidR="00D937C6" w:rsidRPr="00DA5A6A">
              <w:rPr>
                <w:rFonts w:ascii="Book Antiqua" w:eastAsia="Times New Roman" w:hAnsi="Book Antiqua" w:cs="Arial"/>
                <w:kern w:val="24"/>
                <w:lang w:val="en-GB" w:eastAsia="en-IE"/>
              </w:rPr>
              <w:t xml:space="preserve"> </w:t>
            </w:r>
            <w:r w:rsidR="00D937C6" w:rsidRPr="00DA5A6A">
              <w:rPr>
                <w:rFonts w:ascii="Book Antiqua" w:eastAsia="Times New Roman" w:hAnsi="Book Antiqua" w:cs="Arial"/>
                <w:i/>
                <w:iCs/>
                <w:kern w:val="24"/>
                <w:lang w:val="en-GB" w:eastAsia="en-IE"/>
              </w:rPr>
              <w:t>et al</w:t>
            </w:r>
            <w:r w:rsidRPr="00DA5A6A">
              <w:rPr>
                <w:rFonts w:ascii="Book Antiqua" w:eastAsia="Times New Roman" w:hAnsi="Book Antiqua" w:cs="Arial"/>
                <w:kern w:val="24"/>
                <w:vertAlign w:val="superscript"/>
                <w:lang w:val="en-GB" w:eastAsia="en-IE"/>
              </w:rPr>
              <w:t>[69]</w:t>
            </w:r>
            <w:r w:rsidR="00710683" w:rsidRPr="00DA5A6A">
              <w:rPr>
                <w:rFonts w:ascii="Book Antiqua" w:eastAsia="Times New Roman" w:hAnsi="Book Antiqua" w:cs="Arial"/>
                <w:kern w:val="24"/>
                <w:lang w:val="en-GB" w:eastAsia="en-IE"/>
              </w:rPr>
              <w:t>,</w:t>
            </w:r>
            <w:r w:rsidR="00D937C6" w:rsidRPr="00DA5A6A">
              <w:rPr>
                <w:rFonts w:ascii="Book Antiqua" w:eastAsia="Times New Roman" w:hAnsi="Book Antiqua" w:cs="Arial"/>
                <w:kern w:val="24"/>
                <w:lang w:val="en-GB" w:eastAsia="en-IE"/>
              </w:rPr>
              <w:t xml:space="preserve"> 2020</w:t>
            </w:r>
          </w:p>
        </w:tc>
      </w:tr>
      <w:tr w:rsidR="00D937C6" w:rsidRPr="00DA5A6A" w14:paraId="5FA07DD5" w14:textId="77777777" w:rsidTr="0047552C">
        <w:tc>
          <w:tcPr>
            <w:tcW w:w="666" w:type="pct"/>
          </w:tcPr>
          <w:p w14:paraId="2B167B31" w14:textId="57B0CB0B" w:rsidR="00D937C6" w:rsidRPr="00DA5A6A" w:rsidRDefault="00D937C6"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BROCADE3 (1</w:t>
            </w:r>
            <w:r w:rsidRPr="00DA5A6A">
              <w:rPr>
                <w:rFonts w:ascii="Book Antiqua" w:eastAsia="Times New Roman" w:hAnsi="Book Antiqua" w:cs="Arial"/>
                <w:kern w:val="24"/>
                <w:vertAlign w:val="superscript"/>
                <w:lang w:val="en-GB" w:eastAsia="en-IE"/>
              </w:rPr>
              <w:t>st</w:t>
            </w:r>
            <w:r w:rsidRPr="00DA5A6A">
              <w:rPr>
                <w:rFonts w:ascii="Book Antiqua" w:eastAsia="Times New Roman" w:hAnsi="Book Antiqua" w:cs="Arial"/>
                <w:kern w:val="24"/>
                <w:lang w:val="en-GB" w:eastAsia="en-IE"/>
              </w:rPr>
              <w:t xml:space="preserve"> line)</w:t>
            </w:r>
          </w:p>
        </w:tc>
        <w:tc>
          <w:tcPr>
            <w:tcW w:w="351" w:type="pct"/>
          </w:tcPr>
          <w:p w14:paraId="1880DE3F" w14:textId="346A46A1" w:rsidR="00D937C6" w:rsidRPr="00DA5A6A" w:rsidRDefault="00D937C6"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337</w:t>
            </w:r>
          </w:p>
        </w:tc>
        <w:tc>
          <w:tcPr>
            <w:tcW w:w="715" w:type="pct"/>
          </w:tcPr>
          <w:p w14:paraId="22DAC964" w14:textId="6C245BF6" w:rsidR="00D937C6" w:rsidRPr="00DA5A6A" w:rsidRDefault="00D937C6"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Veliparib</w:t>
            </w:r>
          </w:p>
        </w:tc>
        <w:tc>
          <w:tcPr>
            <w:tcW w:w="617" w:type="pct"/>
          </w:tcPr>
          <w:p w14:paraId="3E6CC523" w14:textId="49E8E587" w:rsidR="00D937C6" w:rsidRPr="00DA5A6A" w:rsidRDefault="00D937C6" w:rsidP="00DA5A6A">
            <w:pPr>
              <w:spacing w:line="360" w:lineRule="auto"/>
              <w:jc w:val="both"/>
              <w:rPr>
                <w:rFonts w:ascii="Book Antiqua" w:hAnsi="Book Antiqua" w:cs="Arial"/>
                <w:b/>
                <w:bCs/>
              </w:rPr>
            </w:pPr>
            <w:r w:rsidRPr="00DA5A6A">
              <w:rPr>
                <w:rFonts w:ascii="Book Antiqua" w:eastAsia="Times New Roman" w:hAnsi="Book Antiqua" w:cs="Arial"/>
                <w:lang w:eastAsia="en-IE"/>
              </w:rPr>
              <w:t>14.5</w:t>
            </w:r>
          </w:p>
        </w:tc>
        <w:tc>
          <w:tcPr>
            <w:tcW w:w="617" w:type="pct"/>
          </w:tcPr>
          <w:p w14:paraId="6DD3B850" w14:textId="77777777" w:rsidR="00D937C6" w:rsidRPr="00DA5A6A" w:rsidRDefault="00D937C6" w:rsidP="00DA5A6A">
            <w:pPr>
              <w:spacing w:line="360" w:lineRule="auto"/>
              <w:jc w:val="both"/>
              <w:rPr>
                <w:rFonts w:ascii="Book Antiqua" w:hAnsi="Book Antiqua" w:cs="Arial"/>
                <w:b/>
                <w:bCs/>
              </w:rPr>
            </w:pPr>
          </w:p>
        </w:tc>
        <w:tc>
          <w:tcPr>
            <w:tcW w:w="617" w:type="pct"/>
          </w:tcPr>
          <w:p w14:paraId="6E52C4C7" w14:textId="06BA3AF2" w:rsidR="00D937C6" w:rsidRPr="00DA5A6A" w:rsidRDefault="00D937C6" w:rsidP="00DA5A6A">
            <w:pPr>
              <w:spacing w:line="360" w:lineRule="auto"/>
              <w:jc w:val="both"/>
              <w:rPr>
                <w:rFonts w:ascii="Book Antiqua" w:hAnsi="Book Antiqua" w:cs="Arial"/>
                <w:b/>
                <w:bCs/>
              </w:rPr>
            </w:pPr>
            <w:r w:rsidRPr="00DA5A6A">
              <w:rPr>
                <w:rFonts w:ascii="Book Antiqua" w:eastAsia="Times New Roman" w:hAnsi="Book Antiqua" w:cs="Arial"/>
                <w:lang w:eastAsia="en-IE"/>
              </w:rPr>
              <w:t>33.5</w:t>
            </w:r>
          </w:p>
        </w:tc>
        <w:tc>
          <w:tcPr>
            <w:tcW w:w="617" w:type="pct"/>
          </w:tcPr>
          <w:p w14:paraId="7853FFE6" w14:textId="77777777" w:rsidR="00D937C6" w:rsidRPr="00DA5A6A" w:rsidRDefault="00D937C6" w:rsidP="00DA5A6A">
            <w:pPr>
              <w:spacing w:line="360" w:lineRule="auto"/>
              <w:jc w:val="both"/>
              <w:rPr>
                <w:rFonts w:ascii="Book Antiqua" w:hAnsi="Book Antiqua" w:cs="Arial"/>
                <w:b/>
                <w:bCs/>
              </w:rPr>
            </w:pPr>
          </w:p>
        </w:tc>
        <w:tc>
          <w:tcPr>
            <w:tcW w:w="800" w:type="pct"/>
          </w:tcPr>
          <w:p w14:paraId="498D1344" w14:textId="1B63AC56" w:rsidR="00D937C6" w:rsidRPr="00DA5A6A" w:rsidRDefault="00987202" w:rsidP="00C80100">
            <w:pPr>
              <w:spacing w:line="360" w:lineRule="auto"/>
              <w:jc w:val="both"/>
              <w:rPr>
                <w:rFonts w:ascii="Book Antiqua" w:hAnsi="Book Antiqua" w:cs="Arial"/>
                <w:b/>
                <w:bCs/>
              </w:rPr>
            </w:pPr>
            <w:r w:rsidRPr="00DA5A6A">
              <w:rPr>
                <w:rFonts w:ascii="Book Antiqua" w:eastAsia="Book Antiqua" w:hAnsi="Book Antiqua" w:cs="Book Antiqua"/>
                <w:color w:val="000000"/>
              </w:rPr>
              <w:t>Bardia</w:t>
            </w:r>
            <w:r w:rsidR="00D937C6" w:rsidRPr="00DA5A6A">
              <w:rPr>
                <w:rFonts w:ascii="Book Antiqua" w:eastAsia="Times New Roman" w:hAnsi="Book Antiqua" w:cs="Arial"/>
                <w:kern w:val="24"/>
                <w:lang w:val="en-GB" w:eastAsia="en-IE"/>
              </w:rPr>
              <w:t xml:space="preserve"> </w:t>
            </w:r>
            <w:r w:rsidR="00D937C6" w:rsidRPr="00DA5A6A">
              <w:rPr>
                <w:rFonts w:ascii="Book Antiqua" w:eastAsia="Times New Roman" w:hAnsi="Book Antiqua" w:cs="Arial"/>
                <w:i/>
                <w:iCs/>
                <w:kern w:val="24"/>
                <w:lang w:val="en-GB" w:eastAsia="en-IE"/>
              </w:rPr>
              <w:t>et al</w:t>
            </w:r>
            <w:r w:rsidRPr="00DA5A6A">
              <w:rPr>
                <w:rFonts w:ascii="Book Antiqua" w:eastAsia="Times New Roman" w:hAnsi="Book Antiqua" w:cs="Arial"/>
                <w:kern w:val="24"/>
                <w:vertAlign w:val="superscript"/>
                <w:lang w:val="en-GB" w:eastAsia="en-IE"/>
              </w:rPr>
              <w:t>[77]</w:t>
            </w:r>
            <w:r w:rsidRPr="00DA5A6A">
              <w:rPr>
                <w:rFonts w:ascii="Book Antiqua" w:eastAsia="Times New Roman" w:hAnsi="Book Antiqua" w:cs="Arial"/>
                <w:kern w:val="24"/>
                <w:lang w:val="en-GB" w:eastAsia="en-IE"/>
              </w:rPr>
              <w:t>,</w:t>
            </w:r>
            <w:r w:rsidR="00D937C6" w:rsidRPr="00DA5A6A">
              <w:rPr>
                <w:rFonts w:ascii="Book Antiqua" w:eastAsia="Times New Roman" w:hAnsi="Book Antiqua" w:cs="Arial"/>
                <w:kern w:val="24"/>
                <w:lang w:val="en-GB" w:eastAsia="en-IE"/>
              </w:rPr>
              <w:t xml:space="preserve"> 2020</w:t>
            </w:r>
          </w:p>
        </w:tc>
      </w:tr>
    </w:tbl>
    <w:p w14:paraId="20ACD216" w14:textId="44C640E4" w:rsidR="009B7EF2" w:rsidRPr="00DA5A6A" w:rsidRDefault="00987202"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 xml:space="preserve">PFS: </w:t>
      </w:r>
      <w:r w:rsidRPr="00DA5A6A">
        <w:rPr>
          <w:rFonts w:ascii="Book Antiqua" w:eastAsia="Book Antiqua" w:hAnsi="Book Antiqua" w:cs="Book Antiqua"/>
          <w:color w:val="000000"/>
        </w:rPr>
        <w:t>Progression free survival; OS: Overall survival.</w:t>
      </w:r>
    </w:p>
    <w:p w14:paraId="26FFC774" w14:textId="30D03F0F" w:rsidR="009B7EF2" w:rsidRPr="00DA5A6A" w:rsidRDefault="009B7EF2" w:rsidP="00DA5A6A">
      <w:pPr>
        <w:spacing w:line="360" w:lineRule="auto"/>
        <w:jc w:val="both"/>
        <w:rPr>
          <w:rFonts w:ascii="Book Antiqua" w:hAnsi="Book Antiqua"/>
          <w:b/>
          <w:bCs/>
        </w:rPr>
      </w:pPr>
      <w:r w:rsidRPr="00DA5A6A">
        <w:rPr>
          <w:rFonts w:ascii="Book Antiqua" w:hAnsi="Book Antiqua" w:cs="Arial"/>
          <w:b/>
          <w:bCs/>
        </w:rPr>
        <w:br w:type="page"/>
      </w:r>
      <w:r w:rsidRPr="00DA5A6A">
        <w:rPr>
          <w:rFonts w:ascii="Book Antiqua" w:hAnsi="Book Antiqua"/>
          <w:b/>
        </w:rPr>
        <w:lastRenderedPageBreak/>
        <w:t>Table 6</w:t>
      </w:r>
      <w:r w:rsidRPr="00DA5A6A">
        <w:rPr>
          <w:rFonts w:ascii="Book Antiqua" w:hAnsi="Book Antiqua"/>
          <w:b/>
          <w:bCs/>
        </w:rPr>
        <w:t xml:space="preserve"> Key </w:t>
      </w:r>
      <w:r w:rsidR="003275F5" w:rsidRPr="00DA5A6A">
        <w:rPr>
          <w:rFonts w:ascii="Book Antiqua" w:hAnsi="Book Antiqua"/>
          <w:b/>
          <w:bCs/>
        </w:rPr>
        <w:t>p</w:t>
      </w:r>
      <w:r w:rsidRPr="00DA5A6A">
        <w:rPr>
          <w:rFonts w:ascii="Book Antiqua" w:hAnsi="Book Antiqua"/>
          <w:b/>
          <w:bCs/>
        </w:rPr>
        <w:t>hase I/II/III involving antibody drug conjugates and targeted therapies</w:t>
      </w:r>
    </w:p>
    <w:tbl>
      <w:tblPr>
        <w:tblStyle w:val="TableGrid"/>
        <w:tblW w:w="5635" w:type="pct"/>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3"/>
        <w:gridCol w:w="693"/>
        <w:gridCol w:w="1803"/>
        <w:gridCol w:w="1084"/>
        <w:gridCol w:w="747"/>
        <w:gridCol w:w="865"/>
        <w:gridCol w:w="1044"/>
        <w:gridCol w:w="892"/>
        <w:gridCol w:w="1618"/>
      </w:tblGrid>
      <w:tr w:rsidR="007C2BB6" w:rsidRPr="00DA5A6A" w14:paraId="0A1E8CD8" w14:textId="77777777" w:rsidTr="00F3612F">
        <w:tc>
          <w:tcPr>
            <w:tcW w:w="854" w:type="pct"/>
            <w:tcBorders>
              <w:top w:val="single" w:sz="4" w:space="0" w:color="auto"/>
              <w:bottom w:val="single" w:sz="4" w:space="0" w:color="auto"/>
            </w:tcBorders>
          </w:tcPr>
          <w:p w14:paraId="35E766BF" w14:textId="2F9A280A"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b/>
                <w:bCs/>
                <w:kern w:val="24"/>
                <w:lang w:val="en-GB" w:eastAsia="en-IE"/>
              </w:rPr>
              <w:t>T</w:t>
            </w:r>
            <w:r w:rsidR="007C2BB6" w:rsidRPr="00DA5A6A">
              <w:rPr>
                <w:rFonts w:ascii="Book Antiqua" w:eastAsia="Times New Roman" w:hAnsi="Book Antiqua" w:cs="Arial"/>
                <w:b/>
                <w:bCs/>
                <w:kern w:val="24"/>
                <w:lang w:val="en-GB" w:eastAsia="en-IE"/>
              </w:rPr>
              <w:t>rial</w:t>
            </w:r>
          </w:p>
        </w:tc>
        <w:tc>
          <w:tcPr>
            <w:tcW w:w="328" w:type="pct"/>
            <w:tcBorders>
              <w:top w:val="single" w:sz="4" w:space="0" w:color="auto"/>
              <w:bottom w:val="single" w:sz="4" w:space="0" w:color="auto"/>
            </w:tcBorders>
          </w:tcPr>
          <w:p w14:paraId="095D7AF1" w14:textId="7E490367" w:rsidR="009B7EF2" w:rsidRPr="00DA5A6A" w:rsidRDefault="00132059" w:rsidP="00DA5A6A">
            <w:pPr>
              <w:spacing w:line="360" w:lineRule="auto"/>
              <w:jc w:val="both"/>
              <w:rPr>
                <w:rFonts w:ascii="Book Antiqua" w:hAnsi="Book Antiqua" w:cs="Arial"/>
                <w:b/>
                <w:bCs/>
                <w:i/>
                <w:iCs/>
              </w:rPr>
            </w:pPr>
            <w:r w:rsidRPr="00DA5A6A">
              <w:rPr>
                <w:rFonts w:ascii="Book Antiqua" w:eastAsia="Times New Roman" w:hAnsi="Book Antiqua" w:cs="Arial"/>
                <w:b/>
                <w:bCs/>
                <w:i/>
                <w:iCs/>
                <w:kern w:val="24"/>
                <w:lang w:val="en-GB" w:eastAsia="en-IE"/>
              </w:rPr>
              <w:t>n</w:t>
            </w:r>
          </w:p>
        </w:tc>
        <w:tc>
          <w:tcPr>
            <w:tcW w:w="854" w:type="pct"/>
            <w:tcBorders>
              <w:top w:val="single" w:sz="4" w:space="0" w:color="auto"/>
              <w:bottom w:val="single" w:sz="4" w:space="0" w:color="auto"/>
            </w:tcBorders>
          </w:tcPr>
          <w:p w14:paraId="624222F3" w14:textId="52684C34"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b/>
                <w:bCs/>
                <w:kern w:val="24"/>
                <w:lang w:val="en-GB" w:eastAsia="en-IE"/>
              </w:rPr>
              <w:t>D</w:t>
            </w:r>
            <w:r w:rsidR="007C2BB6" w:rsidRPr="00DA5A6A">
              <w:rPr>
                <w:rFonts w:ascii="Book Antiqua" w:eastAsia="Times New Roman" w:hAnsi="Book Antiqua" w:cs="Arial"/>
                <w:b/>
                <w:bCs/>
                <w:kern w:val="24"/>
                <w:lang w:val="en-GB" w:eastAsia="en-IE"/>
              </w:rPr>
              <w:t>rug</w:t>
            </w:r>
          </w:p>
        </w:tc>
        <w:tc>
          <w:tcPr>
            <w:tcW w:w="514" w:type="pct"/>
            <w:tcBorders>
              <w:top w:val="single" w:sz="4" w:space="0" w:color="auto"/>
              <w:bottom w:val="single" w:sz="4" w:space="0" w:color="auto"/>
            </w:tcBorders>
          </w:tcPr>
          <w:p w14:paraId="1E43B559" w14:textId="40BE17C8" w:rsidR="009B7EF2" w:rsidRPr="00DA5A6A" w:rsidRDefault="009B7EF2" w:rsidP="00DA5A6A">
            <w:pPr>
              <w:spacing w:line="360" w:lineRule="auto"/>
              <w:jc w:val="both"/>
              <w:rPr>
                <w:rFonts w:ascii="Book Antiqua" w:eastAsia="Times New Roman" w:hAnsi="Book Antiqua" w:cs="Arial"/>
                <w:b/>
                <w:bCs/>
                <w:kern w:val="24"/>
                <w:lang w:val="en-GB" w:eastAsia="en-IE"/>
              </w:rPr>
            </w:pPr>
            <w:r w:rsidRPr="00DA5A6A">
              <w:rPr>
                <w:rFonts w:ascii="Book Antiqua" w:eastAsia="Times New Roman" w:hAnsi="Book Antiqua" w:cs="Arial"/>
                <w:b/>
                <w:bCs/>
                <w:kern w:val="24"/>
                <w:lang w:val="en-GB" w:eastAsia="en-IE"/>
              </w:rPr>
              <w:t>ORR</w:t>
            </w:r>
            <w:r w:rsidR="007C2BB6" w:rsidRPr="00DA5A6A">
              <w:rPr>
                <w:rFonts w:ascii="Book Antiqua" w:hAnsi="Book Antiqua" w:cs="Arial"/>
                <w:b/>
                <w:bCs/>
                <w:kern w:val="24"/>
                <w:lang w:val="en-GB" w:eastAsia="zh-CN"/>
              </w:rPr>
              <w:t xml:space="preserve"> </w:t>
            </w:r>
            <w:r w:rsidRPr="00DA5A6A">
              <w:rPr>
                <w:rFonts w:ascii="Book Antiqua" w:eastAsia="Times New Roman" w:hAnsi="Book Antiqua" w:cs="Arial"/>
                <w:b/>
                <w:bCs/>
                <w:kern w:val="24"/>
                <w:lang w:val="en-GB" w:eastAsia="en-IE"/>
              </w:rPr>
              <w:t>1</w:t>
            </w:r>
            <w:r w:rsidRPr="00DA5A6A">
              <w:rPr>
                <w:rFonts w:ascii="Book Antiqua" w:eastAsia="Times New Roman" w:hAnsi="Book Antiqua" w:cs="Arial"/>
                <w:b/>
                <w:bCs/>
                <w:kern w:val="24"/>
                <w:vertAlign w:val="superscript"/>
                <w:lang w:val="en-GB" w:eastAsia="en-IE"/>
              </w:rPr>
              <w:t>st</w:t>
            </w:r>
            <w:r w:rsidRPr="00DA5A6A">
              <w:rPr>
                <w:rFonts w:ascii="Book Antiqua" w:eastAsia="Times New Roman" w:hAnsi="Book Antiqua" w:cs="Arial"/>
                <w:b/>
                <w:bCs/>
                <w:kern w:val="24"/>
                <w:lang w:val="en-GB" w:eastAsia="en-IE"/>
              </w:rPr>
              <w:t xml:space="preserve"> line</w:t>
            </w:r>
          </w:p>
        </w:tc>
        <w:tc>
          <w:tcPr>
            <w:tcW w:w="354" w:type="pct"/>
            <w:tcBorders>
              <w:top w:val="single" w:sz="4" w:space="0" w:color="auto"/>
              <w:bottom w:val="single" w:sz="4" w:space="0" w:color="auto"/>
            </w:tcBorders>
          </w:tcPr>
          <w:p w14:paraId="2690CE7B" w14:textId="3E5F70B4" w:rsidR="009B7EF2" w:rsidRPr="00DA5A6A" w:rsidRDefault="009B7EF2" w:rsidP="00DA5A6A">
            <w:pPr>
              <w:spacing w:line="360" w:lineRule="auto"/>
              <w:jc w:val="both"/>
              <w:rPr>
                <w:rFonts w:ascii="Book Antiqua" w:eastAsia="Times New Roman" w:hAnsi="Book Antiqua" w:cs="Arial"/>
                <w:lang w:eastAsia="en-IE"/>
              </w:rPr>
            </w:pPr>
            <w:r w:rsidRPr="00DA5A6A">
              <w:rPr>
                <w:rFonts w:ascii="Book Antiqua" w:eastAsia="Times New Roman" w:hAnsi="Book Antiqua" w:cs="Arial"/>
                <w:b/>
                <w:bCs/>
                <w:kern w:val="24"/>
                <w:lang w:val="en-GB" w:eastAsia="en-IE"/>
              </w:rPr>
              <w:t>ORR</w:t>
            </w:r>
            <w:r w:rsidR="007C2BB6" w:rsidRPr="00DA5A6A">
              <w:rPr>
                <w:rFonts w:ascii="Book Antiqua" w:hAnsi="Book Antiqua" w:cs="Arial"/>
                <w:b/>
                <w:bCs/>
                <w:kern w:val="24"/>
                <w:lang w:val="en-GB" w:eastAsia="zh-CN"/>
              </w:rPr>
              <w:t xml:space="preserve"> </w:t>
            </w:r>
            <w:r w:rsidRPr="00DA5A6A">
              <w:rPr>
                <w:rFonts w:ascii="Book Antiqua" w:eastAsia="Times New Roman" w:hAnsi="Book Antiqua" w:cs="Arial"/>
                <w:b/>
                <w:bCs/>
                <w:kern w:val="24"/>
                <w:lang w:val="en-GB" w:eastAsia="en-IE"/>
              </w:rPr>
              <w:t>≥</w:t>
            </w:r>
            <w:r w:rsidR="007C2BB6" w:rsidRPr="00DA5A6A">
              <w:rPr>
                <w:rFonts w:ascii="Book Antiqua" w:eastAsia="Times New Roman" w:hAnsi="Book Antiqua" w:cs="Arial"/>
                <w:b/>
                <w:bCs/>
                <w:kern w:val="24"/>
                <w:lang w:val="en-GB" w:eastAsia="en-IE"/>
              </w:rPr>
              <w:t xml:space="preserve"> </w:t>
            </w:r>
            <w:r w:rsidRPr="00DA5A6A">
              <w:rPr>
                <w:rFonts w:ascii="Book Antiqua" w:eastAsia="Times New Roman" w:hAnsi="Book Antiqua" w:cs="Arial"/>
                <w:b/>
                <w:bCs/>
                <w:kern w:val="24"/>
                <w:lang w:val="en-GB" w:eastAsia="en-IE"/>
              </w:rPr>
              <w:t xml:space="preserve">2 </w:t>
            </w:r>
            <w:r w:rsidR="007C2BB6" w:rsidRPr="00DA5A6A">
              <w:rPr>
                <w:rFonts w:ascii="Book Antiqua" w:eastAsia="Times New Roman" w:hAnsi="Book Antiqua" w:cs="Arial"/>
                <w:b/>
                <w:bCs/>
                <w:kern w:val="24"/>
                <w:lang w:val="en-GB" w:eastAsia="en-IE"/>
              </w:rPr>
              <w:t>l</w:t>
            </w:r>
            <w:r w:rsidRPr="00DA5A6A">
              <w:rPr>
                <w:rFonts w:ascii="Book Antiqua" w:eastAsia="Times New Roman" w:hAnsi="Book Antiqua" w:cs="Arial"/>
                <w:b/>
                <w:bCs/>
                <w:kern w:val="24"/>
                <w:lang w:val="en-GB" w:eastAsia="en-IE"/>
              </w:rPr>
              <w:t>ine</w:t>
            </w:r>
          </w:p>
        </w:tc>
        <w:tc>
          <w:tcPr>
            <w:tcW w:w="410" w:type="pct"/>
            <w:tcBorders>
              <w:top w:val="single" w:sz="4" w:space="0" w:color="auto"/>
              <w:bottom w:val="single" w:sz="4" w:space="0" w:color="auto"/>
            </w:tcBorders>
          </w:tcPr>
          <w:p w14:paraId="1C4E1289" w14:textId="06EC702F" w:rsidR="009B7EF2" w:rsidRPr="00DA5A6A" w:rsidRDefault="009B7EF2" w:rsidP="00DA5A6A">
            <w:pPr>
              <w:spacing w:line="360" w:lineRule="auto"/>
              <w:jc w:val="both"/>
              <w:rPr>
                <w:rFonts w:ascii="Book Antiqua" w:eastAsia="Times New Roman" w:hAnsi="Book Antiqua" w:cs="Arial"/>
                <w:b/>
                <w:bCs/>
                <w:kern w:val="24"/>
                <w:lang w:val="en-GB" w:eastAsia="en-IE"/>
              </w:rPr>
            </w:pPr>
            <w:r w:rsidRPr="00DA5A6A">
              <w:rPr>
                <w:rFonts w:ascii="Book Antiqua" w:eastAsia="Times New Roman" w:hAnsi="Book Antiqua" w:cs="Arial"/>
                <w:b/>
                <w:bCs/>
                <w:kern w:val="24"/>
                <w:lang w:val="en-GB" w:eastAsia="en-IE"/>
              </w:rPr>
              <w:t>mPFS</w:t>
            </w:r>
            <w:r w:rsidR="007C2BB6" w:rsidRPr="00DA5A6A">
              <w:rPr>
                <w:rFonts w:ascii="Book Antiqua" w:hAnsi="Book Antiqua" w:cs="Arial"/>
                <w:b/>
                <w:bCs/>
                <w:kern w:val="24"/>
                <w:lang w:val="en-GB" w:eastAsia="zh-CN"/>
              </w:rPr>
              <w:t xml:space="preserve"> </w:t>
            </w:r>
            <w:r w:rsidRPr="00DA5A6A">
              <w:rPr>
                <w:rFonts w:ascii="Book Antiqua" w:eastAsia="Times New Roman" w:hAnsi="Book Antiqua" w:cs="Arial"/>
                <w:b/>
                <w:bCs/>
                <w:kern w:val="24"/>
                <w:lang w:val="en-GB" w:eastAsia="en-IE"/>
              </w:rPr>
              <w:t>≥</w:t>
            </w:r>
            <w:r w:rsidR="007C2BB6" w:rsidRPr="00DA5A6A">
              <w:rPr>
                <w:rFonts w:ascii="Book Antiqua" w:eastAsia="Times New Roman" w:hAnsi="Book Antiqua" w:cs="Arial"/>
                <w:b/>
                <w:bCs/>
                <w:kern w:val="24"/>
                <w:lang w:val="en-GB" w:eastAsia="en-IE"/>
              </w:rPr>
              <w:t xml:space="preserve"> </w:t>
            </w:r>
            <w:r w:rsidRPr="00DA5A6A">
              <w:rPr>
                <w:rFonts w:ascii="Book Antiqua" w:eastAsia="Times New Roman" w:hAnsi="Book Antiqua" w:cs="Arial"/>
                <w:b/>
                <w:bCs/>
                <w:kern w:val="24"/>
                <w:lang w:val="en-GB" w:eastAsia="en-IE"/>
              </w:rPr>
              <w:t xml:space="preserve">2 </w:t>
            </w:r>
            <w:r w:rsidR="007C2BB6" w:rsidRPr="00DA5A6A">
              <w:rPr>
                <w:rFonts w:ascii="Book Antiqua" w:eastAsia="Times New Roman" w:hAnsi="Book Antiqua" w:cs="Arial"/>
                <w:b/>
                <w:bCs/>
                <w:kern w:val="24"/>
                <w:lang w:val="en-GB" w:eastAsia="en-IE"/>
              </w:rPr>
              <w:t>l</w:t>
            </w:r>
            <w:r w:rsidRPr="00DA5A6A">
              <w:rPr>
                <w:rFonts w:ascii="Book Antiqua" w:eastAsia="Times New Roman" w:hAnsi="Book Antiqua" w:cs="Arial"/>
                <w:b/>
                <w:bCs/>
                <w:kern w:val="24"/>
                <w:lang w:val="en-GB" w:eastAsia="en-IE"/>
              </w:rPr>
              <w:t>ine</w:t>
            </w:r>
          </w:p>
        </w:tc>
        <w:tc>
          <w:tcPr>
            <w:tcW w:w="495" w:type="pct"/>
            <w:tcBorders>
              <w:top w:val="single" w:sz="4" w:space="0" w:color="auto"/>
              <w:bottom w:val="single" w:sz="4" w:space="0" w:color="auto"/>
            </w:tcBorders>
          </w:tcPr>
          <w:p w14:paraId="7A29E10A" w14:textId="042B29BA" w:rsidR="009B7EF2" w:rsidRPr="00DA5A6A" w:rsidRDefault="009B7EF2" w:rsidP="00DA5A6A">
            <w:pPr>
              <w:spacing w:line="360" w:lineRule="auto"/>
              <w:jc w:val="both"/>
              <w:rPr>
                <w:rFonts w:ascii="Book Antiqua" w:eastAsia="Times New Roman" w:hAnsi="Book Antiqua" w:cs="Arial"/>
                <w:b/>
                <w:bCs/>
                <w:kern w:val="24"/>
                <w:lang w:val="en-GB" w:eastAsia="en-IE"/>
              </w:rPr>
            </w:pPr>
            <w:r w:rsidRPr="00DA5A6A">
              <w:rPr>
                <w:rFonts w:ascii="Book Antiqua" w:eastAsia="Times New Roman" w:hAnsi="Book Antiqua" w:cs="Arial"/>
                <w:b/>
                <w:bCs/>
                <w:kern w:val="24"/>
                <w:lang w:val="en-GB" w:eastAsia="en-IE"/>
              </w:rPr>
              <w:t>mOS</w:t>
            </w:r>
            <w:r w:rsidR="007C2BB6" w:rsidRPr="00DA5A6A">
              <w:rPr>
                <w:rFonts w:ascii="Book Antiqua" w:hAnsi="Book Antiqua" w:cs="Arial"/>
                <w:b/>
                <w:bCs/>
                <w:kern w:val="24"/>
                <w:lang w:val="en-GB" w:eastAsia="zh-CN"/>
              </w:rPr>
              <w:t xml:space="preserve"> </w:t>
            </w:r>
            <w:r w:rsidRPr="00DA5A6A">
              <w:rPr>
                <w:rFonts w:ascii="Book Antiqua" w:eastAsia="Times New Roman" w:hAnsi="Book Antiqua" w:cs="Arial"/>
                <w:b/>
                <w:bCs/>
                <w:kern w:val="24"/>
                <w:lang w:val="en-GB" w:eastAsia="en-IE"/>
              </w:rPr>
              <w:t>1</w:t>
            </w:r>
            <w:r w:rsidR="007C2BB6" w:rsidRPr="00DA5A6A">
              <w:rPr>
                <w:rFonts w:ascii="Book Antiqua" w:eastAsia="Times New Roman" w:hAnsi="Book Antiqua" w:cs="Arial"/>
                <w:b/>
                <w:bCs/>
                <w:kern w:val="24"/>
                <w:vertAlign w:val="superscript"/>
                <w:lang w:val="en-GB" w:eastAsia="en-IE"/>
              </w:rPr>
              <w:t>st</w:t>
            </w:r>
            <w:r w:rsidRPr="00DA5A6A">
              <w:rPr>
                <w:rFonts w:ascii="Book Antiqua" w:eastAsia="Times New Roman" w:hAnsi="Book Antiqua" w:cs="Arial"/>
                <w:b/>
                <w:bCs/>
                <w:kern w:val="24"/>
                <w:lang w:val="en-GB" w:eastAsia="en-IE"/>
              </w:rPr>
              <w:t xml:space="preserve"> line</w:t>
            </w:r>
          </w:p>
        </w:tc>
        <w:tc>
          <w:tcPr>
            <w:tcW w:w="423" w:type="pct"/>
            <w:tcBorders>
              <w:top w:val="single" w:sz="4" w:space="0" w:color="auto"/>
              <w:bottom w:val="single" w:sz="4" w:space="0" w:color="auto"/>
            </w:tcBorders>
          </w:tcPr>
          <w:p w14:paraId="33AB4394" w14:textId="5BFC218B" w:rsidR="009B7EF2" w:rsidRPr="00DA5A6A" w:rsidRDefault="009B7EF2" w:rsidP="00DA5A6A">
            <w:pPr>
              <w:spacing w:line="360" w:lineRule="auto"/>
              <w:jc w:val="both"/>
              <w:rPr>
                <w:rFonts w:ascii="Book Antiqua" w:eastAsia="Times New Roman" w:hAnsi="Book Antiqua" w:cs="Arial"/>
                <w:lang w:eastAsia="en-IE"/>
              </w:rPr>
            </w:pPr>
            <w:r w:rsidRPr="00DA5A6A">
              <w:rPr>
                <w:rFonts w:ascii="Book Antiqua" w:eastAsia="Times New Roman" w:hAnsi="Book Antiqua" w:cs="Arial"/>
                <w:b/>
                <w:bCs/>
                <w:kern w:val="24"/>
                <w:lang w:val="en-GB" w:eastAsia="en-IE"/>
              </w:rPr>
              <w:t>mOS</w:t>
            </w:r>
            <w:r w:rsidR="007C2BB6" w:rsidRPr="00DA5A6A">
              <w:rPr>
                <w:rFonts w:ascii="Book Antiqua" w:hAnsi="Book Antiqua" w:cs="Arial"/>
                <w:b/>
                <w:bCs/>
                <w:kern w:val="24"/>
                <w:lang w:val="en-GB" w:eastAsia="zh-CN"/>
              </w:rPr>
              <w:t xml:space="preserve"> </w:t>
            </w:r>
            <w:r w:rsidRPr="00DA5A6A">
              <w:rPr>
                <w:rFonts w:ascii="Book Antiqua" w:eastAsia="Times New Roman" w:hAnsi="Book Antiqua" w:cs="Arial"/>
                <w:b/>
                <w:bCs/>
                <w:kern w:val="24"/>
                <w:lang w:val="en-GB" w:eastAsia="en-IE"/>
              </w:rPr>
              <w:t>≥</w:t>
            </w:r>
            <w:r w:rsidR="007C2BB6" w:rsidRPr="00DA5A6A">
              <w:rPr>
                <w:rFonts w:ascii="Book Antiqua" w:eastAsia="Times New Roman" w:hAnsi="Book Antiqua" w:cs="Arial"/>
                <w:b/>
                <w:bCs/>
                <w:kern w:val="24"/>
                <w:lang w:val="en-GB" w:eastAsia="en-IE"/>
              </w:rPr>
              <w:t xml:space="preserve"> </w:t>
            </w:r>
            <w:r w:rsidRPr="00DA5A6A">
              <w:rPr>
                <w:rFonts w:ascii="Book Antiqua" w:eastAsia="Times New Roman" w:hAnsi="Book Antiqua" w:cs="Arial"/>
                <w:b/>
                <w:bCs/>
                <w:kern w:val="24"/>
                <w:lang w:val="en-GB" w:eastAsia="en-IE"/>
              </w:rPr>
              <w:t xml:space="preserve">2 </w:t>
            </w:r>
            <w:r w:rsidR="007C2BB6" w:rsidRPr="00DA5A6A">
              <w:rPr>
                <w:rFonts w:ascii="Book Antiqua" w:eastAsia="Times New Roman" w:hAnsi="Book Antiqua" w:cs="Arial"/>
                <w:b/>
                <w:bCs/>
                <w:kern w:val="24"/>
                <w:lang w:val="en-GB" w:eastAsia="en-IE"/>
              </w:rPr>
              <w:t>l</w:t>
            </w:r>
            <w:r w:rsidRPr="00DA5A6A">
              <w:rPr>
                <w:rFonts w:ascii="Book Antiqua" w:eastAsia="Times New Roman" w:hAnsi="Book Antiqua" w:cs="Arial"/>
                <w:b/>
                <w:bCs/>
                <w:kern w:val="24"/>
                <w:lang w:val="en-GB" w:eastAsia="en-IE"/>
              </w:rPr>
              <w:t>ine</w:t>
            </w:r>
          </w:p>
        </w:tc>
        <w:tc>
          <w:tcPr>
            <w:tcW w:w="767" w:type="pct"/>
            <w:tcBorders>
              <w:top w:val="single" w:sz="4" w:space="0" w:color="auto"/>
              <w:bottom w:val="single" w:sz="4" w:space="0" w:color="auto"/>
            </w:tcBorders>
          </w:tcPr>
          <w:p w14:paraId="4C4C63D9" w14:textId="50012955"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b/>
                <w:bCs/>
                <w:kern w:val="24"/>
                <w:lang w:val="en-GB" w:eastAsia="en-IE"/>
              </w:rPr>
              <w:t>R</w:t>
            </w:r>
            <w:r w:rsidR="007C2BB6" w:rsidRPr="00DA5A6A">
              <w:rPr>
                <w:rFonts w:ascii="Book Antiqua" w:eastAsia="Times New Roman" w:hAnsi="Book Antiqua" w:cs="Arial"/>
                <w:b/>
                <w:bCs/>
                <w:kern w:val="24"/>
                <w:lang w:val="en-GB" w:eastAsia="en-IE"/>
              </w:rPr>
              <w:t>ef.</w:t>
            </w:r>
          </w:p>
        </w:tc>
      </w:tr>
      <w:tr w:rsidR="007C2BB6" w:rsidRPr="00DA5A6A" w14:paraId="645CFD51" w14:textId="77777777" w:rsidTr="00F3612F">
        <w:tc>
          <w:tcPr>
            <w:tcW w:w="854" w:type="pct"/>
            <w:tcBorders>
              <w:top w:val="single" w:sz="4" w:space="0" w:color="auto"/>
            </w:tcBorders>
          </w:tcPr>
          <w:p w14:paraId="638937EB" w14:textId="1B58DE68" w:rsidR="009B7EF2" w:rsidRPr="00DA5A6A" w:rsidRDefault="009B7EF2"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val="en-GB" w:eastAsia="en-IE"/>
              </w:rPr>
              <w:t>NCT01631552</w:t>
            </w:r>
            <w:r w:rsidR="007C2BB6" w:rsidRPr="00DA5A6A">
              <w:rPr>
                <w:rFonts w:ascii="Book Antiqua" w:hAnsi="Book Antiqua" w:cs="Arial"/>
                <w:kern w:val="24"/>
                <w:lang w:val="en-GB" w:eastAsia="zh-CN"/>
              </w:rPr>
              <w:t xml:space="preserve"> </w:t>
            </w:r>
            <w:r w:rsidR="007C2BB6" w:rsidRPr="00DA5A6A">
              <w:rPr>
                <w:rFonts w:ascii="Book Antiqua" w:eastAsia="Times New Roman" w:hAnsi="Book Antiqua" w:cs="Arial"/>
                <w:kern w:val="24"/>
                <w:lang w:val="en-GB" w:eastAsia="en-IE"/>
              </w:rPr>
              <w:t>p</w:t>
            </w:r>
            <w:r w:rsidRPr="00DA5A6A">
              <w:rPr>
                <w:rFonts w:ascii="Book Antiqua" w:eastAsia="Times New Roman" w:hAnsi="Book Antiqua" w:cs="Arial"/>
                <w:kern w:val="24"/>
                <w:lang w:val="en-GB" w:eastAsia="en-IE"/>
              </w:rPr>
              <w:t>hase II</w:t>
            </w:r>
          </w:p>
        </w:tc>
        <w:tc>
          <w:tcPr>
            <w:tcW w:w="328" w:type="pct"/>
            <w:tcBorders>
              <w:top w:val="single" w:sz="4" w:space="0" w:color="auto"/>
            </w:tcBorders>
          </w:tcPr>
          <w:p w14:paraId="22331AD3" w14:textId="41C38C92"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108</w:t>
            </w:r>
          </w:p>
        </w:tc>
        <w:tc>
          <w:tcPr>
            <w:tcW w:w="854" w:type="pct"/>
            <w:tcBorders>
              <w:top w:val="single" w:sz="4" w:space="0" w:color="auto"/>
            </w:tcBorders>
          </w:tcPr>
          <w:p w14:paraId="1D98CC13" w14:textId="335E4F79"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 xml:space="preserve">Sacituzumab </w:t>
            </w:r>
            <w:r w:rsidR="007C2BB6" w:rsidRPr="00DA5A6A">
              <w:rPr>
                <w:rFonts w:ascii="Book Antiqua" w:eastAsia="Times New Roman" w:hAnsi="Book Antiqua" w:cs="Arial"/>
                <w:kern w:val="24"/>
                <w:lang w:val="en-GB" w:eastAsia="en-IE"/>
              </w:rPr>
              <w:t>g</w:t>
            </w:r>
            <w:r w:rsidRPr="00DA5A6A">
              <w:rPr>
                <w:rFonts w:ascii="Book Antiqua" w:eastAsia="Times New Roman" w:hAnsi="Book Antiqua" w:cs="Arial"/>
                <w:kern w:val="24"/>
                <w:lang w:val="en-GB" w:eastAsia="en-IE"/>
              </w:rPr>
              <w:t>ovitecan</w:t>
            </w:r>
          </w:p>
        </w:tc>
        <w:tc>
          <w:tcPr>
            <w:tcW w:w="514" w:type="pct"/>
            <w:tcBorders>
              <w:top w:val="single" w:sz="4" w:space="0" w:color="auto"/>
            </w:tcBorders>
          </w:tcPr>
          <w:p w14:paraId="09D9A9F5" w14:textId="77777777" w:rsidR="009B7EF2" w:rsidRPr="00DA5A6A" w:rsidRDefault="009B7EF2" w:rsidP="00DA5A6A">
            <w:pPr>
              <w:spacing w:line="360" w:lineRule="auto"/>
              <w:jc w:val="both"/>
              <w:rPr>
                <w:rFonts w:ascii="Book Antiqua" w:hAnsi="Book Antiqua" w:cs="Arial"/>
                <w:b/>
                <w:bCs/>
              </w:rPr>
            </w:pPr>
          </w:p>
        </w:tc>
        <w:tc>
          <w:tcPr>
            <w:tcW w:w="354" w:type="pct"/>
            <w:tcBorders>
              <w:top w:val="single" w:sz="4" w:space="0" w:color="auto"/>
            </w:tcBorders>
          </w:tcPr>
          <w:p w14:paraId="7E59C031" w14:textId="138F2470"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33%</w:t>
            </w:r>
          </w:p>
        </w:tc>
        <w:tc>
          <w:tcPr>
            <w:tcW w:w="410" w:type="pct"/>
            <w:tcBorders>
              <w:top w:val="single" w:sz="4" w:space="0" w:color="auto"/>
            </w:tcBorders>
          </w:tcPr>
          <w:p w14:paraId="542F0DBD" w14:textId="7575A404"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5.5</w:t>
            </w:r>
          </w:p>
        </w:tc>
        <w:tc>
          <w:tcPr>
            <w:tcW w:w="495" w:type="pct"/>
            <w:tcBorders>
              <w:top w:val="single" w:sz="4" w:space="0" w:color="auto"/>
            </w:tcBorders>
          </w:tcPr>
          <w:p w14:paraId="2C2EE1E7" w14:textId="77777777" w:rsidR="009B7EF2" w:rsidRPr="00DA5A6A" w:rsidRDefault="009B7EF2" w:rsidP="00DA5A6A">
            <w:pPr>
              <w:spacing w:line="360" w:lineRule="auto"/>
              <w:jc w:val="both"/>
              <w:rPr>
                <w:rFonts w:ascii="Book Antiqua" w:hAnsi="Book Antiqua" w:cs="Arial"/>
                <w:b/>
                <w:bCs/>
              </w:rPr>
            </w:pPr>
          </w:p>
        </w:tc>
        <w:tc>
          <w:tcPr>
            <w:tcW w:w="423" w:type="pct"/>
            <w:tcBorders>
              <w:top w:val="single" w:sz="4" w:space="0" w:color="auto"/>
            </w:tcBorders>
          </w:tcPr>
          <w:p w14:paraId="1D9D3762" w14:textId="3D222AA9"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12.4</w:t>
            </w:r>
          </w:p>
        </w:tc>
        <w:tc>
          <w:tcPr>
            <w:tcW w:w="767" w:type="pct"/>
            <w:tcBorders>
              <w:top w:val="single" w:sz="4" w:space="0" w:color="auto"/>
            </w:tcBorders>
          </w:tcPr>
          <w:p w14:paraId="336263A0" w14:textId="32166B7D" w:rsidR="009B7EF2" w:rsidRPr="00DA5A6A" w:rsidRDefault="00205B47" w:rsidP="00EC6788">
            <w:pPr>
              <w:spacing w:line="360" w:lineRule="auto"/>
              <w:jc w:val="both"/>
              <w:rPr>
                <w:rFonts w:ascii="Book Antiqua" w:hAnsi="Book Antiqua" w:cs="Arial"/>
                <w:b/>
                <w:bCs/>
              </w:rPr>
            </w:pPr>
            <w:r w:rsidRPr="00DA5A6A">
              <w:rPr>
                <w:rFonts w:ascii="Book Antiqua" w:eastAsia="Book Antiqua" w:hAnsi="Book Antiqua" w:cs="Book Antiqua"/>
                <w:color w:val="000000"/>
              </w:rPr>
              <w:t>Schmid</w:t>
            </w:r>
            <w:r w:rsidR="009B7EF2" w:rsidRPr="00DA5A6A">
              <w:rPr>
                <w:rFonts w:ascii="Book Antiqua" w:eastAsia="Times New Roman" w:hAnsi="Book Antiqua" w:cs="Arial"/>
                <w:kern w:val="24"/>
                <w:lang w:val="en-GB" w:eastAsia="en-IE"/>
              </w:rPr>
              <w:t xml:space="preserve"> </w:t>
            </w:r>
            <w:r w:rsidR="009B7EF2" w:rsidRPr="00DA5A6A">
              <w:rPr>
                <w:rFonts w:ascii="Book Antiqua" w:eastAsia="Times New Roman" w:hAnsi="Book Antiqua" w:cs="Arial"/>
                <w:i/>
                <w:iCs/>
                <w:kern w:val="24"/>
                <w:lang w:val="en-GB" w:eastAsia="en-IE"/>
              </w:rPr>
              <w:t>et al</w:t>
            </w:r>
            <w:r w:rsidRPr="00DA5A6A">
              <w:rPr>
                <w:rFonts w:ascii="Book Antiqua" w:eastAsia="Times New Roman" w:hAnsi="Book Antiqua" w:cs="Arial"/>
                <w:kern w:val="24"/>
                <w:vertAlign w:val="superscript"/>
                <w:lang w:val="en-GB" w:eastAsia="en-IE"/>
              </w:rPr>
              <w:t>[61]</w:t>
            </w:r>
            <w:r w:rsidR="009B7EF2" w:rsidRPr="00DA5A6A">
              <w:rPr>
                <w:rFonts w:ascii="Book Antiqua" w:eastAsia="Times New Roman" w:hAnsi="Book Antiqua" w:cs="Arial"/>
                <w:kern w:val="24"/>
                <w:lang w:val="en-GB" w:eastAsia="en-IE"/>
              </w:rPr>
              <w:t>, 20</w:t>
            </w:r>
            <w:r w:rsidR="001F004C">
              <w:rPr>
                <w:rFonts w:ascii="Book Antiqua" w:eastAsia="Times New Roman" w:hAnsi="Book Antiqua" w:cs="Arial"/>
                <w:kern w:val="24"/>
                <w:lang w:val="en-GB" w:eastAsia="en-IE"/>
              </w:rPr>
              <w:t>20</w:t>
            </w:r>
          </w:p>
        </w:tc>
      </w:tr>
      <w:tr w:rsidR="007C2BB6" w:rsidRPr="00DA5A6A" w14:paraId="0F705E3C" w14:textId="77777777" w:rsidTr="00F3612F">
        <w:tc>
          <w:tcPr>
            <w:tcW w:w="854" w:type="pct"/>
          </w:tcPr>
          <w:p w14:paraId="42CBCA7C" w14:textId="320BB433" w:rsidR="009B7EF2" w:rsidRPr="00DA5A6A" w:rsidRDefault="009B7EF2" w:rsidP="00DA5A6A">
            <w:pPr>
              <w:spacing w:line="360" w:lineRule="auto"/>
              <w:jc w:val="both"/>
              <w:rPr>
                <w:rFonts w:ascii="Book Antiqua" w:hAnsi="Book Antiqua"/>
                <w:color w:val="000000"/>
                <w:shd w:val="clear" w:color="auto" w:fill="FFFFFF"/>
              </w:rPr>
            </w:pPr>
            <w:r w:rsidRPr="00DA5A6A">
              <w:rPr>
                <w:rFonts w:ascii="Book Antiqua" w:hAnsi="Book Antiqua"/>
                <w:color w:val="000000"/>
                <w:shd w:val="clear" w:color="auto" w:fill="FFFFFF"/>
              </w:rPr>
              <w:t>NCT03310957</w:t>
            </w:r>
            <w:r w:rsidR="007C2BB6" w:rsidRPr="00DA5A6A">
              <w:rPr>
                <w:rFonts w:ascii="Book Antiqua" w:hAnsi="Book Antiqua"/>
                <w:color w:val="000000"/>
                <w:shd w:val="clear" w:color="auto" w:fill="FFFFFF"/>
                <w:lang w:eastAsia="zh-CN"/>
              </w:rPr>
              <w:t xml:space="preserve"> </w:t>
            </w:r>
            <w:r w:rsidR="007C2BB6" w:rsidRPr="00DA5A6A">
              <w:rPr>
                <w:rFonts w:ascii="Book Antiqua" w:hAnsi="Book Antiqua"/>
                <w:color w:val="000000"/>
                <w:shd w:val="clear" w:color="auto" w:fill="FFFFFF"/>
              </w:rPr>
              <w:t>p</w:t>
            </w:r>
            <w:r w:rsidRPr="00DA5A6A">
              <w:rPr>
                <w:rFonts w:ascii="Book Antiqua" w:hAnsi="Book Antiqua"/>
                <w:color w:val="000000"/>
                <w:shd w:val="clear" w:color="auto" w:fill="FFFFFF"/>
              </w:rPr>
              <w:t>hase I/II</w:t>
            </w:r>
          </w:p>
        </w:tc>
        <w:tc>
          <w:tcPr>
            <w:tcW w:w="328" w:type="pct"/>
          </w:tcPr>
          <w:p w14:paraId="1F23E0FF" w14:textId="0CC4D64D"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51</w:t>
            </w:r>
          </w:p>
        </w:tc>
        <w:tc>
          <w:tcPr>
            <w:tcW w:w="854" w:type="pct"/>
          </w:tcPr>
          <w:p w14:paraId="3E7B6A55" w14:textId="2442A2EF"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 xml:space="preserve">Pembrolizumab + </w:t>
            </w:r>
            <w:r w:rsidR="003275F5" w:rsidRPr="00DA5A6A">
              <w:rPr>
                <w:rFonts w:ascii="Book Antiqua" w:eastAsia="Times New Roman" w:hAnsi="Book Antiqua" w:cs="Arial"/>
                <w:kern w:val="24"/>
                <w:lang w:val="en-GB" w:eastAsia="en-IE"/>
              </w:rPr>
              <w:t>l</w:t>
            </w:r>
            <w:r w:rsidRPr="00DA5A6A">
              <w:rPr>
                <w:rFonts w:ascii="Book Antiqua" w:eastAsia="Times New Roman" w:hAnsi="Book Antiqua" w:cs="Arial"/>
                <w:kern w:val="24"/>
                <w:lang w:val="en-GB" w:eastAsia="en-IE"/>
              </w:rPr>
              <w:t>adiratuzumab vedoitin</w:t>
            </w:r>
          </w:p>
        </w:tc>
        <w:tc>
          <w:tcPr>
            <w:tcW w:w="514" w:type="pct"/>
          </w:tcPr>
          <w:p w14:paraId="1FAB1499" w14:textId="0EB23A62"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54%</w:t>
            </w:r>
          </w:p>
        </w:tc>
        <w:tc>
          <w:tcPr>
            <w:tcW w:w="354" w:type="pct"/>
          </w:tcPr>
          <w:p w14:paraId="014203A2" w14:textId="77777777" w:rsidR="009B7EF2" w:rsidRPr="00DA5A6A" w:rsidRDefault="009B7EF2" w:rsidP="00DA5A6A">
            <w:pPr>
              <w:spacing w:line="360" w:lineRule="auto"/>
              <w:jc w:val="both"/>
              <w:rPr>
                <w:rFonts w:ascii="Book Antiqua" w:hAnsi="Book Antiqua" w:cs="Arial"/>
                <w:b/>
                <w:bCs/>
              </w:rPr>
            </w:pPr>
          </w:p>
        </w:tc>
        <w:tc>
          <w:tcPr>
            <w:tcW w:w="410" w:type="pct"/>
          </w:tcPr>
          <w:p w14:paraId="5C920D5B" w14:textId="66767F91"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w:t>
            </w:r>
          </w:p>
        </w:tc>
        <w:tc>
          <w:tcPr>
            <w:tcW w:w="495" w:type="pct"/>
          </w:tcPr>
          <w:p w14:paraId="6A173C0A" w14:textId="77777777" w:rsidR="009B7EF2" w:rsidRPr="00DA5A6A" w:rsidRDefault="009B7EF2" w:rsidP="00DA5A6A">
            <w:pPr>
              <w:spacing w:line="360" w:lineRule="auto"/>
              <w:jc w:val="both"/>
              <w:rPr>
                <w:rFonts w:ascii="Book Antiqua" w:hAnsi="Book Antiqua" w:cs="Arial"/>
                <w:b/>
                <w:bCs/>
              </w:rPr>
            </w:pPr>
          </w:p>
        </w:tc>
        <w:tc>
          <w:tcPr>
            <w:tcW w:w="423" w:type="pct"/>
          </w:tcPr>
          <w:p w14:paraId="18674B17" w14:textId="77777777" w:rsidR="009B7EF2" w:rsidRPr="00DA5A6A" w:rsidRDefault="009B7EF2" w:rsidP="00DA5A6A">
            <w:pPr>
              <w:spacing w:line="360" w:lineRule="auto"/>
              <w:jc w:val="both"/>
              <w:rPr>
                <w:rFonts w:ascii="Book Antiqua" w:hAnsi="Book Antiqua" w:cs="Arial"/>
                <w:b/>
                <w:bCs/>
              </w:rPr>
            </w:pPr>
          </w:p>
        </w:tc>
        <w:tc>
          <w:tcPr>
            <w:tcW w:w="767" w:type="pct"/>
          </w:tcPr>
          <w:p w14:paraId="4DB863B5" w14:textId="0AA11FC5" w:rsidR="009B7EF2" w:rsidRPr="00DA5A6A" w:rsidRDefault="009B7EF2" w:rsidP="00EC6788">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 xml:space="preserve">Han </w:t>
            </w:r>
            <w:r w:rsidRPr="00DA5A6A">
              <w:rPr>
                <w:rFonts w:ascii="Book Antiqua" w:eastAsia="Times New Roman" w:hAnsi="Book Antiqua" w:cs="Arial"/>
                <w:i/>
                <w:iCs/>
                <w:kern w:val="24"/>
                <w:lang w:val="en-GB" w:eastAsia="en-IE"/>
              </w:rPr>
              <w:t>et al</w:t>
            </w:r>
            <w:r w:rsidR="00BE2E45" w:rsidRPr="00DA5A6A">
              <w:rPr>
                <w:rFonts w:ascii="Book Antiqua" w:eastAsia="Times New Roman" w:hAnsi="Book Antiqua" w:cs="Arial"/>
                <w:kern w:val="24"/>
                <w:vertAlign w:val="superscript"/>
                <w:lang w:val="en-GB" w:eastAsia="en-IE"/>
              </w:rPr>
              <w:t>[78]</w:t>
            </w:r>
            <w:r w:rsidRPr="00DA5A6A">
              <w:rPr>
                <w:rFonts w:ascii="Book Antiqua" w:eastAsia="Times New Roman" w:hAnsi="Book Antiqua" w:cs="Arial"/>
                <w:kern w:val="24"/>
                <w:lang w:val="en-GB" w:eastAsia="en-IE"/>
              </w:rPr>
              <w:t>, 2020</w:t>
            </w:r>
          </w:p>
        </w:tc>
      </w:tr>
      <w:tr w:rsidR="007C2BB6" w:rsidRPr="00DA5A6A" w14:paraId="3901A015" w14:textId="77777777" w:rsidTr="00F3612F">
        <w:tc>
          <w:tcPr>
            <w:tcW w:w="854" w:type="pct"/>
          </w:tcPr>
          <w:p w14:paraId="6BD7C4C0" w14:textId="4B027FBD" w:rsidR="009B7EF2" w:rsidRPr="00DA5A6A" w:rsidRDefault="009B7EF2"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val="en-GB" w:eastAsia="en-IE"/>
              </w:rPr>
              <w:t>NCT029380341</w:t>
            </w:r>
            <w:r w:rsidR="00BE2E45" w:rsidRPr="00DA5A6A">
              <w:rPr>
                <w:rFonts w:ascii="Book Antiqua" w:eastAsia="Times New Roman" w:hAnsi="Book Antiqua" w:cs="Arial"/>
                <w:kern w:val="24"/>
                <w:lang w:val="en-GB" w:eastAsia="en-IE"/>
              </w:rPr>
              <w:t xml:space="preserve"> p</w:t>
            </w:r>
            <w:r w:rsidRPr="00DA5A6A">
              <w:rPr>
                <w:rFonts w:ascii="Book Antiqua" w:eastAsia="Times New Roman" w:hAnsi="Book Antiqua" w:cs="Arial"/>
                <w:kern w:val="24"/>
                <w:lang w:val="en-GB" w:eastAsia="en-IE"/>
              </w:rPr>
              <w:t>hase Ib/II</w:t>
            </w:r>
          </w:p>
        </w:tc>
        <w:tc>
          <w:tcPr>
            <w:tcW w:w="328" w:type="pct"/>
          </w:tcPr>
          <w:p w14:paraId="4FA3E8B8" w14:textId="1C9D978F"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21</w:t>
            </w:r>
          </w:p>
        </w:tc>
        <w:tc>
          <w:tcPr>
            <w:tcW w:w="854" w:type="pct"/>
          </w:tcPr>
          <w:p w14:paraId="5E23B521" w14:textId="64CC0950"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US-1402</w:t>
            </w:r>
          </w:p>
        </w:tc>
        <w:tc>
          <w:tcPr>
            <w:tcW w:w="514" w:type="pct"/>
          </w:tcPr>
          <w:p w14:paraId="1AE8AE79" w14:textId="77777777" w:rsidR="009B7EF2" w:rsidRPr="00DA5A6A" w:rsidRDefault="009B7EF2" w:rsidP="00DA5A6A">
            <w:pPr>
              <w:spacing w:line="360" w:lineRule="auto"/>
              <w:jc w:val="both"/>
              <w:rPr>
                <w:rFonts w:ascii="Book Antiqua" w:hAnsi="Book Antiqua" w:cs="Arial"/>
                <w:b/>
                <w:bCs/>
              </w:rPr>
            </w:pPr>
          </w:p>
        </w:tc>
        <w:tc>
          <w:tcPr>
            <w:tcW w:w="354" w:type="pct"/>
          </w:tcPr>
          <w:p w14:paraId="6B7A189E" w14:textId="028E1D08"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lang w:eastAsia="en-IE"/>
              </w:rPr>
              <w:t>33%</w:t>
            </w:r>
          </w:p>
        </w:tc>
        <w:tc>
          <w:tcPr>
            <w:tcW w:w="410" w:type="pct"/>
          </w:tcPr>
          <w:p w14:paraId="460F5C3C" w14:textId="20FC5CA7"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w:t>
            </w:r>
          </w:p>
        </w:tc>
        <w:tc>
          <w:tcPr>
            <w:tcW w:w="495" w:type="pct"/>
          </w:tcPr>
          <w:p w14:paraId="565246EF" w14:textId="77777777" w:rsidR="009B7EF2" w:rsidRPr="00DA5A6A" w:rsidRDefault="009B7EF2" w:rsidP="00DA5A6A">
            <w:pPr>
              <w:spacing w:line="360" w:lineRule="auto"/>
              <w:jc w:val="both"/>
              <w:rPr>
                <w:rFonts w:ascii="Book Antiqua" w:hAnsi="Book Antiqua" w:cs="Arial"/>
                <w:b/>
                <w:bCs/>
              </w:rPr>
            </w:pPr>
          </w:p>
        </w:tc>
        <w:tc>
          <w:tcPr>
            <w:tcW w:w="423" w:type="pct"/>
          </w:tcPr>
          <w:p w14:paraId="2D781033" w14:textId="77777777" w:rsidR="009B7EF2" w:rsidRPr="00DA5A6A" w:rsidRDefault="009B7EF2" w:rsidP="00DA5A6A">
            <w:pPr>
              <w:spacing w:line="360" w:lineRule="auto"/>
              <w:jc w:val="both"/>
              <w:rPr>
                <w:rFonts w:ascii="Book Antiqua" w:hAnsi="Book Antiqua" w:cs="Arial"/>
                <w:b/>
                <w:bCs/>
              </w:rPr>
            </w:pPr>
          </w:p>
        </w:tc>
        <w:tc>
          <w:tcPr>
            <w:tcW w:w="767" w:type="pct"/>
          </w:tcPr>
          <w:p w14:paraId="7212320A" w14:textId="624C919F" w:rsidR="009B7EF2" w:rsidRPr="00DA5A6A" w:rsidRDefault="00A73707" w:rsidP="00EC6788">
            <w:pPr>
              <w:spacing w:line="360" w:lineRule="auto"/>
              <w:jc w:val="both"/>
              <w:rPr>
                <w:rFonts w:ascii="Book Antiqua" w:hAnsi="Book Antiqua" w:cs="Arial"/>
                <w:b/>
                <w:bCs/>
              </w:rPr>
            </w:pPr>
            <w:r w:rsidRPr="00DA5A6A">
              <w:rPr>
                <w:rFonts w:ascii="Book Antiqua" w:hAnsi="Book Antiqua"/>
              </w:rPr>
              <w:t>Kim</w:t>
            </w:r>
            <w:r w:rsidR="009B7EF2" w:rsidRPr="00DA5A6A">
              <w:rPr>
                <w:rFonts w:ascii="Book Antiqua" w:eastAsia="Times New Roman" w:hAnsi="Book Antiqua" w:cs="Arial"/>
                <w:lang w:eastAsia="en-IE"/>
              </w:rPr>
              <w:t xml:space="preserve"> </w:t>
            </w:r>
            <w:r w:rsidR="009B7EF2" w:rsidRPr="00DA5A6A">
              <w:rPr>
                <w:rFonts w:ascii="Book Antiqua" w:eastAsia="Times New Roman" w:hAnsi="Book Antiqua" w:cs="Arial"/>
                <w:i/>
                <w:iCs/>
                <w:lang w:eastAsia="en-IE"/>
              </w:rPr>
              <w:t>et al</w:t>
            </w:r>
            <w:r w:rsidR="00BE2E45" w:rsidRPr="00DA5A6A">
              <w:rPr>
                <w:rFonts w:ascii="Book Antiqua" w:eastAsia="Times New Roman" w:hAnsi="Book Antiqua" w:cs="Arial"/>
                <w:vertAlign w:val="superscript"/>
                <w:lang w:eastAsia="en-IE"/>
              </w:rPr>
              <w:t>[82]</w:t>
            </w:r>
            <w:r w:rsidR="009B7EF2" w:rsidRPr="00DA5A6A">
              <w:rPr>
                <w:rFonts w:ascii="Book Antiqua" w:eastAsia="Times New Roman" w:hAnsi="Book Antiqua" w:cs="Arial"/>
                <w:lang w:eastAsia="en-IE"/>
              </w:rPr>
              <w:t>, 20</w:t>
            </w:r>
            <w:r w:rsidRPr="00DA5A6A">
              <w:rPr>
                <w:rFonts w:ascii="Book Antiqua" w:eastAsia="Times New Roman" w:hAnsi="Book Antiqua" w:cs="Arial"/>
                <w:lang w:eastAsia="en-IE"/>
              </w:rPr>
              <w:t>19</w:t>
            </w:r>
          </w:p>
        </w:tc>
      </w:tr>
      <w:tr w:rsidR="007C2BB6" w:rsidRPr="00DA5A6A" w14:paraId="4F8DC2CF" w14:textId="77777777" w:rsidTr="00F3612F">
        <w:tc>
          <w:tcPr>
            <w:tcW w:w="854" w:type="pct"/>
          </w:tcPr>
          <w:p w14:paraId="64392002" w14:textId="1A1DCDD1" w:rsidR="009B7EF2" w:rsidRPr="00DA5A6A" w:rsidRDefault="009B7EF2"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val="en-GB" w:eastAsia="en-IE"/>
              </w:rPr>
              <w:t>NCT03279257</w:t>
            </w:r>
            <w:r w:rsidR="00BE2E45" w:rsidRPr="00DA5A6A">
              <w:rPr>
                <w:rFonts w:ascii="Book Antiqua" w:hAnsi="Book Antiqua" w:cs="Arial"/>
                <w:kern w:val="24"/>
                <w:lang w:val="en-GB" w:eastAsia="zh-CN"/>
              </w:rPr>
              <w:t xml:space="preserve"> </w:t>
            </w:r>
            <w:r w:rsidR="00BE2E45" w:rsidRPr="00DA5A6A">
              <w:rPr>
                <w:rFonts w:ascii="Book Antiqua" w:eastAsia="Times New Roman" w:hAnsi="Book Antiqua" w:cs="Arial"/>
                <w:kern w:val="24"/>
                <w:lang w:val="en-GB" w:eastAsia="en-IE"/>
              </w:rPr>
              <w:t>p</w:t>
            </w:r>
            <w:r w:rsidRPr="00DA5A6A">
              <w:rPr>
                <w:rFonts w:ascii="Book Antiqua" w:eastAsia="Times New Roman" w:hAnsi="Book Antiqua" w:cs="Arial"/>
                <w:kern w:val="24"/>
                <w:lang w:val="en-GB" w:eastAsia="en-IE"/>
              </w:rPr>
              <w:t>hase 1b/II</w:t>
            </w:r>
          </w:p>
        </w:tc>
        <w:tc>
          <w:tcPr>
            <w:tcW w:w="328" w:type="pct"/>
          </w:tcPr>
          <w:p w14:paraId="7E8DC6C9" w14:textId="31DA55F7"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40</w:t>
            </w:r>
          </w:p>
        </w:tc>
        <w:tc>
          <w:tcPr>
            <w:tcW w:w="854" w:type="pct"/>
          </w:tcPr>
          <w:p w14:paraId="201019F6" w14:textId="2020C23E"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Alpelisib</w:t>
            </w:r>
          </w:p>
        </w:tc>
        <w:tc>
          <w:tcPr>
            <w:tcW w:w="514" w:type="pct"/>
          </w:tcPr>
          <w:p w14:paraId="24C0BF78" w14:textId="77777777" w:rsidR="009B7EF2" w:rsidRPr="00DA5A6A" w:rsidRDefault="009B7EF2" w:rsidP="00DA5A6A">
            <w:pPr>
              <w:spacing w:line="360" w:lineRule="auto"/>
              <w:jc w:val="both"/>
              <w:rPr>
                <w:rFonts w:ascii="Book Antiqua" w:hAnsi="Book Antiqua" w:cs="Arial"/>
                <w:b/>
                <w:bCs/>
              </w:rPr>
            </w:pPr>
          </w:p>
        </w:tc>
        <w:tc>
          <w:tcPr>
            <w:tcW w:w="354" w:type="pct"/>
          </w:tcPr>
          <w:p w14:paraId="117E34EA" w14:textId="23C89260"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lang w:eastAsia="en-IE"/>
              </w:rPr>
              <w:t>57%</w:t>
            </w:r>
          </w:p>
        </w:tc>
        <w:tc>
          <w:tcPr>
            <w:tcW w:w="410" w:type="pct"/>
          </w:tcPr>
          <w:p w14:paraId="31C0B213" w14:textId="60A43C26"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7</w:t>
            </w:r>
          </w:p>
        </w:tc>
        <w:tc>
          <w:tcPr>
            <w:tcW w:w="495" w:type="pct"/>
          </w:tcPr>
          <w:p w14:paraId="487C5E2A" w14:textId="77777777" w:rsidR="009B7EF2" w:rsidRPr="00DA5A6A" w:rsidRDefault="009B7EF2" w:rsidP="00DA5A6A">
            <w:pPr>
              <w:spacing w:line="360" w:lineRule="auto"/>
              <w:jc w:val="both"/>
              <w:rPr>
                <w:rFonts w:ascii="Book Antiqua" w:hAnsi="Book Antiqua" w:cs="Arial"/>
                <w:b/>
                <w:bCs/>
              </w:rPr>
            </w:pPr>
          </w:p>
        </w:tc>
        <w:tc>
          <w:tcPr>
            <w:tcW w:w="423" w:type="pct"/>
          </w:tcPr>
          <w:p w14:paraId="6635543C" w14:textId="77777777" w:rsidR="009B7EF2" w:rsidRPr="00DA5A6A" w:rsidRDefault="009B7EF2" w:rsidP="00DA5A6A">
            <w:pPr>
              <w:spacing w:line="360" w:lineRule="auto"/>
              <w:jc w:val="both"/>
              <w:rPr>
                <w:rFonts w:ascii="Book Antiqua" w:hAnsi="Book Antiqua" w:cs="Arial"/>
                <w:b/>
                <w:bCs/>
              </w:rPr>
            </w:pPr>
          </w:p>
        </w:tc>
        <w:tc>
          <w:tcPr>
            <w:tcW w:w="767" w:type="pct"/>
          </w:tcPr>
          <w:p w14:paraId="26ED7FFA" w14:textId="2E7B5E6C" w:rsidR="009B7EF2" w:rsidRPr="00DA5A6A" w:rsidRDefault="009B7EF2" w:rsidP="00EC6788">
            <w:pPr>
              <w:spacing w:line="360" w:lineRule="auto"/>
              <w:jc w:val="both"/>
              <w:rPr>
                <w:rFonts w:ascii="Book Antiqua" w:hAnsi="Book Antiqua" w:cs="Arial"/>
                <w:b/>
                <w:bCs/>
              </w:rPr>
            </w:pPr>
            <w:r w:rsidRPr="00DA5A6A">
              <w:rPr>
                <w:rFonts w:ascii="Book Antiqua" w:eastAsia="Times New Roman" w:hAnsi="Book Antiqua" w:cs="Arial"/>
                <w:lang w:eastAsia="en-IE"/>
              </w:rPr>
              <w:t xml:space="preserve">Sharma </w:t>
            </w:r>
            <w:r w:rsidRPr="00DA5A6A">
              <w:rPr>
                <w:rFonts w:ascii="Book Antiqua" w:eastAsia="Times New Roman" w:hAnsi="Book Antiqua" w:cs="Arial"/>
                <w:i/>
                <w:iCs/>
                <w:lang w:eastAsia="en-IE"/>
              </w:rPr>
              <w:t>et al</w:t>
            </w:r>
            <w:r w:rsidR="00CF5441" w:rsidRPr="00DA5A6A">
              <w:rPr>
                <w:rFonts w:ascii="Book Antiqua" w:eastAsia="Times New Roman" w:hAnsi="Book Antiqua" w:cs="Arial"/>
                <w:vertAlign w:val="superscript"/>
                <w:lang w:eastAsia="en-IE"/>
              </w:rPr>
              <w:t>[84]</w:t>
            </w:r>
            <w:r w:rsidRPr="00DA5A6A">
              <w:rPr>
                <w:rFonts w:ascii="Book Antiqua" w:eastAsia="Times New Roman" w:hAnsi="Book Antiqua" w:cs="Arial"/>
                <w:lang w:eastAsia="en-IE"/>
              </w:rPr>
              <w:t>,</w:t>
            </w:r>
            <w:r w:rsidR="00115B44" w:rsidRPr="00DA5A6A">
              <w:rPr>
                <w:rFonts w:ascii="Book Antiqua" w:eastAsia="Times New Roman" w:hAnsi="Book Antiqua" w:cs="Arial"/>
                <w:lang w:eastAsia="en-IE"/>
              </w:rPr>
              <w:t xml:space="preserve"> </w:t>
            </w:r>
            <w:r w:rsidRPr="00DA5A6A">
              <w:rPr>
                <w:rFonts w:ascii="Book Antiqua" w:eastAsia="Times New Roman" w:hAnsi="Book Antiqua" w:cs="Arial"/>
                <w:lang w:eastAsia="en-IE"/>
              </w:rPr>
              <w:t>2018</w:t>
            </w:r>
          </w:p>
        </w:tc>
      </w:tr>
      <w:tr w:rsidR="007C2BB6" w:rsidRPr="00DA5A6A" w14:paraId="42170E7A" w14:textId="77777777" w:rsidTr="00F3612F">
        <w:tc>
          <w:tcPr>
            <w:tcW w:w="854" w:type="pct"/>
          </w:tcPr>
          <w:p w14:paraId="1BDC73D4" w14:textId="5A64D316" w:rsidR="009B7EF2" w:rsidRPr="00DA5A6A" w:rsidRDefault="009B7EF2"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val="en-GB" w:eastAsia="en-IE"/>
              </w:rPr>
              <w:t xml:space="preserve">LOTUS </w:t>
            </w:r>
            <w:r w:rsidR="00E17100" w:rsidRPr="00DA5A6A">
              <w:rPr>
                <w:rFonts w:ascii="Book Antiqua" w:eastAsia="Times New Roman" w:hAnsi="Book Antiqua" w:cs="Arial"/>
                <w:kern w:val="24"/>
                <w:lang w:val="en-GB" w:eastAsia="en-IE"/>
              </w:rPr>
              <w:t>p</w:t>
            </w:r>
            <w:r w:rsidRPr="00DA5A6A">
              <w:rPr>
                <w:rFonts w:ascii="Book Antiqua" w:eastAsia="Times New Roman" w:hAnsi="Book Antiqua" w:cs="Arial"/>
                <w:kern w:val="24"/>
                <w:lang w:val="en-GB" w:eastAsia="en-IE"/>
              </w:rPr>
              <w:t>hase II</w:t>
            </w:r>
          </w:p>
        </w:tc>
        <w:tc>
          <w:tcPr>
            <w:tcW w:w="328" w:type="pct"/>
          </w:tcPr>
          <w:p w14:paraId="73545020" w14:textId="52AF0C12"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124</w:t>
            </w:r>
          </w:p>
        </w:tc>
        <w:tc>
          <w:tcPr>
            <w:tcW w:w="854" w:type="pct"/>
          </w:tcPr>
          <w:p w14:paraId="0492C820" w14:textId="206EF69E"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Ipatasertib</w:t>
            </w:r>
          </w:p>
        </w:tc>
        <w:tc>
          <w:tcPr>
            <w:tcW w:w="514" w:type="pct"/>
          </w:tcPr>
          <w:p w14:paraId="0E1427B4" w14:textId="77777777" w:rsidR="009B7EF2" w:rsidRPr="00DA5A6A" w:rsidRDefault="009B7EF2" w:rsidP="00DA5A6A">
            <w:pPr>
              <w:spacing w:line="360" w:lineRule="auto"/>
              <w:jc w:val="both"/>
              <w:rPr>
                <w:rFonts w:ascii="Book Antiqua" w:hAnsi="Book Antiqua" w:cs="Arial"/>
                <w:b/>
                <w:bCs/>
              </w:rPr>
            </w:pPr>
          </w:p>
        </w:tc>
        <w:tc>
          <w:tcPr>
            <w:tcW w:w="354" w:type="pct"/>
          </w:tcPr>
          <w:p w14:paraId="3643E115" w14:textId="5BF7CA56"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lang w:eastAsia="en-IE"/>
              </w:rPr>
              <w:t>40%</w:t>
            </w:r>
          </w:p>
        </w:tc>
        <w:tc>
          <w:tcPr>
            <w:tcW w:w="410" w:type="pct"/>
          </w:tcPr>
          <w:p w14:paraId="651EC169" w14:textId="4C1A3542"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6.2</w:t>
            </w:r>
          </w:p>
        </w:tc>
        <w:tc>
          <w:tcPr>
            <w:tcW w:w="495" w:type="pct"/>
          </w:tcPr>
          <w:p w14:paraId="67EED0BA" w14:textId="77777777" w:rsidR="009B7EF2" w:rsidRPr="00DA5A6A" w:rsidRDefault="009B7EF2" w:rsidP="00DA5A6A">
            <w:pPr>
              <w:spacing w:line="360" w:lineRule="auto"/>
              <w:jc w:val="both"/>
              <w:rPr>
                <w:rFonts w:ascii="Book Antiqua" w:hAnsi="Book Antiqua" w:cs="Arial"/>
                <w:b/>
                <w:bCs/>
              </w:rPr>
            </w:pPr>
          </w:p>
        </w:tc>
        <w:tc>
          <w:tcPr>
            <w:tcW w:w="423" w:type="pct"/>
          </w:tcPr>
          <w:p w14:paraId="4FCA6BE0" w14:textId="77777777" w:rsidR="009B7EF2" w:rsidRPr="00DA5A6A" w:rsidRDefault="009B7EF2" w:rsidP="00DA5A6A">
            <w:pPr>
              <w:spacing w:line="360" w:lineRule="auto"/>
              <w:jc w:val="both"/>
              <w:rPr>
                <w:rFonts w:ascii="Book Antiqua" w:hAnsi="Book Antiqua" w:cs="Arial"/>
                <w:b/>
                <w:bCs/>
              </w:rPr>
            </w:pPr>
          </w:p>
        </w:tc>
        <w:tc>
          <w:tcPr>
            <w:tcW w:w="767" w:type="pct"/>
          </w:tcPr>
          <w:p w14:paraId="23995754" w14:textId="4DE23105" w:rsidR="009B7EF2" w:rsidRPr="00DA5A6A" w:rsidRDefault="009B7EF2" w:rsidP="00EC6788">
            <w:pPr>
              <w:spacing w:line="360" w:lineRule="auto"/>
              <w:jc w:val="both"/>
              <w:rPr>
                <w:rFonts w:ascii="Book Antiqua" w:hAnsi="Book Antiqua" w:cs="Arial"/>
                <w:b/>
                <w:bCs/>
              </w:rPr>
            </w:pPr>
            <w:r w:rsidRPr="00DA5A6A">
              <w:rPr>
                <w:rFonts w:ascii="Book Antiqua" w:eastAsia="Times New Roman" w:hAnsi="Book Antiqua" w:cs="Arial"/>
                <w:lang w:eastAsia="en-IE"/>
              </w:rPr>
              <w:t xml:space="preserve">Kim </w:t>
            </w:r>
            <w:r w:rsidRPr="00DA5A6A">
              <w:rPr>
                <w:rFonts w:ascii="Book Antiqua" w:eastAsia="Times New Roman" w:hAnsi="Book Antiqua" w:cs="Arial"/>
                <w:i/>
                <w:iCs/>
                <w:lang w:eastAsia="en-IE"/>
              </w:rPr>
              <w:t>et al</w:t>
            </w:r>
            <w:r w:rsidR="00E17100" w:rsidRPr="00DA5A6A">
              <w:rPr>
                <w:rFonts w:ascii="Book Antiqua" w:eastAsia="Times New Roman" w:hAnsi="Book Antiqua" w:cs="Arial"/>
                <w:vertAlign w:val="superscript"/>
                <w:lang w:eastAsia="en-IE"/>
              </w:rPr>
              <w:t>[86]</w:t>
            </w:r>
            <w:r w:rsidRPr="00DA5A6A">
              <w:rPr>
                <w:rFonts w:ascii="Book Antiqua" w:eastAsia="Times New Roman" w:hAnsi="Book Antiqua" w:cs="Arial"/>
                <w:lang w:eastAsia="en-IE"/>
              </w:rPr>
              <w:t>, 2017</w:t>
            </w:r>
          </w:p>
        </w:tc>
      </w:tr>
      <w:tr w:rsidR="007C2BB6" w:rsidRPr="00DA5A6A" w14:paraId="73EBC2CA" w14:textId="77777777" w:rsidTr="00F3612F">
        <w:tc>
          <w:tcPr>
            <w:tcW w:w="854" w:type="pct"/>
          </w:tcPr>
          <w:p w14:paraId="4925CFEC" w14:textId="569819B2" w:rsidR="009B7EF2" w:rsidRPr="00DA5A6A" w:rsidRDefault="009B7EF2" w:rsidP="00DA5A6A">
            <w:pPr>
              <w:spacing w:line="360" w:lineRule="auto"/>
              <w:jc w:val="both"/>
              <w:rPr>
                <w:rFonts w:ascii="Book Antiqua" w:hAnsi="Book Antiqua"/>
                <w:color w:val="000000"/>
                <w:shd w:val="clear" w:color="auto" w:fill="FFFFFF"/>
              </w:rPr>
            </w:pPr>
            <w:r w:rsidRPr="00DA5A6A">
              <w:rPr>
                <w:rFonts w:ascii="Book Antiqua" w:hAnsi="Book Antiqua"/>
                <w:color w:val="000000"/>
                <w:shd w:val="clear" w:color="auto" w:fill="FFFFFF"/>
              </w:rPr>
              <w:t>NCT02978716</w:t>
            </w:r>
            <w:r w:rsidR="00E17100" w:rsidRPr="00DA5A6A">
              <w:rPr>
                <w:rFonts w:ascii="Book Antiqua" w:hAnsi="Book Antiqua"/>
                <w:color w:val="000000"/>
                <w:shd w:val="clear" w:color="auto" w:fill="FFFFFF"/>
                <w:lang w:eastAsia="zh-CN"/>
              </w:rPr>
              <w:t xml:space="preserve"> </w:t>
            </w:r>
            <w:r w:rsidR="00E17100" w:rsidRPr="00DA5A6A">
              <w:rPr>
                <w:rFonts w:ascii="Book Antiqua" w:eastAsia="Times New Roman" w:hAnsi="Book Antiqua" w:cs="Arial"/>
                <w:kern w:val="24"/>
                <w:lang w:val="en-GB" w:eastAsia="en-IE"/>
              </w:rPr>
              <w:t>p</w:t>
            </w:r>
            <w:r w:rsidRPr="00DA5A6A">
              <w:rPr>
                <w:rFonts w:ascii="Book Antiqua" w:eastAsia="Times New Roman" w:hAnsi="Book Antiqua" w:cs="Arial"/>
                <w:kern w:val="24"/>
                <w:lang w:val="en-GB" w:eastAsia="en-IE"/>
              </w:rPr>
              <w:t>hase II</w:t>
            </w:r>
          </w:p>
        </w:tc>
        <w:tc>
          <w:tcPr>
            <w:tcW w:w="328" w:type="pct"/>
          </w:tcPr>
          <w:p w14:paraId="4AA67A28" w14:textId="53422710"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102</w:t>
            </w:r>
          </w:p>
        </w:tc>
        <w:tc>
          <w:tcPr>
            <w:tcW w:w="854" w:type="pct"/>
          </w:tcPr>
          <w:p w14:paraId="6FA9402C" w14:textId="2BE183C1"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Trilaciclib</w:t>
            </w:r>
          </w:p>
        </w:tc>
        <w:tc>
          <w:tcPr>
            <w:tcW w:w="514" w:type="pct"/>
          </w:tcPr>
          <w:p w14:paraId="4B0FCA8D" w14:textId="05884F05"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lang w:eastAsia="en-IE"/>
              </w:rPr>
              <w:t>43%</w:t>
            </w:r>
          </w:p>
        </w:tc>
        <w:tc>
          <w:tcPr>
            <w:tcW w:w="354" w:type="pct"/>
          </w:tcPr>
          <w:p w14:paraId="37DA52B9" w14:textId="77777777" w:rsidR="009B7EF2" w:rsidRPr="00DA5A6A" w:rsidRDefault="009B7EF2" w:rsidP="00DA5A6A">
            <w:pPr>
              <w:spacing w:line="360" w:lineRule="auto"/>
              <w:jc w:val="both"/>
              <w:rPr>
                <w:rFonts w:ascii="Book Antiqua" w:hAnsi="Book Antiqua" w:cs="Arial"/>
                <w:b/>
                <w:bCs/>
              </w:rPr>
            </w:pPr>
          </w:p>
        </w:tc>
        <w:tc>
          <w:tcPr>
            <w:tcW w:w="410" w:type="pct"/>
          </w:tcPr>
          <w:p w14:paraId="4DA45255" w14:textId="77777777" w:rsidR="009B7EF2" w:rsidRPr="00DA5A6A" w:rsidRDefault="009B7EF2" w:rsidP="00DA5A6A">
            <w:pPr>
              <w:spacing w:line="360" w:lineRule="auto"/>
              <w:jc w:val="both"/>
              <w:rPr>
                <w:rFonts w:ascii="Book Antiqua" w:hAnsi="Book Antiqua" w:cs="Arial"/>
                <w:b/>
                <w:bCs/>
              </w:rPr>
            </w:pPr>
          </w:p>
        </w:tc>
        <w:tc>
          <w:tcPr>
            <w:tcW w:w="495" w:type="pct"/>
          </w:tcPr>
          <w:p w14:paraId="33F75987" w14:textId="594C265E"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lang w:eastAsia="en-IE"/>
              </w:rPr>
              <w:t>20.6/17.6</w:t>
            </w:r>
          </w:p>
        </w:tc>
        <w:tc>
          <w:tcPr>
            <w:tcW w:w="423" w:type="pct"/>
          </w:tcPr>
          <w:p w14:paraId="333250EF" w14:textId="77777777" w:rsidR="009B7EF2" w:rsidRPr="00DA5A6A" w:rsidRDefault="009B7EF2" w:rsidP="00DA5A6A">
            <w:pPr>
              <w:spacing w:line="360" w:lineRule="auto"/>
              <w:jc w:val="both"/>
              <w:rPr>
                <w:rFonts w:ascii="Book Antiqua" w:hAnsi="Book Antiqua" w:cs="Arial"/>
                <w:b/>
                <w:bCs/>
              </w:rPr>
            </w:pPr>
          </w:p>
        </w:tc>
        <w:tc>
          <w:tcPr>
            <w:tcW w:w="767" w:type="pct"/>
          </w:tcPr>
          <w:p w14:paraId="2C579FD7" w14:textId="797F7A35" w:rsidR="009B7EF2" w:rsidRPr="00DA5A6A" w:rsidRDefault="009B7EF2" w:rsidP="00EC6788">
            <w:pPr>
              <w:spacing w:line="360" w:lineRule="auto"/>
              <w:jc w:val="both"/>
              <w:rPr>
                <w:rFonts w:ascii="Book Antiqua" w:hAnsi="Book Antiqua" w:cs="Arial"/>
                <w:b/>
                <w:bCs/>
              </w:rPr>
            </w:pPr>
            <w:r w:rsidRPr="00DA5A6A">
              <w:rPr>
                <w:rFonts w:ascii="Book Antiqua" w:eastAsia="Times New Roman" w:hAnsi="Book Antiqua" w:cs="Arial"/>
                <w:lang w:eastAsia="en-IE"/>
              </w:rPr>
              <w:t xml:space="preserve">Tan </w:t>
            </w:r>
            <w:r w:rsidRPr="00DA5A6A">
              <w:rPr>
                <w:rFonts w:ascii="Book Antiqua" w:eastAsia="Times New Roman" w:hAnsi="Book Antiqua" w:cs="Arial"/>
                <w:i/>
                <w:iCs/>
                <w:lang w:eastAsia="en-IE"/>
              </w:rPr>
              <w:t>et al</w:t>
            </w:r>
            <w:r w:rsidR="00E17100" w:rsidRPr="00DA5A6A">
              <w:rPr>
                <w:rFonts w:ascii="Book Antiqua" w:eastAsia="Times New Roman" w:hAnsi="Book Antiqua" w:cs="Arial"/>
                <w:vertAlign w:val="superscript"/>
                <w:lang w:eastAsia="en-IE"/>
              </w:rPr>
              <w:t>[88]</w:t>
            </w:r>
            <w:r w:rsidRPr="00DA5A6A">
              <w:rPr>
                <w:rFonts w:ascii="Book Antiqua" w:eastAsia="Times New Roman" w:hAnsi="Book Antiqua" w:cs="Arial"/>
                <w:lang w:eastAsia="en-IE"/>
              </w:rPr>
              <w:t>, 2019</w:t>
            </w:r>
          </w:p>
        </w:tc>
      </w:tr>
      <w:tr w:rsidR="007C2BB6" w:rsidRPr="00DA5A6A" w14:paraId="01AC0DC6" w14:textId="77777777" w:rsidTr="00F3612F">
        <w:tc>
          <w:tcPr>
            <w:tcW w:w="854" w:type="pct"/>
          </w:tcPr>
          <w:p w14:paraId="4BE3897E" w14:textId="2EE1952D" w:rsidR="009B7EF2" w:rsidRPr="00DA5A6A" w:rsidRDefault="009B7EF2"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val="en-GB" w:eastAsia="en-IE"/>
              </w:rPr>
              <w:t>ASCENT</w:t>
            </w:r>
            <w:r w:rsidR="00E17100" w:rsidRPr="00DA5A6A">
              <w:rPr>
                <w:rFonts w:ascii="Book Antiqua" w:hAnsi="Book Antiqua" w:cs="Arial"/>
                <w:kern w:val="24"/>
                <w:lang w:val="en-GB" w:eastAsia="zh-CN"/>
              </w:rPr>
              <w:t xml:space="preserve"> </w:t>
            </w:r>
            <w:r w:rsidR="00E17100" w:rsidRPr="00DA5A6A">
              <w:rPr>
                <w:rFonts w:ascii="Book Antiqua" w:eastAsia="Times New Roman" w:hAnsi="Book Antiqua" w:cs="Arial"/>
                <w:kern w:val="24"/>
                <w:lang w:val="en-GB" w:eastAsia="en-IE"/>
              </w:rPr>
              <w:t>p</w:t>
            </w:r>
            <w:r w:rsidRPr="00DA5A6A">
              <w:rPr>
                <w:rFonts w:ascii="Book Antiqua" w:eastAsia="Times New Roman" w:hAnsi="Book Antiqua" w:cs="Arial"/>
                <w:kern w:val="24"/>
                <w:lang w:val="en-GB" w:eastAsia="en-IE"/>
              </w:rPr>
              <w:t>hase III</w:t>
            </w:r>
          </w:p>
        </w:tc>
        <w:tc>
          <w:tcPr>
            <w:tcW w:w="328" w:type="pct"/>
          </w:tcPr>
          <w:p w14:paraId="731E8854" w14:textId="2868964D"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529</w:t>
            </w:r>
          </w:p>
        </w:tc>
        <w:tc>
          <w:tcPr>
            <w:tcW w:w="854" w:type="pct"/>
          </w:tcPr>
          <w:p w14:paraId="7560EB62" w14:textId="4F5ABF58"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Sacituzumab Govitecan</w:t>
            </w:r>
          </w:p>
        </w:tc>
        <w:tc>
          <w:tcPr>
            <w:tcW w:w="514" w:type="pct"/>
          </w:tcPr>
          <w:p w14:paraId="22330BF5" w14:textId="77777777" w:rsidR="009B7EF2" w:rsidRPr="00DA5A6A" w:rsidRDefault="009B7EF2" w:rsidP="00DA5A6A">
            <w:pPr>
              <w:spacing w:line="360" w:lineRule="auto"/>
              <w:jc w:val="both"/>
              <w:rPr>
                <w:rFonts w:ascii="Book Antiqua" w:hAnsi="Book Antiqua" w:cs="Arial"/>
                <w:b/>
                <w:bCs/>
              </w:rPr>
            </w:pPr>
          </w:p>
        </w:tc>
        <w:tc>
          <w:tcPr>
            <w:tcW w:w="354" w:type="pct"/>
          </w:tcPr>
          <w:p w14:paraId="1B5E8B80" w14:textId="676B75B9"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lang w:eastAsia="en-IE"/>
              </w:rPr>
              <w:t>35%</w:t>
            </w:r>
          </w:p>
        </w:tc>
        <w:tc>
          <w:tcPr>
            <w:tcW w:w="410" w:type="pct"/>
          </w:tcPr>
          <w:p w14:paraId="151A6AA5" w14:textId="2090237C"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kern w:val="24"/>
                <w:lang w:val="en-GB" w:eastAsia="en-IE"/>
              </w:rPr>
              <w:t>5.6</w:t>
            </w:r>
          </w:p>
        </w:tc>
        <w:tc>
          <w:tcPr>
            <w:tcW w:w="495" w:type="pct"/>
          </w:tcPr>
          <w:p w14:paraId="3179F7CF" w14:textId="77777777" w:rsidR="009B7EF2" w:rsidRPr="00DA5A6A" w:rsidRDefault="009B7EF2" w:rsidP="00DA5A6A">
            <w:pPr>
              <w:spacing w:line="360" w:lineRule="auto"/>
              <w:jc w:val="both"/>
              <w:rPr>
                <w:rFonts w:ascii="Book Antiqua" w:hAnsi="Book Antiqua" w:cs="Arial"/>
                <w:b/>
                <w:bCs/>
              </w:rPr>
            </w:pPr>
          </w:p>
        </w:tc>
        <w:tc>
          <w:tcPr>
            <w:tcW w:w="423" w:type="pct"/>
          </w:tcPr>
          <w:p w14:paraId="2F249F0F" w14:textId="54AE0764" w:rsidR="009B7EF2" w:rsidRPr="00DA5A6A" w:rsidRDefault="009B7EF2" w:rsidP="00DA5A6A">
            <w:pPr>
              <w:spacing w:line="360" w:lineRule="auto"/>
              <w:jc w:val="both"/>
              <w:rPr>
                <w:rFonts w:ascii="Book Antiqua" w:hAnsi="Book Antiqua" w:cs="Arial"/>
                <w:b/>
                <w:bCs/>
              </w:rPr>
            </w:pPr>
            <w:r w:rsidRPr="00DA5A6A">
              <w:rPr>
                <w:rFonts w:ascii="Book Antiqua" w:eastAsia="Times New Roman" w:hAnsi="Book Antiqua" w:cs="Arial"/>
                <w:lang w:eastAsia="en-IE"/>
              </w:rPr>
              <w:t>12.1</w:t>
            </w:r>
          </w:p>
        </w:tc>
        <w:tc>
          <w:tcPr>
            <w:tcW w:w="767" w:type="pct"/>
          </w:tcPr>
          <w:p w14:paraId="2AF6DAA4" w14:textId="2A804AF3" w:rsidR="009B7EF2" w:rsidRPr="00DA5A6A" w:rsidRDefault="009B7EF2" w:rsidP="00EC6788">
            <w:pPr>
              <w:spacing w:line="360" w:lineRule="auto"/>
              <w:jc w:val="both"/>
              <w:rPr>
                <w:rFonts w:ascii="Book Antiqua" w:hAnsi="Book Antiqua" w:cs="Arial"/>
                <w:b/>
                <w:bCs/>
              </w:rPr>
            </w:pPr>
            <w:r w:rsidRPr="00DA5A6A">
              <w:rPr>
                <w:rFonts w:ascii="Book Antiqua" w:eastAsia="Times New Roman" w:hAnsi="Book Antiqua" w:cs="Arial"/>
                <w:lang w:eastAsia="en-IE"/>
              </w:rPr>
              <w:t xml:space="preserve">Bardia </w:t>
            </w:r>
            <w:r w:rsidRPr="00DA5A6A">
              <w:rPr>
                <w:rFonts w:ascii="Book Antiqua" w:eastAsia="Times New Roman" w:hAnsi="Book Antiqua" w:cs="Arial"/>
                <w:i/>
                <w:iCs/>
                <w:lang w:eastAsia="en-IE"/>
              </w:rPr>
              <w:t>et al</w:t>
            </w:r>
            <w:r w:rsidR="003275F5" w:rsidRPr="00DA5A6A">
              <w:rPr>
                <w:rFonts w:ascii="Book Antiqua" w:eastAsia="Times New Roman" w:hAnsi="Book Antiqua" w:cs="Arial"/>
                <w:vertAlign w:val="superscript"/>
                <w:lang w:eastAsia="en-IE"/>
              </w:rPr>
              <w:t>[77]</w:t>
            </w:r>
            <w:r w:rsidRPr="00DA5A6A">
              <w:rPr>
                <w:rFonts w:ascii="Book Antiqua" w:eastAsia="Times New Roman" w:hAnsi="Book Antiqua" w:cs="Arial"/>
                <w:lang w:eastAsia="en-IE"/>
              </w:rPr>
              <w:t>, 2020</w:t>
            </w:r>
          </w:p>
        </w:tc>
      </w:tr>
    </w:tbl>
    <w:p w14:paraId="7DC932B9" w14:textId="749538B5" w:rsidR="00D937C6" w:rsidRPr="00DA5A6A" w:rsidRDefault="00C71B28" w:rsidP="00DA5A6A">
      <w:pPr>
        <w:spacing w:line="360" w:lineRule="auto"/>
        <w:jc w:val="both"/>
        <w:rPr>
          <w:rFonts w:ascii="Book Antiqua" w:eastAsia="Times New Roman" w:hAnsi="Book Antiqua" w:cs="Arial"/>
          <w:kern w:val="24"/>
          <w:lang w:val="en-GB" w:eastAsia="en-IE"/>
        </w:rPr>
      </w:pPr>
      <w:r w:rsidRPr="00DA5A6A">
        <w:rPr>
          <w:rFonts w:ascii="Book Antiqua" w:eastAsia="Times New Roman" w:hAnsi="Book Antiqua" w:cs="Arial"/>
          <w:kern w:val="24"/>
          <w:lang w:val="en-GB" w:eastAsia="en-IE"/>
        </w:rPr>
        <w:t xml:space="preserve">ORR: </w:t>
      </w:r>
      <w:r w:rsidR="00DB3801" w:rsidRPr="00DA5A6A">
        <w:rPr>
          <w:rFonts w:ascii="Book Antiqua" w:eastAsia="Times New Roman" w:hAnsi="Book Antiqua" w:cs="Arial"/>
          <w:kern w:val="24"/>
          <w:lang w:val="en-GB" w:eastAsia="en-IE"/>
        </w:rPr>
        <w:t>Overall response rate</w:t>
      </w:r>
      <w:r w:rsidR="00C65E6A" w:rsidRPr="00DA5A6A">
        <w:rPr>
          <w:rFonts w:ascii="Book Antiqua" w:eastAsia="Times New Roman" w:hAnsi="Book Antiqua" w:cs="Arial"/>
          <w:kern w:val="24"/>
          <w:lang w:val="en-GB" w:eastAsia="en-IE"/>
        </w:rPr>
        <w:t xml:space="preserve">; PFS: </w:t>
      </w:r>
      <w:r w:rsidR="00C65E6A" w:rsidRPr="00DA5A6A">
        <w:rPr>
          <w:rFonts w:ascii="Book Antiqua" w:eastAsia="Book Antiqua" w:hAnsi="Book Antiqua" w:cs="Book Antiqua"/>
          <w:color w:val="000000"/>
        </w:rPr>
        <w:t>Progression free survival</w:t>
      </w:r>
      <w:r w:rsidR="00FC17EB" w:rsidRPr="00DA5A6A">
        <w:rPr>
          <w:rFonts w:ascii="Book Antiqua" w:eastAsia="Book Antiqua" w:hAnsi="Book Antiqua" w:cs="Book Antiqua"/>
          <w:color w:val="000000"/>
        </w:rPr>
        <w:t>; OS: Overall survival.</w:t>
      </w:r>
    </w:p>
    <w:sectPr w:rsidR="00D937C6" w:rsidRPr="00DA5A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39358" w14:textId="77777777" w:rsidR="00EC1D53" w:rsidRDefault="00EC1D53" w:rsidP="00FD0B6B">
      <w:r>
        <w:separator/>
      </w:r>
    </w:p>
  </w:endnote>
  <w:endnote w:type="continuationSeparator" w:id="0">
    <w:p w14:paraId="3E554BD8" w14:textId="77777777" w:rsidR="00EC1D53" w:rsidRDefault="00EC1D53" w:rsidP="00FD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2DA7C" w14:textId="51E1B841" w:rsidR="00DA66EB" w:rsidRPr="00FD0B6B" w:rsidRDefault="00DA66EB" w:rsidP="00FD0B6B">
    <w:pPr>
      <w:pStyle w:val="Footer"/>
      <w:jc w:val="right"/>
      <w:rPr>
        <w:rFonts w:ascii="Book Antiqua" w:hAnsi="Book Antiqua"/>
        <w:sz w:val="24"/>
        <w:szCs w:val="24"/>
      </w:rPr>
    </w:pPr>
    <w:r w:rsidRPr="00FD0B6B">
      <w:rPr>
        <w:rFonts w:ascii="Book Antiqua" w:hAnsi="Book Antiqua"/>
        <w:sz w:val="24"/>
        <w:szCs w:val="24"/>
        <w:lang w:val="zh-CN" w:eastAsia="zh-CN"/>
      </w:rPr>
      <w:t xml:space="preserve"> </w:t>
    </w:r>
    <w:r w:rsidRPr="00FD0B6B">
      <w:rPr>
        <w:rFonts w:ascii="Book Antiqua" w:hAnsi="Book Antiqua"/>
        <w:sz w:val="24"/>
        <w:szCs w:val="24"/>
      </w:rPr>
      <w:fldChar w:fldCharType="begin"/>
    </w:r>
    <w:r w:rsidRPr="00FD0B6B">
      <w:rPr>
        <w:rFonts w:ascii="Book Antiqua" w:hAnsi="Book Antiqua"/>
        <w:sz w:val="24"/>
        <w:szCs w:val="24"/>
      </w:rPr>
      <w:instrText>PAGE  \* Arabic  \* MERGEFORMAT</w:instrText>
    </w:r>
    <w:r w:rsidRPr="00FD0B6B">
      <w:rPr>
        <w:rFonts w:ascii="Book Antiqua" w:hAnsi="Book Antiqua"/>
        <w:sz w:val="24"/>
        <w:szCs w:val="24"/>
      </w:rPr>
      <w:fldChar w:fldCharType="separate"/>
    </w:r>
    <w:r w:rsidRPr="00AC1A93">
      <w:rPr>
        <w:rFonts w:ascii="Book Antiqua" w:hAnsi="Book Antiqua"/>
        <w:noProof/>
        <w:sz w:val="24"/>
        <w:szCs w:val="24"/>
        <w:lang w:val="zh-CN" w:eastAsia="zh-CN"/>
      </w:rPr>
      <w:t>46</w:t>
    </w:r>
    <w:r w:rsidRPr="00FD0B6B">
      <w:rPr>
        <w:rFonts w:ascii="Book Antiqua" w:hAnsi="Book Antiqua"/>
        <w:sz w:val="24"/>
        <w:szCs w:val="24"/>
      </w:rPr>
      <w:fldChar w:fldCharType="end"/>
    </w:r>
    <w:r w:rsidRPr="00FD0B6B">
      <w:rPr>
        <w:rFonts w:ascii="Book Antiqua" w:hAnsi="Book Antiqua"/>
        <w:sz w:val="24"/>
        <w:szCs w:val="24"/>
        <w:lang w:val="zh-CN" w:eastAsia="zh-CN"/>
      </w:rPr>
      <w:t xml:space="preserve"> / </w:t>
    </w:r>
    <w:r w:rsidRPr="00FD0B6B">
      <w:rPr>
        <w:rFonts w:ascii="Book Antiqua" w:hAnsi="Book Antiqua"/>
        <w:sz w:val="24"/>
        <w:szCs w:val="24"/>
      </w:rPr>
      <w:fldChar w:fldCharType="begin"/>
    </w:r>
    <w:r w:rsidRPr="00FD0B6B">
      <w:rPr>
        <w:rFonts w:ascii="Book Antiqua" w:hAnsi="Book Antiqua"/>
        <w:sz w:val="24"/>
        <w:szCs w:val="24"/>
      </w:rPr>
      <w:instrText>NUMPAGES  \* Arabic  \* MERGEFORMAT</w:instrText>
    </w:r>
    <w:r w:rsidRPr="00FD0B6B">
      <w:rPr>
        <w:rFonts w:ascii="Book Antiqua" w:hAnsi="Book Antiqua"/>
        <w:sz w:val="24"/>
        <w:szCs w:val="24"/>
      </w:rPr>
      <w:fldChar w:fldCharType="separate"/>
    </w:r>
    <w:r w:rsidRPr="00AC1A93">
      <w:rPr>
        <w:rFonts w:ascii="Book Antiqua" w:hAnsi="Book Antiqua"/>
        <w:noProof/>
        <w:sz w:val="24"/>
        <w:szCs w:val="24"/>
        <w:lang w:val="zh-CN" w:eastAsia="zh-CN"/>
      </w:rPr>
      <w:t>47</w:t>
    </w:r>
    <w:r w:rsidRPr="00FD0B6B">
      <w:rPr>
        <w:rFonts w:ascii="Book Antiqua" w:hAnsi="Book Antiqua"/>
        <w:sz w:val="24"/>
        <w:szCs w:val="24"/>
      </w:rPr>
      <w:fldChar w:fldCharType="end"/>
    </w:r>
  </w:p>
  <w:p w14:paraId="4207DD19" w14:textId="77777777" w:rsidR="00DA66EB" w:rsidRPr="00FD0B6B" w:rsidRDefault="00DA66EB" w:rsidP="00FD0B6B">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CC52D" w14:textId="77777777" w:rsidR="00EC1D53" w:rsidRDefault="00EC1D53" w:rsidP="00FD0B6B">
      <w:r>
        <w:separator/>
      </w:r>
    </w:p>
  </w:footnote>
  <w:footnote w:type="continuationSeparator" w:id="0">
    <w:p w14:paraId="7D73E1E6" w14:textId="77777777" w:rsidR="00EC1D53" w:rsidRDefault="00EC1D53" w:rsidP="00FD0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85C87"/>
    <w:multiLevelType w:val="hybridMultilevel"/>
    <w:tmpl w:val="6A0E33C2"/>
    <w:lvl w:ilvl="0" w:tplc="F1DC2CF8">
      <w:start w:val="1"/>
      <w:numFmt w:val="decimal"/>
      <w:lvlText w:val="%1."/>
      <w:lvlJc w:val="left"/>
      <w:pPr>
        <w:ind w:left="1080" w:hanging="360"/>
      </w:pPr>
      <w:rPr>
        <w:rFonts w:eastAsia="Book Antiqua" w:cs="Book Antiqua" w:hint="default"/>
        <w:color w:val="00000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343E681C"/>
    <w:multiLevelType w:val="hybridMultilevel"/>
    <w:tmpl w:val="61BE4AA0"/>
    <w:lvl w:ilvl="0" w:tplc="0A247238">
      <w:start w:val="1"/>
      <w:numFmt w:val="decimal"/>
      <w:lvlText w:val="%1."/>
      <w:lvlJc w:val="left"/>
      <w:pPr>
        <w:ind w:left="720" w:hanging="360"/>
      </w:pPr>
      <w:rPr>
        <w:rFonts w:eastAsia="Book Antiqua" w:cs="Book Antiqua"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61E9"/>
    <w:rsid w:val="00046D30"/>
    <w:rsid w:val="00047B8B"/>
    <w:rsid w:val="000525AF"/>
    <w:rsid w:val="00054E6D"/>
    <w:rsid w:val="0005667E"/>
    <w:rsid w:val="00074196"/>
    <w:rsid w:val="00075D50"/>
    <w:rsid w:val="0008306D"/>
    <w:rsid w:val="00084EAE"/>
    <w:rsid w:val="00096850"/>
    <w:rsid w:val="000E0F92"/>
    <w:rsid w:val="000F6630"/>
    <w:rsid w:val="0010179F"/>
    <w:rsid w:val="001102DF"/>
    <w:rsid w:val="00114B33"/>
    <w:rsid w:val="00115B44"/>
    <w:rsid w:val="00121156"/>
    <w:rsid w:val="00132059"/>
    <w:rsid w:val="001534BD"/>
    <w:rsid w:val="00192E3E"/>
    <w:rsid w:val="0019381D"/>
    <w:rsid w:val="001B0EFC"/>
    <w:rsid w:val="001B1529"/>
    <w:rsid w:val="001D415B"/>
    <w:rsid w:val="001E3C18"/>
    <w:rsid w:val="001F004C"/>
    <w:rsid w:val="002035C3"/>
    <w:rsid w:val="00205B47"/>
    <w:rsid w:val="002078EE"/>
    <w:rsid w:val="0022295F"/>
    <w:rsid w:val="00247A22"/>
    <w:rsid w:val="002753FC"/>
    <w:rsid w:val="00294444"/>
    <w:rsid w:val="00297A48"/>
    <w:rsid w:val="002D6101"/>
    <w:rsid w:val="002F357F"/>
    <w:rsid w:val="002F597B"/>
    <w:rsid w:val="002F7E72"/>
    <w:rsid w:val="00303491"/>
    <w:rsid w:val="00312777"/>
    <w:rsid w:val="00313B05"/>
    <w:rsid w:val="003275F5"/>
    <w:rsid w:val="003300E6"/>
    <w:rsid w:val="00346536"/>
    <w:rsid w:val="00386BF8"/>
    <w:rsid w:val="00393454"/>
    <w:rsid w:val="003A2E2B"/>
    <w:rsid w:val="003B377F"/>
    <w:rsid w:val="003B58F7"/>
    <w:rsid w:val="003B741C"/>
    <w:rsid w:val="003D7DC7"/>
    <w:rsid w:val="003F0112"/>
    <w:rsid w:val="00401069"/>
    <w:rsid w:val="00421EA9"/>
    <w:rsid w:val="004428CF"/>
    <w:rsid w:val="004604D9"/>
    <w:rsid w:val="0047552C"/>
    <w:rsid w:val="0049654A"/>
    <w:rsid w:val="004A5E2A"/>
    <w:rsid w:val="004C20FB"/>
    <w:rsid w:val="004D4F93"/>
    <w:rsid w:val="004E0BE2"/>
    <w:rsid w:val="004F2C2F"/>
    <w:rsid w:val="004F46FA"/>
    <w:rsid w:val="00521D5F"/>
    <w:rsid w:val="005408E0"/>
    <w:rsid w:val="00545A36"/>
    <w:rsid w:val="0054797D"/>
    <w:rsid w:val="00575607"/>
    <w:rsid w:val="005A0500"/>
    <w:rsid w:val="005B2670"/>
    <w:rsid w:val="005B3F5E"/>
    <w:rsid w:val="005F03E1"/>
    <w:rsid w:val="00615F67"/>
    <w:rsid w:val="006204CD"/>
    <w:rsid w:val="00622ED0"/>
    <w:rsid w:val="00637A74"/>
    <w:rsid w:val="00643F68"/>
    <w:rsid w:val="00646F22"/>
    <w:rsid w:val="00646F68"/>
    <w:rsid w:val="00674CB8"/>
    <w:rsid w:val="00677D12"/>
    <w:rsid w:val="00687CE8"/>
    <w:rsid w:val="00694384"/>
    <w:rsid w:val="00694D76"/>
    <w:rsid w:val="00695FCF"/>
    <w:rsid w:val="006A0862"/>
    <w:rsid w:val="006F1F02"/>
    <w:rsid w:val="006F7C0C"/>
    <w:rsid w:val="006F7DC4"/>
    <w:rsid w:val="007030C9"/>
    <w:rsid w:val="00710683"/>
    <w:rsid w:val="007310A5"/>
    <w:rsid w:val="0075235F"/>
    <w:rsid w:val="0078543D"/>
    <w:rsid w:val="007A3F98"/>
    <w:rsid w:val="007C2BB6"/>
    <w:rsid w:val="007C3B33"/>
    <w:rsid w:val="007D5F41"/>
    <w:rsid w:val="007F0354"/>
    <w:rsid w:val="007F5AAE"/>
    <w:rsid w:val="00811070"/>
    <w:rsid w:val="00820B36"/>
    <w:rsid w:val="00833FCE"/>
    <w:rsid w:val="00840BA5"/>
    <w:rsid w:val="00845AD1"/>
    <w:rsid w:val="00851A04"/>
    <w:rsid w:val="0088584C"/>
    <w:rsid w:val="0089757E"/>
    <w:rsid w:val="008A0B3E"/>
    <w:rsid w:val="008A3F5D"/>
    <w:rsid w:val="008A7325"/>
    <w:rsid w:val="008F3534"/>
    <w:rsid w:val="00900A58"/>
    <w:rsid w:val="00910045"/>
    <w:rsid w:val="00910472"/>
    <w:rsid w:val="00910A52"/>
    <w:rsid w:val="00922E9B"/>
    <w:rsid w:val="009267D3"/>
    <w:rsid w:val="00927219"/>
    <w:rsid w:val="009418A6"/>
    <w:rsid w:val="00942E00"/>
    <w:rsid w:val="00951D33"/>
    <w:rsid w:val="00954162"/>
    <w:rsid w:val="00955D76"/>
    <w:rsid w:val="00967202"/>
    <w:rsid w:val="00970DFA"/>
    <w:rsid w:val="00987202"/>
    <w:rsid w:val="009B7EF2"/>
    <w:rsid w:val="009C7923"/>
    <w:rsid w:val="00A22F4B"/>
    <w:rsid w:val="00A44688"/>
    <w:rsid w:val="00A72919"/>
    <w:rsid w:val="00A73707"/>
    <w:rsid w:val="00A77B3E"/>
    <w:rsid w:val="00AA0234"/>
    <w:rsid w:val="00AC1A26"/>
    <w:rsid w:val="00AC1A93"/>
    <w:rsid w:val="00AD33C0"/>
    <w:rsid w:val="00AF122F"/>
    <w:rsid w:val="00AF59F9"/>
    <w:rsid w:val="00AF7118"/>
    <w:rsid w:val="00B61BE0"/>
    <w:rsid w:val="00B737F9"/>
    <w:rsid w:val="00B76D81"/>
    <w:rsid w:val="00B913A0"/>
    <w:rsid w:val="00BC597D"/>
    <w:rsid w:val="00BE2E45"/>
    <w:rsid w:val="00C62367"/>
    <w:rsid w:val="00C65E6A"/>
    <w:rsid w:val="00C71B28"/>
    <w:rsid w:val="00C80100"/>
    <w:rsid w:val="00C964AB"/>
    <w:rsid w:val="00CA2A55"/>
    <w:rsid w:val="00CC5F8D"/>
    <w:rsid w:val="00CC6B4C"/>
    <w:rsid w:val="00CE3DBD"/>
    <w:rsid w:val="00CF2766"/>
    <w:rsid w:val="00CF5441"/>
    <w:rsid w:val="00D00395"/>
    <w:rsid w:val="00D160B5"/>
    <w:rsid w:val="00D26E12"/>
    <w:rsid w:val="00D42DA4"/>
    <w:rsid w:val="00D5240F"/>
    <w:rsid w:val="00D53E9E"/>
    <w:rsid w:val="00D77E05"/>
    <w:rsid w:val="00D86220"/>
    <w:rsid w:val="00D863AB"/>
    <w:rsid w:val="00D937C6"/>
    <w:rsid w:val="00DA5A6A"/>
    <w:rsid w:val="00DA66EB"/>
    <w:rsid w:val="00DB3801"/>
    <w:rsid w:val="00DD0018"/>
    <w:rsid w:val="00DD1755"/>
    <w:rsid w:val="00DE3D72"/>
    <w:rsid w:val="00DF4187"/>
    <w:rsid w:val="00E00EFF"/>
    <w:rsid w:val="00E0750D"/>
    <w:rsid w:val="00E17100"/>
    <w:rsid w:val="00E2183A"/>
    <w:rsid w:val="00E63B8A"/>
    <w:rsid w:val="00E65101"/>
    <w:rsid w:val="00E73B57"/>
    <w:rsid w:val="00EA3ED4"/>
    <w:rsid w:val="00EA6EC8"/>
    <w:rsid w:val="00EB18AA"/>
    <w:rsid w:val="00EC1D53"/>
    <w:rsid w:val="00EC63E6"/>
    <w:rsid w:val="00EC6788"/>
    <w:rsid w:val="00EF3936"/>
    <w:rsid w:val="00F17F7E"/>
    <w:rsid w:val="00F238C8"/>
    <w:rsid w:val="00F2709B"/>
    <w:rsid w:val="00F3612F"/>
    <w:rsid w:val="00F74C48"/>
    <w:rsid w:val="00FA11F2"/>
    <w:rsid w:val="00FB0670"/>
    <w:rsid w:val="00FB1EF3"/>
    <w:rsid w:val="00FC17EB"/>
    <w:rsid w:val="00FD0B6B"/>
    <w:rsid w:val="00FD3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53E6C"/>
  <w15:docId w15:val="{FEEDD217-024D-422B-99AC-7B7CA304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0B6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D0B6B"/>
    <w:rPr>
      <w:sz w:val="18"/>
      <w:szCs w:val="18"/>
    </w:rPr>
  </w:style>
  <w:style w:type="paragraph" w:styleId="Footer">
    <w:name w:val="footer"/>
    <w:basedOn w:val="Normal"/>
    <w:link w:val="FooterChar"/>
    <w:uiPriority w:val="99"/>
    <w:unhideWhenUsed/>
    <w:rsid w:val="00FD0B6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D0B6B"/>
    <w:rPr>
      <w:sz w:val="18"/>
      <w:szCs w:val="18"/>
    </w:rPr>
  </w:style>
  <w:style w:type="table" w:styleId="TableGrid">
    <w:name w:val="Table Grid"/>
    <w:basedOn w:val="TableNormal"/>
    <w:rsid w:val="00637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B741C"/>
    <w:rPr>
      <w:rFonts w:asciiTheme="minorHAnsi" w:hAnsiTheme="minorHAnsi" w:cstheme="minorBidi"/>
      <w:sz w:val="22"/>
      <w:szCs w:val="22"/>
      <w:lang w:val="en-I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FA11F2"/>
    <w:pPr>
      <w:spacing w:before="100" w:beforeAutospacing="1" w:after="100" w:afterAutospacing="1"/>
    </w:pPr>
    <w:rPr>
      <w:rFonts w:eastAsia="Times New Roman"/>
      <w:lang w:val="en-IE" w:eastAsia="en-IE"/>
    </w:rPr>
  </w:style>
  <w:style w:type="character" w:styleId="Hyperlink">
    <w:name w:val="Hyperlink"/>
    <w:basedOn w:val="DefaultParagraphFont"/>
    <w:uiPriority w:val="99"/>
    <w:semiHidden/>
    <w:unhideWhenUsed/>
    <w:rsid w:val="00811070"/>
    <w:rPr>
      <w:color w:val="0000FF"/>
      <w:u w:val="single"/>
    </w:rPr>
  </w:style>
  <w:style w:type="character" w:styleId="CommentReference">
    <w:name w:val="annotation reference"/>
    <w:basedOn w:val="DefaultParagraphFont"/>
    <w:semiHidden/>
    <w:unhideWhenUsed/>
    <w:rsid w:val="008A3F5D"/>
    <w:rPr>
      <w:sz w:val="21"/>
      <w:szCs w:val="21"/>
    </w:rPr>
  </w:style>
  <w:style w:type="paragraph" w:styleId="CommentText">
    <w:name w:val="annotation text"/>
    <w:basedOn w:val="Normal"/>
    <w:link w:val="CommentTextChar"/>
    <w:semiHidden/>
    <w:unhideWhenUsed/>
    <w:rsid w:val="008A3F5D"/>
  </w:style>
  <w:style w:type="character" w:customStyle="1" w:styleId="CommentTextChar">
    <w:name w:val="Comment Text Char"/>
    <w:basedOn w:val="DefaultParagraphFont"/>
    <w:link w:val="CommentText"/>
    <w:semiHidden/>
    <w:rsid w:val="008A3F5D"/>
    <w:rPr>
      <w:sz w:val="24"/>
      <w:szCs w:val="24"/>
    </w:rPr>
  </w:style>
  <w:style w:type="paragraph" w:styleId="CommentSubject">
    <w:name w:val="annotation subject"/>
    <w:basedOn w:val="CommentText"/>
    <w:next w:val="CommentText"/>
    <w:link w:val="CommentSubjectChar"/>
    <w:semiHidden/>
    <w:unhideWhenUsed/>
    <w:rsid w:val="008A3F5D"/>
    <w:rPr>
      <w:b/>
      <w:bCs/>
    </w:rPr>
  </w:style>
  <w:style w:type="character" w:customStyle="1" w:styleId="CommentSubjectChar">
    <w:name w:val="Comment Subject Char"/>
    <w:basedOn w:val="CommentTextChar"/>
    <w:link w:val="CommentSubject"/>
    <w:semiHidden/>
    <w:rsid w:val="008A3F5D"/>
    <w:rPr>
      <w:b/>
      <w:bCs/>
      <w:sz w:val="24"/>
      <w:szCs w:val="24"/>
    </w:rPr>
  </w:style>
  <w:style w:type="character" w:customStyle="1" w:styleId="apple-converted-space">
    <w:name w:val="apple-converted-space"/>
    <w:basedOn w:val="DefaultParagraphFont"/>
    <w:rsid w:val="008A3F5D"/>
  </w:style>
  <w:style w:type="paragraph" w:styleId="BalloonText">
    <w:name w:val="Balloon Text"/>
    <w:basedOn w:val="Normal"/>
    <w:link w:val="BalloonTextChar"/>
    <w:rsid w:val="00545A36"/>
    <w:rPr>
      <w:rFonts w:ascii="Segoe UI" w:hAnsi="Segoe UI" w:cs="Segoe UI"/>
      <w:sz w:val="18"/>
      <w:szCs w:val="18"/>
    </w:rPr>
  </w:style>
  <w:style w:type="character" w:customStyle="1" w:styleId="BalloonTextChar">
    <w:name w:val="Balloon Text Char"/>
    <w:basedOn w:val="DefaultParagraphFont"/>
    <w:link w:val="BalloonText"/>
    <w:rsid w:val="00545A36"/>
    <w:rPr>
      <w:rFonts w:ascii="Segoe UI" w:hAnsi="Segoe UI" w:cs="Segoe UI"/>
      <w:sz w:val="18"/>
      <w:szCs w:val="18"/>
    </w:rPr>
  </w:style>
  <w:style w:type="character" w:customStyle="1" w:styleId="nlmstring-name">
    <w:name w:val="nlm_string-name"/>
    <w:basedOn w:val="DefaultParagraphFont"/>
    <w:rsid w:val="00DB3801"/>
  </w:style>
  <w:style w:type="character" w:customStyle="1" w:styleId="journalname">
    <w:name w:val="journalname"/>
    <w:basedOn w:val="DefaultParagraphFont"/>
    <w:rsid w:val="00DB3801"/>
  </w:style>
  <w:style w:type="character" w:customStyle="1" w:styleId="year">
    <w:name w:val="year"/>
    <w:basedOn w:val="DefaultParagraphFont"/>
    <w:rsid w:val="00DB3801"/>
  </w:style>
  <w:style w:type="character" w:customStyle="1" w:styleId="volume">
    <w:name w:val="volume"/>
    <w:basedOn w:val="DefaultParagraphFont"/>
    <w:rsid w:val="00DB3801"/>
  </w:style>
  <w:style w:type="character" w:customStyle="1" w:styleId="issue">
    <w:name w:val="issue"/>
    <w:basedOn w:val="DefaultParagraphFont"/>
    <w:rsid w:val="00DB3801"/>
  </w:style>
  <w:style w:type="character" w:customStyle="1" w:styleId="page">
    <w:name w:val="page"/>
    <w:basedOn w:val="DefaultParagraphFont"/>
    <w:rsid w:val="00DB3801"/>
  </w:style>
  <w:style w:type="paragraph" w:styleId="ListParagraph">
    <w:name w:val="List Paragraph"/>
    <w:basedOn w:val="Normal"/>
    <w:uiPriority w:val="34"/>
    <w:qFormat/>
    <w:rsid w:val="009418A6"/>
    <w:pPr>
      <w:ind w:left="720"/>
      <w:contextualSpacing/>
    </w:pPr>
  </w:style>
  <w:style w:type="character" w:styleId="FollowedHyperlink">
    <w:name w:val="FollowedHyperlink"/>
    <w:basedOn w:val="DefaultParagraphFont"/>
    <w:semiHidden/>
    <w:unhideWhenUsed/>
    <w:rsid w:val="003127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980637">
      <w:bodyDiv w:val="1"/>
      <w:marLeft w:val="0"/>
      <w:marRight w:val="0"/>
      <w:marTop w:val="0"/>
      <w:marBottom w:val="0"/>
      <w:divBdr>
        <w:top w:val="none" w:sz="0" w:space="0" w:color="auto"/>
        <w:left w:val="none" w:sz="0" w:space="0" w:color="auto"/>
        <w:bottom w:val="none" w:sz="0" w:space="0" w:color="auto"/>
        <w:right w:val="none" w:sz="0" w:space="0" w:color="auto"/>
      </w:divBdr>
    </w:div>
    <w:div w:id="142445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annonc/mdx656"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16/j.annonc.2020.08.2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12521</Words>
  <Characters>71370</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 Reilly</dc:creator>
  <cp:lastModifiedBy>Donna Fox</cp:lastModifiedBy>
  <cp:revision>2</cp:revision>
  <dcterms:created xsi:type="dcterms:W3CDTF">2021-03-06T23:12:00Z</dcterms:created>
  <dcterms:modified xsi:type="dcterms:W3CDTF">2021-03-06T23:12:00Z</dcterms:modified>
</cp:coreProperties>
</file>