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4D5F6" w14:textId="77777777" w:rsidR="00A77B3E" w:rsidRDefault="006E349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031264B" w14:textId="77777777" w:rsidR="00A77B3E" w:rsidRDefault="006E349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61335</w:t>
      </w:r>
    </w:p>
    <w:p w14:paraId="0896E2B1" w14:textId="77777777" w:rsidR="00A77B3E" w:rsidRDefault="006E349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F8352CE" w14:textId="77777777" w:rsidR="00A77B3E" w:rsidRDefault="00A77B3E">
      <w:pPr>
        <w:spacing w:line="360" w:lineRule="auto"/>
        <w:jc w:val="both"/>
      </w:pPr>
    </w:p>
    <w:p w14:paraId="0C0C6CA6" w14:textId="6C807ED3" w:rsidR="00A77B3E" w:rsidRDefault="006E349E">
      <w:pPr>
        <w:spacing w:line="360" w:lineRule="auto"/>
        <w:jc w:val="both"/>
      </w:pPr>
      <w:r>
        <w:rPr>
          <w:rFonts w:ascii="Book Antiqua" w:eastAsia="Book Antiqua" w:hAnsi="Book Antiqua" w:cs="Book Antiqua"/>
          <w:b/>
          <w:i/>
          <w:color w:val="000000"/>
        </w:rPr>
        <w:t xml:space="preserve">Retrospective </w:t>
      </w:r>
      <w:r w:rsidR="00890DAF" w:rsidRPr="00890DAF">
        <w:rPr>
          <w:rFonts w:ascii="Book Antiqua" w:eastAsia="Book Antiqua" w:hAnsi="Book Antiqua" w:cs="Book Antiqua"/>
          <w:b/>
          <w:i/>
          <w:color w:val="000000"/>
        </w:rPr>
        <w:t>Cohort</w:t>
      </w:r>
      <w:r w:rsidR="00890DAF">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53B0DE8A" w14:textId="77777777" w:rsidR="00A77B3E" w:rsidRDefault="006E349E">
      <w:pPr>
        <w:spacing w:line="360" w:lineRule="auto"/>
        <w:jc w:val="both"/>
      </w:pPr>
      <w:r>
        <w:rPr>
          <w:rFonts w:ascii="Book Antiqua" w:eastAsia="Book Antiqua" w:hAnsi="Book Antiqua" w:cs="Book Antiqua"/>
          <w:b/>
          <w:bCs/>
          <w:color w:val="000000"/>
        </w:rPr>
        <w:t>Non-responsive celiac disease in children on a gluten free diet</w:t>
      </w:r>
    </w:p>
    <w:p w14:paraId="435643DA" w14:textId="77777777" w:rsidR="00A77B3E" w:rsidRDefault="00A77B3E">
      <w:pPr>
        <w:spacing w:line="360" w:lineRule="auto"/>
        <w:jc w:val="both"/>
      </w:pPr>
    </w:p>
    <w:p w14:paraId="5F75D55D" w14:textId="0A67F6BF" w:rsidR="00A77B3E" w:rsidRDefault="006E349E">
      <w:pPr>
        <w:spacing w:line="360" w:lineRule="auto"/>
        <w:jc w:val="both"/>
      </w:pPr>
      <w:proofErr w:type="spellStart"/>
      <w:r>
        <w:rPr>
          <w:rFonts w:ascii="Book Antiqua" w:eastAsia="Book Antiqua" w:hAnsi="Book Antiqua" w:cs="Book Antiqua"/>
          <w:color w:val="000000"/>
        </w:rPr>
        <w:t>Veeraraghavan</w:t>
      </w:r>
      <w:proofErr w:type="spellEnd"/>
      <w:r>
        <w:rPr>
          <w:rFonts w:ascii="Book Antiqua" w:eastAsia="Book Antiqua" w:hAnsi="Book Antiqua" w:cs="Book Antiqua"/>
          <w:color w:val="000000"/>
        </w:rPr>
        <w:t xml:space="preserve"> G </w:t>
      </w:r>
      <w:r>
        <w:rPr>
          <w:rFonts w:ascii="Book Antiqua" w:eastAsia="Book Antiqua" w:hAnsi="Book Antiqua" w:cs="Book Antiqua"/>
          <w:i/>
          <w:iCs/>
          <w:color w:val="000000"/>
        </w:rPr>
        <w:t>et al</w:t>
      </w:r>
      <w:r>
        <w:rPr>
          <w:rFonts w:ascii="Book Antiqua" w:eastAsia="Book Antiqua" w:hAnsi="Book Antiqua" w:cs="Book Antiqua"/>
          <w:color w:val="000000"/>
        </w:rPr>
        <w:t>. Non</w:t>
      </w:r>
      <w:r w:rsidR="005066BB">
        <w:rPr>
          <w:rFonts w:ascii="Book Antiqua" w:eastAsia="Book Antiqua" w:hAnsi="Book Antiqua" w:cs="Book Antiqua"/>
          <w:color w:val="000000"/>
        </w:rPr>
        <w:t>-responsive celiac disease in chil</w:t>
      </w:r>
      <w:r>
        <w:rPr>
          <w:rFonts w:ascii="Book Antiqua" w:eastAsia="Book Antiqua" w:hAnsi="Book Antiqua" w:cs="Book Antiqua"/>
          <w:color w:val="000000"/>
        </w:rPr>
        <w:t>dren</w:t>
      </w:r>
    </w:p>
    <w:p w14:paraId="46874274" w14:textId="77777777" w:rsidR="00A77B3E" w:rsidRDefault="00A77B3E">
      <w:pPr>
        <w:spacing w:line="360" w:lineRule="auto"/>
        <w:jc w:val="both"/>
      </w:pPr>
    </w:p>
    <w:p w14:paraId="4E0D24AC" w14:textId="41AA931E" w:rsidR="00A77B3E" w:rsidRDefault="006E349E">
      <w:pPr>
        <w:spacing w:line="360" w:lineRule="auto"/>
        <w:jc w:val="both"/>
      </w:pPr>
      <w:r>
        <w:rPr>
          <w:rFonts w:ascii="Book Antiqua" w:eastAsia="Book Antiqua" w:hAnsi="Book Antiqua" w:cs="Book Antiqua"/>
          <w:color w:val="000000"/>
        </w:rPr>
        <w:t xml:space="preserve">Gopal </w:t>
      </w:r>
      <w:proofErr w:type="spellStart"/>
      <w:r>
        <w:rPr>
          <w:rFonts w:ascii="Book Antiqua" w:eastAsia="Book Antiqua" w:hAnsi="Book Antiqua" w:cs="Book Antiqua"/>
          <w:color w:val="000000"/>
        </w:rPr>
        <w:t>Veeraraghavan</w:t>
      </w:r>
      <w:proofErr w:type="spellEnd"/>
      <w:r>
        <w:rPr>
          <w:rFonts w:ascii="Book Antiqua" w:eastAsia="Book Antiqua" w:hAnsi="Book Antiqua" w:cs="Book Antiqua"/>
          <w:color w:val="000000"/>
        </w:rPr>
        <w:t xml:space="preserve">, Amelie Therrien, Maya </w:t>
      </w:r>
      <w:proofErr w:type="spellStart"/>
      <w:r>
        <w:rPr>
          <w:rFonts w:ascii="Book Antiqua" w:eastAsia="Book Antiqua" w:hAnsi="Book Antiqua" w:cs="Book Antiqua"/>
          <w:color w:val="000000"/>
        </w:rPr>
        <w:t>Degroote</w:t>
      </w:r>
      <w:proofErr w:type="spellEnd"/>
      <w:r>
        <w:rPr>
          <w:rFonts w:ascii="Book Antiqua" w:eastAsia="Book Antiqua" w:hAnsi="Book Antiqua" w:cs="Book Antiqua"/>
          <w:color w:val="000000"/>
        </w:rPr>
        <w:t xml:space="preserve">, Allison McKeown, Paul D Mitchell, Jocelyn A Silvester, Daniel A Leffler, Alan M </w:t>
      </w:r>
      <w:proofErr w:type="spellStart"/>
      <w:r>
        <w:rPr>
          <w:rFonts w:ascii="Book Antiqua" w:eastAsia="Book Antiqua" w:hAnsi="Book Antiqua" w:cs="Book Antiqua"/>
          <w:color w:val="000000"/>
        </w:rPr>
        <w:t>Leichtner</w:t>
      </w:r>
      <w:proofErr w:type="spellEnd"/>
      <w:r>
        <w:rPr>
          <w:rFonts w:ascii="Book Antiqua" w:eastAsia="Book Antiqua" w:hAnsi="Book Antiqua" w:cs="Book Antiqua"/>
          <w:color w:val="000000"/>
        </w:rPr>
        <w:t xml:space="preserve">, Ciaran P Kelly, </w:t>
      </w:r>
      <w:proofErr w:type="spellStart"/>
      <w:r>
        <w:rPr>
          <w:rFonts w:ascii="Book Antiqua" w:eastAsia="Book Antiqua" w:hAnsi="Book Antiqua" w:cs="Book Antiqua"/>
          <w:color w:val="000000"/>
        </w:rPr>
        <w:t>Dascha</w:t>
      </w:r>
      <w:proofErr w:type="spellEnd"/>
      <w:r>
        <w:rPr>
          <w:rFonts w:ascii="Book Antiqua" w:eastAsia="Book Antiqua" w:hAnsi="Book Antiqua" w:cs="Book Antiqua"/>
          <w:color w:val="000000"/>
        </w:rPr>
        <w:t xml:space="preserve"> </w:t>
      </w:r>
      <w:r w:rsidR="00A77FE5">
        <w:rPr>
          <w:rFonts w:ascii="Book Antiqua" w:eastAsia="Book Antiqua" w:hAnsi="Book Antiqua" w:cs="Book Antiqua"/>
          <w:color w:val="000000"/>
        </w:rPr>
        <w:t xml:space="preserve">C </w:t>
      </w:r>
      <w:r>
        <w:rPr>
          <w:rFonts w:ascii="Book Antiqua" w:eastAsia="Book Antiqua" w:hAnsi="Book Antiqua" w:cs="Book Antiqua"/>
          <w:color w:val="000000"/>
        </w:rPr>
        <w:t>Weir</w:t>
      </w:r>
    </w:p>
    <w:p w14:paraId="6944ADBA" w14:textId="77777777" w:rsidR="00A77B3E" w:rsidRDefault="00A77B3E">
      <w:pPr>
        <w:spacing w:line="360" w:lineRule="auto"/>
        <w:jc w:val="both"/>
      </w:pPr>
    </w:p>
    <w:p w14:paraId="0AC9B135" w14:textId="57BFAB30" w:rsidR="00A77B3E" w:rsidRDefault="006E349E">
      <w:pPr>
        <w:spacing w:line="360" w:lineRule="auto"/>
        <w:jc w:val="both"/>
      </w:pPr>
      <w:r>
        <w:rPr>
          <w:rFonts w:ascii="Book Antiqua" w:eastAsia="Book Antiqua" w:hAnsi="Book Antiqua" w:cs="Book Antiqua"/>
          <w:b/>
          <w:bCs/>
          <w:color w:val="000000"/>
        </w:rPr>
        <w:t xml:space="preserve">Gopal </w:t>
      </w:r>
      <w:proofErr w:type="spellStart"/>
      <w:r>
        <w:rPr>
          <w:rFonts w:ascii="Book Antiqua" w:eastAsia="Book Antiqua" w:hAnsi="Book Antiqua" w:cs="Book Antiqua"/>
          <w:b/>
          <w:bCs/>
          <w:color w:val="000000"/>
        </w:rPr>
        <w:t>Veeraraghavan</w:t>
      </w:r>
      <w:proofErr w:type="spellEnd"/>
      <w:r>
        <w:rPr>
          <w:rFonts w:ascii="Book Antiqua" w:eastAsia="Book Antiqua" w:hAnsi="Book Antiqua" w:cs="Book Antiqua"/>
          <w:b/>
          <w:bCs/>
          <w:color w:val="000000"/>
        </w:rPr>
        <w:t xml:space="preserve">, Amelie Therrien, Maya </w:t>
      </w:r>
      <w:proofErr w:type="spellStart"/>
      <w:r>
        <w:rPr>
          <w:rFonts w:ascii="Book Antiqua" w:eastAsia="Book Antiqua" w:hAnsi="Book Antiqua" w:cs="Book Antiqua"/>
          <w:b/>
          <w:bCs/>
          <w:color w:val="000000"/>
        </w:rPr>
        <w:t>Degroote</w:t>
      </w:r>
      <w:proofErr w:type="spellEnd"/>
      <w:r>
        <w:rPr>
          <w:rFonts w:ascii="Book Antiqua" w:eastAsia="Book Antiqua" w:hAnsi="Book Antiqua" w:cs="Book Antiqua"/>
          <w:b/>
          <w:bCs/>
          <w:color w:val="000000"/>
        </w:rPr>
        <w:t xml:space="preserve">, Allison McKeown, Jocelyn A Silvester, Alan M </w:t>
      </w:r>
      <w:proofErr w:type="spellStart"/>
      <w:r>
        <w:rPr>
          <w:rFonts w:ascii="Book Antiqua" w:eastAsia="Book Antiqua" w:hAnsi="Book Antiqua" w:cs="Book Antiqua"/>
          <w:b/>
          <w:bCs/>
          <w:color w:val="000000"/>
        </w:rPr>
        <w:t>Leichtner</w:t>
      </w:r>
      <w:proofErr w:type="spellEnd"/>
      <w:r>
        <w:rPr>
          <w:rFonts w:ascii="Book Antiqua" w:eastAsia="Book Antiqua" w:hAnsi="Book Antiqua" w:cs="Book Antiqua"/>
          <w:b/>
          <w:bCs/>
          <w:color w:val="000000"/>
        </w:rPr>
        <w:t>,</w:t>
      </w:r>
      <w:r w:rsidR="00387661">
        <w:rPr>
          <w:rFonts w:ascii="Book Antiqua" w:eastAsia="Book Antiqua" w:hAnsi="Book Antiqua" w:cs="Book Antiqua"/>
          <w:b/>
          <w:bCs/>
          <w:color w:val="000000"/>
        </w:rPr>
        <w:t xml:space="preserve"> </w:t>
      </w:r>
      <w:proofErr w:type="spellStart"/>
      <w:r w:rsidR="00387661">
        <w:rPr>
          <w:rFonts w:ascii="Book Antiqua" w:eastAsia="Book Antiqua" w:hAnsi="Book Antiqua" w:cs="Book Antiqua"/>
          <w:b/>
          <w:bCs/>
          <w:color w:val="000000"/>
        </w:rPr>
        <w:t>Dascha</w:t>
      </w:r>
      <w:proofErr w:type="spellEnd"/>
      <w:r w:rsidR="00387661">
        <w:rPr>
          <w:rFonts w:ascii="Book Antiqua" w:eastAsia="Book Antiqua" w:hAnsi="Book Antiqua" w:cs="Book Antiqua"/>
          <w:b/>
          <w:bCs/>
          <w:color w:val="000000"/>
        </w:rPr>
        <w:t xml:space="preserve"> </w:t>
      </w:r>
      <w:r w:rsidR="005B3C9B">
        <w:rPr>
          <w:rFonts w:ascii="Book Antiqua" w:eastAsia="Book Antiqua" w:hAnsi="Book Antiqua" w:cs="Book Antiqua"/>
          <w:b/>
          <w:bCs/>
          <w:color w:val="000000"/>
        </w:rPr>
        <w:t xml:space="preserve">C </w:t>
      </w:r>
      <w:r w:rsidR="00387661">
        <w:rPr>
          <w:rFonts w:ascii="Book Antiqua" w:eastAsia="Book Antiqua" w:hAnsi="Book Antiqua" w:cs="Book Antiqua"/>
          <w:b/>
          <w:bCs/>
          <w:color w:val="000000"/>
        </w:rPr>
        <w:t>Weir</w:t>
      </w:r>
      <w:r w:rsidR="00BF7E15">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Hepatology and Nutrition, Boston Children's Hospital, Boston, MA 02115, United States</w:t>
      </w:r>
    </w:p>
    <w:p w14:paraId="76A002A9" w14:textId="77777777" w:rsidR="00A77B3E" w:rsidRDefault="00A77B3E">
      <w:pPr>
        <w:spacing w:line="360" w:lineRule="auto"/>
        <w:jc w:val="both"/>
      </w:pPr>
    </w:p>
    <w:p w14:paraId="73930760" w14:textId="77777777" w:rsidR="00A77B3E" w:rsidRDefault="006E349E">
      <w:pPr>
        <w:spacing w:line="360" w:lineRule="auto"/>
        <w:jc w:val="both"/>
      </w:pPr>
      <w:r>
        <w:rPr>
          <w:rFonts w:ascii="Book Antiqua" w:eastAsia="Book Antiqua" w:hAnsi="Book Antiqua" w:cs="Book Antiqua"/>
          <w:b/>
          <w:bCs/>
          <w:color w:val="000000"/>
        </w:rPr>
        <w:t xml:space="preserve">Gopal </w:t>
      </w:r>
      <w:proofErr w:type="spellStart"/>
      <w:r>
        <w:rPr>
          <w:rFonts w:ascii="Book Antiqua" w:eastAsia="Book Antiqua" w:hAnsi="Book Antiqua" w:cs="Book Antiqua"/>
          <w:b/>
          <w:bCs/>
          <w:color w:val="000000"/>
        </w:rPr>
        <w:t>Veeraraghavan</w:t>
      </w:r>
      <w:proofErr w:type="spellEnd"/>
      <w:r>
        <w:rPr>
          <w:rFonts w:ascii="Book Antiqua" w:eastAsia="Book Antiqua" w:hAnsi="Book Antiqua" w:cs="Book Antiqua"/>
          <w:b/>
          <w:bCs/>
          <w:color w:val="000000"/>
        </w:rPr>
        <w:t xml:space="preserve">, Amelie Therrien, Jocelyn A Silvester, Daniel A Leffler, Ciaran P Kelly, </w:t>
      </w:r>
      <w:r>
        <w:rPr>
          <w:rFonts w:ascii="Book Antiqua" w:eastAsia="Book Antiqua" w:hAnsi="Book Antiqua" w:cs="Book Antiqua"/>
          <w:color w:val="000000"/>
        </w:rPr>
        <w:t>The Celiac Center, Department of Medicine and Division of Gastroenterology, Beth Israel Deaconess Medical Center, Boston, MA 02215, United States</w:t>
      </w:r>
    </w:p>
    <w:p w14:paraId="6A8EE2FC" w14:textId="77777777" w:rsidR="00A77B3E" w:rsidRDefault="00A77B3E">
      <w:pPr>
        <w:spacing w:line="360" w:lineRule="auto"/>
        <w:jc w:val="both"/>
      </w:pPr>
    </w:p>
    <w:p w14:paraId="06A6DA28" w14:textId="267F88D1" w:rsidR="00A77B3E" w:rsidRDefault="006E349E">
      <w:pPr>
        <w:spacing w:line="360" w:lineRule="auto"/>
        <w:jc w:val="both"/>
      </w:pPr>
      <w:r>
        <w:rPr>
          <w:rFonts w:ascii="Book Antiqua" w:eastAsia="Book Antiqua" w:hAnsi="Book Antiqua" w:cs="Book Antiqua"/>
          <w:b/>
          <w:bCs/>
          <w:color w:val="000000"/>
        </w:rPr>
        <w:t xml:space="preserve">Gopal </w:t>
      </w:r>
      <w:proofErr w:type="spellStart"/>
      <w:r>
        <w:rPr>
          <w:rFonts w:ascii="Book Antiqua" w:eastAsia="Book Antiqua" w:hAnsi="Book Antiqua" w:cs="Book Antiqua"/>
          <w:b/>
          <w:bCs/>
          <w:color w:val="000000"/>
        </w:rPr>
        <w:t>Veeraraghavan</w:t>
      </w:r>
      <w:proofErr w:type="spellEnd"/>
      <w:r>
        <w:rPr>
          <w:rFonts w:ascii="Book Antiqua" w:eastAsia="Book Antiqua" w:hAnsi="Book Antiqua" w:cs="Book Antiqua"/>
          <w:b/>
          <w:bCs/>
          <w:color w:val="000000"/>
        </w:rPr>
        <w:t xml:space="preserve">, Amelie Therrien, Jocelyn A Silvester, Daniel A Leffler, Alan M </w:t>
      </w:r>
      <w:proofErr w:type="spellStart"/>
      <w:r>
        <w:rPr>
          <w:rFonts w:ascii="Book Antiqua" w:eastAsia="Book Antiqua" w:hAnsi="Book Antiqua" w:cs="Book Antiqua"/>
          <w:b/>
          <w:bCs/>
          <w:color w:val="000000"/>
        </w:rPr>
        <w:t>Leichtner</w:t>
      </w:r>
      <w:proofErr w:type="spellEnd"/>
      <w:r>
        <w:rPr>
          <w:rFonts w:ascii="Book Antiqua" w:eastAsia="Book Antiqua" w:hAnsi="Book Antiqua" w:cs="Book Antiqua"/>
          <w:b/>
          <w:bCs/>
          <w:color w:val="000000"/>
        </w:rPr>
        <w:t xml:space="preserve">, Ciaran P Kelly, </w:t>
      </w:r>
      <w:proofErr w:type="spellStart"/>
      <w:r>
        <w:rPr>
          <w:rFonts w:ascii="Book Antiqua" w:eastAsia="Book Antiqua" w:hAnsi="Book Antiqua" w:cs="Book Antiqua"/>
          <w:b/>
          <w:bCs/>
          <w:color w:val="000000"/>
        </w:rPr>
        <w:t>Dascha</w:t>
      </w:r>
      <w:proofErr w:type="spellEnd"/>
      <w:r>
        <w:rPr>
          <w:rFonts w:ascii="Book Antiqua" w:eastAsia="Book Antiqua" w:hAnsi="Book Antiqua" w:cs="Book Antiqua"/>
          <w:b/>
          <w:bCs/>
          <w:color w:val="000000"/>
        </w:rPr>
        <w:t xml:space="preserve"> </w:t>
      </w:r>
      <w:r w:rsidR="005B3C9B">
        <w:rPr>
          <w:rFonts w:ascii="Book Antiqua" w:eastAsia="Book Antiqua" w:hAnsi="Book Antiqua" w:cs="Book Antiqua"/>
          <w:b/>
          <w:bCs/>
          <w:color w:val="000000"/>
        </w:rPr>
        <w:t xml:space="preserve">C </w:t>
      </w:r>
      <w:r>
        <w:rPr>
          <w:rFonts w:ascii="Book Antiqua" w:eastAsia="Book Antiqua" w:hAnsi="Book Antiqua" w:cs="Book Antiqua"/>
          <w:b/>
          <w:bCs/>
          <w:color w:val="000000"/>
        </w:rPr>
        <w:t xml:space="preserve">Weir, </w:t>
      </w:r>
      <w:r>
        <w:rPr>
          <w:rFonts w:ascii="Book Antiqua" w:eastAsia="Book Antiqua" w:hAnsi="Book Antiqua" w:cs="Book Antiqua"/>
          <w:color w:val="000000"/>
        </w:rPr>
        <w:t>Celiac Research Program, Harvard Medical School, Boston, MA 02115, United States</w:t>
      </w:r>
    </w:p>
    <w:p w14:paraId="4A0BE6A1" w14:textId="77777777" w:rsidR="00A77B3E" w:rsidRDefault="00A77B3E">
      <w:pPr>
        <w:spacing w:line="360" w:lineRule="auto"/>
        <w:jc w:val="both"/>
      </w:pPr>
    </w:p>
    <w:p w14:paraId="7B9E869D" w14:textId="4E456850" w:rsidR="00A77B3E" w:rsidRDefault="006E349E">
      <w:pPr>
        <w:spacing w:line="360" w:lineRule="auto"/>
        <w:jc w:val="both"/>
      </w:pPr>
      <w:r>
        <w:rPr>
          <w:rFonts w:ascii="Book Antiqua" w:eastAsia="Book Antiqua" w:hAnsi="Book Antiqua" w:cs="Book Antiqua"/>
          <w:b/>
          <w:bCs/>
          <w:color w:val="000000"/>
        </w:rPr>
        <w:t xml:space="preserve">Paul D Mitchell, </w:t>
      </w:r>
      <w:r>
        <w:rPr>
          <w:rFonts w:ascii="Book Antiqua" w:eastAsia="Book Antiqua" w:hAnsi="Book Antiqua" w:cs="Book Antiqua"/>
          <w:color w:val="000000"/>
        </w:rPr>
        <w:t>Institutional Centers for Clinical and Translational Research, Boston Children's Hospital, Boston, MA 02115, United States</w:t>
      </w:r>
    </w:p>
    <w:p w14:paraId="7603B451" w14:textId="77777777" w:rsidR="00A77B3E" w:rsidRDefault="00A77B3E">
      <w:pPr>
        <w:spacing w:line="360" w:lineRule="auto"/>
        <w:jc w:val="both"/>
      </w:pPr>
    </w:p>
    <w:p w14:paraId="07298875" w14:textId="58472C80" w:rsidR="00A77B3E" w:rsidRDefault="006E349E">
      <w:pPr>
        <w:spacing w:line="360" w:lineRule="auto"/>
        <w:jc w:val="both"/>
      </w:pPr>
      <w:r>
        <w:rPr>
          <w:rFonts w:ascii="Book Antiqua" w:eastAsia="Book Antiqua" w:hAnsi="Book Antiqua" w:cs="Book Antiqua"/>
          <w:b/>
          <w:bCs/>
          <w:color w:val="000000"/>
        </w:rPr>
        <w:t xml:space="preserve">Daniel A Leffler, </w:t>
      </w:r>
      <w:r>
        <w:rPr>
          <w:rFonts w:ascii="Book Antiqua" w:eastAsia="Book Antiqua" w:hAnsi="Book Antiqua" w:cs="Book Antiqua"/>
          <w:color w:val="000000"/>
        </w:rPr>
        <w:t>Gastrointestinal Therapeutics, Takeda Pharmaceutical International Co, Cambridge, MA 02139, United States</w:t>
      </w:r>
    </w:p>
    <w:p w14:paraId="4279EFC2" w14:textId="77777777" w:rsidR="00A77B3E" w:rsidRDefault="00A77B3E">
      <w:pPr>
        <w:spacing w:line="360" w:lineRule="auto"/>
        <w:jc w:val="both"/>
      </w:pPr>
    </w:p>
    <w:p w14:paraId="5AEFB19A" w14:textId="58F8AC04" w:rsidR="00A77B3E" w:rsidRDefault="006E349E">
      <w:pPr>
        <w:spacing w:line="360" w:lineRule="auto"/>
        <w:jc w:val="both"/>
      </w:pPr>
      <w:r>
        <w:rPr>
          <w:rFonts w:ascii="Book Antiqua" w:eastAsia="Book Antiqua" w:hAnsi="Book Antiqua" w:cs="Book Antiqua"/>
          <w:b/>
          <w:bCs/>
          <w:color w:val="000000"/>
          <w:szCs w:val="22"/>
        </w:rPr>
        <w:t xml:space="preserve">Author </w:t>
      </w:r>
      <w:bookmarkStart w:id="0" w:name="_Hlk61623514"/>
      <w:r>
        <w:rPr>
          <w:rFonts w:ascii="Book Antiqua" w:eastAsia="Book Antiqua" w:hAnsi="Book Antiqua" w:cs="Book Antiqua"/>
          <w:b/>
          <w:bCs/>
          <w:color w:val="000000"/>
          <w:szCs w:val="22"/>
        </w:rPr>
        <w:t>contribut</w:t>
      </w:r>
      <w:bookmarkEnd w:id="0"/>
      <w:r>
        <w:rPr>
          <w:rFonts w:ascii="Book Antiqua" w:eastAsia="Book Antiqua" w:hAnsi="Book Antiqua" w:cs="Book Antiqua"/>
          <w:b/>
          <w:bCs/>
          <w:color w:val="000000"/>
          <w:szCs w:val="22"/>
        </w:rPr>
        <w:t xml:space="preserve">ions: </w:t>
      </w:r>
      <w:proofErr w:type="spellStart"/>
      <w:r w:rsidR="005066BB">
        <w:rPr>
          <w:rFonts w:ascii="Book Antiqua" w:eastAsia="Book Antiqua" w:hAnsi="Book Antiqua" w:cs="Book Antiqua"/>
          <w:color w:val="000000"/>
        </w:rPr>
        <w:t>Veeraraghavan</w:t>
      </w:r>
      <w:proofErr w:type="spellEnd"/>
      <w:r w:rsidR="005066BB">
        <w:rPr>
          <w:rFonts w:ascii="Book Antiqua" w:eastAsia="Book Antiqua" w:hAnsi="Book Antiqua" w:cs="Book Antiqua"/>
          <w:color w:val="000000"/>
        </w:rPr>
        <w:t xml:space="preserve"> G, McKeown</w:t>
      </w:r>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 xml:space="preserve">A, </w:t>
      </w:r>
      <w:proofErr w:type="spellStart"/>
      <w:r w:rsidR="005066BB">
        <w:rPr>
          <w:rFonts w:ascii="Book Antiqua" w:eastAsia="Book Antiqua" w:hAnsi="Book Antiqua" w:cs="Book Antiqua"/>
          <w:color w:val="000000"/>
        </w:rPr>
        <w:t>Degroote</w:t>
      </w:r>
      <w:proofErr w:type="spellEnd"/>
      <w:r w:rsidR="005066BB">
        <w:rPr>
          <w:rFonts w:ascii="Book Antiqua" w:eastAsia="Book Antiqua" w:hAnsi="Book Antiqua" w:cs="Book Antiqua"/>
          <w:color w:val="000000"/>
        </w:rPr>
        <w:t xml:space="preserve"> M, Silvester JA, Leffler DA, </w:t>
      </w:r>
      <w:proofErr w:type="spellStart"/>
      <w:r w:rsidR="005066BB">
        <w:rPr>
          <w:rFonts w:ascii="Book Antiqua" w:eastAsia="Book Antiqua" w:hAnsi="Book Antiqua" w:cs="Book Antiqua"/>
          <w:color w:val="000000"/>
        </w:rPr>
        <w:t>Leichtner</w:t>
      </w:r>
      <w:proofErr w:type="spellEnd"/>
      <w:r w:rsidR="005066BB">
        <w:rPr>
          <w:rFonts w:ascii="Book Antiqua" w:eastAsia="Book Antiqua" w:hAnsi="Book Antiqua" w:cs="Book Antiqua"/>
          <w:color w:val="000000"/>
        </w:rPr>
        <w:t xml:space="preserve"> AM, Kelly CP and Weir D</w:t>
      </w:r>
      <w:r w:rsidR="00FC7991">
        <w:rPr>
          <w:rFonts w:ascii="Book Antiqua" w:eastAsia="Book Antiqua" w:hAnsi="Book Antiqua" w:cs="Book Antiqua"/>
          <w:color w:val="000000"/>
        </w:rPr>
        <w:t>C</w:t>
      </w:r>
      <w:r w:rsidR="005066BB">
        <w:rPr>
          <w:rFonts w:ascii="Book Antiqua" w:eastAsia="Book Antiqua" w:hAnsi="Book Antiqua" w:cs="Book Antiqua"/>
          <w:color w:val="000000"/>
        </w:rPr>
        <w:t xml:space="preserve"> </w:t>
      </w:r>
      <w:r w:rsidR="005066BB" w:rsidRPr="005066BB">
        <w:rPr>
          <w:rFonts w:ascii="Book Antiqua" w:eastAsia="Book Antiqua" w:hAnsi="Book Antiqua" w:cs="Book Antiqua"/>
          <w:color w:val="000000"/>
        </w:rPr>
        <w:t>contribut</w:t>
      </w:r>
      <w:r w:rsidR="005066BB">
        <w:rPr>
          <w:rFonts w:ascii="Book Antiqua" w:eastAsia="Book Antiqua" w:hAnsi="Book Antiqua" w:cs="Book Antiqua"/>
          <w:color w:val="000000"/>
        </w:rPr>
        <w:t>ed p</w:t>
      </w:r>
      <w:r>
        <w:rPr>
          <w:rFonts w:ascii="Book Antiqua" w:eastAsia="Book Antiqua" w:hAnsi="Book Antiqua" w:cs="Book Antiqua"/>
          <w:color w:val="000000"/>
        </w:rPr>
        <w:t>lanning and/or conducting the study</w:t>
      </w:r>
      <w:r w:rsidR="005066B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5066BB">
        <w:rPr>
          <w:rFonts w:ascii="Book Antiqua" w:eastAsia="Book Antiqua" w:hAnsi="Book Antiqua" w:cs="Book Antiqua"/>
          <w:color w:val="000000"/>
        </w:rPr>
        <w:t>Veeraraghavan</w:t>
      </w:r>
      <w:proofErr w:type="spellEnd"/>
      <w:r w:rsidR="005066BB">
        <w:rPr>
          <w:rFonts w:ascii="Book Antiqua" w:eastAsia="Book Antiqua" w:hAnsi="Book Antiqua" w:cs="Book Antiqua"/>
          <w:color w:val="000000"/>
        </w:rPr>
        <w:t xml:space="preserve"> G,</w:t>
      </w:r>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Therrien</w:t>
      </w:r>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 xml:space="preserve">A, </w:t>
      </w:r>
      <w:proofErr w:type="spellStart"/>
      <w:r w:rsidR="005066BB">
        <w:rPr>
          <w:rFonts w:ascii="Book Antiqua" w:eastAsia="Book Antiqua" w:hAnsi="Book Antiqua" w:cs="Book Antiqua"/>
          <w:color w:val="000000"/>
        </w:rPr>
        <w:t>Degroote</w:t>
      </w:r>
      <w:proofErr w:type="spellEnd"/>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M, McKeown</w:t>
      </w:r>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A, Mitchell</w:t>
      </w:r>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PD, Silvester</w:t>
      </w:r>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JA and Weir D</w:t>
      </w:r>
      <w:r w:rsidR="00FC7991">
        <w:rPr>
          <w:rFonts w:ascii="Book Antiqua" w:eastAsia="Book Antiqua" w:hAnsi="Book Antiqua" w:cs="Book Antiqua"/>
          <w:color w:val="000000"/>
        </w:rPr>
        <w:t>C</w:t>
      </w:r>
      <w:r w:rsidR="005066BB" w:rsidRPr="005066BB">
        <w:rPr>
          <w:rFonts w:ascii="Book Antiqua" w:eastAsia="Book Antiqua" w:hAnsi="Book Antiqua" w:cs="Book Antiqua"/>
          <w:color w:val="000000"/>
        </w:rPr>
        <w:t xml:space="preserve"> contribut</w:t>
      </w:r>
      <w:r w:rsidR="005066BB">
        <w:rPr>
          <w:rFonts w:ascii="Book Antiqua" w:eastAsia="Book Antiqua" w:hAnsi="Book Antiqua" w:cs="Book Antiqua"/>
          <w:color w:val="000000"/>
        </w:rPr>
        <w:t>ed c</w:t>
      </w:r>
      <w:r>
        <w:rPr>
          <w:rFonts w:ascii="Book Antiqua" w:eastAsia="Book Antiqua" w:hAnsi="Book Antiqua" w:cs="Book Antiqua"/>
          <w:color w:val="000000"/>
        </w:rPr>
        <w:t>ollecting and/or interpreting data</w:t>
      </w:r>
      <w:r w:rsidR="005066B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5066BB">
        <w:rPr>
          <w:rFonts w:ascii="Book Antiqua" w:eastAsia="Book Antiqua" w:hAnsi="Book Antiqua" w:cs="Book Antiqua"/>
          <w:color w:val="000000"/>
        </w:rPr>
        <w:t>Veeraraghavan</w:t>
      </w:r>
      <w:proofErr w:type="spellEnd"/>
      <w:r w:rsidR="005066BB">
        <w:rPr>
          <w:rFonts w:ascii="Book Antiqua" w:eastAsia="Book Antiqua" w:hAnsi="Book Antiqua" w:cs="Book Antiqua"/>
          <w:color w:val="000000"/>
        </w:rPr>
        <w:t xml:space="preserve"> G, Therrien</w:t>
      </w:r>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 xml:space="preserve">A, </w:t>
      </w:r>
      <w:proofErr w:type="spellStart"/>
      <w:r w:rsidR="005066BB">
        <w:rPr>
          <w:rFonts w:ascii="Book Antiqua" w:eastAsia="Book Antiqua" w:hAnsi="Book Antiqua" w:cs="Book Antiqua"/>
          <w:color w:val="000000"/>
        </w:rPr>
        <w:t>Degroote</w:t>
      </w:r>
      <w:proofErr w:type="spellEnd"/>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M, Mitchell</w:t>
      </w:r>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PD, Silvester</w:t>
      </w:r>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 xml:space="preserve">JA, Leffler DA, </w:t>
      </w:r>
      <w:proofErr w:type="spellStart"/>
      <w:r w:rsidR="005066BB">
        <w:rPr>
          <w:rFonts w:ascii="Book Antiqua" w:eastAsia="Book Antiqua" w:hAnsi="Book Antiqua" w:cs="Book Antiqua"/>
          <w:color w:val="000000"/>
        </w:rPr>
        <w:t>Leichtner</w:t>
      </w:r>
      <w:proofErr w:type="spellEnd"/>
      <w:r w:rsidR="005066BB">
        <w:rPr>
          <w:rFonts w:ascii="Book Antiqua" w:eastAsia="Book Antiqua" w:hAnsi="Book Antiqua" w:cs="Book Antiqua"/>
          <w:color w:val="000000"/>
        </w:rPr>
        <w:t xml:space="preserve"> AM, Kelly CP and Weir D</w:t>
      </w:r>
      <w:r w:rsidR="00FC7991">
        <w:rPr>
          <w:rFonts w:ascii="Book Antiqua" w:eastAsia="Book Antiqua" w:hAnsi="Book Antiqua" w:cs="Book Antiqua"/>
          <w:color w:val="000000"/>
        </w:rPr>
        <w:t>C</w:t>
      </w:r>
      <w:r w:rsidR="005066BB" w:rsidRPr="005066BB">
        <w:rPr>
          <w:rFonts w:ascii="Book Antiqua" w:eastAsia="Book Antiqua" w:hAnsi="Book Antiqua" w:cs="Book Antiqua"/>
          <w:color w:val="000000"/>
        </w:rPr>
        <w:t xml:space="preserve"> contribut</w:t>
      </w:r>
      <w:r w:rsidR="005066BB">
        <w:rPr>
          <w:rFonts w:ascii="Book Antiqua" w:eastAsia="Book Antiqua" w:hAnsi="Book Antiqua" w:cs="Book Antiqua"/>
          <w:color w:val="000000"/>
        </w:rPr>
        <w:t>ed d</w:t>
      </w:r>
      <w:r>
        <w:rPr>
          <w:rFonts w:ascii="Book Antiqua" w:eastAsia="Book Antiqua" w:hAnsi="Book Antiqua" w:cs="Book Antiqua"/>
          <w:color w:val="000000"/>
        </w:rPr>
        <w:t>rafting the manuscript</w:t>
      </w:r>
      <w:r w:rsidR="005066BB">
        <w:rPr>
          <w:rFonts w:ascii="Book Antiqua" w:eastAsia="Book Antiqua" w:hAnsi="Book Antiqua" w:cs="Book Antiqua"/>
          <w:color w:val="000000"/>
        </w:rPr>
        <w:t>.</w:t>
      </w:r>
    </w:p>
    <w:p w14:paraId="387D4FC4" w14:textId="77777777" w:rsidR="00A77B3E" w:rsidRDefault="00A77B3E">
      <w:pPr>
        <w:spacing w:line="360" w:lineRule="auto"/>
        <w:jc w:val="both"/>
      </w:pPr>
    </w:p>
    <w:p w14:paraId="3A69DE7B" w14:textId="307FDD0D" w:rsidR="00A77B3E" w:rsidRDefault="006E349E">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 xml:space="preserve">Boston Children's Hospital and the National Institute </w:t>
      </w:r>
      <w:r w:rsidR="00F05D02">
        <w:rPr>
          <w:rFonts w:ascii="Book Antiqua" w:eastAsia="Book Antiqua" w:hAnsi="Book Antiqua" w:cs="Book Antiqua"/>
          <w:color w:val="000000"/>
        </w:rPr>
        <w:t>o</w:t>
      </w:r>
      <w:r>
        <w:rPr>
          <w:rFonts w:ascii="Book Antiqua" w:eastAsia="Book Antiqua" w:hAnsi="Book Antiqua" w:cs="Book Antiqua"/>
          <w:color w:val="000000"/>
        </w:rPr>
        <w:t xml:space="preserve">f Diabetes </w:t>
      </w:r>
      <w:r w:rsidR="00F05D02">
        <w:rPr>
          <w:rFonts w:ascii="Book Antiqua" w:eastAsia="Book Antiqua" w:hAnsi="Book Antiqua" w:cs="Book Antiqua"/>
          <w:color w:val="000000"/>
        </w:rPr>
        <w:t>a</w:t>
      </w:r>
      <w:r>
        <w:rPr>
          <w:rFonts w:ascii="Book Antiqua" w:eastAsia="Book Antiqua" w:hAnsi="Book Antiqua" w:cs="Book Antiqua"/>
          <w:color w:val="000000"/>
        </w:rPr>
        <w:t xml:space="preserve">nd Digestive </w:t>
      </w:r>
      <w:r w:rsidR="00F05D02">
        <w:rPr>
          <w:rFonts w:ascii="Book Antiqua" w:eastAsia="Book Antiqua" w:hAnsi="Book Antiqua" w:cs="Book Antiqua"/>
          <w:color w:val="000000"/>
        </w:rPr>
        <w:t>a</w:t>
      </w:r>
      <w:r>
        <w:rPr>
          <w:rFonts w:ascii="Book Antiqua" w:eastAsia="Book Antiqua" w:hAnsi="Book Antiqua" w:cs="Book Antiqua"/>
          <w:color w:val="000000"/>
        </w:rPr>
        <w:t>nd Kidney Diseases of the National Institutes of Health</w:t>
      </w:r>
      <w:r w:rsidR="00F05D02">
        <w:rPr>
          <w:rFonts w:ascii="Book Antiqua" w:eastAsia="Book Antiqua" w:hAnsi="Book Antiqua" w:cs="Book Antiqua"/>
          <w:color w:val="000000"/>
        </w:rPr>
        <w:t>,</w:t>
      </w:r>
      <w:r>
        <w:rPr>
          <w:rFonts w:ascii="Book Antiqua" w:eastAsia="Book Antiqua" w:hAnsi="Book Antiqua" w:cs="Book Antiqua"/>
          <w:color w:val="000000"/>
        </w:rPr>
        <w:t xml:space="preserve"> </w:t>
      </w:r>
      <w:r w:rsidR="00F05D02">
        <w:rPr>
          <w:rFonts w:ascii="Book Antiqua" w:eastAsia="Book Antiqua" w:hAnsi="Book Antiqua" w:cs="Book Antiqua"/>
          <w:color w:val="000000"/>
        </w:rPr>
        <w:t>No.</w:t>
      </w:r>
      <w:r>
        <w:rPr>
          <w:rFonts w:ascii="Book Antiqua" w:eastAsia="Book Antiqua" w:hAnsi="Book Antiqua" w:cs="Book Antiqua"/>
          <w:color w:val="000000"/>
        </w:rPr>
        <w:t xml:space="preserve"> P30DK034854, </w:t>
      </w:r>
      <w:r w:rsidR="00F05D02">
        <w:rPr>
          <w:rFonts w:ascii="Book Antiqua" w:eastAsia="Book Antiqua" w:hAnsi="Book Antiqua" w:cs="Book Antiqua"/>
          <w:color w:val="000000"/>
        </w:rPr>
        <w:t xml:space="preserve">No. </w:t>
      </w:r>
      <w:r>
        <w:rPr>
          <w:rFonts w:ascii="Book Antiqua" w:eastAsia="Book Antiqua" w:hAnsi="Book Antiqua" w:cs="Book Antiqua"/>
          <w:color w:val="000000"/>
        </w:rPr>
        <w:t xml:space="preserve">K23DK119584 and </w:t>
      </w:r>
      <w:r w:rsidR="00F05D02">
        <w:rPr>
          <w:rFonts w:ascii="Book Antiqua" w:eastAsia="Book Antiqua" w:hAnsi="Book Antiqua" w:cs="Book Antiqua"/>
          <w:color w:val="000000"/>
        </w:rPr>
        <w:t xml:space="preserve">No. </w:t>
      </w:r>
      <w:r>
        <w:rPr>
          <w:rFonts w:ascii="Book Antiqua" w:eastAsia="Book Antiqua" w:hAnsi="Book Antiqua" w:cs="Book Antiqua"/>
          <w:color w:val="000000"/>
        </w:rPr>
        <w:t>T32DK07760</w:t>
      </w:r>
      <w:r w:rsidR="00F05D02">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DG Kinnear Award from the Association Quebecoise des </w:t>
      </w:r>
      <w:proofErr w:type="spellStart"/>
      <w:r>
        <w:rPr>
          <w:rFonts w:ascii="Book Antiqua" w:eastAsia="Book Antiqua" w:hAnsi="Book Antiqua" w:cs="Book Antiqua"/>
          <w:color w:val="000000"/>
          <w:shd w:val="clear" w:color="auto" w:fill="FFFFFF"/>
        </w:rPr>
        <w:t>Gastroenterologues</w:t>
      </w:r>
      <w:proofErr w:type="spellEnd"/>
      <w:r>
        <w:rPr>
          <w:rFonts w:ascii="Book Antiqua" w:eastAsia="Book Antiqua" w:hAnsi="Book Antiqua" w:cs="Book Antiqua"/>
          <w:color w:val="000000"/>
          <w:shd w:val="clear" w:color="auto" w:fill="FFFFFF"/>
        </w:rPr>
        <w:t xml:space="preserve"> du Quebec</w:t>
      </w:r>
      <w:r w:rsidR="00F05D0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Phase 2 Award from the Fonds de Recherche </w:t>
      </w:r>
      <w:proofErr w:type="spellStart"/>
      <w:r>
        <w:rPr>
          <w:rFonts w:ascii="Book Antiqua" w:eastAsia="Book Antiqua" w:hAnsi="Book Antiqua" w:cs="Book Antiqua"/>
          <w:color w:val="000000"/>
          <w:shd w:val="clear" w:color="auto" w:fill="FFFFFF"/>
        </w:rPr>
        <w:t>Sante</w:t>
      </w:r>
      <w:proofErr w:type="spellEnd"/>
      <w:r>
        <w:rPr>
          <w:rFonts w:ascii="Book Antiqua" w:eastAsia="Book Antiqua" w:hAnsi="Book Antiqua" w:cs="Book Antiqua"/>
          <w:color w:val="000000"/>
          <w:shd w:val="clear" w:color="auto" w:fill="FFFFFF"/>
        </w:rPr>
        <w:t xml:space="preserve"> Quebec.</w:t>
      </w:r>
    </w:p>
    <w:p w14:paraId="0A88EB14" w14:textId="77777777" w:rsidR="00A77B3E" w:rsidRDefault="00A77B3E">
      <w:pPr>
        <w:spacing w:line="360" w:lineRule="auto"/>
        <w:jc w:val="both"/>
      </w:pPr>
    </w:p>
    <w:p w14:paraId="41AF224D" w14:textId="4C3C7845" w:rsidR="00A77B3E" w:rsidRDefault="006E349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Dascha</w:t>
      </w:r>
      <w:proofErr w:type="spellEnd"/>
      <w:r w:rsidR="00FC7991">
        <w:rPr>
          <w:rFonts w:ascii="Book Antiqua" w:eastAsia="Book Antiqua" w:hAnsi="Book Antiqua" w:cs="Book Antiqua"/>
          <w:b/>
          <w:bCs/>
          <w:color w:val="000000"/>
        </w:rPr>
        <w:t xml:space="preserve"> C</w:t>
      </w:r>
      <w:r>
        <w:rPr>
          <w:rFonts w:ascii="Book Antiqua" w:eastAsia="Book Antiqua" w:hAnsi="Book Antiqua" w:cs="Book Antiqua"/>
          <w:b/>
          <w:bCs/>
          <w:color w:val="000000"/>
        </w:rPr>
        <w:t xml:space="preserve"> Weir, MD, </w:t>
      </w:r>
      <w:r w:rsidR="003A0070" w:rsidRPr="003A0070">
        <w:rPr>
          <w:rFonts w:ascii="Book Antiqua" w:eastAsia="Book Antiqua" w:hAnsi="Book Antiqua" w:cs="Book Antiqua"/>
          <w:b/>
          <w:bCs/>
          <w:color w:val="000000"/>
        </w:rPr>
        <w:t>Attending Physician,</w:t>
      </w:r>
      <w:r w:rsidR="003A0070">
        <w:rPr>
          <w:rFonts w:ascii="Book Antiqua" w:eastAsia="Book Antiqua" w:hAnsi="Book Antiqua" w:cs="Book Antiqua"/>
          <w:b/>
          <w:bCs/>
          <w:color w:val="000000"/>
        </w:rPr>
        <w:t xml:space="preserve"> </w:t>
      </w:r>
      <w:r w:rsidR="00211D4D" w:rsidRPr="00211D4D">
        <w:rPr>
          <w:rFonts w:ascii="Book Antiqua" w:eastAsia="Book Antiqua" w:hAnsi="Book Antiqua" w:cs="Book Antiqua"/>
          <w:color w:val="000000"/>
        </w:rPr>
        <w:t>Division of Gastroenterology, Hepatology and Nutrition, Boston Children's Hospital</w:t>
      </w:r>
      <w:r>
        <w:rPr>
          <w:rFonts w:ascii="Book Antiqua" w:eastAsia="Book Antiqua" w:hAnsi="Book Antiqua" w:cs="Book Antiqua"/>
          <w:color w:val="000000"/>
        </w:rPr>
        <w:t>, 300 Longwood Ave, Boston, MA 02115, United States. dascha.weir@childrens.harvard.edu</w:t>
      </w:r>
    </w:p>
    <w:p w14:paraId="76C3BB1C" w14:textId="77777777" w:rsidR="00A77B3E" w:rsidRDefault="00A77B3E">
      <w:pPr>
        <w:spacing w:line="360" w:lineRule="auto"/>
        <w:jc w:val="both"/>
      </w:pPr>
    </w:p>
    <w:p w14:paraId="4DEE2AE4" w14:textId="77777777" w:rsidR="00A77B3E" w:rsidRDefault="006E349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 2020</w:t>
      </w:r>
    </w:p>
    <w:p w14:paraId="44F04146" w14:textId="77777777" w:rsidR="00A77B3E" w:rsidRDefault="006E349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4, 2021</w:t>
      </w:r>
    </w:p>
    <w:p w14:paraId="5004E91B" w14:textId="5D0F0FF8" w:rsidR="00A77B3E" w:rsidRDefault="006E349E">
      <w:pPr>
        <w:spacing w:line="360" w:lineRule="auto"/>
        <w:jc w:val="both"/>
      </w:pPr>
      <w:r>
        <w:rPr>
          <w:rFonts w:ascii="Book Antiqua" w:eastAsia="Book Antiqua" w:hAnsi="Book Antiqua" w:cs="Book Antiqua"/>
          <w:b/>
          <w:bCs/>
          <w:color w:val="000000"/>
        </w:rPr>
        <w:t xml:space="preserve">Accepted: </w:t>
      </w:r>
      <w:r w:rsidR="001F019F" w:rsidRPr="001F019F">
        <w:rPr>
          <w:rFonts w:ascii="Book Antiqua" w:eastAsia="Book Antiqua" w:hAnsi="Book Antiqua" w:cs="Book Antiqua"/>
          <w:color w:val="000000"/>
        </w:rPr>
        <w:t>February 1, 2021</w:t>
      </w:r>
    </w:p>
    <w:p w14:paraId="676F8001" w14:textId="77777777" w:rsidR="00A77B3E" w:rsidRDefault="006E349E">
      <w:pPr>
        <w:spacing w:line="360" w:lineRule="auto"/>
        <w:jc w:val="both"/>
      </w:pPr>
      <w:r>
        <w:rPr>
          <w:rFonts w:ascii="Book Antiqua" w:eastAsia="Book Antiqua" w:hAnsi="Book Antiqua" w:cs="Book Antiqua"/>
          <w:b/>
          <w:bCs/>
          <w:color w:val="000000"/>
        </w:rPr>
        <w:t xml:space="preserve">Published online: </w:t>
      </w:r>
    </w:p>
    <w:p w14:paraId="3B8EA65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A903ABC" w14:textId="77777777" w:rsidR="00A77B3E" w:rsidRDefault="006E349E">
      <w:pPr>
        <w:spacing w:line="360" w:lineRule="auto"/>
        <w:jc w:val="both"/>
      </w:pPr>
      <w:r>
        <w:rPr>
          <w:rFonts w:ascii="Book Antiqua" w:eastAsia="Book Antiqua" w:hAnsi="Book Antiqua" w:cs="Book Antiqua"/>
          <w:b/>
          <w:color w:val="000000"/>
        </w:rPr>
        <w:lastRenderedPageBreak/>
        <w:t>Abstract</w:t>
      </w:r>
    </w:p>
    <w:p w14:paraId="3A2A240D" w14:textId="77777777" w:rsidR="00A77B3E" w:rsidRDefault="006E349E">
      <w:pPr>
        <w:spacing w:line="360" w:lineRule="auto"/>
        <w:jc w:val="both"/>
      </w:pPr>
      <w:r>
        <w:rPr>
          <w:rFonts w:ascii="Book Antiqua" w:eastAsia="Book Antiqua" w:hAnsi="Book Antiqua" w:cs="Book Antiqua"/>
          <w:color w:val="000000"/>
        </w:rPr>
        <w:t>BACKGROUND</w:t>
      </w:r>
    </w:p>
    <w:p w14:paraId="7DB5D3D2" w14:textId="77777777" w:rsidR="00A77B3E" w:rsidRDefault="006E349E">
      <w:pPr>
        <w:spacing w:line="360" w:lineRule="auto"/>
        <w:jc w:val="both"/>
      </w:pPr>
      <w:r>
        <w:rPr>
          <w:rFonts w:ascii="Book Antiqua" w:eastAsia="Book Antiqua" w:hAnsi="Book Antiqua" w:cs="Book Antiqua"/>
          <w:color w:val="000000"/>
        </w:rPr>
        <w:t>Non-responsive celiac disease (NRCD) is defined as the persistence of symptoms in individuals with celiac disease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despite being on a gluten-free diet (GFD). There is scant literature about NRCD in the pediatric population.</w:t>
      </w:r>
    </w:p>
    <w:p w14:paraId="438C1BF8" w14:textId="77777777" w:rsidR="00A77B3E" w:rsidRDefault="00A77B3E">
      <w:pPr>
        <w:spacing w:line="360" w:lineRule="auto"/>
        <w:jc w:val="both"/>
      </w:pPr>
    </w:p>
    <w:p w14:paraId="7119DC85" w14:textId="77777777" w:rsidR="00A77B3E" w:rsidRDefault="006E349E">
      <w:pPr>
        <w:spacing w:line="360" w:lineRule="auto"/>
        <w:jc w:val="both"/>
      </w:pPr>
      <w:r>
        <w:rPr>
          <w:rFonts w:ascii="Book Antiqua" w:eastAsia="Book Antiqua" w:hAnsi="Book Antiqua" w:cs="Book Antiqua"/>
          <w:color w:val="000000"/>
        </w:rPr>
        <w:t>AIM</w:t>
      </w:r>
    </w:p>
    <w:p w14:paraId="082DDBF2" w14:textId="4EFB7655" w:rsidR="00A77B3E" w:rsidRDefault="006E349E">
      <w:pPr>
        <w:spacing w:line="360" w:lineRule="auto"/>
        <w:jc w:val="both"/>
      </w:pPr>
      <w:r>
        <w:rPr>
          <w:rFonts w:ascii="Book Antiqua" w:eastAsia="Book Antiqua" w:hAnsi="Book Antiqua" w:cs="Book Antiqua"/>
          <w:color w:val="000000"/>
        </w:rPr>
        <w:t>To determine the incidence, clinical characteristics and underlying causes of NRCD in children</w:t>
      </w:r>
      <w:r w:rsidR="00B74735">
        <w:rPr>
          <w:rFonts w:ascii="Book Antiqua" w:eastAsia="Book Antiqua" w:hAnsi="Book Antiqua" w:cs="Book Antiqua"/>
          <w:color w:val="000000"/>
        </w:rPr>
        <w:t>.</w:t>
      </w:r>
    </w:p>
    <w:p w14:paraId="625B8FAE" w14:textId="77777777" w:rsidR="00A77B3E" w:rsidRDefault="00A77B3E">
      <w:pPr>
        <w:spacing w:line="360" w:lineRule="auto"/>
        <w:jc w:val="both"/>
      </w:pPr>
    </w:p>
    <w:p w14:paraId="6DA3EBF6" w14:textId="77777777" w:rsidR="00A77B3E" w:rsidRDefault="006E349E">
      <w:pPr>
        <w:spacing w:line="360" w:lineRule="auto"/>
        <w:jc w:val="both"/>
      </w:pPr>
      <w:r>
        <w:rPr>
          <w:rFonts w:ascii="Book Antiqua" w:eastAsia="Book Antiqua" w:hAnsi="Book Antiqua" w:cs="Book Antiqua"/>
          <w:color w:val="000000"/>
        </w:rPr>
        <w:t>METHODS</w:t>
      </w:r>
    </w:p>
    <w:p w14:paraId="44A02FD5" w14:textId="45D9F646" w:rsidR="00A77B3E" w:rsidRDefault="006E349E">
      <w:pPr>
        <w:spacing w:line="360" w:lineRule="auto"/>
        <w:jc w:val="both"/>
      </w:pPr>
      <w:r>
        <w:rPr>
          <w:rFonts w:ascii="Book Antiqua" w:eastAsia="Book Antiqua" w:hAnsi="Book Antiqua" w:cs="Book Antiqua"/>
          <w:color w:val="000000"/>
        </w:rPr>
        <w:t xml:space="preserve">Retrospective cohort study performed at Boston Children’s Hospital (BCH). Children &lt; 18 years diagnosed with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by positive serology and duodenal biopsies compatible with Marsh III histology between 2008 and 2012 were identified in the BCH’s Celiac Disease Program database. Medical records were longitudinally reviewed from the time of diagnosis through September 2015. NRCD was defined as persistent symptoms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initiation of a GFD and causes of NRCD</w:t>
      </w:r>
      <w:r w:rsidR="00B74735">
        <w:rPr>
          <w:rFonts w:ascii="Book Antiqua" w:eastAsia="Book Antiqua" w:hAnsi="Book Antiqua" w:cs="Book Antiqua"/>
          <w:color w:val="000000"/>
        </w:rPr>
        <w:t xml:space="preserve"> </w:t>
      </w:r>
      <w:r>
        <w:rPr>
          <w:rFonts w:ascii="Book Antiqua" w:eastAsia="Book Antiqua" w:hAnsi="Book Antiqua" w:cs="Book Antiqua"/>
          <w:color w:val="000000"/>
        </w:rPr>
        <w:t xml:space="preserve">as well as symptom evolution were detailed. The children without symptoms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(responders) were compared with the NRCD group. Additionally, presenting signs and symptoms at the time of diagnosis of </w:t>
      </w:r>
      <w:proofErr w:type="spellStart"/>
      <w:r w:rsidR="00B74735">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among the responders and NRCD patients were collected and compared to identify any potential predictors for NRCD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GFD therapy.</w:t>
      </w:r>
    </w:p>
    <w:p w14:paraId="5057D4C5" w14:textId="77777777" w:rsidR="00A77B3E" w:rsidRDefault="00A77B3E">
      <w:pPr>
        <w:spacing w:line="360" w:lineRule="auto"/>
        <w:jc w:val="both"/>
      </w:pPr>
    </w:p>
    <w:p w14:paraId="548A73F7" w14:textId="77777777" w:rsidR="00A77B3E" w:rsidRDefault="006E349E">
      <w:pPr>
        <w:spacing w:line="360" w:lineRule="auto"/>
        <w:jc w:val="both"/>
      </w:pPr>
      <w:r>
        <w:rPr>
          <w:rFonts w:ascii="Book Antiqua" w:eastAsia="Book Antiqua" w:hAnsi="Book Antiqua" w:cs="Book Antiqua"/>
          <w:color w:val="000000"/>
        </w:rPr>
        <w:t>RESULTS</w:t>
      </w:r>
    </w:p>
    <w:p w14:paraId="5E8FA1DF" w14:textId="13694D14" w:rsidR="00A77B3E" w:rsidRDefault="00B74735">
      <w:pPr>
        <w:spacing w:line="360" w:lineRule="auto"/>
        <w:jc w:val="both"/>
      </w:pPr>
      <w:r w:rsidRPr="00B74735">
        <w:rPr>
          <w:rFonts w:ascii="Book Antiqua" w:eastAsia="Book Antiqua" w:hAnsi="Book Antiqua" w:cs="Book Antiqua"/>
          <w:color w:val="000000"/>
        </w:rPr>
        <w:t>Six hundred and sixteen</w:t>
      </w:r>
      <w:r w:rsidR="006E349E" w:rsidRPr="00B74735">
        <w:rPr>
          <w:rFonts w:ascii="Book Antiqua" w:eastAsia="Book Antiqua" w:hAnsi="Book Antiqua" w:cs="Book Antiqua"/>
          <w:color w:val="000000"/>
        </w:rPr>
        <w:t xml:space="preserve"> children were included. </w:t>
      </w:r>
      <w:r w:rsidRPr="00B74735">
        <w:rPr>
          <w:rFonts w:ascii="Book Antiqua" w:eastAsia="Book Antiqua" w:hAnsi="Book Antiqua" w:cs="Book Antiqua"/>
          <w:color w:val="000000"/>
        </w:rPr>
        <w:t>Ninety</w:t>
      </w:r>
      <w:r>
        <w:rPr>
          <w:rFonts w:ascii="Book Antiqua" w:eastAsia="Book Antiqua" w:hAnsi="Book Antiqua" w:cs="Book Antiqua"/>
          <w:color w:val="000000"/>
        </w:rPr>
        <w:t>-</w:t>
      </w:r>
      <w:r w:rsidRPr="00B74735">
        <w:rPr>
          <w:rFonts w:ascii="Book Antiqua" w:eastAsia="Book Antiqua" w:hAnsi="Book Antiqua" w:cs="Book Antiqua"/>
          <w:color w:val="000000"/>
        </w:rPr>
        <w:t>one</w:t>
      </w:r>
      <w:r w:rsidR="006E349E">
        <w:rPr>
          <w:rFonts w:ascii="Book Antiqua" w:eastAsia="Book Antiqua" w:hAnsi="Book Antiqua" w:cs="Book Antiqua"/>
          <w:color w:val="000000"/>
        </w:rPr>
        <w:t xml:space="preserve"> (15%) met criteria for NRCD. Most were female (77%). Abdominal pain </w:t>
      </w:r>
      <w:r>
        <w:rPr>
          <w:rFonts w:ascii="Book Antiqua" w:eastAsia="Book Antiqua" w:hAnsi="Book Antiqua" w:cs="Book Antiqua"/>
          <w:color w:val="000000"/>
        </w:rPr>
        <w:t>[</w:t>
      </w:r>
      <w:bookmarkStart w:id="1" w:name="_Hlk50367577"/>
      <w:r w:rsidRPr="00616F4C">
        <w:rPr>
          <w:rFonts w:ascii="Book Antiqua" w:eastAsia="Malgun Gothic" w:hAnsi="Book Antiqua"/>
        </w:rPr>
        <w:t>odds ratio</w:t>
      </w:r>
      <w:bookmarkEnd w:id="1"/>
      <w:r>
        <w:rPr>
          <w:rFonts w:ascii="Book Antiqua" w:eastAsia="Book Antiqua" w:hAnsi="Book Antiqua" w:cs="Book Antiqua"/>
          <w:color w:val="000000"/>
        </w:rPr>
        <w:t xml:space="preserve"> </w:t>
      </w:r>
      <w:r w:rsidR="006E349E">
        <w:rPr>
          <w:rFonts w:ascii="Book Antiqua" w:eastAsia="Book Antiqua" w:hAnsi="Book Antiqua" w:cs="Book Antiqua"/>
          <w:color w:val="000000"/>
        </w:rPr>
        <w:t>(OR</w:t>
      </w:r>
      <w:r>
        <w:rPr>
          <w:rFonts w:ascii="Book Antiqua" w:eastAsia="Book Antiqua" w:hAnsi="Book Antiqua" w:cs="Book Antiqua"/>
          <w:color w:val="000000"/>
        </w:rPr>
        <w:t>)</w:t>
      </w:r>
      <w:r w:rsidR="006E349E">
        <w:rPr>
          <w:rFonts w:ascii="Book Antiqua" w:eastAsia="Book Antiqua" w:hAnsi="Book Antiqua" w:cs="Book Antiqua"/>
          <w:color w:val="000000"/>
        </w:rPr>
        <w:t xml:space="preserve"> 1.8 95%</w:t>
      </w:r>
      <w:bookmarkStart w:id="2" w:name="_Hlk58003882"/>
      <w:r w:rsidRPr="00B74735">
        <w:rPr>
          <w:rFonts w:ascii="Book Antiqua" w:eastAsia="Malgun Gothic" w:hAnsi="Book Antiqua"/>
        </w:rPr>
        <w:t xml:space="preserve"> </w:t>
      </w:r>
      <w:r w:rsidRPr="00616F4C">
        <w:rPr>
          <w:rFonts w:ascii="Book Antiqua" w:eastAsia="Malgun Gothic" w:hAnsi="Book Antiqua"/>
        </w:rPr>
        <w:t>confidence interval</w:t>
      </w:r>
      <w:bookmarkEnd w:id="2"/>
      <w:r>
        <w:rPr>
          <w:rFonts w:ascii="Book Antiqua" w:eastAsia="Book Antiqua" w:hAnsi="Book Antiqua" w:cs="Book Antiqua"/>
          <w:color w:val="000000"/>
        </w:rPr>
        <w:t xml:space="preserve"> (</w:t>
      </w:r>
      <w:r w:rsidR="006E349E">
        <w:rPr>
          <w:rFonts w:ascii="Book Antiqua" w:eastAsia="Book Antiqua" w:hAnsi="Book Antiqua" w:cs="Book Antiqua"/>
          <w:color w:val="000000"/>
        </w:rPr>
        <w:t>CI</w:t>
      </w:r>
      <w:r>
        <w:rPr>
          <w:rFonts w:ascii="Book Antiqua" w:eastAsia="Book Antiqua" w:hAnsi="Book Antiqua" w:cs="Book Antiqua"/>
          <w:color w:val="000000"/>
        </w:rPr>
        <w:t>)</w:t>
      </w:r>
      <w:r w:rsidR="006E349E">
        <w:rPr>
          <w:rFonts w:ascii="Book Antiqua" w:eastAsia="Book Antiqua" w:hAnsi="Book Antiqua" w:cs="Book Antiqua"/>
          <w:color w:val="000000"/>
        </w:rPr>
        <w:t xml:space="preserve"> 1.1-2.9</w:t>
      </w:r>
      <w:r>
        <w:rPr>
          <w:rFonts w:ascii="Book Antiqua" w:eastAsia="Book Antiqua" w:hAnsi="Book Antiqua" w:cs="Book Antiqua"/>
          <w:color w:val="000000"/>
        </w:rPr>
        <w:t xml:space="preserve">], </w:t>
      </w:r>
      <w:r w:rsidR="006E349E">
        <w:rPr>
          <w:rFonts w:ascii="Book Antiqua" w:eastAsia="Book Antiqua" w:hAnsi="Book Antiqua" w:cs="Book Antiqua"/>
          <w:color w:val="000000"/>
        </w:rPr>
        <w:t xml:space="preserve">constipation (OR 3.1 95%CI 1.9-4.9) and absence of abdominal distension (OR for abdominal distension 0.4 95%CI 0.1-0.98) at diagnosis were associated with NRCD. NRCD was attributed to a wide variety of diagnoses with gluten exposure (30%) and constipation (20%) being the most common causes. Other causes for NRCD included lactose intolerance (9%), gastroesophageal reflux (8%), functional abdominal </w:t>
      </w:r>
      <w:r w:rsidR="006E349E">
        <w:rPr>
          <w:rFonts w:ascii="Book Antiqua" w:eastAsia="Book Antiqua" w:hAnsi="Book Antiqua" w:cs="Book Antiqua"/>
          <w:color w:val="000000"/>
        </w:rPr>
        <w:lastRenderedPageBreak/>
        <w:t xml:space="preserve">pain (7%), irritable bowel syndrome (3%), depression/anxiety (3%), eosinophilic esophagitis (2%), food allergy (1%), eating disorder (1%), gastric ulcer with </w:t>
      </w:r>
      <w:r w:rsidRPr="00DD43E6">
        <w:rPr>
          <w:rFonts w:ascii="Book Antiqua" w:eastAsia="Book Antiqua" w:hAnsi="Book Antiqua" w:cs="Book Antiqua"/>
          <w:i/>
          <w:iCs/>
          <w:color w:val="000000"/>
        </w:rPr>
        <w:t>Helicobacter pylori</w:t>
      </w:r>
      <w:r w:rsidR="006E349E">
        <w:rPr>
          <w:rFonts w:ascii="Book Antiqua" w:eastAsia="Book Antiqua" w:hAnsi="Book Antiqua" w:cs="Book Antiqua"/>
          <w:color w:val="000000"/>
        </w:rPr>
        <w:t xml:space="preserve"> (1%), lymphocytic colitis (1%), aerophagia (1%) and undetermined (13%).</w:t>
      </w:r>
      <w:r>
        <w:rPr>
          <w:rFonts w:ascii="Book Antiqua" w:eastAsia="Book Antiqua" w:hAnsi="Book Antiqua" w:cs="Book Antiqua"/>
          <w:color w:val="000000"/>
        </w:rPr>
        <w:t xml:space="preserve"> </w:t>
      </w:r>
      <w:r w:rsidR="006E349E">
        <w:rPr>
          <w:rFonts w:ascii="Book Antiqua" w:eastAsia="Book Antiqua" w:hAnsi="Book Antiqua" w:cs="Book Antiqua"/>
          <w:color w:val="000000"/>
        </w:rPr>
        <w:t>64% of children with NRCD improved on follow-up.</w:t>
      </w:r>
    </w:p>
    <w:p w14:paraId="4741CB5E" w14:textId="77777777" w:rsidR="00A77B3E" w:rsidRDefault="00A77B3E">
      <w:pPr>
        <w:spacing w:line="360" w:lineRule="auto"/>
        <w:jc w:val="both"/>
      </w:pPr>
    </w:p>
    <w:p w14:paraId="4223A971" w14:textId="77777777" w:rsidR="00A77B3E" w:rsidRDefault="006E349E">
      <w:pPr>
        <w:spacing w:line="360" w:lineRule="auto"/>
        <w:jc w:val="both"/>
      </w:pPr>
      <w:r>
        <w:rPr>
          <w:rFonts w:ascii="Book Antiqua" w:eastAsia="Book Antiqua" w:hAnsi="Book Antiqua" w:cs="Book Antiqua"/>
          <w:color w:val="000000"/>
        </w:rPr>
        <w:t>CONCLUSION</w:t>
      </w:r>
    </w:p>
    <w:p w14:paraId="6D283B26" w14:textId="721B1108" w:rsidR="00A77B3E" w:rsidRDefault="006E349E">
      <w:pPr>
        <w:spacing w:line="360" w:lineRule="auto"/>
        <w:jc w:val="both"/>
      </w:pPr>
      <w:r>
        <w:rPr>
          <w:rFonts w:ascii="Book Antiqua" w:eastAsia="Book Antiqua" w:hAnsi="Book Antiqua" w:cs="Book Antiqua"/>
          <w:color w:val="000000"/>
        </w:rPr>
        <w:t xml:space="preserve">NRCD after ≥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GFD is frequent among children, especially females, and is associated with initial presenting symptoms of constipation and/or abdominal pain. Gluten exposure is the most frequent cause.</w:t>
      </w:r>
    </w:p>
    <w:p w14:paraId="3B721E9C" w14:textId="77777777" w:rsidR="00A77B3E" w:rsidRDefault="00A77B3E">
      <w:pPr>
        <w:spacing w:line="360" w:lineRule="auto"/>
        <w:jc w:val="both"/>
      </w:pPr>
    </w:p>
    <w:p w14:paraId="240D1F9D" w14:textId="62257F9B" w:rsidR="00A77B3E" w:rsidRDefault="006E349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Celiac disease; Non-responsive celiac disease; Children; Gluten-free diet</w:t>
      </w:r>
      <w:r w:rsidR="00A70022">
        <w:rPr>
          <w:rFonts w:ascii="Book Antiqua" w:eastAsia="Book Antiqua" w:hAnsi="Book Antiqua" w:cs="Book Antiqua"/>
          <w:color w:val="000000"/>
        </w:rPr>
        <w:t>; Constipation; Abdominal pain</w:t>
      </w:r>
    </w:p>
    <w:p w14:paraId="268294D1" w14:textId="77777777" w:rsidR="00A77B3E" w:rsidRDefault="00A77B3E">
      <w:pPr>
        <w:spacing w:line="360" w:lineRule="auto"/>
        <w:jc w:val="both"/>
      </w:pPr>
    </w:p>
    <w:p w14:paraId="7A93D40A" w14:textId="0E2594F1" w:rsidR="00A77B3E" w:rsidRDefault="006E349E">
      <w:pPr>
        <w:spacing w:line="360" w:lineRule="auto"/>
        <w:jc w:val="both"/>
      </w:pPr>
      <w:proofErr w:type="spellStart"/>
      <w:r>
        <w:rPr>
          <w:rFonts w:ascii="Book Antiqua" w:eastAsia="Book Antiqua" w:hAnsi="Book Antiqua" w:cs="Book Antiqua"/>
          <w:color w:val="000000"/>
        </w:rPr>
        <w:t>Veeraraghavan</w:t>
      </w:r>
      <w:proofErr w:type="spellEnd"/>
      <w:r>
        <w:rPr>
          <w:rFonts w:ascii="Book Antiqua" w:eastAsia="Book Antiqua" w:hAnsi="Book Antiqua" w:cs="Book Antiqua"/>
          <w:color w:val="000000"/>
        </w:rPr>
        <w:t xml:space="preserve"> G, Therrien A, </w:t>
      </w:r>
      <w:proofErr w:type="spellStart"/>
      <w:r>
        <w:rPr>
          <w:rFonts w:ascii="Book Antiqua" w:eastAsia="Book Antiqua" w:hAnsi="Book Antiqua" w:cs="Book Antiqua"/>
          <w:color w:val="000000"/>
        </w:rPr>
        <w:t>Degroote</w:t>
      </w:r>
      <w:proofErr w:type="spellEnd"/>
      <w:r>
        <w:rPr>
          <w:rFonts w:ascii="Book Antiqua" w:eastAsia="Book Antiqua" w:hAnsi="Book Antiqua" w:cs="Book Antiqua"/>
          <w:color w:val="000000"/>
        </w:rPr>
        <w:t xml:space="preserve"> M, McKeown A, Mitchell PD, Silvester JA, Leffler DA, </w:t>
      </w:r>
      <w:proofErr w:type="spellStart"/>
      <w:r>
        <w:rPr>
          <w:rFonts w:ascii="Book Antiqua" w:eastAsia="Book Antiqua" w:hAnsi="Book Antiqua" w:cs="Book Antiqua"/>
          <w:color w:val="000000"/>
        </w:rPr>
        <w:t>Leichtner</w:t>
      </w:r>
      <w:proofErr w:type="spellEnd"/>
      <w:r>
        <w:rPr>
          <w:rFonts w:ascii="Book Antiqua" w:eastAsia="Book Antiqua" w:hAnsi="Book Antiqua" w:cs="Book Antiqua"/>
          <w:color w:val="000000"/>
        </w:rPr>
        <w:t xml:space="preserve"> AM, Kelly CP, Weir D</w:t>
      </w:r>
      <w:r w:rsidR="00FC7991">
        <w:rPr>
          <w:rFonts w:ascii="Book Antiqua" w:eastAsia="Book Antiqua" w:hAnsi="Book Antiqua" w:cs="Book Antiqua"/>
          <w:color w:val="000000"/>
        </w:rPr>
        <w:t>C</w:t>
      </w:r>
      <w:r>
        <w:rPr>
          <w:rFonts w:ascii="Book Antiqua" w:eastAsia="Book Antiqua" w:hAnsi="Book Antiqua" w:cs="Book Antiqua"/>
          <w:color w:val="000000"/>
        </w:rPr>
        <w:t xml:space="preserve">. Non-responsive celiac disease in children on a gluten free diet.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143A73BB" w14:textId="77777777" w:rsidR="00A77B3E" w:rsidRDefault="00A77B3E">
      <w:pPr>
        <w:spacing w:line="360" w:lineRule="auto"/>
        <w:jc w:val="both"/>
      </w:pPr>
    </w:p>
    <w:p w14:paraId="21767639" w14:textId="0F3B0764" w:rsidR="00A77B3E" w:rsidRDefault="006E349E">
      <w:pPr>
        <w:spacing w:line="360" w:lineRule="auto"/>
        <w:jc w:val="both"/>
      </w:pPr>
      <w:r>
        <w:rPr>
          <w:rFonts w:ascii="Book Antiqua" w:eastAsia="Book Antiqua" w:hAnsi="Book Antiqua" w:cs="Book Antiqua"/>
          <w:b/>
          <w:bCs/>
          <w:color w:val="000000"/>
        </w:rPr>
        <w:t xml:space="preserve">Core Tip: </w:t>
      </w:r>
      <w:r w:rsidRPr="00B74735">
        <w:rPr>
          <w:rFonts w:ascii="Book Antiqua" w:eastAsia="Book Antiqua" w:hAnsi="Book Antiqua" w:cs="Book Antiqua"/>
          <w:color w:val="000000"/>
        </w:rPr>
        <w:t>This is a retrospective chart review study of children &lt; 18 years of age diagnosed with celiac disease (</w:t>
      </w:r>
      <w:proofErr w:type="spellStart"/>
      <w:r w:rsidRPr="00B74735">
        <w:rPr>
          <w:rFonts w:ascii="Book Antiqua" w:eastAsia="Book Antiqua" w:hAnsi="Book Antiqua" w:cs="Book Antiqua"/>
          <w:color w:val="000000"/>
        </w:rPr>
        <w:t>CeD</w:t>
      </w:r>
      <w:proofErr w:type="spellEnd"/>
      <w:r w:rsidRPr="00B74735">
        <w:rPr>
          <w:rFonts w:ascii="Book Antiqua" w:eastAsia="Book Antiqua" w:hAnsi="Book Antiqua" w:cs="Book Antiqua"/>
          <w:color w:val="000000"/>
        </w:rPr>
        <w:t xml:space="preserve">) by positive serology and biopsies showing Marsh III histology to characterize non-responsive </w:t>
      </w:r>
      <w:proofErr w:type="spellStart"/>
      <w:r w:rsidR="00B74735" w:rsidRPr="00B74735">
        <w:rPr>
          <w:rFonts w:ascii="Book Antiqua" w:eastAsia="Book Antiqua" w:hAnsi="Book Antiqua" w:cs="Book Antiqua"/>
          <w:color w:val="000000"/>
        </w:rPr>
        <w:t>CeD</w:t>
      </w:r>
      <w:proofErr w:type="spellEnd"/>
      <w:r w:rsidRPr="00B74735">
        <w:rPr>
          <w:rFonts w:ascii="Book Antiqua" w:eastAsia="Book Antiqua" w:hAnsi="Book Antiqua" w:cs="Book Antiqua"/>
          <w:color w:val="000000"/>
        </w:rPr>
        <w:t xml:space="preserve"> (NRCD). NRCD was attributed to a wide variety of diagnoses with gluten exposure (30%) and constipation (20%)</w:t>
      </w:r>
      <w:r w:rsidR="00387661">
        <w:rPr>
          <w:rFonts w:ascii="Book Antiqua" w:eastAsia="Book Antiqua" w:hAnsi="Book Antiqua" w:cs="Book Antiqua"/>
          <w:color w:val="000000"/>
        </w:rPr>
        <w:t xml:space="preserve"> being</w:t>
      </w:r>
      <w:r w:rsidRPr="00B74735">
        <w:rPr>
          <w:rFonts w:ascii="Book Antiqua" w:eastAsia="Book Antiqua" w:hAnsi="Book Antiqua" w:cs="Book Antiqua"/>
          <w:color w:val="000000"/>
        </w:rPr>
        <w:t xml:space="preserve"> the most common causes. Most (64%) patients improved on follow-up. Our study highlights the importance of performing a diligent search for etiologies of NRCD when there are persistent symptoms despite following a gluten-free diet and reinforces the need for close follow up in the first year of the diagnosis of </w:t>
      </w:r>
      <w:proofErr w:type="spellStart"/>
      <w:r w:rsidRPr="00B74735">
        <w:rPr>
          <w:rFonts w:ascii="Book Antiqua" w:eastAsia="Book Antiqua" w:hAnsi="Book Antiqua" w:cs="Book Antiqua"/>
          <w:color w:val="000000"/>
        </w:rPr>
        <w:t>CeD</w:t>
      </w:r>
      <w:proofErr w:type="spellEnd"/>
      <w:r w:rsidRPr="00B74735">
        <w:rPr>
          <w:rFonts w:ascii="Book Antiqua" w:eastAsia="Book Antiqua" w:hAnsi="Book Antiqua" w:cs="Book Antiqua"/>
          <w:color w:val="000000"/>
        </w:rPr>
        <w:t>.</w:t>
      </w:r>
      <w:r>
        <w:rPr>
          <w:rFonts w:ascii="Book Antiqua" w:eastAsia="Book Antiqua" w:hAnsi="Book Antiqua" w:cs="Book Antiqua"/>
          <w:b/>
          <w:bCs/>
          <w:color w:val="000000"/>
        </w:rPr>
        <w:t xml:space="preserve"> </w:t>
      </w:r>
    </w:p>
    <w:p w14:paraId="5E9BA32F" w14:textId="452B587F" w:rsidR="00A77B3E" w:rsidRDefault="004A1ED3">
      <w:pPr>
        <w:spacing w:line="360" w:lineRule="auto"/>
        <w:jc w:val="both"/>
      </w:pPr>
      <w:r>
        <w:br w:type="page"/>
      </w:r>
      <w:r w:rsidR="006E349E">
        <w:rPr>
          <w:rFonts w:ascii="Book Antiqua" w:eastAsia="Book Antiqua" w:hAnsi="Book Antiqua" w:cs="Book Antiqua"/>
          <w:b/>
          <w:caps/>
          <w:color w:val="000000"/>
          <w:u w:val="single"/>
        </w:rPr>
        <w:lastRenderedPageBreak/>
        <w:t>INTRODUCTION</w:t>
      </w:r>
    </w:p>
    <w:p w14:paraId="13D02A14" w14:textId="271865C4" w:rsidR="00A77B3E" w:rsidRDefault="006E349E">
      <w:pPr>
        <w:spacing w:line="360" w:lineRule="auto"/>
        <w:jc w:val="both"/>
      </w:pPr>
      <w:r>
        <w:rPr>
          <w:rFonts w:ascii="Book Antiqua" w:eastAsia="Book Antiqua" w:hAnsi="Book Antiqua" w:cs="Book Antiqua"/>
          <w:color w:val="000000"/>
        </w:rPr>
        <w:t>Celiac disease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is a chronic immune-mediated enteropathy precipitated by exposure to gluten in genetically predisposed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is diagnosed based on clinical symptoms and serological markers in conjunction with specific histological changes found in the duodenum, including villous atrophy, crypt hyperplasia and intraepithelial </w:t>
      </w:r>
      <w:proofErr w:type="gramStart"/>
      <w:r>
        <w:rPr>
          <w:rFonts w:ascii="Book Antiqua" w:eastAsia="Book Antiqua" w:hAnsi="Book Antiqua" w:cs="Book Antiqua"/>
          <w:color w:val="000000"/>
        </w:rPr>
        <w:t>lymphocytosis</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86866EF" w14:textId="16FD02B3" w:rsidR="00A77B3E" w:rsidRDefault="006E349E" w:rsidP="004A1ED3">
      <w:pPr>
        <w:spacing w:line="360" w:lineRule="auto"/>
        <w:ind w:firstLineChars="100" w:firstLine="240"/>
        <w:jc w:val="both"/>
      </w:pPr>
      <w:r>
        <w:rPr>
          <w:rFonts w:ascii="Book Antiqua" w:eastAsia="Book Antiqua" w:hAnsi="Book Antiqua" w:cs="Book Antiqua"/>
          <w:color w:val="000000"/>
        </w:rPr>
        <w:t xml:space="preserve">Strict elimination of gluten is currently the only effective treatment for </w:t>
      </w:r>
      <w:proofErr w:type="spellStart"/>
      <w:proofErr w:type="gramStart"/>
      <w:r>
        <w:rPr>
          <w:rFonts w:ascii="Book Antiqua" w:eastAsia="Book Antiqua" w:hAnsi="Book Antiqua" w:cs="Book Antiqua"/>
          <w:color w:val="000000"/>
        </w:rPr>
        <w:t>CeD</w:t>
      </w:r>
      <w:proofErr w:type="spellEnd"/>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 gluten-free diet (GFD) leads to significant improvement in most people with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within </w:t>
      </w:r>
      <w:proofErr w:type="gramStart"/>
      <w:r>
        <w:rPr>
          <w:rFonts w:ascii="Book Antiqua" w:eastAsia="Book Antiqua" w:hAnsi="Book Antiqua" w:cs="Book Antiqua"/>
          <w:color w:val="000000"/>
        </w:rPr>
        <w:t>weeks</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Failure to respond after six to twelve months of a GFD is defined as non-responsive </w:t>
      </w:r>
      <w:proofErr w:type="spellStart"/>
      <w:r w:rsidR="00B74735">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(NRCD), and may occur in both adults and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NRCD incorporates a range of specific and distinct underlying diagnoses, such as other food intolerance, small intestinal bacterial overgrowth, microscopic colitis, and irritable bowel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nevertheless, the most common etiology of NRCD is continued gluten exposure</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Studies suggest that 7</w:t>
      </w:r>
      <w:r w:rsidR="004A1ED3">
        <w:rPr>
          <w:rFonts w:ascii="Book Antiqua" w:eastAsia="Book Antiqua" w:hAnsi="Book Antiqua" w:cs="Book Antiqua"/>
          <w:color w:val="000000"/>
        </w:rPr>
        <w:t>%</w:t>
      </w:r>
      <w:r>
        <w:rPr>
          <w:rFonts w:ascii="Book Antiqua" w:eastAsia="Book Antiqua" w:hAnsi="Book Antiqua" w:cs="Book Antiqua"/>
          <w:color w:val="000000"/>
        </w:rPr>
        <w:t xml:space="preserve"> to 52% of adult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patients may have </w:t>
      </w:r>
      <w:proofErr w:type="gramStart"/>
      <w:r>
        <w:rPr>
          <w:rFonts w:ascii="Book Antiqua" w:eastAsia="Book Antiqua" w:hAnsi="Book Antiqua" w:cs="Book Antiqua"/>
          <w:color w:val="000000"/>
        </w:rPr>
        <w:t>NRCD</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recent retrospective study showed that 34% of children adhering to a GFD still report at least one symptoms more than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their diagnosis</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little is known about the spectrum and etiologies of NRCD in children.</w:t>
      </w:r>
    </w:p>
    <w:p w14:paraId="4F753F7A" w14:textId="77777777" w:rsidR="00A77B3E" w:rsidRDefault="006E349E" w:rsidP="004A1ED3">
      <w:pPr>
        <w:spacing w:line="360" w:lineRule="auto"/>
        <w:ind w:firstLineChars="100" w:firstLine="240"/>
        <w:jc w:val="both"/>
      </w:pPr>
      <w:r>
        <w:rPr>
          <w:rFonts w:ascii="Book Antiqua" w:eastAsia="Book Antiqua" w:hAnsi="Book Antiqua" w:cs="Book Antiqua"/>
          <w:color w:val="000000"/>
        </w:rPr>
        <w:t xml:space="preserve">The objective of this study was to determine the incidence, clinical characteristics and underlying causes of NRCD in children. </w:t>
      </w:r>
    </w:p>
    <w:p w14:paraId="601109F4" w14:textId="77777777" w:rsidR="00A77B3E" w:rsidRDefault="00A77B3E">
      <w:pPr>
        <w:spacing w:line="360" w:lineRule="auto"/>
        <w:jc w:val="both"/>
      </w:pPr>
    </w:p>
    <w:p w14:paraId="08B7BF4B" w14:textId="77777777" w:rsidR="00A77B3E" w:rsidRDefault="006E349E">
      <w:pPr>
        <w:spacing w:line="360" w:lineRule="auto"/>
        <w:jc w:val="both"/>
      </w:pPr>
      <w:r>
        <w:rPr>
          <w:rFonts w:ascii="Book Antiqua" w:eastAsia="Book Antiqua" w:hAnsi="Book Antiqua" w:cs="Book Antiqua"/>
          <w:b/>
          <w:caps/>
          <w:color w:val="000000"/>
          <w:u w:val="single"/>
        </w:rPr>
        <w:t>MATERIALS AND METHODS</w:t>
      </w:r>
    </w:p>
    <w:p w14:paraId="0C325812" w14:textId="035D3F62" w:rsidR="00A77B3E" w:rsidRDefault="006E349E">
      <w:pPr>
        <w:spacing w:line="360" w:lineRule="auto"/>
        <w:jc w:val="both"/>
      </w:pPr>
      <w:r>
        <w:rPr>
          <w:rFonts w:ascii="Book Antiqua" w:eastAsia="Book Antiqua" w:hAnsi="Book Antiqua" w:cs="Book Antiqua"/>
          <w:color w:val="000000"/>
        </w:rPr>
        <w:t>In t</w:t>
      </w:r>
      <w:r w:rsidRPr="00060941">
        <w:rPr>
          <w:rFonts w:ascii="Book Antiqua" w:eastAsia="Book Antiqua" w:hAnsi="Book Antiqua" w:cs="Book Antiqua"/>
          <w:color w:val="000000"/>
        </w:rPr>
        <w:t>his retrospective cohort study,</w:t>
      </w:r>
      <w:r>
        <w:rPr>
          <w:rFonts w:ascii="Book Antiqua" w:eastAsia="Book Antiqua" w:hAnsi="Book Antiqua" w:cs="Book Antiqua"/>
          <w:color w:val="000000"/>
        </w:rPr>
        <w:t xml:space="preserve"> we used the Boston Children’s Hospital (BCH) Celiac Disease Program database to identify children less than 18 years of age with an initial biopsy-confirmed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at BCH between January 1, 2008 and December 31, 2012. Celiac antibodies included tissue transglutaminase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w:t>
      </w:r>
      <w:bookmarkStart w:id="3" w:name="_Hlk56435039"/>
      <w:r w:rsidR="004A1ED3" w:rsidRPr="00346603">
        <w:rPr>
          <w:rFonts w:ascii="Book Antiqua" w:eastAsia="Book Antiqua" w:hAnsi="Book Antiqua" w:cs="Book Antiqua"/>
          <w:color w:val="000000"/>
        </w:rPr>
        <w:t>immunoglobulin</w:t>
      </w:r>
      <w:bookmarkEnd w:id="3"/>
      <w:r w:rsidR="004A1ED3">
        <w:rPr>
          <w:rFonts w:ascii="Book Antiqua" w:eastAsia="Book Antiqua" w:hAnsi="Book Antiqua" w:cs="Book Antiqua"/>
          <w:color w:val="000000"/>
        </w:rPr>
        <w:t xml:space="preserve"> (</w:t>
      </w:r>
      <w:r>
        <w:rPr>
          <w:rFonts w:ascii="Book Antiqua" w:eastAsia="Book Antiqua" w:hAnsi="Book Antiqua" w:cs="Book Antiqua"/>
          <w:color w:val="000000"/>
        </w:rPr>
        <w:t>Ig</w:t>
      </w:r>
      <w:r w:rsidR="004A1ED3">
        <w:rPr>
          <w:rFonts w:ascii="Book Antiqua" w:eastAsia="Book Antiqua" w:hAnsi="Book Antiqua" w:cs="Book Antiqua"/>
          <w:color w:val="000000"/>
        </w:rPr>
        <w:t xml:space="preserve">) </w:t>
      </w:r>
      <w:r>
        <w:rPr>
          <w:rFonts w:ascii="Book Antiqua" w:eastAsia="Book Antiqua" w:hAnsi="Book Antiqua" w:cs="Book Antiqua"/>
          <w:color w:val="000000"/>
        </w:rPr>
        <w:t xml:space="preserve">A, deamidated gliadin peptide (DGP) IgG and </w:t>
      </w:r>
      <w:proofErr w:type="spellStart"/>
      <w:r>
        <w:rPr>
          <w:rFonts w:ascii="Book Antiqua" w:eastAsia="Book Antiqua" w:hAnsi="Book Antiqua" w:cs="Book Antiqua"/>
          <w:color w:val="000000"/>
        </w:rPr>
        <w:t>endomysial</w:t>
      </w:r>
      <w:proofErr w:type="spellEnd"/>
      <w:r>
        <w:rPr>
          <w:rFonts w:ascii="Book Antiqua" w:eastAsia="Book Antiqua" w:hAnsi="Book Antiqua" w:cs="Book Antiqua"/>
          <w:color w:val="000000"/>
        </w:rPr>
        <w:t xml:space="preserve"> antibody (EMA) IgA. Included patients had Marsh III lesions, defined by increased intraepithelial lymphocytes, villous atrophy, and crypt </w:t>
      </w:r>
      <w:proofErr w:type="gramStart"/>
      <w:r>
        <w:rPr>
          <w:rFonts w:ascii="Book Antiqua" w:eastAsia="Book Antiqua" w:hAnsi="Book Antiqua" w:cs="Book Antiqua"/>
          <w:color w:val="000000"/>
        </w:rPr>
        <w:t>hyperplasia</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4A1ED3">
        <w:rPr>
          <w:rFonts w:ascii="Book Antiqua" w:eastAsia="Book Antiqua" w:hAnsi="Book Antiqua" w:cs="Book Antiqua"/>
          <w:color w:val="000000"/>
        </w:rPr>
        <w:t xml:space="preserve"> </w:t>
      </w:r>
      <w:r>
        <w:rPr>
          <w:rFonts w:ascii="Book Antiqua" w:eastAsia="Book Antiqua" w:hAnsi="Book Antiqua" w:cs="Book Antiqua"/>
          <w:color w:val="000000"/>
        </w:rPr>
        <w:t>Children diagnosed elsewhere and seen for a second opinion, and those who were asymptomatic at the time of diagnosis were excluded.</w:t>
      </w:r>
    </w:p>
    <w:p w14:paraId="2122DBCA" w14:textId="7271E204" w:rsidR="00A77B3E" w:rsidRDefault="006E349E" w:rsidP="00803D5A">
      <w:pPr>
        <w:spacing w:line="360" w:lineRule="auto"/>
        <w:ind w:firstLineChars="100" w:firstLine="240"/>
        <w:jc w:val="both"/>
      </w:pPr>
      <w:r>
        <w:rPr>
          <w:rFonts w:ascii="Book Antiqua" w:eastAsia="Book Antiqua" w:hAnsi="Book Antiqua" w:cs="Book Antiqua"/>
          <w:color w:val="000000"/>
        </w:rPr>
        <w:lastRenderedPageBreak/>
        <w:t xml:space="preserve">Data extracted from medical records included demographics, clinical presentation, serologic results, comorbidities, family history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and number of dietitian visits at BCH within 120 d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Medical records were reviewed longitudinally from the time of diagnosis through September 2015.</w:t>
      </w:r>
    </w:p>
    <w:p w14:paraId="012AFA24" w14:textId="2B55487A" w:rsidR="00A77B3E" w:rsidRDefault="006E349E" w:rsidP="00803D5A">
      <w:pPr>
        <w:spacing w:line="360" w:lineRule="auto"/>
        <w:ind w:firstLineChars="100" w:firstLine="240"/>
        <w:jc w:val="both"/>
      </w:pPr>
      <w:r>
        <w:rPr>
          <w:rFonts w:ascii="Book Antiqua" w:eastAsia="Book Antiqua" w:hAnsi="Book Antiqua" w:cs="Book Antiqua"/>
          <w:color w:val="000000"/>
        </w:rPr>
        <w:t>Adherence to the GFD was determined from review of medical records, primarily from dietician documentation/notes of their clinical assessment which included a dietary interview and is reported</w:t>
      </w:r>
      <w:r w:rsidR="00803D5A">
        <w:rPr>
          <w:rFonts w:ascii="Book Antiqua" w:eastAsia="Book Antiqua" w:hAnsi="Book Antiqua" w:cs="Book Antiqua"/>
          <w:color w:val="000000"/>
        </w:rPr>
        <w:t xml:space="preserve"> </w:t>
      </w:r>
      <w:r>
        <w:rPr>
          <w:rFonts w:ascii="Book Antiqua" w:eastAsia="Book Antiqua" w:hAnsi="Book Antiqua" w:cs="Book Antiqua"/>
          <w:color w:val="000000"/>
        </w:rPr>
        <w:t>using a previously published assessment scale graded as follows: (1) Excellent = patient never ate gluten intentionally and/or had rare exposure, (2) Good = inadvertent exposure once per month, (3) Fair = exposure 2-3 times per month, (4) Poor = exposure 1-2 times per week, (5) Noncompliant = not on a GFD, or (6) Unable to assess GFD adherence from the medical record</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D050AB4" w14:textId="1DBC082A" w:rsidR="00A77B3E" w:rsidRDefault="006E349E" w:rsidP="00803D5A">
      <w:pPr>
        <w:spacing w:line="360" w:lineRule="auto"/>
        <w:ind w:firstLineChars="100" w:firstLine="240"/>
        <w:jc w:val="both"/>
      </w:pPr>
      <w:r>
        <w:rPr>
          <w:rFonts w:ascii="Book Antiqua" w:eastAsia="Book Antiqua" w:hAnsi="Book Antiqua" w:cs="Book Antiqua"/>
          <w:color w:val="000000"/>
        </w:rPr>
        <w:t>NRCD was defined as persistent clinical symptoms six months or more after the initiation of a GFD.</w:t>
      </w:r>
      <w:r w:rsidR="00803D5A">
        <w:rPr>
          <w:rFonts w:ascii="Book Antiqua" w:eastAsia="Book Antiqua" w:hAnsi="Book Antiqua" w:cs="Book Antiqua"/>
          <w:color w:val="000000"/>
        </w:rPr>
        <w:t xml:space="preserve"> </w:t>
      </w:r>
      <w:r>
        <w:rPr>
          <w:rFonts w:ascii="Book Antiqua" w:eastAsia="Book Antiqua" w:hAnsi="Book Antiqua" w:cs="Book Antiqua"/>
          <w:color w:val="000000"/>
        </w:rPr>
        <w:t xml:space="preserve">Children with clinical improvement while on a GFD were considered as responders and compared with the NCRD group. This study was approved by the BCH Institutional Review Board. </w:t>
      </w:r>
    </w:p>
    <w:p w14:paraId="557889D5" w14:textId="77777777" w:rsidR="00A77B3E" w:rsidRDefault="00A77B3E">
      <w:pPr>
        <w:spacing w:line="360" w:lineRule="auto"/>
        <w:jc w:val="both"/>
      </w:pPr>
    </w:p>
    <w:p w14:paraId="0C4CA68B" w14:textId="77777777" w:rsidR="00A77B3E" w:rsidRPr="00803D5A" w:rsidRDefault="006E349E">
      <w:pPr>
        <w:spacing w:line="360" w:lineRule="auto"/>
        <w:jc w:val="both"/>
        <w:rPr>
          <w:b/>
          <w:bCs/>
        </w:rPr>
      </w:pPr>
      <w:r w:rsidRPr="00803D5A">
        <w:rPr>
          <w:rFonts w:ascii="Book Antiqua" w:eastAsia="Book Antiqua" w:hAnsi="Book Antiqua" w:cs="Book Antiqua"/>
          <w:b/>
          <w:bCs/>
          <w:i/>
          <w:iCs/>
          <w:color w:val="000000"/>
        </w:rPr>
        <w:t>Statistical analysis</w:t>
      </w:r>
    </w:p>
    <w:p w14:paraId="739DE721" w14:textId="653A50B9" w:rsidR="00A77B3E" w:rsidRDefault="006E349E">
      <w:pPr>
        <w:spacing w:line="360" w:lineRule="auto"/>
        <w:jc w:val="both"/>
      </w:pPr>
      <w:r>
        <w:rPr>
          <w:rFonts w:ascii="Book Antiqua" w:eastAsia="Book Antiqua" w:hAnsi="Book Antiqua" w:cs="Book Antiqua"/>
          <w:color w:val="000000"/>
        </w:rPr>
        <w:t>Categorical data were summarized as frequency (percentage) and comparisons between responders and children with NRCD made with Fisher’s exact test.</w:t>
      </w:r>
      <w:r w:rsidR="00803D5A">
        <w:rPr>
          <w:rFonts w:ascii="Book Antiqua" w:eastAsia="Book Antiqua" w:hAnsi="Book Antiqua" w:cs="Book Antiqua"/>
          <w:color w:val="000000"/>
        </w:rPr>
        <w:t xml:space="preserve"> </w:t>
      </w:r>
      <w:r>
        <w:rPr>
          <w:rFonts w:ascii="Book Antiqua" w:eastAsia="Book Antiqua" w:hAnsi="Book Antiqua" w:cs="Book Antiqua"/>
          <w:color w:val="000000"/>
        </w:rPr>
        <w:t>Continuous data were presented as median with interquartile range (IQR) and compared across groups by Wilcoxon rank-sum test.</w:t>
      </w:r>
      <w:r w:rsidR="00803D5A">
        <w:rPr>
          <w:rFonts w:ascii="Book Antiqua" w:eastAsia="Book Antiqua" w:hAnsi="Book Antiqua" w:cs="Book Antiqua"/>
          <w:color w:val="000000"/>
        </w:rPr>
        <w:t xml:space="preserve"> </w:t>
      </w:r>
      <w:r>
        <w:rPr>
          <w:rFonts w:ascii="Book Antiqua" w:eastAsia="Book Antiqua" w:hAnsi="Book Antiqua" w:cs="Book Antiqua"/>
          <w:color w:val="000000"/>
        </w:rPr>
        <w:t>A stepwise logistic regression model was used to investigate symptoms at the time of diagnosis that are independently associated with NRCD</w:t>
      </w:r>
      <w:r w:rsidR="00803D5A">
        <w:rPr>
          <w:rFonts w:ascii="Book Antiqua" w:eastAsia="Book Antiqua" w:hAnsi="Book Antiqua" w:cs="Book Antiqua"/>
          <w:color w:val="000000"/>
        </w:rPr>
        <w:t xml:space="preserve"> si</w:t>
      </w:r>
      <w:r>
        <w:rPr>
          <w:rFonts w:ascii="Book Antiqua" w:eastAsia="Book Antiqua" w:hAnsi="Book Antiqua" w:cs="Book Antiqua"/>
          <w:color w:val="000000"/>
        </w:rPr>
        <w:t>gns and symptoms included abdominal pain, constipation (hard or infrequent stools), nausea/vomiting, diarrhea, weight loss or poor weight gain, fatigue, short stature, gassiness, abdominal distension, loss of appetite, arthritis/arthralgia, rash, and mouth ulcers.</w:t>
      </w:r>
      <w:r w:rsidR="00FE75CF">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060941">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60941">
        <w:rPr>
          <w:rFonts w:ascii="Book Antiqua" w:eastAsia="Book Antiqua" w:hAnsi="Book Antiqua" w:cs="Book Antiqua"/>
          <w:color w:val="000000"/>
        </w:rPr>
        <w:t xml:space="preserve"> </w:t>
      </w:r>
      <w:r>
        <w:rPr>
          <w:rFonts w:ascii="Book Antiqua" w:eastAsia="Book Antiqua" w:hAnsi="Book Antiqua" w:cs="Book Antiqua"/>
          <w:color w:val="000000"/>
        </w:rPr>
        <w:t xml:space="preserve">0.20 was required for a symptom to enter the model, and </w:t>
      </w:r>
      <w:r>
        <w:rPr>
          <w:rFonts w:ascii="Book Antiqua" w:eastAsia="Book Antiqua" w:hAnsi="Book Antiqua" w:cs="Book Antiqua"/>
          <w:i/>
          <w:iCs/>
          <w:color w:val="000000"/>
        </w:rPr>
        <w:t>P</w:t>
      </w:r>
      <w:r w:rsidR="00060941">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60941">
        <w:rPr>
          <w:rFonts w:ascii="Book Antiqua" w:eastAsia="Book Antiqua" w:hAnsi="Book Antiqua" w:cs="Book Antiqua"/>
          <w:color w:val="000000"/>
        </w:rPr>
        <w:t xml:space="preserve"> </w:t>
      </w:r>
      <w:r>
        <w:rPr>
          <w:rFonts w:ascii="Book Antiqua" w:eastAsia="Book Antiqua" w:hAnsi="Book Antiqua" w:cs="Book Antiqua"/>
          <w:color w:val="000000"/>
        </w:rPr>
        <w:t>0.05 was required for the symptom to remain in the model.</w:t>
      </w:r>
      <w:r w:rsidR="00060941">
        <w:rPr>
          <w:rFonts w:ascii="Book Antiqua" w:eastAsia="Book Antiqua" w:hAnsi="Book Antiqua" w:cs="Book Antiqua"/>
          <w:color w:val="000000"/>
        </w:rPr>
        <w:t xml:space="preserve"> </w:t>
      </w:r>
      <w:r>
        <w:rPr>
          <w:rFonts w:ascii="Book Antiqua" w:eastAsia="Book Antiqua" w:hAnsi="Book Antiqua" w:cs="Book Antiqua"/>
          <w:color w:val="000000"/>
        </w:rPr>
        <w:t xml:space="preserve">All comparisons were two-sided, with statistical significance established a priori as </w:t>
      </w:r>
      <w:r>
        <w:rPr>
          <w:rFonts w:ascii="Book Antiqua" w:eastAsia="Book Antiqua" w:hAnsi="Book Antiqua" w:cs="Book Antiqua"/>
          <w:i/>
          <w:iCs/>
          <w:color w:val="000000"/>
        </w:rPr>
        <w:t>P</w:t>
      </w:r>
      <w:r w:rsidR="00060941">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60941">
        <w:rPr>
          <w:rFonts w:ascii="Book Antiqua" w:eastAsia="Book Antiqua" w:hAnsi="Book Antiqua" w:cs="Book Antiqua"/>
          <w:color w:val="000000"/>
        </w:rPr>
        <w:t xml:space="preserve"> </w:t>
      </w:r>
      <w:r>
        <w:rPr>
          <w:rFonts w:ascii="Book Antiqua" w:eastAsia="Book Antiqua" w:hAnsi="Book Antiqua" w:cs="Book Antiqua"/>
          <w:color w:val="000000"/>
        </w:rPr>
        <w:t>0.05.</w:t>
      </w:r>
      <w:r w:rsidR="00060941">
        <w:rPr>
          <w:rFonts w:ascii="Book Antiqua" w:eastAsia="Book Antiqua" w:hAnsi="Book Antiqua" w:cs="Book Antiqua"/>
          <w:color w:val="000000"/>
        </w:rPr>
        <w:t xml:space="preserve"> </w:t>
      </w:r>
      <w:r>
        <w:rPr>
          <w:rFonts w:ascii="Book Antiqua" w:eastAsia="Book Antiqua" w:hAnsi="Book Antiqua" w:cs="Book Antiqua"/>
          <w:color w:val="000000"/>
        </w:rPr>
        <w:t>Data analysis was performed with SAS v9.4 (Cary, NC</w:t>
      </w:r>
      <w:r w:rsidR="00060941">
        <w:rPr>
          <w:rFonts w:ascii="Book Antiqua" w:eastAsia="Book Antiqua" w:hAnsi="Book Antiqua" w:cs="Book Antiqua"/>
          <w:color w:val="000000"/>
        </w:rPr>
        <w:t>,</w:t>
      </w:r>
      <w:r>
        <w:rPr>
          <w:rFonts w:ascii="Book Antiqua" w:eastAsia="Book Antiqua" w:hAnsi="Book Antiqua" w:cs="Book Antiqua"/>
          <w:color w:val="000000"/>
        </w:rPr>
        <w:t xml:space="preserve"> </w:t>
      </w:r>
      <w:r w:rsidR="00060941">
        <w:rPr>
          <w:rFonts w:ascii="Book Antiqua" w:eastAsia="Book Antiqua" w:hAnsi="Book Antiqua" w:cs="Book Antiqua"/>
          <w:color w:val="000000"/>
        </w:rPr>
        <w:t>United States</w:t>
      </w:r>
      <w:r>
        <w:rPr>
          <w:rFonts w:ascii="Book Antiqua" w:eastAsia="Book Antiqua" w:hAnsi="Book Antiqua" w:cs="Book Antiqua"/>
          <w:color w:val="000000"/>
        </w:rPr>
        <w:t>).</w:t>
      </w:r>
    </w:p>
    <w:p w14:paraId="0BB8C584" w14:textId="77777777" w:rsidR="00A77B3E" w:rsidRDefault="00A77B3E">
      <w:pPr>
        <w:spacing w:line="360" w:lineRule="auto"/>
        <w:jc w:val="both"/>
      </w:pPr>
    </w:p>
    <w:p w14:paraId="4A7E1B6A" w14:textId="77777777" w:rsidR="00A77B3E" w:rsidRDefault="006E349E">
      <w:pPr>
        <w:spacing w:line="360" w:lineRule="auto"/>
        <w:jc w:val="both"/>
      </w:pPr>
      <w:r>
        <w:rPr>
          <w:rFonts w:ascii="Book Antiqua" w:eastAsia="Book Antiqua" w:hAnsi="Book Antiqua" w:cs="Book Antiqua"/>
          <w:b/>
          <w:caps/>
          <w:color w:val="000000"/>
          <w:u w:val="single"/>
        </w:rPr>
        <w:lastRenderedPageBreak/>
        <w:t>RESULTS</w:t>
      </w:r>
    </w:p>
    <w:p w14:paraId="62EE8FC4" w14:textId="1A17AC08" w:rsidR="00A77B3E" w:rsidRDefault="006E349E">
      <w:pPr>
        <w:spacing w:line="360" w:lineRule="auto"/>
        <w:jc w:val="both"/>
      </w:pPr>
      <w:r>
        <w:rPr>
          <w:rFonts w:ascii="Book Antiqua" w:eastAsia="Book Antiqua" w:hAnsi="Book Antiqua" w:cs="Book Antiqua"/>
          <w:color w:val="000000"/>
        </w:rPr>
        <w:t xml:space="preserve">A total of 659 children under 18 years of age were diagnosed with biopsy-confirmed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at BCH between January 1, 2008 and December 31, 2012 (Figure 1). All had elevated serum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IgA except for nine subjects. These nine were diagnosed with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according to the presence of other celiac serology, HLA typing compatible with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or response to a GFD. Forty-three who did not have symptoms at the time of the diagnosis (evaluated for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because of type 1 diabetes, family history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or short stature) were excluded from the primary analysis. Of the remaining 616 children included, 525 (85%) subjects showed complete response as determined by resolution of clinical symptoms in the 6 (±</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the initiation of the GFD (responders).</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Ninety-one children (15%) met the criteria for NRCD, with persistent symptoms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diagnosis.</w:t>
      </w:r>
    </w:p>
    <w:p w14:paraId="3EA2124D" w14:textId="5E5E3608" w:rsidR="00A77B3E" w:rsidRDefault="006E349E" w:rsidP="00105E3C">
      <w:pPr>
        <w:spacing w:line="360" w:lineRule="auto"/>
        <w:ind w:firstLineChars="100" w:firstLine="240"/>
        <w:jc w:val="both"/>
      </w:pPr>
      <w:r>
        <w:rPr>
          <w:rFonts w:ascii="Book Antiqua" w:eastAsia="Book Antiqua" w:hAnsi="Book Antiqua" w:cs="Book Antiqua"/>
          <w:color w:val="000000"/>
        </w:rPr>
        <w:t>Characteristics of responders (</w:t>
      </w:r>
      <w:r>
        <w:rPr>
          <w:rFonts w:ascii="Book Antiqua" w:eastAsia="Book Antiqua" w:hAnsi="Book Antiqua" w:cs="Book Antiqua"/>
          <w:i/>
          <w:iCs/>
          <w:color w:val="000000"/>
        </w:rPr>
        <w:t>n</w:t>
      </w:r>
      <w:r>
        <w:rPr>
          <w:rFonts w:ascii="Book Antiqua" w:eastAsia="Book Antiqua" w:hAnsi="Book Antiqua" w:cs="Book Antiqua"/>
          <w:color w:val="000000"/>
        </w:rPr>
        <w:t xml:space="preserve"> = 525) and NRCD (</w:t>
      </w:r>
      <w:r>
        <w:rPr>
          <w:rFonts w:ascii="Book Antiqua" w:eastAsia="Book Antiqua" w:hAnsi="Book Antiqua" w:cs="Book Antiqua"/>
          <w:i/>
          <w:iCs/>
          <w:color w:val="000000"/>
        </w:rPr>
        <w:t>n</w:t>
      </w:r>
      <w:r>
        <w:rPr>
          <w:rFonts w:ascii="Book Antiqua" w:eastAsia="Book Antiqua" w:hAnsi="Book Antiqua" w:cs="Book Antiqua"/>
          <w:color w:val="000000"/>
        </w:rPr>
        <w:t xml:space="preserve"> = 91) groups are shown in Table 1.</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Significantly more subjects with NRCD were female (77% </w:t>
      </w:r>
      <w:r w:rsidRPr="00105E3C">
        <w:rPr>
          <w:rFonts w:ascii="Book Antiqua" w:eastAsia="Book Antiqua" w:hAnsi="Book Antiqua" w:cs="Book Antiqua"/>
          <w:i/>
          <w:iCs/>
          <w:color w:val="000000"/>
        </w:rPr>
        <w:t>vs</w:t>
      </w:r>
      <w:r>
        <w:rPr>
          <w:rFonts w:ascii="Book Antiqua" w:eastAsia="Book Antiqua" w:hAnsi="Book Antiqua" w:cs="Book Antiqua"/>
          <w:color w:val="000000"/>
        </w:rPr>
        <w:t xml:space="preserve"> 65%, respectively; </w:t>
      </w:r>
      <w:r>
        <w:rPr>
          <w:rFonts w:ascii="Book Antiqua" w:eastAsia="Book Antiqua" w:hAnsi="Book Antiqua" w:cs="Book Antiqua"/>
          <w:i/>
          <w:iCs/>
          <w:color w:val="000000"/>
        </w:rPr>
        <w:t>P</w:t>
      </w:r>
      <w:r w:rsidR="00105E3C">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0.02). There was no difference in age at time of biopsy, and subjects of all ages were included: &lt;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3 y</w:t>
      </w:r>
      <w:r w:rsidR="00105E3C">
        <w:rPr>
          <w:rFonts w:ascii="Book Antiqua" w:eastAsia="Book Antiqua" w:hAnsi="Book Antiqua" w:cs="Book Antiqua"/>
          <w:color w:val="000000"/>
        </w:rPr>
        <w:t>ear</w:t>
      </w:r>
      <w:r>
        <w:rPr>
          <w:rFonts w:ascii="Book Antiqua" w:eastAsia="Book Antiqua" w:hAnsi="Book Antiqua" w:cs="Book Antiqua"/>
          <w:color w:val="000000"/>
        </w:rPr>
        <w:t xml:space="preserve"> (9%), 3-6 y</w:t>
      </w:r>
      <w:r w:rsidR="00105E3C">
        <w:rPr>
          <w:rFonts w:ascii="Book Antiqua" w:eastAsia="Book Antiqua" w:hAnsi="Book Antiqua" w:cs="Book Antiqua"/>
          <w:color w:val="000000"/>
        </w:rPr>
        <w:t>ear</w:t>
      </w:r>
      <w:r>
        <w:rPr>
          <w:rFonts w:ascii="Book Antiqua" w:eastAsia="Book Antiqua" w:hAnsi="Book Antiqua" w:cs="Book Antiqua"/>
          <w:color w:val="000000"/>
        </w:rPr>
        <w:t xml:space="preserve"> (25%), 7-11 y</w:t>
      </w:r>
      <w:r w:rsidR="00105E3C">
        <w:rPr>
          <w:rFonts w:ascii="Book Antiqua" w:eastAsia="Book Antiqua" w:hAnsi="Book Antiqua" w:cs="Book Antiqua"/>
          <w:color w:val="000000"/>
        </w:rPr>
        <w:t>ear</w:t>
      </w:r>
      <w:r>
        <w:rPr>
          <w:rFonts w:ascii="Book Antiqua" w:eastAsia="Book Antiqua" w:hAnsi="Book Antiqua" w:cs="Book Antiqua"/>
          <w:color w:val="000000"/>
        </w:rPr>
        <w:t xml:space="preserve"> (31%), and 12-17 y</w:t>
      </w:r>
      <w:r w:rsidR="00105E3C">
        <w:rPr>
          <w:rFonts w:ascii="Book Antiqua" w:eastAsia="Book Antiqua" w:hAnsi="Book Antiqua" w:cs="Book Antiqua"/>
          <w:color w:val="000000"/>
        </w:rPr>
        <w:t>ear</w:t>
      </w:r>
      <w:r>
        <w:rPr>
          <w:rFonts w:ascii="Book Antiqua" w:eastAsia="Book Antiqua" w:hAnsi="Book Antiqua" w:cs="Book Antiqua"/>
          <w:color w:val="000000"/>
        </w:rPr>
        <w:t xml:space="preserve"> (35%).</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was a trend towards more Hispanic patients among NRCD subjects compared to responders (5% </w:t>
      </w:r>
      <w:r>
        <w:rPr>
          <w:rFonts w:ascii="Book Antiqua" w:eastAsia="Book Antiqua" w:hAnsi="Book Antiqua" w:cs="Book Antiqua"/>
          <w:i/>
          <w:iCs/>
          <w:color w:val="000000"/>
        </w:rPr>
        <w:t>vs</w:t>
      </w:r>
      <w:r>
        <w:rPr>
          <w:rFonts w:ascii="Book Antiqua" w:eastAsia="Book Antiqua" w:hAnsi="Book Antiqua" w:cs="Book Antiqua"/>
          <w:color w:val="000000"/>
        </w:rPr>
        <w:t xml:space="preserve"> 1%, respectively; </w:t>
      </w:r>
      <w:r>
        <w:rPr>
          <w:rFonts w:ascii="Book Antiqua" w:eastAsia="Book Antiqua" w:hAnsi="Book Antiqua" w:cs="Book Antiqua"/>
          <w:i/>
          <w:iCs/>
          <w:color w:val="000000"/>
        </w:rPr>
        <w:t>P</w:t>
      </w:r>
      <w:r w:rsidR="00105E3C">
        <w:rPr>
          <w:rFonts w:ascii="Book Antiqua" w:eastAsia="Book Antiqua" w:hAnsi="Book Antiqua" w:cs="Book Antiqua"/>
          <w:i/>
          <w:iCs/>
          <w:color w:val="000000"/>
        </w:rPr>
        <w:t xml:space="preserve"> </w:t>
      </w:r>
      <w:r>
        <w:rPr>
          <w:rFonts w:ascii="Book Antiqua" w:eastAsia="Book Antiqua" w:hAnsi="Book Antiqua" w:cs="Book Antiqua"/>
          <w:i/>
          <w:iCs/>
          <w:color w:val="000000"/>
        </w:rPr>
        <w:t>=</w:t>
      </w:r>
      <w:r w:rsidR="00105E3C">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0.06). Family history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(27%) was less common than family history of other autoimmune disorders (46%), but the incidence for each was similar between NRCD subjects and responders.</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Finally, at the time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subjects with NRCD had lower </w:t>
      </w:r>
      <w:r w:rsidR="00105E3C">
        <w:rPr>
          <w:rFonts w:ascii="Book Antiqua" w:eastAsia="Book Antiqua" w:hAnsi="Book Antiqua" w:cs="Book Antiqua"/>
          <w:color w:val="000000"/>
        </w:rPr>
        <w:t>body mass index (</w:t>
      </w:r>
      <w:r>
        <w:rPr>
          <w:rFonts w:ascii="Book Antiqua" w:eastAsia="Book Antiqua" w:hAnsi="Book Antiqua" w:cs="Book Antiqua"/>
          <w:color w:val="000000"/>
        </w:rPr>
        <w:t>BMI</w:t>
      </w:r>
      <w:r w:rsidR="00105E3C">
        <w:rPr>
          <w:rFonts w:ascii="Book Antiqua" w:eastAsia="Book Antiqua" w:hAnsi="Book Antiqua" w:cs="Book Antiqua"/>
          <w:color w:val="000000"/>
        </w:rPr>
        <w:t>)</w:t>
      </w:r>
      <w:r>
        <w:rPr>
          <w:rFonts w:ascii="Book Antiqua" w:eastAsia="Book Antiqua" w:hAnsi="Book Antiqua" w:cs="Book Antiqua"/>
          <w:color w:val="000000"/>
        </w:rPr>
        <w:t xml:space="preserve"> </w:t>
      </w:r>
      <w:r w:rsidRPr="00105E3C">
        <w:rPr>
          <w:rFonts w:ascii="Book Antiqua" w:eastAsia="Book Antiqua" w:hAnsi="Book Antiqua" w:cs="Book Antiqua"/>
          <w:i/>
          <w:iCs/>
          <w:color w:val="000000"/>
        </w:rPr>
        <w:t>z</w:t>
      </w:r>
      <w:r>
        <w:rPr>
          <w:rFonts w:ascii="Book Antiqua" w:eastAsia="Book Antiqua" w:hAnsi="Book Antiqua" w:cs="Book Antiqua"/>
          <w:color w:val="000000"/>
        </w:rPr>
        <w:t xml:space="preserve">-score compared to responders (median 0.00 (IQR -1.12, 0.58) </w:t>
      </w:r>
      <w:r w:rsidRPr="00105E3C">
        <w:rPr>
          <w:rFonts w:ascii="Book Antiqua" w:eastAsia="Book Antiqua" w:hAnsi="Book Antiqua" w:cs="Book Antiqua"/>
          <w:i/>
          <w:iCs/>
          <w:color w:val="000000"/>
        </w:rPr>
        <w:t>vs</w:t>
      </w:r>
      <w:r>
        <w:rPr>
          <w:rFonts w:ascii="Book Antiqua" w:eastAsia="Book Antiqua" w:hAnsi="Book Antiqua" w:cs="Book Antiqua"/>
          <w:color w:val="000000"/>
        </w:rPr>
        <w:t xml:space="preserve"> 0.18 (IQR -0.48, 0.82); </w:t>
      </w:r>
      <w:r>
        <w:rPr>
          <w:rFonts w:ascii="Book Antiqua" w:eastAsia="Book Antiqua" w:hAnsi="Book Antiqua" w:cs="Book Antiqua"/>
          <w:i/>
          <w:iCs/>
          <w:color w:val="000000"/>
        </w:rPr>
        <w:t>P</w:t>
      </w:r>
      <w:r w:rsidR="00105E3C">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0.02) (Table 1).</w:t>
      </w:r>
    </w:p>
    <w:p w14:paraId="55D68421" w14:textId="062C758B"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Abdominal pain was the most common presenting symptom at diagnosis and was more likely in children with NRCD compared to responders (70% </w:t>
      </w:r>
      <w:r>
        <w:rPr>
          <w:rFonts w:ascii="Book Antiqua" w:eastAsia="Book Antiqua" w:hAnsi="Book Antiqua" w:cs="Book Antiqua"/>
          <w:i/>
          <w:iCs/>
          <w:color w:val="000000"/>
        </w:rPr>
        <w:t>vs</w:t>
      </w:r>
      <w:r>
        <w:rPr>
          <w:rFonts w:ascii="Book Antiqua" w:eastAsia="Book Antiqua" w:hAnsi="Book Antiqua" w:cs="Book Antiqua"/>
          <w:color w:val="000000"/>
        </w:rPr>
        <w:t xml:space="preserve"> 54%, </w:t>
      </w:r>
      <w:r>
        <w:rPr>
          <w:rFonts w:ascii="Book Antiqua" w:eastAsia="Book Antiqua" w:hAnsi="Book Antiqua" w:cs="Book Antiqua"/>
          <w:i/>
          <w:iCs/>
          <w:color w:val="000000"/>
        </w:rPr>
        <w:t>P</w:t>
      </w:r>
      <w:r w:rsidR="00105E3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0.006). Constipation (hard or infrequent stools) was the second most common presenting symptom and was also more frequent with NRCD (54% </w:t>
      </w:r>
      <w:r>
        <w:rPr>
          <w:rFonts w:ascii="Book Antiqua" w:eastAsia="Book Antiqua" w:hAnsi="Book Antiqua" w:cs="Book Antiqua"/>
          <w:i/>
          <w:iCs/>
          <w:color w:val="000000"/>
        </w:rPr>
        <w:t>vs</w:t>
      </w:r>
      <w:r>
        <w:rPr>
          <w:rFonts w:ascii="Book Antiqua" w:eastAsia="Book Antiqua" w:hAnsi="Book Antiqua" w:cs="Book Antiqua"/>
          <w:color w:val="000000"/>
        </w:rPr>
        <w:t xml:space="preserve"> 28%, </w:t>
      </w:r>
      <w:r>
        <w:rPr>
          <w:rFonts w:ascii="Book Antiqua" w:eastAsia="Book Antiqua" w:hAnsi="Book Antiqua" w:cs="Book Antiqua"/>
          <w:i/>
          <w:iCs/>
          <w:color w:val="000000"/>
        </w:rPr>
        <w:t>P</w:t>
      </w:r>
      <w:r w:rsidR="00105E3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0.0001). Psychiatric manifestations (anxiety and restrictive eating disorder) were also more prevalent at diagnosis among children with NRCD compared to responders (Table 2).</w:t>
      </w:r>
    </w:p>
    <w:p w14:paraId="555C3D0D" w14:textId="712FEEE0" w:rsidR="00A77B3E" w:rsidRDefault="006E349E" w:rsidP="00105E3C">
      <w:pPr>
        <w:spacing w:line="360" w:lineRule="auto"/>
        <w:ind w:firstLineChars="100" w:firstLine="240"/>
        <w:jc w:val="both"/>
      </w:pPr>
      <w:r>
        <w:rPr>
          <w:rFonts w:ascii="Book Antiqua" w:eastAsia="Book Antiqua" w:hAnsi="Book Antiqua" w:cs="Book Antiqua"/>
          <w:color w:val="000000"/>
        </w:rPr>
        <w:t>Symptoms at the time of diagnosis that were determined by stepwise logistic regression to be independently associated with NRCD included constipation, lack of abdominal distension, and abdominal pain.</w:t>
      </w:r>
      <w:r w:rsidR="00105E3C">
        <w:rPr>
          <w:rFonts w:ascii="Book Antiqua" w:eastAsia="Book Antiqua" w:hAnsi="Book Antiqua" w:cs="Book Antiqua"/>
          <w:color w:val="000000"/>
        </w:rPr>
        <w:t xml:space="preserve"> </w:t>
      </w:r>
      <w:r>
        <w:rPr>
          <w:rFonts w:ascii="Book Antiqua" w:eastAsia="Book Antiqua" w:hAnsi="Book Antiqua" w:cs="Book Antiqua"/>
          <w:color w:val="000000"/>
        </w:rPr>
        <w:t>The odds of NRCD were 3.1 (95%</w:t>
      </w:r>
      <w:r w:rsidR="00105E3C" w:rsidRPr="00105E3C">
        <w:rPr>
          <w:rFonts w:ascii="Book Antiqua" w:eastAsia="Malgun Gothic" w:hAnsi="Book Antiqua"/>
        </w:rPr>
        <w:t xml:space="preserve"> </w:t>
      </w:r>
      <w:r w:rsidR="00105E3C" w:rsidRPr="00616F4C">
        <w:rPr>
          <w:rFonts w:ascii="Book Antiqua" w:eastAsia="Malgun Gothic" w:hAnsi="Book Antiqua"/>
        </w:rPr>
        <w:t xml:space="preserve">confidence </w:t>
      </w:r>
      <w:r w:rsidR="00105E3C" w:rsidRPr="00616F4C">
        <w:rPr>
          <w:rFonts w:ascii="Book Antiqua" w:eastAsia="Malgun Gothic" w:hAnsi="Book Antiqua"/>
        </w:rPr>
        <w:lastRenderedPageBreak/>
        <w:t>interval</w:t>
      </w:r>
      <w:r w:rsidR="00105E3C">
        <w:rPr>
          <w:rFonts w:ascii="Book Antiqua" w:eastAsia="Book Antiqua" w:hAnsi="Book Antiqua" w:cs="Book Antiqua"/>
          <w:color w:val="000000"/>
        </w:rPr>
        <w:t xml:space="preserve"> (CI)</w:t>
      </w:r>
      <w:r>
        <w:rPr>
          <w:rFonts w:ascii="Book Antiqua" w:eastAsia="Book Antiqua" w:hAnsi="Book Antiqua" w:cs="Book Antiqua"/>
          <w:color w:val="000000"/>
        </w:rPr>
        <w:t xml:space="preserve"> 1.9</w:t>
      </w:r>
      <w:r w:rsidR="00105E3C">
        <w:rPr>
          <w:rFonts w:ascii="Book Antiqua" w:eastAsia="Book Antiqua" w:hAnsi="Book Antiqua" w:cs="Book Antiqua"/>
          <w:color w:val="000000"/>
        </w:rPr>
        <w:t>-</w:t>
      </w:r>
      <w:r>
        <w:rPr>
          <w:rFonts w:ascii="Book Antiqua" w:eastAsia="Book Antiqua" w:hAnsi="Book Antiqua" w:cs="Book Antiqua"/>
          <w:color w:val="000000"/>
        </w:rPr>
        <w:t>4.9) times higher for subjects with constipation compared to those with normal bowel movements.</w:t>
      </w:r>
      <w:r w:rsidR="00105E3C">
        <w:rPr>
          <w:rFonts w:ascii="Book Antiqua" w:eastAsia="Book Antiqua" w:hAnsi="Book Antiqua" w:cs="Book Antiqua"/>
          <w:color w:val="000000"/>
        </w:rPr>
        <w:t xml:space="preserve"> </w:t>
      </w:r>
      <w:r>
        <w:rPr>
          <w:rFonts w:ascii="Book Antiqua" w:eastAsia="Book Antiqua" w:hAnsi="Book Antiqua" w:cs="Book Antiqua"/>
          <w:color w:val="000000"/>
        </w:rPr>
        <w:t>Likewise, absence of abdominal distension (</w:t>
      </w:r>
      <w:r w:rsidR="00105E3C">
        <w:rPr>
          <w:rFonts w:ascii="Book Antiqua" w:eastAsia="Book Antiqua" w:hAnsi="Book Antiqua" w:cs="Book Antiqua"/>
          <w:color w:val="000000"/>
        </w:rPr>
        <w:t>odds r</w:t>
      </w:r>
      <w:r>
        <w:rPr>
          <w:rFonts w:ascii="Book Antiqua" w:eastAsia="Book Antiqua" w:hAnsi="Book Antiqua" w:cs="Book Antiqua"/>
          <w:color w:val="000000"/>
        </w:rPr>
        <w:t>atio (OR) for abdominal distension 0.4, 95%CI 0.1-0.98) and presence of abdominal pain (OR 1.8, 95%CI 1.1</w:t>
      </w:r>
      <w:r w:rsidR="00105E3C">
        <w:rPr>
          <w:rFonts w:ascii="Book Antiqua" w:eastAsia="Book Antiqua" w:hAnsi="Book Antiqua" w:cs="Book Antiqua"/>
          <w:color w:val="000000"/>
        </w:rPr>
        <w:t>-</w:t>
      </w:r>
      <w:r>
        <w:rPr>
          <w:rFonts w:ascii="Book Antiqua" w:eastAsia="Book Antiqua" w:hAnsi="Book Antiqua" w:cs="Book Antiqua"/>
          <w:color w:val="000000"/>
        </w:rPr>
        <w:t xml:space="preserve">2.9) were independently associated with NRCD. </w:t>
      </w:r>
    </w:p>
    <w:p w14:paraId="41FD7578" w14:textId="192F5CC4"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When examining serum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IgA antibody levels, 14 (15%) of NRCD patients had a less than 20% decrease in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IgA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11 of whom continued to have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IgA levels greater than 1.5</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 the upper limit of normal (ULN) at 1 year after diagnosis.</w:t>
      </w:r>
    </w:p>
    <w:p w14:paraId="436D70B4" w14:textId="1061384F" w:rsidR="00A77B3E" w:rsidRDefault="006E349E" w:rsidP="00105E3C">
      <w:pPr>
        <w:spacing w:line="360" w:lineRule="auto"/>
        <w:ind w:firstLineChars="100" w:firstLine="240"/>
        <w:jc w:val="both"/>
      </w:pPr>
      <w:r>
        <w:rPr>
          <w:rFonts w:ascii="Book Antiqua" w:eastAsia="Book Antiqua" w:hAnsi="Book Antiqua" w:cs="Book Antiqua"/>
          <w:color w:val="000000"/>
        </w:rPr>
        <w:t>Formal evaluation and counselling by a dietitian within the first 120 d</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following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was performed for 75 (82%) of patients with NRCD, compared to 342 (67%) of responders (</w:t>
      </w:r>
      <w:r>
        <w:rPr>
          <w:rFonts w:ascii="Book Antiqua" w:eastAsia="Book Antiqua" w:hAnsi="Book Antiqua" w:cs="Book Antiqua"/>
          <w:i/>
          <w:iCs/>
          <w:color w:val="000000"/>
        </w:rPr>
        <w:t>P</w:t>
      </w:r>
      <w:r w:rsidR="00105E3C">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0.001).</w:t>
      </w:r>
      <w:r w:rsidR="00105E3C">
        <w:rPr>
          <w:rFonts w:ascii="Book Antiqua" w:eastAsia="Book Antiqua" w:hAnsi="Book Antiqua" w:cs="Book Antiqua"/>
          <w:color w:val="000000"/>
        </w:rPr>
        <w:t xml:space="preserve"> </w:t>
      </w:r>
      <w:r>
        <w:rPr>
          <w:rFonts w:ascii="Book Antiqua" w:eastAsia="Book Antiqua" w:hAnsi="Book Antiqua" w:cs="Book Antiqua"/>
          <w:color w:val="000000"/>
        </w:rPr>
        <w:t>Additional nutrition counselling after the first 120 d</w:t>
      </w:r>
      <w:r w:rsidR="00105E3C">
        <w:rPr>
          <w:rFonts w:ascii="Book Antiqua" w:eastAsia="Book Antiqua" w:hAnsi="Book Antiqua" w:cs="Book Antiqua"/>
          <w:color w:val="000000"/>
        </w:rPr>
        <w:t xml:space="preserve"> </w:t>
      </w:r>
      <w:r>
        <w:rPr>
          <w:rFonts w:ascii="Book Antiqua" w:eastAsia="Book Antiqua" w:hAnsi="Book Antiqua" w:cs="Book Antiqua"/>
          <w:color w:val="000000"/>
        </w:rPr>
        <w:t>occurred for 41% (</w:t>
      </w:r>
      <w:r>
        <w:rPr>
          <w:rFonts w:ascii="Book Antiqua" w:eastAsia="Book Antiqua" w:hAnsi="Book Antiqua" w:cs="Book Antiqua"/>
          <w:i/>
          <w:iCs/>
          <w:color w:val="000000"/>
        </w:rPr>
        <w:t>n</w:t>
      </w:r>
      <w:r>
        <w:rPr>
          <w:rFonts w:ascii="Book Antiqua" w:eastAsia="Book Antiqua" w:hAnsi="Book Antiqua" w:cs="Book Antiqua"/>
          <w:color w:val="000000"/>
        </w:rPr>
        <w:t xml:space="preserve"> = 255) children and was more common among NRCD patients than responders (55</w:t>
      </w:r>
      <w:r w:rsidR="00105E3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39%, </w:t>
      </w:r>
      <w:r>
        <w:rPr>
          <w:rFonts w:ascii="Book Antiqua" w:eastAsia="Book Antiqua" w:hAnsi="Book Antiqua" w:cs="Book Antiqua"/>
          <w:i/>
          <w:iCs/>
          <w:color w:val="000000"/>
        </w:rPr>
        <w:t>P</w:t>
      </w:r>
      <w:r w:rsidR="00105E3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0.006).</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GFD adherence was classified as excellent in 54 (66%) of symptomatic NRCD patients and poor in 12 (15%). We were unable to assess adherence to the diet in 9 patients based on medical record review. Seventeen of the 91 patients (19%) had repeat endoscopy as part of their evaluation, a median of 18.9 (IQR 9.5-25.4) months after their initial endoscopy. The majority showed normal villous architecture (82%, </w:t>
      </w:r>
      <w:r>
        <w:rPr>
          <w:rFonts w:ascii="Book Antiqua" w:eastAsia="Book Antiqua" w:hAnsi="Book Antiqua" w:cs="Book Antiqua"/>
          <w:i/>
          <w:iCs/>
          <w:color w:val="000000"/>
        </w:rPr>
        <w:t>n</w:t>
      </w:r>
      <w:r>
        <w:rPr>
          <w:rFonts w:ascii="Book Antiqua" w:eastAsia="Book Antiqua" w:hAnsi="Book Antiqua" w:cs="Book Antiqua"/>
          <w:color w:val="000000"/>
        </w:rPr>
        <w:t xml:space="preserve"> = 14). Two children with persistent villous atrophy had on-going gluten exposure; a third one had follow-up biopsies only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(to follow-up on coexisting eosinophilic esophagitis).</w:t>
      </w:r>
    </w:p>
    <w:p w14:paraId="2DFDC5CC" w14:textId="7CB9F607"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An etiology of NRCD was identified for 88/91 children. Gluten exposure was the most common cause (30%, </w:t>
      </w:r>
      <w:r>
        <w:rPr>
          <w:rFonts w:ascii="Book Antiqua" w:eastAsia="Book Antiqua" w:hAnsi="Book Antiqua" w:cs="Book Antiqua"/>
          <w:i/>
          <w:iCs/>
          <w:color w:val="000000"/>
        </w:rPr>
        <w:t>n</w:t>
      </w:r>
      <w:r>
        <w:rPr>
          <w:rFonts w:ascii="Book Antiqua" w:eastAsia="Book Antiqua" w:hAnsi="Book Antiqua" w:cs="Book Antiqua"/>
          <w:color w:val="000000"/>
        </w:rPr>
        <w:t xml:space="preserve"> = 27) (Figure 2). These children had similar rates of elevated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IgA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(52</w:t>
      </w:r>
      <w:r w:rsidR="00105E3C">
        <w:rPr>
          <w:rFonts w:ascii="Book Antiqua" w:eastAsia="Book Antiqua" w:hAnsi="Book Antiqua" w:cs="Book Antiqua"/>
          <w:color w:val="000000"/>
        </w:rPr>
        <w:t>%</w:t>
      </w:r>
      <w:r>
        <w:rPr>
          <w:rFonts w:ascii="Book Antiqua" w:eastAsia="Book Antiqua" w:hAnsi="Book Antiqua" w:cs="Book Antiqua"/>
          <w:color w:val="000000"/>
        </w:rPr>
        <w:t xml:space="preserve"> </w:t>
      </w:r>
      <w:r w:rsidRPr="00105E3C">
        <w:rPr>
          <w:rFonts w:ascii="Book Antiqua" w:eastAsia="Book Antiqua" w:hAnsi="Book Antiqua" w:cs="Book Antiqua"/>
          <w:i/>
          <w:iCs/>
          <w:color w:val="000000"/>
        </w:rPr>
        <w:t>vs</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46%) and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IgA &gt; 1.5</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 ULN at one year (15</w:t>
      </w:r>
      <w:r w:rsidR="00105E3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11%) to the rest of the cohort.</w:t>
      </w:r>
    </w:p>
    <w:p w14:paraId="5BE61AD4" w14:textId="35DE46E2" w:rsidR="00A77B3E" w:rsidRDefault="006E349E" w:rsidP="00105E3C">
      <w:pPr>
        <w:spacing w:line="360" w:lineRule="auto"/>
        <w:ind w:firstLineChars="100" w:firstLine="240"/>
        <w:jc w:val="both"/>
      </w:pPr>
      <w:r>
        <w:rPr>
          <w:rFonts w:ascii="Book Antiqua" w:eastAsia="Book Antiqua" w:hAnsi="Book Antiqua" w:cs="Book Antiqua"/>
          <w:color w:val="000000"/>
        </w:rPr>
        <w:t>Chronic constipation was the underlying cause of NRCD in 18 (20%) patients, and was already present (</w:t>
      </w:r>
      <w:r>
        <w:rPr>
          <w:rFonts w:ascii="Book Antiqua" w:eastAsia="Book Antiqua" w:hAnsi="Book Antiqua" w:cs="Book Antiqua"/>
          <w:i/>
          <w:iCs/>
          <w:color w:val="000000"/>
        </w:rPr>
        <w:t>n</w:t>
      </w:r>
      <w:r>
        <w:rPr>
          <w:rFonts w:ascii="Book Antiqua" w:eastAsia="Book Antiqua" w:hAnsi="Book Antiqua" w:cs="Book Antiqua"/>
          <w:color w:val="000000"/>
        </w:rPr>
        <w:t xml:space="preserve"> = 15) and treated with laxatives (</w:t>
      </w:r>
      <w:r>
        <w:rPr>
          <w:rFonts w:ascii="Book Antiqua" w:eastAsia="Book Antiqua" w:hAnsi="Book Antiqua" w:cs="Book Antiqua"/>
          <w:i/>
          <w:iCs/>
          <w:color w:val="000000"/>
        </w:rPr>
        <w:t>n</w:t>
      </w:r>
      <w:r>
        <w:rPr>
          <w:rFonts w:ascii="Book Antiqua" w:eastAsia="Book Antiqua" w:hAnsi="Book Antiqua" w:cs="Book Antiqua"/>
          <w:color w:val="000000"/>
        </w:rPr>
        <w:t xml:space="preserve"> = 14) at the time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Other causes for NRCD which were identified are detailed in Figure 2.</w:t>
      </w:r>
    </w:p>
    <w:p w14:paraId="0C9046BF" w14:textId="7724EC06" w:rsidR="00A77B3E" w:rsidRDefault="006E349E" w:rsidP="00105E3C">
      <w:pPr>
        <w:spacing w:line="360" w:lineRule="auto"/>
        <w:ind w:firstLineChars="100" w:firstLine="240"/>
        <w:jc w:val="both"/>
      </w:pPr>
      <w:r>
        <w:rPr>
          <w:rFonts w:ascii="Book Antiqua" w:eastAsia="Book Antiqua" w:hAnsi="Book Antiqua" w:cs="Book Antiqua"/>
          <w:color w:val="000000"/>
        </w:rPr>
        <w:t>Forty-three (64%) of the 67 NRCD children with follow-up had eventual resolution of their clinical symptoms, whereas the remainder (</w:t>
      </w:r>
      <w:r>
        <w:rPr>
          <w:rFonts w:ascii="Book Antiqua" w:eastAsia="Book Antiqua" w:hAnsi="Book Antiqua" w:cs="Book Antiqua"/>
          <w:i/>
          <w:iCs/>
          <w:color w:val="000000"/>
        </w:rPr>
        <w:t>n</w:t>
      </w:r>
      <w:r>
        <w:rPr>
          <w:rFonts w:ascii="Book Antiqua" w:eastAsia="Book Antiqua" w:hAnsi="Book Antiqua" w:cs="Book Antiqua"/>
          <w:color w:val="000000"/>
        </w:rPr>
        <w:t xml:space="preserve"> = 24, 26%) were lost to follow-up before symptoms resolved. Of the 11 patients for whom the etiology of NRCD was unclear, 4 were lost to follow-up, and 5 resolved with time. Only 2 children had persistent </w:t>
      </w:r>
      <w:r>
        <w:rPr>
          <w:rFonts w:ascii="Book Antiqua" w:eastAsia="Book Antiqua" w:hAnsi="Book Antiqua" w:cs="Book Antiqua"/>
          <w:color w:val="000000"/>
        </w:rPr>
        <w:lastRenderedPageBreak/>
        <w:t>symptoms of undetermined etiology lasting 3 years or longer.</w:t>
      </w:r>
      <w:r w:rsidR="00105E3C">
        <w:rPr>
          <w:rFonts w:ascii="Book Antiqua" w:eastAsia="Book Antiqua" w:hAnsi="Book Antiqua" w:cs="Book Antiqua"/>
          <w:color w:val="000000"/>
        </w:rPr>
        <w:t xml:space="preserve"> </w:t>
      </w:r>
      <w:r>
        <w:rPr>
          <w:rFonts w:ascii="Book Antiqua" w:eastAsia="Book Antiqua" w:hAnsi="Book Antiqua" w:cs="Book Antiqua"/>
          <w:color w:val="000000"/>
        </w:rPr>
        <w:t>Symptom resolution was frequent in patients with NRCD secondary to gluten exposure (</w:t>
      </w:r>
      <w:r>
        <w:rPr>
          <w:rFonts w:ascii="Book Antiqua" w:eastAsia="Book Antiqua" w:hAnsi="Book Antiqua" w:cs="Book Antiqua"/>
          <w:i/>
          <w:iCs/>
          <w:color w:val="000000"/>
        </w:rPr>
        <w:t>n</w:t>
      </w:r>
      <w:r>
        <w:rPr>
          <w:rFonts w:ascii="Book Antiqua" w:eastAsia="Book Antiqua" w:hAnsi="Book Antiqua" w:cs="Book Antiqua"/>
          <w:color w:val="000000"/>
        </w:rPr>
        <w:t xml:space="preserve"> = 14, 67%) and constipation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10, 71%).</w:t>
      </w:r>
      <w:r w:rsidR="00105E3C">
        <w:rPr>
          <w:rFonts w:ascii="Book Antiqua" w:eastAsia="Book Antiqua" w:hAnsi="Book Antiqua" w:cs="Book Antiqua"/>
          <w:color w:val="000000"/>
        </w:rPr>
        <w:t xml:space="preserve"> </w:t>
      </w:r>
      <w:r>
        <w:rPr>
          <w:rFonts w:ascii="Book Antiqua" w:eastAsia="Book Antiqua" w:hAnsi="Book Antiqua" w:cs="Book Antiqua"/>
          <w:color w:val="000000"/>
        </w:rPr>
        <w:t>Those with functional abdominal pain (</w:t>
      </w:r>
      <w:r>
        <w:rPr>
          <w:rFonts w:ascii="Book Antiqua" w:eastAsia="Book Antiqua" w:hAnsi="Book Antiqua" w:cs="Book Antiqua"/>
          <w:i/>
          <w:iCs/>
          <w:color w:val="000000"/>
        </w:rPr>
        <w:t>n</w:t>
      </w:r>
      <w:r>
        <w:rPr>
          <w:rFonts w:ascii="Book Antiqua" w:eastAsia="Book Antiqua" w:hAnsi="Book Antiqua" w:cs="Book Antiqua"/>
          <w:color w:val="000000"/>
        </w:rPr>
        <w:t xml:space="preserve"> = 6), </w:t>
      </w:r>
      <w:r w:rsidR="006E3E2B">
        <w:rPr>
          <w:rFonts w:ascii="Book Antiqua" w:eastAsia="Book Antiqua" w:hAnsi="Book Antiqua" w:cs="Book Antiqua"/>
          <w:color w:val="000000"/>
        </w:rPr>
        <w:t>irritable bowel syndrome (IBS)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3), depression or anxiety (</w:t>
      </w:r>
      <w:r>
        <w:rPr>
          <w:rFonts w:ascii="Book Antiqua" w:eastAsia="Book Antiqua" w:hAnsi="Book Antiqua" w:cs="Book Antiqua"/>
          <w:i/>
          <w:iCs/>
          <w:color w:val="000000"/>
        </w:rPr>
        <w:t>n</w:t>
      </w:r>
      <w:r>
        <w:rPr>
          <w:rFonts w:ascii="Book Antiqua" w:eastAsia="Book Antiqua" w:hAnsi="Book Antiqua" w:cs="Book Antiqua"/>
          <w:color w:val="000000"/>
        </w:rPr>
        <w:t xml:space="preserve"> = 3) fared worse. Only 1 patient in each group had resolution of symptoms at 3 years of follow-up despite treatment. </w:t>
      </w:r>
    </w:p>
    <w:p w14:paraId="15F6C237" w14:textId="77777777" w:rsidR="00A77B3E" w:rsidRDefault="00A77B3E">
      <w:pPr>
        <w:spacing w:line="360" w:lineRule="auto"/>
        <w:jc w:val="both"/>
      </w:pPr>
    </w:p>
    <w:p w14:paraId="36856DA1" w14:textId="77777777" w:rsidR="00A77B3E" w:rsidRDefault="006E349E">
      <w:pPr>
        <w:spacing w:line="360" w:lineRule="auto"/>
        <w:jc w:val="both"/>
      </w:pPr>
      <w:r>
        <w:rPr>
          <w:rFonts w:ascii="Book Antiqua" w:eastAsia="Book Antiqua" w:hAnsi="Book Antiqua" w:cs="Book Antiqua"/>
          <w:b/>
          <w:caps/>
          <w:color w:val="000000"/>
          <w:u w:val="single"/>
        </w:rPr>
        <w:t>DISCUSSION</w:t>
      </w:r>
    </w:p>
    <w:p w14:paraId="37CB956D" w14:textId="2E3E4ED0" w:rsidR="00A77B3E" w:rsidRDefault="006E349E">
      <w:pPr>
        <w:spacing w:line="360" w:lineRule="auto"/>
        <w:jc w:val="both"/>
      </w:pPr>
      <w:r>
        <w:rPr>
          <w:rFonts w:ascii="Book Antiqua" w:eastAsia="Book Antiqua" w:hAnsi="Book Antiqua" w:cs="Book Antiqua"/>
          <w:color w:val="000000"/>
        </w:rPr>
        <w:t xml:space="preserve">We report the incidence, etiology, and clinical characteristics of 91 children with NRCD who were diagnosed and treated at BCH between January 2008 and December 2012. The incidence of symptomatic NRCD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initiation of a GFD was 15%. Pediatric NRCD was more prevalent in females and associated with a lower BMI </w:t>
      </w:r>
      <w:r w:rsidRPr="00105E3C">
        <w:rPr>
          <w:rFonts w:ascii="Book Antiqua" w:eastAsia="Book Antiqua" w:hAnsi="Book Antiqua" w:cs="Book Antiqua"/>
          <w:i/>
          <w:iCs/>
          <w:color w:val="000000"/>
        </w:rPr>
        <w:t>z</w:t>
      </w:r>
      <w:r>
        <w:rPr>
          <w:rFonts w:ascii="Book Antiqua" w:eastAsia="Book Antiqua" w:hAnsi="Book Antiqua" w:cs="Book Antiqua"/>
          <w:color w:val="000000"/>
        </w:rPr>
        <w:t xml:space="preserve">-score, greater abdominal pain, constipation and absence of abdominal distension at diagnosis. Etiologies of NRCD mirrored those reported in adults, with gluten exposure as the most common cause; however, there were no cases of refractory </w:t>
      </w:r>
      <w:proofErr w:type="spellStart"/>
      <w:r w:rsidR="00B74735">
        <w:rPr>
          <w:rFonts w:ascii="Book Antiqua" w:eastAsia="Book Antiqua" w:hAnsi="Book Antiqua" w:cs="Book Antiqua"/>
          <w:color w:val="000000"/>
        </w:rPr>
        <w:t>CeD</w:t>
      </w:r>
      <w:proofErr w:type="spellEnd"/>
      <w:r>
        <w:rPr>
          <w:rFonts w:ascii="Book Antiqua" w:eastAsia="Book Antiqua" w:hAnsi="Book Antiqua" w:cs="Book Antiqua"/>
          <w:color w:val="000000"/>
        </w:rPr>
        <w:t>.</w:t>
      </w:r>
    </w:p>
    <w:p w14:paraId="0FCFD2C5" w14:textId="463E9314"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Although definitions may vary, our results were consistent with previously published data on NRCD in adults of the same geographic </w:t>
      </w:r>
      <w:proofErr w:type="gramStart"/>
      <w:r>
        <w:rPr>
          <w:rFonts w:ascii="Book Antiqua" w:eastAsia="Book Antiqua" w:hAnsi="Book Antiqua" w:cs="Book Antiqua"/>
          <w:color w:val="000000"/>
        </w:rPr>
        <w:t>region</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 found a lower incidence of NRCD than in a recent pediatric cohort study, in which 34% of children had at least one symptom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more than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initiating a </w:t>
      </w:r>
      <w:proofErr w:type="gramStart"/>
      <w:r>
        <w:rPr>
          <w:rFonts w:ascii="Book Antiqua" w:eastAsia="Book Antiqua" w:hAnsi="Book Antiqua" w:cs="Book Antiqua"/>
          <w:color w:val="000000"/>
        </w:rPr>
        <w:t>GFD</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unclear whether the prevalence of NRCD increases with time, or if the apparently higher rate of NRCD at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reflects that the responders were lost to follow-up. Our experience with a pediatric population followed at an academic center that had persisting symptoms six months after the initiation of a GFD may also differ from children who had recurrence of symptoms 12 </w:t>
      </w:r>
      <w:proofErr w:type="spellStart"/>
      <w:r w:rsidR="00105E3C">
        <w:rPr>
          <w:rFonts w:ascii="Book Antiqua" w:eastAsia="Book Antiqua" w:hAnsi="Book Antiqua" w:cs="Book Antiqua"/>
          <w:color w:val="000000"/>
        </w:rPr>
        <w:t>mo</w:t>
      </w:r>
      <w:proofErr w:type="spellEnd"/>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or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diagnosis. Although resolution of symptoms may be slow after starting the GFD, our clinical conclusion is that most children are generally symptom-free after six months on a GFD. Accordingly, 85% of pediatric patients diagnosed at BCH had a good clinical response to the GFD. </w:t>
      </w:r>
    </w:p>
    <w:p w14:paraId="43E5F09C" w14:textId="4D08E4D6"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Some definitions of NRCD include isolated elevation of </w:t>
      </w:r>
      <w:proofErr w:type="spellStart"/>
      <w:proofErr w:type="gramStart"/>
      <w:r>
        <w:rPr>
          <w:rFonts w:ascii="Book Antiqua" w:eastAsia="Book Antiqua" w:hAnsi="Book Antiqua" w:cs="Book Antiqua"/>
          <w:color w:val="000000"/>
        </w:rPr>
        <w:t>tTG</w:t>
      </w:r>
      <w:proofErr w:type="spellEnd"/>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we did not include such children if they were asymptomatic because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is not a reliable proxy for intestinal histology on a GFD</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Coexisting disorders, GFD adherence, the initial degree of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elevation and severity of villous atrophy all affect time to normalization of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which frequently takes longer than 1 year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Moreover, the presence of villous atrophy is not a sine qua non for NRCD, since the formal definition is based on signs and symptoms and not histology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On the other hand, by only selecting children with positive serology at the time of the diagnosis of </w:t>
      </w:r>
      <w:proofErr w:type="spellStart"/>
      <w:r w:rsidR="00B74735">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we may have missed some seronegative </w:t>
      </w:r>
      <w:proofErr w:type="gramStart"/>
      <w:r>
        <w:rPr>
          <w:rFonts w:ascii="Book Antiqua" w:eastAsia="Book Antiqua" w:hAnsi="Book Antiqua" w:cs="Book Antiqua"/>
          <w:color w:val="000000"/>
        </w:rPr>
        <w:t>NRCD</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seronegative CD is rare, accounting for less than 1% of cases of pediatric biopsy-confirmed</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(Marsh III) CD in a recent study, so whether they have a different course than seropositive CD remains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7751AFC5" w14:textId="139E09C4"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As in previous adult and pediatric studies, females were more likely to be diagnosed with </w:t>
      </w:r>
      <w:proofErr w:type="gramStart"/>
      <w:r>
        <w:rPr>
          <w:rFonts w:ascii="Book Antiqua" w:eastAsia="Book Antiqua" w:hAnsi="Book Antiqua" w:cs="Book Antiqua"/>
          <w:color w:val="000000"/>
        </w:rPr>
        <w:t>NRCD</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This trend has also been reported among children with functional abdominal pain, but not </w:t>
      </w:r>
      <w:proofErr w:type="gramStart"/>
      <w:r>
        <w:rPr>
          <w:rFonts w:ascii="Book Antiqua" w:eastAsia="Book Antiqua" w:hAnsi="Book Antiqua" w:cs="Book Antiqua"/>
          <w:color w:val="000000"/>
        </w:rPr>
        <w:t>constipation</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Females may be more likely to experience, or report GI symptoms. We did not observe any difference in the age at the time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Intriguingly, an association between longstanding symptoms before the diagnosis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and the risk of NRCD was recently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Due to the retrospective design of our study, we unfortunately do not have access to this information; however, we did observe lower BMI </w:t>
      </w:r>
      <w:r w:rsidRPr="00105E3C">
        <w:rPr>
          <w:rFonts w:ascii="Book Antiqua" w:eastAsia="Book Antiqua" w:hAnsi="Book Antiqua" w:cs="Book Antiqua"/>
          <w:i/>
          <w:iCs/>
          <w:color w:val="000000"/>
        </w:rPr>
        <w:t>z</w:t>
      </w:r>
      <w:r>
        <w:rPr>
          <w:rFonts w:ascii="Book Antiqua" w:eastAsia="Book Antiqua" w:hAnsi="Book Antiqua" w:cs="Book Antiqua"/>
          <w:color w:val="000000"/>
        </w:rPr>
        <w:t xml:space="preserve">-scores at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among the NRCD group. Lower BMI may be a marker of disease severity, thus explaining a prolonged clinical recovery. This underscores the need to monitor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patients after diagnosis because malabsorption due to persistent disease and decreased food intake in relation to GI symptoms may further affect BMI and growth.</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the NRCD group had significantly more symptoms at diagnosis which may reflect visceral hypersensitivity or portend a functional gastrointestinal disorder. Although these manifestations are frequently described among pediatric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rate and response to a GFD is variable</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Identification of a cause other than gluten exposure for NRCD in most of our patients highlights the importance of considering a coexisting disorder.</w:t>
      </w:r>
    </w:p>
    <w:p w14:paraId="57BE6E97" w14:textId="72C0CA27"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Gluten exposure was the most common cause of NRCD in our cohort, as previously reported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strict GFD is the only current treatment for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Consultation with a registered dietitian for specialized GFD education at the time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is recommended in clinical practice guidelines and standard practice at our </w:t>
      </w:r>
      <w:proofErr w:type="gramStart"/>
      <w:r>
        <w:rPr>
          <w:rFonts w:ascii="Book Antiqua" w:eastAsia="Book Antiqua" w:hAnsi="Book Antiqua" w:cs="Book Antiqua"/>
          <w:color w:val="000000"/>
        </w:rPr>
        <w:t>institution</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Nonetheless, only 65% of the responder group and 82% of the NRCD group had a dietitian visit at our institution within the first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diagnosis of CD. Due to the </w:t>
      </w:r>
      <w:r>
        <w:rPr>
          <w:rFonts w:ascii="Book Antiqua" w:eastAsia="Book Antiqua" w:hAnsi="Book Antiqua" w:cs="Book Antiqua"/>
          <w:color w:val="000000"/>
        </w:rPr>
        <w:lastRenderedPageBreak/>
        <w:t>retrospective nature of this study, we were unable to ascertain whether some individuals received GFD education outside of our institution, or if families opted out of dietitian visits because a family member had received GFD education.</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Nevertheless, additional nutrition counselling after the first 120 days was also more common among NRCD patients than responders, perhaps because ongoing symptoms prompt families to seek out additional education/support. Recent American College of Gastroenterology guidelines recommend reevaluation of diet as a first step in the management of </w:t>
      </w:r>
      <w:proofErr w:type="gramStart"/>
      <w:r>
        <w:rPr>
          <w:rFonts w:ascii="Book Antiqua" w:eastAsia="Book Antiqua" w:hAnsi="Book Antiqua" w:cs="Book Antiqua"/>
          <w:color w:val="000000"/>
        </w:rPr>
        <w:t>NRCD</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B793076" w14:textId="08E068C0"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Eliminating gluten ingestion, both intentional and unintentional, is a significant challenge for many pediatric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patients. Even with specialized GFD education, a sizable number of patients had ongoing gluten exposure. Avoiding gluten cross-contact, which occurs during processing, preparation and serving of foods, is especially difficult. Non-adherence to a strict GFD in children and teenagers has been estimated at 8% when disclosed </w:t>
      </w:r>
      <w:proofErr w:type="gramStart"/>
      <w:r>
        <w:rPr>
          <w:rFonts w:ascii="Book Antiqua" w:eastAsia="Book Antiqua" w:hAnsi="Book Antiqua" w:cs="Book Antiqua"/>
          <w:color w:val="000000"/>
        </w:rPr>
        <w:t>openly</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but may be nearer 30% when stools are assessed for gluten immunogenic peptides</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may increase with GFD duration</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Interestingly, 82% of symptomatic NRCD patients in our study appeared to have excellent or good GFD adherence. This is likely an overestimate due to the inherent challenges associated with assessing GFD adherence through dietary recalls and interviews compared to objective measures such as fecal gluten immunogenic </w:t>
      </w:r>
      <w:proofErr w:type="gramStart"/>
      <w:r>
        <w:rPr>
          <w:rFonts w:ascii="Book Antiqua" w:eastAsia="Book Antiqua" w:hAnsi="Book Antiqua" w:cs="Book Antiqua"/>
          <w:color w:val="000000"/>
        </w:rPr>
        <w:t>peptides</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905DDEB" w14:textId="61045DFD" w:rsidR="00A77B3E" w:rsidRDefault="006E349E" w:rsidP="00105E3C">
      <w:pPr>
        <w:spacing w:line="360" w:lineRule="auto"/>
        <w:ind w:firstLineChars="100" w:firstLine="240"/>
        <w:jc w:val="both"/>
      </w:pPr>
      <w:r>
        <w:rPr>
          <w:rFonts w:ascii="Book Antiqua" w:eastAsia="Book Antiqua" w:hAnsi="Book Antiqua" w:cs="Book Antiqua"/>
          <w:color w:val="000000"/>
        </w:rPr>
        <w:t>Fourteen (67%) of the 21 symptomatic NRCD patients with suspected ongoing gluten exposure experienced resolution of their symptoms with improved GFD adherence.</w:t>
      </w:r>
      <w:r w:rsidR="00105E3C">
        <w:rPr>
          <w:rFonts w:ascii="Book Antiqua" w:eastAsia="Book Antiqua" w:hAnsi="Book Antiqua" w:cs="Book Antiqua"/>
          <w:color w:val="000000"/>
        </w:rPr>
        <w:t xml:space="preserve"> </w:t>
      </w:r>
      <w:r>
        <w:rPr>
          <w:rFonts w:ascii="Book Antiqua" w:eastAsia="Book Antiqua" w:hAnsi="Book Antiqua" w:cs="Book Antiqua"/>
          <w:color w:val="000000"/>
        </w:rPr>
        <w:t>It is unclear whether the remaining 7 patients were unsuccessful at fully excluding dietary gluten or if healthcare providers erroneously suspected continued gluten exposure as the cause of NRCD. This cohort was prior to the development of the technology allowing the identification of gluten immunogenic peptides</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in urine and stools. While these technologies appear promising, currently there is no validated measure of gluten exposure other than dietitian assessment. Although the second step in the management algorithm of NRCD in adults after excluding gluten exposure or food intolerance is to proceed to duodenal biopsies to assess for villous </w:t>
      </w:r>
      <w:proofErr w:type="gramStart"/>
      <w:r>
        <w:rPr>
          <w:rFonts w:ascii="Book Antiqua" w:eastAsia="Book Antiqua" w:hAnsi="Book Antiqua" w:cs="Book Antiqua"/>
          <w:color w:val="000000"/>
        </w:rPr>
        <w:t>atrophy</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most patients in this pediatric NRCD cohort did not undergo repeat endoscopy. Moreover, some degree of </w:t>
      </w:r>
      <w:r>
        <w:rPr>
          <w:rFonts w:ascii="Book Antiqua" w:eastAsia="Book Antiqua" w:hAnsi="Book Antiqua" w:cs="Book Antiqua"/>
          <w:color w:val="000000"/>
        </w:rPr>
        <w:lastRenderedPageBreak/>
        <w:t xml:space="preserve">villous atrophy 6 </w:t>
      </w:r>
      <w:proofErr w:type="spellStart"/>
      <w:r w:rsidR="00105E3C">
        <w:rPr>
          <w:rFonts w:ascii="Book Antiqua" w:eastAsia="Book Antiqua" w:hAnsi="Book Antiqua" w:cs="Book Antiqua"/>
          <w:color w:val="000000"/>
        </w:rPr>
        <w:t>mo</w:t>
      </w:r>
      <w:proofErr w:type="spellEnd"/>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to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is not uncommon among patients in clinical </w:t>
      </w:r>
      <w:proofErr w:type="gramStart"/>
      <w:r>
        <w:rPr>
          <w:rFonts w:ascii="Book Antiqua" w:eastAsia="Book Antiqua" w:hAnsi="Book Antiqua" w:cs="Book Antiqua"/>
          <w:color w:val="000000"/>
        </w:rPr>
        <w:t>remission</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678A782C" w14:textId="21E30627"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The second most common cause of NRCD was constipation, which was also an initial manifestation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for most of these patients. Constipation is a common presenting symptom among children with </w:t>
      </w:r>
      <w:proofErr w:type="spellStart"/>
      <w:proofErr w:type="gramStart"/>
      <w:r>
        <w:rPr>
          <w:rFonts w:ascii="Book Antiqua" w:eastAsia="Book Antiqua" w:hAnsi="Book Antiqua" w:cs="Book Antiqua"/>
          <w:color w:val="000000"/>
        </w:rPr>
        <w:t>CeD</w:t>
      </w:r>
      <w:proofErr w:type="spellEnd"/>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196 children included in this cohort were constipated at the time of diagnosis, but only 18 had persisting constipation that was deemed to be the cause of NRCD. The GFD is inherently low in fibers which may precipitate constipation in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Thus, some patients with constipation as a cause of NRCD may have had either initially treated constipation that recurred on the GFD after stopping laxative (</w:t>
      </w:r>
      <w:r>
        <w:rPr>
          <w:rFonts w:ascii="Book Antiqua" w:eastAsia="Book Antiqua" w:hAnsi="Book Antiqua" w:cs="Book Antiqua"/>
          <w:i/>
          <w:iCs/>
          <w:color w:val="000000"/>
        </w:rPr>
        <w:t>n</w:t>
      </w:r>
      <w:r>
        <w:rPr>
          <w:rFonts w:ascii="Book Antiqua" w:eastAsia="Book Antiqua" w:hAnsi="Book Antiqua" w:cs="Book Antiqua"/>
          <w:color w:val="000000"/>
        </w:rPr>
        <w:t xml:space="preserve"> = 7), new constipation probably caused by the GFD (</w:t>
      </w:r>
      <w:r>
        <w:rPr>
          <w:rFonts w:ascii="Book Antiqua" w:eastAsia="Book Antiqua" w:hAnsi="Book Antiqua" w:cs="Book Antiqua"/>
          <w:i/>
          <w:iCs/>
          <w:color w:val="000000"/>
        </w:rPr>
        <w:t>n</w:t>
      </w:r>
      <w:r>
        <w:rPr>
          <w:rFonts w:ascii="Book Antiqua" w:eastAsia="Book Antiqua" w:hAnsi="Book Antiqua" w:cs="Book Antiqua"/>
          <w:color w:val="000000"/>
        </w:rPr>
        <w:t xml:space="preserve"> = 3) or persisting constipation despite initial laxative 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7) or noncompliance to laxative 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1). The latter may have been suffering from functional constipation unrelated to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as it is a quite common disorder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Nevertheless, many of these patients subsequently improved, highlighting that early and intensive strategies in addition to the GFD can be effective and may avoid persistent symptoms in children.</w:t>
      </w:r>
    </w:p>
    <w:p w14:paraId="67157E7D" w14:textId="66E90A4B" w:rsidR="00A77B3E" w:rsidRDefault="006E349E" w:rsidP="006E3E2B">
      <w:pPr>
        <w:spacing w:line="360" w:lineRule="auto"/>
        <w:ind w:firstLineChars="100" w:firstLine="240"/>
        <w:jc w:val="both"/>
      </w:pPr>
      <w:r>
        <w:rPr>
          <w:rFonts w:ascii="Book Antiqua" w:eastAsia="Book Antiqua" w:hAnsi="Book Antiqua" w:cs="Book Antiqua"/>
          <w:color w:val="000000"/>
        </w:rPr>
        <w:t xml:space="preserve">Notably, constipation is not typically reported as an etiology of NRCD in adults, possibly because they are diagnosed with IBS. Functional abdominal pain and IBS were the cause of NRCD in 10% of our cohort. In comparison, 18% of adult NRCD patients may have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6E3E2B">
        <w:rPr>
          <w:rFonts w:ascii="Book Antiqua" w:eastAsia="Book Antiqua" w:hAnsi="Book Antiqua" w:cs="Book Antiqua"/>
          <w:color w:val="000000"/>
        </w:rPr>
        <w:t xml:space="preserve"> </w:t>
      </w:r>
      <w:r>
        <w:rPr>
          <w:rFonts w:ascii="Book Antiqua" w:eastAsia="Book Antiqua" w:hAnsi="Book Antiqua" w:cs="Book Antiqua"/>
          <w:color w:val="000000"/>
        </w:rPr>
        <w:t xml:space="preserve">Other less common etiologies include lactose intolerance, present in 9% of our cohort and 7% of adults with </w:t>
      </w:r>
      <w:proofErr w:type="gramStart"/>
      <w:r>
        <w:rPr>
          <w:rFonts w:ascii="Book Antiqua" w:eastAsia="Book Antiqua" w:hAnsi="Book Antiqua" w:cs="Book Antiqua"/>
          <w:color w:val="000000"/>
        </w:rPr>
        <w:t>NRCD</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Upper GI conditions, including gastroesophageal reflux, peptic ulcer disease, </w:t>
      </w:r>
      <w:r w:rsidR="00B74735" w:rsidRPr="00BF638F">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and eosinophilic esophagitis were also responsible for persistent symptoms in pediatric NRCD. Finally, anxiety and eating disorders were responsible for NRCD and may be associated with gastrointestinal dysmotility. This underscores the need to consider the patient as a whole, and how conditions other than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may contribute to symptoms on a GFD.</w:t>
      </w:r>
    </w:p>
    <w:p w14:paraId="781D1AB1" w14:textId="280DDC76" w:rsidR="00A77B3E" w:rsidRDefault="006E349E" w:rsidP="006E3E2B">
      <w:pPr>
        <w:spacing w:line="360" w:lineRule="auto"/>
        <w:ind w:firstLineChars="100" w:firstLine="240"/>
        <w:jc w:val="both"/>
      </w:pPr>
      <w:r>
        <w:rPr>
          <w:rFonts w:ascii="Book Antiqua" w:eastAsia="Book Antiqua" w:hAnsi="Book Antiqua" w:cs="Book Antiqua"/>
          <w:color w:val="000000"/>
        </w:rPr>
        <w:t>While most children with NRCD had resolution of their symptoms over the follow-up period, symptoms persisted in 36%.</w:t>
      </w:r>
      <w:r w:rsidR="006E3E2B">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constipation had higher rates of resolution than those with diagnoses such as functional abdominal pain or IBS. Functional abdominal pain is frequent among children with and without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with a </w:t>
      </w:r>
      <w:r>
        <w:rPr>
          <w:rFonts w:ascii="Book Antiqua" w:eastAsia="Book Antiqua" w:hAnsi="Book Antiqua" w:cs="Book Antiqua"/>
          <w:color w:val="000000"/>
        </w:rPr>
        <w:lastRenderedPageBreak/>
        <w:t>recent multicenter study finding a prevalence of 2.1</w:t>
      </w:r>
      <w:r w:rsidR="006E3E2B">
        <w:rPr>
          <w:rFonts w:ascii="Book Antiqua" w:eastAsia="Book Antiqua" w:hAnsi="Book Antiqua" w:cs="Book Antiqua"/>
          <w:color w:val="000000"/>
        </w:rPr>
        <w:t>%</w:t>
      </w:r>
      <w:r>
        <w:rPr>
          <w:rFonts w:ascii="Book Antiqua" w:eastAsia="Book Antiqua" w:hAnsi="Book Antiqua" w:cs="Book Antiqua"/>
          <w:color w:val="000000"/>
        </w:rPr>
        <w:t xml:space="preserve"> to 8.2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A001E5">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prevalence of IBS is somewhat lower, from 1.2</w:t>
      </w:r>
      <w:r w:rsidR="006E3E2B">
        <w:rPr>
          <w:rFonts w:ascii="Book Antiqua" w:eastAsia="Book Antiqua" w:hAnsi="Book Antiqua" w:cs="Book Antiqua"/>
          <w:color w:val="000000"/>
        </w:rPr>
        <w:t>%</w:t>
      </w:r>
      <w:r>
        <w:rPr>
          <w:rFonts w:ascii="Book Antiqua" w:eastAsia="Book Antiqua" w:hAnsi="Book Antiqua" w:cs="Book Antiqua"/>
          <w:color w:val="000000"/>
        </w:rPr>
        <w:t xml:space="preserve"> to 2.9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A001E5">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sidR="00A001E5">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F95ED6B" w14:textId="77777777" w:rsidR="00A77B3E" w:rsidRDefault="00A77B3E">
      <w:pPr>
        <w:spacing w:line="360" w:lineRule="auto"/>
        <w:jc w:val="both"/>
      </w:pPr>
    </w:p>
    <w:p w14:paraId="05C1D1C1" w14:textId="77777777" w:rsidR="00A77B3E" w:rsidRPr="006E3E2B" w:rsidRDefault="006E349E">
      <w:pPr>
        <w:spacing w:line="360" w:lineRule="auto"/>
        <w:jc w:val="both"/>
        <w:rPr>
          <w:b/>
          <w:bCs/>
        </w:rPr>
      </w:pPr>
      <w:r w:rsidRPr="006E3E2B">
        <w:rPr>
          <w:rFonts w:ascii="Book Antiqua" w:eastAsia="Book Antiqua" w:hAnsi="Book Antiqua" w:cs="Book Antiqua"/>
          <w:b/>
          <w:bCs/>
          <w:i/>
          <w:iCs/>
          <w:color w:val="000000"/>
        </w:rPr>
        <w:t>Strengths and limitations</w:t>
      </w:r>
    </w:p>
    <w:p w14:paraId="77988F35" w14:textId="77777777" w:rsidR="00A77B3E" w:rsidRDefault="006E349E">
      <w:pPr>
        <w:spacing w:line="360" w:lineRule="auto"/>
        <w:jc w:val="both"/>
      </w:pPr>
      <w:r>
        <w:rPr>
          <w:rFonts w:ascii="Book Antiqua" w:eastAsia="Book Antiqua" w:hAnsi="Book Antiqua" w:cs="Book Antiqua"/>
          <w:color w:val="000000"/>
        </w:rPr>
        <w:t xml:space="preserve">This large cohort of children with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provides epidemiologic data on the characteristics, causes and evolution of pediatric NRCD thereby addressing an important knowledge gap. Chart reviews conducted by either one of two authors (GV and MD) were reviewed by an expert clinical pediatric gastroenterologist; however, the retrospective nature of this study limited our ability to perform a standardized evaluation of each patient. The large number of clinicians at our institution contributed to variability in documentation and differences in approach to medical evaluation. Also, many etiologies of NCRD are diagnosed based primarily on clinical history. Although inclusion of only children who were diagnosed at BCH reduces referral bias, our cohort may differ from populations in other geographic areas. </w:t>
      </w:r>
    </w:p>
    <w:p w14:paraId="32BAEA01" w14:textId="77777777" w:rsidR="00A77B3E" w:rsidRDefault="00A77B3E">
      <w:pPr>
        <w:spacing w:line="360" w:lineRule="auto"/>
        <w:jc w:val="both"/>
      </w:pPr>
    </w:p>
    <w:p w14:paraId="47AFE4AE" w14:textId="77777777" w:rsidR="00A77B3E" w:rsidRDefault="006E349E">
      <w:pPr>
        <w:spacing w:line="360" w:lineRule="auto"/>
        <w:jc w:val="both"/>
      </w:pPr>
      <w:r>
        <w:rPr>
          <w:rFonts w:ascii="Book Antiqua" w:eastAsia="Book Antiqua" w:hAnsi="Book Antiqua" w:cs="Book Antiqua"/>
          <w:b/>
          <w:caps/>
          <w:color w:val="000000"/>
          <w:u w:val="single"/>
        </w:rPr>
        <w:t>CONCLUSION</w:t>
      </w:r>
    </w:p>
    <w:p w14:paraId="41E4C984" w14:textId="77777777" w:rsidR="00A77B3E" w:rsidRDefault="006E349E">
      <w:pPr>
        <w:spacing w:line="360" w:lineRule="auto"/>
        <w:jc w:val="both"/>
      </w:pPr>
      <w:r>
        <w:rPr>
          <w:rFonts w:ascii="Book Antiqua" w:eastAsia="Book Antiqua" w:hAnsi="Book Antiqua" w:cs="Book Antiqua"/>
          <w:color w:val="000000"/>
        </w:rPr>
        <w:t xml:space="preserve">In summary, NRCD after six months of GFD is frequent among children, especially females. Initial presentation with constipation, abdominal pain and absence of abdominal distension is associated with subsequent diagnosis of NRCD. Although gluten exposure was the most frequent cause, a wide variety of diagnoses are also found among NRCD patients. Our study highlights the importance of performing a diligent search for the above etiologies for NRCD in any celiac child with persistent clinical symptoms despite being on GFD and reinforces the need for close follow up in the first year of a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w:t>
      </w:r>
    </w:p>
    <w:p w14:paraId="0113B2C9" w14:textId="77777777" w:rsidR="00A77B3E" w:rsidRDefault="00A77B3E">
      <w:pPr>
        <w:spacing w:line="360" w:lineRule="auto"/>
        <w:jc w:val="both"/>
      </w:pPr>
    </w:p>
    <w:p w14:paraId="6BBE76B9" w14:textId="77777777" w:rsidR="00A77B3E" w:rsidRDefault="006E349E">
      <w:pPr>
        <w:spacing w:line="360" w:lineRule="auto"/>
        <w:jc w:val="both"/>
      </w:pPr>
      <w:r>
        <w:rPr>
          <w:rFonts w:ascii="Book Antiqua" w:eastAsia="Book Antiqua" w:hAnsi="Book Antiqua" w:cs="Book Antiqua"/>
          <w:b/>
          <w:caps/>
          <w:color w:val="000000"/>
          <w:u w:val="single"/>
        </w:rPr>
        <w:t>ARTICLE HIGHLIGHTS</w:t>
      </w:r>
    </w:p>
    <w:p w14:paraId="04DD8FC6" w14:textId="77777777" w:rsidR="00A77B3E" w:rsidRDefault="006E349E">
      <w:pPr>
        <w:spacing w:line="360" w:lineRule="auto"/>
        <w:jc w:val="both"/>
      </w:pPr>
      <w:r>
        <w:rPr>
          <w:rFonts w:ascii="Book Antiqua" w:eastAsia="Book Antiqua" w:hAnsi="Book Antiqua" w:cs="Book Antiqua"/>
          <w:b/>
          <w:i/>
          <w:color w:val="000000"/>
        </w:rPr>
        <w:t>Research background</w:t>
      </w:r>
    </w:p>
    <w:p w14:paraId="42E1419F" w14:textId="35DFDD3E" w:rsidR="00A77B3E" w:rsidRDefault="006E349E">
      <w:pPr>
        <w:spacing w:line="360" w:lineRule="auto"/>
        <w:jc w:val="both"/>
      </w:pPr>
      <w:r>
        <w:rPr>
          <w:rStyle w:val="NormalTextRunSCXW264593264BCX0"/>
          <w:rFonts w:ascii="Book Antiqua" w:eastAsia="Book Antiqua" w:hAnsi="Book Antiqua" w:cs="Book Antiqua"/>
          <w:color w:val="000000"/>
          <w:shd w:val="clear" w:color="auto" w:fill="FFFFFF"/>
        </w:rPr>
        <w:t>Non-responsive celiac disease (NRCD) is defined as the persistence of symptoms in individuals with celiac disease (</w:t>
      </w:r>
      <w:proofErr w:type="spellStart"/>
      <w:r>
        <w:rPr>
          <w:rStyle w:val="SpellingErrorSCXW264593264BCX0"/>
          <w:rFonts w:ascii="Book Antiqua" w:eastAsia="Book Antiqua" w:hAnsi="Book Antiqua" w:cs="Book Antiqua"/>
          <w:color w:val="000000"/>
          <w:shd w:val="clear" w:color="auto" w:fill="FFFFFF"/>
        </w:rPr>
        <w:t>CeD</w:t>
      </w:r>
      <w:proofErr w:type="spellEnd"/>
      <w:r>
        <w:rPr>
          <w:rStyle w:val="NormalTextRunSCXW264593264BCX0"/>
          <w:rFonts w:ascii="Book Antiqua" w:eastAsia="Book Antiqua" w:hAnsi="Book Antiqua" w:cs="Book Antiqua"/>
          <w:color w:val="000000"/>
          <w:shd w:val="clear" w:color="auto" w:fill="FFFFFF"/>
        </w:rPr>
        <w:t>) despite being on a gluten-free diet (GFD). There is scant literature about NRCD in the pediatric population.</w:t>
      </w:r>
    </w:p>
    <w:p w14:paraId="569F4E6C" w14:textId="77777777" w:rsidR="00A77B3E" w:rsidRDefault="00A77B3E">
      <w:pPr>
        <w:spacing w:line="360" w:lineRule="auto"/>
        <w:jc w:val="both"/>
      </w:pPr>
    </w:p>
    <w:p w14:paraId="38906106" w14:textId="77777777" w:rsidR="00A77B3E" w:rsidRDefault="006E349E">
      <w:pPr>
        <w:spacing w:line="360" w:lineRule="auto"/>
        <w:jc w:val="both"/>
      </w:pPr>
      <w:r>
        <w:rPr>
          <w:rFonts w:ascii="Book Antiqua" w:eastAsia="Book Antiqua" w:hAnsi="Book Antiqua" w:cs="Book Antiqua"/>
          <w:b/>
          <w:i/>
          <w:color w:val="000000"/>
        </w:rPr>
        <w:t>Research motivation</w:t>
      </w:r>
    </w:p>
    <w:p w14:paraId="15E6EA37" w14:textId="7ED76B36" w:rsidR="00A77B3E" w:rsidRDefault="006E349E">
      <w:pPr>
        <w:spacing w:line="360" w:lineRule="auto"/>
        <w:jc w:val="both"/>
      </w:pPr>
      <w:r>
        <w:rPr>
          <w:rStyle w:val="NormalTextRunSCXW264593264BCX00"/>
          <w:rFonts w:ascii="Book Antiqua" w:eastAsia="Book Antiqua" w:hAnsi="Book Antiqua" w:cs="Book Antiqua"/>
          <w:color w:val="000000"/>
          <w:shd w:val="clear" w:color="auto" w:fill="FFFFFF"/>
        </w:rPr>
        <w:t xml:space="preserve">Addressing an important knowledge gap, this study examines a large cohort of children with </w:t>
      </w:r>
      <w:proofErr w:type="spellStart"/>
      <w:r>
        <w:rPr>
          <w:rStyle w:val="SpellingErrorBCX0SCXW14797550"/>
          <w:rFonts w:ascii="Book Antiqua" w:eastAsia="Book Antiqua" w:hAnsi="Book Antiqua" w:cs="Book Antiqua"/>
          <w:color w:val="000000"/>
          <w:shd w:val="clear" w:color="auto" w:fill="FFFFFF"/>
        </w:rPr>
        <w:t>CeD</w:t>
      </w:r>
      <w:proofErr w:type="spellEnd"/>
      <w:r>
        <w:rPr>
          <w:rStyle w:val="NormalTextRunBCX0SCXW14797550"/>
          <w:rFonts w:ascii="Book Antiqua" w:eastAsia="Book Antiqua" w:hAnsi="Book Antiqua" w:cs="Book Antiqua"/>
          <w:color w:val="000000"/>
          <w:shd w:val="clear" w:color="auto" w:fill="FFFFFF"/>
        </w:rPr>
        <w:t xml:space="preserve"> providing data on the characteristics, causes and evolution of pediatric NRCD.</w:t>
      </w:r>
      <w:r w:rsidR="006E3E2B">
        <w:rPr>
          <w:rStyle w:val="NormalTextRunBCX0SCXW14797550"/>
          <w:rFonts w:ascii="Book Antiqua" w:eastAsia="Book Antiqua" w:hAnsi="Book Antiqua" w:cs="Book Antiqua"/>
          <w:color w:val="000000"/>
          <w:shd w:val="clear" w:color="auto" w:fill="FFFFFF"/>
        </w:rPr>
        <w:t xml:space="preserve"> </w:t>
      </w:r>
      <w:r>
        <w:rPr>
          <w:rStyle w:val="NormalTextRunSCXW264593264BCX00"/>
          <w:rFonts w:ascii="Book Antiqua" w:eastAsia="Book Antiqua" w:hAnsi="Book Antiqua" w:cs="Book Antiqua"/>
          <w:color w:val="000000"/>
          <w:shd w:val="clear" w:color="auto" w:fill="FFFFFF"/>
        </w:rPr>
        <w:t xml:space="preserve">By characterizing this sub-population of individuals with </w:t>
      </w:r>
      <w:proofErr w:type="spellStart"/>
      <w:r>
        <w:rPr>
          <w:rStyle w:val="NormalTextRunSCXW264593264BCX00"/>
          <w:rFonts w:ascii="Book Antiqua" w:eastAsia="Book Antiqua" w:hAnsi="Book Antiqua" w:cs="Book Antiqua"/>
          <w:color w:val="000000"/>
          <w:shd w:val="clear" w:color="auto" w:fill="FFFFFF"/>
        </w:rPr>
        <w:t>CeD</w:t>
      </w:r>
      <w:proofErr w:type="spellEnd"/>
      <w:r>
        <w:rPr>
          <w:rStyle w:val="NormalTextRunSCXW264593264BCX00"/>
          <w:rFonts w:ascii="Book Antiqua" w:eastAsia="Book Antiqua" w:hAnsi="Book Antiqua" w:cs="Book Antiqua"/>
          <w:color w:val="000000"/>
          <w:shd w:val="clear" w:color="auto" w:fill="FFFFFF"/>
        </w:rPr>
        <w:t>, we are better equipped to provide clinical guidance and follow-up in those with persistent symptoms.</w:t>
      </w:r>
    </w:p>
    <w:p w14:paraId="56B3FAF3" w14:textId="77777777" w:rsidR="00A77B3E" w:rsidRDefault="00A77B3E">
      <w:pPr>
        <w:spacing w:line="360" w:lineRule="auto"/>
        <w:jc w:val="both"/>
      </w:pPr>
    </w:p>
    <w:p w14:paraId="51AF143E" w14:textId="77777777" w:rsidR="00A77B3E" w:rsidRDefault="006E349E">
      <w:pPr>
        <w:spacing w:line="360" w:lineRule="auto"/>
        <w:jc w:val="both"/>
      </w:pPr>
      <w:r>
        <w:rPr>
          <w:rFonts w:ascii="Book Antiqua" w:eastAsia="Book Antiqua" w:hAnsi="Book Antiqua" w:cs="Book Antiqua"/>
          <w:b/>
          <w:i/>
          <w:color w:val="000000"/>
        </w:rPr>
        <w:t>Research objectives</w:t>
      </w:r>
    </w:p>
    <w:p w14:paraId="44A871CE" w14:textId="13B89C1F" w:rsidR="00A77B3E" w:rsidRDefault="006E349E">
      <w:pPr>
        <w:spacing w:line="360" w:lineRule="auto"/>
        <w:jc w:val="both"/>
      </w:pPr>
      <w:r>
        <w:rPr>
          <w:rStyle w:val="NormalTextRunSCXW264593264BCX00"/>
          <w:rFonts w:ascii="Book Antiqua" w:eastAsia="Book Antiqua" w:hAnsi="Book Antiqua" w:cs="Book Antiqua"/>
          <w:color w:val="000000"/>
          <w:shd w:val="clear" w:color="auto" w:fill="FFFFFF"/>
        </w:rPr>
        <w:t>Through this retrospective cohort study</w:t>
      </w:r>
      <w:r w:rsidR="0070599C">
        <w:rPr>
          <w:rStyle w:val="NormalTextRunSCXW264593264BCX00"/>
          <w:rFonts w:ascii="Book Antiqua" w:eastAsia="Book Antiqua" w:hAnsi="Book Antiqua" w:cs="Book Antiqua"/>
          <w:color w:val="000000"/>
          <w:shd w:val="clear" w:color="auto" w:fill="FFFFFF"/>
        </w:rPr>
        <w:t>,</w:t>
      </w:r>
      <w:r>
        <w:rPr>
          <w:rStyle w:val="NormalTextRunSCXW264593264BCX00"/>
          <w:rFonts w:ascii="Book Antiqua" w:eastAsia="Book Antiqua" w:hAnsi="Book Antiqua" w:cs="Book Antiqua"/>
          <w:color w:val="000000"/>
          <w:shd w:val="clear" w:color="auto" w:fill="FFFFFF"/>
        </w:rPr>
        <w:t xml:space="preserve"> we sought to determine the incidence, clinical characteristics, and underlying causes of NRCD in children. Additionally, </w:t>
      </w:r>
      <w:r>
        <w:rPr>
          <w:rStyle w:val="NormalTextRunBCX0SCXW139580132"/>
          <w:rFonts w:ascii="Book Antiqua" w:eastAsia="Book Antiqua" w:hAnsi="Book Antiqua" w:cs="Book Antiqua"/>
          <w:color w:val="000000"/>
          <w:shd w:val="clear" w:color="auto" w:fill="FFFFFF"/>
        </w:rPr>
        <w:t>symptom evolution was detailed and compared to identify any potential predictors for NRCD.</w:t>
      </w:r>
    </w:p>
    <w:p w14:paraId="0D22B92A" w14:textId="77777777" w:rsidR="00A77B3E" w:rsidRDefault="00A77B3E">
      <w:pPr>
        <w:spacing w:line="360" w:lineRule="auto"/>
        <w:jc w:val="both"/>
      </w:pPr>
    </w:p>
    <w:p w14:paraId="0826451F" w14:textId="77777777" w:rsidR="00A77B3E" w:rsidRDefault="006E349E">
      <w:pPr>
        <w:spacing w:line="360" w:lineRule="auto"/>
        <w:jc w:val="both"/>
      </w:pPr>
      <w:r>
        <w:rPr>
          <w:rFonts w:ascii="Book Antiqua" w:eastAsia="Book Antiqua" w:hAnsi="Book Antiqua" w:cs="Book Antiqua"/>
          <w:b/>
          <w:i/>
          <w:color w:val="000000"/>
        </w:rPr>
        <w:t>Research methods</w:t>
      </w:r>
    </w:p>
    <w:p w14:paraId="3F3666F7" w14:textId="4C32A5D0" w:rsidR="00A77B3E" w:rsidRDefault="006E349E">
      <w:pPr>
        <w:spacing w:line="360" w:lineRule="auto"/>
        <w:jc w:val="both"/>
      </w:pPr>
      <w:r>
        <w:rPr>
          <w:rStyle w:val="NormalTextRunSCXW264593264BCX00"/>
          <w:rFonts w:ascii="Book Antiqua" w:eastAsia="Book Antiqua" w:hAnsi="Book Antiqua" w:cs="Book Antiqua"/>
          <w:color w:val="000000"/>
          <w:shd w:val="clear" w:color="auto" w:fill="FFFFFF"/>
        </w:rPr>
        <w:t>Retrospective cohort study performed at Boston Children’s Hospital (BCH). Children &lt; 18 years diagnosed with</w:t>
      </w:r>
      <w:r w:rsidR="006E3E2B">
        <w:rPr>
          <w:rStyle w:val="NormalTextRunSCXW264593264BCX00"/>
          <w:rFonts w:ascii="Book Antiqua" w:eastAsia="Book Antiqua" w:hAnsi="Book Antiqua" w:cs="Book Antiqua"/>
          <w:color w:val="000000"/>
          <w:shd w:val="clear" w:color="auto" w:fill="FFFFFF"/>
        </w:rPr>
        <w:t xml:space="preserve"> </w:t>
      </w:r>
      <w:proofErr w:type="spellStart"/>
      <w:r>
        <w:rPr>
          <w:rStyle w:val="SpellingErrorBCX0SCXW139580132"/>
          <w:rFonts w:ascii="Book Antiqua" w:eastAsia="Book Antiqua" w:hAnsi="Book Antiqua" w:cs="Book Antiqua"/>
          <w:color w:val="000000"/>
          <w:shd w:val="clear" w:color="auto" w:fill="FFFFFF"/>
        </w:rPr>
        <w:t>CeD</w:t>
      </w:r>
      <w:proofErr w:type="spellEnd"/>
      <w:r w:rsidR="006E3E2B">
        <w:rPr>
          <w:rStyle w:val="NormalTextRunBCX0SCXW139580132"/>
          <w:rFonts w:ascii="Book Antiqua" w:eastAsia="Book Antiqua" w:hAnsi="Book Antiqua" w:cs="Book Antiqua"/>
          <w:color w:val="000000"/>
          <w:shd w:val="clear" w:color="auto" w:fill="FFFFFF"/>
        </w:rPr>
        <w:t xml:space="preserve"> </w:t>
      </w:r>
      <w:r>
        <w:rPr>
          <w:rStyle w:val="NormalTextRunBCX0SCXW139580132"/>
          <w:rFonts w:ascii="Book Antiqua" w:eastAsia="Book Antiqua" w:hAnsi="Book Antiqua" w:cs="Book Antiqua"/>
          <w:color w:val="000000"/>
          <w:shd w:val="clear" w:color="auto" w:fill="FFFFFF"/>
        </w:rPr>
        <w:t xml:space="preserve">by positive serology and duodenal biopsies compatible with Marsh III histology between 2008 and 2012 were identified in the BCH’s Celiac Disease Program database. Medical records were longitudinally reviewed from the time of diagnosis through September 2015. NRCD was defined as persistent symptoms at 6 </w:t>
      </w:r>
      <w:proofErr w:type="spellStart"/>
      <w:r>
        <w:rPr>
          <w:rStyle w:val="NormalTextRunBCX0SCXW139580132"/>
          <w:rFonts w:ascii="Book Antiqua" w:eastAsia="Book Antiqua" w:hAnsi="Book Antiqua" w:cs="Book Antiqua"/>
          <w:color w:val="000000"/>
          <w:shd w:val="clear" w:color="auto" w:fill="FFFFFF"/>
        </w:rPr>
        <w:t>mo</w:t>
      </w:r>
      <w:proofErr w:type="spellEnd"/>
      <w:r>
        <w:rPr>
          <w:rStyle w:val="NormalTextRunBCX0SCXW139580132"/>
          <w:rFonts w:ascii="Book Antiqua" w:eastAsia="Book Antiqua" w:hAnsi="Book Antiqua" w:cs="Book Antiqua"/>
          <w:color w:val="000000"/>
          <w:shd w:val="clear" w:color="auto" w:fill="FFFFFF"/>
        </w:rPr>
        <w:t xml:space="preserve"> after the initiation of a GFD, and causes of</w:t>
      </w:r>
      <w:r w:rsidR="006E3E2B">
        <w:rPr>
          <w:rStyle w:val="NormalTextRunBCX0SCXW139580132"/>
          <w:rFonts w:ascii="Book Antiqua" w:eastAsia="Book Antiqua" w:hAnsi="Book Antiqua" w:cs="Book Antiqua"/>
          <w:color w:val="000000"/>
          <w:shd w:val="clear" w:color="auto" w:fill="FFFFFF"/>
        </w:rPr>
        <w:t xml:space="preserve"> </w:t>
      </w:r>
      <w:r>
        <w:rPr>
          <w:rStyle w:val="ContextualSpellingAndGrammarErrorBCX0SCXW139580132"/>
          <w:rFonts w:ascii="Book Antiqua" w:eastAsia="Book Antiqua" w:hAnsi="Book Antiqua" w:cs="Book Antiqua"/>
          <w:color w:val="000000"/>
          <w:shd w:val="clear" w:color="auto" w:fill="FFFFFF"/>
        </w:rPr>
        <w:t>NRCD as</w:t>
      </w:r>
      <w:r>
        <w:rPr>
          <w:rStyle w:val="NormalTextRunBCX0SCXW139580132"/>
          <w:rFonts w:ascii="Book Antiqua" w:eastAsia="Book Antiqua" w:hAnsi="Book Antiqua" w:cs="Book Antiqua"/>
          <w:color w:val="000000"/>
          <w:shd w:val="clear" w:color="auto" w:fill="FFFFFF"/>
        </w:rPr>
        <w:t xml:space="preserve"> well as symptom evolution were detailed and compared to identify any potential predictors for NRCD.</w:t>
      </w:r>
    </w:p>
    <w:p w14:paraId="2518EE1E" w14:textId="77777777" w:rsidR="00A77B3E" w:rsidRDefault="00A77B3E">
      <w:pPr>
        <w:spacing w:line="360" w:lineRule="auto"/>
        <w:jc w:val="both"/>
      </w:pPr>
    </w:p>
    <w:p w14:paraId="4873CD50" w14:textId="77777777" w:rsidR="00A77B3E" w:rsidRDefault="006E349E">
      <w:pPr>
        <w:spacing w:line="360" w:lineRule="auto"/>
        <w:jc w:val="both"/>
      </w:pPr>
      <w:r>
        <w:rPr>
          <w:rFonts w:ascii="Book Antiqua" w:eastAsia="Book Antiqua" w:hAnsi="Book Antiqua" w:cs="Book Antiqua"/>
          <w:b/>
          <w:i/>
          <w:color w:val="000000"/>
        </w:rPr>
        <w:t>Research results</w:t>
      </w:r>
    </w:p>
    <w:p w14:paraId="1D985CCB" w14:textId="22235655" w:rsidR="00A77B3E" w:rsidRDefault="006E3E2B">
      <w:pPr>
        <w:spacing w:line="360" w:lineRule="auto"/>
        <w:jc w:val="both"/>
      </w:pPr>
      <w:r w:rsidRPr="006E3E2B">
        <w:rPr>
          <w:rStyle w:val="NormalTextRunSCXW264593264BCX00"/>
          <w:rFonts w:ascii="Book Antiqua" w:eastAsia="Book Antiqua" w:hAnsi="Book Antiqua" w:cs="Book Antiqua"/>
          <w:color w:val="000000"/>
          <w:shd w:val="clear" w:color="auto" w:fill="FFFFFF"/>
        </w:rPr>
        <w:t>Six hundred and sixteen</w:t>
      </w:r>
      <w:r w:rsidR="006E349E">
        <w:rPr>
          <w:rStyle w:val="NormalTextRunSCXW264593264BCX00"/>
          <w:rFonts w:ascii="Book Antiqua" w:eastAsia="Book Antiqua" w:hAnsi="Book Antiqua" w:cs="Book Antiqua"/>
          <w:color w:val="000000"/>
          <w:shd w:val="clear" w:color="auto" w:fill="FFFFFF"/>
        </w:rPr>
        <w:t xml:space="preserve"> children were included in this retrospective study, of which 91 (15%) met criteria for NRCD, and of this, most were female (77%). </w:t>
      </w:r>
      <w:r w:rsidR="006E349E">
        <w:rPr>
          <w:rStyle w:val="NormalTextRunBCX0SCXW93944433"/>
          <w:rFonts w:ascii="Book Antiqua" w:eastAsia="Book Antiqua" w:hAnsi="Book Antiqua" w:cs="Book Antiqua"/>
          <w:color w:val="000000"/>
          <w:shd w:val="clear" w:color="auto" w:fill="FFFFFF"/>
        </w:rPr>
        <w:t xml:space="preserve">Abdominal pain </w:t>
      </w:r>
      <w:r>
        <w:rPr>
          <w:rFonts w:ascii="Book Antiqua" w:eastAsia="Book Antiqua" w:hAnsi="Book Antiqua" w:cs="Book Antiqua"/>
          <w:color w:val="000000"/>
        </w:rPr>
        <w:t>[</w:t>
      </w:r>
      <w:r w:rsidRPr="00616F4C">
        <w:rPr>
          <w:rFonts w:ascii="Book Antiqua" w:eastAsia="Malgun Gothic" w:hAnsi="Book Antiqua"/>
        </w:rPr>
        <w:t>odds ratio</w:t>
      </w:r>
      <w:r>
        <w:rPr>
          <w:rFonts w:ascii="Book Antiqua" w:eastAsia="Book Antiqua" w:hAnsi="Book Antiqua" w:cs="Book Antiqua"/>
          <w:color w:val="000000"/>
        </w:rPr>
        <w:t xml:space="preserve"> (OR)</w:t>
      </w:r>
      <w:r w:rsidR="006E349E">
        <w:rPr>
          <w:rStyle w:val="NormalTextRunBCX0SCXW93944433"/>
          <w:rFonts w:ascii="Book Antiqua" w:eastAsia="Book Antiqua" w:hAnsi="Book Antiqua" w:cs="Book Antiqua"/>
          <w:color w:val="000000"/>
          <w:shd w:val="clear" w:color="auto" w:fill="FFFFFF"/>
        </w:rPr>
        <w:t xml:space="preserve"> 1.8 95%</w:t>
      </w:r>
      <w:r w:rsidRPr="006E3E2B">
        <w:rPr>
          <w:rFonts w:ascii="Book Antiqua" w:eastAsia="Malgun Gothic" w:hAnsi="Book Antiqua"/>
        </w:rPr>
        <w:t xml:space="preserve"> </w:t>
      </w:r>
      <w:r w:rsidRPr="00616F4C">
        <w:rPr>
          <w:rFonts w:ascii="Book Antiqua" w:eastAsia="Malgun Gothic" w:hAnsi="Book Antiqua"/>
        </w:rPr>
        <w:t>confidence interval</w:t>
      </w:r>
      <w:r>
        <w:rPr>
          <w:rFonts w:ascii="Book Antiqua" w:eastAsia="Book Antiqua" w:hAnsi="Book Antiqua" w:cs="Book Antiqua"/>
          <w:color w:val="000000"/>
        </w:rPr>
        <w:t xml:space="preserve"> (CI)</w:t>
      </w:r>
      <w:r w:rsidR="006E349E">
        <w:rPr>
          <w:rStyle w:val="NormalTextRunBCX0SCXW93944433"/>
          <w:rFonts w:ascii="Book Antiqua" w:eastAsia="Book Antiqua" w:hAnsi="Book Antiqua" w:cs="Book Antiqua"/>
          <w:color w:val="000000"/>
          <w:shd w:val="clear" w:color="auto" w:fill="FFFFFF"/>
        </w:rPr>
        <w:t xml:space="preserve"> 1.1-2.9</w:t>
      </w:r>
      <w:r>
        <w:rPr>
          <w:rStyle w:val="NormalTextRunBCX0SCXW93944433"/>
          <w:rFonts w:ascii="Book Antiqua" w:eastAsia="Book Antiqua" w:hAnsi="Book Antiqua" w:cs="Book Antiqua"/>
          <w:color w:val="000000"/>
          <w:shd w:val="clear" w:color="auto" w:fill="FFFFFF"/>
        </w:rPr>
        <w:t>]</w:t>
      </w:r>
      <w:r w:rsidR="006E349E">
        <w:rPr>
          <w:rStyle w:val="NormalTextRunBCX0SCXW93944433"/>
          <w:rFonts w:ascii="Book Antiqua" w:eastAsia="Book Antiqua" w:hAnsi="Book Antiqua" w:cs="Book Antiqua"/>
          <w:color w:val="000000"/>
          <w:shd w:val="clear" w:color="auto" w:fill="FFFFFF"/>
        </w:rPr>
        <w:t xml:space="preserve">, constipation (OR 3.1 95%CI 1.9-4.9) and absence of abdominal distension (OR for abdominal distension 0.4 95%CI 0.1-0.98) at diagnosis were associated with NRCD. NRCD was attributed to a wide variety of diagnoses with gluten exposure (30%) and constipation (20%) being the most common causes. </w:t>
      </w:r>
      <w:r w:rsidR="006E349E">
        <w:rPr>
          <w:rStyle w:val="NormalTextRunBCX0SCXW257413474"/>
          <w:rFonts w:ascii="Book Antiqua" w:eastAsia="Book Antiqua" w:hAnsi="Book Antiqua" w:cs="Book Antiqua"/>
          <w:color w:val="000000"/>
          <w:shd w:val="clear" w:color="auto" w:fill="FFFFFF"/>
        </w:rPr>
        <w:t>64% of children with NRCD improved on follow-up.</w:t>
      </w:r>
    </w:p>
    <w:p w14:paraId="792C8C58" w14:textId="77777777" w:rsidR="00A77B3E" w:rsidRDefault="00A77B3E">
      <w:pPr>
        <w:spacing w:line="360" w:lineRule="auto"/>
        <w:jc w:val="both"/>
      </w:pPr>
    </w:p>
    <w:p w14:paraId="3D10F971" w14:textId="77777777" w:rsidR="00A77B3E" w:rsidRDefault="006E349E">
      <w:pPr>
        <w:spacing w:line="360" w:lineRule="auto"/>
        <w:jc w:val="both"/>
      </w:pPr>
      <w:r>
        <w:rPr>
          <w:rFonts w:ascii="Book Antiqua" w:eastAsia="Book Antiqua" w:hAnsi="Book Antiqua" w:cs="Book Antiqua"/>
          <w:b/>
          <w:i/>
          <w:color w:val="000000"/>
        </w:rPr>
        <w:lastRenderedPageBreak/>
        <w:t>Research conclusions</w:t>
      </w:r>
    </w:p>
    <w:p w14:paraId="4F3E2610" w14:textId="4E0FF92C" w:rsidR="00A77B3E" w:rsidRDefault="006E349E">
      <w:pPr>
        <w:spacing w:line="360" w:lineRule="auto"/>
        <w:jc w:val="both"/>
      </w:pPr>
      <w:r>
        <w:rPr>
          <w:rStyle w:val="NormalTextRunSCXW223857485BCX0"/>
          <w:rFonts w:ascii="Book Antiqua" w:eastAsia="Book Antiqua" w:hAnsi="Book Antiqua" w:cs="Book Antiqua"/>
          <w:color w:val="000000"/>
        </w:rPr>
        <w:t xml:space="preserve">NRCD after ≥ 6 </w:t>
      </w:r>
      <w:proofErr w:type="spellStart"/>
      <w:r>
        <w:rPr>
          <w:rStyle w:val="SpellingErrorSCXW223857485BCX0"/>
          <w:rFonts w:ascii="Book Antiqua" w:eastAsia="Book Antiqua" w:hAnsi="Book Antiqua" w:cs="Book Antiqua"/>
          <w:color w:val="000000"/>
        </w:rPr>
        <w:t>mo</w:t>
      </w:r>
      <w:proofErr w:type="spellEnd"/>
      <w:r w:rsidR="006E3E2B">
        <w:rPr>
          <w:rStyle w:val="SpellingErrorSCXW223857485BCX0"/>
          <w:rFonts w:ascii="Book Antiqua" w:eastAsia="Book Antiqua" w:hAnsi="Book Antiqua" w:cs="Book Antiqua"/>
          <w:color w:val="000000"/>
        </w:rPr>
        <w:t xml:space="preserve"> </w:t>
      </w:r>
      <w:r>
        <w:rPr>
          <w:rStyle w:val="SpellingErrorSCXW223857485BCX0"/>
          <w:rFonts w:ascii="Book Antiqua" w:eastAsia="Book Antiqua" w:hAnsi="Book Antiqua" w:cs="Book Antiqua"/>
          <w:color w:val="000000"/>
        </w:rPr>
        <w:t>of</w:t>
      </w:r>
      <w:r w:rsidR="006E3E2B">
        <w:rPr>
          <w:rStyle w:val="NormalTextRunSCXW223857485BCX0"/>
          <w:rFonts w:ascii="Book Antiqua" w:eastAsia="Book Antiqua" w:hAnsi="Book Antiqua" w:cs="Book Antiqua"/>
          <w:color w:val="000000"/>
        </w:rPr>
        <w:t xml:space="preserve"> </w:t>
      </w:r>
      <w:r>
        <w:rPr>
          <w:rStyle w:val="NormalTextRunSCXW223857485BCX0"/>
          <w:rFonts w:ascii="Book Antiqua" w:eastAsia="Book Antiqua" w:hAnsi="Book Antiqua" w:cs="Book Antiqua"/>
          <w:color w:val="000000"/>
        </w:rPr>
        <w:t>GFD is frequent among children, especially females, and is associated with initial presenting symptoms of constipation and/or abdominal pain. Gluten exposure is the most frequent cause.</w:t>
      </w:r>
      <w:r w:rsidR="006E3E2B">
        <w:rPr>
          <w:rStyle w:val="NormalTextRunSCXW223857485BCX0"/>
          <w:rFonts w:ascii="Book Antiqua" w:eastAsia="Book Antiqua" w:hAnsi="Book Antiqua" w:cs="Book Antiqua"/>
          <w:color w:val="000000"/>
        </w:rPr>
        <w:t xml:space="preserve"> </w:t>
      </w:r>
      <w:r>
        <w:rPr>
          <w:rStyle w:val="NormalTextRunSCXW141322108BCX0"/>
          <w:rFonts w:ascii="Book Antiqua" w:eastAsia="Book Antiqua" w:hAnsi="Book Antiqua" w:cs="Book Antiqua"/>
          <w:color w:val="000000"/>
        </w:rPr>
        <w:t>Our study highlights the importance of performing a diligent search for the etiologies for NRCD in any celiac child with persistent clinical symptoms despite being on GFD and reinforces the need for close follow up in the first year of a</w:t>
      </w:r>
      <w:r w:rsidR="006E3E2B">
        <w:rPr>
          <w:rStyle w:val="NormalTextRunSCXW141322108BCX0"/>
          <w:rFonts w:ascii="Book Antiqua" w:eastAsia="Book Antiqua" w:hAnsi="Book Antiqua" w:cs="Book Antiqua"/>
          <w:color w:val="000000"/>
        </w:rPr>
        <w:t xml:space="preserve"> </w:t>
      </w:r>
      <w:proofErr w:type="spellStart"/>
      <w:r>
        <w:rPr>
          <w:rStyle w:val="SpellingErrorSCXW141322108BCX0"/>
          <w:rFonts w:ascii="Book Antiqua" w:eastAsia="Book Antiqua" w:hAnsi="Book Antiqua" w:cs="Book Antiqua"/>
          <w:color w:val="000000"/>
        </w:rPr>
        <w:t>CeD</w:t>
      </w:r>
      <w:proofErr w:type="spellEnd"/>
      <w:r w:rsidR="006E3E2B">
        <w:rPr>
          <w:rStyle w:val="NormalTextRunSCXW141322108BCX0"/>
          <w:rFonts w:ascii="Book Antiqua" w:eastAsia="Book Antiqua" w:hAnsi="Book Antiqua" w:cs="Book Antiqua"/>
          <w:color w:val="000000"/>
        </w:rPr>
        <w:t xml:space="preserve"> </w:t>
      </w:r>
      <w:r>
        <w:rPr>
          <w:rStyle w:val="NormalTextRunSCXW141322108BCX0"/>
          <w:rFonts w:ascii="Book Antiqua" w:eastAsia="Book Antiqua" w:hAnsi="Book Antiqua" w:cs="Book Antiqua"/>
          <w:color w:val="000000"/>
        </w:rPr>
        <w:t>diagnosis.</w:t>
      </w:r>
    </w:p>
    <w:p w14:paraId="1E470EA1" w14:textId="77777777" w:rsidR="00A77B3E" w:rsidRDefault="00A77B3E">
      <w:pPr>
        <w:spacing w:line="360" w:lineRule="auto"/>
        <w:jc w:val="both"/>
      </w:pPr>
    </w:p>
    <w:p w14:paraId="2708EFA9" w14:textId="77777777" w:rsidR="00A77B3E" w:rsidRDefault="006E349E">
      <w:pPr>
        <w:spacing w:line="360" w:lineRule="auto"/>
        <w:jc w:val="both"/>
      </w:pPr>
      <w:r>
        <w:rPr>
          <w:rFonts w:ascii="Book Antiqua" w:eastAsia="Book Antiqua" w:hAnsi="Book Antiqua" w:cs="Book Antiqua"/>
          <w:b/>
          <w:i/>
          <w:color w:val="000000"/>
        </w:rPr>
        <w:t>Research perspectives</w:t>
      </w:r>
    </w:p>
    <w:p w14:paraId="1CDEF093" w14:textId="0418C9D5" w:rsidR="00A77B3E" w:rsidRDefault="006E349E">
      <w:pPr>
        <w:spacing w:line="360" w:lineRule="auto"/>
        <w:jc w:val="both"/>
      </w:pPr>
      <w:r>
        <w:rPr>
          <w:rStyle w:val="NormalTextRunSCXW266940908BCX0"/>
          <w:rFonts w:ascii="Book Antiqua" w:eastAsia="Book Antiqua" w:hAnsi="Book Antiqua" w:cs="Book Antiqua"/>
          <w:color w:val="000000"/>
          <w:shd w:val="clear" w:color="auto" w:fill="FFFFFF"/>
        </w:rPr>
        <w:t>Although the use of a large pediatric cohort positively contributes to the breadth of knowledge surrounding NRCD, and</w:t>
      </w:r>
      <w:r w:rsidR="006E3E2B">
        <w:rPr>
          <w:rStyle w:val="NormalTextRunSCXW266940908BCX0"/>
          <w:rFonts w:ascii="Book Antiqua" w:eastAsia="Book Antiqua" w:hAnsi="Book Antiqua" w:cs="Book Antiqua"/>
          <w:color w:val="000000"/>
          <w:shd w:val="clear" w:color="auto" w:fill="FFFFFF"/>
        </w:rPr>
        <w:t xml:space="preserve"> </w:t>
      </w:r>
      <w:r>
        <w:rPr>
          <w:rStyle w:val="NormalTextRunSCXW266940908BCX0"/>
          <w:rFonts w:ascii="Book Antiqua" w:eastAsia="Book Antiqua" w:hAnsi="Book Antiqua" w:cs="Book Antiqua"/>
          <w:color w:val="000000"/>
          <w:shd w:val="clear" w:color="auto" w:fill="FFFFFF"/>
        </w:rPr>
        <w:t>inclusion of only children who were diagnosed at BCH reduces referral bias, our cohort may differ from populations in other geographic areas. As such, a future direction of note is to extend this project to include pediatric Celiac Disease Programs across the United States, to assess if geographic location is a factor in the manifestation and characterization of NRCD.</w:t>
      </w:r>
    </w:p>
    <w:p w14:paraId="2FC00A80" w14:textId="77777777" w:rsidR="00A77B3E" w:rsidRDefault="00A77B3E">
      <w:pPr>
        <w:spacing w:line="360" w:lineRule="auto"/>
        <w:jc w:val="both"/>
      </w:pPr>
    </w:p>
    <w:p w14:paraId="755F94D5" w14:textId="77777777" w:rsidR="00A77B3E" w:rsidRDefault="006E349E">
      <w:pPr>
        <w:spacing w:line="360" w:lineRule="auto"/>
        <w:jc w:val="both"/>
      </w:pPr>
      <w:r>
        <w:rPr>
          <w:rFonts w:ascii="Book Antiqua" w:eastAsia="Book Antiqua" w:hAnsi="Book Antiqua" w:cs="Book Antiqua"/>
          <w:b/>
          <w:color w:val="000000"/>
        </w:rPr>
        <w:t>REFERENCES</w:t>
      </w:r>
    </w:p>
    <w:p w14:paraId="47ABCFA3" w14:textId="74FB462F" w:rsidR="00A77B3E" w:rsidRDefault="00A001E5">
      <w:pPr>
        <w:spacing w:line="360" w:lineRule="auto"/>
        <w:jc w:val="both"/>
      </w:pPr>
      <w:r>
        <w:rPr>
          <w:rFonts w:ascii="Book Antiqua" w:eastAsia="Book Antiqua" w:hAnsi="Book Antiqua" w:cs="Book Antiqua"/>
          <w:color w:val="000000"/>
        </w:rPr>
        <w:t xml:space="preserve">1 </w:t>
      </w:r>
      <w:r w:rsidR="006E349E">
        <w:rPr>
          <w:rFonts w:ascii="Book Antiqua" w:eastAsia="Book Antiqua" w:hAnsi="Book Antiqua" w:cs="Book Antiqua"/>
          <w:b/>
          <w:bCs/>
          <w:color w:val="000000"/>
        </w:rPr>
        <w:t>Green PH</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Cellier</w:t>
      </w:r>
      <w:proofErr w:type="spellEnd"/>
      <w:r w:rsidR="006E349E">
        <w:rPr>
          <w:rFonts w:ascii="Book Antiqua" w:eastAsia="Book Antiqua" w:hAnsi="Book Antiqua" w:cs="Book Antiqua"/>
          <w:color w:val="000000"/>
        </w:rPr>
        <w:t xml:space="preserve"> C. Celiac disease. </w:t>
      </w:r>
      <w:r w:rsidR="006E349E">
        <w:rPr>
          <w:rFonts w:ascii="Book Antiqua" w:eastAsia="Book Antiqua" w:hAnsi="Book Antiqua" w:cs="Book Antiqua"/>
          <w:i/>
          <w:iCs/>
          <w:color w:val="000000"/>
        </w:rPr>
        <w:t xml:space="preserve">N </w:t>
      </w:r>
      <w:proofErr w:type="spellStart"/>
      <w:r w:rsidR="006E349E">
        <w:rPr>
          <w:rFonts w:ascii="Book Antiqua" w:eastAsia="Book Antiqua" w:hAnsi="Book Antiqua" w:cs="Book Antiqua"/>
          <w:i/>
          <w:iCs/>
          <w:color w:val="000000"/>
        </w:rPr>
        <w:t>Engl</w:t>
      </w:r>
      <w:proofErr w:type="spellEnd"/>
      <w:r w:rsidR="006E349E">
        <w:rPr>
          <w:rFonts w:ascii="Book Antiqua" w:eastAsia="Book Antiqua" w:hAnsi="Book Antiqua" w:cs="Book Antiqua"/>
          <w:i/>
          <w:iCs/>
          <w:color w:val="000000"/>
        </w:rPr>
        <w:t xml:space="preserve"> J Med</w:t>
      </w:r>
      <w:r w:rsidR="006E349E">
        <w:rPr>
          <w:rFonts w:ascii="Book Antiqua" w:eastAsia="Book Antiqua" w:hAnsi="Book Antiqua" w:cs="Book Antiqua"/>
          <w:color w:val="000000"/>
        </w:rPr>
        <w:t xml:space="preserve"> 2007; </w:t>
      </w:r>
      <w:r w:rsidR="006E349E">
        <w:rPr>
          <w:rFonts w:ascii="Book Antiqua" w:eastAsia="Book Antiqua" w:hAnsi="Book Antiqua" w:cs="Book Antiqua"/>
          <w:b/>
          <w:bCs/>
          <w:color w:val="000000"/>
        </w:rPr>
        <w:t>357</w:t>
      </w:r>
      <w:r w:rsidR="006E349E">
        <w:rPr>
          <w:rFonts w:ascii="Book Antiqua" w:eastAsia="Book Antiqua" w:hAnsi="Book Antiqua" w:cs="Book Antiqua"/>
          <w:color w:val="000000"/>
        </w:rPr>
        <w:t>: 1731-1743 [PMID: 17960014 DOI: 10.1056/NEJMra071600]</w:t>
      </w:r>
    </w:p>
    <w:p w14:paraId="25497D0E" w14:textId="1DDED04C" w:rsidR="00A77B3E" w:rsidRDefault="00A001E5">
      <w:pPr>
        <w:spacing w:line="360" w:lineRule="auto"/>
        <w:jc w:val="both"/>
      </w:pPr>
      <w:r>
        <w:rPr>
          <w:rFonts w:ascii="Book Antiqua" w:eastAsia="Book Antiqua" w:hAnsi="Book Antiqua" w:cs="Book Antiqua"/>
          <w:color w:val="000000"/>
        </w:rPr>
        <w:t xml:space="preserve">2 </w:t>
      </w:r>
      <w:r w:rsidR="006E349E">
        <w:rPr>
          <w:rFonts w:ascii="Book Antiqua" w:eastAsia="Book Antiqua" w:hAnsi="Book Antiqua" w:cs="Book Antiqua"/>
          <w:b/>
          <w:bCs/>
          <w:color w:val="000000"/>
        </w:rPr>
        <w:t>Rubio-Tapia A</w:t>
      </w:r>
      <w:r w:rsidR="006E349E">
        <w:rPr>
          <w:rFonts w:ascii="Book Antiqua" w:eastAsia="Book Antiqua" w:hAnsi="Book Antiqua" w:cs="Book Antiqua"/>
          <w:color w:val="000000"/>
        </w:rPr>
        <w:t xml:space="preserve">, Hill ID, Kelly CP, Calderwood AH, Murray JA; American College of Gastroenterology. ACG clinical guidelines: diagnosis and management of celiac disease. </w:t>
      </w:r>
      <w:r w:rsidR="006E349E">
        <w:rPr>
          <w:rFonts w:ascii="Book Antiqua" w:eastAsia="Book Antiqua" w:hAnsi="Book Antiqua" w:cs="Book Antiqua"/>
          <w:i/>
          <w:iCs/>
          <w:color w:val="000000"/>
        </w:rPr>
        <w:t>Am J Gastroenterol</w:t>
      </w:r>
      <w:r w:rsidR="006E349E">
        <w:rPr>
          <w:rFonts w:ascii="Book Antiqua" w:eastAsia="Book Antiqua" w:hAnsi="Book Antiqua" w:cs="Book Antiqua"/>
          <w:color w:val="000000"/>
        </w:rPr>
        <w:t xml:space="preserve"> 2013; </w:t>
      </w:r>
      <w:r w:rsidR="006E349E">
        <w:rPr>
          <w:rFonts w:ascii="Book Antiqua" w:eastAsia="Book Antiqua" w:hAnsi="Book Antiqua" w:cs="Book Antiqua"/>
          <w:b/>
          <w:bCs/>
          <w:color w:val="000000"/>
        </w:rPr>
        <w:t>108</w:t>
      </w:r>
      <w:r w:rsidR="006E349E">
        <w:rPr>
          <w:rFonts w:ascii="Book Antiqua" w:eastAsia="Book Antiqua" w:hAnsi="Book Antiqua" w:cs="Book Antiqua"/>
          <w:color w:val="000000"/>
        </w:rPr>
        <w:t>: 656-</w:t>
      </w:r>
      <w:r w:rsidR="00223161">
        <w:rPr>
          <w:rFonts w:ascii="Book Antiqua" w:eastAsia="Book Antiqua" w:hAnsi="Book Antiqua" w:cs="Book Antiqua"/>
          <w:color w:val="000000"/>
        </w:rPr>
        <w:t>6</w:t>
      </w:r>
      <w:r w:rsidR="006E349E">
        <w:rPr>
          <w:rFonts w:ascii="Book Antiqua" w:eastAsia="Book Antiqua" w:hAnsi="Book Antiqua" w:cs="Book Antiqua"/>
          <w:color w:val="000000"/>
        </w:rPr>
        <w:t>76; quiz 677 [PMID: 23609613 DOI: 10.1038/ajg.2013.79]</w:t>
      </w:r>
    </w:p>
    <w:p w14:paraId="0F4F3797" w14:textId="7E952628" w:rsidR="00A77B3E" w:rsidRDefault="00A001E5">
      <w:pPr>
        <w:spacing w:line="360" w:lineRule="auto"/>
        <w:jc w:val="both"/>
      </w:pPr>
      <w:r>
        <w:rPr>
          <w:rFonts w:ascii="Book Antiqua" w:eastAsia="Book Antiqua" w:hAnsi="Book Antiqua" w:cs="Book Antiqua"/>
          <w:color w:val="000000"/>
        </w:rPr>
        <w:t xml:space="preserve">3 </w:t>
      </w:r>
      <w:r w:rsidR="006E349E">
        <w:rPr>
          <w:rFonts w:ascii="Book Antiqua" w:eastAsia="Book Antiqua" w:hAnsi="Book Antiqua" w:cs="Book Antiqua"/>
          <w:b/>
          <w:bCs/>
          <w:color w:val="000000"/>
        </w:rPr>
        <w:t>Hill ID</w:t>
      </w:r>
      <w:r w:rsidR="006E349E">
        <w:rPr>
          <w:rFonts w:ascii="Book Antiqua" w:eastAsia="Book Antiqua" w:hAnsi="Book Antiqua" w:cs="Book Antiqua"/>
          <w:color w:val="000000"/>
        </w:rPr>
        <w:t xml:space="preserve">, Fasano A, </w:t>
      </w:r>
      <w:proofErr w:type="spellStart"/>
      <w:r w:rsidR="006E349E">
        <w:rPr>
          <w:rFonts w:ascii="Book Antiqua" w:eastAsia="Book Antiqua" w:hAnsi="Book Antiqua" w:cs="Book Antiqua"/>
          <w:color w:val="000000"/>
        </w:rPr>
        <w:t>Guandalini</w:t>
      </w:r>
      <w:proofErr w:type="spellEnd"/>
      <w:r w:rsidR="006E349E">
        <w:rPr>
          <w:rFonts w:ascii="Book Antiqua" w:eastAsia="Book Antiqua" w:hAnsi="Book Antiqua" w:cs="Book Antiqua"/>
          <w:color w:val="000000"/>
        </w:rPr>
        <w:t xml:space="preserve"> S, Hoffenberg E, Levy J, Reilly N, Verma R. NASPGHAN Clinical Report on the Diagnosis and Treatment of Gluten-related Disorders.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i/>
          <w:iCs/>
          <w:color w:val="000000"/>
        </w:rPr>
        <w:t xml:space="preserve"> Gastroenterol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2016; </w:t>
      </w:r>
      <w:r w:rsidR="006E349E">
        <w:rPr>
          <w:rFonts w:ascii="Book Antiqua" w:eastAsia="Book Antiqua" w:hAnsi="Book Antiqua" w:cs="Book Antiqua"/>
          <w:b/>
          <w:bCs/>
          <w:color w:val="000000"/>
        </w:rPr>
        <w:t>63</w:t>
      </w:r>
      <w:r w:rsidR="006E349E">
        <w:rPr>
          <w:rFonts w:ascii="Book Antiqua" w:eastAsia="Book Antiqua" w:hAnsi="Book Antiqua" w:cs="Book Antiqua"/>
          <w:color w:val="000000"/>
        </w:rPr>
        <w:t>: 156-165 [PMID: 27035374 DOI: 10.1097/MPG.0000000000001216]</w:t>
      </w:r>
    </w:p>
    <w:p w14:paraId="6D14437D" w14:textId="3AE5D5A7" w:rsidR="00A77B3E" w:rsidRDefault="00A001E5">
      <w:pPr>
        <w:spacing w:line="360" w:lineRule="auto"/>
        <w:jc w:val="both"/>
      </w:pPr>
      <w:r>
        <w:rPr>
          <w:rFonts w:ascii="Book Antiqua" w:eastAsia="Book Antiqua" w:hAnsi="Book Antiqua" w:cs="Book Antiqua"/>
          <w:color w:val="000000"/>
        </w:rPr>
        <w:t xml:space="preserve">4 </w:t>
      </w:r>
      <w:r w:rsidR="006E349E">
        <w:rPr>
          <w:rFonts w:ascii="Book Antiqua" w:eastAsia="Book Antiqua" w:hAnsi="Book Antiqua" w:cs="Book Antiqua"/>
          <w:b/>
          <w:bCs/>
          <w:color w:val="000000"/>
        </w:rPr>
        <w:t>Murray JA</w:t>
      </w:r>
      <w:r w:rsidR="006E349E">
        <w:rPr>
          <w:rFonts w:ascii="Book Antiqua" w:eastAsia="Book Antiqua" w:hAnsi="Book Antiqua" w:cs="Book Antiqua"/>
          <w:color w:val="000000"/>
        </w:rPr>
        <w:t xml:space="preserve">, Watson T, </w:t>
      </w:r>
      <w:proofErr w:type="spellStart"/>
      <w:r w:rsidR="006E349E">
        <w:rPr>
          <w:rFonts w:ascii="Book Antiqua" w:eastAsia="Book Antiqua" w:hAnsi="Book Antiqua" w:cs="Book Antiqua"/>
          <w:color w:val="000000"/>
        </w:rPr>
        <w:t>Clearman</w:t>
      </w:r>
      <w:proofErr w:type="spellEnd"/>
      <w:r w:rsidR="006E349E">
        <w:rPr>
          <w:rFonts w:ascii="Book Antiqua" w:eastAsia="Book Antiqua" w:hAnsi="Book Antiqua" w:cs="Book Antiqua"/>
          <w:color w:val="000000"/>
        </w:rPr>
        <w:t xml:space="preserve"> B, </w:t>
      </w:r>
      <w:proofErr w:type="spellStart"/>
      <w:r w:rsidR="006E349E">
        <w:rPr>
          <w:rFonts w:ascii="Book Antiqua" w:eastAsia="Book Antiqua" w:hAnsi="Book Antiqua" w:cs="Book Antiqua"/>
          <w:color w:val="000000"/>
        </w:rPr>
        <w:t>Mitros</w:t>
      </w:r>
      <w:proofErr w:type="spellEnd"/>
      <w:r w:rsidR="006E349E">
        <w:rPr>
          <w:rFonts w:ascii="Book Antiqua" w:eastAsia="Book Antiqua" w:hAnsi="Book Antiqua" w:cs="Book Antiqua"/>
          <w:color w:val="000000"/>
        </w:rPr>
        <w:t xml:space="preserve"> F. Effect of a gluten-free diet on gastrointestinal symptoms in celiac disease. </w:t>
      </w:r>
      <w:r w:rsidR="006E349E">
        <w:rPr>
          <w:rFonts w:ascii="Book Antiqua" w:eastAsia="Book Antiqua" w:hAnsi="Book Antiqua" w:cs="Book Antiqua"/>
          <w:i/>
          <w:iCs/>
          <w:color w:val="000000"/>
        </w:rPr>
        <w:t xml:space="preserve">Am J Clin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2004; </w:t>
      </w:r>
      <w:r w:rsidR="006E349E">
        <w:rPr>
          <w:rFonts w:ascii="Book Antiqua" w:eastAsia="Book Antiqua" w:hAnsi="Book Antiqua" w:cs="Book Antiqua"/>
          <w:b/>
          <w:bCs/>
          <w:color w:val="000000"/>
        </w:rPr>
        <w:t>79</w:t>
      </w:r>
      <w:r w:rsidR="006E349E">
        <w:rPr>
          <w:rFonts w:ascii="Book Antiqua" w:eastAsia="Book Antiqua" w:hAnsi="Book Antiqua" w:cs="Book Antiqua"/>
          <w:color w:val="000000"/>
        </w:rPr>
        <w:t>: 669-673 [PMID: 15051613 DOI: 10.1093/</w:t>
      </w:r>
      <w:proofErr w:type="spellStart"/>
      <w:r w:rsidR="006E349E">
        <w:rPr>
          <w:rFonts w:ascii="Book Antiqua" w:eastAsia="Book Antiqua" w:hAnsi="Book Antiqua" w:cs="Book Antiqua"/>
          <w:color w:val="000000"/>
        </w:rPr>
        <w:t>ajcn</w:t>
      </w:r>
      <w:proofErr w:type="spellEnd"/>
      <w:r w:rsidR="006E349E">
        <w:rPr>
          <w:rFonts w:ascii="Book Antiqua" w:eastAsia="Book Antiqua" w:hAnsi="Book Antiqua" w:cs="Book Antiqua"/>
          <w:color w:val="000000"/>
        </w:rPr>
        <w:t>/79.4.669]</w:t>
      </w:r>
    </w:p>
    <w:p w14:paraId="3D6E15FC" w14:textId="1E422ABB" w:rsidR="00A77B3E" w:rsidRDefault="00A001E5">
      <w:pPr>
        <w:spacing w:line="360" w:lineRule="auto"/>
        <w:jc w:val="both"/>
      </w:pPr>
      <w:r>
        <w:rPr>
          <w:rFonts w:ascii="Book Antiqua" w:eastAsia="Book Antiqua" w:hAnsi="Book Antiqua" w:cs="Book Antiqua"/>
          <w:color w:val="000000"/>
        </w:rPr>
        <w:lastRenderedPageBreak/>
        <w:t xml:space="preserve">5 </w:t>
      </w:r>
      <w:proofErr w:type="spellStart"/>
      <w:r w:rsidR="006E349E">
        <w:rPr>
          <w:rFonts w:ascii="Book Antiqua" w:eastAsia="Book Antiqua" w:hAnsi="Book Antiqua" w:cs="Book Antiqua"/>
          <w:b/>
          <w:bCs/>
          <w:color w:val="000000"/>
        </w:rPr>
        <w:t>Sansotta</w:t>
      </w:r>
      <w:proofErr w:type="spellEnd"/>
      <w:r w:rsidR="006E349E">
        <w:rPr>
          <w:rFonts w:ascii="Book Antiqua" w:eastAsia="Book Antiqua" w:hAnsi="Book Antiqua" w:cs="Book Antiqua"/>
          <w:b/>
          <w:bCs/>
          <w:color w:val="000000"/>
        </w:rPr>
        <w:t xml:space="preserve"> N</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Amirikian</w:t>
      </w:r>
      <w:proofErr w:type="spellEnd"/>
      <w:r w:rsidR="006E349E">
        <w:rPr>
          <w:rFonts w:ascii="Book Antiqua" w:eastAsia="Book Antiqua" w:hAnsi="Book Antiqua" w:cs="Book Antiqua"/>
          <w:color w:val="000000"/>
        </w:rPr>
        <w:t xml:space="preserve"> K, </w:t>
      </w:r>
      <w:proofErr w:type="spellStart"/>
      <w:r w:rsidR="006E349E">
        <w:rPr>
          <w:rFonts w:ascii="Book Antiqua" w:eastAsia="Book Antiqua" w:hAnsi="Book Antiqua" w:cs="Book Antiqua"/>
          <w:color w:val="000000"/>
        </w:rPr>
        <w:t>Guandalini</w:t>
      </w:r>
      <w:proofErr w:type="spellEnd"/>
      <w:r w:rsidR="006E349E">
        <w:rPr>
          <w:rFonts w:ascii="Book Antiqua" w:eastAsia="Book Antiqua" w:hAnsi="Book Antiqua" w:cs="Book Antiqua"/>
          <w:color w:val="000000"/>
        </w:rPr>
        <w:t xml:space="preserve"> S, Jericho H. Celiac Disease Symptom Resolution: Effectiveness of the Gluten-free Diet.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i/>
          <w:iCs/>
          <w:color w:val="000000"/>
        </w:rPr>
        <w:t xml:space="preserve"> Gastroenterol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2018; </w:t>
      </w:r>
      <w:r w:rsidR="006E349E">
        <w:rPr>
          <w:rFonts w:ascii="Book Antiqua" w:eastAsia="Book Antiqua" w:hAnsi="Book Antiqua" w:cs="Book Antiqua"/>
          <w:b/>
          <w:bCs/>
          <w:color w:val="000000"/>
        </w:rPr>
        <w:t>66</w:t>
      </w:r>
      <w:r w:rsidR="006E349E">
        <w:rPr>
          <w:rFonts w:ascii="Book Antiqua" w:eastAsia="Book Antiqua" w:hAnsi="Book Antiqua" w:cs="Book Antiqua"/>
          <w:color w:val="000000"/>
        </w:rPr>
        <w:t>: 48-52 [PMID: 28514243 DOI: 10.1097/MPG.0000000000001634]</w:t>
      </w:r>
    </w:p>
    <w:p w14:paraId="434E3CE3" w14:textId="6B6E1136" w:rsidR="00A77B3E" w:rsidRDefault="00A001E5">
      <w:pPr>
        <w:spacing w:line="360" w:lineRule="auto"/>
        <w:jc w:val="both"/>
      </w:pPr>
      <w:r>
        <w:rPr>
          <w:rFonts w:ascii="Book Antiqua" w:eastAsia="Book Antiqua" w:hAnsi="Book Antiqua" w:cs="Book Antiqua"/>
          <w:color w:val="000000"/>
        </w:rPr>
        <w:t xml:space="preserve">6 </w:t>
      </w:r>
      <w:r w:rsidR="006E349E">
        <w:rPr>
          <w:rFonts w:ascii="Book Antiqua" w:eastAsia="Book Antiqua" w:hAnsi="Book Antiqua" w:cs="Book Antiqua"/>
          <w:b/>
          <w:bCs/>
          <w:color w:val="000000"/>
        </w:rPr>
        <w:t>Leffler DA</w:t>
      </w:r>
      <w:r w:rsidR="006E349E">
        <w:rPr>
          <w:rFonts w:ascii="Book Antiqua" w:eastAsia="Book Antiqua" w:hAnsi="Book Antiqua" w:cs="Book Antiqua"/>
          <w:color w:val="000000"/>
        </w:rPr>
        <w:t xml:space="preserve">, Dennis M, Hyett B, Kelly E, </w:t>
      </w:r>
      <w:proofErr w:type="spellStart"/>
      <w:r w:rsidR="006E349E">
        <w:rPr>
          <w:rFonts w:ascii="Book Antiqua" w:eastAsia="Book Antiqua" w:hAnsi="Book Antiqua" w:cs="Book Antiqua"/>
          <w:color w:val="000000"/>
        </w:rPr>
        <w:t>Schuppan</w:t>
      </w:r>
      <w:proofErr w:type="spellEnd"/>
      <w:r w:rsidR="006E349E">
        <w:rPr>
          <w:rFonts w:ascii="Book Antiqua" w:eastAsia="Book Antiqua" w:hAnsi="Book Antiqua" w:cs="Book Antiqua"/>
          <w:color w:val="000000"/>
        </w:rPr>
        <w:t xml:space="preserve"> D, Kelly CP. Etiologies and predictors of diagnosis in nonresponsive celiac disease. </w:t>
      </w:r>
      <w:r w:rsidR="006E349E">
        <w:rPr>
          <w:rFonts w:ascii="Book Antiqua" w:eastAsia="Book Antiqua" w:hAnsi="Book Antiqua" w:cs="Book Antiqua"/>
          <w:i/>
          <w:iCs/>
          <w:color w:val="000000"/>
        </w:rPr>
        <w:t>Clin Gastroenterol Hepatol</w:t>
      </w:r>
      <w:r w:rsidR="006E349E">
        <w:rPr>
          <w:rFonts w:ascii="Book Antiqua" w:eastAsia="Book Antiqua" w:hAnsi="Book Antiqua" w:cs="Book Antiqua"/>
          <w:color w:val="000000"/>
        </w:rPr>
        <w:t xml:space="preserve"> 2007; </w:t>
      </w:r>
      <w:r w:rsidR="006E349E">
        <w:rPr>
          <w:rFonts w:ascii="Book Antiqua" w:eastAsia="Book Antiqua" w:hAnsi="Book Antiqua" w:cs="Book Antiqua"/>
          <w:b/>
          <w:bCs/>
          <w:color w:val="000000"/>
        </w:rPr>
        <w:t>5</w:t>
      </w:r>
      <w:r w:rsidR="006E349E">
        <w:rPr>
          <w:rFonts w:ascii="Book Antiqua" w:eastAsia="Book Antiqua" w:hAnsi="Book Antiqua" w:cs="Book Antiqua"/>
          <w:color w:val="000000"/>
        </w:rPr>
        <w:t>: 445-450 [PMID: 17382600 DOI: 10.1016/j.cgh.2006.12.006]</w:t>
      </w:r>
    </w:p>
    <w:p w14:paraId="2B82B03A" w14:textId="7897372E" w:rsidR="00A77B3E" w:rsidRDefault="00A001E5">
      <w:pPr>
        <w:spacing w:line="360" w:lineRule="auto"/>
        <w:jc w:val="both"/>
      </w:pPr>
      <w:r>
        <w:rPr>
          <w:rFonts w:ascii="Book Antiqua" w:eastAsia="Book Antiqua" w:hAnsi="Book Antiqua" w:cs="Book Antiqua"/>
          <w:color w:val="000000"/>
        </w:rPr>
        <w:t xml:space="preserve">7 </w:t>
      </w:r>
      <w:proofErr w:type="spellStart"/>
      <w:r w:rsidR="006E349E">
        <w:rPr>
          <w:rFonts w:ascii="Book Antiqua" w:eastAsia="Book Antiqua" w:hAnsi="Book Antiqua" w:cs="Book Antiqua"/>
          <w:b/>
          <w:bCs/>
          <w:color w:val="000000"/>
        </w:rPr>
        <w:t>O'Mahony</w:t>
      </w:r>
      <w:proofErr w:type="spellEnd"/>
      <w:r w:rsidR="006E349E">
        <w:rPr>
          <w:rFonts w:ascii="Book Antiqua" w:eastAsia="Book Antiqua" w:hAnsi="Book Antiqua" w:cs="Book Antiqua"/>
          <w:b/>
          <w:bCs/>
          <w:color w:val="000000"/>
        </w:rPr>
        <w:t xml:space="preserve"> S</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Howdle</w:t>
      </w:r>
      <w:proofErr w:type="spellEnd"/>
      <w:r w:rsidR="006E349E">
        <w:rPr>
          <w:rFonts w:ascii="Book Antiqua" w:eastAsia="Book Antiqua" w:hAnsi="Book Antiqua" w:cs="Book Antiqua"/>
          <w:color w:val="000000"/>
        </w:rPr>
        <w:t xml:space="preserve"> PD, </w:t>
      </w:r>
      <w:proofErr w:type="spellStart"/>
      <w:r w:rsidR="006E349E">
        <w:rPr>
          <w:rFonts w:ascii="Book Antiqua" w:eastAsia="Book Antiqua" w:hAnsi="Book Antiqua" w:cs="Book Antiqua"/>
          <w:color w:val="000000"/>
        </w:rPr>
        <w:t>Losowsky</w:t>
      </w:r>
      <w:proofErr w:type="spellEnd"/>
      <w:r w:rsidR="006E349E">
        <w:rPr>
          <w:rFonts w:ascii="Book Antiqua" w:eastAsia="Book Antiqua" w:hAnsi="Book Antiqua" w:cs="Book Antiqua"/>
          <w:color w:val="000000"/>
        </w:rPr>
        <w:t xml:space="preserve"> MS. Review article: management of patients with non-responsive coeliac disease. </w:t>
      </w:r>
      <w:r w:rsidR="006E349E">
        <w:rPr>
          <w:rFonts w:ascii="Book Antiqua" w:eastAsia="Book Antiqua" w:hAnsi="Book Antiqua" w:cs="Book Antiqua"/>
          <w:i/>
          <w:iCs/>
          <w:color w:val="000000"/>
        </w:rPr>
        <w:t xml:space="preserve">Aliment </w:t>
      </w:r>
      <w:proofErr w:type="spellStart"/>
      <w:r w:rsidR="006E349E">
        <w:rPr>
          <w:rFonts w:ascii="Book Antiqua" w:eastAsia="Book Antiqua" w:hAnsi="Book Antiqua" w:cs="Book Antiqua"/>
          <w:i/>
          <w:iCs/>
          <w:color w:val="000000"/>
        </w:rPr>
        <w:t>Pharmacol</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Ther</w:t>
      </w:r>
      <w:proofErr w:type="spellEnd"/>
      <w:r w:rsidR="006E349E">
        <w:rPr>
          <w:rFonts w:ascii="Book Antiqua" w:eastAsia="Book Antiqua" w:hAnsi="Book Antiqua" w:cs="Book Antiqua"/>
          <w:color w:val="000000"/>
        </w:rPr>
        <w:t xml:space="preserve"> 1996; </w:t>
      </w:r>
      <w:r w:rsidR="006E349E">
        <w:rPr>
          <w:rFonts w:ascii="Book Antiqua" w:eastAsia="Book Antiqua" w:hAnsi="Book Antiqua" w:cs="Book Antiqua"/>
          <w:b/>
          <w:bCs/>
          <w:color w:val="000000"/>
        </w:rPr>
        <w:t>10</w:t>
      </w:r>
      <w:r w:rsidR="006E349E">
        <w:rPr>
          <w:rFonts w:ascii="Book Antiqua" w:eastAsia="Book Antiqua" w:hAnsi="Book Antiqua" w:cs="Book Antiqua"/>
          <w:color w:val="000000"/>
        </w:rPr>
        <w:t>: 671-680 [PMID: 8899074 DOI: 10.1046/j.1365-2036.1996.66237000.x]</w:t>
      </w:r>
    </w:p>
    <w:p w14:paraId="4FAF59CA" w14:textId="5C2CD592" w:rsidR="00A77B3E" w:rsidRDefault="00A001E5">
      <w:pPr>
        <w:spacing w:line="360" w:lineRule="auto"/>
        <w:jc w:val="both"/>
      </w:pPr>
      <w:r>
        <w:rPr>
          <w:rFonts w:ascii="Book Antiqua" w:eastAsia="Book Antiqua" w:hAnsi="Book Antiqua" w:cs="Book Antiqua"/>
          <w:color w:val="000000"/>
        </w:rPr>
        <w:t xml:space="preserve">8 </w:t>
      </w:r>
      <w:proofErr w:type="spellStart"/>
      <w:r w:rsidR="006E349E">
        <w:rPr>
          <w:rFonts w:ascii="Book Antiqua" w:eastAsia="Book Antiqua" w:hAnsi="Book Antiqua" w:cs="Book Antiqua"/>
          <w:b/>
          <w:bCs/>
          <w:color w:val="000000"/>
        </w:rPr>
        <w:t>Abdulkarim</w:t>
      </w:r>
      <w:proofErr w:type="spellEnd"/>
      <w:r w:rsidR="006E349E">
        <w:rPr>
          <w:rFonts w:ascii="Book Antiqua" w:eastAsia="Book Antiqua" w:hAnsi="Book Antiqua" w:cs="Book Antiqua"/>
          <w:b/>
          <w:bCs/>
          <w:color w:val="000000"/>
        </w:rPr>
        <w:t xml:space="preserve"> AS</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Burgart</w:t>
      </w:r>
      <w:proofErr w:type="spellEnd"/>
      <w:r w:rsidR="006E349E">
        <w:rPr>
          <w:rFonts w:ascii="Book Antiqua" w:eastAsia="Book Antiqua" w:hAnsi="Book Antiqua" w:cs="Book Antiqua"/>
          <w:color w:val="000000"/>
        </w:rPr>
        <w:t xml:space="preserve"> LJ, See J, Murray JA. Etiology of nonresponsive celiac disease: results of a systematic approach. </w:t>
      </w:r>
      <w:r w:rsidR="006E349E">
        <w:rPr>
          <w:rFonts w:ascii="Book Antiqua" w:eastAsia="Book Antiqua" w:hAnsi="Book Antiqua" w:cs="Book Antiqua"/>
          <w:i/>
          <w:iCs/>
          <w:color w:val="000000"/>
        </w:rPr>
        <w:t>Am J Gastroenterol</w:t>
      </w:r>
      <w:r w:rsidR="006E349E">
        <w:rPr>
          <w:rFonts w:ascii="Book Antiqua" w:eastAsia="Book Antiqua" w:hAnsi="Book Antiqua" w:cs="Book Antiqua"/>
          <w:color w:val="000000"/>
        </w:rPr>
        <w:t xml:space="preserve"> 2002; </w:t>
      </w:r>
      <w:r w:rsidR="006E349E">
        <w:rPr>
          <w:rFonts w:ascii="Book Antiqua" w:eastAsia="Book Antiqua" w:hAnsi="Book Antiqua" w:cs="Book Antiqua"/>
          <w:b/>
          <w:bCs/>
          <w:color w:val="000000"/>
        </w:rPr>
        <w:t>97</w:t>
      </w:r>
      <w:r w:rsidR="006E349E">
        <w:rPr>
          <w:rFonts w:ascii="Book Antiqua" w:eastAsia="Book Antiqua" w:hAnsi="Book Antiqua" w:cs="Book Antiqua"/>
          <w:color w:val="000000"/>
        </w:rPr>
        <w:t>: 2016-2021 [PMID: 12190170 DOI: 10.1111/j.1572-0241.2002.05917.x]</w:t>
      </w:r>
    </w:p>
    <w:p w14:paraId="1514877B" w14:textId="3F0A379A" w:rsidR="00A77B3E" w:rsidRDefault="00A001E5">
      <w:pPr>
        <w:spacing w:line="360" w:lineRule="auto"/>
        <w:jc w:val="both"/>
      </w:pPr>
      <w:r>
        <w:rPr>
          <w:rFonts w:ascii="Book Antiqua" w:eastAsia="Book Antiqua" w:hAnsi="Book Antiqua" w:cs="Book Antiqua"/>
          <w:color w:val="000000"/>
        </w:rPr>
        <w:t xml:space="preserve">9 </w:t>
      </w:r>
      <w:r w:rsidR="006E349E">
        <w:rPr>
          <w:rFonts w:ascii="Book Antiqua" w:eastAsia="Book Antiqua" w:hAnsi="Book Antiqua" w:cs="Book Antiqua"/>
          <w:b/>
          <w:bCs/>
          <w:color w:val="000000"/>
        </w:rPr>
        <w:t>Leffler DA</w:t>
      </w:r>
      <w:r w:rsidR="006E349E">
        <w:rPr>
          <w:rFonts w:ascii="Book Antiqua" w:eastAsia="Book Antiqua" w:hAnsi="Book Antiqua" w:cs="Book Antiqua"/>
          <w:color w:val="000000"/>
        </w:rPr>
        <w:t xml:space="preserve">, Dennis M, Edwards George JB, </w:t>
      </w:r>
      <w:proofErr w:type="spellStart"/>
      <w:r w:rsidR="006E349E">
        <w:rPr>
          <w:rFonts w:ascii="Book Antiqua" w:eastAsia="Book Antiqua" w:hAnsi="Book Antiqua" w:cs="Book Antiqua"/>
          <w:color w:val="000000"/>
        </w:rPr>
        <w:t>Jamma</w:t>
      </w:r>
      <w:proofErr w:type="spellEnd"/>
      <w:r w:rsidR="006E349E">
        <w:rPr>
          <w:rFonts w:ascii="Book Antiqua" w:eastAsia="Book Antiqua" w:hAnsi="Book Antiqua" w:cs="Book Antiqua"/>
          <w:color w:val="000000"/>
        </w:rPr>
        <w:t xml:space="preserve"> S, </w:t>
      </w:r>
      <w:proofErr w:type="spellStart"/>
      <w:r w:rsidR="006E349E">
        <w:rPr>
          <w:rFonts w:ascii="Book Antiqua" w:eastAsia="Book Antiqua" w:hAnsi="Book Antiqua" w:cs="Book Antiqua"/>
          <w:color w:val="000000"/>
        </w:rPr>
        <w:t>Magge</w:t>
      </w:r>
      <w:proofErr w:type="spellEnd"/>
      <w:r w:rsidR="006E349E">
        <w:rPr>
          <w:rFonts w:ascii="Book Antiqua" w:eastAsia="Book Antiqua" w:hAnsi="Book Antiqua" w:cs="Book Antiqua"/>
          <w:color w:val="000000"/>
        </w:rPr>
        <w:t xml:space="preserve"> S, Cook EF, </w:t>
      </w:r>
      <w:proofErr w:type="spellStart"/>
      <w:r w:rsidR="006E349E">
        <w:rPr>
          <w:rFonts w:ascii="Book Antiqua" w:eastAsia="Book Antiqua" w:hAnsi="Book Antiqua" w:cs="Book Antiqua"/>
          <w:color w:val="000000"/>
        </w:rPr>
        <w:t>Schuppan</w:t>
      </w:r>
      <w:proofErr w:type="spellEnd"/>
      <w:r w:rsidR="006E349E">
        <w:rPr>
          <w:rFonts w:ascii="Book Antiqua" w:eastAsia="Book Antiqua" w:hAnsi="Book Antiqua" w:cs="Book Antiqua"/>
          <w:color w:val="000000"/>
        </w:rPr>
        <w:t xml:space="preserve"> D, Kelly CP. A simple validated gluten-free diet adherence survey for adults with celiac disease. </w:t>
      </w:r>
      <w:r w:rsidR="006E349E">
        <w:rPr>
          <w:rFonts w:ascii="Book Antiqua" w:eastAsia="Book Antiqua" w:hAnsi="Book Antiqua" w:cs="Book Antiqua"/>
          <w:i/>
          <w:iCs/>
          <w:color w:val="000000"/>
        </w:rPr>
        <w:t>Clin Gastroenterol Hepatol</w:t>
      </w:r>
      <w:r w:rsidR="006E349E">
        <w:rPr>
          <w:rFonts w:ascii="Book Antiqua" w:eastAsia="Book Antiqua" w:hAnsi="Book Antiqua" w:cs="Book Antiqua"/>
          <w:color w:val="000000"/>
        </w:rPr>
        <w:t xml:space="preserve"> 2009; </w:t>
      </w:r>
      <w:r w:rsidR="006E349E">
        <w:rPr>
          <w:rFonts w:ascii="Book Antiqua" w:eastAsia="Book Antiqua" w:hAnsi="Book Antiqua" w:cs="Book Antiqua"/>
          <w:b/>
          <w:bCs/>
          <w:color w:val="000000"/>
        </w:rPr>
        <w:t>7</w:t>
      </w:r>
      <w:r w:rsidR="006E349E">
        <w:rPr>
          <w:rFonts w:ascii="Book Antiqua" w:eastAsia="Book Antiqua" w:hAnsi="Book Antiqua" w:cs="Book Antiqua"/>
          <w:color w:val="000000"/>
        </w:rPr>
        <w:t>: 530-536, 536.e1-536.e2 [PMID: 19268725 DOI: 10.1016/j.cgh.2008.12.032]</w:t>
      </w:r>
    </w:p>
    <w:p w14:paraId="4F9E3F24" w14:textId="0603E890" w:rsidR="00A77B3E" w:rsidRDefault="00A001E5">
      <w:pPr>
        <w:spacing w:line="360" w:lineRule="auto"/>
        <w:jc w:val="both"/>
      </w:pPr>
      <w:r>
        <w:rPr>
          <w:rFonts w:ascii="Book Antiqua" w:eastAsia="Book Antiqua" w:hAnsi="Book Antiqua" w:cs="Book Antiqua"/>
          <w:color w:val="000000"/>
        </w:rPr>
        <w:t xml:space="preserve">10 </w:t>
      </w:r>
      <w:r w:rsidR="006E349E">
        <w:rPr>
          <w:rFonts w:ascii="Book Antiqua" w:eastAsia="Book Antiqua" w:hAnsi="Book Antiqua" w:cs="Book Antiqua"/>
          <w:b/>
          <w:bCs/>
          <w:color w:val="000000"/>
        </w:rPr>
        <w:t>Silvester JA</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Kurada</w:t>
      </w:r>
      <w:proofErr w:type="spellEnd"/>
      <w:r w:rsidR="006E349E">
        <w:rPr>
          <w:rFonts w:ascii="Book Antiqua" w:eastAsia="Book Antiqua" w:hAnsi="Book Antiqua" w:cs="Book Antiqua"/>
          <w:color w:val="000000"/>
        </w:rPr>
        <w:t xml:space="preserve"> S, </w:t>
      </w:r>
      <w:proofErr w:type="spellStart"/>
      <w:r w:rsidR="006E349E">
        <w:rPr>
          <w:rFonts w:ascii="Book Antiqua" w:eastAsia="Book Antiqua" w:hAnsi="Book Antiqua" w:cs="Book Antiqua"/>
          <w:color w:val="000000"/>
        </w:rPr>
        <w:t>Szwajcer</w:t>
      </w:r>
      <w:proofErr w:type="spellEnd"/>
      <w:r w:rsidR="006E349E">
        <w:rPr>
          <w:rFonts w:ascii="Book Antiqua" w:eastAsia="Book Antiqua" w:hAnsi="Book Antiqua" w:cs="Book Antiqua"/>
          <w:color w:val="000000"/>
        </w:rPr>
        <w:t xml:space="preserve"> A, Kelly CP, Leffler DA, </w:t>
      </w:r>
      <w:proofErr w:type="spellStart"/>
      <w:r w:rsidR="006E349E">
        <w:rPr>
          <w:rFonts w:ascii="Book Antiqua" w:eastAsia="Book Antiqua" w:hAnsi="Book Antiqua" w:cs="Book Antiqua"/>
          <w:color w:val="000000"/>
        </w:rPr>
        <w:t>Duerksen</w:t>
      </w:r>
      <w:proofErr w:type="spellEnd"/>
      <w:r w:rsidR="006E349E">
        <w:rPr>
          <w:rFonts w:ascii="Book Antiqua" w:eastAsia="Book Antiqua" w:hAnsi="Book Antiqua" w:cs="Book Antiqua"/>
          <w:color w:val="000000"/>
        </w:rPr>
        <w:t xml:space="preserve"> DR. Tests for Serum Transglutaminase and </w:t>
      </w:r>
      <w:proofErr w:type="spellStart"/>
      <w:r w:rsidR="006E349E">
        <w:rPr>
          <w:rFonts w:ascii="Book Antiqua" w:eastAsia="Book Antiqua" w:hAnsi="Book Antiqua" w:cs="Book Antiqua"/>
          <w:color w:val="000000"/>
        </w:rPr>
        <w:t>Endomysial</w:t>
      </w:r>
      <w:proofErr w:type="spellEnd"/>
      <w:r w:rsidR="006E349E">
        <w:rPr>
          <w:rFonts w:ascii="Book Antiqua" w:eastAsia="Book Antiqua" w:hAnsi="Book Antiqua" w:cs="Book Antiqua"/>
          <w:color w:val="000000"/>
        </w:rPr>
        <w:t xml:space="preserve"> Antibodies Do Not Detect Most Patients With Celiac Disease and Persistent Villous Atrophy on Gluten-free Diets: a Meta-analysis. </w:t>
      </w:r>
      <w:r w:rsidR="006E349E">
        <w:rPr>
          <w:rFonts w:ascii="Book Antiqua" w:eastAsia="Book Antiqua" w:hAnsi="Book Antiqua" w:cs="Book Antiqua"/>
          <w:i/>
          <w:iCs/>
          <w:color w:val="000000"/>
        </w:rPr>
        <w:t>Gastroenterology</w:t>
      </w:r>
      <w:r w:rsidR="006E349E">
        <w:rPr>
          <w:rFonts w:ascii="Book Antiqua" w:eastAsia="Book Antiqua" w:hAnsi="Book Antiqua" w:cs="Book Antiqua"/>
          <w:color w:val="000000"/>
        </w:rPr>
        <w:t xml:space="preserve"> 2017; </w:t>
      </w:r>
      <w:r w:rsidR="006E349E">
        <w:rPr>
          <w:rFonts w:ascii="Book Antiqua" w:eastAsia="Book Antiqua" w:hAnsi="Book Antiqua" w:cs="Book Antiqua"/>
          <w:b/>
          <w:bCs/>
          <w:color w:val="000000"/>
        </w:rPr>
        <w:t>153</w:t>
      </w:r>
      <w:r w:rsidR="006E349E">
        <w:rPr>
          <w:rFonts w:ascii="Book Antiqua" w:eastAsia="Book Antiqua" w:hAnsi="Book Antiqua" w:cs="Book Antiqua"/>
          <w:color w:val="000000"/>
        </w:rPr>
        <w:t>: 689-701.e1 [PMID: 28545781 DOI: 10.1053/j.gastro.2017.05.015]</w:t>
      </w:r>
    </w:p>
    <w:p w14:paraId="04E93088" w14:textId="5EFD9914" w:rsidR="00A77B3E" w:rsidRDefault="00A001E5">
      <w:pPr>
        <w:spacing w:line="360" w:lineRule="auto"/>
        <w:jc w:val="both"/>
      </w:pPr>
      <w:r>
        <w:rPr>
          <w:rFonts w:ascii="Book Antiqua" w:eastAsia="Book Antiqua" w:hAnsi="Book Antiqua" w:cs="Book Antiqua"/>
          <w:color w:val="000000"/>
        </w:rPr>
        <w:t xml:space="preserve">11 </w:t>
      </w:r>
      <w:proofErr w:type="spellStart"/>
      <w:r w:rsidR="006E349E">
        <w:rPr>
          <w:rFonts w:ascii="Book Antiqua" w:eastAsia="Book Antiqua" w:hAnsi="Book Antiqua" w:cs="Book Antiqua"/>
          <w:b/>
          <w:bCs/>
          <w:color w:val="000000"/>
        </w:rPr>
        <w:t>Gidrewicz</w:t>
      </w:r>
      <w:proofErr w:type="spellEnd"/>
      <w:r w:rsidR="006E349E">
        <w:rPr>
          <w:rFonts w:ascii="Book Antiqua" w:eastAsia="Book Antiqua" w:hAnsi="Book Antiqua" w:cs="Book Antiqua"/>
          <w:b/>
          <w:bCs/>
          <w:color w:val="000000"/>
        </w:rPr>
        <w:t xml:space="preserve"> D</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Trevenen</w:t>
      </w:r>
      <w:proofErr w:type="spellEnd"/>
      <w:r w:rsidR="006E349E">
        <w:rPr>
          <w:rFonts w:ascii="Book Antiqua" w:eastAsia="Book Antiqua" w:hAnsi="Book Antiqua" w:cs="Book Antiqua"/>
          <w:color w:val="000000"/>
        </w:rPr>
        <w:t xml:space="preserve"> CL, Lyon M, </w:t>
      </w:r>
      <w:proofErr w:type="spellStart"/>
      <w:r w:rsidR="006E349E">
        <w:rPr>
          <w:rFonts w:ascii="Book Antiqua" w:eastAsia="Book Antiqua" w:hAnsi="Book Antiqua" w:cs="Book Antiqua"/>
          <w:color w:val="000000"/>
        </w:rPr>
        <w:t>Butzner</w:t>
      </w:r>
      <w:proofErr w:type="spellEnd"/>
      <w:r w:rsidR="006E349E">
        <w:rPr>
          <w:rFonts w:ascii="Book Antiqua" w:eastAsia="Book Antiqua" w:hAnsi="Book Antiqua" w:cs="Book Antiqua"/>
          <w:color w:val="000000"/>
        </w:rPr>
        <w:t xml:space="preserve"> JD. Normalization Time of Celiac Serology in Children on a Gluten-free Diet.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i/>
          <w:iCs/>
          <w:color w:val="000000"/>
        </w:rPr>
        <w:t xml:space="preserve"> Gastroenterol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2017; </w:t>
      </w:r>
      <w:r w:rsidR="006E349E">
        <w:rPr>
          <w:rFonts w:ascii="Book Antiqua" w:eastAsia="Book Antiqua" w:hAnsi="Book Antiqua" w:cs="Book Antiqua"/>
          <w:b/>
          <w:bCs/>
          <w:color w:val="000000"/>
        </w:rPr>
        <w:t>64</w:t>
      </w:r>
      <w:r w:rsidR="006E349E">
        <w:rPr>
          <w:rFonts w:ascii="Book Antiqua" w:eastAsia="Book Antiqua" w:hAnsi="Book Antiqua" w:cs="Book Antiqua"/>
          <w:color w:val="000000"/>
        </w:rPr>
        <w:t>: 362-367 [PMID: 28231071 DOI: 10.1097/MPG.0000000000001270]</w:t>
      </w:r>
    </w:p>
    <w:p w14:paraId="00F78CD4" w14:textId="41E67A05" w:rsidR="00A77B3E" w:rsidRDefault="00A001E5">
      <w:pPr>
        <w:spacing w:line="360" w:lineRule="auto"/>
        <w:jc w:val="both"/>
      </w:pPr>
      <w:r>
        <w:rPr>
          <w:rFonts w:ascii="Book Antiqua" w:eastAsia="Book Antiqua" w:hAnsi="Book Antiqua" w:cs="Book Antiqua"/>
          <w:color w:val="000000"/>
        </w:rPr>
        <w:t xml:space="preserve">12 </w:t>
      </w:r>
      <w:r w:rsidR="006E349E">
        <w:rPr>
          <w:rFonts w:ascii="Book Antiqua" w:eastAsia="Book Antiqua" w:hAnsi="Book Antiqua" w:cs="Book Antiqua"/>
          <w:b/>
          <w:bCs/>
          <w:color w:val="000000"/>
        </w:rPr>
        <w:t>Isaac DM</w:t>
      </w:r>
      <w:r w:rsidR="006E349E">
        <w:rPr>
          <w:rFonts w:ascii="Book Antiqua" w:eastAsia="Book Antiqua" w:hAnsi="Book Antiqua" w:cs="Book Antiqua"/>
          <w:color w:val="000000"/>
        </w:rPr>
        <w:t xml:space="preserve">, Rajani S, </w:t>
      </w:r>
      <w:proofErr w:type="spellStart"/>
      <w:r w:rsidR="006E349E">
        <w:rPr>
          <w:rFonts w:ascii="Book Antiqua" w:eastAsia="Book Antiqua" w:hAnsi="Book Antiqua" w:cs="Book Antiqua"/>
          <w:color w:val="000000"/>
        </w:rPr>
        <w:t>Yaskina</w:t>
      </w:r>
      <w:proofErr w:type="spellEnd"/>
      <w:r w:rsidR="006E349E">
        <w:rPr>
          <w:rFonts w:ascii="Book Antiqua" w:eastAsia="Book Antiqua" w:hAnsi="Book Antiqua" w:cs="Book Antiqua"/>
          <w:color w:val="000000"/>
        </w:rPr>
        <w:t xml:space="preserve"> M, Huynh HQ, Turner JM. Antitissue Transglutaminase Normalization Postdiagnosis in Children </w:t>
      </w:r>
      <w:proofErr w:type="gramStart"/>
      <w:r w:rsidR="006E349E">
        <w:rPr>
          <w:rFonts w:ascii="Book Antiqua" w:eastAsia="Book Antiqua" w:hAnsi="Book Antiqua" w:cs="Book Antiqua"/>
          <w:color w:val="000000"/>
        </w:rPr>
        <w:t>With</w:t>
      </w:r>
      <w:proofErr w:type="gramEnd"/>
      <w:r w:rsidR="006E349E">
        <w:rPr>
          <w:rFonts w:ascii="Book Antiqua" w:eastAsia="Book Antiqua" w:hAnsi="Book Antiqua" w:cs="Book Antiqua"/>
          <w:color w:val="000000"/>
        </w:rPr>
        <w:t xml:space="preserve"> Celiac Disease.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i/>
          <w:iCs/>
          <w:color w:val="000000"/>
        </w:rPr>
        <w:t xml:space="preserve"> Gastroenterol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2017; </w:t>
      </w:r>
      <w:r w:rsidR="006E349E">
        <w:rPr>
          <w:rFonts w:ascii="Book Antiqua" w:eastAsia="Book Antiqua" w:hAnsi="Book Antiqua" w:cs="Book Antiqua"/>
          <w:b/>
          <w:bCs/>
          <w:color w:val="000000"/>
        </w:rPr>
        <w:t>65</w:t>
      </w:r>
      <w:r w:rsidR="006E349E">
        <w:rPr>
          <w:rFonts w:ascii="Book Antiqua" w:eastAsia="Book Antiqua" w:hAnsi="Book Antiqua" w:cs="Book Antiqua"/>
          <w:color w:val="000000"/>
        </w:rPr>
        <w:t>: 195-199 [PMID: 27906802 DOI: 10.1097/MPG.0000000000001480]</w:t>
      </w:r>
    </w:p>
    <w:p w14:paraId="33E25611" w14:textId="41E3DEEB" w:rsidR="00A77B3E" w:rsidRDefault="00A001E5">
      <w:pPr>
        <w:spacing w:line="360" w:lineRule="auto"/>
        <w:jc w:val="both"/>
      </w:pPr>
      <w:r>
        <w:rPr>
          <w:rFonts w:ascii="Book Antiqua" w:eastAsia="Book Antiqua" w:hAnsi="Book Antiqua" w:cs="Book Antiqua"/>
          <w:color w:val="000000"/>
        </w:rPr>
        <w:t xml:space="preserve">13 </w:t>
      </w:r>
      <w:proofErr w:type="spellStart"/>
      <w:r w:rsidR="006E349E">
        <w:rPr>
          <w:rFonts w:ascii="Book Antiqua" w:eastAsia="Book Antiqua" w:hAnsi="Book Antiqua" w:cs="Book Antiqua"/>
          <w:b/>
          <w:bCs/>
          <w:color w:val="000000"/>
        </w:rPr>
        <w:t>Makovicky</w:t>
      </w:r>
      <w:proofErr w:type="spellEnd"/>
      <w:r w:rsidR="006E349E">
        <w:rPr>
          <w:rFonts w:ascii="Book Antiqua" w:eastAsia="Book Antiqua" w:hAnsi="Book Antiqua" w:cs="Book Antiqua"/>
          <w:b/>
          <w:bCs/>
          <w:color w:val="000000"/>
        </w:rPr>
        <w:t xml:space="preserve"> P</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Rimarova</w:t>
      </w:r>
      <w:proofErr w:type="spellEnd"/>
      <w:r w:rsidR="006E349E">
        <w:rPr>
          <w:rFonts w:ascii="Book Antiqua" w:eastAsia="Book Antiqua" w:hAnsi="Book Antiqua" w:cs="Book Antiqua"/>
          <w:color w:val="000000"/>
        </w:rPr>
        <w:t xml:space="preserve"> K, Boor A, </w:t>
      </w:r>
      <w:proofErr w:type="spellStart"/>
      <w:r w:rsidR="006E349E">
        <w:rPr>
          <w:rFonts w:ascii="Book Antiqua" w:eastAsia="Book Antiqua" w:hAnsi="Book Antiqua" w:cs="Book Antiqua"/>
          <w:color w:val="000000"/>
        </w:rPr>
        <w:t>Makovicky</w:t>
      </w:r>
      <w:proofErr w:type="spellEnd"/>
      <w:r w:rsidR="006E349E">
        <w:rPr>
          <w:rFonts w:ascii="Book Antiqua" w:eastAsia="Book Antiqua" w:hAnsi="Book Antiqua" w:cs="Book Antiqua"/>
          <w:color w:val="000000"/>
        </w:rPr>
        <w:t xml:space="preserve"> P, </w:t>
      </w:r>
      <w:proofErr w:type="spellStart"/>
      <w:r w:rsidR="006E349E">
        <w:rPr>
          <w:rFonts w:ascii="Book Antiqua" w:eastAsia="Book Antiqua" w:hAnsi="Book Antiqua" w:cs="Book Antiqua"/>
          <w:color w:val="000000"/>
        </w:rPr>
        <w:t>Vodicka</w:t>
      </w:r>
      <w:proofErr w:type="spellEnd"/>
      <w:r w:rsidR="006E349E">
        <w:rPr>
          <w:rFonts w:ascii="Book Antiqua" w:eastAsia="Book Antiqua" w:hAnsi="Book Antiqua" w:cs="Book Antiqua"/>
          <w:color w:val="000000"/>
        </w:rPr>
        <w:t xml:space="preserve"> P, </w:t>
      </w:r>
      <w:proofErr w:type="spellStart"/>
      <w:r w:rsidR="006E349E">
        <w:rPr>
          <w:rFonts w:ascii="Book Antiqua" w:eastAsia="Book Antiqua" w:hAnsi="Book Antiqua" w:cs="Book Antiqua"/>
          <w:color w:val="000000"/>
        </w:rPr>
        <w:t>Samasca</w:t>
      </w:r>
      <w:proofErr w:type="spellEnd"/>
      <w:r w:rsidR="006E349E">
        <w:rPr>
          <w:rFonts w:ascii="Book Antiqua" w:eastAsia="Book Antiqua" w:hAnsi="Book Antiqua" w:cs="Book Antiqua"/>
          <w:color w:val="000000"/>
        </w:rPr>
        <w:t xml:space="preserve"> G, </w:t>
      </w:r>
      <w:proofErr w:type="spellStart"/>
      <w:r w:rsidR="006E349E">
        <w:rPr>
          <w:rFonts w:ascii="Book Antiqua" w:eastAsia="Book Antiqua" w:hAnsi="Book Antiqua" w:cs="Book Antiqua"/>
          <w:color w:val="000000"/>
        </w:rPr>
        <w:t>Kruzliak</w:t>
      </w:r>
      <w:proofErr w:type="spellEnd"/>
      <w:r w:rsidR="006E349E">
        <w:rPr>
          <w:rFonts w:ascii="Book Antiqua" w:eastAsia="Book Antiqua" w:hAnsi="Book Antiqua" w:cs="Book Antiqua"/>
          <w:color w:val="000000"/>
        </w:rPr>
        <w:t xml:space="preserve"> P. Correlation between antibodies and histology in celiac disease: incidence of celiac disease is higher than expected in the pediatric population. </w:t>
      </w:r>
      <w:r w:rsidR="006E349E">
        <w:rPr>
          <w:rFonts w:ascii="Book Antiqua" w:eastAsia="Book Antiqua" w:hAnsi="Book Antiqua" w:cs="Book Antiqua"/>
          <w:i/>
          <w:iCs/>
          <w:color w:val="000000"/>
        </w:rPr>
        <w:t>Mol Med Rep</w:t>
      </w:r>
      <w:r w:rsidR="006E349E">
        <w:rPr>
          <w:rFonts w:ascii="Book Antiqua" w:eastAsia="Book Antiqua" w:hAnsi="Book Antiqua" w:cs="Book Antiqua"/>
          <w:color w:val="000000"/>
        </w:rPr>
        <w:t xml:space="preserve"> 2013; </w:t>
      </w:r>
      <w:r w:rsidR="006E349E">
        <w:rPr>
          <w:rFonts w:ascii="Book Antiqua" w:eastAsia="Book Antiqua" w:hAnsi="Book Antiqua" w:cs="Book Antiqua"/>
          <w:b/>
          <w:bCs/>
          <w:color w:val="000000"/>
        </w:rPr>
        <w:t>8</w:t>
      </w:r>
      <w:r w:rsidR="006E349E">
        <w:rPr>
          <w:rFonts w:ascii="Book Antiqua" w:eastAsia="Book Antiqua" w:hAnsi="Book Antiqua" w:cs="Book Antiqua"/>
          <w:color w:val="000000"/>
        </w:rPr>
        <w:t>: 1079-1083 [PMID: 23942815 DOI: 10.3892/mmr.2013.1627]</w:t>
      </w:r>
    </w:p>
    <w:p w14:paraId="0D0C94BC" w14:textId="5DEBB3B0" w:rsidR="00A77B3E" w:rsidRDefault="00A001E5">
      <w:pPr>
        <w:spacing w:line="360" w:lineRule="auto"/>
        <w:jc w:val="both"/>
      </w:pPr>
      <w:r>
        <w:rPr>
          <w:rFonts w:ascii="Book Antiqua" w:eastAsia="Book Antiqua" w:hAnsi="Book Antiqua" w:cs="Book Antiqua"/>
          <w:color w:val="000000"/>
        </w:rPr>
        <w:lastRenderedPageBreak/>
        <w:t xml:space="preserve">14 </w:t>
      </w:r>
      <w:proofErr w:type="spellStart"/>
      <w:r w:rsidR="006E349E">
        <w:rPr>
          <w:rFonts w:ascii="Book Antiqua" w:eastAsia="Book Antiqua" w:hAnsi="Book Antiqua" w:cs="Book Antiqua"/>
          <w:b/>
          <w:bCs/>
          <w:color w:val="000000"/>
        </w:rPr>
        <w:t>Korterink</w:t>
      </w:r>
      <w:proofErr w:type="spellEnd"/>
      <w:r w:rsidR="006E349E">
        <w:rPr>
          <w:rFonts w:ascii="Book Antiqua" w:eastAsia="Book Antiqua" w:hAnsi="Book Antiqua" w:cs="Book Antiqua"/>
          <w:b/>
          <w:bCs/>
          <w:color w:val="000000"/>
        </w:rPr>
        <w:t xml:space="preserve"> JJ</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Diederen</w:t>
      </w:r>
      <w:proofErr w:type="spellEnd"/>
      <w:r w:rsidR="006E349E">
        <w:rPr>
          <w:rFonts w:ascii="Book Antiqua" w:eastAsia="Book Antiqua" w:hAnsi="Book Antiqua" w:cs="Book Antiqua"/>
          <w:color w:val="000000"/>
        </w:rPr>
        <w:t xml:space="preserve"> K, </w:t>
      </w:r>
      <w:proofErr w:type="spellStart"/>
      <w:r w:rsidR="006E349E">
        <w:rPr>
          <w:rFonts w:ascii="Book Antiqua" w:eastAsia="Book Antiqua" w:hAnsi="Book Antiqua" w:cs="Book Antiqua"/>
          <w:color w:val="000000"/>
        </w:rPr>
        <w:t>Benninga</w:t>
      </w:r>
      <w:proofErr w:type="spellEnd"/>
      <w:r w:rsidR="006E349E">
        <w:rPr>
          <w:rFonts w:ascii="Book Antiqua" w:eastAsia="Book Antiqua" w:hAnsi="Book Antiqua" w:cs="Book Antiqua"/>
          <w:color w:val="000000"/>
        </w:rPr>
        <w:t xml:space="preserve"> MA, Tabbers MM. Epidemiology of pediatric functional abdominal pain disorders: a meta-analysis. </w:t>
      </w:r>
      <w:proofErr w:type="spellStart"/>
      <w:r w:rsidR="006E349E">
        <w:rPr>
          <w:rFonts w:ascii="Book Antiqua" w:eastAsia="Book Antiqua" w:hAnsi="Book Antiqua" w:cs="Book Antiqua"/>
          <w:i/>
          <w:iCs/>
          <w:color w:val="000000"/>
        </w:rPr>
        <w:t>PLoS</w:t>
      </w:r>
      <w:proofErr w:type="spellEnd"/>
      <w:r w:rsidR="006E349E">
        <w:rPr>
          <w:rFonts w:ascii="Book Antiqua" w:eastAsia="Book Antiqua" w:hAnsi="Book Antiqua" w:cs="Book Antiqua"/>
          <w:i/>
          <w:iCs/>
          <w:color w:val="000000"/>
        </w:rPr>
        <w:t xml:space="preserve"> One</w:t>
      </w:r>
      <w:r w:rsidR="006E349E">
        <w:rPr>
          <w:rFonts w:ascii="Book Antiqua" w:eastAsia="Book Antiqua" w:hAnsi="Book Antiqua" w:cs="Book Antiqua"/>
          <w:color w:val="000000"/>
        </w:rPr>
        <w:t xml:space="preserve"> 2015; </w:t>
      </w:r>
      <w:r w:rsidR="006E349E">
        <w:rPr>
          <w:rFonts w:ascii="Book Antiqua" w:eastAsia="Book Antiqua" w:hAnsi="Book Antiqua" w:cs="Book Antiqua"/>
          <w:b/>
          <w:bCs/>
          <w:color w:val="000000"/>
        </w:rPr>
        <w:t>10</w:t>
      </w:r>
      <w:r w:rsidR="006E349E">
        <w:rPr>
          <w:rFonts w:ascii="Book Antiqua" w:eastAsia="Book Antiqua" w:hAnsi="Book Antiqua" w:cs="Book Antiqua"/>
          <w:color w:val="000000"/>
        </w:rPr>
        <w:t>: e0126982 [PMID: 25992621 DOI: 10.1371/journal.pone.0126982]</w:t>
      </w:r>
    </w:p>
    <w:p w14:paraId="36B2A503" w14:textId="36594A5E" w:rsidR="00A77B3E" w:rsidRDefault="00A001E5">
      <w:pPr>
        <w:spacing w:line="360" w:lineRule="auto"/>
        <w:jc w:val="both"/>
      </w:pPr>
      <w:r>
        <w:rPr>
          <w:rFonts w:ascii="Book Antiqua" w:eastAsia="Book Antiqua" w:hAnsi="Book Antiqua" w:cs="Book Antiqua"/>
          <w:color w:val="000000"/>
        </w:rPr>
        <w:t xml:space="preserve">15 </w:t>
      </w:r>
      <w:proofErr w:type="spellStart"/>
      <w:r w:rsidR="006E349E">
        <w:rPr>
          <w:rFonts w:ascii="Book Antiqua" w:eastAsia="Book Antiqua" w:hAnsi="Book Antiqua" w:cs="Book Antiqua"/>
          <w:b/>
          <w:bCs/>
          <w:color w:val="000000"/>
        </w:rPr>
        <w:t>Hyams</w:t>
      </w:r>
      <w:proofErr w:type="spellEnd"/>
      <w:r w:rsidR="006E349E">
        <w:rPr>
          <w:rFonts w:ascii="Book Antiqua" w:eastAsia="Book Antiqua" w:hAnsi="Book Antiqua" w:cs="Book Antiqua"/>
          <w:b/>
          <w:bCs/>
          <w:color w:val="000000"/>
        </w:rPr>
        <w:t xml:space="preserve"> JS</w:t>
      </w:r>
      <w:r w:rsidR="006E349E">
        <w:rPr>
          <w:rFonts w:ascii="Book Antiqua" w:eastAsia="Book Antiqua" w:hAnsi="Book Antiqua" w:cs="Book Antiqua"/>
          <w:color w:val="000000"/>
        </w:rPr>
        <w:t xml:space="preserve">, Di Lorenzo C, Saps M, Shulman RJ, </w:t>
      </w:r>
      <w:proofErr w:type="spellStart"/>
      <w:r w:rsidR="006E349E">
        <w:rPr>
          <w:rFonts w:ascii="Book Antiqua" w:eastAsia="Book Antiqua" w:hAnsi="Book Antiqua" w:cs="Book Antiqua"/>
          <w:color w:val="000000"/>
        </w:rPr>
        <w:t>Staiano</w:t>
      </w:r>
      <w:proofErr w:type="spellEnd"/>
      <w:r w:rsidR="006E349E">
        <w:rPr>
          <w:rFonts w:ascii="Book Antiqua" w:eastAsia="Book Antiqua" w:hAnsi="Book Antiqua" w:cs="Book Antiqua"/>
          <w:color w:val="000000"/>
        </w:rPr>
        <w:t xml:space="preserve"> A, van Tilburg M. Functional Disorders: Children and Adolescents. </w:t>
      </w:r>
      <w:r w:rsidR="006E349E">
        <w:rPr>
          <w:rFonts w:ascii="Book Antiqua" w:eastAsia="Book Antiqua" w:hAnsi="Book Antiqua" w:cs="Book Antiqua"/>
          <w:i/>
          <w:iCs/>
          <w:color w:val="000000"/>
        </w:rPr>
        <w:t>Gastroenterology</w:t>
      </w:r>
      <w:r w:rsidR="006E349E">
        <w:rPr>
          <w:rFonts w:ascii="Book Antiqua" w:eastAsia="Book Antiqua" w:hAnsi="Book Antiqua" w:cs="Book Antiqua"/>
          <w:color w:val="000000"/>
        </w:rPr>
        <w:t xml:space="preserve"> 2016 [PMID: 27144632 DOI: 10.1053/j.gastro.2016.02.015]</w:t>
      </w:r>
    </w:p>
    <w:p w14:paraId="7E712277" w14:textId="1A86D36A" w:rsidR="00A77B3E" w:rsidRDefault="00A001E5">
      <w:pPr>
        <w:spacing w:line="360" w:lineRule="auto"/>
        <w:jc w:val="both"/>
      </w:pPr>
      <w:r>
        <w:rPr>
          <w:rFonts w:ascii="Book Antiqua" w:eastAsia="Book Antiqua" w:hAnsi="Book Antiqua" w:cs="Book Antiqua"/>
          <w:color w:val="000000"/>
        </w:rPr>
        <w:t xml:space="preserve">16 </w:t>
      </w:r>
      <w:r w:rsidR="006E349E">
        <w:rPr>
          <w:rFonts w:ascii="Book Antiqua" w:eastAsia="Book Antiqua" w:hAnsi="Book Antiqua" w:cs="Book Antiqua"/>
          <w:b/>
          <w:bCs/>
          <w:color w:val="000000"/>
        </w:rPr>
        <w:t>Jericho H</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Sansotta</w:t>
      </w:r>
      <w:proofErr w:type="spellEnd"/>
      <w:r w:rsidR="006E349E">
        <w:rPr>
          <w:rFonts w:ascii="Book Antiqua" w:eastAsia="Book Antiqua" w:hAnsi="Book Antiqua" w:cs="Book Antiqua"/>
          <w:color w:val="000000"/>
        </w:rPr>
        <w:t xml:space="preserve"> N, </w:t>
      </w:r>
      <w:proofErr w:type="spellStart"/>
      <w:r w:rsidR="006E349E">
        <w:rPr>
          <w:rFonts w:ascii="Book Antiqua" w:eastAsia="Book Antiqua" w:hAnsi="Book Antiqua" w:cs="Book Antiqua"/>
          <w:color w:val="000000"/>
        </w:rPr>
        <w:t>Guandalini</w:t>
      </w:r>
      <w:proofErr w:type="spellEnd"/>
      <w:r w:rsidR="006E349E">
        <w:rPr>
          <w:rFonts w:ascii="Book Antiqua" w:eastAsia="Book Antiqua" w:hAnsi="Book Antiqua" w:cs="Book Antiqua"/>
          <w:color w:val="000000"/>
        </w:rPr>
        <w:t xml:space="preserve"> S. Extraintestinal Manifestations of Celiac Disease: Effectiveness of the Gluten-Free Diet.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i/>
          <w:iCs/>
          <w:color w:val="000000"/>
        </w:rPr>
        <w:t xml:space="preserve"> Gastroenterol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2017; </w:t>
      </w:r>
      <w:r w:rsidR="006E349E">
        <w:rPr>
          <w:rFonts w:ascii="Book Antiqua" w:eastAsia="Book Antiqua" w:hAnsi="Book Antiqua" w:cs="Book Antiqua"/>
          <w:b/>
          <w:bCs/>
          <w:color w:val="000000"/>
        </w:rPr>
        <w:t>65</w:t>
      </w:r>
      <w:r w:rsidR="006E349E">
        <w:rPr>
          <w:rFonts w:ascii="Book Antiqua" w:eastAsia="Book Antiqua" w:hAnsi="Book Antiqua" w:cs="Book Antiqua"/>
          <w:color w:val="000000"/>
        </w:rPr>
        <w:t>: 75-79 [PMID: 28644353 DOI: 10.1097/MPG.0000000000001420]</w:t>
      </w:r>
    </w:p>
    <w:p w14:paraId="55442491" w14:textId="41694620" w:rsidR="00A77B3E" w:rsidRDefault="00A001E5">
      <w:pPr>
        <w:spacing w:line="360" w:lineRule="auto"/>
        <w:jc w:val="both"/>
      </w:pPr>
      <w:r>
        <w:rPr>
          <w:rFonts w:ascii="Book Antiqua" w:eastAsia="Book Antiqua" w:hAnsi="Book Antiqua" w:cs="Book Antiqua"/>
          <w:color w:val="000000"/>
        </w:rPr>
        <w:t xml:space="preserve">17 </w:t>
      </w:r>
      <w:r w:rsidR="006E349E">
        <w:rPr>
          <w:rFonts w:ascii="Book Antiqua" w:eastAsia="Book Antiqua" w:hAnsi="Book Antiqua" w:cs="Book Antiqua"/>
          <w:b/>
          <w:bCs/>
          <w:color w:val="000000"/>
        </w:rPr>
        <w:t>Comino I</w:t>
      </w:r>
      <w:r w:rsidR="006E349E">
        <w:rPr>
          <w:rFonts w:ascii="Book Antiqua" w:eastAsia="Book Antiqua" w:hAnsi="Book Antiqua" w:cs="Book Antiqua"/>
          <w:color w:val="000000"/>
        </w:rPr>
        <w:t>, Fernández-</w:t>
      </w:r>
      <w:proofErr w:type="spellStart"/>
      <w:r w:rsidR="006E349E">
        <w:rPr>
          <w:rFonts w:ascii="Book Antiqua" w:eastAsia="Book Antiqua" w:hAnsi="Book Antiqua" w:cs="Book Antiqua"/>
          <w:color w:val="000000"/>
        </w:rPr>
        <w:t>Bañares</w:t>
      </w:r>
      <w:proofErr w:type="spellEnd"/>
      <w:r w:rsidR="006E349E">
        <w:rPr>
          <w:rFonts w:ascii="Book Antiqua" w:eastAsia="Book Antiqua" w:hAnsi="Book Antiqua" w:cs="Book Antiqua"/>
          <w:color w:val="000000"/>
        </w:rPr>
        <w:t xml:space="preserve"> F, </w:t>
      </w:r>
      <w:proofErr w:type="spellStart"/>
      <w:r w:rsidR="006E349E">
        <w:rPr>
          <w:rFonts w:ascii="Book Antiqua" w:eastAsia="Book Antiqua" w:hAnsi="Book Antiqua" w:cs="Book Antiqua"/>
          <w:color w:val="000000"/>
        </w:rPr>
        <w:t>Esteve</w:t>
      </w:r>
      <w:proofErr w:type="spellEnd"/>
      <w:r w:rsidR="006E349E">
        <w:rPr>
          <w:rFonts w:ascii="Book Antiqua" w:eastAsia="Book Antiqua" w:hAnsi="Book Antiqua" w:cs="Book Antiqua"/>
          <w:color w:val="000000"/>
        </w:rPr>
        <w:t xml:space="preserve"> M, </w:t>
      </w:r>
      <w:proofErr w:type="spellStart"/>
      <w:r w:rsidR="006E349E">
        <w:rPr>
          <w:rFonts w:ascii="Book Antiqua" w:eastAsia="Book Antiqua" w:hAnsi="Book Antiqua" w:cs="Book Antiqua"/>
          <w:color w:val="000000"/>
        </w:rPr>
        <w:t>Ortigosa</w:t>
      </w:r>
      <w:proofErr w:type="spellEnd"/>
      <w:r w:rsidR="006E349E">
        <w:rPr>
          <w:rFonts w:ascii="Book Antiqua" w:eastAsia="Book Antiqua" w:hAnsi="Book Antiqua" w:cs="Book Antiqua"/>
          <w:color w:val="000000"/>
        </w:rPr>
        <w:t xml:space="preserve"> L, </w:t>
      </w:r>
      <w:proofErr w:type="spellStart"/>
      <w:r w:rsidR="006E349E">
        <w:rPr>
          <w:rFonts w:ascii="Book Antiqua" w:eastAsia="Book Antiqua" w:hAnsi="Book Antiqua" w:cs="Book Antiqua"/>
          <w:color w:val="000000"/>
        </w:rPr>
        <w:t>Castillejo</w:t>
      </w:r>
      <w:proofErr w:type="spellEnd"/>
      <w:r w:rsidR="006E349E">
        <w:rPr>
          <w:rFonts w:ascii="Book Antiqua" w:eastAsia="Book Antiqua" w:hAnsi="Book Antiqua" w:cs="Book Antiqua"/>
          <w:color w:val="000000"/>
        </w:rPr>
        <w:t xml:space="preserve"> G, </w:t>
      </w:r>
      <w:proofErr w:type="spellStart"/>
      <w:r w:rsidR="006E349E">
        <w:rPr>
          <w:rFonts w:ascii="Book Antiqua" w:eastAsia="Book Antiqua" w:hAnsi="Book Antiqua" w:cs="Book Antiqua"/>
          <w:color w:val="000000"/>
        </w:rPr>
        <w:t>Fambuena</w:t>
      </w:r>
      <w:proofErr w:type="spellEnd"/>
      <w:r w:rsidR="006E349E">
        <w:rPr>
          <w:rFonts w:ascii="Book Antiqua" w:eastAsia="Book Antiqua" w:hAnsi="Book Antiqua" w:cs="Book Antiqua"/>
          <w:color w:val="000000"/>
        </w:rPr>
        <w:t xml:space="preserve"> B, Ribes-</w:t>
      </w:r>
      <w:proofErr w:type="spellStart"/>
      <w:r w:rsidR="006E349E">
        <w:rPr>
          <w:rFonts w:ascii="Book Antiqua" w:eastAsia="Book Antiqua" w:hAnsi="Book Antiqua" w:cs="Book Antiqua"/>
          <w:color w:val="000000"/>
        </w:rPr>
        <w:t>Koninckx</w:t>
      </w:r>
      <w:proofErr w:type="spellEnd"/>
      <w:r w:rsidR="006E349E">
        <w:rPr>
          <w:rFonts w:ascii="Book Antiqua" w:eastAsia="Book Antiqua" w:hAnsi="Book Antiqua" w:cs="Book Antiqua"/>
          <w:color w:val="000000"/>
        </w:rPr>
        <w:t xml:space="preserve"> C, Sierra C, Rodríguez-Herrera A, Salazar JC, </w:t>
      </w:r>
      <w:proofErr w:type="spellStart"/>
      <w:r w:rsidR="006E349E">
        <w:rPr>
          <w:rFonts w:ascii="Book Antiqua" w:eastAsia="Book Antiqua" w:hAnsi="Book Antiqua" w:cs="Book Antiqua"/>
          <w:color w:val="000000"/>
        </w:rPr>
        <w:t>Caunedo</w:t>
      </w:r>
      <w:proofErr w:type="spellEnd"/>
      <w:r w:rsidR="006E349E">
        <w:rPr>
          <w:rFonts w:ascii="Book Antiqua" w:eastAsia="Book Antiqua" w:hAnsi="Book Antiqua" w:cs="Book Antiqua"/>
          <w:color w:val="000000"/>
        </w:rPr>
        <w:t xml:space="preserve"> Á, </w:t>
      </w:r>
      <w:proofErr w:type="spellStart"/>
      <w:r w:rsidR="006E349E">
        <w:rPr>
          <w:rFonts w:ascii="Book Antiqua" w:eastAsia="Book Antiqua" w:hAnsi="Book Antiqua" w:cs="Book Antiqua"/>
          <w:color w:val="000000"/>
        </w:rPr>
        <w:t>Marugán-Miguelsanz</w:t>
      </w:r>
      <w:proofErr w:type="spellEnd"/>
      <w:r w:rsidR="006E349E">
        <w:rPr>
          <w:rFonts w:ascii="Book Antiqua" w:eastAsia="Book Antiqua" w:hAnsi="Book Antiqua" w:cs="Book Antiqua"/>
          <w:color w:val="000000"/>
        </w:rPr>
        <w:t xml:space="preserve"> JM, Garrote JA, </w:t>
      </w:r>
      <w:proofErr w:type="spellStart"/>
      <w:r w:rsidR="006E349E">
        <w:rPr>
          <w:rFonts w:ascii="Book Antiqua" w:eastAsia="Book Antiqua" w:hAnsi="Book Antiqua" w:cs="Book Antiqua"/>
          <w:color w:val="000000"/>
        </w:rPr>
        <w:t>Vivas</w:t>
      </w:r>
      <w:proofErr w:type="spellEnd"/>
      <w:r w:rsidR="006E349E">
        <w:rPr>
          <w:rFonts w:ascii="Book Antiqua" w:eastAsia="Book Antiqua" w:hAnsi="Book Antiqua" w:cs="Book Antiqua"/>
          <w:color w:val="000000"/>
        </w:rPr>
        <w:t xml:space="preserve"> S, Lo </w:t>
      </w:r>
      <w:proofErr w:type="spellStart"/>
      <w:r w:rsidR="006E349E">
        <w:rPr>
          <w:rFonts w:ascii="Book Antiqua" w:eastAsia="Book Antiqua" w:hAnsi="Book Antiqua" w:cs="Book Antiqua"/>
          <w:color w:val="000000"/>
        </w:rPr>
        <w:t>Iacono</w:t>
      </w:r>
      <w:proofErr w:type="spellEnd"/>
      <w:r w:rsidR="006E349E">
        <w:rPr>
          <w:rFonts w:ascii="Book Antiqua" w:eastAsia="Book Antiqua" w:hAnsi="Book Antiqua" w:cs="Book Antiqua"/>
          <w:color w:val="000000"/>
        </w:rPr>
        <w:t xml:space="preserve"> O, </w:t>
      </w:r>
      <w:proofErr w:type="spellStart"/>
      <w:r w:rsidR="006E349E">
        <w:rPr>
          <w:rFonts w:ascii="Book Antiqua" w:eastAsia="Book Antiqua" w:hAnsi="Book Antiqua" w:cs="Book Antiqua"/>
          <w:color w:val="000000"/>
        </w:rPr>
        <w:t>Nuñez</w:t>
      </w:r>
      <w:proofErr w:type="spellEnd"/>
      <w:r w:rsidR="006E349E">
        <w:rPr>
          <w:rFonts w:ascii="Book Antiqua" w:eastAsia="Book Antiqua" w:hAnsi="Book Antiqua" w:cs="Book Antiqua"/>
          <w:color w:val="000000"/>
        </w:rPr>
        <w:t xml:space="preserve"> A, Vaquero L, Vegas AM, Crespo L, Fernández-Salazar L, </w:t>
      </w:r>
      <w:proofErr w:type="spellStart"/>
      <w:r w:rsidR="006E349E">
        <w:rPr>
          <w:rFonts w:ascii="Book Antiqua" w:eastAsia="Book Antiqua" w:hAnsi="Book Antiqua" w:cs="Book Antiqua"/>
          <w:color w:val="000000"/>
        </w:rPr>
        <w:t>Arranz</w:t>
      </w:r>
      <w:proofErr w:type="spellEnd"/>
      <w:r w:rsidR="006E349E">
        <w:rPr>
          <w:rFonts w:ascii="Book Antiqua" w:eastAsia="Book Antiqua" w:hAnsi="Book Antiqua" w:cs="Book Antiqua"/>
          <w:color w:val="000000"/>
        </w:rPr>
        <w:t xml:space="preserve"> E, Jiménez-García VA, Antonio Montes-Cano M, </w:t>
      </w:r>
      <w:proofErr w:type="spellStart"/>
      <w:r w:rsidR="006E349E">
        <w:rPr>
          <w:rFonts w:ascii="Book Antiqua" w:eastAsia="Book Antiqua" w:hAnsi="Book Antiqua" w:cs="Book Antiqua"/>
          <w:color w:val="000000"/>
        </w:rPr>
        <w:t>Espín</w:t>
      </w:r>
      <w:proofErr w:type="spellEnd"/>
      <w:r w:rsidR="006E349E">
        <w:rPr>
          <w:rFonts w:ascii="Book Antiqua" w:eastAsia="Book Antiqua" w:hAnsi="Book Antiqua" w:cs="Book Antiqua"/>
          <w:color w:val="000000"/>
        </w:rPr>
        <w:t xml:space="preserve"> B, Galera A, Valverde J, </w:t>
      </w:r>
      <w:proofErr w:type="spellStart"/>
      <w:r w:rsidR="006E349E">
        <w:rPr>
          <w:rFonts w:ascii="Book Antiqua" w:eastAsia="Book Antiqua" w:hAnsi="Book Antiqua" w:cs="Book Antiqua"/>
          <w:color w:val="000000"/>
        </w:rPr>
        <w:t>Girón</w:t>
      </w:r>
      <w:proofErr w:type="spellEnd"/>
      <w:r w:rsidR="006E349E">
        <w:rPr>
          <w:rFonts w:ascii="Book Antiqua" w:eastAsia="Book Antiqua" w:hAnsi="Book Antiqua" w:cs="Book Antiqua"/>
          <w:color w:val="000000"/>
        </w:rPr>
        <w:t xml:space="preserve"> FJ, </w:t>
      </w:r>
      <w:proofErr w:type="spellStart"/>
      <w:r w:rsidR="006E349E">
        <w:rPr>
          <w:rFonts w:ascii="Book Antiqua" w:eastAsia="Book Antiqua" w:hAnsi="Book Antiqua" w:cs="Book Antiqua"/>
          <w:color w:val="000000"/>
        </w:rPr>
        <w:t>Bolonio</w:t>
      </w:r>
      <w:proofErr w:type="spellEnd"/>
      <w:r w:rsidR="006E349E">
        <w:rPr>
          <w:rFonts w:ascii="Book Antiqua" w:eastAsia="Book Antiqua" w:hAnsi="Book Antiqua" w:cs="Book Antiqua"/>
          <w:color w:val="000000"/>
        </w:rPr>
        <w:t xml:space="preserve"> M, </w:t>
      </w:r>
      <w:proofErr w:type="spellStart"/>
      <w:r w:rsidR="006E349E">
        <w:rPr>
          <w:rFonts w:ascii="Book Antiqua" w:eastAsia="Book Antiqua" w:hAnsi="Book Antiqua" w:cs="Book Antiqua"/>
          <w:color w:val="000000"/>
        </w:rPr>
        <w:t>Millán</w:t>
      </w:r>
      <w:proofErr w:type="spellEnd"/>
      <w:r w:rsidR="006E349E">
        <w:rPr>
          <w:rFonts w:ascii="Book Antiqua" w:eastAsia="Book Antiqua" w:hAnsi="Book Antiqua" w:cs="Book Antiqua"/>
          <w:color w:val="000000"/>
        </w:rPr>
        <w:t xml:space="preserve"> A, </w:t>
      </w:r>
      <w:proofErr w:type="spellStart"/>
      <w:r w:rsidR="006E349E">
        <w:rPr>
          <w:rFonts w:ascii="Book Antiqua" w:eastAsia="Book Antiqua" w:hAnsi="Book Antiqua" w:cs="Book Antiqua"/>
          <w:color w:val="000000"/>
        </w:rPr>
        <w:t>Cerezo</w:t>
      </w:r>
      <w:proofErr w:type="spellEnd"/>
      <w:r w:rsidR="006E349E">
        <w:rPr>
          <w:rFonts w:ascii="Book Antiqua" w:eastAsia="Book Antiqua" w:hAnsi="Book Antiqua" w:cs="Book Antiqua"/>
          <w:color w:val="000000"/>
        </w:rPr>
        <w:t xml:space="preserve"> FM, Guajardo C, Alberto JR, </w:t>
      </w:r>
      <w:proofErr w:type="spellStart"/>
      <w:r w:rsidR="006E349E">
        <w:rPr>
          <w:rFonts w:ascii="Book Antiqua" w:eastAsia="Book Antiqua" w:hAnsi="Book Antiqua" w:cs="Book Antiqua"/>
          <w:color w:val="000000"/>
        </w:rPr>
        <w:t>Rosinach</w:t>
      </w:r>
      <w:proofErr w:type="spellEnd"/>
      <w:r w:rsidR="006E349E">
        <w:rPr>
          <w:rFonts w:ascii="Book Antiqua" w:eastAsia="Book Antiqua" w:hAnsi="Book Antiqua" w:cs="Book Antiqua"/>
          <w:color w:val="000000"/>
        </w:rPr>
        <w:t xml:space="preserve"> M, Segura V, León F, </w:t>
      </w:r>
      <w:proofErr w:type="spellStart"/>
      <w:r w:rsidR="006E349E">
        <w:rPr>
          <w:rFonts w:ascii="Book Antiqua" w:eastAsia="Book Antiqua" w:hAnsi="Book Antiqua" w:cs="Book Antiqua"/>
          <w:color w:val="000000"/>
        </w:rPr>
        <w:t>Marinich</w:t>
      </w:r>
      <w:proofErr w:type="spellEnd"/>
      <w:r w:rsidR="006E349E">
        <w:rPr>
          <w:rFonts w:ascii="Book Antiqua" w:eastAsia="Book Antiqua" w:hAnsi="Book Antiqua" w:cs="Book Antiqua"/>
          <w:color w:val="000000"/>
        </w:rPr>
        <w:t xml:space="preserve"> J, Muñoz-</w:t>
      </w:r>
      <w:proofErr w:type="spellStart"/>
      <w:r w:rsidR="006E349E">
        <w:rPr>
          <w:rFonts w:ascii="Book Antiqua" w:eastAsia="Book Antiqua" w:hAnsi="Book Antiqua" w:cs="Book Antiqua"/>
          <w:color w:val="000000"/>
        </w:rPr>
        <w:t>Suano</w:t>
      </w:r>
      <w:proofErr w:type="spellEnd"/>
      <w:r w:rsidR="006E349E">
        <w:rPr>
          <w:rFonts w:ascii="Book Antiqua" w:eastAsia="Book Antiqua" w:hAnsi="Book Antiqua" w:cs="Book Antiqua"/>
          <w:color w:val="000000"/>
        </w:rPr>
        <w:t xml:space="preserve"> A, Romero-Gómez M, </w:t>
      </w:r>
      <w:proofErr w:type="spellStart"/>
      <w:r w:rsidR="006E349E">
        <w:rPr>
          <w:rFonts w:ascii="Book Antiqua" w:eastAsia="Book Antiqua" w:hAnsi="Book Antiqua" w:cs="Book Antiqua"/>
          <w:color w:val="000000"/>
        </w:rPr>
        <w:t>Cebolla</w:t>
      </w:r>
      <w:proofErr w:type="spellEnd"/>
      <w:r w:rsidR="006E349E">
        <w:rPr>
          <w:rFonts w:ascii="Book Antiqua" w:eastAsia="Book Antiqua" w:hAnsi="Book Antiqua" w:cs="Book Antiqua"/>
          <w:color w:val="000000"/>
        </w:rPr>
        <w:t xml:space="preserve"> Á, Sousa C. Fecal Gluten Peptides Reveal Limitations of Serological Tests and Food Questionnaires for Monitoring Gluten-Free Diet in Celiac Disease Patients. </w:t>
      </w:r>
      <w:r w:rsidR="006E349E">
        <w:rPr>
          <w:rFonts w:ascii="Book Antiqua" w:eastAsia="Book Antiqua" w:hAnsi="Book Antiqua" w:cs="Book Antiqua"/>
          <w:i/>
          <w:iCs/>
          <w:color w:val="000000"/>
        </w:rPr>
        <w:t>Am J Gastroenterol</w:t>
      </w:r>
      <w:r w:rsidR="006E349E">
        <w:rPr>
          <w:rFonts w:ascii="Book Antiqua" w:eastAsia="Book Antiqua" w:hAnsi="Book Antiqua" w:cs="Book Antiqua"/>
          <w:color w:val="000000"/>
        </w:rPr>
        <w:t xml:space="preserve"> 2016; </w:t>
      </w:r>
      <w:r w:rsidR="006E349E">
        <w:rPr>
          <w:rFonts w:ascii="Book Antiqua" w:eastAsia="Book Antiqua" w:hAnsi="Book Antiqua" w:cs="Book Antiqua"/>
          <w:b/>
          <w:bCs/>
          <w:color w:val="000000"/>
        </w:rPr>
        <w:t>111</w:t>
      </w:r>
      <w:r w:rsidR="006E349E">
        <w:rPr>
          <w:rFonts w:ascii="Book Antiqua" w:eastAsia="Book Antiqua" w:hAnsi="Book Antiqua" w:cs="Book Antiqua"/>
          <w:color w:val="000000"/>
        </w:rPr>
        <w:t>: 1456-1465 [PMID: 27644734 DOI: 10.1038/ajg.2016.439]</w:t>
      </w:r>
    </w:p>
    <w:p w14:paraId="1AAE4DE9" w14:textId="2CBB665A" w:rsidR="00A001E5" w:rsidRDefault="00A001E5">
      <w:pPr>
        <w:spacing w:line="360" w:lineRule="auto"/>
        <w:jc w:val="both"/>
        <w:rPr>
          <w:lang w:eastAsia="zh-CN"/>
        </w:rPr>
      </w:pPr>
      <w:r w:rsidRPr="00951F2A">
        <w:rPr>
          <w:rFonts w:ascii="Book Antiqua" w:eastAsia="Book Antiqua" w:hAnsi="Book Antiqua" w:cs="Book Antiqua"/>
          <w:color w:val="000000"/>
        </w:rPr>
        <w:t xml:space="preserve">18 </w:t>
      </w:r>
      <w:proofErr w:type="spellStart"/>
      <w:r w:rsidRPr="00411855">
        <w:rPr>
          <w:rFonts w:ascii="Book Antiqua" w:eastAsia="Book Antiqua" w:hAnsi="Book Antiqua" w:cs="Book Antiqua"/>
          <w:b/>
          <w:color w:val="000000"/>
        </w:rPr>
        <w:t>Stefanolo</w:t>
      </w:r>
      <w:proofErr w:type="spellEnd"/>
      <w:r w:rsidRPr="00411855">
        <w:rPr>
          <w:rFonts w:ascii="Book Antiqua" w:eastAsia="Book Antiqua" w:hAnsi="Book Antiqua" w:cs="Book Antiqua"/>
          <w:b/>
          <w:color w:val="000000"/>
        </w:rPr>
        <w:t xml:space="preserve"> JP</w:t>
      </w:r>
      <w:r w:rsidRPr="00603D56">
        <w:rPr>
          <w:rFonts w:ascii="Book Antiqua" w:eastAsia="Book Antiqua" w:hAnsi="Book Antiqua" w:cs="Book Antiqua"/>
          <w:color w:val="000000"/>
        </w:rPr>
        <w:t xml:space="preserve">, </w:t>
      </w:r>
      <w:proofErr w:type="spellStart"/>
      <w:r w:rsidRPr="00A001E5">
        <w:rPr>
          <w:rFonts w:ascii="Book Antiqua" w:eastAsia="Book Antiqua" w:hAnsi="Book Antiqua" w:cs="Book Antiqua"/>
          <w:color w:val="000000"/>
        </w:rPr>
        <w:t>Tálamo</w:t>
      </w:r>
      <w:proofErr w:type="spellEnd"/>
      <w:r w:rsidRPr="00A001E5">
        <w:rPr>
          <w:rFonts w:ascii="Book Antiqua" w:eastAsia="Book Antiqua" w:hAnsi="Book Antiqua" w:cs="Book Antiqua"/>
          <w:color w:val="000000"/>
        </w:rPr>
        <w:t xml:space="preserve"> M, </w:t>
      </w:r>
      <w:proofErr w:type="spellStart"/>
      <w:r w:rsidRPr="00A001E5">
        <w:rPr>
          <w:rFonts w:ascii="Book Antiqua" w:eastAsia="Book Antiqua" w:hAnsi="Book Antiqua" w:cs="Book Antiqua"/>
          <w:color w:val="000000"/>
        </w:rPr>
        <w:t>Dodds</w:t>
      </w:r>
      <w:proofErr w:type="spellEnd"/>
      <w:r w:rsidRPr="00A001E5">
        <w:rPr>
          <w:rFonts w:ascii="Book Antiqua" w:eastAsia="Book Antiqua" w:hAnsi="Book Antiqua" w:cs="Book Antiqua"/>
          <w:color w:val="000000"/>
        </w:rPr>
        <w:t xml:space="preserve"> S, de la Paz </w:t>
      </w:r>
      <w:proofErr w:type="spellStart"/>
      <w:r w:rsidRPr="00A001E5">
        <w:rPr>
          <w:rFonts w:ascii="Book Antiqua" w:eastAsia="Book Antiqua" w:hAnsi="Book Antiqua" w:cs="Book Antiqua"/>
          <w:color w:val="000000"/>
        </w:rPr>
        <w:t>Temprano</w:t>
      </w:r>
      <w:proofErr w:type="spellEnd"/>
      <w:r w:rsidRPr="00A001E5">
        <w:rPr>
          <w:rFonts w:ascii="Book Antiqua" w:eastAsia="Book Antiqua" w:hAnsi="Book Antiqua" w:cs="Book Antiqua"/>
          <w:color w:val="000000"/>
        </w:rPr>
        <w:t xml:space="preserve"> M, Costa AF, Moreno ML, Pinto-Sánchez MI, </w:t>
      </w:r>
      <w:proofErr w:type="spellStart"/>
      <w:r w:rsidRPr="00A001E5">
        <w:rPr>
          <w:rFonts w:ascii="Book Antiqua" w:eastAsia="Book Antiqua" w:hAnsi="Book Antiqua" w:cs="Book Antiqua"/>
          <w:color w:val="000000"/>
        </w:rPr>
        <w:t>Smecuol</w:t>
      </w:r>
      <w:proofErr w:type="spellEnd"/>
      <w:r w:rsidRPr="00A001E5">
        <w:rPr>
          <w:rFonts w:ascii="Book Antiqua" w:eastAsia="Book Antiqua" w:hAnsi="Book Antiqua" w:cs="Book Antiqua"/>
          <w:color w:val="000000"/>
        </w:rPr>
        <w:t xml:space="preserve"> E, Vázquez H, Gonzalez A, </w:t>
      </w:r>
      <w:proofErr w:type="spellStart"/>
      <w:r w:rsidRPr="00A001E5">
        <w:rPr>
          <w:rFonts w:ascii="Book Antiqua" w:eastAsia="Book Antiqua" w:hAnsi="Book Antiqua" w:cs="Book Antiqua"/>
          <w:color w:val="000000"/>
        </w:rPr>
        <w:t>Niveloni</w:t>
      </w:r>
      <w:proofErr w:type="spellEnd"/>
      <w:r w:rsidRPr="00A001E5">
        <w:rPr>
          <w:rFonts w:ascii="Book Antiqua" w:eastAsia="Book Antiqua" w:hAnsi="Book Antiqua" w:cs="Book Antiqua"/>
          <w:color w:val="000000"/>
        </w:rPr>
        <w:t xml:space="preserve"> SI, </w:t>
      </w:r>
      <w:proofErr w:type="spellStart"/>
      <w:r w:rsidRPr="00A001E5">
        <w:rPr>
          <w:rFonts w:ascii="Book Antiqua" w:eastAsia="Book Antiqua" w:hAnsi="Book Antiqua" w:cs="Book Antiqua"/>
          <w:color w:val="000000"/>
        </w:rPr>
        <w:t>Mauriño</w:t>
      </w:r>
      <w:proofErr w:type="spellEnd"/>
      <w:r w:rsidRPr="00A001E5">
        <w:rPr>
          <w:rFonts w:ascii="Book Antiqua" w:eastAsia="Book Antiqua" w:hAnsi="Book Antiqua" w:cs="Book Antiqua"/>
          <w:color w:val="000000"/>
        </w:rPr>
        <w:t xml:space="preserve"> E, </w:t>
      </w:r>
      <w:proofErr w:type="spellStart"/>
      <w:r w:rsidRPr="00A001E5">
        <w:rPr>
          <w:rFonts w:ascii="Book Antiqua" w:eastAsia="Book Antiqua" w:hAnsi="Book Antiqua" w:cs="Book Antiqua"/>
          <w:color w:val="000000"/>
        </w:rPr>
        <w:t>Verdu</w:t>
      </w:r>
      <w:proofErr w:type="spellEnd"/>
      <w:r w:rsidRPr="00A001E5">
        <w:rPr>
          <w:rFonts w:ascii="Book Antiqua" w:eastAsia="Book Antiqua" w:hAnsi="Book Antiqua" w:cs="Book Antiqua"/>
          <w:color w:val="000000"/>
        </w:rPr>
        <w:t xml:space="preserve"> EF, Bai JC. Real-World Gluten Exposure in Patients With Celiac Disease on Gluten-Free Diets, Determined From Gliadin Immunogenic Peptides in Urine and Fecal Samples. </w:t>
      </w:r>
      <w:r w:rsidRPr="00951F2A">
        <w:rPr>
          <w:rFonts w:ascii="Book Antiqua" w:eastAsia="Book Antiqua" w:hAnsi="Book Antiqua" w:cs="Book Antiqua"/>
          <w:i/>
          <w:iCs/>
          <w:color w:val="000000"/>
        </w:rPr>
        <w:t>Clin Gastroenterol Hepatol</w:t>
      </w:r>
      <w:r w:rsidRPr="00A001E5">
        <w:rPr>
          <w:rFonts w:ascii="Book Antiqua" w:eastAsia="Book Antiqua" w:hAnsi="Book Antiqua" w:cs="Book Antiqua"/>
          <w:color w:val="000000"/>
        </w:rPr>
        <w:t xml:space="preserve"> 2020 [PMID: 32217152 DOI: 10.1016/j.cgh.2020.03.038]</w:t>
      </w:r>
    </w:p>
    <w:p w14:paraId="3857839F" w14:textId="31A09C9E" w:rsidR="00A77B3E" w:rsidRDefault="00A001E5">
      <w:pPr>
        <w:spacing w:line="360" w:lineRule="auto"/>
        <w:jc w:val="both"/>
      </w:pPr>
      <w:r>
        <w:rPr>
          <w:rFonts w:ascii="Book Antiqua" w:eastAsia="Book Antiqua" w:hAnsi="Book Antiqua" w:cs="Book Antiqua"/>
          <w:color w:val="000000"/>
        </w:rPr>
        <w:t xml:space="preserve">19 </w:t>
      </w:r>
      <w:proofErr w:type="spellStart"/>
      <w:r w:rsidR="006E349E">
        <w:rPr>
          <w:rFonts w:ascii="Book Antiqua" w:eastAsia="Book Antiqua" w:hAnsi="Book Antiqua" w:cs="Book Antiqua"/>
          <w:b/>
          <w:bCs/>
          <w:color w:val="000000"/>
        </w:rPr>
        <w:t>Belei</w:t>
      </w:r>
      <w:proofErr w:type="spellEnd"/>
      <w:r w:rsidR="006E349E">
        <w:rPr>
          <w:rFonts w:ascii="Book Antiqua" w:eastAsia="Book Antiqua" w:hAnsi="Book Antiqua" w:cs="Book Antiqua"/>
          <w:b/>
          <w:bCs/>
          <w:color w:val="000000"/>
        </w:rPr>
        <w:t xml:space="preserve"> O</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Dobrescu</w:t>
      </w:r>
      <w:proofErr w:type="spellEnd"/>
      <w:r w:rsidR="006E349E">
        <w:rPr>
          <w:rFonts w:ascii="Book Antiqua" w:eastAsia="Book Antiqua" w:hAnsi="Book Antiqua" w:cs="Book Antiqua"/>
          <w:color w:val="000000"/>
        </w:rPr>
        <w:t xml:space="preserve"> A, </w:t>
      </w:r>
      <w:proofErr w:type="spellStart"/>
      <w:r w:rsidR="006E349E">
        <w:rPr>
          <w:rFonts w:ascii="Book Antiqua" w:eastAsia="Book Antiqua" w:hAnsi="Book Antiqua" w:cs="Book Antiqua"/>
          <w:color w:val="000000"/>
        </w:rPr>
        <w:t>Heredea</w:t>
      </w:r>
      <w:proofErr w:type="spellEnd"/>
      <w:r w:rsidR="006E349E">
        <w:rPr>
          <w:rFonts w:ascii="Book Antiqua" w:eastAsia="Book Antiqua" w:hAnsi="Book Antiqua" w:cs="Book Antiqua"/>
          <w:color w:val="000000"/>
        </w:rPr>
        <w:t xml:space="preserve"> R, </w:t>
      </w:r>
      <w:proofErr w:type="spellStart"/>
      <w:r w:rsidR="006E349E">
        <w:rPr>
          <w:rFonts w:ascii="Book Antiqua" w:eastAsia="Book Antiqua" w:hAnsi="Book Antiqua" w:cs="Book Antiqua"/>
          <w:color w:val="000000"/>
        </w:rPr>
        <w:t>Iacob</w:t>
      </w:r>
      <w:proofErr w:type="spellEnd"/>
      <w:r w:rsidR="006E349E">
        <w:rPr>
          <w:rFonts w:ascii="Book Antiqua" w:eastAsia="Book Antiqua" w:hAnsi="Book Antiqua" w:cs="Book Antiqua"/>
          <w:color w:val="000000"/>
        </w:rPr>
        <w:t xml:space="preserve"> ER, David V, </w:t>
      </w:r>
      <w:proofErr w:type="spellStart"/>
      <w:r w:rsidR="006E349E">
        <w:rPr>
          <w:rFonts w:ascii="Book Antiqua" w:eastAsia="Book Antiqua" w:hAnsi="Book Antiqua" w:cs="Book Antiqua"/>
          <w:color w:val="000000"/>
        </w:rPr>
        <w:t>Marginean</w:t>
      </w:r>
      <w:proofErr w:type="spellEnd"/>
      <w:r w:rsidR="006E349E">
        <w:rPr>
          <w:rFonts w:ascii="Book Antiqua" w:eastAsia="Book Antiqua" w:hAnsi="Book Antiqua" w:cs="Book Antiqua"/>
          <w:color w:val="000000"/>
        </w:rPr>
        <w:t xml:space="preserve"> O. Histologic recovery among children with celiac disease on a gluten-free diet. A long-term follow-up single-center experience. </w:t>
      </w:r>
      <w:r w:rsidR="006E349E">
        <w:rPr>
          <w:rFonts w:ascii="Book Antiqua" w:eastAsia="Book Antiqua" w:hAnsi="Book Antiqua" w:cs="Book Antiqua"/>
          <w:i/>
          <w:iCs/>
          <w:color w:val="000000"/>
        </w:rPr>
        <w:t>Arch Med Sci</w:t>
      </w:r>
      <w:r w:rsidR="006E349E">
        <w:rPr>
          <w:rFonts w:ascii="Book Antiqua" w:eastAsia="Book Antiqua" w:hAnsi="Book Antiqua" w:cs="Book Antiqua"/>
          <w:color w:val="000000"/>
        </w:rPr>
        <w:t xml:space="preserve"> 2018; </w:t>
      </w:r>
      <w:r w:rsidR="006E349E">
        <w:rPr>
          <w:rFonts w:ascii="Book Antiqua" w:eastAsia="Book Antiqua" w:hAnsi="Book Antiqua" w:cs="Book Antiqua"/>
          <w:b/>
          <w:bCs/>
          <w:color w:val="000000"/>
        </w:rPr>
        <w:t>14</w:t>
      </w:r>
      <w:r w:rsidR="006E349E">
        <w:rPr>
          <w:rFonts w:ascii="Book Antiqua" w:eastAsia="Book Antiqua" w:hAnsi="Book Antiqua" w:cs="Book Antiqua"/>
          <w:color w:val="000000"/>
        </w:rPr>
        <w:t>: 94-100 [PMID: 29379538 DOI: 10.5114/aoms.2018.72241]</w:t>
      </w:r>
    </w:p>
    <w:p w14:paraId="10614727" w14:textId="79A51FC1" w:rsidR="00A77B3E" w:rsidRDefault="00A001E5">
      <w:pPr>
        <w:spacing w:line="360" w:lineRule="auto"/>
        <w:jc w:val="both"/>
      </w:pPr>
      <w:r>
        <w:rPr>
          <w:rFonts w:ascii="Book Antiqua" w:eastAsia="Book Antiqua" w:hAnsi="Book Antiqua" w:cs="Book Antiqua"/>
          <w:color w:val="000000"/>
        </w:rPr>
        <w:t xml:space="preserve">20 </w:t>
      </w:r>
      <w:r w:rsidR="006E349E">
        <w:rPr>
          <w:rFonts w:ascii="Book Antiqua" w:eastAsia="Book Antiqua" w:hAnsi="Book Antiqua" w:cs="Book Antiqua"/>
          <w:b/>
          <w:bCs/>
          <w:color w:val="000000"/>
        </w:rPr>
        <w:t>Khatib M</w:t>
      </w:r>
      <w:r w:rsidR="006E349E">
        <w:rPr>
          <w:rFonts w:ascii="Book Antiqua" w:eastAsia="Book Antiqua" w:hAnsi="Book Antiqua" w:cs="Book Antiqua"/>
          <w:color w:val="000000"/>
        </w:rPr>
        <w:t xml:space="preserve">, Baker RD, Ly EK, </w:t>
      </w:r>
      <w:proofErr w:type="spellStart"/>
      <w:r w:rsidR="006E349E">
        <w:rPr>
          <w:rFonts w:ascii="Book Antiqua" w:eastAsia="Book Antiqua" w:hAnsi="Book Antiqua" w:cs="Book Antiqua"/>
          <w:color w:val="000000"/>
        </w:rPr>
        <w:t>Kozielski</w:t>
      </w:r>
      <w:proofErr w:type="spellEnd"/>
      <w:r w:rsidR="006E349E">
        <w:rPr>
          <w:rFonts w:ascii="Book Antiqua" w:eastAsia="Book Antiqua" w:hAnsi="Book Antiqua" w:cs="Book Antiqua"/>
          <w:color w:val="000000"/>
        </w:rPr>
        <w:t xml:space="preserve"> R, Baker SS. Presenting Pattern of Pediatric Celiac Disease.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i/>
          <w:iCs/>
          <w:color w:val="000000"/>
        </w:rPr>
        <w:t xml:space="preserve"> Gastroenterol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2016; </w:t>
      </w:r>
      <w:r w:rsidR="006E349E">
        <w:rPr>
          <w:rFonts w:ascii="Book Antiqua" w:eastAsia="Book Antiqua" w:hAnsi="Book Antiqua" w:cs="Book Antiqua"/>
          <w:b/>
          <w:bCs/>
          <w:color w:val="000000"/>
        </w:rPr>
        <w:t>62</w:t>
      </w:r>
      <w:r w:rsidR="006E349E">
        <w:rPr>
          <w:rFonts w:ascii="Book Antiqua" w:eastAsia="Book Antiqua" w:hAnsi="Book Antiqua" w:cs="Book Antiqua"/>
          <w:color w:val="000000"/>
        </w:rPr>
        <w:t>: 60-63 [PMID: 26111294 DOI: 10.1097/MPG.0000000000000887]</w:t>
      </w:r>
    </w:p>
    <w:p w14:paraId="7EF35537" w14:textId="4EC01E75" w:rsidR="00A77B3E" w:rsidRDefault="00A001E5">
      <w:pPr>
        <w:spacing w:line="360" w:lineRule="auto"/>
        <w:jc w:val="both"/>
      </w:pPr>
      <w:r>
        <w:rPr>
          <w:rFonts w:ascii="Book Antiqua" w:eastAsia="Book Antiqua" w:hAnsi="Book Antiqua" w:cs="Book Antiqua"/>
          <w:color w:val="000000"/>
        </w:rPr>
        <w:lastRenderedPageBreak/>
        <w:t xml:space="preserve">21 </w:t>
      </w:r>
      <w:r w:rsidR="006E349E">
        <w:rPr>
          <w:rFonts w:ascii="Book Antiqua" w:eastAsia="Book Antiqua" w:hAnsi="Book Antiqua" w:cs="Book Antiqua"/>
          <w:b/>
          <w:bCs/>
          <w:color w:val="000000"/>
        </w:rPr>
        <w:t>Vici G</w:t>
      </w:r>
      <w:r w:rsidR="006E349E">
        <w:rPr>
          <w:rFonts w:ascii="Book Antiqua" w:eastAsia="Book Antiqua" w:hAnsi="Book Antiqua" w:cs="Book Antiqua"/>
          <w:color w:val="000000"/>
        </w:rPr>
        <w:t xml:space="preserve">, Belli L, Biondi M, </w:t>
      </w:r>
      <w:proofErr w:type="spellStart"/>
      <w:r w:rsidR="006E349E">
        <w:rPr>
          <w:rFonts w:ascii="Book Antiqua" w:eastAsia="Book Antiqua" w:hAnsi="Book Antiqua" w:cs="Book Antiqua"/>
          <w:color w:val="000000"/>
        </w:rPr>
        <w:t>Polzonetti</w:t>
      </w:r>
      <w:proofErr w:type="spellEnd"/>
      <w:r w:rsidR="006E349E">
        <w:rPr>
          <w:rFonts w:ascii="Book Antiqua" w:eastAsia="Book Antiqua" w:hAnsi="Book Antiqua" w:cs="Book Antiqua"/>
          <w:color w:val="000000"/>
        </w:rPr>
        <w:t xml:space="preserve"> V. Gluten free diet and nutrient deficiencies: A review. </w:t>
      </w:r>
      <w:r w:rsidR="006E349E">
        <w:rPr>
          <w:rFonts w:ascii="Book Antiqua" w:eastAsia="Book Antiqua" w:hAnsi="Book Antiqua" w:cs="Book Antiqua"/>
          <w:i/>
          <w:iCs/>
          <w:color w:val="000000"/>
        </w:rPr>
        <w:t xml:space="preserve">Clin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2016; </w:t>
      </w:r>
      <w:r w:rsidR="006E349E">
        <w:rPr>
          <w:rFonts w:ascii="Book Antiqua" w:eastAsia="Book Antiqua" w:hAnsi="Book Antiqua" w:cs="Book Antiqua"/>
          <w:b/>
          <w:bCs/>
          <w:color w:val="000000"/>
        </w:rPr>
        <w:t>35</w:t>
      </w:r>
      <w:r w:rsidR="006E349E">
        <w:rPr>
          <w:rFonts w:ascii="Book Antiqua" w:eastAsia="Book Antiqua" w:hAnsi="Book Antiqua" w:cs="Book Antiqua"/>
          <w:color w:val="000000"/>
        </w:rPr>
        <w:t>: 1236-1241 [PMID: 27211234 DOI: 10.1016/j.clnu.2016.05.002]</w:t>
      </w:r>
    </w:p>
    <w:p w14:paraId="58192C12" w14:textId="3B5D4559" w:rsidR="00A77B3E" w:rsidRDefault="00A001E5">
      <w:pPr>
        <w:spacing w:line="360" w:lineRule="auto"/>
        <w:jc w:val="both"/>
      </w:pPr>
      <w:r>
        <w:rPr>
          <w:rFonts w:ascii="Book Antiqua" w:eastAsia="Book Antiqua" w:hAnsi="Book Antiqua" w:cs="Book Antiqua"/>
          <w:color w:val="000000"/>
        </w:rPr>
        <w:t xml:space="preserve">22 </w:t>
      </w:r>
      <w:proofErr w:type="spellStart"/>
      <w:r w:rsidR="006E349E">
        <w:rPr>
          <w:rFonts w:ascii="Book Antiqua" w:eastAsia="Book Antiqua" w:hAnsi="Book Antiqua" w:cs="Book Antiqua"/>
          <w:b/>
          <w:bCs/>
          <w:color w:val="000000"/>
        </w:rPr>
        <w:t>Koppen</w:t>
      </w:r>
      <w:proofErr w:type="spellEnd"/>
      <w:r w:rsidR="006E349E">
        <w:rPr>
          <w:rFonts w:ascii="Book Antiqua" w:eastAsia="Book Antiqua" w:hAnsi="Book Antiqua" w:cs="Book Antiqua"/>
          <w:b/>
          <w:bCs/>
          <w:color w:val="000000"/>
        </w:rPr>
        <w:t xml:space="preserve"> IJN</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Vriesman</w:t>
      </w:r>
      <w:proofErr w:type="spellEnd"/>
      <w:r w:rsidR="006E349E">
        <w:rPr>
          <w:rFonts w:ascii="Book Antiqua" w:eastAsia="Book Antiqua" w:hAnsi="Book Antiqua" w:cs="Book Antiqua"/>
          <w:color w:val="000000"/>
        </w:rPr>
        <w:t xml:space="preserve"> MH, Saps M, </w:t>
      </w:r>
      <w:proofErr w:type="spellStart"/>
      <w:r w:rsidR="006E349E">
        <w:rPr>
          <w:rFonts w:ascii="Book Antiqua" w:eastAsia="Book Antiqua" w:hAnsi="Book Antiqua" w:cs="Book Antiqua"/>
          <w:color w:val="000000"/>
        </w:rPr>
        <w:t>Rajindrajith</w:t>
      </w:r>
      <w:proofErr w:type="spellEnd"/>
      <w:r w:rsidR="006E349E">
        <w:rPr>
          <w:rFonts w:ascii="Book Antiqua" w:eastAsia="Book Antiqua" w:hAnsi="Book Antiqua" w:cs="Book Antiqua"/>
          <w:color w:val="000000"/>
        </w:rPr>
        <w:t xml:space="preserve"> S, Shi X, van </w:t>
      </w:r>
      <w:proofErr w:type="spellStart"/>
      <w:r w:rsidR="006E349E">
        <w:rPr>
          <w:rFonts w:ascii="Book Antiqua" w:eastAsia="Book Antiqua" w:hAnsi="Book Antiqua" w:cs="Book Antiqua"/>
          <w:color w:val="000000"/>
        </w:rPr>
        <w:t>Etten-Jamaludin</w:t>
      </w:r>
      <w:proofErr w:type="spellEnd"/>
      <w:r w:rsidR="006E349E">
        <w:rPr>
          <w:rFonts w:ascii="Book Antiqua" w:eastAsia="Book Antiqua" w:hAnsi="Book Antiqua" w:cs="Book Antiqua"/>
          <w:color w:val="000000"/>
        </w:rPr>
        <w:t xml:space="preserve"> FS, Di Lorenzo C, </w:t>
      </w:r>
      <w:proofErr w:type="spellStart"/>
      <w:r w:rsidR="006E349E">
        <w:rPr>
          <w:rFonts w:ascii="Book Antiqua" w:eastAsia="Book Antiqua" w:hAnsi="Book Antiqua" w:cs="Book Antiqua"/>
          <w:color w:val="000000"/>
        </w:rPr>
        <w:t>Benninga</w:t>
      </w:r>
      <w:proofErr w:type="spellEnd"/>
      <w:r w:rsidR="006E349E">
        <w:rPr>
          <w:rFonts w:ascii="Book Antiqua" w:eastAsia="Book Antiqua" w:hAnsi="Book Antiqua" w:cs="Book Antiqua"/>
          <w:color w:val="000000"/>
        </w:rPr>
        <w:t xml:space="preserve"> MA, Tabbers MM. Prevalence of Functional Defecation Disorders in Children: A Systematic Review and Meta-Analysis.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color w:val="000000"/>
        </w:rPr>
        <w:t xml:space="preserve"> 2018; </w:t>
      </w:r>
      <w:r w:rsidR="006E349E">
        <w:rPr>
          <w:rFonts w:ascii="Book Antiqua" w:eastAsia="Book Antiqua" w:hAnsi="Book Antiqua" w:cs="Book Antiqua"/>
          <w:b/>
          <w:bCs/>
          <w:color w:val="000000"/>
        </w:rPr>
        <w:t>198</w:t>
      </w:r>
      <w:r w:rsidR="006E349E">
        <w:rPr>
          <w:rFonts w:ascii="Book Antiqua" w:eastAsia="Book Antiqua" w:hAnsi="Book Antiqua" w:cs="Book Antiqua"/>
          <w:color w:val="000000"/>
        </w:rPr>
        <w:t>: 121-130.e6 [PMID: 29656863 DOI: 10.1016/j.jpeds.2018.02.029]</w:t>
      </w:r>
    </w:p>
    <w:p w14:paraId="58BC8993" w14:textId="043A2ED1" w:rsidR="00A77B3E" w:rsidRDefault="00A001E5">
      <w:pPr>
        <w:spacing w:line="360" w:lineRule="auto"/>
        <w:jc w:val="both"/>
      </w:pPr>
      <w:r>
        <w:rPr>
          <w:rFonts w:ascii="Book Antiqua" w:eastAsia="Book Antiqua" w:hAnsi="Book Antiqua" w:cs="Book Antiqua"/>
          <w:color w:val="000000"/>
        </w:rPr>
        <w:t xml:space="preserve">23 </w:t>
      </w:r>
      <w:r w:rsidR="006E349E">
        <w:rPr>
          <w:rFonts w:ascii="Book Antiqua" w:eastAsia="Book Antiqua" w:hAnsi="Book Antiqua" w:cs="Book Antiqua"/>
          <w:b/>
          <w:bCs/>
          <w:color w:val="000000"/>
        </w:rPr>
        <w:t>Saps M</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Sansotta</w:t>
      </w:r>
      <w:proofErr w:type="spellEnd"/>
      <w:r w:rsidR="006E349E">
        <w:rPr>
          <w:rFonts w:ascii="Book Antiqua" w:eastAsia="Book Antiqua" w:hAnsi="Book Antiqua" w:cs="Book Antiqua"/>
          <w:color w:val="000000"/>
        </w:rPr>
        <w:t xml:space="preserve"> N, Bingham S, </w:t>
      </w:r>
      <w:proofErr w:type="spellStart"/>
      <w:r w:rsidR="006E349E">
        <w:rPr>
          <w:rFonts w:ascii="Book Antiqua" w:eastAsia="Book Antiqua" w:hAnsi="Book Antiqua" w:cs="Book Antiqua"/>
          <w:color w:val="000000"/>
        </w:rPr>
        <w:t>Magazzu</w:t>
      </w:r>
      <w:proofErr w:type="spellEnd"/>
      <w:r w:rsidR="006E349E">
        <w:rPr>
          <w:rFonts w:ascii="Book Antiqua" w:eastAsia="Book Antiqua" w:hAnsi="Book Antiqua" w:cs="Book Antiqua"/>
          <w:color w:val="000000"/>
        </w:rPr>
        <w:t xml:space="preserve"> G, Grosso C, Romano S, </w:t>
      </w:r>
      <w:proofErr w:type="spellStart"/>
      <w:r w:rsidR="006E349E">
        <w:rPr>
          <w:rFonts w:ascii="Book Antiqua" w:eastAsia="Book Antiqua" w:hAnsi="Book Antiqua" w:cs="Book Antiqua"/>
          <w:color w:val="000000"/>
        </w:rPr>
        <w:t>Pusatcioglu</w:t>
      </w:r>
      <w:proofErr w:type="spellEnd"/>
      <w:r w:rsidR="006E349E">
        <w:rPr>
          <w:rFonts w:ascii="Book Antiqua" w:eastAsia="Book Antiqua" w:hAnsi="Book Antiqua" w:cs="Book Antiqua"/>
          <w:color w:val="000000"/>
        </w:rPr>
        <w:t xml:space="preserve"> C, </w:t>
      </w:r>
      <w:proofErr w:type="spellStart"/>
      <w:r w:rsidR="006E349E">
        <w:rPr>
          <w:rFonts w:ascii="Book Antiqua" w:eastAsia="Book Antiqua" w:hAnsi="Book Antiqua" w:cs="Book Antiqua"/>
          <w:color w:val="000000"/>
        </w:rPr>
        <w:t>Guandalini</w:t>
      </w:r>
      <w:proofErr w:type="spellEnd"/>
      <w:r w:rsidR="006E349E">
        <w:rPr>
          <w:rFonts w:ascii="Book Antiqua" w:eastAsia="Book Antiqua" w:hAnsi="Book Antiqua" w:cs="Book Antiqua"/>
          <w:color w:val="000000"/>
        </w:rPr>
        <w:t xml:space="preserve"> S. Abdominal Pain-Associated Functional Gastrointestinal Disorder Prevalence in Children and Adolescents with Celiac Disease on Gluten-Free Diet: A Multinational Study.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color w:val="000000"/>
        </w:rPr>
        <w:t xml:space="preserve"> 2017; </w:t>
      </w:r>
      <w:r w:rsidR="006E349E">
        <w:rPr>
          <w:rFonts w:ascii="Book Antiqua" w:eastAsia="Book Antiqua" w:hAnsi="Book Antiqua" w:cs="Book Antiqua"/>
          <w:b/>
          <w:bCs/>
          <w:color w:val="000000"/>
        </w:rPr>
        <w:t>182</w:t>
      </w:r>
      <w:r w:rsidR="006E349E">
        <w:rPr>
          <w:rFonts w:ascii="Book Antiqua" w:eastAsia="Book Antiqua" w:hAnsi="Book Antiqua" w:cs="Book Antiqua"/>
          <w:color w:val="000000"/>
        </w:rPr>
        <w:t>: 150-154 [PMID: 27979583 DOI: 10.1016/j.jpeds.2016.11.049]</w:t>
      </w:r>
    </w:p>
    <w:p w14:paraId="53F6C0D7" w14:textId="4722C657" w:rsidR="00A77B3E" w:rsidRDefault="00A001E5">
      <w:pPr>
        <w:spacing w:line="360" w:lineRule="auto"/>
        <w:jc w:val="both"/>
      </w:pPr>
      <w:r>
        <w:rPr>
          <w:rFonts w:ascii="Book Antiqua" w:eastAsia="Book Antiqua" w:hAnsi="Book Antiqua" w:cs="Book Antiqua"/>
          <w:color w:val="000000"/>
        </w:rPr>
        <w:t xml:space="preserve">24 </w:t>
      </w:r>
      <w:r w:rsidR="006E349E">
        <w:rPr>
          <w:rFonts w:ascii="Book Antiqua" w:eastAsia="Book Antiqua" w:hAnsi="Book Antiqua" w:cs="Book Antiqua"/>
          <w:b/>
          <w:bCs/>
          <w:color w:val="000000"/>
        </w:rPr>
        <w:t>Saps M</w:t>
      </w:r>
      <w:r w:rsidR="006E349E">
        <w:rPr>
          <w:rFonts w:ascii="Book Antiqua" w:eastAsia="Book Antiqua" w:hAnsi="Book Antiqua" w:cs="Book Antiqua"/>
          <w:color w:val="000000"/>
        </w:rPr>
        <w:t xml:space="preserve">, Adams P, Bonilla S, </w:t>
      </w:r>
      <w:proofErr w:type="spellStart"/>
      <w:r w:rsidR="006E349E">
        <w:rPr>
          <w:rFonts w:ascii="Book Antiqua" w:eastAsia="Book Antiqua" w:hAnsi="Book Antiqua" w:cs="Book Antiqua"/>
          <w:color w:val="000000"/>
        </w:rPr>
        <w:t>Chogle</w:t>
      </w:r>
      <w:proofErr w:type="spellEnd"/>
      <w:r w:rsidR="006E349E">
        <w:rPr>
          <w:rFonts w:ascii="Book Antiqua" w:eastAsia="Book Antiqua" w:hAnsi="Book Antiqua" w:cs="Book Antiqua"/>
          <w:color w:val="000000"/>
        </w:rPr>
        <w:t xml:space="preserve"> A, Nichols-</w:t>
      </w:r>
      <w:proofErr w:type="spellStart"/>
      <w:r w:rsidR="006E349E">
        <w:rPr>
          <w:rFonts w:ascii="Book Antiqua" w:eastAsia="Book Antiqua" w:hAnsi="Book Antiqua" w:cs="Book Antiqua"/>
          <w:color w:val="000000"/>
        </w:rPr>
        <w:t>Vinueza</w:t>
      </w:r>
      <w:proofErr w:type="spellEnd"/>
      <w:r w:rsidR="006E349E">
        <w:rPr>
          <w:rFonts w:ascii="Book Antiqua" w:eastAsia="Book Antiqua" w:hAnsi="Book Antiqua" w:cs="Book Antiqua"/>
          <w:color w:val="000000"/>
        </w:rPr>
        <w:t xml:space="preserve"> D. Parental report of abdominal pain and abdominal pain-related functional gastrointestinal disorders from a community survey.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i/>
          <w:iCs/>
          <w:color w:val="000000"/>
        </w:rPr>
        <w:t xml:space="preserve"> Gastroenterol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2012; </w:t>
      </w:r>
      <w:r w:rsidR="006E349E">
        <w:rPr>
          <w:rFonts w:ascii="Book Antiqua" w:eastAsia="Book Antiqua" w:hAnsi="Book Antiqua" w:cs="Book Antiqua"/>
          <w:b/>
          <w:bCs/>
          <w:color w:val="000000"/>
        </w:rPr>
        <w:t>55</w:t>
      </w:r>
      <w:r w:rsidR="006E349E">
        <w:rPr>
          <w:rFonts w:ascii="Book Antiqua" w:eastAsia="Book Antiqua" w:hAnsi="Book Antiqua" w:cs="Book Antiqua"/>
          <w:color w:val="000000"/>
        </w:rPr>
        <w:t>: 707-710 [PMID: 22744191 DOI: 10.1097/MPG.0b013e3182662401]</w:t>
      </w:r>
    </w:p>
    <w:p w14:paraId="051FB0B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BCC22CB" w14:textId="77777777" w:rsidR="00A77B3E" w:rsidRDefault="006E349E">
      <w:pPr>
        <w:spacing w:line="360" w:lineRule="auto"/>
        <w:jc w:val="both"/>
      </w:pPr>
      <w:r>
        <w:rPr>
          <w:rFonts w:ascii="Book Antiqua" w:eastAsia="Book Antiqua" w:hAnsi="Book Antiqua" w:cs="Book Antiqua"/>
          <w:b/>
          <w:color w:val="000000"/>
        </w:rPr>
        <w:lastRenderedPageBreak/>
        <w:t>Footnotes</w:t>
      </w:r>
    </w:p>
    <w:p w14:paraId="515FA14F" w14:textId="77777777" w:rsidR="00A77B3E" w:rsidRDefault="006E349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Institutional Review Board of Boston Children’s Hospital.</w:t>
      </w:r>
    </w:p>
    <w:p w14:paraId="5CBC2C30" w14:textId="77777777" w:rsidR="00A77B3E" w:rsidRDefault="00A77B3E">
      <w:pPr>
        <w:spacing w:line="360" w:lineRule="auto"/>
        <w:jc w:val="both"/>
      </w:pPr>
    </w:p>
    <w:p w14:paraId="39F81B22" w14:textId="46039F0F" w:rsidR="00A77B3E" w:rsidRDefault="006E349E">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Patients were not required to give informed consent to the study because this study presented no more than minimal risk to patient privacy and confidentiality.</w:t>
      </w:r>
    </w:p>
    <w:p w14:paraId="7E35BE31" w14:textId="304DA67B" w:rsidR="00A77B3E" w:rsidRDefault="00A77B3E">
      <w:pPr>
        <w:spacing w:line="360" w:lineRule="auto"/>
        <w:jc w:val="both"/>
      </w:pPr>
    </w:p>
    <w:p w14:paraId="6ECE4BA5" w14:textId="7CE34445" w:rsidR="00A77B3E" w:rsidRDefault="006E349E">
      <w:pPr>
        <w:spacing w:line="360" w:lineRule="auto"/>
        <w:jc w:val="both"/>
      </w:pPr>
      <w:r>
        <w:rPr>
          <w:rFonts w:ascii="Book Antiqua" w:eastAsia="Book Antiqua" w:hAnsi="Book Antiqua" w:cs="Book Antiqua"/>
          <w:b/>
          <w:bCs/>
          <w:color w:val="000000"/>
          <w:szCs w:val="22"/>
        </w:rPr>
        <w:t xml:space="preserve">Conflict-of-interest statement: </w:t>
      </w:r>
      <w:r w:rsidR="003A3A08">
        <w:rPr>
          <w:rFonts w:ascii="Book Antiqua" w:eastAsia="Book Antiqua" w:hAnsi="Book Antiqua" w:cs="Book Antiqua"/>
          <w:color w:val="000000"/>
        </w:rPr>
        <w:t>Leffler DA</w:t>
      </w:r>
      <w:r>
        <w:rPr>
          <w:rFonts w:ascii="Book Antiqua" w:eastAsia="Book Antiqua" w:hAnsi="Book Antiqua" w:cs="Book Antiqua"/>
          <w:color w:val="000000"/>
        </w:rPr>
        <w:t xml:space="preserve"> is employed by Takeda Pharmaceuticals International Co. </w:t>
      </w:r>
      <w:r w:rsidR="003A3A08">
        <w:rPr>
          <w:rFonts w:ascii="Book Antiqua" w:eastAsia="Book Antiqua" w:hAnsi="Book Antiqua" w:cs="Book Antiqua"/>
          <w:color w:val="000000"/>
        </w:rPr>
        <w:t>Kelly CP</w:t>
      </w:r>
      <w:r>
        <w:rPr>
          <w:rFonts w:ascii="Book Antiqua" w:eastAsia="Book Antiqua" w:hAnsi="Book Antiqua" w:cs="Book Antiqua"/>
          <w:color w:val="000000"/>
          <w:shd w:val="clear" w:color="auto" w:fill="FFFFFF"/>
        </w:rPr>
        <w:t xml:space="preserve"> has acted as a scientific advisor to companies attempting to develop new diagnostic and management approaches for Celiac disease including </w:t>
      </w:r>
      <w:proofErr w:type="spellStart"/>
      <w:r>
        <w:rPr>
          <w:rFonts w:ascii="Book Antiqua" w:eastAsia="Book Antiqua" w:hAnsi="Book Antiqua" w:cs="Book Antiqua"/>
          <w:color w:val="000000"/>
          <w:shd w:val="clear" w:color="auto" w:fill="FFFFFF"/>
        </w:rPr>
        <w:t>Cour</w:t>
      </w:r>
      <w:proofErr w:type="spellEnd"/>
      <w:r>
        <w:rPr>
          <w:rFonts w:ascii="Book Antiqua" w:eastAsia="Book Antiqua" w:hAnsi="Book Antiqua" w:cs="Book Antiqua"/>
          <w:color w:val="000000"/>
          <w:shd w:val="clear" w:color="auto" w:fill="FFFFFF"/>
        </w:rPr>
        <w:t xml:space="preserve"> Pharma, </w:t>
      </w:r>
      <w:proofErr w:type="spellStart"/>
      <w:r>
        <w:rPr>
          <w:rFonts w:ascii="Book Antiqua" w:eastAsia="Book Antiqua" w:hAnsi="Book Antiqua" w:cs="Book Antiqua"/>
          <w:color w:val="000000"/>
          <w:shd w:val="clear" w:color="auto" w:fill="FFFFFF"/>
        </w:rPr>
        <w:t>Glutenostics</w:t>
      </w:r>
      <w:proofErr w:type="spellEnd"/>
      <w:r>
        <w:rPr>
          <w:rFonts w:ascii="Book Antiqua" w:eastAsia="Book Antiqua" w:hAnsi="Book Antiqua" w:cs="Book Antiqua"/>
          <w:color w:val="000000"/>
          <w:shd w:val="clear" w:color="auto" w:fill="FFFFFF"/>
        </w:rPr>
        <w:t xml:space="preserve">, Innovate, </w:t>
      </w:r>
      <w:proofErr w:type="spellStart"/>
      <w:r>
        <w:rPr>
          <w:rFonts w:ascii="Book Antiqua" w:eastAsia="Book Antiqua" w:hAnsi="Book Antiqua" w:cs="Book Antiqua"/>
          <w:color w:val="000000"/>
          <w:shd w:val="clear" w:color="auto" w:fill="FFFFFF"/>
        </w:rPr>
        <w:t>Immunogenx</w:t>
      </w:r>
      <w:proofErr w:type="spellEnd"/>
      <w:r>
        <w:rPr>
          <w:rFonts w:ascii="Book Antiqua" w:eastAsia="Book Antiqua" w:hAnsi="Book Antiqua" w:cs="Book Antiqua"/>
          <w:color w:val="000000"/>
          <w:shd w:val="clear" w:color="auto" w:fill="FFFFFF"/>
        </w:rPr>
        <w:t xml:space="preserve"> and Takeda.</w:t>
      </w:r>
      <w:r w:rsidR="003A3A0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He also acts as Principal Investigator on a research grant on Celiac disease supported by </w:t>
      </w:r>
      <w:proofErr w:type="spellStart"/>
      <w:r>
        <w:rPr>
          <w:rFonts w:ascii="Book Antiqua" w:eastAsia="Book Antiqua" w:hAnsi="Book Antiqua" w:cs="Book Antiqua"/>
          <w:color w:val="000000"/>
          <w:shd w:val="clear" w:color="auto" w:fill="FFFFFF"/>
        </w:rPr>
        <w:t>Aptalis</w:t>
      </w:r>
      <w:proofErr w:type="spellEnd"/>
      <w:r>
        <w:rPr>
          <w:rFonts w:ascii="Book Antiqua" w:eastAsia="Book Antiqua" w:hAnsi="Book Antiqua" w:cs="Book Antiqua"/>
          <w:color w:val="000000"/>
          <w:shd w:val="clear" w:color="auto" w:fill="FFFFFF"/>
        </w:rPr>
        <w:t>.</w:t>
      </w:r>
      <w:r w:rsidR="003A3A08">
        <w:rPr>
          <w:rFonts w:ascii="Book Antiqua" w:eastAsia="Book Antiqua" w:hAnsi="Book Antiqua" w:cs="Book Antiqua"/>
          <w:color w:val="000000"/>
          <w:shd w:val="clear" w:color="auto" w:fill="FFFFFF"/>
        </w:rPr>
        <w:t xml:space="preserve"> </w:t>
      </w:r>
      <w:r w:rsidR="003A3A08">
        <w:rPr>
          <w:rFonts w:ascii="Book Antiqua" w:eastAsia="Book Antiqua" w:hAnsi="Book Antiqua" w:cs="Book Antiqua"/>
          <w:color w:val="000000"/>
        </w:rPr>
        <w:t>Silvester JA</w:t>
      </w:r>
      <w:r>
        <w:rPr>
          <w:rFonts w:ascii="Book Antiqua" w:eastAsia="Book Antiqua" w:hAnsi="Book Antiqua" w:cs="Book Antiqua"/>
          <w:color w:val="000000"/>
          <w:shd w:val="clear" w:color="auto" w:fill="FFFFFF"/>
        </w:rPr>
        <w:t xml:space="preserve"> has served on an advisory board for Takeda Pharmaceuticals and has received research funding from </w:t>
      </w:r>
      <w:proofErr w:type="spellStart"/>
      <w:r>
        <w:rPr>
          <w:rFonts w:ascii="Book Antiqua" w:eastAsia="Book Antiqua" w:hAnsi="Book Antiqua" w:cs="Book Antiqua"/>
          <w:color w:val="000000"/>
          <w:shd w:val="clear" w:color="auto" w:fill="FFFFFF"/>
        </w:rPr>
        <w:t>Biomedal</w:t>
      </w:r>
      <w:proofErr w:type="spellEnd"/>
      <w:r>
        <w:rPr>
          <w:rFonts w:ascii="Book Antiqua" w:eastAsia="Book Antiqua" w:hAnsi="Book Antiqua" w:cs="Book Antiqua"/>
          <w:color w:val="000000"/>
          <w:shd w:val="clear" w:color="auto" w:fill="FFFFFF"/>
        </w:rPr>
        <w:t xml:space="preserve"> S.L., </w:t>
      </w:r>
      <w:proofErr w:type="spellStart"/>
      <w:r>
        <w:rPr>
          <w:rFonts w:ascii="Book Antiqua" w:eastAsia="Book Antiqua" w:hAnsi="Book Antiqua" w:cs="Book Antiqua"/>
          <w:color w:val="000000"/>
          <w:shd w:val="clear" w:color="auto" w:fill="FFFFFF"/>
        </w:rPr>
        <w:t>Cour</w:t>
      </w:r>
      <w:proofErr w:type="spellEnd"/>
      <w:r>
        <w:rPr>
          <w:rFonts w:ascii="Book Antiqua" w:eastAsia="Book Antiqua" w:hAnsi="Book Antiqua" w:cs="Book Antiqua"/>
          <w:color w:val="000000"/>
          <w:shd w:val="clear" w:color="auto" w:fill="FFFFFF"/>
        </w:rPr>
        <w:t xml:space="preserve"> Pharma and </w:t>
      </w:r>
      <w:proofErr w:type="spellStart"/>
      <w:r>
        <w:rPr>
          <w:rFonts w:ascii="Book Antiqua" w:eastAsia="Book Antiqua" w:hAnsi="Book Antiqua" w:cs="Book Antiqua"/>
          <w:color w:val="000000"/>
          <w:shd w:val="clear" w:color="auto" w:fill="FFFFFF"/>
        </w:rPr>
        <w:t>Glutenostics</w:t>
      </w:r>
      <w:proofErr w:type="spellEnd"/>
      <w:r>
        <w:rPr>
          <w:rFonts w:ascii="Book Antiqua" w:eastAsia="Book Antiqua" w:hAnsi="Book Antiqua" w:cs="Book Antiqua"/>
          <w:color w:val="000000"/>
          <w:shd w:val="clear" w:color="auto" w:fill="FFFFFF"/>
        </w:rPr>
        <w:t>.</w:t>
      </w:r>
    </w:p>
    <w:p w14:paraId="7B38DDDE" w14:textId="77777777" w:rsidR="00A77B3E" w:rsidRDefault="00A77B3E">
      <w:pPr>
        <w:spacing w:line="360" w:lineRule="auto"/>
        <w:jc w:val="both"/>
      </w:pPr>
    </w:p>
    <w:p w14:paraId="4FA48143" w14:textId="31C2642D" w:rsidR="00A77B3E" w:rsidRDefault="006E349E">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0989F089" w14:textId="77777777" w:rsidR="00E54347" w:rsidRDefault="00E54347">
      <w:pPr>
        <w:spacing w:line="360" w:lineRule="auto"/>
        <w:jc w:val="both"/>
      </w:pPr>
    </w:p>
    <w:p w14:paraId="6CC576E9" w14:textId="77777777" w:rsidR="00E54347" w:rsidRDefault="00E54347" w:rsidP="00E54347">
      <w:pPr>
        <w:spacing w:line="360" w:lineRule="auto"/>
        <w:jc w:val="both"/>
        <w:rPr>
          <w:rFonts w:ascii="Book Antiqua" w:eastAsia="Book Antiqua" w:hAnsi="Book Antiqua" w:cs="Book Antiqua"/>
          <w:color w:val="000000"/>
          <w:szCs w:val="22"/>
        </w:rPr>
      </w:pPr>
      <w:r w:rsidRPr="006A4A7B">
        <w:rPr>
          <w:rFonts w:ascii="Book Antiqua" w:eastAsia="Book Antiqua" w:hAnsi="Book Antiqua" w:cs="Book Antiqua"/>
          <w:b/>
          <w:bCs/>
          <w:color w:val="000000"/>
          <w:szCs w:val="22"/>
        </w:rPr>
        <w:t>STROBE statement</w:t>
      </w:r>
      <w:r>
        <w:rPr>
          <w:rFonts w:ascii="Book Antiqua" w:eastAsia="Book Antiqua" w:hAnsi="Book Antiqua" w:cs="Book Antiqua"/>
          <w:b/>
          <w:bCs/>
          <w:color w:val="000000"/>
          <w:szCs w:val="22"/>
        </w:rPr>
        <w:t xml:space="preserve">: </w:t>
      </w:r>
      <w:r w:rsidRPr="006A4A7B">
        <w:rPr>
          <w:rFonts w:ascii="Book Antiqua" w:eastAsia="Book Antiqua" w:hAnsi="Book Antiqua" w:cs="Book Antiqua"/>
          <w:color w:val="000000"/>
          <w:szCs w:val="22"/>
        </w:rPr>
        <w:t>The authors have read the STROBE Statement</w:t>
      </w:r>
      <w:r>
        <w:rPr>
          <w:rFonts w:ascii="Book Antiqua" w:eastAsia="Book Antiqua" w:hAnsi="Book Antiqua" w:cs="Book Antiqua"/>
          <w:color w:val="000000"/>
          <w:szCs w:val="22"/>
        </w:rPr>
        <w:t>-</w:t>
      </w:r>
      <w:r w:rsidRPr="006A4A7B">
        <w:rPr>
          <w:rFonts w:ascii="Book Antiqua" w:eastAsia="Book Antiqua" w:hAnsi="Book Antiqua" w:cs="Book Antiqua"/>
          <w:color w:val="000000"/>
          <w:szCs w:val="22"/>
        </w:rPr>
        <w:t>checklist of items, and the manuscript was prepared and revised according to the STROBE Statement</w:t>
      </w:r>
      <w:r>
        <w:rPr>
          <w:rFonts w:ascii="Book Antiqua" w:eastAsia="Book Antiqua" w:hAnsi="Book Antiqua" w:cs="Book Antiqua"/>
          <w:color w:val="000000"/>
          <w:szCs w:val="22"/>
        </w:rPr>
        <w:t>-</w:t>
      </w:r>
      <w:r w:rsidRPr="006A4A7B">
        <w:rPr>
          <w:rFonts w:ascii="Book Antiqua" w:eastAsia="Book Antiqua" w:hAnsi="Book Antiqua" w:cs="Book Antiqua"/>
          <w:color w:val="000000"/>
          <w:szCs w:val="22"/>
        </w:rPr>
        <w:t>checklist of items.</w:t>
      </w:r>
    </w:p>
    <w:p w14:paraId="74FFCBAA" w14:textId="77777777" w:rsidR="00A77B3E" w:rsidRDefault="00A77B3E">
      <w:pPr>
        <w:spacing w:line="360" w:lineRule="auto"/>
        <w:jc w:val="both"/>
      </w:pPr>
    </w:p>
    <w:p w14:paraId="14354148" w14:textId="77777777" w:rsidR="00A77B3E" w:rsidRDefault="006E349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1618D5" w14:textId="77777777" w:rsidR="00A77B3E" w:rsidRDefault="00A77B3E">
      <w:pPr>
        <w:spacing w:line="360" w:lineRule="auto"/>
        <w:jc w:val="both"/>
      </w:pPr>
    </w:p>
    <w:p w14:paraId="1CC38DA1" w14:textId="321D96C6" w:rsidR="00A77B3E" w:rsidRDefault="006E349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5066BB">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151D22B2" w14:textId="77777777" w:rsidR="00A77B3E" w:rsidRDefault="00A77B3E">
      <w:pPr>
        <w:spacing w:line="360" w:lineRule="auto"/>
        <w:jc w:val="both"/>
      </w:pPr>
    </w:p>
    <w:p w14:paraId="19C8CBE7" w14:textId="77777777" w:rsidR="00A77B3E" w:rsidRDefault="006E349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 2020</w:t>
      </w:r>
    </w:p>
    <w:p w14:paraId="47430A1A" w14:textId="77777777" w:rsidR="00A77B3E" w:rsidRDefault="006E349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21, 2020</w:t>
      </w:r>
    </w:p>
    <w:p w14:paraId="71E74F39" w14:textId="77777777" w:rsidR="00A77B3E" w:rsidRDefault="006E349E">
      <w:pPr>
        <w:spacing w:line="360" w:lineRule="auto"/>
        <w:jc w:val="both"/>
      </w:pPr>
      <w:r>
        <w:rPr>
          <w:rFonts w:ascii="Book Antiqua" w:eastAsia="Book Antiqua" w:hAnsi="Book Antiqua" w:cs="Book Antiqua"/>
          <w:b/>
          <w:color w:val="000000"/>
        </w:rPr>
        <w:t xml:space="preserve">Article in press: </w:t>
      </w:r>
    </w:p>
    <w:p w14:paraId="51D73E5C" w14:textId="77777777" w:rsidR="00A77B3E" w:rsidRDefault="00A77B3E">
      <w:pPr>
        <w:spacing w:line="360" w:lineRule="auto"/>
        <w:jc w:val="both"/>
      </w:pPr>
    </w:p>
    <w:p w14:paraId="4980249D" w14:textId="653F23A2" w:rsidR="00A77B3E" w:rsidRDefault="006E349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w:t>
      </w:r>
      <w:r w:rsidR="005066BB">
        <w:rPr>
          <w:rFonts w:ascii="Book Antiqua" w:eastAsia="Book Antiqua" w:hAnsi="Book Antiqua" w:cs="Book Antiqua"/>
          <w:color w:val="000000"/>
        </w:rPr>
        <w:t>d he</w:t>
      </w:r>
      <w:r>
        <w:rPr>
          <w:rFonts w:ascii="Book Antiqua" w:eastAsia="Book Antiqua" w:hAnsi="Book Antiqua" w:cs="Book Antiqua"/>
          <w:color w:val="000000"/>
        </w:rPr>
        <w:t>patology</w:t>
      </w:r>
    </w:p>
    <w:p w14:paraId="54098907" w14:textId="77777777" w:rsidR="00A77B3E" w:rsidRDefault="006E349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CDAC443" w14:textId="77777777" w:rsidR="00A77B3E" w:rsidRDefault="006E349E">
      <w:pPr>
        <w:spacing w:line="360" w:lineRule="auto"/>
        <w:jc w:val="both"/>
      </w:pPr>
      <w:r>
        <w:rPr>
          <w:rFonts w:ascii="Book Antiqua" w:eastAsia="Book Antiqua" w:hAnsi="Book Antiqua" w:cs="Book Antiqua"/>
          <w:b/>
          <w:color w:val="000000"/>
        </w:rPr>
        <w:t>Peer-review report’s scientific quality classification</w:t>
      </w:r>
    </w:p>
    <w:p w14:paraId="3FA7F556" w14:textId="77777777" w:rsidR="00A77B3E" w:rsidRDefault="006E349E">
      <w:pPr>
        <w:spacing w:line="360" w:lineRule="auto"/>
        <w:jc w:val="both"/>
      </w:pPr>
      <w:r>
        <w:rPr>
          <w:rFonts w:ascii="Book Antiqua" w:eastAsia="Book Antiqua" w:hAnsi="Book Antiqua" w:cs="Book Antiqua"/>
          <w:color w:val="000000"/>
        </w:rPr>
        <w:t>Grade A (Excellent): A</w:t>
      </w:r>
    </w:p>
    <w:p w14:paraId="297BCA85" w14:textId="300EA1CA" w:rsidR="00A77B3E" w:rsidRDefault="006E349E">
      <w:pPr>
        <w:spacing w:line="360" w:lineRule="auto"/>
        <w:jc w:val="both"/>
      </w:pPr>
      <w:r>
        <w:rPr>
          <w:rFonts w:ascii="Book Antiqua" w:eastAsia="Book Antiqua" w:hAnsi="Book Antiqua" w:cs="Book Antiqua"/>
          <w:color w:val="000000"/>
        </w:rPr>
        <w:t>Grade B (Very good): B, B</w:t>
      </w:r>
      <w:r w:rsidR="005066BB">
        <w:rPr>
          <w:rFonts w:ascii="Book Antiqua" w:eastAsia="Book Antiqua" w:hAnsi="Book Antiqua" w:cs="Book Antiqua"/>
          <w:color w:val="000000"/>
        </w:rPr>
        <w:t>, B</w:t>
      </w:r>
    </w:p>
    <w:p w14:paraId="0D1527D6" w14:textId="77777777" w:rsidR="00A77B3E" w:rsidRDefault="006E349E">
      <w:pPr>
        <w:spacing w:line="360" w:lineRule="auto"/>
        <w:jc w:val="both"/>
      </w:pPr>
      <w:r>
        <w:rPr>
          <w:rFonts w:ascii="Book Antiqua" w:eastAsia="Book Antiqua" w:hAnsi="Book Antiqua" w:cs="Book Antiqua"/>
          <w:color w:val="000000"/>
        </w:rPr>
        <w:t>Grade C (Good): 0</w:t>
      </w:r>
    </w:p>
    <w:p w14:paraId="7FA5F635" w14:textId="77777777" w:rsidR="00A77B3E" w:rsidRDefault="006E349E">
      <w:pPr>
        <w:spacing w:line="360" w:lineRule="auto"/>
        <w:jc w:val="both"/>
      </w:pPr>
      <w:r>
        <w:rPr>
          <w:rFonts w:ascii="Book Antiqua" w:eastAsia="Book Antiqua" w:hAnsi="Book Antiqua" w:cs="Book Antiqua"/>
          <w:color w:val="000000"/>
        </w:rPr>
        <w:t>Grade D (Fair): 0</w:t>
      </w:r>
    </w:p>
    <w:p w14:paraId="1CE35BAC" w14:textId="77777777" w:rsidR="00A77B3E" w:rsidRDefault="006E349E">
      <w:pPr>
        <w:spacing w:line="360" w:lineRule="auto"/>
        <w:jc w:val="both"/>
      </w:pPr>
      <w:r>
        <w:rPr>
          <w:rFonts w:ascii="Book Antiqua" w:eastAsia="Book Antiqua" w:hAnsi="Book Antiqua" w:cs="Book Antiqua"/>
          <w:color w:val="000000"/>
        </w:rPr>
        <w:t>Grade E (Poor): 0</w:t>
      </w:r>
    </w:p>
    <w:p w14:paraId="5940983F" w14:textId="77777777" w:rsidR="00A77B3E" w:rsidRDefault="00A77B3E">
      <w:pPr>
        <w:spacing w:line="360" w:lineRule="auto"/>
        <w:jc w:val="both"/>
      </w:pPr>
    </w:p>
    <w:p w14:paraId="1E1D7CA9" w14:textId="77777777" w:rsidR="00A77B3E" w:rsidRDefault="006E349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Makovicky</w:t>
      </w:r>
      <w:proofErr w:type="spellEnd"/>
      <w:r>
        <w:rPr>
          <w:rFonts w:ascii="Book Antiqua" w:eastAsia="Book Antiqua" w:hAnsi="Book Antiqua" w:cs="Book Antiqua"/>
          <w:color w:val="000000"/>
        </w:rPr>
        <w:t xml:space="preserve"> P, Pop TL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F9A63B3" w14:textId="77777777" w:rsidR="00084ECD" w:rsidRDefault="00084ECD">
      <w:pPr>
        <w:spacing w:line="360" w:lineRule="auto"/>
        <w:jc w:val="both"/>
        <w:sectPr w:rsidR="00084ECD">
          <w:pgSz w:w="12240" w:h="15840"/>
          <w:pgMar w:top="1440" w:right="1440" w:bottom="1440" w:left="1440" w:header="720" w:footer="720" w:gutter="0"/>
          <w:cols w:space="720"/>
          <w:docGrid w:linePitch="360"/>
        </w:sectPr>
      </w:pPr>
    </w:p>
    <w:p w14:paraId="6C4415B7" w14:textId="69E1FAE3" w:rsidR="00A77B3E" w:rsidRDefault="006E349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D62B8A0" w14:textId="64353B11" w:rsidR="00126E2E" w:rsidRDefault="00C34891">
      <w:pPr>
        <w:spacing w:line="360" w:lineRule="auto"/>
        <w:jc w:val="both"/>
      </w:pPr>
      <w:r>
        <w:rPr>
          <w:noProof/>
          <w:lang w:eastAsia="zh-CN"/>
        </w:rPr>
        <w:drawing>
          <wp:inline distT="0" distB="0" distL="0" distR="0" wp14:anchorId="51B3CBB6" wp14:editId="4FDA8121">
            <wp:extent cx="5015501" cy="488210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066" r="19945"/>
                    <a:stretch/>
                  </pic:blipFill>
                  <pic:spPr bwMode="auto">
                    <a:xfrm>
                      <a:off x="0" y="0"/>
                      <a:ext cx="5045470" cy="4911273"/>
                    </a:xfrm>
                    <a:prstGeom prst="rect">
                      <a:avLst/>
                    </a:prstGeom>
                    <a:noFill/>
                    <a:ln>
                      <a:noFill/>
                    </a:ln>
                    <a:extLst>
                      <a:ext uri="{53640926-AAD7-44D8-BBD7-CCE9431645EC}">
                        <a14:shadowObscured xmlns:a14="http://schemas.microsoft.com/office/drawing/2010/main"/>
                      </a:ext>
                    </a:extLst>
                  </pic:spPr>
                </pic:pic>
              </a:graphicData>
            </a:graphic>
          </wp:inline>
        </w:drawing>
      </w:r>
    </w:p>
    <w:p w14:paraId="0B0201C6" w14:textId="2FB401A1" w:rsidR="00EE31C7" w:rsidRDefault="006E349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C34891" w:rsidRPr="00C34891">
        <w:rPr>
          <w:rFonts w:ascii="Book Antiqua" w:eastAsia="Book Antiqua" w:hAnsi="Book Antiqua" w:cs="Book Antiqua"/>
          <w:b/>
          <w:bCs/>
          <w:color w:val="000000"/>
        </w:rPr>
        <w:t xml:space="preserve"> </w:t>
      </w:r>
      <w:r w:rsidRPr="00C34891">
        <w:rPr>
          <w:rFonts w:ascii="Book Antiqua" w:eastAsia="Book Antiqua" w:hAnsi="Book Antiqua" w:cs="Book Antiqua"/>
          <w:b/>
          <w:bCs/>
          <w:color w:val="000000"/>
        </w:rPr>
        <w:t xml:space="preserve">Patient selection flowchart. </w:t>
      </w:r>
      <w:r w:rsidR="00C34891">
        <w:rPr>
          <w:rFonts w:ascii="Book Antiqua" w:eastAsia="Book Antiqua" w:hAnsi="Book Antiqua" w:cs="Book Antiqua"/>
          <w:color w:val="000000"/>
        </w:rPr>
        <w:t xml:space="preserve">GFD: Gluten-free diet; </w:t>
      </w:r>
      <w:r w:rsidR="00EE31C7">
        <w:rPr>
          <w:rFonts w:ascii="Book Antiqua" w:eastAsia="Book Antiqua" w:hAnsi="Book Antiqua" w:cs="Book Antiqua"/>
          <w:color w:val="000000"/>
        </w:rPr>
        <w:t>NRCD: Non-responsive celiac disease.</w:t>
      </w:r>
    </w:p>
    <w:p w14:paraId="5EE91ABF" w14:textId="25D3D1F4" w:rsidR="00A77B3E" w:rsidRPr="00C34891" w:rsidRDefault="00EE31C7">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46284BE6" wp14:editId="17BDBC37">
            <wp:extent cx="5139516" cy="405306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120" cy="4055903"/>
                    </a:xfrm>
                    <a:prstGeom prst="rect">
                      <a:avLst/>
                    </a:prstGeom>
                    <a:noFill/>
                  </pic:spPr>
                </pic:pic>
              </a:graphicData>
            </a:graphic>
          </wp:inline>
        </w:drawing>
      </w:r>
    </w:p>
    <w:p w14:paraId="670AB8CF" w14:textId="55D6FA4E" w:rsidR="003926FF" w:rsidRDefault="006E349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EE31C7" w:rsidRPr="00EE31C7">
        <w:rPr>
          <w:rFonts w:ascii="Book Antiqua" w:eastAsia="Book Antiqua" w:hAnsi="Book Antiqua" w:cs="Book Antiqua"/>
          <w:b/>
          <w:bCs/>
          <w:color w:val="000000"/>
        </w:rPr>
        <w:t xml:space="preserve"> </w:t>
      </w:r>
      <w:r w:rsidRPr="00EE31C7">
        <w:rPr>
          <w:rFonts w:ascii="Book Antiqua" w:eastAsia="Book Antiqua" w:hAnsi="Book Antiqua" w:cs="Book Antiqua"/>
          <w:b/>
          <w:bCs/>
          <w:color w:val="000000"/>
        </w:rPr>
        <w:t>Reasons for non-responsive celiac disease</w:t>
      </w:r>
      <w:r w:rsidR="00EE31C7" w:rsidRPr="00EE31C7">
        <w:rPr>
          <w:rFonts w:ascii="Book Antiqua" w:eastAsia="Book Antiqua" w:hAnsi="Book Antiqua" w:cs="Book Antiqua"/>
          <w:b/>
          <w:bCs/>
          <w:color w:val="000000"/>
        </w:rPr>
        <w:t xml:space="preserve"> </w:t>
      </w:r>
      <w:r w:rsidRPr="00EE31C7">
        <w:rPr>
          <w:rFonts w:ascii="Book Antiqua" w:eastAsia="Book Antiqua" w:hAnsi="Book Antiqua" w:cs="Book Antiqua"/>
          <w:b/>
          <w:bCs/>
          <w:color w:val="000000"/>
        </w:rPr>
        <w:t xml:space="preserve">in subjects with persistent symptoms after 6 </w:t>
      </w:r>
      <w:proofErr w:type="spellStart"/>
      <w:r w:rsidRPr="00EE31C7">
        <w:rPr>
          <w:rFonts w:ascii="Book Antiqua" w:eastAsia="Book Antiqua" w:hAnsi="Book Antiqua" w:cs="Book Antiqua"/>
          <w:b/>
          <w:bCs/>
          <w:color w:val="000000"/>
        </w:rPr>
        <w:t>mo</w:t>
      </w:r>
      <w:proofErr w:type="spellEnd"/>
      <w:r w:rsidRPr="00EE31C7">
        <w:rPr>
          <w:rFonts w:ascii="Book Antiqua" w:eastAsia="Book Antiqua" w:hAnsi="Book Antiqua" w:cs="Book Antiqua"/>
          <w:b/>
          <w:bCs/>
          <w:color w:val="000000"/>
        </w:rPr>
        <w:t xml:space="preserve"> on a gluten-free diet</w:t>
      </w:r>
      <w:r w:rsidR="00EE31C7" w:rsidRPr="00EE31C7">
        <w:rPr>
          <w:rFonts w:ascii="Book Antiqua" w:eastAsia="Book Antiqua" w:hAnsi="Book Antiqua" w:cs="Book Antiqua"/>
          <w:b/>
          <w:bCs/>
          <w:color w:val="000000"/>
        </w:rPr>
        <w:t xml:space="preserve"> </w:t>
      </w:r>
      <w:r w:rsidRPr="00EE31C7">
        <w:rPr>
          <w:rFonts w:ascii="Book Antiqua" w:eastAsia="Book Antiqua" w:hAnsi="Book Antiqua" w:cs="Book Antiqua"/>
          <w:b/>
          <w:bCs/>
          <w:color w:val="000000"/>
        </w:rPr>
        <w:t>(</w:t>
      </w:r>
      <w:r w:rsidRPr="00EE31C7">
        <w:rPr>
          <w:rFonts w:ascii="Book Antiqua" w:eastAsia="Book Antiqua" w:hAnsi="Book Antiqua" w:cs="Book Antiqua"/>
          <w:b/>
          <w:bCs/>
          <w:i/>
          <w:iCs/>
          <w:color w:val="000000"/>
        </w:rPr>
        <w:t>n</w:t>
      </w:r>
      <w:r w:rsidRPr="00EE31C7">
        <w:rPr>
          <w:rFonts w:ascii="Book Antiqua" w:eastAsia="Book Antiqua" w:hAnsi="Book Antiqua" w:cs="Book Antiqua"/>
          <w:b/>
          <w:bCs/>
          <w:color w:val="000000"/>
        </w:rPr>
        <w:t xml:space="preserve"> = 91)</w:t>
      </w:r>
      <w:r w:rsidR="00EE31C7" w:rsidRPr="00EE31C7">
        <w:rPr>
          <w:rFonts w:ascii="Book Antiqua" w:eastAsia="Book Antiqua" w:hAnsi="Book Antiqua" w:cs="Book Antiqua"/>
          <w:b/>
          <w:bCs/>
          <w:color w:val="000000"/>
        </w:rPr>
        <w:t>.</w:t>
      </w:r>
      <w:r w:rsidR="00EE31C7">
        <w:rPr>
          <w:rFonts w:ascii="Book Antiqua" w:eastAsia="Book Antiqua" w:hAnsi="Book Antiqua" w:cs="Book Antiqua"/>
          <w:color w:val="000000"/>
        </w:rPr>
        <w:t xml:space="preserve"> </w:t>
      </w:r>
      <w:r w:rsidR="00EE31C7" w:rsidRPr="00EE31C7">
        <w:rPr>
          <w:rFonts w:ascii="Book Antiqua" w:eastAsia="Book Antiqua" w:hAnsi="Book Antiqua" w:cs="Book Antiqua"/>
          <w:i/>
          <w:iCs/>
          <w:color w:val="000000"/>
        </w:rPr>
        <w:t>H. Pylori</w:t>
      </w:r>
      <w:r w:rsidR="00EE31C7">
        <w:rPr>
          <w:rFonts w:ascii="Book Antiqua" w:eastAsia="Book Antiqua" w:hAnsi="Book Antiqua" w:cs="Book Antiqua"/>
          <w:color w:val="000000"/>
        </w:rPr>
        <w:t>:</w:t>
      </w:r>
      <w:r w:rsidR="00EE31C7" w:rsidRPr="00EE31C7">
        <w:rPr>
          <w:rFonts w:ascii="Book Antiqua" w:eastAsia="Book Antiqua" w:hAnsi="Book Antiqua" w:cs="Book Antiqua"/>
          <w:color w:val="000000"/>
        </w:rPr>
        <w:t xml:space="preserve"> </w:t>
      </w:r>
      <w:r w:rsidR="00EE31C7" w:rsidRPr="00EE31C7">
        <w:rPr>
          <w:rFonts w:ascii="Book Antiqua" w:eastAsia="Book Antiqua" w:hAnsi="Book Antiqua" w:cs="Book Antiqua"/>
          <w:i/>
          <w:iCs/>
          <w:color w:val="000000"/>
        </w:rPr>
        <w:t>Helicobacter pylori</w:t>
      </w:r>
      <w:r w:rsidR="00EE31C7">
        <w:rPr>
          <w:rFonts w:ascii="Book Antiqua" w:eastAsia="Book Antiqua" w:hAnsi="Book Antiqua" w:cs="Book Antiqua"/>
          <w:color w:val="000000"/>
        </w:rPr>
        <w:t>.</w:t>
      </w:r>
    </w:p>
    <w:p w14:paraId="32F9A8FD" w14:textId="334D5CB3" w:rsidR="00A77B3E" w:rsidRDefault="003926F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926FF">
        <w:rPr>
          <w:rFonts w:ascii="Book Antiqua" w:eastAsia="Book Antiqua" w:hAnsi="Book Antiqua" w:cs="Book Antiqua"/>
          <w:b/>
          <w:bCs/>
          <w:color w:val="000000"/>
        </w:rPr>
        <w:lastRenderedPageBreak/>
        <w:t xml:space="preserve">Table 1 Characteristics of responders to the gluten-free diet and children with non-responsive celiac disease based on persistent symptoms after 6 </w:t>
      </w:r>
      <w:proofErr w:type="spellStart"/>
      <w:r w:rsidRPr="003926FF">
        <w:rPr>
          <w:rFonts w:ascii="Book Antiqua" w:eastAsia="Book Antiqua" w:hAnsi="Book Antiqua" w:cs="Book Antiqua"/>
          <w:b/>
          <w:bCs/>
          <w:color w:val="000000"/>
        </w:rPr>
        <w:t>mo</w:t>
      </w:r>
      <w:proofErr w:type="spellEnd"/>
      <w:r w:rsidRPr="003926FF">
        <w:rPr>
          <w:rFonts w:ascii="Book Antiqua" w:eastAsia="Book Antiqua" w:hAnsi="Book Antiqua" w:cs="Book Antiqua"/>
          <w:b/>
          <w:bCs/>
          <w:color w:val="000000"/>
        </w:rPr>
        <w:t xml:space="preserve"> on a gluten-free diet</w:t>
      </w:r>
    </w:p>
    <w:tbl>
      <w:tblPr>
        <w:tblStyle w:val="TableGrid"/>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1"/>
        <w:gridCol w:w="2462"/>
        <w:gridCol w:w="1846"/>
        <w:gridCol w:w="1191"/>
      </w:tblGrid>
      <w:tr w:rsidR="009543F5" w:rsidRPr="003926FF" w14:paraId="16220C16" w14:textId="77777777" w:rsidTr="00412846">
        <w:trPr>
          <w:trHeight w:val="263"/>
        </w:trPr>
        <w:tc>
          <w:tcPr>
            <w:tcW w:w="2072" w:type="pct"/>
            <w:tcBorders>
              <w:top w:val="single" w:sz="4" w:space="0" w:color="auto"/>
              <w:bottom w:val="single" w:sz="4" w:space="0" w:color="auto"/>
            </w:tcBorders>
          </w:tcPr>
          <w:p w14:paraId="3F8DDF3E" w14:textId="400481F3" w:rsidR="00CF5DD7" w:rsidRPr="003926FF" w:rsidRDefault="00CF5DD7" w:rsidP="00CF5DD7">
            <w:pPr>
              <w:tabs>
                <w:tab w:val="left" w:pos="270"/>
              </w:tabs>
              <w:spacing w:line="360" w:lineRule="auto"/>
              <w:rPr>
                <w:rFonts w:ascii="Book Antiqua" w:hAnsi="Book Antiqua"/>
                <w:b/>
              </w:rPr>
            </w:pPr>
            <w:r w:rsidRPr="003926FF">
              <w:rPr>
                <w:rFonts w:ascii="Book Antiqua" w:hAnsi="Book Antiqua"/>
                <w:b/>
              </w:rPr>
              <w:t>Characteristic</w:t>
            </w:r>
          </w:p>
        </w:tc>
        <w:tc>
          <w:tcPr>
            <w:tcW w:w="1311" w:type="pct"/>
            <w:tcBorders>
              <w:top w:val="single" w:sz="4" w:space="0" w:color="auto"/>
              <w:bottom w:val="single" w:sz="4" w:space="0" w:color="auto"/>
            </w:tcBorders>
          </w:tcPr>
          <w:p w14:paraId="40BA2EA1" w14:textId="3AA2365F" w:rsidR="00CF5DD7" w:rsidRPr="003926FF" w:rsidRDefault="00CF5DD7" w:rsidP="00CF5DD7">
            <w:pPr>
              <w:spacing w:line="360" w:lineRule="auto"/>
              <w:rPr>
                <w:rFonts w:ascii="Book Antiqua" w:hAnsi="Book Antiqua"/>
                <w:b/>
              </w:rPr>
            </w:pPr>
            <w:r w:rsidRPr="003926FF">
              <w:rPr>
                <w:rFonts w:ascii="Book Antiqua" w:hAnsi="Book Antiqua"/>
                <w:b/>
              </w:rPr>
              <w:t>Responders</w:t>
            </w:r>
            <w:r>
              <w:rPr>
                <w:rFonts w:ascii="Book Antiqua" w:hAnsi="Book Antiqua"/>
                <w:b/>
              </w:rPr>
              <w:t xml:space="preserve"> (</w:t>
            </w:r>
            <w:r w:rsidRPr="003926FF">
              <w:rPr>
                <w:rFonts w:ascii="Book Antiqua" w:hAnsi="Book Antiqua"/>
                <w:b/>
                <w:i/>
                <w:iCs/>
              </w:rPr>
              <w:t>n</w:t>
            </w:r>
            <w:r>
              <w:rPr>
                <w:rFonts w:ascii="Book Antiqua" w:hAnsi="Book Antiqua"/>
                <w:b/>
              </w:rPr>
              <w:t xml:space="preserve"> </w:t>
            </w:r>
            <w:r w:rsidRPr="003926FF">
              <w:rPr>
                <w:rFonts w:ascii="Book Antiqua" w:hAnsi="Book Antiqua"/>
                <w:b/>
              </w:rPr>
              <w:t>=</w:t>
            </w:r>
            <w:r>
              <w:rPr>
                <w:rFonts w:ascii="Book Antiqua" w:hAnsi="Book Antiqua"/>
                <w:b/>
              </w:rPr>
              <w:t xml:space="preserve"> </w:t>
            </w:r>
            <w:r w:rsidRPr="003926FF">
              <w:rPr>
                <w:rFonts w:ascii="Book Antiqua" w:hAnsi="Book Antiqua"/>
                <w:b/>
              </w:rPr>
              <w:t>525</w:t>
            </w:r>
            <w:r>
              <w:rPr>
                <w:rFonts w:ascii="Book Antiqua" w:hAnsi="Book Antiqua"/>
                <w:b/>
              </w:rPr>
              <w:t>)</w:t>
            </w:r>
          </w:p>
        </w:tc>
        <w:tc>
          <w:tcPr>
            <w:tcW w:w="983" w:type="pct"/>
            <w:tcBorders>
              <w:top w:val="single" w:sz="4" w:space="0" w:color="auto"/>
              <w:bottom w:val="single" w:sz="4" w:space="0" w:color="auto"/>
            </w:tcBorders>
          </w:tcPr>
          <w:p w14:paraId="59788EEC" w14:textId="7751A491" w:rsidR="00CF5DD7" w:rsidRPr="003926FF" w:rsidRDefault="00CF5DD7" w:rsidP="00CF5DD7">
            <w:pPr>
              <w:tabs>
                <w:tab w:val="right" w:pos="1152"/>
              </w:tabs>
              <w:spacing w:line="360" w:lineRule="auto"/>
              <w:rPr>
                <w:rFonts w:ascii="Book Antiqua" w:hAnsi="Book Antiqua"/>
                <w:b/>
              </w:rPr>
            </w:pPr>
            <w:r w:rsidRPr="003926FF">
              <w:rPr>
                <w:rFonts w:ascii="Book Antiqua" w:hAnsi="Book Antiqua"/>
                <w:b/>
              </w:rPr>
              <w:t>NRCD</w:t>
            </w:r>
            <w:r>
              <w:rPr>
                <w:rFonts w:ascii="Book Antiqua" w:hAnsi="Book Antiqua"/>
                <w:b/>
              </w:rPr>
              <w:t xml:space="preserve"> (</w:t>
            </w:r>
            <w:r w:rsidRPr="00816B37">
              <w:rPr>
                <w:rFonts w:ascii="Book Antiqua" w:hAnsi="Book Antiqua"/>
                <w:b/>
                <w:i/>
                <w:iCs/>
              </w:rPr>
              <w:t>n</w:t>
            </w:r>
            <w:r w:rsidR="00816B37">
              <w:rPr>
                <w:rFonts w:ascii="Book Antiqua" w:hAnsi="Book Antiqua"/>
                <w:b/>
              </w:rPr>
              <w:t xml:space="preserve"> </w:t>
            </w:r>
            <w:r w:rsidRPr="003926FF">
              <w:rPr>
                <w:rFonts w:ascii="Book Antiqua" w:hAnsi="Book Antiqua"/>
                <w:b/>
              </w:rPr>
              <w:t>=</w:t>
            </w:r>
            <w:r w:rsidR="00816B37">
              <w:rPr>
                <w:rFonts w:ascii="Book Antiqua" w:hAnsi="Book Antiqua"/>
                <w:b/>
              </w:rPr>
              <w:t xml:space="preserve"> </w:t>
            </w:r>
            <w:r w:rsidRPr="003926FF">
              <w:rPr>
                <w:rFonts w:ascii="Book Antiqua" w:hAnsi="Book Antiqua"/>
                <w:b/>
              </w:rPr>
              <w:t>91</w:t>
            </w:r>
            <w:r>
              <w:rPr>
                <w:rFonts w:ascii="Book Antiqua" w:hAnsi="Book Antiqua"/>
                <w:b/>
              </w:rPr>
              <w:t>)</w:t>
            </w:r>
          </w:p>
        </w:tc>
        <w:tc>
          <w:tcPr>
            <w:tcW w:w="634" w:type="pct"/>
            <w:tcBorders>
              <w:top w:val="single" w:sz="4" w:space="0" w:color="auto"/>
              <w:bottom w:val="single" w:sz="4" w:space="0" w:color="auto"/>
            </w:tcBorders>
          </w:tcPr>
          <w:p w14:paraId="50F0F0A6" w14:textId="3F86BC7D" w:rsidR="00CF5DD7" w:rsidRPr="003926FF" w:rsidRDefault="00CF5DD7" w:rsidP="00CF5DD7">
            <w:pPr>
              <w:tabs>
                <w:tab w:val="right" w:pos="1152"/>
              </w:tabs>
              <w:spacing w:line="360" w:lineRule="auto"/>
              <w:rPr>
                <w:rFonts w:ascii="Book Antiqua" w:hAnsi="Book Antiqua"/>
                <w:b/>
              </w:rPr>
            </w:pPr>
            <w:r w:rsidRPr="003926FF">
              <w:rPr>
                <w:rFonts w:ascii="Book Antiqua" w:hAnsi="Book Antiqua"/>
                <w:b/>
                <w:i/>
              </w:rPr>
              <w:t>P</w:t>
            </w:r>
            <w:r>
              <w:rPr>
                <w:rFonts w:ascii="Book Antiqua" w:hAnsi="Book Antiqua"/>
                <w:b/>
                <w:i/>
              </w:rPr>
              <w:t xml:space="preserve"> </w:t>
            </w:r>
            <w:r>
              <w:rPr>
                <w:rFonts w:ascii="Book Antiqua" w:hAnsi="Book Antiqua"/>
                <w:b/>
                <w:iCs/>
              </w:rPr>
              <w:t>value</w:t>
            </w:r>
          </w:p>
        </w:tc>
      </w:tr>
      <w:tr w:rsidR="009543F5" w:rsidRPr="00CF5DD7" w14:paraId="61DC1060" w14:textId="77777777" w:rsidTr="00412846">
        <w:trPr>
          <w:trHeight w:val="263"/>
        </w:trPr>
        <w:tc>
          <w:tcPr>
            <w:tcW w:w="2072" w:type="pct"/>
            <w:tcBorders>
              <w:top w:val="single" w:sz="4" w:space="0" w:color="auto"/>
            </w:tcBorders>
          </w:tcPr>
          <w:p w14:paraId="3336776B" w14:textId="39EA1B1D"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 xml:space="preserve">Female sex </w:t>
            </w:r>
            <w:r w:rsidR="002C1449" w:rsidRPr="00017816">
              <w:rPr>
                <w:rFonts w:ascii="Book Antiqua" w:hAnsi="Book Antiqua"/>
                <w:i/>
                <w:iCs/>
              </w:rPr>
              <w:t>n</w:t>
            </w:r>
            <w:r w:rsidR="002C1449" w:rsidRPr="003926FF">
              <w:rPr>
                <w:rFonts w:ascii="Book Antiqua" w:hAnsi="Book Antiqua"/>
              </w:rPr>
              <w:t xml:space="preserve"> </w:t>
            </w:r>
            <w:r w:rsidRPr="003926FF">
              <w:rPr>
                <w:rFonts w:ascii="Book Antiqua" w:hAnsi="Book Antiqua"/>
              </w:rPr>
              <w:t>(%)</w:t>
            </w:r>
          </w:p>
        </w:tc>
        <w:tc>
          <w:tcPr>
            <w:tcW w:w="1311" w:type="pct"/>
            <w:tcBorders>
              <w:top w:val="single" w:sz="4" w:space="0" w:color="auto"/>
            </w:tcBorders>
          </w:tcPr>
          <w:p w14:paraId="4B900C07" w14:textId="5BFF67B4"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339 (65)</w:t>
            </w:r>
          </w:p>
        </w:tc>
        <w:tc>
          <w:tcPr>
            <w:tcW w:w="983" w:type="pct"/>
            <w:tcBorders>
              <w:top w:val="single" w:sz="4" w:space="0" w:color="auto"/>
            </w:tcBorders>
          </w:tcPr>
          <w:p w14:paraId="57E95F94" w14:textId="0BF44DC2"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70 (77)</w:t>
            </w:r>
          </w:p>
        </w:tc>
        <w:tc>
          <w:tcPr>
            <w:tcW w:w="634" w:type="pct"/>
            <w:tcBorders>
              <w:top w:val="single" w:sz="4" w:space="0" w:color="auto"/>
            </w:tcBorders>
          </w:tcPr>
          <w:p w14:paraId="0E524F8A" w14:textId="592909ED" w:rsidR="00CF5DD7" w:rsidRPr="003926FF" w:rsidRDefault="00CF5DD7" w:rsidP="00CF5DD7">
            <w:pPr>
              <w:tabs>
                <w:tab w:val="right" w:pos="1335"/>
              </w:tabs>
              <w:spacing w:line="360" w:lineRule="auto"/>
              <w:jc w:val="both"/>
              <w:rPr>
                <w:rFonts w:ascii="Book Antiqua" w:hAnsi="Book Antiqua"/>
              </w:rPr>
            </w:pPr>
            <w:r w:rsidRPr="00CF5DD7">
              <w:rPr>
                <w:rFonts w:ascii="Book Antiqua" w:hAnsi="Book Antiqua"/>
                <w:bCs/>
                <w:iCs/>
              </w:rPr>
              <w:t>0.02</w:t>
            </w:r>
          </w:p>
        </w:tc>
      </w:tr>
      <w:tr w:rsidR="009543F5" w:rsidRPr="00CF5DD7" w14:paraId="3DC76E81" w14:textId="77777777" w:rsidTr="00412846">
        <w:trPr>
          <w:trHeight w:val="263"/>
        </w:trPr>
        <w:tc>
          <w:tcPr>
            <w:tcW w:w="2072" w:type="pct"/>
          </w:tcPr>
          <w:p w14:paraId="526D1F12" w14:textId="77777777"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Age at biopsy (</w:t>
            </w:r>
            <w:proofErr w:type="spellStart"/>
            <w:r w:rsidRPr="003926FF">
              <w:rPr>
                <w:rFonts w:ascii="Book Antiqua" w:hAnsi="Book Antiqua"/>
              </w:rPr>
              <w:t>yr</w:t>
            </w:r>
            <w:proofErr w:type="spellEnd"/>
            <w:r w:rsidRPr="003926FF">
              <w:rPr>
                <w:rFonts w:ascii="Book Antiqua" w:hAnsi="Book Antiqua"/>
              </w:rPr>
              <w:t>), median (IQR)</w:t>
            </w:r>
          </w:p>
        </w:tc>
        <w:tc>
          <w:tcPr>
            <w:tcW w:w="1311" w:type="pct"/>
            <w:shd w:val="clear" w:color="auto" w:fill="auto"/>
          </w:tcPr>
          <w:p w14:paraId="3F4DDA78" w14:textId="77777777" w:rsidR="00CF5DD7" w:rsidRPr="003926FF" w:rsidRDefault="00CF5DD7" w:rsidP="00CF5DD7">
            <w:pPr>
              <w:spacing w:line="360" w:lineRule="auto"/>
              <w:jc w:val="both"/>
              <w:rPr>
                <w:rFonts w:ascii="Book Antiqua" w:hAnsi="Book Antiqua"/>
              </w:rPr>
            </w:pPr>
            <w:r w:rsidRPr="003926FF">
              <w:rPr>
                <w:rFonts w:ascii="Book Antiqua" w:hAnsi="Book Antiqua"/>
              </w:rPr>
              <w:t>9.4 (5.9, 13.4)</w:t>
            </w:r>
          </w:p>
        </w:tc>
        <w:tc>
          <w:tcPr>
            <w:tcW w:w="983" w:type="pct"/>
          </w:tcPr>
          <w:p w14:paraId="5FE0EFEE" w14:textId="3657AFAB" w:rsidR="00CF5DD7" w:rsidRPr="003926FF" w:rsidRDefault="00CF5DD7" w:rsidP="00CF5DD7">
            <w:pPr>
              <w:spacing w:line="360" w:lineRule="auto"/>
              <w:jc w:val="both"/>
              <w:rPr>
                <w:rFonts w:ascii="Book Antiqua" w:hAnsi="Book Antiqua"/>
              </w:rPr>
            </w:pPr>
            <w:r w:rsidRPr="003926FF">
              <w:rPr>
                <w:rFonts w:ascii="Book Antiqua" w:hAnsi="Book Antiqua"/>
              </w:rPr>
              <w:t>9.6 (5.7, 13.4)</w:t>
            </w:r>
          </w:p>
        </w:tc>
        <w:tc>
          <w:tcPr>
            <w:tcW w:w="634" w:type="pct"/>
          </w:tcPr>
          <w:p w14:paraId="623DEC92" w14:textId="7756CF55" w:rsidR="00CF5DD7" w:rsidRPr="003926FF" w:rsidRDefault="00CF5DD7" w:rsidP="00CF5DD7">
            <w:pPr>
              <w:spacing w:line="360" w:lineRule="auto"/>
              <w:jc w:val="both"/>
              <w:rPr>
                <w:rFonts w:ascii="Book Antiqua" w:hAnsi="Book Antiqua"/>
              </w:rPr>
            </w:pPr>
            <w:r w:rsidRPr="00CF5DD7">
              <w:rPr>
                <w:rFonts w:ascii="Book Antiqua" w:hAnsi="Book Antiqua"/>
                <w:bCs/>
                <w:iCs/>
              </w:rPr>
              <w:t>0.73</w:t>
            </w:r>
          </w:p>
        </w:tc>
      </w:tr>
      <w:tr w:rsidR="009543F5" w:rsidRPr="003926FF" w14:paraId="5261E282" w14:textId="77777777" w:rsidTr="00412846">
        <w:trPr>
          <w:trHeight w:val="277"/>
        </w:trPr>
        <w:tc>
          <w:tcPr>
            <w:tcW w:w="2072" w:type="pct"/>
          </w:tcPr>
          <w:p w14:paraId="26E72681" w14:textId="7FAF4884"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Caucasian race</w:t>
            </w:r>
            <w:r w:rsidRPr="003926FF">
              <w:rPr>
                <w:rFonts w:ascii="Book Antiqua" w:hAnsi="Book Antiqua"/>
                <w:vertAlign w:val="superscript"/>
              </w:rPr>
              <w:t xml:space="preserve">1 </w:t>
            </w:r>
            <w:r w:rsidRPr="003926FF">
              <w:rPr>
                <w:rFonts w:ascii="Book Antiqua" w:hAnsi="Book Antiqua"/>
              </w:rPr>
              <w:t>(%)</w:t>
            </w:r>
          </w:p>
        </w:tc>
        <w:tc>
          <w:tcPr>
            <w:tcW w:w="1311" w:type="pct"/>
          </w:tcPr>
          <w:p w14:paraId="0CBCDBF6" w14:textId="77777777"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410/438 (92)</w:t>
            </w:r>
          </w:p>
        </w:tc>
        <w:tc>
          <w:tcPr>
            <w:tcW w:w="983" w:type="pct"/>
          </w:tcPr>
          <w:p w14:paraId="5A13E2FC" w14:textId="5CFB02B2"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75/85 (91)</w:t>
            </w:r>
          </w:p>
        </w:tc>
        <w:tc>
          <w:tcPr>
            <w:tcW w:w="634" w:type="pct"/>
          </w:tcPr>
          <w:p w14:paraId="0DEEB425" w14:textId="68DE7541"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1.00</w:t>
            </w:r>
          </w:p>
        </w:tc>
      </w:tr>
      <w:tr w:rsidR="009543F5" w:rsidRPr="003926FF" w14:paraId="761D4BF9" w14:textId="77777777" w:rsidTr="00412846">
        <w:trPr>
          <w:trHeight w:val="263"/>
        </w:trPr>
        <w:tc>
          <w:tcPr>
            <w:tcW w:w="2072" w:type="pct"/>
          </w:tcPr>
          <w:p w14:paraId="103B6567" w14:textId="0AF52090"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Hispanic</w:t>
            </w:r>
            <w:r w:rsidRPr="003926FF">
              <w:rPr>
                <w:rFonts w:ascii="Book Antiqua" w:hAnsi="Book Antiqua"/>
                <w:vertAlign w:val="superscript"/>
              </w:rPr>
              <w:t xml:space="preserve">2 </w:t>
            </w:r>
            <w:r w:rsidRPr="003926FF">
              <w:rPr>
                <w:rFonts w:ascii="Book Antiqua" w:hAnsi="Book Antiqua"/>
              </w:rPr>
              <w:t>(%)</w:t>
            </w:r>
          </w:p>
        </w:tc>
        <w:tc>
          <w:tcPr>
            <w:tcW w:w="1311" w:type="pct"/>
          </w:tcPr>
          <w:p w14:paraId="51ADE188" w14:textId="08BB0D2D"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6</w:t>
            </w:r>
            <w:r>
              <w:rPr>
                <w:rFonts w:ascii="Book Antiqua" w:hAnsi="Book Antiqua"/>
              </w:rPr>
              <w:t>/</w:t>
            </w:r>
            <w:r w:rsidRPr="003926FF">
              <w:rPr>
                <w:rFonts w:ascii="Book Antiqua" w:hAnsi="Book Antiqua"/>
              </w:rPr>
              <w:t>438 (1)</w:t>
            </w:r>
          </w:p>
        </w:tc>
        <w:tc>
          <w:tcPr>
            <w:tcW w:w="983" w:type="pct"/>
          </w:tcPr>
          <w:p w14:paraId="090EB6EE" w14:textId="24A33CC2"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4</w:t>
            </w:r>
            <w:r>
              <w:rPr>
                <w:rFonts w:ascii="Book Antiqua" w:hAnsi="Book Antiqua"/>
              </w:rPr>
              <w:t>/</w:t>
            </w:r>
            <w:r w:rsidRPr="003926FF">
              <w:rPr>
                <w:rFonts w:ascii="Book Antiqua" w:hAnsi="Book Antiqua"/>
              </w:rPr>
              <w:t>84 (5)</w:t>
            </w:r>
          </w:p>
        </w:tc>
        <w:tc>
          <w:tcPr>
            <w:tcW w:w="634" w:type="pct"/>
          </w:tcPr>
          <w:p w14:paraId="1D3CE414" w14:textId="401B0218"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0.06</w:t>
            </w:r>
          </w:p>
        </w:tc>
      </w:tr>
      <w:tr w:rsidR="009543F5" w:rsidRPr="003926FF" w14:paraId="321AEEED" w14:textId="77777777" w:rsidTr="00412846">
        <w:trPr>
          <w:trHeight w:val="277"/>
        </w:trPr>
        <w:tc>
          <w:tcPr>
            <w:tcW w:w="2072" w:type="pct"/>
          </w:tcPr>
          <w:p w14:paraId="5CF88CD0" w14:textId="77777777"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Medical history</w:t>
            </w:r>
          </w:p>
        </w:tc>
        <w:tc>
          <w:tcPr>
            <w:tcW w:w="1311" w:type="pct"/>
          </w:tcPr>
          <w:p w14:paraId="463EDD0E" w14:textId="77777777" w:rsidR="00CF5DD7" w:rsidRPr="003926FF" w:rsidRDefault="00CF5DD7" w:rsidP="00CF5DD7">
            <w:pPr>
              <w:tabs>
                <w:tab w:val="right" w:pos="1335"/>
              </w:tabs>
              <w:spacing w:line="360" w:lineRule="auto"/>
              <w:jc w:val="both"/>
              <w:rPr>
                <w:rFonts w:ascii="Book Antiqua" w:hAnsi="Book Antiqua"/>
              </w:rPr>
            </w:pPr>
          </w:p>
        </w:tc>
        <w:tc>
          <w:tcPr>
            <w:tcW w:w="983" w:type="pct"/>
          </w:tcPr>
          <w:p w14:paraId="6AA40D11" w14:textId="77777777" w:rsidR="00CF5DD7" w:rsidRPr="003926FF" w:rsidRDefault="00CF5DD7" w:rsidP="00CF5DD7">
            <w:pPr>
              <w:tabs>
                <w:tab w:val="right" w:pos="1335"/>
              </w:tabs>
              <w:spacing w:line="360" w:lineRule="auto"/>
              <w:jc w:val="both"/>
              <w:rPr>
                <w:rFonts w:ascii="Book Antiqua" w:hAnsi="Book Antiqua"/>
              </w:rPr>
            </w:pPr>
          </w:p>
        </w:tc>
        <w:tc>
          <w:tcPr>
            <w:tcW w:w="634" w:type="pct"/>
          </w:tcPr>
          <w:p w14:paraId="4E4B8091" w14:textId="148C6FA7" w:rsidR="00CF5DD7" w:rsidRPr="003926FF" w:rsidRDefault="00CF5DD7" w:rsidP="00CF5DD7">
            <w:pPr>
              <w:tabs>
                <w:tab w:val="right" w:pos="1335"/>
              </w:tabs>
              <w:spacing w:line="360" w:lineRule="auto"/>
              <w:jc w:val="both"/>
              <w:rPr>
                <w:rFonts w:ascii="Book Antiqua" w:hAnsi="Book Antiqua"/>
              </w:rPr>
            </w:pPr>
          </w:p>
        </w:tc>
      </w:tr>
      <w:tr w:rsidR="009543F5" w:rsidRPr="003926FF" w14:paraId="42EEA0E9" w14:textId="77777777" w:rsidTr="00412846">
        <w:trPr>
          <w:trHeight w:val="175"/>
        </w:trPr>
        <w:tc>
          <w:tcPr>
            <w:tcW w:w="2072" w:type="pct"/>
          </w:tcPr>
          <w:p w14:paraId="4E4CD942" w14:textId="651F0A70" w:rsidR="00CF5DD7" w:rsidRPr="003926FF" w:rsidRDefault="00CF5DD7">
            <w:pPr>
              <w:tabs>
                <w:tab w:val="left" w:pos="510"/>
              </w:tabs>
              <w:spacing w:line="360" w:lineRule="auto"/>
              <w:ind w:firstLineChars="100" w:firstLine="240"/>
              <w:jc w:val="both"/>
              <w:rPr>
                <w:rFonts w:ascii="Book Antiqua" w:hAnsi="Book Antiqua"/>
              </w:rPr>
            </w:pPr>
            <w:r w:rsidRPr="003926FF">
              <w:rPr>
                <w:rFonts w:ascii="Book Antiqua" w:hAnsi="Book Antiqua"/>
              </w:rPr>
              <w:t xml:space="preserve">Diabetes mellitus </w:t>
            </w:r>
            <w:r w:rsidR="002C1449" w:rsidRPr="00017816">
              <w:rPr>
                <w:rFonts w:ascii="Book Antiqua" w:hAnsi="Book Antiqua"/>
                <w:i/>
                <w:iCs/>
              </w:rPr>
              <w:t>n</w:t>
            </w:r>
            <w:r w:rsidR="002C1449" w:rsidRPr="003926FF">
              <w:rPr>
                <w:rFonts w:ascii="Book Antiqua" w:hAnsi="Book Antiqua"/>
              </w:rPr>
              <w:t xml:space="preserve"> </w:t>
            </w:r>
            <w:r w:rsidRPr="003926FF">
              <w:rPr>
                <w:rFonts w:ascii="Book Antiqua" w:hAnsi="Book Antiqua"/>
              </w:rPr>
              <w:t>(%)</w:t>
            </w:r>
          </w:p>
        </w:tc>
        <w:tc>
          <w:tcPr>
            <w:tcW w:w="1311" w:type="pct"/>
          </w:tcPr>
          <w:p w14:paraId="753786AD" w14:textId="44336B26"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39 (7)</w:t>
            </w:r>
          </w:p>
        </w:tc>
        <w:tc>
          <w:tcPr>
            <w:tcW w:w="983" w:type="pct"/>
          </w:tcPr>
          <w:p w14:paraId="47ABC609" w14:textId="255EAD01"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3 (3)</w:t>
            </w:r>
          </w:p>
        </w:tc>
        <w:tc>
          <w:tcPr>
            <w:tcW w:w="634" w:type="pct"/>
          </w:tcPr>
          <w:p w14:paraId="518C4550" w14:textId="2947F5BC"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0.18</w:t>
            </w:r>
          </w:p>
        </w:tc>
      </w:tr>
      <w:tr w:rsidR="009543F5" w:rsidRPr="003926FF" w14:paraId="41244986" w14:textId="77777777" w:rsidTr="00412846">
        <w:trPr>
          <w:trHeight w:val="263"/>
        </w:trPr>
        <w:tc>
          <w:tcPr>
            <w:tcW w:w="2072" w:type="pct"/>
          </w:tcPr>
          <w:p w14:paraId="579FD86B" w14:textId="72E061E5" w:rsidR="00CF5DD7" w:rsidRPr="003926FF" w:rsidRDefault="00CF5DD7">
            <w:pPr>
              <w:tabs>
                <w:tab w:val="left" w:pos="270"/>
                <w:tab w:val="left" w:pos="510"/>
              </w:tabs>
              <w:spacing w:line="360" w:lineRule="auto"/>
              <w:ind w:firstLineChars="100" w:firstLine="240"/>
              <w:jc w:val="both"/>
              <w:rPr>
                <w:rFonts w:ascii="Book Antiqua" w:hAnsi="Book Antiqua"/>
              </w:rPr>
            </w:pPr>
            <w:r w:rsidRPr="003926FF">
              <w:rPr>
                <w:rFonts w:ascii="Book Antiqua" w:hAnsi="Book Antiqua"/>
              </w:rPr>
              <w:t xml:space="preserve">Thyroid condition </w:t>
            </w:r>
            <w:r w:rsidR="002C1449" w:rsidRPr="00017816">
              <w:rPr>
                <w:rFonts w:ascii="Book Antiqua" w:hAnsi="Book Antiqua"/>
                <w:i/>
                <w:iCs/>
              </w:rPr>
              <w:t>n</w:t>
            </w:r>
            <w:r w:rsidR="002C1449">
              <w:rPr>
                <w:rFonts w:ascii="Book Antiqua" w:hAnsi="Book Antiqua"/>
              </w:rPr>
              <w:t xml:space="preserve"> </w:t>
            </w:r>
            <w:r w:rsidRPr="003926FF">
              <w:rPr>
                <w:rFonts w:ascii="Book Antiqua" w:hAnsi="Book Antiqua"/>
              </w:rPr>
              <w:t>(%)</w:t>
            </w:r>
          </w:p>
        </w:tc>
        <w:tc>
          <w:tcPr>
            <w:tcW w:w="1311" w:type="pct"/>
          </w:tcPr>
          <w:p w14:paraId="2A3E6F8B" w14:textId="03A26FE5"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20 (4)</w:t>
            </w:r>
          </w:p>
        </w:tc>
        <w:tc>
          <w:tcPr>
            <w:tcW w:w="983" w:type="pct"/>
          </w:tcPr>
          <w:p w14:paraId="5A0C1589" w14:textId="3C1FC0A0"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1 (1)</w:t>
            </w:r>
          </w:p>
        </w:tc>
        <w:tc>
          <w:tcPr>
            <w:tcW w:w="634" w:type="pct"/>
          </w:tcPr>
          <w:p w14:paraId="32DBA84D" w14:textId="30EE5930"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0.34</w:t>
            </w:r>
          </w:p>
        </w:tc>
      </w:tr>
      <w:tr w:rsidR="009543F5" w:rsidRPr="003926FF" w14:paraId="23F2ECAF" w14:textId="77777777" w:rsidTr="00412846">
        <w:trPr>
          <w:trHeight w:val="277"/>
        </w:trPr>
        <w:tc>
          <w:tcPr>
            <w:tcW w:w="2072" w:type="pct"/>
          </w:tcPr>
          <w:p w14:paraId="282577DE" w14:textId="25188E05" w:rsidR="00CF5DD7" w:rsidRPr="003926FF" w:rsidRDefault="00CF5DD7">
            <w:pPr>
              <w:tabs>
                <w:tab w:val="left" w:pos="270"/>
                <w:tab w:val="left" w:pos="510"/>
              </w:tabs>
              <w:spacing w:line="360" w:lineRule="auto"/>
              <w:ind w:firstLineChars="100" w:firstLine="240"/>
              <w:jc w:val="both"/>
              <w:rPr>
                <w:rFonts w:ascii="Book Antiqua" w:hAnsi="Book Antiqua"/>
              </w:rPr>
            </w:pPr>
            <w:r w:rsidRPr="003926FF">
              <w:rPr>
                <w:rFonts w:ascii="Book Antiqua" w:hAnsi="Book Antiqua"/>
              </w:rPr>
              <w:t xml:space="preserve">Down syndrome </w:t>
            </w:r>
            <w:r w:rsidR="002C1449" w:rsidRPr="00017816">
              <w:rPr>
                <w:rFonts w:ascii="Book Antiqua" w:hAnsi="Book Antiqua"/>
                <w:i/>
                <w:iCs/>
              </w:rPr>
              <w:t>n</w:t>
            </w:r>
            <w:r w:rsidR="002C1449" w:rsidRPr="003926FF">
              <w:rPr>
                <w:rFonts w:ascii="Book Antiqua" w:hAnsi="Book Antiqua"/>
              </w:rPr>
              <w:t xml:space="preserve"> </w:t>
            </w:r>
            <w:r w:rsidRPr="003926FF">
              <w:rPr>
                <w:rFonts w:ascii="Book Antiqua" w:hAnsi="Book Antiqua"/>
              </w:rPr>
              <w:t>(%)</w:t>
            </w:r>
          </w:p>
        </w:tc>
        <w:tc>
          <w:tcPr>
            <w:tcW w:w="1311" w:type="pct"/>
          </w:tcPr>
          <w:p w14:paraId="40743F7D" w14:textId="09AB4490"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12 (2)</w:t>
            </w:r>
          </w:p>
        </w:tc>
        <w:tc>
          <w:tcPr>
            <w:tcW w:w="983" w:type="pct"/>
          </w:tcPr>
          <w:p w14:paraId="35AAA0B5" w14:textId="292D9BFC"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0 (0)</w:t>
            </w:r>
          </w:p>
        </w:tc>
        <w:tc>
          <w:tcPr>
            <w:tcW w:w="634" w:type="pct"/>
          </w:tcPr>
          <w:p w14:paraId="7FA1059D" w14:textId="391390CB"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0.23</w:t>
            </w:r>
          </w:p>
        </w:tc>
      </w:tr>
      <w:tr w:rsidR="009543F5" w:rsidRPr="003926FF" w14:paraId="5C420831" w14:textId="77777777" w:rsidTr="00412846">
        <w:trPr>
          <w:trHeight w:val="263"/>
        </w:trPr>
        <w:tc>
          <w:tcPr>
            <w:tcW w:w="2072" w:type="pct"/>
          </w:tcPr>
          <w:p w14:paraId="396EBBB5" w14:textId="3A0D2B29"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 xml:space="preserve">Family history of celiac disease </w:t>
            </w:r>
            <w:r w:rsidR="002C1449" w:rsidRPr="00017816">
              <w:rPr>
                <w:rFonts w:ascii="Book Antiqua" w:hAnsi="Book Antiqua"/>
                <w:i/>
                <w:iCs/>
              </w:rPr>
              <w:t>n</w:t>
            </w:r>
            <w:r w:rsidR="002C1449">
              <w:rPr>
                <w:rFonts w:ascii="Book Antiqua" w:hAnsi="Book Antiqua"/>
              </w:rPr>
              <w:t xml:space="preserve"> </w:t>
            </w:r>
            <w:r w:rsidRPr="003926FF">
              <w:rPr>
                <w:rFonts w:ascii="Book Antiqua" w:hAnsi="Book Antiqua"/>
              </w:rPr>
              <w:t>(%)</w:t>
            </w:r>
          </w:p>
        </w:tc>
        <w:tc>
          <w:tcPr>
            <w:tcW w:w="1311" w:type="pct"/>
          </w:tcPr>
          <w:p w14:paraId="6823E931" w14:textId="0A720DC6"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144 (27)</w:t>
            </w:r>
          </w:p>
        </w:tc>
        <w:tc>
          <w:tcPr>
            <w:tcW w:w="983" w:type="pct"/>
          </w:tcPr>
          <w:p w14:paraId="5ECE5AE5" w14:textId="55C5CE90"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22 (24)</w:t>
            </w:r>
          </w:p>
        </w:tc>
        <w:tc>
          <w:tcPr>
            <w:tcW w:w="634" w:type="pct"/>
          </w:tcPr>
          <w:p w14:paraId="369995DA" w14:textId="5175A673"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0.53</w:t>
            </w:r>
          </w:p>
        </w:tc>
      </w:tr>
      <w:tr w:rsidR="009543F5" w:rsidRPr="003926FF" w14:paraId="1D2C4E2F" w14:textId="77777777" w:rsidTr="00412846">
        <w:trPr>
          <w:trHeight w:val="263"/>
        </w:trPr>
        <w:tc>
          <w:tcPr>
            <w:tcW w:w="2072" w:type="pct"/>
          </w:tcPr>
          <w:p w14:paraId="6C4115BE" w14:textId="263D9977"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Family history of other autoimmune disease</w:t>
            </w:r>
            <w:r w:rsidRPr="003926FF">
              <w:rPr>
                <w:rFonts w:ascii="Book Antiqua" w:hAnsi="Book Antiqua"/>
                <w:vertAlign w:val="superscript"/>
              </w:rPr>
              <w:t>3</w:t>
            </w:r>
            <w:r w:rsidRPr="003926FF">
              <w:rPr>
                <w:rFonts w:ascii="Book Antiqua" w:hAnsi="Book Antiqua"/>
              </w:rPr>
              <w:t xml:space="preserve"> </w:t>
            </w:r>
            <w:r w:rsidR="002C1449" w:rsidRPr="00017816">
              <w:rPr>
                <w:rFonts w:ascii="Book Antiqua" w:hAnsi="Book Antiqua"/>
                <w:i/>
                <w:iCs/>
              </w:rPr>
              <w:t>n</w:t>
            </w:r>
            <w:r w:rsidR="002C1449" w:rsidRPr="003926FF">
              <w:rPr>
                <w:rFonts w:ascii="Book Antiqua" w:hAnsi="Book Antiqua"/>
              </w:rPr>
              <w:t xml:space="preserve"> </w:t>
            </w:r>
            <w:r w:rsidRPr="003926FF">
              <w:rPr>
                <w:rFonts w:ascii="Book Antiqua" w:hAnsi="Book Antiqua"/>
              </w:rPr>
              <w:t>(%)</w:t>
            </w:r>
          </w:p>
        </w:tc>
        <w:tc>
          <w:tcPr>
            <w:tcW w:w="1311" w:type="pct"/>
          </w:tcPr>
          <w:p w14:paraId="17EC00FA" w14:textId="54872704"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239 (46)</w:t>
            </w:r>
          </w:p>
        </w:tc>
        <w:tc>
          <w:tcPr>
            <w:tcW w:w="983" w:type="pct"/>
          </w:tcPr>
          <w:p w14:paraId="6C3134BF" w14:textId="2092571C"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43 (47)</w:t>
            </w:r>
          </w:p>
        </w:tc>
        <w:tc>
          <w:tcPr>
            <w:tcW w:w="634" w:type="pct"/>
          </w:tcPr>
          <w:p w14:paraId="2A034C66" w14:textId="1D8C30F1"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0.73</w:t>
            </w:r>
          </w:p>
        </w:tc>
      </w:tr>
      <w:tr w:rsidR="009543F5" w:rsidRPr="003926FF" w14:paraId="5E47E23F" w14:textId="77777777" w:rsidTr="00412846">
        <w:trPr>
          <w:trHeight w:val="263"/>
        </w:trPr>
        <w:tc>
          <w:tcPr>
            <w:tcW w:w="2072" w:type="pct"/>
          </w:tcPr>
          <w:p w14:paraId="47C02B2E" w14:textId="3CFDE148"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BMI at diagnosis</w:t>
            </w:r>
            <w:r w:rsidRPr="003926FF">
              <w:rPr>
                <w:rFonts w:ascii="Book Antiqua" w:hAnsi="Book Antiqua"/>
                <w:vertAlign w:val="superscript"/>
              </w:rPr>
              <w:t>4</w:t>
            </w:r>
            <w:r w:rsidRPr="003926FF">
              <w:rPr>
                <w:rFonts w:ascii="Book Antiqua" w:hAnsi="Book Antiqua"/>
              </w:rPr>
              <w:t>, median (IQR)</w:t>
            </w:r>
          </w:p>
        </w:tc>
        <w:tc>
          <w:tcPr>
            <w:tcW w:w="1311" w:type="pct"/>
          </w:tcPr>
          <w:p w14:paraId="32454FD7" w14:textId="77777777" w:rsidR="00CF5DD7" w:rsidRPr="003926FF" w:rsidRDefault="00CF5DD7" w:rsidP="00CF5DD7">
            <w:pPr>
              <w:tabs>
                <w:tab w:val="right" w:pos="1152"/>
              </w:tabs>
              <w:spacing w:line="360" w:lineRule="auto"/>
              <w:jc w:val="both"/>
              <w:rPr>
                <w:rFonts w:ascii="Book Antiqua" w:hAnsi="Book Antiqua"/>
              </w:rPr>
            </w:pPr>
            <w:r w:rsidRPr="003926FF">
              <w:rPr>
                <w:rFonts w:ascii="Book Antiqua" w:hAnsi="Book Antiqua" w:cstheme="minorHAnsi"/>
              </w:rPr>
              <w:t>17.0 (15.6, 20.0)</w:t>
            </w:r>
          </w:p>
        </w:tc>
        <w:tc>
          <w:tcPr>
            <w:tcW w:w="983" w:type="pct"/>
          </w:tcPr>
          <w:p w14:paraId="3538F3C3" w14:textId="29249D1F" w:rsidR="00CF5DD7" w:rsidRPr="003926FF" w:rsidRDefault="00CF5DD7" w:rsidP="00CF5DD7">
            <w:pPr>
              <w:tabs>
                <w:tab w:val="right" w:pos="1152"/>
              </w:tabs>
              <w:spacing w:line="360" w:lineRule="auto"/>
              <w:jc w:val="both"/>
              <w:rPr>
                <w:rFonts w:ascii="Book Antiqua" w:hAnsi="Book Antiqua" w:cstheme="minorHAnsi"/>
              </w:rPr>
            </w:pPr>
            <w:r w:rsidRPr="003926FF">
              <w:rPr>
                <w:rFonts w:ascii="Book Antiqua" w:hAnsi="Book Antiqua" w:cstheme="minorHAnsi"/>
              </w:rPr>
              <w:t>16.4 (15.1, 19.3)</w:t>
            </w:r>
          </w:p>
        </w:tc>
        <w:tc>
          <w:tcPr>
            <w:tcW w:w="634" w:type="pct"/>
          </w:tcPr>
          <w:p w14:paraId="3EAAE572" w14:textId="014E1C6A" w:rsidR="00CF5DD7" w:rsidRPr="003926FF" w:rsidRDefault="00CF5DD7" w:rsidP="00CF5DD7">
            <w:pPr>
              <w:tabs>
                <w:tab w:val="right" w:pos="1152"/>
              </w:tabs>
              <w:spacing w:line="360" w:lineRule="auto"/>
              <w:jc w:val="both"/>
              <w:rPr>
                <w:rFonts w:ascii="Book Antiqua" w:hAnsi="Book Antiqua" w:cstheme="minorHAnsi"/>
              </w:rPr>
            </w:pPr>
            <w:r w:rsidRPr="003926FF">
              <w:rPr>
                <w:rFonts w:ascii="Book Antiqua" w:hAnsi="Book Antiqua" w:cstheme="minorHAnsi"/>
              </w:rPr>
              <w:t>0.03</w:t>
            </w:r>
          </w:p>
        </w:tc>
      </w:tr>
      <w:tr w:rsidR="009543F5" w:rsidRPr="003926FF" w14:paraId="413C0CEA" w14:textId="77777777" w:rsidTr="00412846">
        <w:trPr>
          <w:trHeight w:val="288"/>
        </w:trPr>
        <w:tc>
          <w:tcPr>
            <w:tcW w:w="2072" w:type="pct"/>
          </w:tcPr>
          <w:p w14:paraId="06BF754A" w14:textId="72B86EDB"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 xml:space="preserve">BMI </w:t>
            </w:r>
            <w:r w:rsidRPr="003926FF">
              <w:rPr>
                <w:rFonts w:ascii="Book Antiqua" w:hAnsi="Book Antiqua"/>
                <w:i/>
                <w:iCs/>
              </w:rPr>
              <w:t>z</w:t>
            </w:r>
            <w:r w:rsidRPr="003926FF">
              <w:rPr>
                <w:rFonts w:ascii="Book Antiqua" w:hAnsi="Book Antiqua"/>
              </w:rPr>
              <w:t>-score at diagnosis</w:t>
            </w:r>
            <w:r w:rsidRPr="003926FF">
              <w:rPr>
                <w:rFonts w:ascii="Book Antiqua" w:hAnsi="Book Antiqua"/>
                <w:vertAlign w:val="superscript"/>
              </w:rPr>
              <w:t>5</w:t>
            </w:r>
            <w:r w:rsidRPr="003926FF">
              <w:rPr>
                <w:rFonts w:ascii="Book Antiqua" w:hAnsi="Book Antiqua"/>
              </w:rPr>
              <w:t>, median (IQR)</w:t>
            </w:r>
          </w:p>
        </w:tc>
        <w:tc>
          <w:tcPr>
            <w:tcW w:w="1311" w:type="pct"/>
          </w:tcPr>
          <w:p w14:paraId="7A0348A8" w14:textId="77777777" w:rsidR="00CF5DD7" w:rsidRPr="003926FF" w:rsidRDefault="00CF5DD7" w:rsidP="00CF5DD7">
            <w:pPr>
              <w:tabs>
                <w:tab w:val="right" w:pos="1152"/>
              </w:tabs>
              <w:spacing w:line="360" w:lineRule="auto"/>
              <w:jc w:val="both"/>
              <w:rPr>
                <w:rFonts w:ascii="Book Antiqua" w:hAnsi="Book Antiqua"/>
              </w:rPr>
            </w:pPr>
            <w:r w:rsidRPr="003926FF">
              <w:rPr>
                <w:rFonts w:ascii="Book Antiqua" w:hAnsi="Book Antiqua" w:cstheme="minorHAnsi"/>
              </w:rPr>
              <w:t>0.18 (-0.48, 0.82)</w:t>
            </w:r>
          </w:p>
        </w:tc>
        <w:tc>
          <w:tcPr>
            <w:tcW w:w="983" w:type="pct"/>
          </w:tcPr>
          <w:p w14:paraId="5B500D56" w14:textId="7CAC80D4" w:rsidR="00CF5DD7" w:rsidRPr="003926FF" w:rsidRDefault="00CF5DD7" w:rsidP="00CF5DD7">
            <w:pPr>
              <w:tabs>
                <w:tab w:val="right" w:pos="1152"/>
              </w:tabs>
              <w:spacing w:line="360" w:lineRule="auto"/>
              <w:jc w:val="both"/>
              <w:rPr>
                <w:rFonts w:ascii="Book Antiqua" w:hAnsi="Book Antiqua" w:cstheme="minorHAnsi"/>
              </w:rPr>
            </w:pPr>
            <w:r w:rsidRPr="003926FF">
              <w:rPr>
                <w:rFonts w:ascii="Book Antiqua" w:hAnsi="Book Antiqua" w:cstheme="minorHAnsi"/>
              </w:rPr>
              <w:t>0.00 (-1.12, 0.58)</w:t>
            </w:r>
          </w:p>
        </w:tc>
        <w:tc>
          <w:tcPr>
            <w:tcW w:w="634" w:type="pct"/>
          </w:tcPr>
          <w:p w14:paraId="1F1FA144" w14:textId="73F4F459" w:rsidR="00CF5DD7" w:rsidRPr="003926FF" w:rsidRDefault="00CF5DD7" w:rsidP="00CF5DD7">
            <w:pPr>
              <w:tabs>
                <w:tab w:val="right" w:pos="1152"/>
              </w:tabs>
              <w:spacing w:line="360" w:lineRule="auto"/>
              <w:jc w:val="both"/>
              <w:rPr>
                <w:rFonts w:ascii="Book Antiqua" w:hAnsi="Book Antiqua" w:cstheme="minorHAnsi"/>
              </w:rPr>
            </w:pPr>
            <w:r w:rsidRPr="003926FF">
              <w:rPr>
                <w:rFonts w:ascii="Book Antiqua" w:hAnsi="Book Antiqua" w:cstheme="minorHAnsi"/>
              </w:rPr>
              <w:t>0.02</w:t>
            </w:r>
          </w:p>
        </w:tc>
      </w:tr>
      <w:tr w:rsidR="009543F5" w:rsidRPr="003926FF" w14:paraId="1A2E3BDB" w14:textId="77777777" w:rsidTr="00412846">
        <w:trPr>
          <w:trHeight w:val="263"/>
        </w:trPr>
        <w:tc>
          <w:tcPr>
            <w:tcW w:w="2072" w:type="pct"/>
          </w:tcPr>
          <w:p w14:paraId="37C8432D" w14:textId="24352E58"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cstheme="minorHAnsi"/>
              </w:rPr>
              <w:t>≥</w:t>
            </w:r>
            <w:r>
              <w:rPr>
                <w:rFonts w:ascii="Book Antiqua" w:hAnsi="Book Antiqua" w:cstheme="minorHAnsi"/>
              </w:rPr>
              <w:t xml:space="preserve"> </w:t>
            </w:r>
            <w:r w:rsidRPr="003926FF">
              <w:rPr>
                <w:rFonts w:ascii="Book Antiqua" w:hAnsi="Book Antiqua"/>
              </w:rPr>
              <w:t xml:space="preserve">1 nutrition visit within first 120 d of GFD </w:t>
            </w:r>
            <w:r w:rsidR="002C1449" w:rsidRPr="00017816">
              <w:rPr>
                <w:rFonts w:ascii="Book Antiqua" w:hAnsi="Book Antiqua"/>
                <w:i/>
                <w:iCs/>
              </w:rPr>
              <w:t>n</w:t>
            </w:r>
            <w:r w:rsidR="002C1449">
              <w:rPr>
                <w:rFonts w:ascii="Book Antiqua" w:hAnsi="Book Antiqua"/>
              </w:rPr>
              <w:t xml:space="preserve"> </w:t>
            </w:r>
            <w:r w:rsidRPr="003926FF">
              <w:rPr>
                <w:rFonts w:ascii="Book Antiqua" w:hAnsi="Book Antiqua"/>
              </w:rPr>
              <w:t>(%)</w:t>
            </w:r>
          </w:p>
        </w:tc>
        <w:tc>
          <w:tcPr>
            <w:tcW w:w="1311" w:type="pct"/>
            <w:shd w:val="clear" w:color="auto" w:fill="auto"/>
          </w:tcPr>
          <w:p w14:paraId="18C5EAD8" w14:textId="2B20A631"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342 (65)</w:t>
            </w:r>
          </w:p>
        </w:tc>
        <w:tc>
          <w:tcPr>
            <w:tcW w:w="983" w:type="pct"/>
          </w:tcPr>
          <w:p w14:paraId="472F4FAB" w14:textId="00D74BAA" w:rsidR="00CF5DD7" w:rsidRPr="003926FF" w:rsidRDefault="00CF5DD7" w:rsidP="00CF5DD7">
            <w:pPr>
              <w:tabs>
                <w:tab w:val="right" w:pos="1350"/>
              </w:tabs>
              <w:spacing w:line="360" w:lineRule="auto"/>
              <w:jc w:val="both"/>
              <w:rPr>
                <w:rFonts w:ascii="Book Antiqua" w:hAnsi="Book Antiqua"/>
              </w:rPr>
            </w:pPr>
            <w:r w:rsidRPr="003926FF">
              <w:rPr>
                <w:rFonts w:ascii="Book Antiqua" w:hAnsi="Book Antiqua"/>
              </w:rPr>
              <w:t>75 (82)</w:t>
            </w:r>
          </w:p>
        </w:tc>
        <w:tc>
          <w:tcPr>
            <w:tcW w:w="634" w:type="pct"/>
          </w:tcPr>
          <w:p w14:paraId="407918AF" w14:textId="0D11285B" w:rsidR="00CF5DD7" w:rsidRPr="003926FF" w:rsidRDefault="00CF5DD7" w:rsidP="00CF5DD7">
            <w:pPr>
              <w:tabs>
                <w:tab w:val="right" w:pos="1350"/>
              </w:tabs>
              <w:spacing w:line="360" w:lineRule="auto"/>
              <w:jc w:val="both"/>
              <w:rPr>
                <w:rFonts w:ascii="Book Antiqua" w:hAnsi="Book Antiqua"/>
              </w:rPr>
            </w:pPr>
            <w:r w:rsidRPr="003926FF">
              <w:rPr>
                <w:rFonts w:ascii="Book Antiqua" w:hAnsi="Book Antiqua"/>
              </w:rPr>
              <w:t>0.001</w:t>
            </w:r>
          </w:p>
        </w:tc>
      </w:tr>
      <w:tr w:rsidR="009543F5" w:rsidRPr="003926FF" w14:paraId="2DAA2E02" w14:textId="77777777" w:rsidTr="00412846">
        <w:trPr>
          <w:trHeight w:val="263"/>
        </w:trPr>
        <w:tc>
          <w:tcPr>
            <w:tcW w:w="2072" w:type="pct"/>
            <w:tcBorders>
              <w:bottom w:val="single" w:sz="4" w:space="0" w:color="auto"/>
            </w:tcBorders>
          </w:tcPr>
          <w:p w14:paraId="7ABAF95A" w14:textId="2EC5E063" w:rsidR="00CF5DD7" w:rsidRPr="003926FF" w:rsidRDefault="00CF5DD7" w:rsidP="00CF5DD7">
            <w:pPr>
              <w:tabs>
                <w:tab w:val="left" w:pos="270"/>
              </w:tabs>
              <w:spacing w:line="360" w:lineRule="auto"/>
              <w:jc w:val="both"/>
              <w:rPr>
                <w:rFonts w:ascii="Book Antiqua" w:hAnsi="Book Antiqua" w:cstheme="minorHAnsi"/>
              </w:rPr>
            </w:pPr>
            <w:r w:rsidRPr="003926FF">
              <w:rPr>
                <w:rFonts w:ascii="Book Antiqua" w:hAnsi="Book Antiqua" w:cstheme="minorHAnsi"/>
              </w:rPr>
              <w:t>Time between diagnosis and first nutrition visit (</w:t>
            </w:r>
            <w:proofErr w:type="spellStart"/>
            <w:r w:rsidRPr="003926FF">
              <w:rPr>
                <w:rFonts w:ascii="Book Antiqua" w:hAnsi="Book Antiqua" w:cstheme="minorHAnsi"/>
              </w:rPr>
              <w:t>wk</w:t>
            </w:r>
            <w:proofErr w:type="spellEnd"/>
            <w:r w:rsidRPr="003926FF">
              <w:rPr>
                <w:rFonts w:ascii="Book Antiqua" w:hAnsi="Book Antiqua" w:cstheme="minorHAnsi"/>
              </w:rPr>
              <w:t>), median (IQR)</w:t>
            </w:r>
          </w:p>
        </w:tc>
        <w:tc>
          <w:tcPr>
            <w:tcW w:w="1311" w:type="pct"/>
            <w:tcBorders>
              <w:bottom w:val="single" w:sz="4" w:space="0" w:color="auto"/>
            </w:tcBorders>
            <w:shd w:val="clear" w:color="auto" w:fill="auto"/>
          </w:tcPr>
          <w:p w14:paraId="71FCE5C2" w14:textId="77777777"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4.0 (2.1, 7.0)</w:t>
            </w:r>
          </w:p>
        </w:tc>
        <w:tc>
          <w:tcPr>
            <w:tcW w:w="983" w:type="pct"/>
            <w:tcBorders>
              <w:bottom w:val="single" w:sz="4" w:space="0" w:color="auto"/>
            </w:tcBorders>
          </w:tcPr>
          <w:p w14:paraId="6F0A1D03" w14:textId="5E7E7BF8" w:rsidR="00CF5DD7" w:rsidRPr="003926FF" w:rsidRDefault="00CF5DD7" w:rsidP="00CF5DD7">
            <w:pPr>
              <w:tabs>
                <w:tab w:val="right" w:pos="1350"/>
              </w:tabs>
              <w:spacing w:line="360" w:lineRule="auto"/>
              <w:jc w:val="both"/>
              <w:rPr>
                <w:rFonts w:ascii="Book Antiqua" w:hAnsi="Book Antiqua"/>
              </w:rPr>
            </w:pPr>
            <w:r w:rsidRPr="003926FF">
              <w:rPr>
                <w:rFonts w:ascii="Book Antiqua" w:hAnsi="Book Antiqua"/>
              </w:rPr>
              <w:t>3.4 (2.2, 5.6)</w:t>
            </w:r>
          </w:p>
        </w:tc>
        <w:tc>
          <w:tcPr>
            <w:tcW w:w="634" w:type="pct"/>
            <w:tcBorders>
              <w:bottom w:val="single" w:sz="4" w:space="0" w:color="auto"/>
            </w:tcBorders>
          </w:tcPr>
          <w:p w14:paraId="352E3930" w14:textId="5D409C49" w:rsidR="00CF5DD7" w:rsidRPr="003926FF" w:rsidRDefault="00CF5DD7" w:rsidP="00CF5DD7">
            <w:pPr>
              <w:tabs>
                <w:tab w:val="right" w:pos="1350"/>
              </w:tabs>
              <w:spacing w:line="360" w:lineRule="auto"/>
              <w:jc w:val="both"/>
              <w:rPr>
                <w:rFonts w:ascii="Book Antiqua" w:hAnsi="Book Antiqua"/>
              </w:rPr>
            </w:pPr>
            <w:r w:rsidRPr="003926FF">
              <w:rPr>
                <w:rFonts w:ascii="Book Antiqua" w:hAnsi="Book Antiqua"/>
              </w:rPr>
              <w:t>0.36</w:t>
            </w:r>
          </w:p>
        </w:tc>
      </w:tr>
    </w:tbl>
    <w:p w14:paraId="1E09A2E8" w14:textId="7A061917" w:rsidR="00017816" w:rsidRDefault="00CF5DD7" w:rsidP="00CF5DD7">
      <w:pPr>
        <w:spacing w:line="360" w:lineRule="auto"/>
        <w:jc w:val="both"/>
        <w:rPr>
          <w:rFonts w:ascii="Book Antiqua" w:eastAsia="Book Antiqua" w:hAnsi="Book Antiqua" w:cs="Book Antiqua"/>
          <w:color w:val="000000"/>
        </w:rPr>
      </w:pPr>
      <w:r>
        <w:rPr>
          <w:rFonts w:ascii="Book Antiqua" w:hAnsi="Book Antiqua"/>
        </w:rPr>
        <w:t>D</w:t>
      </w:r>
      <w:r w:rsidRPr="00611910">
        <w:rPr>
          <w:rFonts w:ascii="Book Antiqua" w:hAnsi="Book Antiqua"/>
        </w:rPr>
        <w:t xml:space="preserve">ata unknown: </w:t>
      </w:r>
      <w:r>
        <w:rPr>
          <w:rFonts w:ascii="Book Antiqua" w:hAnsi="Book Antiqua"/>
          <w:vertAlign w:val="superscript"/>
        </w:rPr>
        <w:t>1</w:t>
      </w:r>
      <w:r w:rsidRPr="00CF5DD7">
        <w:rPr>
          <w:rFonts w:ascii="Book Antiqua" w:hAnsi="Book Antiqua"/>
          <w:i/>
          <w:iCs/>
        </w:rPr>
        <w:t>n</w:t>
      </w:r>
      <w:r w:rsidRPr="00611910">
        <w:rPr>
          <w:rFonts w:ascii="Book Antiqua" w:hAnsi="Book Antiqua"/>
        </w:rPr>
        <w:t xml:space="preserve"> = 86</w:t>
      </w:r>
      <w:r>
        <w:rPr>
          <w:rFonts w:ascii="Book Antiqua" w:hAnsi="Book Antiqua"/>
        </w:rPr>
        <w:t>,</w:t>
      </w:r>
      <w:r w:rsidRPr="00611910">
        <w:rPr>
          <w:rFonts w:ascii="Book Antiqua" w:hAnsi="Book Antiqua"/>
        </w:rPr>
        <w:t xml:space="preserve"> </w:t>
      </w:r>
      <w:r>
        <w:rPr>
          <w:rFonts w:ascii="Book Antiqua" w:hAnsi="Book Antiqua"/>
          <w:vertAlign w:val="superscript"/>
        </w:rPr>
        <w:t>2</w:t>
      </w:r>
      <w:r w:rsidRPr="00CF5DD7">
        <w:rPr>
          <w:rFonts w:ascii="Book Antiqua" w:hAnsi="Book Antiqua"/>
          <w:i/>
          <w:iCs/>
        </w:rPr>
        <w:t>n</w:t>
      </w:r>
      <w:r w:rsidRPr="00611910">
        <w:rPr>
          <w:rFonts w:ascii="Book Antiqua" w:hAnsi="Book Antiqua"/>
        </w:rPr>
        <w:t xml:space="preserve"> = 84</w:t>
      </w:r>
      <w:r>
        <w:rPr>
          <w:rFonts w:ascii="Book Antiqua" w:hAnsi="Book Antiqua"/>
        </w:rPr>
        <w:t>,</w:t>
      </w:r>
      <w:r w:rsidRPr="00611910">
        <w:rPr>
          <w:rFonts w:ascii="Book Antiqua" w:hAnsi="Book Antiqua"/>
        </w:rPr>
        <w:t xml:space="preserve"> </w:t>
      </w:r>
      <w:r>
        <w:rPr>
          <w:rFonts w:ascii="Book Antiqua" w:hAnsi="Book Antiqua"/>
          <w:vertAlign w:val="superscript"/>
        </w:rPr>
        <w:t>4</w:t>
      </w:r>
      <w:r w:rsidRPr="00CF5DD7">
        <w:rPr>
          <w:rFonts w:ascii="Book Antiqua" w:hAnsi="Book Antiqua"/>
          <w:i/>
          <w:iCs/>
        </w:rPr>
        <w:t>n</w:t>
      </w:r>
      <w:r w:rsidRPr="00611910">
        <w:rPr>
          <w:rFonts w:ascii="Book Antiqua" w:hAnsi="Book Antiqua"/>
        </w:rPr>
        <w:t xml:space="preserve"> = 33</w:t>
      </w:r>
      <w:r>
        <w:rPr>
          <w:rFonts w:ascii="Book Antiqua" w:hAnsi="Book Antiqua"/>
        </w:rPr>
        <w:t>,</w:t>
      </w:r>
      <w:r w:rsidRPr="00611910">
        <w:rPr>
          <w:rFonts w:ascii="Book Antiqua" w:hAnsi="Book Antiqua"/>
        </w:rPr>
        <w:t xml:space="preserve"> </w:t>
      </w:r>
      <w:r>
        <w:rPr>
          <w:rFonts w:ascii="Book Antiqua" w:hAnsi="Book Antiqua"/>
          <w:vertAlign w:val="superscript"/>
        </w:rPr>
        <w:t>5</w:t>
      </w:r>
      <w:r w:rsidRPr="00CF5DD7">
        <w:rPr>
          <w:rFonts w:ascii="Book Antiqua" w:hAnsi="Book Antiqua"/>
          <w:i/>
          <w:iCs/>
        </w:rPr>
        <w:t>n</w:t>
      </w:r>
      <w:r w:rsidRPr="00611910">
        <w:rPr>
          <w:rFonts w:ascii="Book Antiqua" w:hAnsi="Book Antiqua"/>
        </w:rPr>
        <w:t xml:space="preserve"> = 39</w:t>
      </w:r>
      <w:r>
        <w:rPr>
          <w:rFonts w:ascii="Book Antiqua" w:hAnsi="Book Antiqua"/>
        </w:rPr>
        <w:t xml:space="preserve">. </w:t>
      </w:r>
      <w:r w:rsidRPr="000D6E2A">
        <w:rPr>
          <w:rFonts w:ascii="Book Antiqua" w:hAnsi="Book Antiqua"/>
          <w:vertAlign w:val="superscript"/>
        </w:rPr>
        <w:t>3</w:t>
      </w:r>
      <w:r w:rsidRPr="00611910">
        <w:rPr>
          <w:rFonts w:ascii="Book Antiqua" w:hAnsi="Book Antiqua"/>
        </w:rPr>
        <w:t>Lup</w:t>
      </w:r>
      <w:r w:rsidR="0083648F" w:rsidRPr="00611910">
        <w:rPr>
          <w:rFonts w:ascii="Book Antiqua" w:hAnsi="Book Antiqua"/>
        </w:rPr>
        <w:t xml:space="preserve">us, rheumatoid arthritis, type </w:t>
      </w:r>
      <w:r w:rsidRPr="00611910">
        <w:rPr>
          <w:rFonts w:ascii="Book Antiqua" w:hAnsi="Book Antiqua"/>
        </w:rPr>
        <w:t>1 diabetes, auto-immune thyroid diseases</w:t>
      </w:r>
      <w:r>
        <w:rPr>
          <w:rFonts w:ascii="Book Antiqua" w:hAnsi="Book Antiqua"/>
        </w:rPr>
        <w:t xml:space="preserve">. </w:t>
      </w:r>
      <w:r w:rsidRPr="00611910">
        <w:rPr>
          <w:rFonts w:ascii="Book Antiqua" w:hAnsi="Book Antiqua"/>
          <w:i/>
        </w:rPr>
        <w:t>P</w:t>
      </w:r>
      <w:r>
        <w:rPr>
          <w:rFonts w:ascii="Book Antiqua" w:hAnsi="Book Antiqua"/>
        </w:rPr>
        <w:t xml:space="preserve"> </w:t>
      </w:r>
      <w:r w:rsidRPr="00611910">
        <w:rPr>
          <w:rFonts w:ascii="Book Antiqua" w:hAnsi="Book Antiqua"/>
        </w:rPr>
        <w:t>value from Fisher’s exact test or Wilcoxon rank-sum test.</w:t>
      </w:r>
      <w:r>
        <w:rPr>
          <w:rFonts w:ascii="Book Antiqua" w:hAnsi="Book Antiqua"/>
        </w:rPr>
        <w:t xml:space="preserve"> IQR: </w:t>
      </w:r>
      <w:r>
        <w:rPr>
          <w:rFonts w:ascii="Book Antiqua" w:eastAsia="Book Antiqua" w:hAnsi="Book Antiqua" w:cs="Book Antiqua"/>
          <w:color w:val="000000"/>
        </w:rPr>
        <w:t>Interquartile range; GFD: Gluten-free diet; NRCD: Non-responsive celiac disease.</w:t>
      </w:r>
    </w:p>
    <w:p w14:paraId="6C8F3954" w14:textId="10E9FB6B" w:rsidR="003926FF" w:rsidRDefault="00017816" w:rsidP="00CF5DD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017816">
        <w:rPr>
          <w:rFonts w:ascii="Book Antiqua" w:eastAsia="Book Antiqua" w:hAnsi="Book Antiqua" w:cs="Book Antiqua"/>
          <w:b/>
          <w:bCs/>
          <w:color w:val="000000"/>
        </w:rPr>
        <w:lastRenderedPageBreak/>
        <w:t>Table 2</w:t>
      </w:r>
      <w:r>
        <w:rPr>
          <w:rFonts w:ascii="Book Antiqua" w:eastAsia="Book Antiqua" w:hAnsi="Book Antiqua" w:cs="Book Antiqua"/>
          <w:b/>
          <w:bCs/>
          <w:color w:val="000000"/>
        </w:rPr>
        <w:t xml:space="preserve"> </w:t>
      </w:r>
      <w:r w:rsidRPr="00017816">
        <w:rPr>
          <w:rFonts w:ascii="Book Antiqua" w:eastAsia="Book Antiqua" w:hAnsi="Book Antiqua" w:cs="Book Antiqua"/>
          <w:b/>
          <w:bCs/>
          <w:color w:val="000000"/>
        </w:rPr>
        <w:t>Signs and symptoms at diagnosis of celiac disease among responders to the gluten-free diet</w:t>
      </w:r>
      <w:r>
        <w:rPr>
          <w:rFonts w:ascii="Book Antiqua" w:eastAsia="Book Antiqua" w:hAnsi="Book Antiqua" w:cs="Book Antiqua"/>
          <w:b/>
          <w:bCs/>
          <w:color w:val="000000"/>
        </w:rPr>
        <w:t xml:space="preserve"> </w:t>
      </w:r>
      <w:r w:rsidRPr="00017816">
        <w:rPr>
          <w:rFonts w:ascii="Book Antiqua" w:eastAsia="Book Antiqua" w:hAnsi="Book Antiqua" w:cs="Book Antiqua"/>
          <w:b/>
          <w:bCs/>
          <w:color w:val="000000"/>
        </w:rPr>
        <w:t>and non-responsive celiac disease</w:t>
      </w:r>
      <w:r>
        <w:rPr>
          <w:rFonts w:ascii="Book Antiqua" w:eastAsia="Book Antiqua" w:hAnsi="Book Antiqua" w:cs="Book Antiqua"/>
          <w:b/>
          <w:bCs/>
          <w:color w:val="000000"/>
        </w:rPr>
        <w:t xml:space="preserve"> </w:t>
      </w:r>
      <w:r w:rsidRPr="00017816">
        <w:rPr>
          <w:rFonts w:ascii="Book Antiqua" w:eastAsia="Book Antiqua" w:hAnsi="Book Antiqua" w:cs="Book Antiqua"/>
          <w:b/>
          <w:bCs/>
          <w:color w:val="000000"/>
        </w:rPr>
        <w:t>patients</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5"/>
        <w:gridCol w:w="2499"/>
        <w:gridCol w:w="1947"/>
        <w:gridCol w:w="1313"/>
      </w:tblGrid>
      <w:tr w:rsidR="00017816" w:rsidRPr="00017816" w14:paraId="25AF11F7" w14:textId="77777777" w:rsidTr="00916463">
        <w:trPr>
          <w:trHeight w:val="260"/>
        </w:trPr>
        <w:tc>
          <w:tcPr>
            <w:tcW w:w="3705" w:type="dxa"/>
            <w:tcBorders>
              <w:top w:val="single" w:sz="4" w:space="0" w:color="auto"/>
              <w:bottom w:val="single" w:sz="4" w:space="0" w:color="auto"/>
            </w:tcBorders>
          </w:tcPr>
          <w:p w14:paraId="5C379EA5" w14:textId="77777777" w:rsidR="00017816" w:rsidRPr="00017816" w:rsidRDefault="00017816" w:rsidP="00017816">
            <w:pPr>
              <w:tabs>
                <w:tab w:val="left" w:pos="270"/>
              </w:tabs>
              <w:spacing w:line="360" w:lineRule="auto"/>
              <w:jc w:val="both"/>
              <w:rPr>
                <w:rFonts w:ascii="Book Antiqua" w:hAnsi="Book Antiqua"/>
                <w:b/>
              </w:rPr>
            </w:pPr>
          </w:p>
        </w:tc>
        <w:tc>
          <w:tcPr>
            <w:tcW w:w="2499" w:type="dxa"/>
            <w:tcBorders>
              <w:top w:val="single" w:sz="4" w:space="0" w:color="auto"/>
              <w:bottom w:val="single" w:sz="4" w:space="0" w:color="auto"/>
            </w:tcBorders>
          </w:tcPr>
          <w:p w14:paraId="5CCDF5E2" w14:textId="2752CDD4" w:rsidR="00017816" w:rsidRPr="00017816" w:rsidRDefault="00017816" w:rsidP="00017816">
            <w:pPr>
              <w:spacing w:line="360" w:lineRule="auto"/>
              <w:jc w:val="both"/>
              <w:rPr>
                <w:rFonts w:ascii="Book Antiqua" w:hAnsi="Book Antiqua"/>
                <w:b/>
              </w:rPr>
            </w:pPr>
            <w:r w:rsidRPr="00017816">
              <w:rPr>
                <w:rFonts w:ascii="Book Antiqua" w:hAnsi="Book Antiqua"/>
                <w:b/>
              </w:rPr>
              <w:t>Responders</w:t>
            </w:r>
            <w:r>
              <w:rPr>
                <w:rFonts w:ascii="Book Antiqua" w:hAnsi="Book Antiqua"/>
                <w:b/>
              </w:rPr>
              <w:t xml:space="preserve"> </w:t>
            </w:r>
            <w:r w:rsidRPr="00017816">
              <w:rPr>
                <w:rFonts w:ascii="Book Antiqua" w:hAnsi="Book Antiqua"/>
                <w:b/>
              </w:rPr>
              <w:t>(</w:t>
            </w:r>
            <w:r w:rsidRPr="00017816">
              <w:rPr>
                <w:rFonts w:ascii="Book Antiqua" w:hAnsi="Book Antiqua"/>
                <w:b/>
                <w:i/>
                <w:iCs/>
              </w:rPr>
              <w:t>n</w:t>
            </w:r>
            <w:r>
              <w:rPr>
                <w:rFonts w:ascii="Book Antiqua" w:hAnsi="Book Antiqua"/>
                <w:b/>
                <w:i/>
                <w:iCs/>
              </w:rPr>
              <w:t xml:space="preserve"> </w:t>
            </w:r>
            <w:r w:rsidRPr="00017816">
              <w:rPr>
                <w:rFonts w:ascii="Book Antiqua" w:hAnsi="Book Antiqua"/>
                <w:b/>
              </w:rPr>
              <w:t>=</w:t>
            </w:r>
            <w:r>
              <w:rPr>
                <w:rFonts w:ascii="Book Antiqua" w:hAnsi="Book Antiqua"/>
                <w:b/>
              </w:rPr>
              <w:t xml:space="preserve"> </w:t>
            </w:r>
            <w:r w:rsidRPr="00017816">
              <w:rPr>
                <w:rFonts w:ascii="Book Antiqua" w:hAnsi="Book Antiqua"/>
                <w:b/>
              </w:rPr>
              <w:t>525)</w:t>
            </w:r>
          </w:p>
        </w:tc>
        <w:tc>
          <w:tcPr>
            <w:tcW w:w="1947" w:type="dxa"/>
            <w:tcBorders>
              <w:top w:val="single" w:sz="4" w:space="0" w:color="auto"/>
              <w:bottom w:val="single" w:sz="4" w:space="0" w:color="auto"/>
            </w:tcBorders>
          </w:tcPr>
          <w:p w14:paraId="1634B1D3" w14:textId="43674CA6" w:rsidR="00017816" w:rsidRPr="00017816" w:rsidRDefault="00017816" w:rsidP="00017816">
            <w:pPr>
              <w:spacing w:line="360" w:lineRule="auto"/>
              <w:jc w:val="both"/>
              <w:rPr>
                <w:rFonts w:ascii="Book Antiqua" w:hAnsi="Book Antiqua"/>
                <w:b/>
              </w:rPr>
            </w:pPr>
            <w:r w:rsidRPr="00017816">
              <w:rPr>
                <w:rFonts w:ascii="Book Antiqua" w:hAnsi="Book Antiqua"/>
                <w:b/>
              </w:rPr>
              <w:t>NRCD</w:t>
            </w:r>
            <w:r>
              <w:rPr>
                <w:rFonts w:ascii="Book Antiqua" w:hAnsi="Book Antiqua"/>
                <w:b/>
              </w:rPr>
              <w:t xml:space="preserve"> </w:t>
            </w:r>
            <w:r w:rsidRPr="00017816">
              <w:rPr>
                <w:rFonts w:ascii="Book Antiqua" w:hAnsi="Book Antiqua"/>
                <w:b/>
              </w:rPr>
              <w:t>(</w:t>
            </w:r>
            <w:r w:rsidRPr="00017816">
              <w:rPr>
                <w:rFonts w:ascii="Book Antiqua" w:hAnsi="Book Antiqua"/>
                <w:b/>
                <w:i/>
                <w:iCs/>
              </w:rPr>
              <w:t>n</w:t>
            </w:r>
            <w:r w:rsidRPr="00017816">
              <w:rPr>
                <w:rFonts w:ascii="Book Antiqua" w:hAnsi="Book Antiqua"/>
                <w:b/>
              </w:rPr>
              <w:t xml:space="preserve"> =</w:t>
            </w:r>
            <w:r>
              <w:rPr>
                <w:rFonts w:ascii="Book Antiqua" w:hAnsi="Book Antiqua"/>
                <w:b/>
              </w:rPr>
              <w:t xml:space="preserve"> </w:t>
            </w:r>
            <w:r w:rsidRPr="00017816">
              <w:rPr>
                <w:rFonts w:ascii="Book Antiqua" w:hAnsi="Book Antiqua"/>
                <w:b/>
              </w:rPr>
              <w:t>91)</w:t>
            </w:r>
          </w:p>
        </w:tc>
        <w:tc>
          <w:tcPr>
            <w:tcW w:w="1313" w:type="dxa"/>
            <w:tcBorders>
              <w:top w:val="single" w:sz="4" w:space="0" w:color="auto"/>
              <w:bottom w:val="single" w:sz="4" w:space="0" w:color="auto"/>
            </w:tcBorders>
          </w:tcPr>
          <w:p w14:paraId="7FDA107A" w14:textId="28D265EE" w:rsidR="00017816" w:rsidRPr="00017816" w:rsidRDefault="00017816" w:rsidP="00017816">
            <w:pPr>
              <w:spacing w:line="360" w:lineRule="auto"/>
              <w:jc w:val="both"/>
              <w:rPr>
                <w:rFonts w:ascii="Book Antiqua" w:hAnsi="Book Antiqua"/>
                <w:b/>
                <w:iCs/>
              </w:rPr>
            </w:pPr>
            <w:r w:rsidRPr="00017816">
              <w:rPr>
                <w:rFonts w:ascii="Book Antiqua" w:hAnsi="Book Antiqua"/>
                <w:b/>
                <w:i/>
              </w:rPr>
              <w:t>P</w:t>
            </w:r>
            <w:r>
              <w:rPr>
                <w:rFonts w:ascii="Book Antiqua" w:hAnsi="Book Antiqua"/>
                <w:b/>
                <w:i/>
              </w:rPr>
              <w:t xml:space="preserve"> </w:t>
            </w:r>
            <w:r>
              <w:rPr>
                <w:rFonts w:ascii="Book Antiqua" w:hAnsi="Book Antiqua"/>
                <w:b/>
                <w:iCs/>
              </w:rPr>
              <w:t>value</w:t>
            </w:r>
          </w:p>
        </w:tc>
      </w:tr>
      <w:tr w:rsidR="00017816" w:rsidRPr="00017816" w14:paraId="31FEEDB8" w14:textId="77777777" w:rsidTr="00916463">
        <w:trPr>
          <w:trHeight w:val="260"/>
        </w:trPr>
        <w:tc>
          <w:tcPr>
            <w:tcW w:w="3705" w:type="dxa"/>
            <w:tcBorders>
              <w:top w:val="single" w:sz="4" w:space="0" w:color="auto"/>
            </w:tcBorders>
          </w:tcPr>
          <w:p w14:paraId="4850F3CB" w14:textId="365C9BAB"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Abdominal pain</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Borders>
              <w:top w:val="single" w:sz="4" w:space="0" w:color="auto"/>
            </w:tcBorders>
          </w:tcPr>
          <w:p w14:paraId="64A57C06"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286 (54)</w:t>
            </w:r>
          </w:p>
        </w:tc>
        <w:tc>
          <w:tcPr>
            <w:tcW w:w="1947" w:type="dxa"/>
            <w:tcBorders>
              <w:top w:val="single" w:sz="4" w:space="0" w:color="auto"/>
            </w:tcBorders>
          </w:tcPr>
          <w:p w14:paraId="7568EF61" w14:textId="6CF448CE"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64 (70)</w:t>
            </w:r>
          </w:p>
        </w:tc>
        <w:tc>
          <w:tcPr>
            <w:tcW w:w="1313" w:type="dxa"/>
            <w:tcBorders>
              <w:top w:val="single" w:sz="4" w:space="0" w:color="auto"/>
            </w:tcBorders>
          </w:tcPr>
          <w:p w14:paraId="6ADB56EC" w14:textId="23E5C4D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&lt;</w:t>
            </w:r>
            <w:r>
              <w:rPr>
                <w:rFonts w:ascii="Book Antiqua" w:hAnsi="Book Antiqua" w:cstheme="minorHAnsi"/>
              </w:rPr>
              <w:t xml:space="preserve"> </w:t>
            </w:r>
            <w:r w:rsidRPr="00017816">
              <w:rPr>
                <w:rFonts w:ascii="Book Antiqua" w:hAnsi="Book Antiqua" w:cstheme="minorHAnsi"/>
              </w:rPr>
              <w:t>0.006</w:t>
            </w:r>
          </w:p>
        </w:tc>
      </w:tr>
      <w:tr w:rsidR="00017816" w:rsidRPr="00017816" w14:paraId="6ABA5D70" w14:textId="77777777" w:rsidTr="00916463">
        <w:trPr>
          <w:trHeight w:val="274"/>
        </w:trPr>
        <w:tc>
          <w:tcPr>
            <w:tcW w:w="3705" w:type="dxa"/>
          </w:tcPr>
          <w:p w14:paraId="1BF2829D" w14:textId="19CCB5B5"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Hard or infrequent stools</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4189818C"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147 (28)</w:t>
            </w:r>
          </w:p>
        </w:tc>
        <w:tc>
          <w:tcPr>
            <w:tcW w:w="1947" w:type="dxa"/>
          </w:tcPr>
          <w:p w14:paraId="01514390" w14:textId="7299F221"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49 (54)</w:t>
            </w:r>
          </w:p>
        </w:tc>
        <w:tc>
          <w:tcPr>
            <w:tcW w:w="1313" w:type="dxa"/>
          </w:tcPr>
          <w:p w14:paraId="27EEDBD1" w14:textId="40BD39BB"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&lt;</w:t>
            </w:r>
            <w:r>
              <w:rPr>
                <w:rFonts w:ascii="Book Antiqua" w:hAnsi="Book Antiqua" w:cstheme="minorHAnsi"/>
              </w:rPr>
              <w:t xml:space="preserve"> </w:t>
            </w:r>
            <w:r w:rsidRPr="00017816">
              <w:rPr>
                <w:rFonts w:ascii="Book Antiqua" w:hAnsi="Book Antiqua" w:cstheme="minorHAnsi"/>
              </w:rPr>
              <w:t>0.0001</w:t>
            </w:r>
          </w:p>
        </w:tc>
      </w:tr>
      <w:tr w:rsidR="00017816" w:rsidRPr="00017816" w14:paraId="0D7AC3A3" w14:textId="77777777" w:rsidTr="00916463">
        <w:trPr>
          <w:trHeight w:val="260"/>
        </w:trPr>
        <w:tc>
          <w:tcPr>
            <w:tcW w:w="3705" w:type="dxa"/>
          </w:tcPr>
          <w:p w14:paraId="0A9F84DB" w14:textId="5D639846"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Nausea/vomiting</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24B88001"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127 (24)</w:t>
            </w:r>
          </w:p>
        </w:tc>
        <w:tc>
          <w:tcPr>
            <w:tcW w:w="1947" w:type="dxa"/>
          </w:tcPr>
          <w:p w14:paraId="11DD9804" w14:textId="16EAE064"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26 (29)</w:t>
            </w:r>
          </w:p>
        </w:tc>
        <w:tc>
          <w:tcPr>
            <w:tcW w:w="1313" w:type="dxa"/>
          </w:tcPr>
          <w:p w14:paraId="1C55AAF8" w14:textId="4FDE03F2"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0.43</w:t>
            </w:r>
          </w:p>
        </w:tc>
      </w:tr>
      <w:tr w:rsidR="00017816" w:rsidRPr="00017816" w14:paraId="310EF649" w14:textId="77777777" w:rsidTr="00916463">
        <w:trPr>
          <w:trHeight w:val="274"/>
        </w:trPr>
        <w:tc>
          <w:tcPr>
            <w:tcW w:w="3705" w:type="dxa"/>
          </w:tcPr>
          <w:p w14:paraId="39AFFB5D" w14:textId="50D5A61F"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Diarrhea</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2F4AECA3"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133 (25)</w:t>
            </w:r>
          </w:p>
        </w:tc>
        <w:tc>
          <w:tcPr>
            <w:tcW w:w="1947" w:type="dxa"/>
          </w:tcPr>
          <w:p w14:paraId="71129999" w14:textId="4BAF0E4E"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22 (24)</w:t>
            </w:r>
          </w:p>
        </w:tc>
        <w:tc>
          <w:tcPr>
            <w:tcW w:w="1313" w:type="dxa"/>
          </w:tcPr>
          <w:p w14:paraId="387BE292" w14:textId="41D48368"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0.90</w:t>
            </w:r>
          </w:p>
        </w:tc>
      </w:tr>
      <w:tr w:rsidR="00017816" w:rsidRPr="00017816" w14:paraId="03888167" w14:textId="77777777" w:rsidTr="00916463">
        <w:trPr>
          <w:trHeight w:val="260"/>
        </w:trPr>
        <w:tc>
          <w:tcPr>
            <w:tcW w:w="3705" w:type="dxa"/>
          </w:tcPr>
          <w:p w14:paraId="260B0E49" w14:textId="2F52D44C"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Weight loss, poor weight gain</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112FD01A"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126 (24)</w:t>
            </w:r>
          </w:p>
        </w:tc>
        <w:tc>
          <w:tcPr>
            <w:tcW w:w="1947" w:type="dxa"/>
          </w:tcPr>
          <w:p w14:paraId="7656E65E" w14:textId="15C4A619"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21 (23)</w:t>
            </w:r>
          </w:p>
        </w:tc>
        <w:tc>
          <w:tcPr>
            <w:tcW w:w="1313" w:type="dxa"/>
          </w:tcPr>
          <w:p w14:paraId="0C0AC777" w14:textId="60D913A8"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0.89</w:t>
            </w:r>
          </w:p>
        </w:tc>
      </w:tr>
      <w:tr w:rsidR="00017816" w:rsidRPr="00017816" w14:paraId="1FB1B428" w14:textId="77777777" w:rsidTr="00916463">
        <w:trPr>
          <w:trHeight w:val="260"/>
        </w:trPr>
        <w:tc>
          <w:tcPr>
            <w:tcW w:w="3705" w:type="dxa"/>
          </w:tcPr>
          <w:p w14:paraId="26D8EEBD" w14:textId="17A723B4"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Fatigue</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6B4B837A"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71 (14)</w:t>
            </w:r>
          </w:p>
        </w:tc>
        <w:tc>
          <w:tcPr>
            <w:tcW w:w="1947" w:type="dxa"/>
          </w:tcPr>
          <w:p w14:paraId="227AC242" w14:textId="3424C5CE"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15 (16)</w:t>
            </w:r>
          </w:p>
        </w:tc>
        <w:tc>
          <w:tcPr>
            <w:tcW w:w="1313" w:type="dxa"/>
          </w:tcPr>
          <w:p w14:paraId="60159552" w14:textId="106BB778"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0.51</w:t>
            </w:r>
          </w:p>
        </w:tc>
      </w:tr>
      <w:tr w:rsidR="00017816" w:rsidRPr="00017816" w14:paraId="51FC56C6" w14:textId="77777777" w:rsidTr="00916463">
        <w:trPr>
          <w:trHeight w:val="274"/>
        </w:trPr>
        <w:tc>
          <w:tcPr>
            <w:tcW w:w="3705" w:type="dxa"/>
          </w:tcPr>
          <w:p w14:paraId="7F592E6E" w14:textId="02117DCC"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Short stature</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1B57323E"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78 (15)</w:t>
            </w:r>
          </w:p>
        </w:tc>
        <w:tc>
          <w:tcPr>
            <w:tcW w:w="1947" w:type="dxa"/>
          </w:tcPr>
          <w:p w14:paraId="41C8F93D" w14:textId="01C53693"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8 (9)</w:t>
            </w:r>
          </w:p>
        </w:tc>
        <w:tc>
          <w:tcPr>
            <w:tcW w:w="1313" w:type="dxa"/>
          </w:tcPr>
          <w:p w14:paraId="3BC74B01" w14:textId="1C798FE2"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0.14</w:t>
            </w:r>
          </w:p>
        </w:tc>
      </w:tr>
      <w:tr w:rsidR="00017816" w:rsidRPr="00017816" w14:paraId="61F82C73" w14:textId="77777777" w:rsidTr="00916463">
        <w:trPr>
          <w:trHeight w:val="260"/>
        </w:trPr>
        <w:tc>
          <w:tcPr>
            <w:tcW w:w="3705" w:type="dxa"/>
          </w:tcPr>
          <w:p w14:paraId="5899C019" w14:textId="7413A092"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Gassiness</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1D6B5494"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58 (11)</w:t>
            </w:r>
          </w:p>
        </w:tc>
        <w:tc>
          <w:tcPr>
            <w:tcW w:w="1947" w:type="dxa"/>
          </w:tcPr>
          <w:p w14:paraId="040B10EB" w14:textId="05CB4480"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9 (10)</w:t>
            </w:r>
          </w:p>
        </w:tc>
        <w:tc>
          <w:tcPr>
            <w:tcW w:w="1313" w:type="dxa"/>
          </w:tcPr>
          <w:p w14:paraId="605F2553" w14:textId="6EDA724E"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0.86</w:t>
            </w:r>
          </w:p>
        </w:tc>
      </w:tr>
      <w:tr w:rsidR="00017816" w:rsidRPr="00017816" w14:paraId="7A94C092" w14:textId="77777777" w:rsidTr="00916463">
        <w:trPr>
          <w:trHeight w:val="260"/>
        </w:trPr>
        <w:tc>
          <w:tcPr>
            <w:tcW w:w="3705" w:type="dxa"/>
          </w:tcPr>
          <w:p w14:paraId="08CE0FF9" w14:textId="3003FA5A" w:rsidR="00017816" w:rsidRPr="00017816" w:rsidRDefault="00017816" w:rsidP="00017816">
            <w:pPr>
              <w:tabs>
                <w:tab w:val="left" w:pos="270"/>
                <w:tab w:val="left" w:pos="570"/>
              </w:tabs>
              <w:spacing w:line="360" w:lineRule="auto"/>
              <w:jc w:val="both"/>
              <w:rPr>
                <w:rFonts w:ascii="Book Antiqua" w:hAnsi="Book Antiqua"/>
              </w:rPr>
            </w:pPr>
            <w:r w:rsidRPr="00017816">
              <w:rPr>
                <w:rFonts w:ascii="Book Antiqua" w:hAnsi="Book Antiqua"/>
              </w:rPr>
              <w:t>Abdominal distention</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64476EEA"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63 (12)</w:t>
            </w:r>
          </w:p>
        </w:tc>
        <w:tc>
          <w:tcPr>
            <w:tcW w:w="1947" w:type="dxa"/>
          </w:tcPr>
          <w:p w14:paraId="5D3046C4" w14:textId="620FA496"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5 (5)</w:t>
            </w:r>
          </w:p>
        </w:tc>
        <w:tc>
          <w:tcPr>
            <w:tcW w:w="1313" w:type="dxa"/>
          </w:tcPr>
          <w:p w14:paraId="3A489C69" w14:textId="07153E03"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0.07</w:t>
            </w:r>
          </w:p>
        </w:tc>
      </w:tr>
      <w:tr w:rsidR="00017816" w:rsidRPr="00017816" w14:paraId="669EEC1B" w14:textId="77777777" w:rsidTr="00916463">
        <w:trPr>
          <w:trHeight w:val="274"/>
        </w:trPr>
        <w:tc>
          <w:tcPr>
            <w:tcW w:w="3705" w:type="dxa"/>
          </w:tcPr>
          <w:p w14:paraId="37AC8C56" w14:textId="23A81C19"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Loss of appetite</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71909D46"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53 (10)</w:t>
            </w:r>
          </w:p>
        </w:tc>
        <w:tc>
          <w:tcPr>
            <w:tcW w:w="1947" w:type="dxa"/>
          </w:tcPr>
          <w:p w14:paraId="47281A64" w14:textId="0D2A0745"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14 (15)</w:t>
            </w:r>
          </w:p>
        </w:tc>
        <w:tc>
          <w:tcPr>
            <w:tcW w:w="1313" w:type="dxa"/>
          </w:tcPr>
          <w:p w14:paraId="71A55776" w14:textId="0013FBBC"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0.15</w:t>
            </w:r>
          </w:p>
        </w:tc>
      </w:tr>
      <w:tr w:rsidR="00017816" w:rsidRPr="00017816" w14:paraId="4FD2C07A" w14:textId="77777777" w:rsidTr="00916463">
        <w:trPr>
          <w:trHeight w:val="274"/>
        </w:trPr>
        <w:tc>
          <w:tcPr>
            <w:tcW w:w="3705" w:type="dxa"/>
          </w:tcPr>
          <w:p w14:paraId="79D4AC49" w14:textId="4640F54C"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Neurologic</w:t>
            </w:r>
            <w:r w:rsidRPr="00017816">
              <w:rPr>
                <w:rFonts w:ascii="Book Antiqua" w:hAnsi="Book Antiqua"/>
                <w:vertAlign w:val="superscript"/>
              </w:rPr>
              <w:t>1</w:t>
            </w:r>
            <w:r>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6EE26813"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4 (1)</w:t>
            </w:r>
          </w:p>
        </w:tc>
        <w:tc>
          <w:tcPr>
            <w:tcW w:w="1947" w:type="dxa"/>
          </w:tcPr>
          <w:p w14:paraId="764923CA" w14:textId="2065A521"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3 (3)</w:t>
            </w:r>
          </w:p>
        </w:tc>
        <w:tc>
          <w:tcPr>
            <w:tcW w:w="1313" w:type="dxa"/>
          </w:tcPr>
          <w:p w14:paraId="37CE2B33" w14:textId="281F28F3"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0.07</w:t>
            </w:r>
          </w:p>
        </w:tc>
      </w:tr>
      <w:tr w:rsidR="00017816" w:rsidRPr="00017816" w14:paraId="1189454B" w14:textId="77777777" w:rsidTr="00916463">
        <w:trPr>
          <w:trHeight w:val="274"/>
        </w:trPr>
        <w:tc>
          <w:tcPr>
            <w:tcW w:w="3705" w:type="dxa"/>
          </w:tcPr>
          <w:p w14:paraId="632EF1D1" w14:textId="12461E81"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Psychiatric</w:t>
            </w:r>
            <w:r w:rsidRPr="00017816">
              <w:rPr>
                <w:rFonts w:ascii="Book Antiqua" w:hAnsi="Book Antiqua"/>
                <w:vertAlign w:val="superscript"/>
              </w:rPr>
              <w:t>2</w:t>
            </w:r>
            <w:r>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1AFFD58A"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 (0)</w:t>
            </w:r>
          </w:p>
        </w:tc>
        <w:tc>
          <w:tcPr>
            <w:tcW w:w="1947" w:type="dxa"/>
          </w:tcPr>
          <w:p w14:paraId="5FF86846" w14:textId="767CAC44"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2 (2)</w:t>
            </w:r>
          </w:p>
        </w:tc>
        <w:tc>
          <w:tcPr>
            <w:tcW w:w="1313" w:type="dxa"/>
          </w:tcPr>
          <w:p w14:paraId="19552003" w14:textId="77DAEE5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0.02</w:t>
            </w:r>
          </w:p>
        </w:tc>
      </w:tr>
      <w:tr w:rsidR="00017816" w:rsidRPr="00017816" w14:paraId="30400A0F" w14:textId="77777777" w:rsidTr="00916463">
        <w:trPr>
          <w:trHeight w:val="260"/>
        </w:trPr>
        <w:tc>
          <w:tcPr>
            <w:tcW w:w="3705" w:type="dxa"/>
          </w:tcPr>
          <w:p w14:paraId="5A341068" w14:textId="270CFCCD"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Arthritis, arthralgia</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1A664E89"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28 (5)</w:t>
            </w:r>
          </w:p>
        </w:tc>
        <w:tc>
          <w:tcPr>
            <w:tcW w:w="1947" w:type="dxa"/>
          </w:tcPr>
          <w:p w14:paraId="4321CB26" w14:textId="27E99F45"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9 (10)</w:t>
            </w:r>
          </w:p>
        </w:tc>
        <w:tc>
          <w:tcPr>
            <w:tcW w:w="1313" w:type="dxa"/>
          </w:tcPr>
          <w:p w14:paraId="7F25F8CB" w14:textId="1F43E3D3"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0.10</w:t>
            </w:r>
          </w:p>
        </w:tc>
      </w:tr>
      <w:tr w:rsidR="00017816" w:rsidRPr="00017816" w14:paraId="1D849131" w14:textId="77777777" w:rsidTr="00916463">
        <w:trPr>
          <w:trHeight w:val="274"/>
        </w:trPr>
        <w:tc>
          <w:tcPr>
            <w:tcW w:w="3705" w:type="dxa"/>
          </w:tcPr>
          <w:p w14:paraId="23CEA2F0" w14:textId="384B1851" w:rsidR="00017816" w:rsidRPr="00017816" w:rsidRDefault="00017816" w:rsidP="00017816">
            <w:pPr>
              <w:tabs>
                <w:tab w:val="left" w:pos="270"/>
                <w:tab w:val="left" w:pos="570"/>
              </w:tabs>
              <w:spacing w:line="360" w:lineRule="auto"/>
              <w:jc w:val="both"/>
              <w:rPr>
                <w:rFonts w:ascii="Book Antiqua" w:hAnsi="Book Antiqua"/>
              </w:rPr>
            </w:pPr>
            <w:r w:rsidRPr="00017816">
              <w:rPr>
                <w:rFonts w:ascii="Book Antiqua" w:hAnsi="Book Antiqua"/>
              </w:rPr>
              <w:t>Rash</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494DA196"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25 (5)</w:t>
            </w:r>
          </w:p>
        </w:tc>
        <w:tc>
          <w:tcPr>
            <w:tcW w:w="1947" w:type="dxa"/>
          </w:tcPr>
          <w:p w14:paraId="4E72B30B" w14:textId="488FE991"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4 (4)</w:t>
            </w:r>
          </w:p>
        </w:tc>
        <w:tc>
          <w:tcPr>
            <w:tcW w:w="1313" w:type="dxa"/>
          </w:tcPr>
          <w:p w14:paraId="4F0BE6AE" w14:textId="31848C94"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1.00</w:t>
            </w:r>
          </w:p>
        </w:tc>
      </w:tr>
      <w:tr w:rsidR="00017816" w:rsidRPr="00017816" w14:paraId="64599998" w14:textId="77777777" w:rsidTr="00916463">
        <w:trPr>
          <w:trHeight w:val="260"/>
        </w:trPr>
        <w:tc>
          <w:tcPr>
            <w:tcW w:w="3705" w:type="dxa"/>
          </w:tcPr>
          <w:p w14:paraId="01C2BFEC" w14:textId="33F0BF15" w:rsidR="00017816" w:rsidRPr="00017816" w:rsidRDefault="00017816" w:rsidP="00017816">
            <w:pPr>
              <w:tabs>
                <w:tab w:val="left" w:pos="270"/>
                <w:tab w:val="left" w:pos="570"/>
              </w:tabs>
              <w:spacing w:line="360" w:lineRule="auto"/>
              <w:jc w:val="both"/>
              <w:rPr>
                <w:rFonts w:ascii="Book Antiqua" w:hAnsi="Book Antiqua"/>
              </w:rPr>
            </w:pPr>
            <w:r w:rsidRPr="00017816">
              <w:rPr>
                <w:rFonts w:ascii="Book Antiqua" w:hAnsi="Book Antiqua"/>
              </w:rPr>
              <w:t>Mouth ulcers</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27498047"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18 (3)</w:t>
            </w:r>
          </w:p>
        </w:tc>
        <w:tc>
          <w:tcPr>
            <w:tcW w:w="1947" w:type="dxa"/>
          </w:tcPr>
          <w:p w14:paraId="6C60874F" w14:textId="54002ECD"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5 (5)</w:t>
            </w:r>
          </w:p>
        </w:tc>
        <w:tc>
          <w:tcPr>
            <w:tcW w:w="1313" w:type="dxa"/>
          </w:tcPr>
          <w:p w14:paraId="3566524A" w14:textId="6142D26A"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0.37</w:t>
            </w:r>
          </w:p>
        </w:tc>
      </w:tr>
      <w:tr w:rsidR="00017816" w:rsidRPr="00017816" w14:paraId="7A5F5F40" w14:textId="77777777" w:rsidTr="00916463">
        <w:trPr>
          <w:trHeight w:val="260"/>
        </w:trPr>
        <w:tc>
          <w:tcPr>
            <w:tcW w:w="3705" w:type="dxa"/>
            <w:tcBorders>
              <w:bottom w:val="single" w:sz="4" w:space="0" w:color="auto"/>
            </w:tcBorders>
          </w:tcPr>
          <w:p w14:paraId="5C6657A0" w14:textId="6F94DC8D" w:rsidR="00017816" w:rsidRPr="00017816" w:rsidRDefault="00017816" w:rsidP="00017816">
            <w:pPr>
              <w:tabs>
                <w:tab w:val="left" w:pos="270"/>
                <w:tab w:val="left" w:pos="570"/>
              </w:tabs>
              <w:spacing w:line="360" w:lineRule="auto"/>
              <w:jc w:val="both"/>
              <w:rPr>
                <w:rFonts w:ascii="Book Antiqua" w:hAnsi="Book Antiqua"/>
              </w:rPr>
            </w:pPr>
            <w:r w:rsidRPr="00017816">
              <w:rPr>
                <w:rFonts w:ascii="Book Antiqua" w:hAnsi="Book Antiqua"/>
              </w:rPr>
              <w:t>Other</w:t>
            </w:r>
            <w:r w:rsidRPr="00017816">
              <w:rPr>
                <w:rFonts w:ascii="Book Antiqua" w:hAnsi="Book Antiqua"/>
                <w:vertAlign w:val="superscript"/>
              </w:rPr>
              <w:t>3</w:t>
            </w:r>
            <w:r>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Borders>
              <w:bottom w:val="single" w:sz="4" w:space="0" w:color="auto"/>
            </w:tcBorders>
          </w:tcPr>
          <w:p w14:paraId="5D3C752E"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5 (1)</w:t>
            </w:r>
          </w:p>
        </w:tc>
        <w:tc>
          <w:tcPr>
            <w:tcW w:w="1947" w:type="dxa"/>
            <w:tcBorders>
              <w:bottom w:val="single" w:sz="4" w:space="0" w:color="auto"/>
            </w:tcBorders>
          </w:tcPr>
          <w:p w14:paraId="33213E1F" w14:textId="2610411F"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10 (11)</w:t>
            </w:r>
          </w:p>
        </w:tc>
        <w:tc>
          <w:tcPr>
            <w:tcW w:w="1313" w:type="dxa"/>
            <w:tcBorders>
              <w:bottom w:val="single" w:sz="4" w:space="0" w:color="auto"/>
            </w:tcBorders>
          </w:tcPr>
          <w:p w14:paraId="2369FEC4" w14:textId="183CB205"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&lt; 0.0001</w:t>
            </w:r>
          </w:p>
        </w:tc>
      </w:tr>
    </w:tbl>
    <w:p w14:paraId="7B5EE0DB" w14:textId="1F534CD9" w:rsidR="00017816" w:rsidRPr="00017816" w:rsidRDefault="00017816" w:rsidP="00017816">
      <w:pPr>
        <w:spacing w:line="360" w:lineRule="auto"/>
        <w:jc w:val="both"/>
        <w:rPr>
          <w:rFonts w:ascii="Book Antiqua" w:eastAsia="Book Antiqua" w:hAnsi="Book Antiqua" w:cs="Book Antiqua"/>
          <w:b/>
          <w:bCs/>
          <w:color w:val="000000"/>
        </w:rPr>
      </w:pPr>
      <w:bookmarkStart w:id="4" w:name="_Hlk17664038"/>
      <w:r>
        <w:rPr>
          <w:rFonts w:ascii="Book Antiqua" w:hAnsi="Book Antiqua"/>
          <w:vertAlign w:val="superscript"/>
        </w:rPr>
        <w:t>1</w:t>
      </w:r>
      <w:r w:rsidRPr="00611910">
        <w:rPr>
          <w:rFonts w:ascii="Book Antiqua" w:hAnsi="Book Antiqua"/>
        </w:rPr>
        <w:t>Neurologic symptoms include: headache (</w:t>
      </w:r>
      <w:r w:rsidRPr="000C457A">
        <w:rPr>
          <w:rFonts w:ascii="Book Antiqua" w:hAnsi="Book Antiqua"/>
          <w:i/>
          <w:iCs/>
        </w:rPr>
        <w:t>n</w:t>
      </w:r>
      <w:r w:rsidRPr="00611910">
        <w:rPr>
          <w:rFonts w:ascii="Book Antiqua" w:hAnsi="Book Antiqua"/>
        </w:rPr>
        <w:t xml:space="preserve"> = 6),</w:t>
      </w:r>
      <w:r w:rsidR="000C457A">
        <w:rPr>
          <w:rFonts w:ascii="Book Antiqua" w:hAnsi="Book Antiqua"/>
        </w:rPr>
        <w:t xml:space="preserve"> </w:t>
      </w:r>
      <w:r w:rsidRPr="00611910">
        <w:rPr>
          <w:rFonts w:ascii="Book Antiqua" w:hAnsi="Book Antiqua"/>
        </w:rPr>
        <w:t>blurry vision (</w:t>
      </w:r>
      <w:r w:rsidRPr="000C457A">
        <w:rPr>
          <w:rFonts w:ascii="Book Antiqua" w:hAnsi="Book Antiqua"/>
          <w:i/>
          <w:iCs/>
        </w:rPr>
        <w:t>n</w:t>
      </w:r>
      <w:r w:rsidRPr="00611910">
        <w:rPr>
          <w:rFonts w:ascii="Book Antiqua" w:hAnsi="Book Antiqua"/>
        </w:rPr>
        <w:t xml:space="preserve"> = 1)</w:t>
      </w:r>
      <w:r w:rsidR="000C457A">
        <w:rPr>
          <w:rFonts w:ascii="Book Antiqua" w:hAnsi="Book Antiqua"/>
        </w:rPr>
        <w:t>.</w:t>
      </w:r>
      <w:r w:rsidRPr="00611910">
        <w:rPr>
          <w:rFonts w:ascii="Book Antiqua" w:hAnsi="Book Antiqua"/>
        </w:rPr>
        <w:t xml:space="preserve"> </w:t>
      </w:r>
      <w:r>
        <w:rPr>
          <w:rFonts w:ascii="Book Antiqua" w:hAnsi="Book Antiqua"/>
          <w:vertAlign w:val="superscript"/>
        </w:rPr>
        <w:t>2</w:t>
      </w:r>
      <w:r w:rsidR="000C457A">
        <w:rPr>
          <w:rFonts w:ascii="Book Antiqua" w:hAnsi="Book Antiqua"/>
        </w:rPr>
        <w:t>P</w:t>
      </w:r>
      <w:r w:rsidRPr="00611910">
        <w:rPr>
          <w:rFonts w:ascii="Book Antiqua" w:hAnsi="Book Antiqua"/>
        </w:rPr>
        <w:t>sychiatric symptoms include: anxiety (</w:t>
      </w:r>
      <w:r w:rsidRPr="000C457A">
        <w:rPr>
          <w:rFonts w:ascii="Book Antiqua" w:hAnsi="Book Antiqua"/>
          <w:i/>
          <w:iCs/>
        </w:rPr>
        <w:t>n</w:t>
      </w:r>
      <w:r w:rsidRPr="00611910">
        <w:rPr>
          <w:rFonts w:ascii="Book Antiqua" w:hAnsi="Book Antiqua"/>
        </w:rPr>
        <w:t xml:space="preserve"> = 1) and restrictive eating disorder (</w:t>
      </w:r>
      <w:r w:rsidRPr="000C457A">
        <w:rPr>
          <w:rFonts w:ascii="Book Antiqua" w:hAnsi="Book Antiqua"/>
          <w:i/>
          <w:iCs/>
        </w:rPr>
        <w:t>n</w:t>
      </w:r>
      <w:r w:rsidR="000C457A">
        <w:rPr>
          <w:rFonts w:ascii="Book Antiqua" w:hAnsi="Book Antiqua"/>
        </w:rPr>
        <w:t xml:space="preserve"> </w:t>
      </w:r>
      <w:r w:rsidRPr="00611910">
        <w:rPr>
          <w:rFonts w:ascii="Book Antiqua" w:hAnsi="Book Antiqua"/>
        </w:rPr>
        <w:t>=</w:t>
      </w:r>
      <w:r w:rsidR="000C457A">
        <w:rPr>
          <w:rFonts w:ascii="Book Antiqua" w:hAnsi="Book Antiqua"/>
        </w:rPr>
        <w:t xml:space="preserve"> </w:t>
      </w:r>
      <w:r w:rsidRPr="00611910">
        <w:rPr>
          <w:rFonts w:ascii="Book Antiqua" w:hAnsi="Book Antiqua"/>
        </w:rPr>
        <w:t>1)</w:t>
      </w:r>
      <w:r w:rsidR="000C457A">
        <w:rPr>
          <w:rFonts w:ascii="Book Antiqua" w:hAnsi="Book Antiqua"/>
        </w:rPr>
        <w:t>.</w:t>
      </w:r>
      <w:r w:rsidRPr="00611910">
        <w:rPr>
          <w:rFonts w:ascii="Book Antiqua" w:hAnsi="Book Antiqua"/>
        </w:rPr>
        <w:t xml:space="preserve"> </w:t>
      </w:r>
      <w:r>
        <w:rPr>
          <w:rFonts w:ascii="Book Antiqua" w:hAnsi="Book Antiqua"/>
          <w:vertAlign w:val="superscript"/>
        </w:rPr>
        <w:t>3</w:t>
      </w:r>
      <w:r w:rsidRPr="00611910">
        <w:rPr>
          <w:rFonts w:ascii="Book Antiqua" w:hAnsi="Book Antiqua"/>
        </w:rPr>
        <w:t>Other signs and symptoms include: fecal soiling (</w:t>
      </w:r>
      <w:r w:rsidRPr="000C457A">
        <w:rPr>
          <w:rFonts w:ascii="Book Antiqua" w:hAnsi="Book Antiqua"/>
          <w:i/>
          <w:iCs/>
        </w:rPr>
        <w:t>n</w:t>
      </w:r>
      <w:r w:rsidRPr="00611910">
        <w:rPr>
          <w:rFonts w:ascii="Book Antiqua" w:hAnsi="Book Antiqua"/>
        </w:rPr>
        <w:t xml:space="preserve"> = 2) dysphagia (</w:t>
      </w:r>
      <w:r w:rsidRPr="000C457A">
        <w:rPr>
          <w:rFonts w:ascii="Book Antiqua" w:hAnsi="Book Antiqua"/>
          <w:i/>
          <w:iCs/>
        </w:rPr>
        <w:t>n</w:t>
      </w:r>
      <w:r w:rsidRPr="00611910">
        <w:rPr>
          <w:rFonts w:ascii="Book Antiqua" w:hAnsi="Book Antiqua"/>
        </w:rPr>
        <w:t xml:space="preserve"> =</w:t>
      </w:r>
      <w:r w:rsidR="000C457A">
        <w:rPr>
          <w:rFonts w:ascii="Book Antiqua" w:hAnsi="Book Antiqua"/>
        </w:rPr>
        <w:t xml:space="preserve"> </w:t>
      </w:r>
      <w:r w:rsidRPr="00611910">
        <w:rPr>
          <w:rFonts w:ascii="Book Antiqua" w:hAnsi="Book Antiqua"/>
        </w:rPr>
        <w:t>2), symptomatic anemia (</w:t>
      </w:r>
      <w:r w:rsidRPr="000C457A">
        <w:rPr>
          <w:rFonts w:ascii="Book Antiqua" w:hAnsi="Book Antiqua"/>
          <w:i/>
          <w:iCs/>
        </w:rPr>
        <w:t>n</w:t>
      </w:r>
      <w:r w:rsidR="000C457A">
        <w:rPr>
          <w:rFonts w:ascii="Book Antiqua" w:hAnsi="Book Antiqua"/>
          <w:i/>
          <w:iCs/>
        </w:rPr>
        <w:t xml:space="preserve"> </w:t>
      </w:r>
      <w:r w:rsidRPr="00611910">
        <w:rPr>
          <w:rFonts w:ascii="Book Antiqua" w:hAnsi="Book Antiqua"/>
        </w:rPr>
        <w:t>=</w:t>
      </w:r>
      <w:r w:rsidR="000C457A">
        <w:rPr>
          <w:rFonts w:ascii="Book Antiqua" w:hAnsi="Book Antiqua"/>
        </w:rPr>
        <w:t xml:space="preserve"> </w:t>
      </w:r>
      <w:r w:rsidRPr="00611910">
        <w:rPr>
          <w:rFonts w:ascii="Book Antiqua" w:hAnsi="Book Antiqua"/>
        </w:rPr>
        <w:t>2), rectal bleeding (</w:t>
      </w:r>
      <w:r w:rsidRPr="000C457A">
        <w:rPr>
          <w:rFonts w:ascii="Book Antiqua" w:hAnsi="Book Antiqua"/>
          <w:i/>
          <w:iCs/>
        </w:rPr>
        <w:t>n</w:t>
      </w:r>
      <w:r w:rsidRPr="00611910">
        <w:rPr>
          <w:rFonts w:ascii="Book Antiqua" w:hAnsi="Book Antiqua"/>
        </w:rPr>
        <w:t xml:space="preserve"> = 3), encopresis (</w:t>
      </w:r>
      <w:r w:rsidRPr="000C457A">
        <w:rPr>
          <w:rFonts w:ascii="Book Antiqua" w:hAnsi="Book Antiqua"/>
          <w:i/>
          <w:iCs/>
        </w:rPr>
        <w:t>n</w:t>
      </w:r>
      <w:r w:rsidRPr="00611910">
        <w:rPr>
          <w:rFonts w:ascii="Book Antiqua" w:hAnsi="Book Antiqua"/>
        </w:rPr>
        <w:t xml:space="preserve"> = 2), hair loss (</w:t>
      </w:r>
      <w:r w:rsidRPr="000C457A">
        <w:rPr>
          <w:rFonts w:ascii="Book Antiqua" w:hAnsi="Book Antiqua"/>
          <w:i/>
          <w:iCs/>
        </w:rPr>
        <w:t>n</w:t>
      </w:r>
      <w:r w:rsidR="000C457A">
        <w:rPr>
          <w:rFonts w:ascii="Book Antiqua" w:hAnsi="Book Antiqua"/>
        </w:rPr>
        <w:t xml:space="preserve"> </w:t>
      </w:r>
      <w:r w:rsidRPr="00611910">
        <w:rPr>
          <w:rFonts w:ascii="Book Antiqua" w:hAnsi="Book Antiqua"/>
        </w:rPr>
        <w:t>=</w:t>
      </w:r>
      <w:r w:rsidR="000C457A">
        <w:rPr>
          <w:rFonts w:ascii="Book Antiqua" w:hAnsi="Book Antiqua"/>
        </w:rPr>
        <w:t xml:space="preserve"> </w:t>
      </w:r>
      <w:r w:rsidRPr="00611910">
        <w:rPr>
          <w:rFonts w:ascii="Book Antiqua" w:hAnsi="Book Antiqua"/>
        </w:rPr>
        <w:t>2) delayed puberty (</w:t>
      </w:r>
      <w:r w:rsidRPr="000C457A">
        <w:rPr>
          <w:rFonts w:ascii="Book Antiqua" w:hAnsi="Book Antiqua"/>
          <w:i/>
          <w:iCs/>
        </w:rPr>
        <w:t>n</w:t>
      </w:r>
      <w:r w:rsidRPr="00611910">
        <w:rPr>
          <w:rFonts w:ascii="Book Antiqua" w:hAnsi="Book Antiqua"/>
        </w:rPr>
        <w:t xml:space="preserve"> = 1), easy bruising (</w:t>
      </w:r>
      <w:r w:rsidRPr="000C457A">
        <w:rPr>
          <w:rFonts w:ascii="Book Antiqua" w:hAnsi="Book Antiqua"/>
          <w:i/>
          <w:iCs/>
        </w:rPr>
        <w:t>n</w:t>
      </w:r>
      <w:r w:rsidR="000C457A">
        <w:rPr>
          <w:rFonts w:ascii="Book Antiqua" w:hAnsi="Book Antiqua"/>
        </w:rPr>
        <w:t xml:space="preserve"> </w:t>
      </w:r>
      <w:r w:rsidRPr="00611910">
        <w:rPr>
          <w:rFonts w:ascii="Book Antiqua" w:hAnsi="Book Antiqua"/>
        </w:rPr>
        <w:t>=</w:t>
      </w:r>
      <w:r w:rsidR="000C457A">
        <w:rPr>
          <w:rFonts w:ascii="Book Antiqua" w:hAnsi="Book Antiqua"/>
        </w:rPr>
        <w:t xml:space="preserve"> </w:t>
      </w:r>
      <w:r w:rsidRPr="00611910">
        <w:rPr>
          <w:rFonts w:ascii="Book Antiqua" w:hAnsi="Book Antiqua"/>
        </w:rPr>
        <w:t>1)</w:t>
      </w:r>
      <w:r w:rsidR="000C457A">
        <w:rPr>
          <w:rFonts w:ascii="Book Antiqua" w:hAnsi="Book Antiqua"/>
        </w:rPr>
        <w:t xml:space="preserve">. </w:t>
      </w:r>
      <w:r w:rsidRPr="00611910">
        <w:rPr>
          <w:rFonts w:ascii="Book Antiqua" w:hAnsi="Book Antiqua"/>
          <w:i/>
        </w:rPr>
        <w:t>P</w:t>
      </w:r>
      <w:r w:rsidR="000C457A">
        <w:rPr>
          <w:rFonts w:ascii="Book Antiqua" w:hAnsi="Book Antiqua"/>
        </w:rPr>
        <w:t xml:space="preserve"> </w:t>
      </w:r>
      <w:r w:rsidRPr="00611910">
        <w:rPr>
          <w:rFonts w:ascii="Book Antiqua" w:hAnsi="Book Antiqua"/>
        </w:rPr>
        <w:t>value from Fisher’s exact test.</w:t>
      </w:r>
      <w:r w:rsidR="000C457A">
        <w:rPr>
          <w:rFonts w:ascii="Book Antiqua" w:hAnsi="Book Antiqua"/>
        </w:rPr>
        <w:t xml:space="preserve"> </w:t>
      </w:r>
      <w:r w:rsidR="000C457A">
        <w:rPr>
          <w:rFonts w:ascii="Book Antiqua" w:eastAsia="Book Antiqua" w:hAnsi="Book Antiqua" w:cs="Book Antiqua"/>
          <w:color w:val="000000"/>
        </w:rPr>
        <w:t>NRCD: Non-responsive celiac disease.</w:t>
      </w:r>
      <w:bookmarkEnd w:id="4"/>
    </w:p>
    <w:sectPr w:rsidR="00017816" w:rsidRPr="000178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6F403" w14:textId="77777777" w:rsidR="0090215A" w:rsidRDefault="0090215A" w:rsidP="005066BB">
      <w:r>
        <w:separator/>
      </w:r>
    </w:p>
  </w:endnote>
  <w:endnote w:type="continuationSeparator" w:id="0">
    <w:p w14:paraId="3F782145" w14:textId="77777777" w:rsidR="0090215A" w:rsidRDefault="0090215A" w:rsidP="0050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85587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BC607C0" w14:textId="0FF046A3" w:rsidR="00A601C9" w:rsidRPr="00A601C9" w:rsidRDefault="00A601C9" w:rsidP="0059237A">
            <w:pPr>
              <w:pStyle w:val="Footer"/>
              <w:jc w:val="right"/>
              <w:rPr>
                <w:rFonts w:ascii="Book Antiqua" w:hAnsi="Book Antiqua"/>
                <w:sz w:val="24"/>
                <w:szCs w:val="24"/>
              </w:rPr>
            </w:pPr>
            <w:r w:rsidRPr="00A601C9">
              <w:rPr>
                <w:rFonts w:ascii="Book Antiqua" w:hAnsi="Book Antiqua"/>
                <w:sz w:val="24"/>
                <w:szCs w:val="24"/>
                <w:lang w:val="zh-CN" w:eastAsia="zh-CN"/>
              </w:rPr>
              <w:t xml:space="preserve"> </w:t>
            </w:r>
            <w:r w:rsidRPr="00A601C9">
              <w:rPr>
                <w:rFonts w:ascii="Book Antiqua" w:hAnsi="Book Antiqua"/>
                <w:sz w:val="24"/>
                <w:szCs w:val="24"/>
              </w:rPr>
              <w:fldChar w:fldCharType="begin"/>
            </w:r>
            <w:r w:rsidRPr="00A601C9">
              <w:rPr>
                <w:rFonts w:ascii="Book Antiqua" w:hAnsi="Book Antiqua"/>
                <w:sz w:val="24"/>
                <w:szCs w:val="24"/>
              </w:rPr>
              <w:instrText>PAGE</w:instrText>
            </w:r>
            <w:r w:rsidRPr="00A601C9">
              <w:rPr>
                <w:rFonts w:ascii="Book Antiqua" w:hAnsi="Book Antiqua"/>
                <w:sz w:val="24"/>
                <w:szCs w:val="24"/>
              </w:rPr>
              <w:fldChar w:fldCharType="separate"/>
            </w:r>
            <w:r w:rsidR="003A0070">
              <w:rPr>
                <w:rFonts w:ascii="Book Antiqua" w:hAnsi="Book Antiqua"/>
                <w:noProof/>
                <w:sz w:val="24"/>
                <w:szCs w:val="24"/>
              </w:rPr>
              <w:t>21</w:t>
            </w:r>
            <w:r w:rsidRPr="00A601C9">
              <w:rPr>
                <w:rFonts w:ascii="Book Antiqua" w:hAnsi="Book Antiqua"/>
                <w:sz w:val="24"/>
                <w:szCs w:val="24"/>
              </w:rPr>
              <w:fldChar w:fldCharType="end"/>
            </w:r>
            <w:r w:rsidRPr="00A601C9">
              <w:rPr>
                <w:rFonts w:ascii="Book Antiqua" w:hAnsi="Book Antiqua"/>
                <w:sz w:val="24"/>
                <w:szCs w:val="24"/>
                <w:lang w:val="zh-CN" w:eastAsia="zh-CN"/>
              </w:rPr>
              <w:t xml:space="preserve"> / </w:t>
            </w:r>
            <w:r w:rsidRPr="00A601C9">
              <w:rPr>
                <w:rFonts w:ascii="Book Antiqua" w:hAnsi="Book Antiqua"/>
                <w:sz w:val="24"/>
                <w:szCs w:val="24"/>
              </w:rPr>
              <w:fldChar w:fldCharType="begin"/>
            </w:r>
            <w:r w:rsidRPr="00A601C9">
              <w:rPr>
                <w:rFonts w:ascii="Book Antiqua" w:hAnsi="Book Antiqua"/>
                <w:sz w:val="24"/>
                <w:szCs w:val="24"/>
              </w:rPr>
              <w:instrText>NUMPAGES</w:instrText>
            </w:r>
            <w:r w:rsidRPr="00A601C9">
              <w:rPr>
                <w:rFonts w:ascii="Book Antiqua" w:hAnsi="Book Antiqua"/>
                <w:sz w:val="24"/>
                <w:szCs w:val="24"/>
              </w:rPr>
              <w:fldChar w:fldCharType="separate"/>
            </w:r>
            <w:r w:rsidR="003A0070">
              <w:rPr>
                <w:rFonts w:ascii="Book Antiqua" w:hAnsi="Book Antiqua"/>
                <w:noProof/>
                <w:sz w:val="24"/>
                <w:szCs w:val="24"/>
              </w:rPr>
              <w:t>25</w:t>
            </w:r>
            <w:r w:rsidRPr="00A601C9">
              <w:rPr>
                <w:rFonts w:ascii="Book Antiqua" w:hAnsi="Book Antiqua"/>
                <w:sz w:val="24"/>
                <w:szCs w:val="24"/>
              </w:rPr>
              <w:fldChar w:fldCharType="end"/>
            </w:r>
          </w:p>
        </w:sdtContent>
      </w:sdt>
    </w:sdtContent>
  </w:sdt>
  <w:p w14:paraId="6378C0F1" w14:textId="77777777" w:rsidR="00A601C9" w:rsidRPr="00A601C9" w:rsidRDefault="00A601C9" w:rsidP="0059237A">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83279" w14:textId="77777777" w:rsidR="0090215A" w:rsidRDefault="0090215A" w:rsidP="005066BB">
      <w:r>
        <w:separator/>
      </w:r>
    </w:p>
  </w:footnote>
  <w:footnote w:type="continuationSeparator" w:id="0">
    <w:p w14:paraId="1D0614EE" w14:textId="77777777" w:rsidR="0090215A" w:rsidRDefault="0090215A" w:rsidP="00506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816"/>
    <w:rsid w:val="00026B3B"/>
    <w:rsid w:val="00060941"/>
    <w:rsid w:val="00084ECD"/>
    <w:rsid w:val="000C457A"/>
    <w:rsid w:val="00105E3C"/>
    <w:rsid w:val="00126E2E"/>
    <w:rsid w:val="0015597F"/>
    <w:rsid w:val="001B7B10"/>
    <w:rsid w:val="001F019F"/>
    <w:rsid w:val="00211D4D"/>
    <w:rsid w:val="00223161"/>
    <w:rsid w:val="002316B5"/>
    <w:rsid w:val="00240269"/>
    <w:rsid w:val="00284B68"/>
    <w:rsid w:val="002B0BC4"/>
    <w:rsid w:val="002C1449"/>
    <w:rsid w:val="00332432"/>
    <w:rsid w:val="00354DAE"/>
    <w:rsid w:val="00387661"/>
    <w:rsid w:val="003926FF"/>
    <w:rsid w:val="003A0070"/>
    <w:rsid w:val="003A3A08"/>
    <w:rsid w:val="00412846"/>
    <w:rsid w:val="004A1ED3"/>
    <w:rsid w:val="004F6206"/>
    <w:rsid w:val="005015AD"/>
    <w:rsid w:val="005066BB"/>
    <w:rsid w:val="005311AA"/>
    <w:rsid w:val="0059237A"/>
    <w:rsid w:val="005B3C9B"/>
    <w:rsid w:val="005E1F75"/>
    <w:rsid w:val="00614A80"/>
    <w:rsid w:val="006703B0"/>
    <w:rsid w:val="006A4A7B"/>
    <w:rsid w:val="006E349E"/>
    <w:rsid w:val="006E3E2B"/>
    <w:rsid w:val="0070599C"/>
    <w:rsid w:val="007F2D5C"/>
    <w:rsid w:val="00803D5A"/>
    <w:rsid w:val="00816B37"/>
    <w:rsid w:val="0082302C"/>
    <w:rsid w:val="00830816"/>
    <w:rsid w:val="0083648F"/>
    <w:rsid w:val="0086281D"/>
    <w:rsid w:val="00884AF0"/>
    <w:rsid w:val="00890DAF"/>
    <w:rsid w:val="0090215A"/>
    <w:rsid w:val="00916463"/>
    <w:rsid w:val="00951F2A"/>
    <w:rsid w:val="009543F5"/>
    <w:rsid w:val="009A067D"/>
    <w:rsid w:val="00A001E5"/>
    <w:rsid w:val="00A601C9"/>
    <w:rsid w:val="00A70022"/>
    <w:rsid w:val="00A77B3E"/>
    <w:rsid w:val="00A77FE5"/>
    <w:rsid w:val="00AD6508"/>
    <w:rsid w:val="00B74735"/>
    <w:rsid w:val="00BF7E15"/>
    <w:rsid w:val="00C34891"/>
    <w:rsid w:val="00CA2A55"/>
    <w:rsid w:val="00CB150A"/>
    <w:rsid w:val="00CF5DD7"/>
    <w:rsid w:val="00D72567"/>
    <w:rsid w:val="00DA717D"/>
    <w:rsid w:val="00DD43E6"/>
    <w:rsid w:val="00E03600"/>
    <w:rsid w:val="00E11024"/>
    <w:rsid w:val="00E54347"/>
    <w:rsid w:val="00EE31C7"/>
    <w:rsid w:val="00F05D02"/>
    <w:rsid w:val="00F43F39"/>
    <w:rsid w:val="00F46BA2"/>
    <w:rsid w:val="00FC7991"/>
    <w:rsid w:val="00FE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20728"/>
  <w15:docId w15:val="{2D042F4C-D50B-8E4A-BC59-055B90D9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SCXW264593264BCX0">
    <w:name w:val="NormalTextRun SCXW264593264 BCX0"/>
    <w:basedOn w:val="DefaultParagraphFont"/>
  </w:style>
  <w:style w:type="character" w:customStyle="1" w:styleId="SpellingErrorSCXW264593264BCX0">
    <w:name w:val="SpellingError SCXW264593264 BCX0"/>
    <w:basedOn w:val="DefaultParagraphFont"/>
  </w:style>
  <w:style w:type="character" w:customStyle="1" w:styleId="EOPSCXW264593264BCX0">
    <w:name w:val="EOP SCXW264593264 BCX0"/>
    <w:basedOn w:val="DefaultParagraphFont"/>
  </w:style>
  <w:style w:type="character" w:customStyle="1" w:styleId="NormalTextRunSCXW264593264BCX00">
    <w:name w:val="NormalTextRunSCXW264593264BCX0"/>
    <w:basedOn w:val="DefaultParagraphFont"/>
  </w:style>
  <w:style w:type="character" w:customStyle="1" w:styleId="SpellingErrorBCX0SCXW14797550">
    <w:name w:val="SpellingErrorBCX0SCXW14797550"/>
    <w:basedOn w:val="DefaultParagraphFont"/>
  </w:style>
  <w:style w:type="character" w:customStyle="1" w:styleId="NormalTextRunBCX0SCXW14797550">
    <w:name w:val="NormalTextRunBCX0SCXW14797550"/>
    <w:basedOn w:val="DefaultParagraphFont"/>
  </w:style>
  <w:style w:type="character" w:customStyle="1" w:styleId="NormalTextRunBCX0SCXW139580132">
    <w:name w:val="NormalTextRunBCX0SCXW139580132"/>
    <w:basedOn w:val="DefaultParagraphFont"/>
  </w:style>
  <w:style w:type="character" w:customStyle="1" w:styleId="SpellingErrorBCX0SCXW139580132">
    <w:name w:val="SpellingErrorBCX0SCXW139580132"/>
    <w:basedOn w:val="DefaultParagraphFont"/>
  </w:style>
  <w:style w:type="character" w:customStyle="1" w:styleId="ContextualSpellingAndGrammarErrorBCX0SCXW139580132">
    <w:name w:val="ContextualSpellingAndGrammarErrorBCX0SCXW139580132"/>
    <w:basedOn w:val="DefaultParagraphFont"/>
  </w:style>
  <w:style w:type="character" w:customStyle="1" w:styleId="NormalTextRunBCX0SCXW93944433">
    <w:name w:val="NormalTextRunBCX0SCXW93944433"/>
    <w:basedOn w:val="DefaultParagraphFont"/>
  </w:style>
  <w:style w:type="character" w:customStyle="1" w:styleId="NormalTextRunBCX0SCXW257413474">
    <w:name w:val="NormalTextRunBCX0SCXW257413474"/>
    <w:basedOn w:val="DefaultParagraphFont"/>
  </w:style>
  <w:style w:type="character" w:customStyle="1" w:styleId="NormalTextRunSCXW223857485BCX0">
    <w:name w:val="NormalTextRunSCXW223857485BCX0"/>
    <w:basedOn w:val="DefaultParagraphFont"/>
  </w:style>
  <w:style w:type="character" w:customStyle="1" w:styleId="SpellingErrorSCXW223857485BCX0">
    <w:name w:val="SpellingErrorSCXW223857485BCX0"/>
    <w:basedOn w:val="DefaultParagraphFont"/>
  </w:style>
  <w:style w:type="character" w:customStyle="1" w:styleId="EOPSCXW223857485BCX0">
    <w:name w:val="EOPSCXW223857485BCX0"/>
    <w:basedOn w:val="DefaultParagraphFont"/>
  </w:style>
  <w:style w:type="character" w:customStyle="1" w:styleId="NormalTextRunSCXW141322108BCX0">
    <w:name w:val="NormalTextRunSCXW141322108BCX0"/>
    <w:basedOn w:val="DefaultParagraphFont"/>
  </w:style>
  <w:style w:type="character" w:customStyle="1" w:styleId="SpellingErrorSCXW141322108BCX0">
    <w:name w:val="SpellingErrorSCXW141322108BCX0"/>
    <w:basedOn w:val="DefaultParagraphFont"/>
  </w:style>
  <w:style w:type="character" w:customStyle="1" w:styleId="EOPSCXW141322108BCX0">
    <w:name w:val="EOPSCXW141322108BCX0"/>
    <w:basedOn w:val="DefaultParagraphFont"/>
  </w:style>
  <w:style w:type="character" w:customStyle="1" w:styleId="NormalTextRunSCXW266940908BCX0">
    <w:name w:val="NormalTextRunSCXW266940908BCX0"/>
    <w:basedOn w:val="DefaultParagraphFont"/>
  </w:style>
  <w:style w:type="paragraph" w:styleId="Header">
    <w:name w:val="header"/>
    <w:basedOn w:val="Normal"/>
    <w:link w:val="HeaderChar"/>
    <w:unhideWhenUsed/>
    <w:rsid w:val="005066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066BB"/>
    <w:rPr>
      <w:sz w:val="18"/>
      <w:szCs w:val="18"/>
    </w:rPr>
  </w:style>
  <w:style w:type="paragraph" w:styleId="Footer">
    <w:name w:val="footer"/>
    <w:basedOn w:val="Normal"/>
    <w:link w:val="FooterChar"/>
    <w:uiPriority w:val="99"/>
    <w:unhideWhenUsed/>
    <w:rsid w:val="005066B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066BB"/>
    <w:rPr>
      <w:sz w:val="18"/>
      <w:szCs w:val="18"/>
    </w:rPr>
  </w:style>
  <w:style w:type="table" w:styleId="TableGrid">
    <w:name w:val="Table Grid"/>
    <w:basedOn w:val="TableNormal"/>
    <w:uiPriority w:val="59"/>
    <w:rsid w:val="003926F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3C9B"/>
    <w:rPr>
      <w:rFonts w:ascii="Tahoma" w:hAnsi="Tahoma" w:cs="Tahoma"/>
      <w:sz w:val="16"/>
      <w:szCs w:val="16"/>
    </w:rPr>
  </w:style>
  <w:style w:type="character" w:customStyle="1" w:styleId="BalloonTextChar">
    <w:name w:val="Balloon Text Char"/>
    <w:basedOn w:val="DefaultParagraphFont"/>
    <w:link w:val="BalloonText"/>
    <w:rsid w:val="005B3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450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6258</Words>
  <Characters>34488</Characters>
  <Application>Microsoft Office Word</Application>
  <DocSecurity>0</DocSecurity>
  <Lines>821</Lines>
  <Paragraphs>373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Boston Childrens Hospital</Company>
  <LinksUpToDate>false</LinksUpToDate>
  <CharactersWithSpaces>40373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2021-02-01T22:15:00Z</dcterms:created>
  <dcterms:modified xsi:type="dcterms:W3CDTF">2021-02-01T22:24:00Z</dcterms:modified>
</cp:coreProperties>
</file>