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58886" w14:textId="05392012" w:rsidR="00A77B3E" w:rsidRDefault="00454879">
      <w:pPr>
        <w:spacing w:line="360" w:lineRule="auto"/>
        <w:jc w:val="both"/>
      </w:pPr>
      <w:r w:rsidRPr="007D3440">
        <w:rPr>
          <w:b/>
          <w:bCs/>
          <w:kern w:val="44"/>
        </w:rPr>
        <w:t>Manuscript No.:</w:t>
      </w:r>
      <w:r>
        <w:rPr>
          <w:rFonts w:eastAsia="宋体" w:hint="eastAsia"/>
          <w:b/>
          <w:bCs/>
          <w:kern w:val="44"/>
          <w:lang w:eastAsia="zh-CN"/>
        </w:rPr>
        <w:t>61380</w:t>
      </w:r>
      <w:r w:rsidRPr="007D3440">
        <w:rPr>
          <w:b/>
          <w:bCs/>
          <w:kern w:val="44"/>
        </w:rPr>
        <w:t>-Review-HTML</w:t>
      </w:r>
      <w:r>
        <w:rPr>
          <w:rFonts w:ascii="Book Antiqua" w:hAnsi="Book Antiqua"/>
          <w:b/>
          <w:bCs/>
          <w:kern w:val="44"/>
        </w:rPr>
        <w:t xml:space="preserve"> </w:t>
      </w:r>
      <w:r>
        <w:rPr>
          <w:b/>
          <w:bCs/>
          <w:kern w:val="44"/>
        </w:rPr>
        <w:t xml:space="preserve">      </w:t>
      </w:r>
      <w:r w:rsidRPr="00C00633">
        <w:rPr>
          <w:bCs/>
          <w:kern w:val="44"/>
        </w:rPr>
        <w:t xml:space="preserve">  </w:t>
      </w:r>
      <w:r w:rsidR="00C43656">
        <w:rPr>
          <w:rFonts w:ascii="Book Antiqua" w:eastAsia="Book Antiqua" w:hAnsi="Book Antiqua" w:cs="Book Antiqua"/>
          <w:color w:val="000000"/>
        </w:rPr>
        <w:t>SYSTEMATIC REVIEWS</w:t>
      </w:r>
    </w:p>
    <w:p w14:paraId="51835E50" w14:textId="77777777" w:rsidR="00A77B3E" w:rsidRDefault="00A77B3E">
      <w:pPr>
        <w:spacing w:line="360" w:lineRule="auto"/>
        <w:jc w:val="both"/>
      </w:pPr>
    </w:p>
    <w:p w14:paraId="37C5FEED" w14:textId="224D5749" w:rsidR="00A77B3E" w:rsidRDefault="00C43656">
      <w:pPr>
        <w:spacing w:line="360" w:lineRule="auto"/>
        <w:jc w:val="both"/>
      </w:pPr>
      <w:bookmarkStart w:id="0" w:name="OLE_LINK2"/>
      <w:r>
        <w:rPr>
          <w:rFonts w:ascii="Book Antiqua" w:eastAsia="Book Antiqua" w:hAnsi="Book Antiqua" w:cs="Book Antiqua"/>
          <w:b/>
          <w:bCs/>
          <w:color w:val="000000"/>
        </w:rPr>
        <w:t>Paradox</w:t>
      </w:r>
      <w:r w:rsidR="00B2471C">
        <w:rPr>
          <w:rFonts w:ascii="Book Antiqua" w:eastAsia="Book Antiqua" w:hAnsi="Book Antiqua" w:cs="Book Antiqua"/>
          <w:b/>
          <w:bCs/>
          <w:color w:val="000000"/>
        </w:rPr>
        <w:t>ic</w:t>
      </w:r>
      <w:r>
        <w:rPr>
          <w:rFonts w:ascii="Book Antiqua" w:eastAsia="Book Antiqua" w:hAnsi="Book Antiqua" w:cs="Book Antiqua"/>
          <w:b/>
          <w:bCs/>
          <w:color w:val="000000"/>
        </w:rPr>
        <w:t>al relationship between proton pump inhibitors and COVID-19: A systematic review and meta-analysis</w:t>
      </w:r>
    </w:p>
    <w:bookmarkEnd w:id="0"/>
    <w:p w14:paraId="41D19819" w14:textId="77777777" w:rsidR="00A77B3E" w:rsidRDefault="00A77B3E">
      <w:pPr>
        <w:spacing w:line="360" w:lineRule="auto"/>
        <w:jc w:val="both"/>
      </w:pPr>
    </w:p>
    <w:p w14:paraId="20C4D44C" w14:textId="6E4E65ED" w:rsidR="00A77B3E" w:rsidRPr="00422EE6" w:rsidRDefault="00422EE6">
      <w:pPr>
        <w:spacing w:line="360" w:lineRule="auto"/>
        <w:jc w:val="both"/>
      </w:pPr>
      <w:r w:rsidRPr="00422EE6">
        <w:rPr>
          <w:rFonts w:ascii="Book Antiqua" w:eastAsia="Book Antiqua" w:hAnsi="Book Antiqua" w:cs="Book Antiqua"/>
          <w:color w:val="000000"/>
        </w:rPr>
        <w:t xml:space="preserve">Zippi </w:t>
      </w:r>
      <w:r>
        <w:rPr>
          <w:rFonts w:ascii="Book Antiqua" w:eastAsia="Book Antiqua" w:hAnsi="Book Antiqua" w:cs="Book Antiqua"/>
          <w:color w:val="000000"/>
        </w:rPr>
        <w:t xml:space="preserve">M </w:t>
      </w:r>
      <w:r w:rsidRPr="00422EE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43656" w:rsidRPr="00422EE6">
        <w:rPr>
          <w:rFonts w:ascii="Book Antiqua" w:eastAsia="Book Antiqua" w:hAnsi="Book Antiqua" w:cs="Book Antiqua"/>
          <w:color w:val="000000"/>
        </w:rPr>
        <w:t>Proton pump inhibitors and COVID-19</w:t>
      </w:r>
    </w:p>
    <w:p w14:paraId="3A111996" w14:textId="77777777" w:rsidR="00A77B3E" w:rsidRDefault="00A77B3E">
      <w:pPr>
        <w:spacing w:line="360" w:lineRule="auto"/>
        <w:jc w:val="both"/>
      </w:pPr>
    </w:p>
    <w:p w14:paraId="3D0F6F40" w14:textId="30AD54CA" w:rsidR="00A77B3E" w:rsidRPr="00B35345" w:rsidRDefault="00C43656">
      <w:pPr>
        <w:spacing w:line="360" w:lineRule="auto"/>
        <w:jc w:val="both"/>
        <w:rPr>
          <w:lang w:val="it-IT"/>
        </w:rPr>
      </w:pPr>
      <w:r w:rsidRPr="00B35345">
        <w:rPr>
          <w:rFonts w:ascii="Book Antiqua" w:eastAsia="Book Antiqua" w:hAnsi="Book Antiqua" w:cs="Book Antiqua"/>
          <w:color w:val="000000"/>
          <w:lang w:val="it-IT"/>
        </w:rPr>
        <w:t xml:space="preserve">Maddalena Zippi, Sirio Fiorino, Roberta Budriesi, Matteo Micucci, Ivan Corazza, Roberta Pica, Dario de Biase, Claudio Giuseppe Gallo, </w:t>
      </w:r>
      <w:r w:rsidR="0002399B" w:rsidRPr="00B35345">
        <w:rPr>
          <w:rFonts w:ascii="Book Antiqua" w:eastAsia="Book Antiqua" w:hAnsi="Book Antiqua" w:cs="Book Antiqua"/>
          <w:color w:val="000000"/>
          <w:lang w:val="it-IT"/>
        </w:rPr>
        <w:t>W</w:t>
      </w:r>
      <w:r w:rsidR="0002399B">
        <w:rPr>
          <w:rFonts w:ascii="Book Antiqua" w:eastAsia="Book Antiqua" w:hAnsi="Book Antiqua" w:cs="Book Antiqua"/>
          <w:color w:val="000000"/>
          <w:lang w:val="it-IT"/>
        </w:rPr>
        <w:t>andong</w:t>
      </w:r>
      <w:r w:rsidR="00EF5788">
        <w:rPr>
          <w:rFonts w:ascii="Book Antiqua" w:eastAsia="Book Antiqua" w:hAnsi="Book Antiqua" w:cs="Book Antiqua"/>
          <w:color w:val="000000"/>
          <w:lang w:val="it-IT"/>
        </w:rPr>
        <w:t xml:space="preserve"> </w:t>
      </w:r>
      <w:r w:rsidRPr="00B35345">
        <w:rPr>
          <w:rFonts w:ascii="Book Antiqua" w:eastAsia="Book Antiqua" w:hAnsi="Book Antiqua" w:cs="Book Antiqua"/>
          <w:color w:val="000000"/>
          <w:lang w:val="it-IT"/>
        </w:rPr>
        <w:t>Hong</w:t>
      </w:r>
    </w:p>
    <w:p w14:paraId="142BC956" w14:textId="77777777" w:rsidR="00A77B3E" w:rsidRPr="00B35345" w:rsidRDefault="00A77B3E">
      <w:pPr>
        <w:spacing w:line="360" w:lineRule="auto"/>
        <w:jc w:val="both"/>
        <w:rPr>
          <w:lang w:val="it-IT"/>
        </w:rPr>
      </w:pPr>
    </w:p>
    <w:p w14:paraId="6ED7AEF9" w14:textId="77777777" w:rsidR="00A77B3E" w:rsidRPr="00B35345" w:rsidRDefault="00C43656">
      <w:pPr>
        <w:spacing w:line="360" w:lineRule="auto"/>
        <w:jc w:val="both"/>
        <w:rPr>
          <w:lang w:val="it-IT"/>
        </w:rPr>
      </w:pPr>
      <w:r w:rsidRPr="00B35345">
        <w:rPr>
          <w:rFonts w:ascii="Book Antiqua" w:eastAsia="Book Antiqua" w:hAnsi="Book Antiqua" w:cs="Book Antiqua"/>
          <w:b/>
          <w:bCs/>
          <w:color w:val="000000"/>
          <w:lang w:val="it-IT"/>
        </w:rPr>
        <w:t xml:space="preserve">Maddalena </w:t>
      </w:r>
      <w:bookmarkStart w:id="1" w:name="_Hlk62131887"/>
      <w:r w:rsidRPr="00B35345">
        <w:rPr>
          <w:rFonts w:ascii="Book Antiqua" w:eastAsia="Book Antiqua" w:hAnsi="Book Antiqua" w:cs="Book Antiqua"/>
          <w:b/>
          <w:bCs/>
          <w:color w:val="000000"/>
          <w:lang w:val="it-IT"/>
        </w:rPr>
        <w:t>Zippi</w:t>
      </w:r>
      <w:bookmarkEnd w:id="1"/>
      <w:r w:rsidRPr="00B35345">
        <w:rPr>
          <w:rFonts w:ascii="Book Antiqua" w:eastAsia="Book Antiqua" w:hAnsi="Book Antiqua" w:cs="Book Antiqua"/>
          <w:b/>
          <w:bCs/>
          <w:color w:val="000000"/>
          <w:lang w:val="it-IT"/>
        </w:rPr>
        <w:t xml:space="preserve">, Roberta Pica, </w:t>
      </w:r>
      <w:r w:rsidRPr="00B35345">
        <w:rPr>
          <w:rFonts w:ascii="Book Antiqua" w:eastAsia="Book Antiqua" w:hAnsi="Book Antiqua" w:cs="Book Antiqua"/>
          <w:color w:val="000000"/>
          <w:lang w:val="it-IT"/>
        </w:rPr>
        <w:t>Unit of Gastroenterology and Digestive Endoscopy, Sandro Pertini Hospital, Rome 00157, Italy</w:t>
      </w:r>
    </w:p>
    <w:p w14:paraId="63607247" w14:textId="77777777" w:rsidR="00A77B3E" w:rsidRPr="00B35345" w:rsidRDefault="00A77B3E">
      <w:pPr>
        <w:spacing w:line="360" w:lineRule="auto"/>
        <w:jc w:val="both"/>
        <w:rPr>
          <w:lang w:val="it-IT"/>
        </w:rPr>
      </w:pPr>
    </w:p>
    <w:p w14:paraId="060CF652" w14:textId="77777777" w:rsidR="00A77B3E" w:rsidRPr="00B35345" w:rsidRDefault="00C43656">
      <w:pPr>
        <w:spacing w:line="360" w:lineRule="auto"/>
        <w:jc w:val="both"/>
        <w:rPr>
          <w:lang w:val="it-IT"/>
        </w:rPr>
      </w:pPr>
      <w:r w:rsidRPr="00B35345">
        <w:rPr>
          <w:rFonts w:ascii="Book Antiqua" w:eastAsia="Book Antiqua" w:hAnsi="Book Antiqua" w:cs="Book Antiqua"/>
          <w:b/>
          <w:bCs/>
          <w:color w:val="000000"/>
          <w:lang w:val="it-IT"/>
        </w:rPr>
        <w:t xml:space="preserve">Sirio Fiorino, </w:t>
      </w:r>
      <w:r w:rsidRPr="00B35345">
        <w:rPr>
          <w:rFonts w:ascii="Book Antiqua" w:eastAsia="Book Antiqua" w:hAnsi="Book Antiqua" w:cs="Book Antiqua"/>
          <w:color w:val="000000"/>
          <w:lang w:val="it-IT"/>
        </w:rPr>
        <w:t>Unit of Internal Medicine, Maggiore Hospital, Local Health Unit of Bologna, Bologna 40133, Italy</w:t>
      </w:r>
    </w:p>
    <w:p w14:paraId="3A526A2D" w14:textId="77777777" w:rsidR="00A77B3E" w:rsidRPr="00B35345" w:rsidRDefault="00A77B3E">
      <w:pPr>
        <w:spacing w:line="360" w:lineRule="auto"/>
        <w:jc w:val="both"/>
        <w:rPr>
          <w:lang w:val="it-IT"/>
        </w:rPr>
      </w:pPr>
    </w:p>
    <w:p w14:paraId="06C017A5" w14:textId="707A9EAA" w:rsidR="00A77B3E" w:rsidRDefault="00C43656">
      <w:pPr>
        <w:spacing w:line="360" w:lineRule="auto"/>
        <w:jc w:val="both"/>
      </w:pPr>
      <w:r>
        <w:rPr>
          <w:rFonts w:ascii="Book Antiqua" w:eastAsia="Book Antiqua" w:hAnsi="Book Antiqua" w:cs="Book Antiqua"/>
          <w:b/>
          <w:bCs/>
          <w:color w:val="000000"/>
        </w:rPr>
        <w:t xml:space="preserve">Roberta Budriesi, Matteo Micucci, </w:t>
      </w:r>
      <w:r>
        <w:rPr>
          <w:rFonts w:ascii="Book Antiqua" w:eastAsia="Book Antiqua" w:hAnsi="Book Antiqua" w:cs="Book Antiqua"/>
          <w:color w:val="000000"/>
        </w:rPr>
        <w:t>Food Chemistry and Nutraceuticals Lab</w:t>
      </w:r>
      <w:r w:rsidR="0095688A">
        <w:rPr>
          <w:rFonts w:ascii="Book Antiqua" w:eastAsia="Book Antiqua" w:hAnsi="Book Antiqua" w:cs="Book Antiqua"/>
          <w:color w:val="000000"/>
        </w:rPr>
        <w:t>ora</w:t>
      </w:r>
      <w:r w:rsidR="005B16D8">
        <w:rPr>
          <w:rFonts w:ascii="Book Antiqua" w:eastAsia="Book Antiqua" w:hAnsi="Book Antiqua" w:cs="Book Antiqua"/>
          <w:color w:val="000000"/>
        </w:rPr>
        <w:t>to</w:t>
      </w:r>
      <w:r w:rsidR="0095688A">
        <w:rPr>
          <w:rFonts w:ascii="Book Antiqua" w:eastAsia="Book Antiqua" w:hAnsi="Book Antiqua" w:cs="Book Antiqua"/>
          <w:color w:val="000000"/>
        </w:rPr>
        <w:t>ry</w:t>
      </w:r>
      <w:r>
        <w:rPr>
          <w:rFonts w:ascii="Book Antiqua" w:eastAsia="Book Antiqua" w:hAnsi="Book Antiqua" w:cs="Book Antiqua"/>
          <w:color w:val="000000"/>
        </w:rPr>
        <w:t>, Department of Pharmacy and Biotechnology (FaBiT), Alma Mater Studiorum, University of Bologna, Bologna 40133, Italy</w:t>
      </w:r>
    </w:p>
    <w:p w14:paraId="1257B982" w14:textId="77777777" w:rsidR="00A77B3E" w:rsidRDefault="00A77B3E">
      <w:pPr>
        <w:spacing w:line="360" w:lineRule="auto"/>
        <w:jc w:val="both"/>
      </w:pPr>
    </w:p>
    <w:p w14:paraId="4A747C47" w14:textId="6F9B4571" w:rsidR="00A77B3E" w:rsidRDefault="00C43656">
      <w:pPr>
        <w:spacing w:line="360" w:lineRule="auto"/>
        <w:jc w:val="both"/>
      </w:pPr>
      <w:r>
        <w:rPr>
          <w:rFonts w:ascii="Book Antiqua" w:eastAsia="Book Antiqua" w:hAnsi="Book Antiqua" w:cs="Book Antiqua"/>
          <w:b/>
          <w:bCs/>
          <w:color w:val="000000"/>
        </w:rPr>
        <w:t xml:space="preserve">Ivan Corazza, </w:t>
      </w:r>
      <w:r>
        <w:rPr>
          <w:rFonts w:ascii="Book Antiqua" w:eastAsia="Book Antiqua" w:hAnsi="Book Antiqua" w:cs="Book Antiqua"/>
          <w:color w:val="000000"/>
        </w:rPr>
        <w:t>Experimental, Diagnostic and Speciality Medicine Department, University of Bologna, Bologna 40138, Italy</w:t>
      </w:r>
    </w:p>
    <w:p w14:paraId="71D097A4" w14:textId="77777777" w:rsidR="00A77B3E" w:rsidRDefault="00A77B3E">
      <w:pPr>
        <w:spacing w:line="360" w:lineRule="auto"/>
        <w:jc w:val="both"/>
      </w:pPr>
    </w:p>
    <w:p w14:paraId="6A566556" w14:textId="77777777" w:rsidR="00A77B3E" w:rsidRDefault="00C43656">
      <w:pPr>
        <w:spacing w:line="360" w:lineRule="auto"/>
        <w:jc w:val="both"/>
      </w:pPr>
      <w:r>
        <w:rPr>
          <w:rFonts w:ascii="Book Antiqua" w:eastAsia="Book Antiqua" w:hAnsi="Book Antiqua" w:cs="Book Antiqua"/>
          <w:b/>
          <w:bCs/>
          <w:color w:val="000000"/>
        </w:rPr>
        <w:t xml:space="preserve">Dario de Biase, </w:t>
      </w:r>
      <w:r>
        <w:rPr>
          <w:rFonts w:ascii="Book Antiqua" w:eastAsia="Book Antiqua" w:hAnsi="Book Antiqua" w:cs="Book Antiqua"/>
          <w:color w:val="000000"/>
        </w:rPr>
        <w:t>Department of Pharmacy and Biotechnology, University of Bologna, Bologna 40138, Italy</w:t>
      </w:r>
    </w:p>
    <w:p w14:paraId="0F7A90B4" w14:textId="77777777" w:rsidR="00A77B3E" w:rsidRDefault="00A77B3E">
      <w:pPr>
        <w:spacing w:line="360" w:lineRule="auto"/>
        <w:jc w:val="both"/>
      </w:pPr>
    </w:p>
    <w:p w14:paraId="6C0DF18D" w14:textId="77777777" w:rsidR="00A77B3E" w:rsidRPr="00B35345" w:rsidRDefault="00C43656">
      <w:pPr>
        <w:spacing w:line="360" w:lineRule="auto"/>
        <w:jc w:val="both"/>
        <w:rPr>
          <w:lang w:val="it-IT"/>
        </w:rPr>
      </w:pPr>
      <w:r w:rsidRPr="00B35345">
        <w:rPr>
          <w:rFonts w:ascii="Book Antiqua" w:eastAsia="Book Antiqua" w:hAnsi="Book Antiqua" w:cs="Book Antiqua"/>
          <w:b/>
          <w:bCs/>
          <w:color w:val="000000"/>
          <w:lang w:val="it-IT"/>
        </w:rPr>
        <w:t xml:space="preserve">Claudio Giuseppe Gallo, </w:t>
      </w:r>
      <w:r w:rsidRPr="00B35345">
        <w:rPr>
          <w:rFonts w:ascii="Book Antiqua" w:eastAsia="Book Antiqua" w:hAnsi="Book Antiqua" w:cs="Book Antiqua"/>
          <w:color w:val="000000"/>
          <w:lang w:val="it-IT"/>
        </w:rPr>
        <w:t>Internal Medicine Unit, Budrio Hospital Azienda USL, Bologna 40138, Italy</w:t>
      </w:r>
    </w:p>
    <w:p w14:paraId="6DF895D9" w14:textId="77777777" w:rsidR="00A77B3E" w:rsidRPr="00B35345" w:rsidRDefault="00A77B3E">
      <w:pPr>
        <w:spacing w:line="360" w:lineRule="auto"/>
        <w:jc w:val="both"/>
        <w:rPr>
          <w:lang w:val="it-IT"/>
        </w:rPr>
      </w:pPr>
    </w:p>
    <w:p w14:paraId="749987C3" w14:textId="4CD17EB2" w:rsidR="00A77B3E" w:rsidRDefault="0002399B">
      <w:pPr>
        <w:spacing w:line="360" w:lineRule="auto"/>
        <w:jc w:val="both"/>
      </w:pPr>
      <w:r>
        <w:rPr>
          <w:rFonts w:ascii="Book Antiqua" w:eastAsia="Book Antiqua" w:hAnsi="Book Antiqua" w:cs="Book Antiqua"/>
          <w:b/>
          <w:bCs/>
          <w:color w:val="000000"/>
        </w:rPr>
        <w:lastRenderedPageBreak/>
        <w:t>Wan</w:t>
      </w:r>
      <w:r w:rsidR="00025C08">
        <w:rPr>
          <w:rFonts w:ascii="Book Antiqua" w:eastAsia="Book Antiqua" w:hAnsi="Book Antiqua" w:cs="Book Antiqua"/>
          <w:b/>
          <w:bCs/>
          <w:color w:val="000000"/>
        </w:rPr>
        <w:t>d</w:t>
      </w:r>
      <w:r>
        <w:rPr>
          <w:rFonts w:ascii="Book Antiqua" w:eastAsia="Book Antiqua" w:hAnsi="Book Antiqua" w:cs="Book Antiqua"/>
          <w:b/>
          <w:bCs/>
          <w:color w:val="000000"/>
        </w:rPr>
        <w:t xml:space="preserve">ong </w:t>
      </w:r>
      <w:r w:rsidR="00C43656">
        <w:rPr>
          <w:rFonts w:ascii="Book Antiqua" w:eastAsia="Book Antiqua" w:hAnsi="Book Antiqua" w:cs="Book Antiqua"/>
          <w:b/>
          <w:bCs/>
          <w:color w:val="000000"/>
        </w:rPr>
        <w:t xml:space="preserve">Hong, </w:t>
      </w:r>
      <w:r w:rsidR="00C43656">
        <w:rPr>
          <w:rFonts w:ascii="Book Antiqua" w:eastAsia="Book Antiqua" w:hAnsi="Book Antiqua" w:cs="Book Antiqua"/>
          <w:color w:val="000000"/>
        </w:rPr>
        <w:t>Department of Gastroenterology and Hepatology, The First Affiliated Hospital of Wenzhou Medical University, Wenzhou 325000, Zhejiang Province, China</w:t>
      </w:r>
    </w:p>
    <w:p w14:paraId="40FA2D44" w14:textId="77777777" w:rsidR="00A77B3E" w:rsidRDefault="00A77B3E">
      <w:pPr>
        <w:spacing w:line="360" w:lineRule="auto"/>
        <w:jc w:val="both"/>
      </w:pPr>
    </w:p>
    <w:p w14:paraId="58A7530F" w14:textId="6B80CEE2" w:rsidR="00A77B3E" w:rsidRPr="00EF5788" w:rsidRDefault="00C4365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Zippi</w:t>
      </w:r>
      <w:r w:rsidR="00422EE6">
        <w:rPr>
          <w:rFonts w:ascii="Book Antiqua" w:eastAsia="Book Antiqua" w:hAnsi="Book Antiqua" w:cs="Book Antiqua"/>
          <w:color w:val="000000"/>
        </w:rPr>
        <w:t xml:space="preserve"> M</w:t>
      </w:r>
      <w:r>
        <w:rPr>
          <w:rFonts w:ascii="Book Antiqua" w:eastAsia="Book Antiqua" w:hAnsi="Book Antiqua" w:cs="Book Antiqua"/>
          <w:color w:val="000000"/>
        </w:rPr>
        <w:t>, Budriesi</w:t>
      </w:r>
      <w:r w:rsidR="00422EE6">
        <w:rPr>
          <w:rFonts w:ascii="Book Antiqua" w:eastAsia="Book Antiqua" w:hAnsi="Book Antiqua" w:cs="Book Antiqua"/>
          <w:color w:val="000000"/>
        </w:rPr>
        <w:t xml:space="preserve"> R</w:t>
      </w:r>
      <w:r>
        <w:rPr>
          <w:rFonts w:ascii="Book Antiqua" w:eastAsia="Book Antiqua" w:hAnsi="Book Antiqua" w:cs="Book Antiqua"/>
          <w:color w:val="000000"/>
        </w:rPr>
        <w:t>, Micucci</w:t>
      </w:r>
      <w:r w:rsidR="00422EE6">
        <w:rPr>
          <w:rFonts w:ascii="Book Antiqua" w:eastAsia="Book Antiqua" w:hAnsi="Book Antiqua" w:cs="Book Antiqua"/>
          <w:color w:val="000000"/>
        </w:rPr>
        <w:t xml:space="preserve"> M</w:t>
      </w:r>
      <w:r>
        <w:rPr>
          <w:rFonts w:ascii="Book Antiqua" w:eastAsia="Book Antiqua" w:hAnsi="Book Antiqua" w:cs="Book Antiqua"/>
          <w:color w:val="000000"/>
        </w:rPr>
        <w:t xml:space="preserve">, Corazza </w:t>
      </w:r>
      <w:r w:rsidR="00422EE6">
        <w:rPr>
          <w:rFonts w:ascii="Book Antiqua" w:eastAsia="Book Antiqua" w:hAnsi="Book Antiqua" w:cs="Book Antiqua"/>
          <w:color w:val="000000"/>
        </w:rPr>
        <w:t xml:space="preserve">I </w:t>
      </w:r>
      <w:r>
        <w:rPr>
          <w:rFonts w:ascii="Book Antiqua" w:eastAsia="Book Antiqua" w:hAnsi="Book Antiqua" w:cs="Book Antiqua"/>
          <w:color w:val="000000"/>
        </w:rPr>
        <w:t xml:space="preserve">and Fiorino </w:t>
      </w:r>
      <w:r w:rsidR="00422EE6">
        <w:rPr>
          <w:rFonts w:ascii="Book Antiqua" w:eastAsia="Book Antiqua" w:hAnsi="Book Antiqua" w:cs="Book Antiqua"/>
          <w:color w:val="000000"/>
        </w:rPr>
        <w:t xml:space="preserve">S </w:t>
      </w:r>
      <w:r>
        <w:rPr>
          <w:rFonts w:ascii="Book Antiqua" w:eastAsia="Book Antiqua" w:hAnsi="Book Antiqua" w:cs="Book Antiqua"/>
          <w:color w:val="000000"/>
        </w:rPr>
        <w:t>made substantial contribution</w:t>
      </w:r>
      <w:r w:rsidR="006C33F7">
        <w:rPr>
          <w:rFonts w:ascii="Book Antiqua" w:eastAsia="Book Antiqua" w:hAnsi="Book Antiqua" w:cs="Book Antiqua"/>
          <w:color w:val="000000"/>
        </w:rPr>
        <w:t>s</w:t>
      </w:r>
      <w:r>
        <w:rPr>
          <w:rFonts w:ascii="Book Antiqua" w:eastAsia="Book Antiqua" w:hAnsi="Book Antiqua" w:cs="Book Antiqua"/>
          <w:color w:val="000000"/>
        </w:rPr>
        <w:t xml:space="preserve"> to study conception and design</w:t>
      </w:r>
      <w:r w:rsidR="00422EE6">
        <w:rPr>
          <w:rFonts w:ascii="Book Antiqua" w:eastAsia="Book Antiqua" w:hAnsi="Book Antiqua" w:cs="Book Antiqua"/>
          <w:color w:val="000000"/>
        </w:rPr>
        <w:t>;</w:t>
      </w:r>
      <w:r>
        <w:rPr>
          <w:rFonts w:ascii="Book Antiqua" w:eastAsia="Book Antiqua" w:hAnsi="Book Antiqua" w:cs="Book Antiqua"/>
          <w:color w:val="000000"/>
        </w:rPr>
        <w:t xml:space="preserve"> Pica</w:t>
      </w:r>
      <w:r w:rsidR="00422EE6">
        <w:rPr>
          <w:rFonts w:ascii="Book Antiqua" w:eastAsia="Book Antiqua" w:hAnsi="Book Antiqua" w:cs="Book Antiqua"/>
          <w:color w:val="000000"/>
        </w:rPr>
        <w:t xml:space="preserve"> R</w:t>
      </w:r>
      <w:r>
        <w:rPr>
          <w:rFonts w:ascii="Book Antiqua" w:eastAsia="Book Antiqua" w:hAnsi="Book Antiqua" w:cs="Book Antiqua"/>
          <w:color w:val="000000"/>
        </w:rPr>
        <w:t xml:space="preserve">, </w:t>
      </w:r>
      <w:r w:rsidR="00422EE6">
        <w:rPr>
          <w:rFonts w:ascii="Book Antiqua" w:eastAsia="Book Antiqua" w:hAnsi="Book Antiqua" w:cs="Book Antiqua"/>
          <w:color w:val="000000"/>
        </w:rPr>
        <w:t>d</w:t>
      </w:r>
      <w:r>
        <w:rPr>
          <w:rFonts w:ascii="Book Antiqua" w:eastAsia="Book Antiqua" w:hAnsi="Book Antiqua" w:cs="Book Antiqua"/>
          <w:color w:val="000000"/>
        </w:rPr>
        <w:t>e Biase</w:t>
      </w:r>
      <w:r w:rsidR="00422EE6">
        <w:rPr>
          <w:rFonts w:ascii="Book Antiqua" w:eastAsia="Book Antiqua" w:hAnsi="Book Antiqua" w:cs="Book Antiqua"/>
          <w:color w:val="000000"/>
        </w:rPr>
        <w:t xml:space="preserve"> D</w:t>
      </w:r>
      <w:r>
        <w:rPr>
          <w:rFonts w:ascii="Book Antiqua" w:eastAsia="Book Antiqua" w:hAnsi="Book Antiqua" w:cs="Book Antiqua"/>
          <w:color w:val="000000"/>
        </w:rPr>
        <w:t xml:space="preserve">, Gallo </w:t>
      </w:r>
      <w:r w:rsidR="00422EE6">
        <w:rPr>
          <w:rFonts w:ascii="Book Antiqua" w:eastAsia="Book Antiqua" w:hAnsi="Book Antiqua" w:cs="Book Antiqua"/>
          <w:color w:val="000000"/>
        </w:rPr>
        <w:t xml:space="preserve">CG </w:t>
      </w:r>
      <w:r>
        <w:rPr>
          <w:rFonts w:ascii="Book Antiqua" w:eastAsia="Book Antiqua" w:hAnsi="Book Antiqua" w:cs="Book Antiqua"/>
          <w:color w:val="000000"/>
        </w:rPr>
        <w:t xml:space="preserve">and Hong </w:t>
      </w:r>
      <w:r w:rsidR="00422EE6">
        <w:rPr>
          <w:rFonts w:ascii="Book Antiqua" w:eastAsia="Book Antiqua" w:hAnsi="Book Antiqua" w:cs="Book Antiqua"/>
          <w:color w:val="000000"/>
        </w:rPr>
        <w:t xml:space="preserve">W </w:t>
      </w:r>
      <w:r>
        <w:rPr>
          <w:rFonts w:ascii="Book Antiqua" w:eastAsia="Book Antiqua" w:hAnsi="Book Antiqua" w:cs="Book Antiqua"/>
          <w:color w:val="000000"/>
        </w:rPr>
        <w:t>were involved in acquisition, analysis and interpretation of data</w:t>
      </w:r>
      <w:r w:rsidR="00626FBA">
        <w:rPr>
          <w:rFonts w:ascii="Book Antiqua" w:eastAsia="Book Antiqua" w:hAnsi="Book Antiqua" w:cs="Book Antiqua"/>
          <w:color w:val="000000"/>
        </w:rPr>
        <w:t>;</w:t>
      </w:r>
      <w:r>
        <w:rPr>
          <w:rFonts w:ascii="Book Antiqua" w:eastAsia="Book Antiqua" w:hAnsi="Book Antiqua" w:cs="Book Antiqua"/>
          <w:color w:val="000000"/>
        </w:rPr>
        <w:t xml:space="preserve"> Zippi </w:t>
      </w:r>
      <w:r w:rsidR="00626FBA">
        <w:rPr>
          <w:rFonts w:ascii="Book Antiqua" w:eastAsia="Book Antiqua" w:hAnsi="Book Antiqua" w:cs="Book Antiqua"/>
          <w:color w:val="000000"/>
        </w:rPr>
        <w:t xml:space="preserve">M </w:t>
      </w:r>
      <w:r>
        <w:rPr>
          <w:rFonts w:ascii="Book Antiqua" w:eastAsia="Book Antiqua" w:hAnsi="Book Antiqua" w:cs="Book Antiqua"/>
          <w:color w:val="000000"/>
        </w:rPr>
        <w:t xml:space="preserve">and Hong </w:t>
      </w:r>
      <w:r w:rsidR="00626FBA">
        <w:rPr>
          <w:rFonts w:ascii="Book Antiqua" w:eastAsia="Book Antiqua" w:hAnsi="Book Antiqua" w:cs="Book Antiqua"/>
          <w:color w:val="000000"/>
        </w:rPr>
        <w:t xml:space="preserve">W </w:t>
      </w:r>
      <w:r>
        <w:rPr>
          <w:rFonts w:ascii="Book Antiqua" w:eastAsia="Book Antiqua" w:hAnsi="Book Antiqua" w:cs="Book Antiqua"/>
          <w:color w:val="000000"/>
        </w:rPr>
        <w:t>were involved in drafting the article, revising it critically for important intellectual content and gave final approval of the version to be published.</w:t>
      </w:r>
    </w:p>
    <w:p w14:paraId="262A399F" w14:textId="77777777" w:rsidR="00A77B3E" w:rsidRDefault="00A77B3E">
      <w:pPr>
        <w:spacing w:line="360" w:lineRule="auto"/>
        <w:jc w:val="both"/>
      </w:pPr>
    </w:p>
    <w:p w14:paraId="66B06AFF" w14:textId="77777777" w:rsidR="00A77B3E" w:rsidRDefault="00C43656">
      <w:pPr>
        <w:spacing w:line="360" w:lineRule="auto"/>
        <w:jc w:val="both"/>
      </w:pPr>
      <w:r>
        <w:rPr>
          <w:rFonts w:ascii="Book Antiqua" w:eastAsia="Book Antiqua" w:hAnsi="Book Antiqua" w:cs="Book Antiqua"/>
          <w:b/>
          <w:bCs/>
          <w:color w:val="000000"/>
        </w:rPr>
        <w:t xml:space="preserve">Corresponding author: Maddalena Zippi, MD, PhD, Medical Assistant, </w:t>
      </w:r>
      <w:r>
        <w:rPr>
          <w:rFonts w:ascii="Book Antiqua" w:eastAsia="Book Antiqua" w:hAnsi="Book Antiqua" w:cs="Book Antiqua"/>
          <w:color w:val="000000"/>
        </w:rPr>
        <w:t>Unit of Gastroenterology and Digestive Endoscopy, Sandro Pertini Hospital, Via dei Monti Tiburtini 385, Rome 00157, Italy. maddyzip@yahoo.it</w:t>
      </w:r>
    </w:p>
    <w:p w14:paraId="1905B146" w14:textId="77777777" w:rsidR="00A77B3E" w:rsidRDefault="00A77B3E">
      <w:pPr>
        <w:spacing w:line="360" w:lineRule="auto"/>
        <w:jc w:val="both"/>
      </w:pPr>
    </w:p>
    <w:p w14:paraId="0A6E8ED8" w14:textId="77777777" w:rsidR="00A77B3E" w:rsidRDefault="00C436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2020</w:t>
      </w:r>
    </w:p>
    <w:p w14:paraId="4E6AA1BA" w14:textId="77777777" w:rsidR="00A77B3E" w:rsidRDefault="00C4365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 2021</w:t>
      </w:r>
    </w:p>
    <w:p w14:paraId="6BCB2B51" w14:textId="278DB6A9" w:rsidR="00A77B3E" w:rsidRDefault="00C43656">
      <w:pPr>
        <w:spacing w:line="360" w:lineRule="auto"/>
        <w:jc w:val="both"/>
      </w:pPr>
      <w:r>
        <w:rPr>
          <w:rFonts w:ascii="Book Antiqua" w:eastAsia="Book Antiqua" w:hAnsi="Book Antiqua" w:cs="Book Antiqua"/>
          <w:b/>
          <w:bCs/>
          <w:color w:val="000000"/>
        </w:rPr>
        <w:t xml:space="preserve">Accepted: </w:t>
      </w:r>
      <w:r w:rsidR="00DE354D" w:rsidRPr="00DE354D">
        <w:rPr>
          <w:rFonts w:ascii="Book Antiqua" w:eastAsia="Book Antiqua" w:hAnsi="Book Antiqua" w:cs="Book Antiqua"/>
          <w:color w:val="000000"/>
        </w:rPr>
        <w:t>February 12, 2021</w:t>
      </w:r>
    </w:p>
    <w:p w14:paraId="6C49BEF4" w14:textId="25E59AA2" w:rsidR="00A77B3E" w:rsidRDefault="00C43656">
      <w:pPr>
        <w:spacing w:line="360" w:lineRule="auto"/>
        <w:jc w:val="both"/>
      </w:pPr>
      <w:r>
        <w:rPr>
          <w:rFonts w:ascii="Book Antiqua" w:eastAsia="Book Antiqua" w:hAnsi="Book Antiqua" w:cs="Book Antiqua"/>
          <w:b/>
          <w:bCs/>
          <w:color w:val="000000"/>
        </w:rPr>
        <w:t>Published online:</w:t>
      </w:r>
      <w:r w:rsidR="00E67C04">
        <w:rPr>
          <w:rFonts w:ascii="Book Antiqua" w:hAnsi="Book Antiqua" w:cs="Book Antiqua" w:hint="eastAsia"/>
          <w:b/>
          <w:bCs/>
          <w:color w:val="000000"/>
          <w:lang w:eastAsia="zh-CN"/>
        </w:rPr>
        <w:t xml:space="preserve"> </w:t>
      </w:r>
      <w:r w:rsidR="00E67C04">
        <w:rPr>
          <w:rFonts w:ascii="Book Antiqua" w:hAnsi="Book Antiqua" w:cs="Book Antiqua" w:hint="eastAsia"/>
          <w:color w:val="000000"/>
          <w:lang w:eastAsia="zh-CN"/>
        </w:rPr>
        <w:t>April 2</w:t>
      </w:r>
      <w:r w:rsidR="00E67C04" w:rsidRPr="00564C29">
        <w:rPr>
          <w:rFonts w:ascii="Book Antiqua" w:eastAsia="Book Antiqua" w:hAnsi="Book Antiqua" w:cs="Book Antiqua"/>
          <w:color w:val="000000"/>
        </w:rPr>
        <w:t>6,</w:t>
      </w:r>
      <w:r w:rsidR="00E67C04">
        <w:rPr>
          <w:rFonts w:ascii="Book Antiqua" w:eastAsia="Book Antiqua" w:hAnsi="Book Antiqua" w:cs="Book Antiqua"/>
          <w:color w:val="000000"/>
        </w:rPr>
        <w:t xml:space="preserve"> </w:t>
      </w:r>
      <w:r w:rsidR="00E67C04" w:rsidRPr="00564C29">
        <w:rPr>
          <w:rFonts w:ascii="Book Antiqua" w:eastAsia="Book Antiqua" w:hAnsi="Book Antiqua" w:cs="Book Antiqua"/>
          <w:color w:val="000000"/>
        </w:rPr>
        <w:t>2021</w:t>
      </w:r>
      <w:r w:rsidR="00E67C04" w:rsidRPr="00387EEE">
        <w:rPr>
          <w:rFonts w:ascii="Book Antiqua" w:eastAsia="Book Antiqua" w:hAnsi="Book Antiqua" w:cs="Book Antiqua"/>
          <w:b/>
          <w:bCs/>
          <w:color w:val="000000" w:themeColor="text1"/>
        </w:rPr>
        <w:t xml:space="preserve"> </w:t>
      </w:r>
      <w:r>
        <w:rPr>
          <w:rFonts w:ascii="Book Antiqua" w:eastAsia="Book Antiqua" w:hAnsi="Book Antiqua" w:cs="Book Antiqua"/>
          <w:b/>
          <w:bCs/>
          <w:color w:val="000000"/>
        </w:rPr>
        <w:t xml:space="preserve"> </w:t>
      </w:r>
    </w:p>
    <w:p w14:paraId="642F92A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019B576" w14:textId="77777777" w:rsidR="00A77B3E" w:rsidRDefault="00C43656">
      <w:pPr>
        <w:spacing w:line="360" w:lineRule="auto"/>
        <w:jc w:val="both"/>
      </w:pPr>
      <w:r>
        <w:rPr>
          <w:rFonts w:ascii="Book Antiqua" w:eastAsia="Book Antiqua" w:hAnsi="Book Antiqua" w:cs="Book Antiqua"/>
          <w:b/>
          <w:color w:val="000000"/>
        </w:rPr>
        <w:t>Abstract</w:t>
      </w:r>
    </w:p>
    <w:p w14:paraId="45532A76" w14:textId="77777777" w:rsidR="00A77B3E" w:rsidRDefault="00C43656">
      <w:pPr>
        <w:spacing w:line="360" w:lineRule="auto"/>
        <w:jc w:val="both"/>
      </w:pPr>
      <w:r>
        <w:rPr>
          <w:rFonts w:ascii="Book Antiqua" w:eastAsia="Book Antiqua" w:hAnsi="Book Antiqua" w:cs="Book Antiqua"/>
          <w:color w:val="000000"/>
        </w:rPr>
        <w:t>BACKGROUND</w:t>
      </w:r>
    </w:p>
    <w:p w14:paraId="2290CC5B" w14:textId="7439C4BE" w:rsidR="00A77B3E" w:rsidRDefault="00C43656">
      <w:pPr>
        <w:spacing w:line="360" w:lineRule="auto"/>
        <w:jc w:val="both"/>
      </w:pPr>
      <w:r>
        <w:rPr>
          <w:rFonts w:ascii="Book Antiqua" w:eastAsia="Book Antiqua" w:hAnsi="Book Antiqua" w:cs="Book Antiqua"/>
          <w:color w:val="000000"/>
        </w:rPr>
        <w:t xml:space="preserve">The proton pump inhibitors (PPIs), </w:t>
      </w:r>
      <w:r w:rsidR="00CC7B84">
        <w:rPr>
          <w:rFonts w:ascii="Book Antiqua" w:eastAsia="Book Antiqua" w:hAnsi="Book Antiqua" w:cs="Book Antiqua"/>
          <w:color w:val="000000"/>
        </w:rPr>
        <w:t>used</w:t>
      </w:r>
      <w:r>
        <w:rPr>
          <w:rFonts w:ascii="Book Antiqua" w:eastAsia="Book Antiqua" w:hAnsi="Book Antiqua" w:cs="Book Antiqua"/>
          <w:color w:val="000000"/>
        </w:rPr>
        <w:t xml:space="preserve"> to reduce gastric acid secretion, represent one of the most </w:t>
      </w:r>
      <w:r w:rsidR="006C33F7">
        <w:rPr>
          <w:rFonts w:ascii="Book Antiqua" w:eastAsia="Book Antiqua" w:hAnsi="Book Antiqua" w:cs="Book Antiqua"/>
          <w:color w:val="000000"/>
        </w:rPr>
        <w:t xml:space="preserve">widely </w:t>
      </w:r>
      <w:r>
        <w:rPr>
          <w:rFonts w:ascii="Book Antiqua" w:eastAsia="Book Antiqua" w:hAnsi="Book Antiqua" w:cs="Book Antiqua"/>
          <w:color w:val="000000"/>
        </w:rPr>
        <w:t>used pharmaceutical class</w:t>
      </w:r>
      <w:r w:rsidR="006C33F7">
        <w:rPr>
          <w:rFonts w:ascii="Book Antiqua" w:eastAsia="Book Antiqua" w:hAnsi="Book Antiqua" w:cs="Book Antiqua"/>
          <w:color w:val="000000"/>
        </w:rPr>
        <w:t>es</w:t>
      </w:r>
      <w:r>
        <w:rPr>
          <w:rFonts w:ascii="Book Antiqua" w:eastAsia="Book Antiqua" w:hAnsi="Book Antiqua" w:cs="Book Antiqua"/>
          <w:color w:val="000000"/>
        </w:rPr>
        <w:t xml:space="preserve"> in the world. Their consumption as a risk factor for the evolution </w:t>
      </w:r>
      <w:r w:rsidR="006C33F7">
        <w:rPr>
          <w:rFonts w:ascii="Book Antiqua" w:eastAsia="Book Antiqua" w:hAnsi="Book Antiqua" w:cs="Book Antiqua"/>
          <w:color w:val="000000"/>
        </w:rPr>
        <w:t>of</w:t>
      </w:r>
      <w:r>
        <w:rPr>
          <w:rFonts w:ascii="Book Antiqua" w:eastAsia="Book Antiqua" w:hAnsi="Book Antiqua" w:cs="Book Antiqua"/>
          <w:color w:val="000000"/>
        </w:rPr>
        <w:t xml:space="preserve"> severe forms of </w:t>
      </w:r>
      <w:bookmarkStart w:id="2" w:name="_Hlk62132271"/>
      <w:r w:rsidR="004F16A1" w:rsidRPr="004F16A1">
        <w:rPr>
          <w:rFonts w:ascii="Book Antiqua" w:eastAsia="Book Antiqua" w:hAnsi="Book Antiqua" w:cs="Book Antiqua"/>
          <w:color w:val="000000"/>
        </w:rPr>
        <w:t>severe acute respiratory syndrome coronavirus 2</w:t>
      </w:r>
      <w:bookmarkEnd w:id="2"/>
      <w:r w:rsidR="004F16A1">
        <w:rPr>
          <w:rFonts w:ascii="Book Antiqua" w:eastAsia="Book Antiqua" w:hAnsi="Book Antiqua" w:cs="Book Antiqua"/>
          <w:color w:val="000000"/>
        </w:rPr>
        <w:t xml:space="preserve"> (</w:t>
      </w:r>
      <w:bookmarkStart w:id="3" w:name="_Hlk62132260"/>
      <w:r>
        <w:rPr>
          <w:rFonts w:ascii="Book Antiqua" w:eastAsia="Book Antiqua" w:hAnsi="Book Antiqua" w:cs="Book Antiqua"/>
          <w:color w:val="000000"/>
        </w:rPr>
        <w:t>SARS-CoV-2</w:t>
      </w:r>
      <w:bookmarkEnd w:id="3"/>
      <w:r w:rsidR="004F16A1">
        <w:rPr>
          <w:rFonts w:ascii="Book Antiqua" w:eastAsia="Book Antiqua" w:hAnsi="Book Antiqua" w:cs="Book Antiqua"/>
          <w:color w:val="000000"/>
        </w:rPr>
        <w:t>)</w:t>
      </w:r>
      <w:r>
        <w:rPr>
          <w:rFonts w:ascii="Book Antiqua" w:eastAsia="Book Antiqua" w:hAnsi="Book Antiqua" w:cs="Book Antiqua"/>
          <w:color w:val="000000"/>
        </w:rPr>
        <w:t xml:space="preserve"> infection has been </w:t>
      </w:r>
      <w:r w:rsidR="006C33F7">
        <w:rPr>
          <w:rFonts w:ascii="Book Antiqua" w:eastAsia="Book Antiqua" w:hAnsi="Book Antiqua" w:cs="Book Antiqua"/>
          <w:color w:val="000000"/>
        </w:rPr>
        <w:t>investigated</w:t>
      </w:r>
      <w:r>
        <w:rPr>
          <w:rFonts w:ascii="Book Antiqua" w:eastAsia="Book Antiqua" w:hAnsi="Book Antiqua" w:cs="Book Antiqua"/>
          <w:color w:val="000000"/>
        </w:rPr>
        <w:t xml:space="preserve"> as well as the mortality of these patients. These risks </w:t>
      </w:r>
      <w:r w:rsidR="006C33F7">
        <w:rPr>
          <w:rFonts w:ascii="Book Antiqua" w:eastAsia="Book Antiqua" w:hAnsi="Book Antiqua" w:cs="Book Antiqua"/>
          <w:color w:val="000000"/>
        </w:rPr>
        <w:t xml:space="preserve">also </w:t>
      </w:r>
      <w:r>
        <w:rPr>
          <w:rFonts w:ascii="Book Antiqua" w:eastAsia="Book Antiqua" w:hAnsi="Book Antiqua" w:cs="Book Antiqua"/>
          <w:color w:val="000000"/>
        </w:rPr>
        <w:t xml:space="preserve">appear to be linked to the duration and the dosage. On the other hand, several studies </w:t>
      </w:r>
      <w:r w:rsidR="006C33F7">
        <w:rPr>
          <w:rFonts w:ascii="Book Antiqua" w:eastAsia="Book Antiqua" w:hAnsi="Book Antiqua" w:cs="Book Antiqua"/>
          <w:color w:val="000000"/>
        </w:rPr>
        <w:t>have</w:t>
      </w:r>
      <w:r>
        <w:rPr>
          <w:rFonts w:ascii="Book Antiqua" w:eastAsia="Book Antiqua" w:hAnsi="Book Antiqua" w:cs="Book Antiqua"/>
          <w:color w:val="000000"/>
        </w:rPr>
        <w:t xml:space="preserve"> emerg</w:t>
      </w:r>
      <w:r w:rsidR="006C33F7">
        <w:rPr>
          <w:rFonts w:ascii="Book Antiqua" w:eastAsia="Book Antiqua" w:hAnsi="Book Antiqua" w:cs="Book Antiqua"/>
          <w:color w:val="000000"/>
        </w:rPr>
        <w:t>ed with</w:t>
      </w:r>
      <w:r>
        <w:rPr>
          <w:rFonts w:ascii="Book Antiqua" w:eastAsia="Book Antiqua" w:hAnsi="Book Antiqua" w:cs="Book Antiqua"/>
          <w:color w:val="000000"/>
        </w:rPr>
        <w:t xml:space="preserve"> regard</w:t>
      </w:r>
      <w:r w:rsidR="006C33F7">
        <w:rPr>
          <w:rFonts w:ascii="Book Antiqua" w:eastAsia="Book Antiqua" w:hAnsi="Book Antiqua" w:cs="Book Antiqua"/>
          <w:color w:val="000000"/>
        </w:rPr>
        <w:t xml:space="preserve"> to</w:t>
      </w:r>
      <w:r>
        <w:rPr>
          <w:rFonts w:ascii="Book Antiqua" w:eastAsia="Book Antiqua" w:hAnsi="Book Antiqua" w:cs="Book Antiqua"/>
          <w:color w:val="000000"/>
        </w:rPr>
        <w:t xml:space="preserve"> the protective or therapeutic effects of these drugs. More and more evidence underlines the immunomodulatory and anti-fibrotic role of PPIs. </w:t>
      </w:r>
      <w:r w:rsidR="006C33F7">
        <w:rPr>
          <w:rFonts w:ascii="Book Antiqua" w:eastAsia="Book Antiqua" w:hAnsi="Book Antiqua" w:cs="Book Antiqua"/>
          <w:color w:val="000000"/>
        </w:rPr>
        <w:t>In addition</w:t>
      </w:r>
      <w:r>
        <w:rPr>
          <w:rFonts w:ascii="Book Antiqua" w:eastAsia="Book Antiqua" w:hAnsi="Book Antiqua" w:cs="Book Antiqua"/>
          <w:color w:val="000000"/>
        </w:rPr>
        <w:t>, their ability to alkalize the contents of endosomes and lysosomes serves as an obstacle to the entry of the virus into the host cells.</w:t>
      </w:r>
    </w:p>
    <w:p w14:paraId="27FC9095" w14:textId="77777777" w:rsidR="00A77B3E" w:rsidRDefault="00A77B3E">
      <w:pPr>
        <w:spacing w:line="360" w:lineRule="auto"/>
        <w:jc w:val="both"/>
      </w:pPr>
    </w:p>
    <w:p w14:paraId="1F436F96" w14:textId="77777777" w:rsidR="00A77B3E" w:rsidRDefault="00C43656">
      <w:pPr>
        <w:spacing w:line="360" w:lineRule="auto"/>
        <w:jc w:val="both"/>
      </w:pPr>
      <w:r>
        <w:rPr>
          <w:rFonts w:ascii="Book Antiqua" w:eastAsia="Book Antiqua" w:hAnsi="Book Antiqua" w:cs="Book Antiqua"/>
          <w:color w:val="000000"/>
        </w:rPr>
        <w:t>AIM</w:t>
      </w:r>
    </w:p>
    <w:p w14:paraId="791C7D98" w14:textId="35C72481" w:rsidR="00A77B3E" w:rsidRDefault="00C43656">
      <w:pPr>
        <w:spacing w:line="360" w:lineRule="auto"/>
        <w:jc w:val="both"/>
      </w:pPr>
      <w:r>
        <w:rPr>
          <w:rFonts w:ascii="Book Antiqua" w:eastAsia="Book Antiqua" w:hAnsi="Book Antiqua" w:cs="Book Antiqua"/>
          <w:color w:val="000000"/>
        </w:rPr>
        <w:t xml:space="preserve">To identify studies </w:t>
      </w:r>
      <w:r w:rsidR="006C33F7">
        <w:rPr>
          <w:rFonts w:ascii="Book Antiqua" w:eastAsia="Book Antiqua" w:hAnsi="Book Antiqua" w:cs="Book Antiqua"/>
          <w:color w:val="000000"/>
        </w:rPr>
        <w:t>on</w:t>
      </w:r>
      <w:r>
        <w:rPr>
          <w:rFonts w:ascii="Book Antiqua" w:eastAsia="Book Antiqua" w:hAnsi="Book Antiqua" w:cs="Book Antiqua"/>
          <w:color w:val="000000"/>
        </w:rPr>
        <w:t xml:space="preserve"> the relationship between the intake of PPIs and </w:t>
      </w:r>
      <w:bookmarkStart w:id="4" w:name="_Hlk62119122"/>
      <w:r w:rsidR="004F16A1" w:rsidRPr="00B66013">
        <w:rPr>
          <w:rFonts w:ascii="Book Antiqua" w:eastAsia="Book Antiqua" w:hAnsi="Book Antiqua" w:cs="Book Antiqua"/>
          <w:color w:val="000000"/>
        </w:rPr>
        <w:t>coronavirus disease 2019</w:t>
      </w:r>
      <w:bookmarkEnd w:id="4"/>
      <w:r w:rsidR="004F16A1">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F16A1">
        <w:rPr>
          <w:rFonts w:ascii="Book Antiqua" w:eastAsia="Book Antiqua" w:hAnsi="Book Antiqua" w:cs="Book Antiqua"/>
          <w:color w:val="000000"/>
        </w:rPr>
        <w:t>)</w:t>
      </w:r>
      <w:r>
        <w:rPr>
          <w:rFonts w:ascii="Book Antiqua" w:eastAsia="Book Antiqua" w:hAnsi="Book Antiqua" w:cs="Book Antiqua"/>
          <w:color w:val="000000"/>
        </w:rPr>
        <w:t xml:space="preserve"> in patients affected by SARS-CoV-2 infection,</w:t>
      </w:r>
      <w:r>
        <w:rPr>
          <w:rFonts w:ascii="Book Antiqua" w:eastAsia="Book Antiqua" w:hAnsi="Book Antiqua" w:cs="Book Antiqua"/>
          <w:color w:val="000000"/>
          <w:szCs w:val="22"/>
        </w:rPr>
        <w:t xml:space="preserve"> </w:t>
      </w:r>
      <w:r>
        <w:rPr>
          <w:rFonts w:ascii="Book Antiqua" w:eastAsia="Book Antiqua" w:hAnsi="Book Antiqua" w:cs="Book Antiqua"/>
          <w:color w:val="000000"/>
        </w:rPr>
        <w:t>with the main objective of evaluating the outcomes related to severity and mortality.</w:t>
      </w:r>
    </w:p>
    <w:p w14:paraId="550B2196" w14:textId="77777777" w:rsidR="00A77B3E" w:rsidRDefault="00A77B3E">
      <w:pPr>
        <w:spacing w:line="360" w:lineRule="auto"/>
        <w:jc w:val="both"/>
      </w:pPr>
    </w:p>
    <w:p w14:paraId="27144A97" w14:textId="77777777" w:rsidR="00A77B3E" w:rsidRDefault="00C43656">
      <w:pPr>
        <w:spacing w:line="360" w:lineRule="auto"/>
        <w:jc w:val="both"/>
      </w:pPr>
      <w:r>
        <w:rPr>
          <w:rFonts w:ascii="Book Antiqua" w:eastAsia="Book Antiqua" w:hAnsi="Book Antiqua" w:cs="Book Antiqua"/>
          <w:color w:val="000000"/>
        </w:rPr>
        <w:t>METHODS</w:t>
      </w:r>
    </w:p>
    <w:p w14:paraId="507E4730" w14:textId="5176DE75" w:rsidR="00A77B3E" w:rsidRDefault="006C33F7">
      <w:pPr>
        <w:spacing w:line="360" w:lineRule="auto"/>
        <w:jc w:val="both"/>
      </w:pPr>
      <w:r>
        <w:rPr>
          <w:rFonts w:ascii="Book Antiqua" w:eastAsia="Book Antiqua" w:hAnsi="Book Antiqua" w:cs="Book Antiqua"/>
          <w:color w:val="000000"/>
        </w:rPr>
        <w:t>A</w:t>
      </w:r>
      <w:r w:rsidR="00C43656">
        <w:rPr>
          <w:rFonts w:ascii="Book Antiqua" w:eastAsia="Book Antiqua" w:hAnsi="Book Antiqua" w:cs="Book Antiqua"/>
          <w:color w:val="000000"/>
        </w:rPr>
        <w:t xml:space="preserve"> literature review was performed in November 2020. The MEDLINE/Pub</w:t>
      </w:r>
      <w:r w:rsidR="00DE594C">
        <w:rPr>
          <w:rFonts w:ascii="Book Antiqua" w:eastAsia="Book Antiqua" w:hAnsi="Book Antiqua" w:cs="Book Antiqua"/>
          <w:color w:val="000000"/>
        </w:rPr>
        <w:t>M</w:t>
      </w:r>
      <w:r w:rsidR="00C43656">
        <w:rPr>
          <w:rFonts w:ascii="Book Antiqua" w:eastAsia="Book Antiqua" w:hAnsi="Book Antiqua" w:cs="Book Antiqua"/>
          <w:color w:val="000000"/>
        </w:rPr>
        <w:t>ed, Cochrane Library, EMBASE and Google Scholar</w:t>
      </w:r>
      <w:r>
        <w:rPr>
          <w:rFonts w:ascii="Book Antiqua" w:eastAsia="Book Antiqua" w:hAnsi="Book Antiqua" w:cs="Book Antiqua"/>
          <w:color w:val="000000"/>
        </w:rPr>
        <w:t xml:space="preserve"> databases were searched</w:t>
      </w:r>
      <w:r w:rsidR="00C43656">
        <w:rPr>
          <w:rFonts w:ascii="Book Antiqua" w:eastAsia="Book Antiqua" w:hAnsi="Book Antiqua" w:cs="Book Antiqua"/>
          <w:color w:val="000000"/>
        </w:rPr>
        <w:t xml:space="preserve"> for all relevant articles published in English on this topic. The search te</w:t>
      </w:r>
      <w:r>
        <w:rPr>
          <w:rFonts w:ascii="Book Antiqua" w:eastAsia="Book Antiqua" w:hAnsi="Book Antiqua" w:cs="Book Antiqua"/>
          <w:color w:val="000000"/>
        </w:rPr>
        <w:t>rm</w:t>
      </w:r>
      <w:r w:rsidR="00CC7B84">
        <w:rPr>
          <w:rFonts w:ascii="Book Antiqua" w:eastAsia="Book Antiqua" w:hAnsi="Book Antiqua" w:cs="Book Antiqua"/>
          <w:color w:val="000000"/>
        </w:rPr>
        <w:t>s</w:t>
      </w:r>
      <w:r w:rsidR="00C43656">
        <w:rPr>
          <w:rFonts w:ascii="Book Antiqua" w:eastAsia="Book Antiqua" w:hAnsi="Book Antiqua" w:cs="Book Antiqua"/>
          <w:color w:val="000000"/>
        </w:rPr>
        <w:t xml:space="preserve"> were identified by means of controlled vocabularies, such as the National Library of Medicine’s MESH (Medical Subject Headings) and keywords. The MESH terms and keywords </w:t>
      </w:r>
      <w:r>
        <w:rPr>
          <w:rFonts w:ascii="Book Antiqua" w:eastAsia="Book Antiqua" w:hAnsi="Book Antiqua" w:cs="Book Antiqua"/>
          <w:color w:val="000000"/>
        </w:rPr>
        <w:t xml:space="preserve">used </w:t>
      </w:r>
      <w:r w:rsidR="00C43656">
        <w:rPr>
          <w:rFonts w:ascii="Book Antiqua" w:eastAsia="Book Antiqua" w:hAnsi="Book Antiqua" w:cs="Book Antiqua"/>
          <w:color w:val="000000"/>
        </w:rPr>
        <w:t>were</w:t>
      </w:r>
      <w:r>
        <w:rPr>
          <w:rFonts w:ascii="Book Antiqua" w:eastAsia="Book Antiqua" w:hAnsi="Book Antiqua" w:cs="Book Antiqua"/>
          <w:color w:val="000000"/>
        </w:rPr>
        <w:t xml:space="preserve"> as follows</w:t>
      </w:r>
      <w:r w:rsidR="00C43656">
        <w:rPr>
          <w:rFonts w:ascii="Book Antiqua" w:eastAsia="Book Antiqua" w:hAnsi="Book Antiqua" w:cs="Book Antiqua"/>
          <w:color w:val="000000"/>
        </w:rPr>
        <w:t>: “COVID-19”, “proton pump inhibitors”,</w:t>
      </w:r>
      <w:r w:rsidR="00A56A29">
        <w:rPr>
          <w:rFonts w:ascii="Book Antiqua" w:eastAsia="Book Antiqua" w:hAnsi="Book Antiqua" w:cs="Book Antiqua"/>
          <w:color w:val="000000"/>
        </w:rPr>
        <w:t xml:space="preserve"> </w:t>
      </w:r>
      <w:r w:rsidR="00C43656">
        <w:rPr>
          <w:rFonts w:ascii="Book Antiqua" w:eastAsia="Book Antiqua" w:hAnsi="Book Antiqua" w:cs="Book Antiqua"/>
          <w:color w:val="000000"/>
        </w:rPr>
        <w:t xml:space="preserve">”PPIs”, “SARS-CoV-2”, “outcomes”, “severity” and “mortality”. The inclusion criteria </w:t>
      </w:r>
      <w:r>
        <w:rPr>
          <w:rFonts w:ascii="Book Antiqua" w:eastAsia="Book Antiqua" w:hAnsi="Book Antiqua" w:cs="Book Antiqua"/>
          <w:color w:val="000000"/>
        </w:rPr>
        <w:t>regarding the</w:t>
      </w:r>
      <w:r w:rsidR="00C43656">
        <w:rPr>
          <w:rFonts w:ascii="Book Antiqua" w:eastAsia="Book Antiqua" w:hAnsi="Book Antiqua" w:cs="Book Antiqua"/>
          <w:color w:val="000000"/>
        </w:rPr>
        <w:t xml:space="preserve"> studies considered in our analysis were: meta-analysis, case</w:t>
      </w:r>
      <w:r w:rsidR="004F16A1">
        <w:rPr>
          <w:rFonts w:ascii="Book Antiqua" w:eastAsia="Book Antiqua" w:hAnsi="Book Antiqua" w:cs="Book Antiqua"/>
          <w:color w:val="000000"/>
        </w:rPr>
        <w:t>-</w:t>
      </w:r>
      <w:r w:rsidR="00C43656">
        <w:rPr>
          <w:rFonts w:ascii="Book Antiqua" w:eastAsia="Book Antiqua" w:hAnsi="Book Antiqua" w:cs="Book Antiqua"/>
          <w:color w:val="000000"/>
        </w:rPr>
        <w:t>control, hospital-based case</w:t>
      </w:r>
      <w:r w:rsidR="004F16A1">
        <w:rPr>
          <w:rFonts w:ascii="Book Antiqua" w:eastAsia="Book Antiqua" w:hAnsi="Book Antiqua" w:cs="Book Antiqua"/>
          <w:color w:val="000000"/>
        </w:rPr>
        <w:t>-</w:t>
      </w:r>
      <w:r w:rsidR="00C43656">
        <w:rPr>
          <w:rFonts w:ascii="Book Antiqua" w:eastAsia="Book Antiqua" w:hAnsi="Book Antiqua" w:cs="Book Antiqua"/>
          <w:color w:val="000000"/>
        </w:rPr>
        <w:t>control, population-based case</w:t>
      </w:r>
      <w:r w:rsidR="004F16A1">
        <w:rPr>
          <w:rFonts w:ascii="Book Antiqua" w:eastAsia="Book Antiqua" w:hAnsi="Book Antiqua" w:cs="Book Antiqua"/>
          <w:color w:val="000000"/>
        </w:rPr>
        <w:t>-</w:t>
      </w:r>
      <w:r w:rsidR="00C43656">
        <w:rPr>
          <w:rFonts w:ascii="Book Antiqua" w:eastAsia="Book Antiqua" w:hAnsi="Book Antiqua" w:cs="Book Antiqua"/>
          <w:color w:val="000000"/>
        </w:rPr>
        <w:t xml:space="preserve">control, retrospective studies, online survey, as well as cohort-studies, while </w:t>
      </w:r>
      <w:r w:rsidR="00B2471C">
        <w:rPr>
          <w:rFonts w:ascii="Book Antiqua" w:eastAsia="Book Antiqua" w:hAnsi="Book Antiqua" w:cs="Book Antiqua"/>
          <w:color w:val="000000"/>
        </w:rPr>
        <w:t>articles</w:t>
      </w:r>
      <w:r w:rsidR="00C43656">
        <w:rPr>
          <w:rFonts w:ascii="Book Antiqua" w:eastAsia="Book Antiqua" w:hAnsi="Book Antiqua" w:cs="Book Antiqua"/>
          <w:color w:val="000000"/>
        </w:rPr>
        <w:t xml:space="preserve"> not published as full reports, such as conference abstracts, case reports and editorials were excluded. We tried to summarize and pool all the data if available.</w:t>
      </w:r>
    </w:p>
    <w:p w14:paraId="177DEF75" w14:textId="77777777" w:rsidR="00A77B3E" w:rsidRDefault="00A77B3E">
      <w:pPr>
        <w:spacing w:line="360" w:lineRule="auto"/>
        <w:jc w:val="both"/>
      </w:pPr>
    </w:p>
    <w:p w14:paraId="55580803" w14:textId="77777777" w:rsidR="00A77B3E" w:rsidRDefault="00C43656">
      <w:pPr>
        <w:spacing w:line="360" w:lineRule="auto"/>
        <w:jc w:val="both"/>
      </w:pPr>
      <w:r>
        <w:rPr>
          <w:rFonts w:ascii="Book Antiqua" w:eastAsia="Book Antiqua" w:hAnsi="Book Antiqua" w:cs="Book Antiqua"/>
          <w:color w:val="000000"/>
        </w:rPr>
        <w:t>RESULTS</w:t>
      </w:r>
    </w:p>
    <w:p w14:paraId="2D3830E2" w14:textId="35BBE4FC" w:rsidR="00A77B3E" w:rsidRDefault="00C43656">
      <w:pPr>
        <w:spacing w:line="360" w:lineRule="auto"/>
        <w:jc w:val="both"/>
      </w:pPr>
      <w:r>
        <w:rPr>
          <w:rFonts w:ascii="Book Antiqua" w:eastAsia="Book Antiqua" w:hAnsi="Book Antiqua" w:cs="Book Antiqua"/>
          <w:color w:val="000000"/>
        </w:rPr>
        <w:t>A total of 9 studies w</w:t>
      </w:r>
      <w:r w:rsidR="00B2471C">
        <w:rPr>
          <w:rFonts w:ascii="Book Antiqua" w:eastAsia="Book Antiqua" w:hAnsi="Book Antiqua" w:cs="Book Antiqua"/>
          <w:color w:val="000000"/>
        </w:rPr>
        <w:t>ere</w:t>
      </w:r>
      <w:r>
        <w:rPr>
          <w:rFonts w:ascii="Book Antiqua" w:eastAsia="Book Antiqua" w:hAnsi="Book Antiqua" w:cs="Book Antiqua"/>
          <w:color w:val="000000"/>
        </w:rPr>
        <w:t xml:space="preserve"> found </w:t>
      </w:r>
      <w:r w:rsidR="00CC7B84">
        <w:rPr>
          <w:rFonts w:ascii="Book Antiqua" w:eastAsia="Book Antiqua" w:hAnsi="Book Antiqua" w:cs="Book Antiqua"/>
          <w:color w:val="000000"/>
        </w:rPr>
        <w:t>that</w:t>
      </w:r>
      <w:r>
        <w:rPr>
          <w:rFonts w:ascii="Book Antiqua" w:eastAsia="Book Antiqua" w:hAnsi="Book Antiqua" w:cs="Book Antiqua"/>
          <w:color w:val="000000"/>
        </w:rPr>
        <w:t xml:space="preserve"> describ</w:t>
      </w:r>
      <w:r w:rsidR="00B2471C">
        <w:rPr>
          <w:rFonts w:ascii="Book Antiqua" w:eastAsia="Book Antiqua" w:hAnsi="Book Antiqua" w:cs="Book Antiqua"/>
          <w:color w:val="000000"/>
        </w:rPr>
        <w:t>e</w:t>
      </w:r>
      <w:r w:rsidR="00CC7B84">
        <w:rPr>
          <w:rFonts w:ascii="Book Antiqua" w:eastAsia="Book Antiqua" w:hAnsi="Book Antiqua" w:cs="Book Antiqua"/>
          <w:color w:val="000000"/>
        </w:rPr>
        <w:t>d</w:t>
      </w:r>
      <w:r>
        <w:rPr>
          <w:rFonts w:ascii="Book Antiqua" w:eastAsia="Book Antiqua" w:hAnsi="Book Antiqua" w:cs="Book Antiqua"/>
          <w:color w:val="000000"/>
        </w:rPr>
        <w:t xml:space="preserve"> the use of PPIs,</w:t>
      </w:r>
      <w:r>
        <w:rPr>
          <w:rFonts w:ascii="Book Antiqua" w:eastAsia="Book Antiqua" w:hAnsi="Book Antiqua" w:cs="Book Antiqua"/>
          <w:color w:val="000000"/>
          <w:szCs w:val="22"/>
        </w:rPr>
        <w:t xml:space="preserve"> </w:t>
      </w:r>
      <w:r>
        <w:rPr>
          <w:rFonts w:ascii="Book Antiqua" w:eastAsia="Book Antiqua" w:hAnsi="Book Antiqua" w:cs="Book Antiqua"/>
          <w:color w:val="000000"/>
        </w:rPr>
        <w:t>of which only 5 clearly reported the severity and mortality data in SARS</w:t>
      </w:r>
      <w:r w:rsidR="004F16A1">
        <w:rPr>
          <w:rFonts w:ascii="Book Antiqua" w:eastAsia="Book Antiqua" w:hAnsi="Book Antiqua" w:cs="Book Antiqua"/>
          <w:color w:val="000000"/>
        </w:rPr>
        <w:t>-</w:t>
      </w:r>
      <w:r>
        <w:rPr>
          <w:rFonts w:ascii="Book Antiqua" w:eastAsia="Book Antiqua" w:hAnsi="Book Antiqua" w:cs="Book Antiqua"/>
          <w:color w:val="000000"/>
        </w:rPr>
        <w:t>CoV</w:t>
      </w:r>
      <w:r w:rsidR="004F16A1">
        <w:rPr>
          <w:rFonts w:ascii="Book Antiqua" w:eastAsia="Book Antiqua" w:hAnsi="Book Antiqua" w:cs="Book Antiqua"/>
          <w:color w:val="000000"/>
        </w:rPr>
        <w:t>-</w:t>
      </w:r>
      <w:r>
        <w:rPr>
          <w:rFonts w:ascii="Book Antiqua" w:eastAsia="Book Antiqua" w:hAnsi="Book Antiqua" w:cs="Book Antiqua"/>
          <w:color w:val="000000"/>
        </w:rPr>
        <w:t>2 patients. Our pooled incidence analysis of severe events did not differ between patients with and without PPIs (</w:t>
      </w:r>
      <w:bookmarkStart w:id="5" w:name="_Hlk50367577"/>
      <w:r w:rsidR="004F16A1" w:rsidRPr="00616F4C">
        <w:rPr>
          <w:rFonts w:ascii="Book Antiqua" w:eastAsia="Malgun Gothic" w:hAnsi="Book Antiqua"/>
        </w:rPr>
        <w:t>odds ratio</w:t>
      </w:r>
      <w:bookmarkEnd w:id="5"/>
      <w:r>
        <w:rPr>
          <w:rFonts w:ascii="Book Antiqua" w:eastAsia="Book Antiqua" w:hAnsi="Book Antiqua" w:cs="Book Antiqua"/>
          <w:color w:val="000000"/>
        </w:rPr>
        <w:t xml:space="preserve"> 1.65, 95%</w:t>
      </w:r>
      <w:bookmarkStart w:id="6" w:name="_Hlk58003882"/>
      <w:r w:rsidR="004F16A1" w:rsidRPr="004F16A1">
        <w:rPr>
          <w:rFonts w:ascii="Book Antiqua" w:eastAsia="Malgun Gothic" w:hAnsi="Book Antiqua"/>
        </w:rPr>
        <w:t xml:space="preserve"> </w:t>
      </w:r>
      <w:r w:rsidR="004F16A1" w:rsidRPr="00616F4C">
        <w:rPr>
          <w:rFonts w:ascii="Book Antiqua" w:eastAsia="Malgun Gothic" w:hAnsi="Book Antiqua"/>
        </w:rPr>
        <w:t>confidence interval</w:t>
      </w:r>
      <w:bookmarkEnd w:id="6"/>
      <w:r>
        <w:rPr>
          <w:rFonts w:ascii="Book Antiqua" w:eastAsia="Book Antiqua" w:hAnsi="Book Antiqua" w:cs="Book Antiqua"/>
          <w:color w:val="000000"/>
        </w:rPr>
        <w:t>: 0.62-4.35) (</w:t>
      </w:r>
      <w:r>
        <w:rPr>
          <w:rFonts w:ascii="Book Antiqua" w:eastAsia="Book Antiqua" w:hAnsi="Book Antiqua" w:cs="Book Antiqua"/>
          <w:i/>
          <w:iCs/>
          <w:color w:val="000000"/>
        </w:rPr>
        <w:t>P</w:t>
      </w:r>
      <w:r>
        <w:rPr>
          <w:rFonts w:ascii="Book Antiqua" w:eastAsia="Book Antiqua" w:hAnsi="Book Antiqua" w:cs="Book Antiqua"/>
          <w:color w:val="000000"/>
        </w:rPr>
        <w:t xml:space="preserve"> = 0.314), </w:t>
      </w:r>
      <w:r w:rsidR="00B2471C">
        <w:rPr>
          <w:rFonts w:ascii="Book Antiqua" w:eastAsia="Book Antiqua" w:hAnsi="Book Antiqua" w:cs="Book Antiqua"/>
          <w:color w:val="000000"/>
        </w:rPr>
        <w:t>or</w:t>
      </w:r>
      <w:r>
        <w:rPr>
          <w:rFonts w:ascii="Book Antiqua" w:eastAsia="Book Antiqua" w:hAnsi="Book Antiqua" w:cs="Book Antiqua"/>
          <w:color w:val="000000"/>
        </w:rPr>
        <w:t xml:space="preserve"> for mortality (</w:t>
      </w:r>
      <w:r w:rsidR="004F16A1" w:rsidRPr="00616F4C">
        <w:rPr>
          <w:rFonts w:ascii="Book Antiqua" w:eastAsia="Malgun Gothic" w:hAnsi="Book Antiqua"/>
        </w:rPr>
        <w:t>odds ratio</w:t>
      </w:r>
      <w:r>
        <w:rPr>
          <w:rFonts w:ascii="Book Antiqua" w:eastAsia="Book Antiqua" w:hAnsi="Book Antiqua" w:cs="Book Antiqua"/>
          <w:color w:val="000000"/>
        </w:rPr>
        <w:t xml:space="preserve"> 1.77, 95%</w:t>
      </w:r>
      <w:r w:rsidR="004F16A1" w:rsidRPr="004F16A1">
        <w:rPr>
          <w:rFonts w:ascii="Book Antiqua" w:eastAsia="Malgun Gothic" w:hAnsi="Book Antiqua"/>
        </w:rPr>
        <w:t xml:space="preserve"> </w:t>
      </w:r>
      <w:r w:rsidR="004F16A1" w:rsidRPr="00616F4C">
        <w:rPr>
          <w:rFonts w:ascii="Book Antiqua" w:eastAsia="Malgun Gothic" w:hAnsi="Book Antiqua"/>
        </w:rPr>
        <w:t>confidence interval</w:t>
      </w:r>
      <w:r>
        <w:rPr>
          <w:rFonts w:ascii="Book Antiqua" w:eastAsia="Book Antiqua" w:hAnsi="Book Antiqua" w:cs="Book Antiqua"/>
          <w:color w:val="000000"/>
        </w:rPr>
        <w:t>: 0.62-5.03) (</w:t>
      </w:r>
      <w:r>
        <w:rPr>
          <w:rFonts w:ascii="Book Antiqua" w:eastAsia="Book Antiqua" w:hAnsi="Book Antiqua" w:cs="Book Antiqua"/>
          <w:i/>
          <w:iCs/>
          <w:color w:val="000000"/>
        </w:rPr>
        <w:t>P</w:t>
      </w:r>
      <w:r>
        <w:rPr>
          <w:rFonts w:ascii="Book Antiqua" w:eastAsia="Book Antiqua" w:hAnsi="Book Antiqua" w:cs="Book Antiqua"/>
          <w:color w:val="000000"/>
        </w:rPr>
        <w:t xml:space="preserve"> = 0.286).</w:t>
      </w:r>
    </w:p>
    <w:p w14:paraId="5FB8271D" w14:textId="77777777" w:rsidR="00A77B3E" w:rsidRDefault="00A77B3E">
      <w:pPr>
        <w:spacing w:line="360" w:lineRule="auto"/>
        <w:jc w:val="both"/>
      </w:pPr>
    </w:p>
    <w:p w14:paraId="36C17BA5" w14:textId="77777777" w:rsidR="00A77B3E" w:rsidRDefault="00C43656">
      <w:pPr>
        <w:spacing w:line="360" w:lineRule="auto"/>
        <w:jc w:val="both"/>
      </w:pPr>
      <w:r>
        <w:rPr>
          <w:rFonts w:ascii="Book Antiqua" w:eastAsia="Book Antiqua" w:hAnsi="Book Antiqua" w:cs="Book Antiqua"/>
          <w:color w:val="000000"/>
        </w:rPr>
        <w:t>CONCLUSION</w:t>
      </w:r>
    </w:p>
    <w:p w14:paraId="37B1494D" w14:textId="77777777" w:rsidR="00A77B3E" w:rsidRDefault="00C43656">
      <w:pPr>
        <w:spacing w:line="360" w:lineRule="auto"/>
        <w:jc w:val="both"/>
      </w:pPr>
      <w:r>
        <w:rPr>
          <w:rFonts w:ascii="Book Antiqua" w:eastAsia="Book Antiqua" w:hAnsi="Book Antiqua" w:cs="Book Antiqua"/>
          <w:color w:val="000000"/>
        </w:rPr>
        <w:t>Detailed and larger case studies are needed to accurately understand the role of PPIs in this viral infection.</w:t>
      </w:r>
    </w:p>
    <w:p w14:paraId="2755D914" w14:textId="77777777" w:rsidR="00A77B3E" w:rsidRDefault="00A77B3E">
      <w:pPr>
        <w:spacing w:line="360" w:lineRule="auto"/>
        <w:jc w:val="both"/>
      </w:pPr>
    </w:p>
    <w:p w14:paraId="2375A065" w14:textId="28413AC2" w:rsidR="00A77B3E" w:rsidRPr="004F16A1" w:rsidRDefault="00C43656">
      <w:pPr>
        <w:spacing w:line="360" w:lineRule="auto"/>
        <w:jc w:val="both"/>
      </w:pPr>
      <w:r>
        <w:rPr>
          <w:rFonts w:ascii="Book Antiqua" w:eastAsia="Book Antiqua" w:hAnsi="Book Antiqua" w:cs="Book Antiqua"/>
          <w:b/>
          <w:bCs/>
          <w:color w:val="000000"/>
        </w:rPr>
        <w:t xml:space="preserve">Key Words: </w:t>
      </w:r>
      <w:r w:rsidRPr="004F16A1">
        <w:rPr>
          <w:rFonts w:ascii="Book Antiqua" w:eastAsia="Book Antiqua" w:hAnsi="Book Antiqua" w:cs="Book Antiqua"/>
          <w:color w:val="000000"/>
        </w:rPr>
        <w:t>COVID-19</w:t>
      </w:r>
      <w:r w:rsidR="004F16A1">
        <w:rPr>
          <w:rFonts w:ascii="Book Antiqua" w:eastAsia="Book Antiqua" w:hAnsi="Book Antiqua" w:cs="Book Antiqua"/>
          <w:color w:val="000000"/>
        </w:rPr>
        <w:t>;</w:t>
      </w:r>
      <w:r w:rsidRPr="004F16A1">
        <w:rPr>
          <w:rFonts w:ascii="Book Antiqua" w:eastAsia="Book Antiqua" w:hAnsi="Book Antiqua" w:cs="Book Antiqua"/>
          <w:color w:val="000000"/>
        </w:rPr>
        <w:t xml:space="preserve"> </w:t>
      </w:r>
      <w:r w:rsidR="004F16A1">
        <w:rPr>
          <w:rFonts w:ascii="Book Antiqua" w:eastAsia="Book Antiqua" w:hAnsi="Book Antiqua" w:cs="Book Antiqua"/>
          <w:color w:val="000000"/>
        </w:rPr>
        <w:t>Proton pump inhibitors;</w:t>
      </w:r>
      <w:r w:rsidRPr="004F16A1">
        <w:rPr>
          <w:rFonts w:ascii="Book Antiqua" w:eastAsia="Book Antiqua" w:hAnsi="Book Antiqua" w:cs="Book Antiqua"/>
          <w:color w:val="000000"/>
        </w:rPr>
        <w:t xml:space="preserve"> SARS-CoV-2, </w:t>
      </w:r>
      <w:r w:rsidR="004F16A1">
        <w:rPr>
          <w:rFonts w:ascii="Book Antiqua" w:eastAsia="Book Antiqua" w:hAnsi="Book Antiqua" w:cs="Book Antiqua"/>
          <w:color w:val="000000"/>
        </w:rPr>
        <w:t>S</w:t>
      </w:r>
      <w:r w:rsidRPr="004F16A1">
        <w:rPr>
          <w:rFonts w:ascii="Book Antiqua" w:eastAsia="Book Antiqua" w:hAnsi="Book Antiqua" w:cs="Book Antiqua"/>
          <w:color w:val="000000"/>
        </w:rPr>
        <w:t>everity</w:t>
      </w:r>
      <w:r w:rsidR="004F16A1">
        <w:rPr>
          <w:rFonts w:ascii="Book Antiqua" w:eastAsia="Book Antiqua" w:hAnsi="Book Antiqua" w:cs="Book Antiqua"/>
          <w:color w:val="000000"/>
        </w:rPr>
        <w:t>;</w:t>
      </w:r>
      <w:r w:rsidRPr="004F16A1">
        <w:rPr>
          <w:rFonts w:ascii="Book Antiqua" w:eastAsia="Book Antiqua" w:hAnsi="Book Antiqua" w:cs="Book Antiqua"/>
          <w:color w:val="000000"/>
        </w:rPr>
        <w:t xml:space="preserve"> </w:t>
      </w:r>
      <w:r w:rsidR="004F16A1">
        <w:rPr>
          <w:rFonts w:ascii="Book Antiqua" w:eastAsia="Book Antiqua" w:hAnsi="Book Antiqua" w:cs="Book Antiqua"/>
          <w:color w:val="000000"/>
        </w:rPr>
        <w:t>M</w:t>
      </w:r>
      <w:r w:rsidRPr="004F16A1">
        <w:rPr>
          <w:rFonts w:ascii="Book Antiqua" w:eastAsia="Book Antiqua" w:hAnsi="Book Antiqua" w:cs="Book Antiqua"/>
          <w:color w:val="000000"/>
        </w:rPr>
        <w:t>ortality</w:t>
      </w:r>
    </w:p>
    <w:p w14:paraId="6442B09C" w14:textId="77777777" w:rsidR="00B94475" w:rsidRDefault="00B94475" w:rsidP="00B94475">
      <w:pPr>
        <w:spacing w:line="360" w:lineRule="auto"/>
        <w:jc w:val="both"/>
        <w:rPr>
          <w:lang w:eastAsia="zh-CN"/>
        </w:rPr>
      </w:pPr>
    </w:p>
    <w:p w14:paraId="6D7E34B3" w14:textId="77777777" w:rsidR="00B94475" w:rsidRPr="00026CB8" w:rsidRDefault="00B94475" w:rsidP="00B9447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2970B25" w14:textId="77777777" w:rsidR="00A77B3E" w:rsidRDefault="00A77B3E">
      <w:pPr>
        <w:spacing w:line="360" w:lineRule="auto"/>
        <w:jc w:val="both"/>
      </w:pPr>
    </w:p>
    <w:p w14:paraId="1946BCF3" w14:textId="3CB83F43" w:rsidR="00FF2A51" w:rsidRDefault="003274D5">
      <w:pPr>
        <w:spacing w:line="360" w:lineRule="auto"/>
        <w:jc w:val="both"/>
        <w:rPr>
          <w:rFonts w:ascii="Book Antiqua" w:hAnsi="Book Antiqua"/>
          <w:iCs/>
          <w:lang w:eastAsia="zh-CN"/>
        </w:rPr>
      </w:pPr>
      <w:r w:rsidRPr="003274D5">
        <w:rPr>
          <w:rFonts w:ascii="Book Antiqua" w:hAnsi="Book Antiqua" w:cs="Book Antiqua" w:hint="eastAsia"/>
          <w:b/>
          <w:color w:val="000000"/>
          <w:lang w:eastAsia="zh-CN"/>
        </w:rPr>
        <w:t xml:space="preserve">Citation: </w:t>
      </w:r>
      <w:r w:rsidR="00C43656" w:rsidRPr="00EF5788">
        <w:rPr>
          <w:rFonts w:ascii="Book Antiqua" w:eastAsia="Book Antiqua" w:hAnsi="Book Antiqua" w:cs="Book Antiqua"/>
          <w:color w:val="000000"/>
        </w:rPr>
        <w:t xml:space="preserve">Zippi M, Fiorino S, Budriesi R, Micucci M, Corazza I, Pica R, de Biase D, Gallo CG, Hong W. </w:t>
      </w:r>
      <w:r w:rsidR="00C43656">
        <w:rPr>
          <w:rFonts w:ascii="Book Antiqua" w:eastAsia="Book Antiqua" w:hAnsi="Book Antiqua" w:cs="Book Antiqua"/>
          <w:color w:val="000000"/>
        </w:rPr>
        <w:t>Paradox</w:t>
      </w:r>
      <w:r w:rsidR="00B2471C">
        <w:rPr>
          <w:rFonts w:ascii="Book Antiqua" w:eastAsia="Book Antiqua" w:hAnsi="Book Antiqua" w:cs="Book Antiqua"/>
          <w:color w:val="000000"/>
        </w:rPr>
        <w:t>ic</w:t>
      </w:r>
      <w:r w:rsidR="00C43656">
        <w:rPr>
          <w:rFonts w:ascii="Book Antiqua" w:eastAsia="Book Antiqua" w:hAnsi="Book Antiqua" w:cs="Book Antiqua"/>
          <w:color w:val="000000"/>
        </w:rPr>
        <w:t xml:space="preserve">al relationship between proton pump inhibitors and COVID-19: A systematic review and meta-analysis. </w:t>
      </w:r>
      <w:r w:rsidR="00C43656">
        <w:rPr>
          <w:rFonts w:ascii="Book Antiqua" w:eastAsia="Book Antiqua" w:hAnsi="Book Antiqua" w:cs="Book Antiqua"/>
          <w:i/>
          <w:iCs/>
          <w:color w:val="000000"/>
        </w:rPr>
        <w:t>World J Clin Cases</w:t>
      </w:r>
      <w:r w:rsidR="00C43656">
        <w:rPr>
          <w:rFonts w:ascii="Book Antiqua" w:eastAsia="Book Antiqua" w:hAnsi="Book Antiqua" w:cs="Book Antiqua"/>
          <w:color w:val="000000"/>
        </w:rPr>
        <w:t xml:space="preserve"> </w:t>
      </w:r>
      <w:r w:rsidR="00E67C04" w:rsidRPr="00651643">
        <w:rPr>
          <w:rFonts w:ascii="Book Antiqua" w:hAnsi="Book Antiqua"/>
          <w:iCs/>
        </w:rPr>
        <w:t>202</w:t>
      </w:r>
      <w:r w:rsidR="00E67C04">
        <w:rPr>
          <w:rFonts w:ascii="Book Antiqua" w:hAnsi="Book Antiqua" w:hint="eastAsia"/>
          <w:iCs/>
          <w:lang w:eastAsia="zh-CN"/>
        </w:rPr>
        <w:t>1</w:t>
      </w:r>
      <w:r w:rsidR="00E67C04" w:rsidRPr="00651643">
        <w:rPr>
          <w:rFonts w:ascii="Book Antiqua" w:hAnsi="Book Antiqua"/>
          <w:iCs/>
        </w:rPr>
        <w:t>;</w:t>
      </w:r>
      <w:r w:rsidR="00E67C04">
        <w:rPr>
          <w:rFonts w:ascii="Book Antiqua" w:hAnsi="Book Antiqua"/>
          <w:iCs/>
        </w:rPr>
        <w:t xml:space="preserve"> </w:t>
      </w:r>
      <w:r w:rsidR="00E67C04">
        <w:rPr>
          <w:rFonts w:ascii="Book Antiqua" w:hAnsi="Book Antiqua" w:hint="eastAsia"/>
          <w:iCs/>
          <w:lang w:eastAsia="zh-CN"/>
        </w:rPr>
        <w:t>9</w:t>
      </w:r>
      <w:r w:rsidR="00E67C04" w:rsidRPr="00651643">
        <w:rPr>
          <w:rFonts w:ascii="Book Antiqua" w:hAnsi="Book Antiqua"/>
          <w:iCs/>
        </w:rPr>
        <w:t>(</w:t>
      </w:r>
      <w:r w:rsidR="00E67C04">
        <w:rPr>
          <w:rFonts w:ascii="Book Antiqua" w:hAnsi="Book Antiqua" w:hint="eastAsia"/>
          <w:iCs/>
          <w:lang w:eastAsia="zh-CN"/>
        </w:rPr>
        <w:t>12</w:t>
      </w:r>
      <w:r w:rsidR="00E67C04" w:rsidRPr="00651643">
        <w:rPr>
          <w:rFonts w:ascii="Book Antiqua" w:hAnsi="Book Antiqua"/>
          <w:iCs/>
        </w:rPr>
        <w:t>):</w:t>
      </w:r>
      <w:r w:rsidR="00E67C04">
        <w:rPr>
          <w:rFonts w:ascii="Book Antiqua" w:hAnsi="Book Antiqua"/>
          <w:iCs/>
        </w:rPr>
        <w:t xml:space="preserve"> </w:t>
      </w:r>
      <w:r w:rsidR="002353C4" w:rsidRPr="002353C4">
        <w:rPr>
          <w:rFonts w:ascii="Book Antiqua" w:hAnsi="Book Antiqua"/>
          <w:iCs/>
        </w:rPr>
        <w:t>2763-2777</w:t>
      </w:r>
      <w:r w:rsidR="00E67C04">
        <w:rPr>
          <w:rFonts w:ascii="Book Antiqua" w:hAnsi="Book Antiqua" w:hint="eastAsia"/>
          <w:iCs/>
        </w:rPr>
        <w:t xml:space="preserve"> </w:t>
      </w:r>
    </w:p>
    <w:p w14:paraId="1DDB294F" w14:textId="77777777" w:rsidR="00FF2A51" w:rsidRDefault="00E67C04">
      <w:pPr>
        <w:spacing w:line="360" w:lineRule="auto"/>
        <w:jc w:val="both"/>
        <w:rPr>
          <w:rFonts w:ascii="Book Antiqua" w:hAnsi="Book Antiqua"/>
          <w:iCs/>
          <w:lang w:eastAsia="zh-CN"/>
        </w:rPr>
      </w:pPr>
      <w:r w:rsidRPr="003274D5">
        <w:rPr>
          <w:rFonts w:ascii="Book Antiqua" w:hAnsi="Book Antiqua"/>
          <w:b/>
          <w:iCs/>
        </w:rPr>
        <w:t xml:space="preserve">URL: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12</w:t>
      </w:r>
      <w:r w:rsidRPr="00651643">
        <w:rPr>
          <w:rFonts w:ascii="Book Antiqua" w:hAnsi="Book Antiqua"/>
          <w:iCs/>
        </w:rPr>
        <w:t>/</w:t>
      </w:r>
      <w:r w:rsidR="009A0907">
        <w:rPr>
          <w:rFonts w:ascii="Book Antiqua" w:hAnsi="Book Antiqua" w:hint="eastAsia"/>
          <w:iCs/>
          <w:lang w:eastAsia="zh-CN"/>
        </w:rPr>
        <w:t>2763</w:t>
      </w:r>
      <w:r>
        <w:rPr>
          <w:rFonts w:ascii="Book Antiqua" w:hAnsi="Book Antiqua"/>
          <w:iCs/>
        </w:rPr>
        <w:t>.htm</w:t>
      </w:r>
      <w:r>
        <w:rPr>
          <w:rFonts w:ascii="Book Antiqua" w:hAnsi="Book Antiqua" w:hint="eastAsia"/>
          <w:iCs/>
        </w:rPr>
        <w:t xml:space="preserve"> </w:t>
      </w:r>
    </w:p>
    <w:p w14:paraId="27937D15" w14:textId="7BCC8EDE" w:rsidR="00A77B3E" w:rsidRDefault="00E67C04">
      <w:pPr>
        <w:spacing w:line="360" w:lineRule="auto"/>
        <w:jc w:val="both"/>
        <w:rPr>
          <w:lang w:eastAsia="zh-CN"/>
        </w:rPr>
      </w:pPr>
      <w:r w:rsidRPr="003274D5">
        <w:rPr>
          <w:rFonts w:ascii="Book Antiqua" w:hAnsi="Book Antiqua"/>
          <w:b/>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12</w:t>
      </w:r>
      <w:r w:rsidRPr="00651643">
        <w:rPr>
          <w:rFonts w:ascii="Book Antiqua" w:hAnsi="Book Antiqua"/>
          <w:iCs/>
        </w:rPr>
        <w:t>.</w:t>
      </w:r>
      <w:r w:rsidR="006675C4">
        <w:rPr>
          <w:rFonts w:ascii="Book Antiqua" w:hAnsi="Book Antiqua" w:hint="eastAsia"/>
          <w:iCs/>
          <w:lang w:eastAsia="zh-CN"/>
        </w:rPr>
        <w:t>2763</w:t>
      </w:r>
    </w:p>
    <w:p w14:paraId="6032652B" w14:textId="77777777" w:rsidR="00A77B3E" w:rsidRDefault="00A77B3E">
      <w:pPr>
        <w:spacing w:line="360" w:lineRule="auto"/>
        <w:jc w:val="both"/>
      </w:pPr>
    </w:p>
    <w:p w14:paraId="08601AF6" w14:textId="50436F59" w:rsidR="00A77B3E" w:rsidRDefault="00C43656">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In the scenario of the current pandemic caused by </w:t>
      </w:r>
      <w:r w:rsidR="004F16A1" w:rsidRPr="004F16A1">
        <w:rPr>
          <w:rFonts w:ascii="Book Antiqua" w:eastAsia="Book Antiqua" w:hAnsi="Book Antiqua" w:cs="Book Antiqua"/>
          <w:color w:val="000000"/>
        </w:rPr>
        <w:t>severe acute respiratory syndrome coronavirus 2</w:t>
      </w:r>
      <w:r w:rsidR="00905B57">
        <w:rPr>
          <w:rFonts w:ascii="Book Antiqua" w:hAnsi="Book Antiqua" w:cs="Book Antiqua" w:hint="eastAsia"/>
          <w:color w:val="000000"/>
          <w:lang w:eastAsia="zh-CN"/>
        </w:rPr>
        <w:t xml:space="preserve"> (</w:t>
      </w:r>
      <w:r w:rsidR="00905B57" w:rsidRPr="00905B57">
        <w:rPr>
          <w:rFonts w:ascii="Book Antiqua" w:hAnsi="Book Antiqua" w:cs="Book Antiqua"/>
          <w:color w:val="000000"/>
          <w:lang w:eastAsia="zh-CN"/>
        </w:rPr>
        <w:t>SARS-CoV-2</w:t>
      </w:r>
      <w:r w:rsidR="00905B57">
        <w:rPr>
          <w:rFonts w:ascii="Book Antiqua" w:hAnsi="Book Antiqua" w:cs="Book Antiqua" w:hint="eastAsia"/>
          <w:color w:val="000000"/>
          <w:lang w:eastAsia="zh-CN"/>
        </w:rPr>
        <w:t>)</w:t>
      </w:r>
      <w:r>
        <w:rPr>
          <w:rFonts w:ascii="Book Antiqua" w:eastAsia="Book Antiqua" w:hAnsi="Book Antiqua" w:cs="Book Antiqua"/>
          <w:color w:val="000000"/>
        </w:rPr>
        <w:t xml:space="preserve">, it is essential </w:t>
      </w:r>
      <w:r w:rsidR="00B2471C">
        <w:rPr>
          <w:rFonts w:ascii="Book Antiqua" w:eastAsia="Book Antiqua" w:hAnsi="Book Antiqua" w:cs="Book Antiqua"/>
          <w:color w:val="000000"/>
        </w:rPr>
        <w:t>to identify</w:t>
      </w:r>
      <w:r>
        <w:rPr>
          <w:rFonts w:ascii="Book Antiqua" w:eastAsia="Book Antiqua" w:hAnsi="Book Antiqua" w:cs="Book Antiqua"/>
          <w:color w:val="000000"/>
        </w:rPr>
        <w:t xml:space="preserve"> possible risk factors for the occurrence of </w:t>
      </w:r>
      <w:r w:rsidR="00B2471C">
        <w:rPr>
          <w:rFonts w:ascii="Book Antiqua" w:eastAsia="Book Antiqua" w:hAnsi="Book Antiqua" w:cs="Book Antiqua"/>
          <w:color w:val="000000"/>
        </w:rPr>
        <w:t>this</w:t>
      </w:r>
      <w:r>
        <w:rPr>
          <w:rFonts w:ascii="Book Antiqua" w:eastAsia="Book Antiqua" w:hAnsi="Book Antiqua" w:cs="Book Antiqua"/>
          <w:color w:val="000000"/>
        </w:rPr>
        <w:t xml:space="preserve"> disease, including pharmacological therapies commonly taken by the population. Among these drugs, proton pump inhibitors represent one of the classes most widely used. In this review, we have tried to explore the link between the use of </w:t>
      </w:r>
      <w:r w:rsidR="004F16A1">
        <w:rPr>
          <w:rFonts w:ascii="Book Antiqua" w:eastAsia="Book Antiqua" w:hAnsi="Book Antiqua" w:cs="Book Antiqua"/>
          <w:color w:val="000000"/>
        </w:rPr>
        <w:t>proton pump inhibitors</w:t>
      </w:r>
      <w:r>
        <w:rPr>
          <w:rFonts w:ascii="Book Antiqua" w:eastAsia="Book Antiqua" w:hAnsi="Book Antiqua" w:cs="Book Antiqua"/>
          <w:color w:val="000000"/>
        </w:rPr>
        <w:t xml:space="preserve"> and </w:t>
      </w:r>
      <w:r w:rsidR="00CF144D" w:rsidRPr="00CF144D">
        <w:rPr>
          <w:rFonts w:ascii="Book Antiqua" w:eastAsia="Book Antiqua" w:hAnsi="Book Antiqua" w:cs="Book Antiqua"/>
          <w:color w:val="000000"/>
        </w:rPr>
        <w:t>SARS-CoV-2</w:t>
      </w:r>
      <w:bookmarkStart w:id="7" w:name="_GoBack"/>
      <w:bookmarkEnd w:id="7"/>
      <w:r>
        <w:rPr>
          <w:rFonts w:ascii="Book Antiqua" w:eastAsia="Book Antiqua" w:hAnsi="Book Antiqua" w:cs="Book Antiqua"/>
          <w:color w:val="000000"/>
        </w:rPr>
        <w:t xml:space="preserve"> infection, </w:t>
      </w:r>
      <w:r w:rsidR="00B2471C">
        <w:rPr>
          <w:rFonts w:ascii="Book Antiqua" w:eastAsia="Book Antiqua" w:hAnsi="Book Antiqua" w:cs="Book Antiqua"/>
          <w:color w:val="000000"/>
        </w:rPr>
        <w:t xml:space="preserve">and to </w:t>
      </w:r>
      <w:r>
        <w:rPr>
          <w:rFonts w:ascii="Book Antiqua" w:eastAsia="Book Antiqua" w:hAnsi="Book Antiqua" w:cs="Book Antiqua"/>
          <w:color w:val="000000"/>
        </w:rPr>
        <w:t>analyz</w:t>
      </w:r>
      <w:r w:rsidR="00B2471C">
        <w:rPr>
          <w:rFonts w:ascii="Book Antiqua" w:eastAsia="Book Antiqua" w:hAnsi="Book Antiqua" w:cs="Book Antiqua"/>
          <w:color w:val="000000"/>
        </w:rPr>
        <w:t>e</w:t>
      </w:r>
      <w:r>
        <w:rPr>
          <w:rFonts w:ascii="Book Antiqua" w:eastAsia="Book Antiqua" w:hAnsi="Book Antiqua" w:cs="Book Antiqua"/>
          <w:color w:val="000000"/>
        </w:rPr>
        <w:t xml:space="preserve"> the strengths and weaknesses of this relationship, using the currently available data.</w:t>
      </w:r>
    </w:p>
    <w:p w14:paraId="42913D06" w14:textId="680EFACF" w:rsidR="00A77B3E" w:rsidRDefault="004F16A1">
      <w:pPr>
        <w:spacing w:line="360" w:lineRule="auto"/>
        <w:jc w:val="both"/>
      </w:pPr>
      <w:r>
        <w:br w:type="page"/>
      </w:r>
      <w:r w:rsidR="00C43656">
        <w:rPr>
          <w:rFonts w:ascii="Book Antiqua" w:eastAsia="Book Antiqua" w:hAnsi="Book Antiqua" w:cs="Book Antiqua"/>
          <w:b/>
          <w:caps/>
          <w:color w:val="000000"/>
          <w:u w:val="single"/>
        </w:rPr>
        <w:t>INTRODUCTION</w:t>
      </w:r>
    </w:p>
    <w:p w14:paraId="58DEDC6E" w14:textId="618E8C46" w:rsidR="00A77B3E" w:rsidRDefault="00C43656">
      <w:pPr>
        <w:spacing w:line="360" w:lineRule="auto"/>
        <w:jc w:val="both"/>
      </w:pPr>
      <w:r>
        <w:rPr>
          <w:rFonts w:ascii="Book Antiqua" w:eastAsia="Book Antiqua" w:hAnsi="Book Antiqua" w:cs="Book Antiqua"/>
          <w:color w:val="000000"/>
        </w:rPr>
        <w:t>A global pandemic was declared in February 2020 by the World Health Organization. The causative agent for this pandemic, which initiated in the city of Wuhan in Hubei Province</w:t>
      </w:r>
      <w:r w:rsidR="00B2471C">
        <w:rPr>
          <w:rFonts w:ascii="Book Antiqua" w:eastAsia="Book Antiqua" w:hAnsi="Book Antiqua" w:cs="Book Antiqua"/>
          <w:color w:val="000000"/>
        </w:rPr>
        <w:t>,</w:t>
      </w:r>
      <w:r>
        <w:rPr>
          <w:rFonts w:ascii="Book Antiqua" w:eastAsia="Book Antiqua" w:hAnsi="Book Antiqua" w:cs="Book Antiqua"/>
          <w:color w:val="000000"/>
        </w:rPr>
        <w:t xml:space="preserve"> China, is a novel coronavirus, named </w:t>
      </w:r>
      <w:r w:rsidR="004F16A1" w:rsidRPr="004F16A1">
        <w:rPr>
          <w:rFonts w:ascii="Book Antiqua" w:eastAsia="Book Antiqua" w:hAnsi="Book Antiqua" w:cs="Book Antiqua"/>
          <w:color w:val="000000"/>
        </w:rPr>
        <w:t>severe acute respiratory syndrome coronavirus 2</w:t>
      </w:r>
      <w:r w:rsidR="004F16A1">
        <w:rPr>
          <w:rFonts w:ascii="Book Antiqua" w:eastAsia="Book Antiqua" w:hAnsi="Book Antiqua" w:cs="Book Antiqua"/>
          <w:color w:val="000000"/>
        </w:rPr>
        <w:t xml:space="preserve"> (SARS-CoV-2)</w:t>
      </w:r>
      <w:r w:rsidR="00B2471C">
        <w:rPr>
          <w:rFonts w:ascii="Book Antiqua" w:eastAsia="Book Antiqua" w:hAnsi="Book Antiqua" w:cs="Book Antiqua"/>
          <w:color w:val="000000"/>
        </w:rPr>
        <w:t>, which</w:t>
      </w:r>
      <w:r>
        <w:rPr>
          <w:rFonts w:ascii="Book Antiqua" w:eastAsia="Book Antiqua" w:hAnsi="Book Antiqua" w:cs="Book Antiqua"/>
          <w:color w:val="000000"/>
        </w:rPr>
        <w:t xml:space="preserve"> lead</w:t>
      </w:r>
      <w:r w:rsidR="00B2471C">
        <w:rPr>
          <w:rFonts w:ascii="Book Antiqua" w:eastAsia="Book Antiqua" w:hAnsi="Book Antiqua" w:cs="Book Antiqua"/>
          <w:color w:val="000000"/>
        </w:rPr>
        <w:t>s</w:t>
      </w:r>
      <w:r>
        <w:rPr>
          <w:rFonts w:ascii="Book Antiqua" w:eastAsia="Book Antiqua" w:hAnsi="Book Antiqua" w:cs="Book Antiqua"/>
          <w:color w:val="000000"/>
        </w:rPr>
        <w:t xml:space="preserve"> to </w:t>
      </w:r>
      <w:r w:rsidR="004F16A1" w:rsidRPr="00B66013">
        <w:rPr>
          <w:rFonts w:ascii="Book Antiqua" w:eastAsia="Book Antiqua" w:hAnsi="Book Antiqua" w:cs="Book Antiqua"/>
          <w:color w:val="000000"/>
        </w:rPr>
        <w:t>coronavirus disease 2019</w:t>
      </w:r>
      <w:r w:rsidR="004F16A1">
        <w:rPr>
          <w:rFonts w:ascii="Book Antiqua" w:eastAsia="Book Antiqua" w:hAnsi="Book Antiqua" w:cs="Book Antiqua"/>
          <w:color w:val="000000"/>
        </w:rPr>
        <w:t xml:space="preserve"> (COVID-19)</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pathogen shows similarities </w:t>
      </w:r>
      <w:r w:rsidR="00B2471C">
        <w:rPr>
          <w:rFonts w:ascii="Book Antiqua" w:eastAsia="Book Antiqua" w:hAnsi="Book Antiqua" w:cs="Book Antiqua"/>
          <w:color w:val="000000"/>
        </w:rPr>
        <w:t>to</w:t>
      </w:r>
      <w:r>
        <w:rPr>
          <w:rFonts w:ascii="Book Antiqua" w:eastAsia="Book Antiqua" w:hAnsi="Book Antiqua" w:cs="Book Antiqua"/>
          <w:color w:val="000000"/>
        </w:rPr>
        <w:t xml:space="preserve"> two other previously identified coronaviruses, </w:t>
      </w:r>
      <w:r w:rsidRPr="004F16A1">
        <w:rPr>
          <w:rFonts w:ascii="Book Antiqua" w:eastAsia="Book Antiqua" w:hAnsi="Book Antiqua" w:cs="Book Antiqua"/>
          <w:i/>
          <w:iCs/>
          <w:color w:val="000000"/>
        </w:rPr>
        <w:t>viz</w:t>
      </w:r>
      <w:r w:rsidR="00C86593">
        <w:rPr>
          <w:rFonts w:ascii="Book Antiqua" w:eastAsia="Book Antiqua" w:hAnsi="Book Antiqua" w:cs="Book Antiqua"/>
          <w:i/>
          <w:iCs/>
          <w:color w:val="000000"/>
        </w:rPr>
        <w:t>.</w:t>
      </w:r>
      <w:r w:rsidR="004F16A1">
        <w:rPr>
          <w:rFonts w:ascii="Book Antiqua" w:eastAsia="Book Antiqua" w:hAnsi="Book Antiqua" w:cs="Book Antiqua"/>
          <w:i/>
          <w:iCs/>
          <w:color w:val="000000"/>
        </w:rPr>
        <w:t>,</w:t>
      </w:r>
      <w:r>
        <w:rPr>
          <w:rFonts w:ascii="Book Antiqua" w:eastAsia="Book Antiqua" w:hAnsi="Book Antiqua" w:cs="Book Antiqua"/>
          <w:color w:val="000000"/>
        </w:rPr>
        <w:t xml:space="preserve"> Severe Acute Respiratory Syndrome (SARS-CoV) in 2003 and Middle Eastern Respiratory Syndrome (MERS-CoV) in 2012</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w:t>
      </w:r>
      <w:r w:rsidRPr="004F16A1">
        <w:rPr>
          <w:rFonts w:ascii="Book Antiqua" w:eastAsia="Book Antiqua" w:hAnsi="Book Antiqua" w:cs="Book Antiqua"/>
          <w:color w:val="000000"/>
        </w:rPr>
        <w:t xml:space="preserve">. </w:t>
      </w:r>
      <w:r>
        <w:rPr>
          <w:rFonts w:ascii="Book Antiqua" w:eastAsia="Book Antiqua" w:hAnsi="Book Antiqua" w:cs="Book Antiqua"/>
          <w:color w:val="000000"/>
        </w:rPr>
        <w:t>Although the main post-infection manifestations due to this virus include respiratory symptoms and pneumonia, it has been found to attack and to affect almost all organs and organ systems, including the gastrointestinal tract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Recently, Tian</w:t>
      </w:r>
      <w:r w:rsidR="00C86593">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[4]</w:t>
      </w:r>
      <w:r w:rsidRPr="00C86593">
        <w:rPr>
          <w:rFonts w:ascii="Book Antiqua" w:eastAsia="Book Antiqua" w:hAnsi="Book Antiqua" w:cs="Book Antiqua"/>
          <w:color w:val="000000"/>
        </w:rPr>
        <w:t xml:space="preserve"> </w:t>
      </w:r>
      <w:r>
        <w:rPr>
          <w:rFonts w:ascii="Book Antiqua" w:eastAsia="Book Antiqua" w:hAnsi="Book Antiqua" w:cs="Book Antiqua"/>
          <w:color w:val="000000"/>
        </w:rPr>
        <w:t xml:space="preserve">highlighted the presence of gastrointestinal symptoms in patients infected with SARS-CoV-2, with an incidence </w:t>
      </w:r>
      <w:r w:rsidR="00B2471C">
        <w:rPr>
          <w:rFonts w:ascii="Book Antiqua" w:eastAsia="Book Antiqua" w:hAnsi="Book Antiqua" w:cs="Book Antiqua"/>
          <w:color w:val="000000"/>
        </w:rPr>
        <w:t>ranging</w:t>
      </w:r>
      <w:r>
        <w:rPr>
          <w:rFonts w:ascii="Book Antiqua" w:eastAsia="Book Antiqua" w:hAnsi="Book Antiqua" w:cs="Book Antiqua"/>
          <w:color w:val="000000"/>
        </w:rPr>
        <w:t xml:space="preserve"> from 3% up to 79%. This virus binds to the host cells through the spike (S) glycoprotein present on its envelope. Various studies have shown how this protein binds to the </w:t>
      </w:r>
      <w:r w:rsidR="00C86593">
        <w:rPr>
          <w:rFonts w:ascii="Book Antiqua" w:eastAsia="Book Antiqua" w:hAnsi="Book Antiqua" w:cs="Book Antiqua"/>
          <w:color w:val="000000"/>
        </w:rPr>
        <w:t>a</w:t>
      </w:r>
      <w:r>
        <w:rPr>
          <w:rFonts w:ascii="Book Antiqua" w:eastAsia="Book Antiqua" w:hAnsi="Book Antiqua" w:cs="Book Antiqua"/>
          <w:color w:val="000000"/>
        </w:rPr>
        <w:t>ngiotensin converting enzyme 2 (ACE-2) receptors expressed on the cell membrane in human cells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r w:rsidR="00B2471C">
        <w:rPr>
          <w:rFonts w:ascii="Book Antiqua" w:eastAsia="Book Antiqua" w:hAnsi="Book Antiqua" w:cs="Book Antiqua"/>
          <w:color w:val="000000"/>
        </w:rPr>
        <w:t>In</w:t>
      </w:r>
      <w:r>
        <w:rPr>
          <w:rFonts w:ascii="Book Antiqua" w:eastAsia="Book Antiqua" w:hAnsi="Book Antiqua" w:cs="Book Antiqua"/>
          <w:color w:val="000000"/>
        </w:rPr>
        <w:t xml:space="preserve"> the digestive system, ACE-2 receptors are expressed in the intestine, liver and pancreas</w:t>
      </w:r>
      <w:r>
        <w:rPr>
          <w:rFonts w:ascii="Book Antiqua" w:eastAsia="Book Antiqua" w:hAnsi="Book Antiqua" w:cs="Book Antiqua"/>
          <w:color w:val="000000"/>
          <w:szCs w:val="30"/>
          <w:vertAlign w:val="superscript"/>
        </w:rPr>
        <w:t>[7-10]</w:t>
      </w:r>
      <w:r>
        <w:rPr>
          <w:rFonts w:ascii="Book Antiqua" w:eastAsia="Book Antiqua" w:hAnsi="Book Antiqua" w:cs="Book Antiqua"/>
          <w:color w:val="000000"/>
        </w:rPr>
        <w:t>.</w:t>
      </w:r>
      <w:r w:rsidR="00C86593">
        <w:rPr>
          <w:rFonts w:ascii="Book Antiqua" w:eastAsia="Book Antiqua" w:hAnsi="Book Antiqua" w:cs="Book Antiqua"/>
          <w:color w:val="000000"/>
        </w:rPr>
        <w:t xml:space="preserve"> </w:t>
      </w:r>
      <w:r>
        <w:rPr>
          <w:rFonts w:ascii="Book Antiqua" w:eastAsia="Book Antiqua" w:hAnsi="Book Antiqua" w:cs="Book Antiqua"/>
          <w:color w:val="000000"/>
        </w:rPr>
        <w:t xml:space="preserve">In fact, the same SARS-CoV-2 RNA has </w:t>
      </w:r>
      <w:r w:rsidR="00B2471C">
        <w:rPr>
          <w:rFonts w:ascii="Book Antiqua" w:eastAsia="Book Antiqua" w:hAnsi="Book Antiqua" w:cs="Book Antiqua"/>
          <w:color w:val="000000"/>
        </w:rPr>
        <w:t xml:space="preserve">also </w:t>
      </w:r>
      <w:r>
        <w:rPr>
          <w:rFonts w:ascii="Book Antiqua" w:eastAsia="Book Antiqua" w:hAnsi="Book Antiqua" w:cs="Book Antiqua"/>
          <w:color w:val="000000"/>
        </w:rPr>
        <w:t>been found in the stool</w:t>
      </w:r>
      <w:r>
        <w:rPr>
          <w:rFonts w:ascii="Book Antiqua" w:eastAsia="Book Antiqua" w:hAnsi="Book Antiqua" w:cs="Book Antiqua"/>
          <w:color w:val="000000"/>
          <w:szCs w:val="30"/>
          <w:vertAlign w:val="superscript"/>
        </w:rPr>
        <w:t>[7-10]</w:t>
      </w:r>
      <w:r>
        <w:rPr>
          <w:rFonts w:ascii="Book Antiqua" w:eastAsia="Book Antiqua" w:hAnsi="Book Antiqua" w:cs="Book Antiqua"/>
          <w:color w:val="000000"/>
        </w:rPr>
        <w:t>.</w:t>
      </w:r>
    </w:p>
    <w:p w14:paraId="78BB4C36" w14:textId="05D002BB" w:rsidR="00A77B3E" w:rsidRDefault="00C43656" w:rsidP="00C8659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Proton</w:t>
      </w:r>
      <w:r w:rsidR="004F16A1">
        <w:rPr>
          <w:rFonts w:ascii="Book Antiqua" w:eastAsia="Book Antiqua" w:hAnsi="Book Antiqua" w:cs="Book Antiqua"/>
          <w:color w:val="000000"/>
        </w:rPr>
        <w:t xml:space="preserve"> </w:t>
      </w:r>
      <w:r>
        <w:rPr>
          <w:rFonts w:ascii="Book Antiqua" w:eastAsia="Book Antiqua" w:hAnsi="Book Antiqua" w:cs="Book Antiqua"/>
          <w:color w:val="000000"/>
        </w:rPr>
        <w:t xml:space="preserve">pump inhibitors (PPIs) represent a class of drugs </w:t>
      </w:r>
      <w:r w:rsidR="005269D5">
        <w:rPr>
          <w:rFonts w:ascii="Book Antiqua" w:eastAsia="Book Antiqua" w:hAnsi="Book Antiqua" w:cs="Book Antiqua"/>
          <w:color w:val="000000"/>
        </w:rPr>
        <w:t xml:space="preserve">which </w:t>
      </w:r>
      <w:r>
        <w:rPr>
          <w:rFonts w:ascii="Book Antiqua" w:eastAsia="Book Antiqua" w:hAnsi="Book Antiqua" w:cs="Book Antiqua"/>
          <w:color w:val="000000"/>
        </w:rPr>
        <w:t>suppress gastric acid secretion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U</w:t>
      </w:r>
      <w:r w:rsidR="005B16D8">
        <w:rPr>
          <w:rFonts w:ascii="Book Antiqua" w:eastAsia="Book Antiqua" w:hAnsi="Book Antiqua" w:cs="Book Antiqua"/>
          <w:color w:val="000000"/>
        </w:rPr>
        <w:t xml:space="preserve">nited </w:t>
      </w:r>
      <w:r>
        <w:rPr>
          <w:rFonts w:ascii="Book Antiqua" w:eastAsia="Book Antiqua" w:hAnsi="Book Antiqua" w:cs="Book Antiqua"/>
          <w:color w:val="000000"/>
        </w:rPr>
        <w:t>S</w:t>
      </w:r>
      <w:r w:rsidR="005B16D8">
        <w:rPr>
          <w:rFonts w:ascii="Book Antiqua" w:eastAsia="Book Antiqua" w:hAnsi="Book Antiqua" w:cs="Book Antiqua"/>
          <w:color w:val="000000"/>
        </w:rPr>
        <w:t>tates</w:t>
      </w:r>
      <w:r>
        <w:rPr>
          <w:rFonts w:ascii="Book Antiqua" w:eastAsia="Book Antiqua" w:hAnsi="Book Antiqua" w:cs="Book Antiqua"/>
          <w:color w:val="000000"/>
        </w:rPr>
        <w:t xml:space="preserve"> Food and Drug Administration (FDA) has approved these molecules as long-term therapy for several gastrointestinal diseases, </w:t>
      </w:r>
      <w:r w:rsidR="005269D5">
        <w:rPr>
          <w:rFonts w:ascii="Book Antiqua" w:eastAsia="Book Antiqua" w:hAnsi="Book Antiqua" w:cs="Book Antiqua"/>
          <w:color w:val="000000"/>
        </w:rPr>
        <w:t>including</w:t>
      </w:r>
      <w:r>
        <w:rPr>
          <w:rFonts w:ascii="Book Antiqua" w:eastAsia="Book Antiqua" w:hAnsi="Book Antiqua" w:cs="Book Antiqua"/>
          <w:color w:val="000000"/>
        </w:rPr>
        <w:t xml:space="preserve"> peptic ulcer, Barrett esophagus, gastroesophageal reflux </w:t>
      </w:r>
      <w:r w:rsidR="005269D5">
        <w:rPr>
          <w:rFonts w:ascii="Book Antiqua" w:eastAsia="Book Antiqua" w:hAnsi="Book Antiqua" w:cs="Book Antiqua"/>
          <w:color w:val="000000"/>
        </w:rPr>
        <w:t xml:space="preserve">disease </w:t>
      </w:r>
      <w:r>
        <w:rPr>
          <w:rFonts w:ascii="Book Antiqua" w:eastAsia="Book Antiqua" w:hAnsi="Book Antiqua" w:cs="Book Antiqua"/>
          <w:color w:val="000000"/>
        </w:rPr>
        <w:t>(GERD), Zollinger-Ellison syndrome and as a preventive treatment for gastrointestinal bleeding due to nonsteroidal anti-inflammatory drugs</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first PPI approved by the FDA in the United States in 1989 was omeprazole, followed by lansoprazole in 1995, rabeprazole in 1999, pantoprazole in 2000</w:t>
      </w:r>
      <w:r w:rsidR="00C86593">
        <w:rPr>
          <w:rFonts w:ascii="Book Antiqua" w:eastAsia="Book Antiqua" w:hAnsi="Book Antiqua" w:cs="Book Antiqua"/>
          <w:color w:val="000000"/>
        </w:rPr>
        <w:t xml:space="preserve"> </w:t>
      </w:r>
      <w:r>
        <w:rPr>
          <w:rFonts w:ascii="Book Antiqua" w:eastAsia="Book Antiqua" w:hAnsi="Book Antiqua" w:cs="Book Antiqua"/>
          <w:color w:val="000000"/>
        </w:rPr>
        <w:t>and esomeprazole in 2001</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005269D5">
        <w:rPr>
          <w:rFonts w:ascii="Book Antiqua" w:eastAsia="Book Antiqua" w:hAnsi="Book Antiqua" w:cs="Book Antiqua"/>
          <w:color w:val="000000"/>
        </w:rPr>
        <w:t>F</w:t>
      </w:r>
      <w:r>
        <w:rPr>
          <w:rFonts w:ascii="Book Antiqua" w:eastAsia="Book Antiqua" w:hAnsi="Book Antiqua" w:cs="Book Antiqua"/>
          <w:color w:val="000000"/>
        </w:rPr>
        <w:t xml:space="preserve">rom the first launch on </w:t>
      </w:r>
      <w:r w:rsidR="00CC7B84">
        <w:rPr>
          <w:rFonts w:ascii="Book Antiqua" w:eastAsia="Book Antiqua" w:hAnsi="Book Antiqua" w:cs="Book Antiqua"/>
          <w:color w:val="000000"/>
        </w:rPr>
        <w:t xml:space="preserve">the </w:t>
      </w:r>
      <w:r>
        <w:rPr>
          <w:rFonts w:ascii="Book Antiqua" w:eastAsia="Book Antiqua" w:hAnsi="Book Antiqua" w:cs="Book Antiqua"/>
          <w:color w:val="000000"/>
        </w:rPr>
        <w:t xml:space="preserve">market of the first PPI, these molecules have become one of the most </w:t>
      </w:r>
      <w:r w:rsidR="005269D5">
        <w:rPr>
          <w:rFonts w:ascii="Book Antiqua" w:eastAsia="Book Antiqua" w:hAnsi="Book Antiqua" w:cs="Book Antiqua"/>
          <w:color w:val="000000"/>
        </w:rPr>
        <w:t>commonly</w:t>
      </w:r>
      <w:r>
        <w:rPr>
          <w:rFonts w:ascii="Book Antiqua" w:eastAsia="Book Antiqua" w:hAnsi="Book Antiqua" w:cs="Book Antiqua"/>
          <w:color w:val="000000"/>
        </w:rPr>
        <w:t xml:space="preserve"> used drugs worldwide, being prescribed to outpatients and during hospitalizations, </w:t>
      </w:r>
      <w:r w:rsidR="005269D5">
        <w:rPr>
          <w:rFonts w:ascii="Book Antiqua" w:eastAsia="Book Antiqua" w:hAnsi="Book Antiqua" w:cs="Book Antiqua"/>
          <w:color w:val="000000"/>
        </w:rPr>
        <w:t xml:space="preserve">and </w:t>
      </w:r>
      <w:r>
        <w:rPr>
          <w:rFonts w:ascii="Book Antiqua" w:eastAsia="Book Antiqua" w:hAnsi="Book Antiqua" w:cs="Book Antiqua"/>
          <w:color w:val="000000"/>
        </w:rPr>
        <w:t>self-prescriptions as over-the-counter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a study carried out by Rotman </w:t>
      </w:r>
      <w:r w:rsidR="005B16D8">
        <w:rPr>
          <w:rFonts w:ascii="Book Antiqua" w:eastAsia="Book Antiqua" w:hAnsi="Book Antiqua" w:cs="Book Antiqua"/>
          <w:color w:val="000000"/>
        </w:rPr>
        <w:t>and Bishop</w:t>
      </w:r>
      <w:r w:rsidR="00C86593">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considering only outpatient visit</w:t>
      </w:r>
      <w:r w:rsidR="005269D5">
        <w:rPr>
          <w:rFonts w:ascii="Book Antiqua" w:eastAsia="Book Antiqua" w:hAnsi="Book Antiqua" w:cs="Book Antiqua"/>
          <w:color w:val="000000"/>
        </w:rPr>
        <w:t>s</w:t>
      </w:r>
      <w:r>
        <w:rPr>
          <w:rFonts w:ascii="Book Antiqua" w:eastAsia="Book Antiqua" w:hAnsi="Book Antiqua" w:cs="Book Antiqua"/>
          <w:color w:val="000000"/>
        </w:rPr>
        <w:t xml:space="preserve">, it was </w:t>
      </w:r>
      <w:r w:rsidR="005269D5">
        <w:rPr>
          <w:rFonts w:ascii="Book Antiqua" w:eastAsia="Book Antiqua" w:hAnsi="Book Antiqua" w:cs="Book Antiqua"/>
          <w:color w:val="000000"/>
        </w:rPr>
        <w:t>shown</w:t>
      </w:r>
      <w:r>
        <w:rPr>
          <w:rFonts w:ascii="Book Antiqua" w:eastAsia="Book Antiqua" w:hAnsi="Book Antiqua" w:cs="Book Antiqua"/>
          <w:color w:val="000000"/>
        </w:rPr>
        <w:t xml:space="preserve"> that the prescription rate of PPIs increased from 4% in the year 2002 to 9.2% in 2009. A Spanish study analyzed the frequency of PPIs </w:t>
      </w:r>
      <w:r w:rsidR="005269D5">
        <w:rPr>
          <w:rFonts w:ascii="Book Antiqua" w:eastAsia="Book Antiqua" w:hAnsi="Book Antiqua" w:cs="Book Antiqua"/>
          <w:color w:val="000000"/>
        </w:rPr>
        <w:t xml:space="preserve">use </w:t>
      </w:r>
      <w:r>
        <w:rPr>
          <w:rFonts w:ascii="Book Antiqua" w:eastAsia="Book Antiqua" w:hAnsi="Book Antiqua" w:cs="Book Antiqua"/>
          <w:color w:val="000000"/>
        </w:rPr>
        <w:t xml:space="preserve">before, during hospitalization and at the time of discharge and found </w:t>
      </w:r>
      <w:r w:rsidR="005269D5">
        <w:rPr>
          <w:rFonts w:ascii="Book Antiqua" w:eastAsia="Book Antiqua" w:hAnsi="Book Antiqua" w:cs="Book Antiqua"/>
          <w:color w:val="000000"/>
        </w:rPr>
        <w:t>th</w:t>
      </w:r>
      <w:r w:rsidR="00CC7B84">
        <w:rPr>
          <w:rFonts w:ascii="Book Antiqua" w:eastAsia="Book Antiqua" w:hAnsi="Book Antiqua" w:cs="Book Antiqua"/>
          <w:color w:val="000000"/>
        </w:rPr>
        <w:t>at</w:t>
      </w:r>
      <w:r w:rsidR="005269D5">
        <w:rPr>
          <w:rFonts w:ascii="Book Antiqua" w:eastAsia="Book Antiqua" w:hAnsi="Book Antiqua" w:cs="Book Antiqua"/>
          <w:color w:val="000000"/>
        </w:rPr>
        <w:t xml:space="preserve"> </w:t>
      </w:r>
      <w:r>
        <w:rPr>
          <w:rFonts w:ascii="Book Antiqua" w:eastAsia="Book Antiqua" w:hAnsi="Book Antiqua" w:cs="Book Antiqua"/>
          <w:color w:val="000000"/>
        </w:rPr>
        <w:t xml:space="preserve">the percentage of patients </w:t>
      </w:r>
      <w:r w:rsidR="005269D5">
        <w:rPr>
          <w:rFonts w:ascii="Book Antiqua" w:eastAsia="Book Antiqua" w:hAnsi="Book Antiqua" w:cs="Book Antiqua"/>
          <w:color w:val="000000"/>
        </w:rPr>
        <w:t>in</w:t>
      </w:r>
      <w:r>
        <w:rPr>
          <w:rFonts w:ascii="Book Antiqua" w:eastAsia="Book Antiqua" w:hAnsi="Book Antiqua" w:cs="Book Antiqua"/>
          <w:color w:val="000000"/>
        </w:rPr>
        <w:t xml:space="preserve"> each category </w:t>
      </w:r>
      <w:r w:rsidR="005269D5">
        <w:rPr>
          <w:rFonts w:ascii="Book Antiqua" w:eastAsia="Book Antiqua" w:hAnsi="Book Antiqua" w:cs="Book Antiqua"/>
          <w:color w:val="000000"/>
        </w:rPr>
        <w:t>was</w:t>
      </w:r>
      <w:r>
        <w:rPr>
          <w:rFonts w:ascii="Book Antiqua" w:eastAsia="Book Antiqua" w:hAnsi="Book Antiqua" w:cs="Book Antiqua"/>
          <w:color w:val="000000"/>
        </w:rPr>
        <w:t xml:space="preserve"> 28.65%, 82.62% and 54.75%, respectively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It is noteworthy that once the use of PPI is started by hospitalized patients, more than 50% of them continue it for nearly 3-6 mo after their discharge, without an appropriate indication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01A7627A" w14:textId="77777777" w:rsidR="00C86593" w:rsidRDefault="00C86593" w:rsidP="00C86593">
      <w:pPr>
        <w:spacing w:line="360" w:lineRule="auto"/>
        <w:jc w:val="both"/>
      </w:pPr>
    </w:p>
    <w:p w14:paraId="4467B52B" w14:textId="67D65918" w:rsidR="00A77B3E" w:rsidRPr="00C86593" w:rsidRDefault="00C86593">
      <w:pPr>
        <w:spacing w:line="360" w:lineRule="auto"/>
        <w:jc w:val="both"/>
        <w:rPr>
          <w:i/>
          <w:iCs/>
        </w:rPr>
      </w:pPr>
      <w:r w:rsidRPr="00C86593">
        <w:rPr>
          <w:rFonts w:ascii="Book Antiqua" w:eastAsia="Book Antiqua" w:hAnsi="Book Antiqua" w:cs="Book Antiqua"/>
          <w:b/>
          <w:bCs/>
          <w:i/>
          <w:iCs/>
          <w:color w:val="000000"/>
        </w:rPr>
        <w:t>Pharmacological mechanism of PPIs</w:t>
      </w:r>
    </w:p>
    <w:p w14:paraId="599E0EB5" w14:textId="6FC21C0B" w:rsidR="00A77B3E" w:rsidRDefault="00C436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Acid secretion is regulated by the activity of the gastric parietal cells, also named oxyntic cells. These are a type of epithelial cell and are responsible for the production of hydrochloric acid (HCl), which </w:t>
      </w:r>
      <w:r w:rsidR="008928E1">
        <w:rPr>
          <w:rFonts w:ascii="Book Antiqua" w:eastAsia="Book Antiqua" w:hAnsi="Book Antiqua" w:cs="Book Antiqua"/>
          <w:color w:val="000000"/>
        </w:rPr>
        <w:t>results in an</w:t>
      </w:r>
      <w:r>
        <w:rPr>
          <w:rFonts w:ascii="Book Antiqua" w:eastAsia="Book Antiqua" w:hAnsi="Book Antiqua" w:cs="Book Antiqua"/>
          <w:color w:val="000000"/>
        </w:rPr>
        <w:t xml:space="preserve"> acidic </w:t>
      </w:r>
      <w:r w:rsidR="008928E1">
        <w:rPr>
          <w:rFonts w:ascii="Book Antiqua" w:eastAsia="Book Antiqua" w:hAnsi="Book Antiqua" w:cs="Book Antiqua"/>
          <w:color w:val="000000"/>
        </w:rPr>
        <w:t xml:space="preserve">pH </w:t>
      </w:r>
      <w:r>
        <w:rPr>
          <w:rFonts w:ascii="Book Antiqua" w:eastAsia="Book Antiqua" w:hAnsi="Book Antiqua" w:cs="Book Antiqua"/>
          <w:color w:val="000000"/>
        </w:rPr>
        <w:t>with values between 1.5 and 3.5, and affect</w:t>
      </w:r>
      <w:r w:rsidR="008928E1">
        <w:rPr>
          <w:rFonts w:ascii="Book Antiqua" w:eastAsia="Book Antiqua" w:hAnsi="Book Antiqua" w:cs="Book Antiqua"/>
          <w:color w:val="000000"/>
        </w:rPr>
        <w:t>s</w:t>
      </w:r>
      <w:r>
        <w:rPr>
          <w:rFonts w:ascii="Book Antiqua" w:eastAsia="Book Antiqua" w:hAnsi="Book Antiqua" w:cs="Book Antiqua"/>
          <w:color w:val="000000"/>
        </w:rPr>
        <w:t xml:space="preserve"> other intrinsic factors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Their localization is predominant</w:t>
      </w:r>
      <w:r w:rsidR="008928E1">
        <w:rPr>
          <w:rFonts w:ascii="Book Antiqua" w:eastAsia="Book Antiqua" w:hAnsi="Book Antiqua" w:cs="Book Antiqua"/>
          <w:color w:val="000000"/>
        </w:rPr>
        <w:t>ly</w:t>
      </w:r>
      <w:r>
        <w:rPr>
          <w:rFonts w:ascii="Book Antiqua" w:eastAsia="Book Antiqua" w:hAnsi="Book Antiqua" w:cs="Book Antiqua"/>
          <w:color w:val="000000"/>
        </w:rPr>
        <w:t xml:space="preserve"> at the level of the gastric glands of the fundus and </w:t>
      </w:r>
      <w:r w:rsidR="008928E1">
        <w:rPr>
          <w:rFonts w:ascii="Book Antiqua" w:eastAsia="Book Antiqua" w:hAnsi="Book Antiqua" w:cs="Book Antiqua"/>
          <w:color w:val="000000"/>
        </w:rPr>
        <w:t>in</w:t>
      </w:r>
      <w:r>
        <w:rPr>
          <w:rFonts w:ascii="Book Antiqua" w:eastAsia="Book Antiqua" w:hAnsi="Book Antiqua" w:cs="Book Antiqua"/>
          <w:color w:val="000000"/>
        </w:rPr>
        <w:t xml:space="preserve"> the body of the stomach</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This secretion of acid is regulated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pathways, such as paracrine, endocrine and neural </w:t>
      </w:r>
      <w:r w:rsidR="008928E1">
        <w:rPr>
          <w:rFonts w:ascii="Book Antiqua" w:eastAsia="Book Antiqua" w:hAnsi="Book Antiqua" w:cs="Book Antiqua"/>
          <w:color w:val="000000"/>
        </w:rPr>
        <w:t>pathways</w:t>
      </w:r>
      <w:r>
        <w:rPr>
          <w:rFonts w:ascii="Book Antiqua" w:eastAsia="Book Antiqua" w:hAnsi="Book Antiqua" w:cs="Book Antiqua"/>
          <w:color w:val="000000"/>
        </w:rPr>
        <w:t>. These cells are considered “dynamic”, as they are able to modify their morphology between the rest</w:t>
      </w:r>
      <w:r w:rsidR="008928E1">
        <w:rPr>
          <w:rFonts w:ascii="Book Antiqua" w:eastAsia="Book Antiqua" w:hAnsi="Book Antiqua" w:cs="Book Antiqua"/>
          <w:color w:val="000000"/>
        </w:rPr>
        <w:t>ing</w:t>
      </w:r>
      <w:r>
        <w:rPr>
          <w:rFonts w:ascii="Book Antiqua" w:eastAsia="Book Antiqua" w:hAnsi="Book Antiqua" w:cs="Book Antiqua"/>
          <w:color w:val="000000"/>
        </w:rPr>
        <w:t xml:space="preserve"> </w:t>
      </w:r>
      <w:r w:rsidR="008928E1">
        <w:rPr>
          <w:rFonts w:ascii="Book Antiqua" w:eastAsia="Book Antiqua" w:hAnsi="Book Antiqua" w:cs="Book Antiqua"/>
          <w:color w:val="000000"/>
        </w:rPr>
        <w:t xml:space="preserve">state </w:t>
      </w:r>
      <w:r>
        <w:rPr>
          <w:rFonts w:ascii="Book Antiqua" w:eastAsia="Book Antiqua" w:hAnsi="Book Antiqua" w:cs="Book Antiqua"/>
          <w:color w:val="000000"/>
        </w:rPr>
        <w:t>and activity</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The production of HCl occurs through stimulating molecules, such as gastrin, acetylcholine and histamine when they bind to their respective receptors </w:t>
      </w:r>
      <w:r w:rsidRPr="00C86593">
        <w:rPr>
          <w:rFonts w:ascii="Book Antiqua" w:eastAsia="Book Antiqua" w:hAnsi="Book Antiqua" w:cs="Book Antiqua"/>
          <w:i/>
          <w:iCs/>
          <w:color w:val="000000"/>
        </w:rPr>
        <w:t>viz.</w:t>
      </w:r>
      <w:r w:rsidR="00C86593">
        <w:rPr>
          <w:rFonts w:ascii="Book Antiqua" w:eastAsia="Book Antiqua" w:hAnsi="Book Antiqua" w:cs="Book Antiqua"/>
          <w:color w:val="000000"/>
        </w:rPr>
        <w:t>,</w:t>
      </w:r>
      <w:r>
        <w:rPr>
          <w:rFonts w:ascii="Book Antiqua" w:eastAsia="Book Antiqua" w:hAnsi="Book Antiqua" w:cs="Book Antiqua"/>
          <w:color w:val="000000"/>
        </w:rPr>
        <w:t xml:space="preserve"> CCK</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or Cholecystokinin</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Muscarinic M</w:t>
      </w:r>
      <w:r>
        <w:rPr>
          <w:rFonts w:ascii="Book Antiqua" w:eastAsia="Book Antiqua" w:hAnsi="Book Antiqua" w:cs="Book Antiqua"/>
          <w:color w:val="000000"/>
          <w:szCs w:val="30"/>
          <w:vertAlign w:val="subscript"/>
        </w:rPr>
        <w:t>3</w:t>
      </w:r>
      <w:r w:rsidR="008928E1">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and</w:t>
      </w:r>
      <w:r w:rsidR="008928E1">
        <w:rPr>
          <w:rFonts w:ascii="Book Antiqua" w:eastAsia="Book Antiqua" w:hAnsi="Book Antiqua" w:cs="Book Antiqua"/>
          <w:color w:val="000000"/>
        </w:rPr>
        <w:t xml:space="preserve"> </w:t>
      </w:r>
      <w:r>
        <w:rPr>
          <w:rFonts w:ascii="Book Antiqua" w:eastAsia="Book Antiqua" w:hAnsi="Book Antiqua" w:cs="Book Antiqua"/>
          <w:color w:val="000000"/>
        </w:rPr>
        <w:t>histamine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the level of the basolateral cellular membranes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basic pharmacophore of all the available </w:t>
      </w:r>
      <w:bookmarkStart w:id="8" w:name="_Hlk62132147"/>
      <w:r>
        <w:rPr>
          <w:rFonts w:ascii="Book Antiqua" w:eastAsia="Book Antiqua" w:hAnsi="Book Antiqua" w:cs="Book Antiqua"/>
          <w:color w:val="000000"/>
        </w:rPr>
        <w:t>PPI</w:t>
      </w:r>
      <w:bookmarkEnd w:id="8"/>
      <w:r>
        <w:rPr>
          <w:rFonts w:ascii="Book Antiqua" w:eastAsia="Book Antiqua" w:hAnsi="Book Antiqua" w:cs="Book Antiqua"/>
          <w:color w:val="000000"/>
        </w:rPr>
        <w:t xml:space="preserve">s is 2-pyridylmethylsulfinylbenzimidazole, </w:t>
      </w:r>
      <w:r w:rsidRPr="00C86593">
        <w:rPr>
          <w:rFonts w:ascii="Book Antiqua" w:eastAsia="Book Antiqua" w:hAnsi="Book Antiqua" w:cs="Book Antiqua"/>
          <w:i/>
          <w:iCs/>
          <w:color w:val="000000"/>
        </w:rPr>
        <w:t>i.e.</w:t>
      </w:r>
      <w:r>
        <w:rPr>
          <w:rFonts w:ascii="Book Antiqua" w:eastAsia="Book Antiqua" w:hAnsi="Book Antiqua" w:cs="Book Antiqua"/>
          <w:color w:val="000000"/>
        </w:rPr>
        <w:t xml:space="preserve">, as they have </w:t>
      </w:r>
      <w:r w:rsidR="008928E1">
        <w:rPr>
          <w:rFonts w:ascii="Book Antiqua" w:eastAsia="Book Antiqua" w:hAnsi="Book Antiqua" w:cs="Book Antiqua"/>
          <w:color w:val="000000"/>
        </w:rPr>
        <w:t xml:space="preserve">the </w:t>
      </w:r>
      <w:r>
        <w:rPr>
          <w:rFonts w:ascii="Book Antiqua" w:eastAsia="Book Antiqua" w:hAnsi="Book Antiqua" w:cs="Book Antiqua"/>
          <w:color w:val="000000"/>
        </w:rPr>
        <w:t>same basic structural framework and differ only in the nature of substituents present in the rings of pyridine and benzimidazole</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These PPIs interact with the gastric </w:t>
      </w:r>
      <w:r w:rsidRPr="00A203F7">
        <w:rPr>
          <w:rFonts w:ascii="Book Antiqua" w:eastAsia="Book Antiqua" w:hAnsi="Book Antiqua" w:cs="Book Antiqua"/>
          <w:color w:val="000000"/>
        </w:rPr>
        <w:t>H,K-ATPase</w:t>
      </w:r>
      <w:r>
        <w:rPr>
          <w:rFonts w:ascii="Book Antiqua" w:eastAsia="Book Antiqua" w:hAnsi="Book Antiqua" w:cs="Book Antiqua"/>
          <w:color w:val="000000"/>
        </w:rPr>
        <w:t xml:space="preserve"> or “proton pump”, an α,β-heterodimeric enzyme located internally with respect to</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cytoplasmic membrane of the resting parietal cells</w:t>
      </w:r>
      <w:r>
        <w:rPr>
          <w:rFonts w:ascii="Book Antiqua" w:eastAsia="Book Antiqua" w:hAnsi="Book Antiqua" w:cs="Book Antiqua"/>
          <w:color w:val="000000"/>
          <w:vertAlign w:val="superscript"/>
        </w:rPr>
        <w:t>[19]</w:t>
      </w:r>
      <w:r>
        <w:rPr>
          <w:rFonts w:ascii="Book Antiqua" w:eastAsia="Book Antiqua" w:hAnsi="Book Antiqua" w:cs="Book Antiqua"/>
          <w:color w:val="000000"/>
        </w:rPr>
        <w:t>. When the parietal cell is activated, the H,K-ATPase enzyme moves from the cytoplasm to the apical portion of its membrane</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Of the two subunits of the gastric H,K-ATPase, the α sub-unit has catalytic function, while the β sub-unit is fundamentally responsible for the proper functioning of this enzyme. It binds to </w:t>
      </w:r>
      <w:r w:rsidR="008928E1">
        <w:rPr>
          <w:rFonts w:ascii="Book Antiqua" w:eastAsia="Book Antiqua" w:hAnsi="Book Antiqua" w:cs="Book Antiqua"/>
          <w:color w:val="000000"/>
        </w:rPr>
        <w:t xml:space="preserve">the </w:t>
      </w:r>
      <w:r>
        <w:rPr>
          <w:rFonts w:ascii="Book Antiqua" w:eastAsia="Book Antiqua" w:hAnsi="Book Antiqua" w:cs="Book Antiqua"/>
          <w:color w:val="000000"/>
        </w:rPr>
        <w:t>membrane, thereby preventing this enzyme from going back into the cytoplasm</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function of this protein is to exchange cytoplasmic hydronium with potassium present in the gastric lumen, which is associated with the secretion of chlorine leading to the formation of HCl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It is </w:t>
      </w:r>
      <w:r w:rsidR="008928E1">
        <w:rPr>
          <w:rFonts w:ascii="Book Antiqua" w:eastAsia="Book Antiqua" w:hAnsi="Book Antiqua" w:cs="Book Antiqua"/>
          <w:color w:val="000000"/>
        </w:rPr>
        <w:t>due to</w:t>
      </w:r>
      <w:r>
        <w:rPr>
          <w:rFonts w:ascii="Book Antiqua" w:eastAsia="Book Antiqua" w:hAnsi="Book Antiqua" w:cs="Book Antiqua"/>
          <w:color w:val="000000"/>
        </w:rPr>
        <w:t xml:space="preserve"> this activity that the PPIs come into play, irreversibly blocking the gastric H,K-ATPase and thus preventing acid secretion (</w:t>
      </w:r>
      <w:r w:rsidRPr="00C86593">
        <w:rPr>
          <w:rFonts w:ascii="Book Antiqua" w:eastAsia="Book Antiqua" w:hAnsi="Book Antiqua" w:cs="Book Antiqua"/>
          <w:color w:val="000000"/>
        </w:rPr>
        <w:t>Figure 1</w:t>
      </w:r>
      <w:r>
        <w:rPr>
          <w:rFonts w:ascii="Book Antiqua" w:eastAsia="Book Antiqua" w:hAnsi="Book Antiqua" w:cs="Book Antiqua"/>
          <w:color w:val="000000"/>
        </w:rPr>
        <w:t>).</w:t>
      </w:r>
    </w:p>
    <w:p w14:paraId="7BB303BC" w14:textId="77777777" w:rsidR="00C86593" w:rsidRDefault="00C86593">
      <w:pPr>
        <w:spacing w:line="360" w:lineRule="auto"/>
        <w:jc w:val="both"/>
      </w:pPr>
    </w:p>
    <w:p w14:paraId="1FA718A9" w14:textId="26639778" w:rsidR="00A77B3E" w:rsidRPr="00C86593" w:rsidRDefault="00C86593">
      <w:pPr>
        <w:spacing w:line="360" w:lineRule="auto"/>
        <w:jc w:val="both"/>
        <w:rPr>
          <w:i/>
          <w:iCs/>
        </w:rPr>
      </w:pPr>
      <w:r w:rsidRPr="00C86593">
        <w:rPr>
          <w:rFonts w:ascii="Book Antiqua" w:eastAsia="Book Antiqua" w:hAnsi="Book Antiqua" w:cs="Book Antiqua"/>
          <w:b/>
          <w:bCs/>
          <w:i/>
          <w:iCs/>
          <w:color w:val="000000"/>
        </w:rPr>
        <w:t>PPIs as a risk factor for COVID-19</w:t>
      </w:r>
    </w:p>
    <w:p w14:paraId="40330FFD" w14:textId="289DF1C3" w:rsidR="00A77B3E" w:rsidRDefault="00C43656">
      <w:pPr>
        <w:spacing w:line="360" w:lineRule="auto"/>
        <w:jc w:val="both"/>
      </w:pPr>
      <w:r>
        <w:rPr>
          <w:rFonts w:ascii="Book Antiqua" w:eastAsia="Book Antiqua" w:hAnsi="Book Antiqua" w:cs="Book Antiqua"/>
          <w:color w:val="000000"/>
        </w:rPr>
        <w:t xml:space="preserve">In the last decade various reports </w:t>
      </w:r>
      <w:r w:rsidR="008928E1">
        <w:rPr>
          <w:rFonts w:ascii="Book Antiqua" w:eastAsia="Book Antiqua" w:hAnsi="Book Antiqua" w:cs="Book Antiqua"/>
          <w:color w:val="000000"/>
        </w:rPr>
        <w:t xml:space="preserve">have </w:t>
      </w:r>
      <w:r>
        <w:rPr>
          <w:rFonts w:ascii="Book Antiqua" w:eastAsia="Book Antiqua" w:hAnsi="Book Antiqua" w:cs="Book Antiqua"/>
          <w:color w:val="000000"/>
        </w:rPr>
        <w:t xml:space="preserve">suggested that PPIs can favor the more severe course and mortality of illnesses in patients suffering from conditions, such as virosis, </w:t>
      </w:r>
      <w:r w:rsidR="008928E1">
        <w:rPr>
          <w:rFonts w:ascii="Book Antiqua" w:eastAsia="Book Antiqua" w:hAnsi="Book Antiqua" w:cs="Book Antiqua"/>
          <w:color w:val="000000"/>
        </w:rPr>
        <w:t xml:space="preserve">due </w:t>
      </w:r>
      <w:r>
        <w:rPr>
          <w:rFonts w:ascii="Book Antiqua" w:eastAsia="Book Antiqua" w:hAnsi="Book Antiqua" w:cs="Book Antiqua"/>
          <w:color w:val="000000"/>
        </w:rPr>
        <w:t>to their side effects</w:t>
      </w:r>
      <w:r>
        <w:rPr>
          <w:rFonts w:ascii="Book Antiqua" w:eastAsia="Book Antiqua" w:hAnsi="Book Antiqua" w:cs="Book Antiqua"/>
          <w:color w:val="000000"/>
          <w:szCs w:val="20"/>
          <w:vertAlign w:val="superscript"/>
        </w:rPr>
        <w:t>[24-26]</w:t>
      </w:r>
      <w:r>
        <w:rPr>
          <w:rFonts w:ascii="Book Antiqua" w:eastAsia="Book Antiqua" w:hAnsi="Book Antiqua" w:cs="Book Antiqua"/>
          <w:color w:val="000000"/>
        </w:rPr>
        <w:t xml:space="preserve">. They include </w:t>
      </w:r>
      <w:r w:rsidR="00C86593">
        <w:rPr>
          <w:rFonts w:ascii="Book Antiqua" w:eastAsia="Book Antiqua" w:hAnsi="Book Antiqua" w:cs="Book Antiqua"/>
          <w:color w:val="000000"/>
        </w:rPr>
        <w:t>(</w:t>
      </w:r>
      <w:r>
        <w:rPr>
          <w:rFonts w:ascii="Book Antiqua" w:eastAsia="Book Antiqua" w:hAnsi="Book Antiqua" w:cs="Book Antiqua"/>
          <w:color w:val="000000"/>
        </w:rPr>
        <w:t>1) inhibition of the enzymatic activity of DDAH (dimethylarginine</w:t>
      </w:r>
      <w:r w:rsidR="005B65D1">
        <w:rPr>
          <w:rFonts w:ascii="Book Antiqua" w:eastAsia="Book Antiqua" w:hAnsi="Book Antiqua" w:cs="Book Antiqua"/>
          <w:color w:val="000000"/>
        </w:rPr>
        <w:t xml:space="preserve"> </w:t>
      </w:r>
      <w:r>
        <w:rPr>
          <w:rFonts w:ascii="Book Antiqua" w:eastAsia="Book Antiqua" w:hAnsi="Book Antiqua" w:cs="Book Antiqua"/>
          <w:color w:val="000000"/>
        </w:rPr>
        <w:t xml:space="preserve">dimethylaminohydrolase), with consequent cascade inhibition of nitric oxide synthase and a relative increase in inflammatory and thrombotic phenomena, with mainly cardiovascular sequelae; </w:t>
      </w:r>
      <w:r w:rsidR="00C86593">
        <w:rPr>
          <w:rFonts w:ascii="Book Antiqua" w:eastAsia="Book Antiqua" w:hAnsi="Book Antiqua" w:cs="Book Antiqua"/>
          <w:color w:val="000000"/>
        </w:rPr>
        <w:t>and (</w:t>
      </w:r>
      <w:r>
        <w:rPr>
          <w:rFonts w:ascii="Book Antiqua" w:eastAsia="Book Antiqua" w:hAnsi="Book Antiqua" w:cs="Book Antiqua"/>
          <w:color w:val="000000"/>
        </w:rPr>
        <w:t xml:space="preserve">2) damage mainly </w:t>
      </w:r>
      <w:r w:rsidR="005B65D1">
        <w:rPr>
          <w:rFonts w:ascii="Book Antiqua" w:eastAsia="Book Antiqua" w:hAnsi="Book Antiqua" w:cs="Book Antiqua"/>
          <w:color w:val="000000"/>
        </w:rPr>
        <w:t>to</w:t>
      </w:r>
      <w:r>
        <w:rPr>
          <w:rFonts w:ascii="Book Antiqua" w:eastAsia="Book Antiqua" w:hAnsi="Book Antiqua" w:cs="Book Antiqua"/>
          <w:color w:val="000000"/>
        </w:rPr>
        <w:t xml:space="preserve"> the renal tubules with the appearance of recurrent acute interstitial nephritis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szCs w:val="30"/>
          <w:vertAlign w:val="superscript"/>
        </w:rPr>
        <w:t>]</w:t>
      </w:r>
      <w:r w:rsidRPr="00C86593">
        <w:rPr>
          <w:rFonts w:ascii="Book Antiqua" w:eastAsia="Book Antiqua" w:hAnsi="Book Antiqua" w:cs="Book Antiqua"/>
          <w:color w:val="000000"/>
        </w:rPr>
        <w:t>.</w:t>
      </w:r>
      <w:r>
        <w:rPr>
          <w:rFonts w:ascii="Book Antiqua" w:eastAsia="Book Antiqua" w:hAnsi="Book Antiqua" w:cs="Book Antiqua"/>
          <w:color w:val="000000"/>
        </w:rPr>
        <w:t xml:space="preserve"> PPIs are also able to inhibit neutrophil function, thereby compromising the immune response to infections, </w:t>
      </w:r>
      <w:r w:rsidR="00E018AE">
        <w:rPr>
          <w:rFonts w:ascii="Book Antiqua" w:eastAsia="Book Antiqua" w:hAnsi="Book Antiqua" w:cs="Book Antiqua"/>
          <w:color w:val="000000"/>
        </w:rPr>
        <w:t>as</w:t>
      </w:r>
      <w:r>
        <w:rPr>
          <w:rFonts w:ascii="Book Antiqua" w:eastAsia="Book Antiqua" w:hAnsi="Book Antiqua" w:cs="Book Antiqua"/>
          <w:color w:val="000000"/>
        </w:rPr>
        <w:t xml:space="preserve"> neutrophils are at the initial forefront against external agents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dampened neutrophilic immune response can make the individual more prone to infections and the disease more severe, also in the context of SARS-CoV-2 infection. Supporting this fact, several studies have shown that some viral infections (influenza virus, rotavirus, norovirus and, Middle East respiratory syndrome coronavirus infections) are more prevalent in PPIs users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meta-analysis conducted by Eom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w:t>
      </w:r>
      <w:r w:rsidR="00C86593">
        <w:rPr>
          <w:rFonts w:ascii="Book Antiqua" w:eastAsia="Book Antiqua" w:hAnsi="Book Antiqua" w:cs="Book Antiqua"/>
          <w:color w:val="000000"/>
          <w:szCs w:val="20"/>
          <w:vertAlign w:val="superscript"/>
        </w:rPr>
        <w:t>30</w:t>
      </w:r>
      <w:r w:rsidR="00C86593">
        <w:rPr>
          <w:rFonts w:ascii="Book Antiqua" w:eastAsia="Book Antiqua" w:hAnsi="Book Antiqua" w:cs="Book Antiqua"/>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use of these drugs </w:t>
      </w:r>
      <w:r w:rsidR="00E018AE">
        <w:rPr>
          <w:rFonts w:ascii="Book Antiqua" w:eastAsia="Book Antiqua" w:hAnsi="Book Antiqua" w:cs="Book Antiqua"/>
          <w:color w:val="000000"/>
        </w:rPr>
        <w:t xml:space="preserve">was described to </w:t>
      </w:r>
      <w:r>
        <w:rPr>
          <w:rFonts w:ascii="Book Antiqua" w:eastAsia="Book Antiqua" w:hAnsi="Book Antiqua" w:cs="Book Antiqua"/>
          <w:color w:val="000000"/>
        </w:rPr>
        <w:t>increase the risk of developing pneumonia, initially due to their gastric acid suppression followed by high digestive tract bacterial overgrowth. Ultimately the bacteria are translocated and colonize</w:t>
      </w:r>
      <w:r w:rsidR="00E018AE">
        <w:rPr>
          <w:rFonts w:ascii="Book Antiqua" w:eastAsia="Book Antiqua" w:hAnsi="Book Antiqua" w:cs="Book Antiqua"/>
          <w:color w:val="000000"/>
        </w:rPr>
        <w:t xml:space="preserve"> the</w:t>
      </w:r>
      <w:r>
        <w:rPr>
          <w:rFonts w:ascii="Book Antiqua" w:eastAsia="Book Antiqua" w:hAnsi="Book Antiqua" w:cs="Book Antiqua"/>
          <w:color w:val="000000"/>
        </w:rPr>
        <w:t xml:space="preserve"> lungs by microaspirations. However, this finding has only been partially confirmed by two other studies. A </w:t>
      </w:r>
      <w:r w:rsidR="00E018AE">
        <w:rPr>
          <w:rFonts w:ascii="Book Antiqua" w:eastAsia="Book Antiqua" w:hAnsi="Book Antiqua" w:cs="Book Antiqua"/>
          <w:color w:val="000000"/>
        </w:rPr>
        <w:t>study</w:t>
      </w:r>
      <w:r>
        <w:rPr>
          <w:rFonts w:ascii="Book Antiqua" w:eastAsia="Book Antiqua" w:hAnsi="Book Antiqua" w:cs="Book Antiqua"/>
          <w:color w:val="000000"/>
        </w:rPr>
        <w:t xml:space="preserve"> led by Luxenburger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w:t>
      </w:r>
      <w:r w:rsidR="00C86593">
        <w:rPr>
          <w:rFonts w:ascii="Book Antiqua" w:eastAsia="Book Antiqua" w:hAnsi="Book Antiqua" w:cs="Book Antiqua"/>
          <w:color w:val="000000"/>
          <w:szCs w:val="20"/>
          <w:vertAlign w:val="superscript"/>
        </w:rPr>
        <w:t>31</w:t>
      </w:r>
      <w:r w:rsidR="00C8659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w:t>
      </w:r>
      <w:r w:rsidR="00E018AE">
        <w:rPr>
          <w:rFonts w:ascii="Book Antiqua" w:eastAsia="Book Antiqua" w:hAnsi="Book Antiqua" w:cs="Book Antiqua"/>
          <w:color w:val="000000"/>
        </w:rPr>
        <w:t xml:space="preserve">that </w:t>
      </w:r>
      <w:r>
        <w:rPr>
          <w:rFonts w:ascii="Book Antiqua" w:eastAsia="Book Antiqua" w:hAnsi="Book Antiqua" w:cs="Book Antiqua"/>
          <w:color w:val="000000"/>
        </w:rPr>
        <w:t xml:space="preserve">GERD in 9 (14.5%) of 62 patients included in their study </w:t>
      </w:r>
      <w:r w:rsidR="00E018AE">
        <w:rPr>
          <w:rFonts w:ascii="Book Antiqua" w:eastAsia="Book Antiqua" w:hAnsi="Book Antiqua" w:cs="Book Antiqua"/>
          <w:color w:val="000000"/>
        </w:rPr>
        <w:t>w</w:t>
      </w:r>
      <w:r>
        <w:rPr>
          <w:rFonts w:ascii="Book Antiqua" w:eastAsia="Book Antiqua" w:hAnsi="Book Antiqua" w:cs="Book Antiqua"/>
          <w:color w:val="000000"/>
        </w:rPr>
        <w:t xml:space="preserve">as an indication for PPIs treatment and another study by Almario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w:t>
      </w:r>
      <w:r w:rsidR="00C86593">
        <w:rPr>
          <w:rFonts w:ascii="Book Antiqua" w:eastAsia="Book Antiqua" w:hAnsi="Book Antiqua" w:cs="Book Antiqua"/>
          <w:color w:val="000000"/>
          <w:szCs w:val="20"/>
          <w:vertAlign w:val="superscript"/>
        </w:rPr>
        <w:t>32</w:t>
      </w:r>
      <w:r w:rsidR="00C8659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E018AE">
        <w:rPr>
          <w:rFonts w:ascii="Book Antiqua" w:eastAsia="Book Antiqua" w:hAnsi="Book Antiqua" w:cs="Book Antiqua"/>
          <w:color w:val="000000"/>
        </w:rPr>
        <w:t xml:space="preserve">found similar results </w:t>
      </w:r>
      <w:r>
        <w:rPr>
          <w:rFonts w:ascii="Book Antiqua" w:eastAsia="Book Antiqua" w:hAnsi="Book Antiqua" w:cs="Book Antiqua"/>
          <w:color w:val="000000"/>
        </w:rPr>
        <w:t xml:space="preserve">in 109 (3.2%) of 3386 patients. The hypothesis that treatment with </w:t>
      </w:r>
      <w:r w:rsidR="004F16A1">
        <w:rPr>
          <w:rFonts w:ascii="Book Antiqua" w:eastAsia="Book Antiqua" w:hAnsi="Book Antiqua" w:cs="Book Antiqua"/>
          <w:color w:val="000000"/>
        </w:rPr>
        <w:t>PPI</w:t>
      </w:r>
      <w:r>
        <w:rPr>
          <w:rFonts w:ascii="Book Antiqua" w:eastAsia="Book Antiqua" w:hAnsi="Book Antiqua" w:cs="Book Antiqua"/>
          <w:color w:val="000000"/>
        </w:rPr>
        <w:t xml:space="preserve">s may increase the risk of secondary infections in hospitalized patients has not </w:t>
      </w:r>
      <w:r w:rsidR="00E018AE">
        <w:rPr>
          <w:rFonts w:ascii="Book Antiqua" w:eastAsia="Book Antiqua" w:hAnsi="Book Antiqua" w:cs="Book Antiqua"/>
          <w:color w:val="000000"/>
        </w:rPr>
        <w:t xml:space="preserve">yet </w:t>
      </w:r>
      <w:r>
        <w:rPr>
          <w:rFonts w:ascii="Book Antiqua" w:eastAsia="Book Antiqua" w:hAnsi="Book Antiqua" w:cs="Book Antiqua"/>
          <w:color w:val="000000"/>
        </w:rPr>
        <w:t xml:space="preserve">been fully confirmed. Luxenburger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w:t>
      </w:r>
      <w:r w:rsidR="00C86593">
        <w:rPr>
          <w:rFonts w:ascii="Book Antiqua" w:eastAsia="Book Antiqua" w:hAnsi="Book Antiqua" w:cs="Book Antiqua"/>
          <w:color w:val="000000"/>
          <w:szCs w:val="20"/>
          <w:vertAlign w:val="superscript"/>
        </w:rPr>
        <w:t>31</w:t>
      </w:r>
      <w:r w:rsidR="00C8659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also </w:t>
      </w:r>
      <w:r w:rsidR="00E018AE">
        <w:rPr>
          <w:rFonts w:ascii="Book Antiqua" w:eastAsia="Book Antiqua" w:hAnsi="Book Antiqua" w:cs="Book Antiqua"/>
          <w:color w:val="000000"/>
        </w:rPr>
        <w:t>demonstrated</w:t>
      </w:r>
      <w:r>
        <w:rPr>
          <w:rFonts w:ascii="Book Antiqua" w:eastAsia="Book Antiqua" w:hAnsi="Book Antiqua" w:cs="Book Antiqua"/>
          <w:color w:val="000000"/>
        </w:rPr>
        <w:t xml:space="preserve"> how the use of this therapy could increase the risk of contracting secondary infections and, subsequently, of</w:t>
      </w:r>
      <w:r w:rsidR="00C86593">
        <w:rPr>
          <w:rFonts w:ascii="Book Antiqua" w:eastAsia="Book Antiqua" w:hAnsi="Book Antiqua" w:cs="Book Antiqua"/>
          <w:color w:val="000000"/>
        </w:rPr>
        <w:t xml:space="preserve"> </w:t>
      </w:r>
      <w:r>
        <w:rPr>
          <w:rFonts w:ascii="Book Antiqua" w:eastAsia="Book Antiqua" w:hAnsi="Book Antiqua" w:cs="Book Antiqua"/>
          <w:color w:val="000000"/>
        </w:rPr>
        <w:t xml:space="preserve">developing </w:t>
      </w:r>
      <w:r w:rsidR="00C86593" w:rsidRPr="00C86593">
        <w:rPr>
          <w:rFonts w:ascii="Book Antiqua" w:eastAsia="Book Antiqua" w:hAnsi="Book Antiqua" w:cs="Book Antiqua"/>
          <w:color w:val="000000"/>
        </w:rPr>
        <w:t>acute respiratory distress syndrome</w:t>
      </w:r>
      <w:r>
        <w:rPr>
          <w:rFonts w:ascii="Book Antiqua" w:eastAsia="Book Antiqua" w:hAnsi="Book Antiqua" w:cs="Book Antiqua"/>
          <w:color w:val="000000"/>
        </w:rPr>
        <w:t xml:space="preserve">. In a previous study carried out on SARS-CoV-1, Darnell </w:t>
      </w:r>
      <w:r>
        <w:rPr>
          <w:rFonts w:ascii="Book Antiqua" w:eastAsia="Book Antiqua" w:hAnsi="Book Antiqua" w:cs="Book Antiqua"/>
          <w:i/>
          <w:iCs/>
          <w:color w:val="000000"/>
        </w:rPr>
        <w:t>et al</w:t>
      </w:r>
      <w:r w:rsidR="000E60D7">
        <w:rPr>
          <w:rFonts w:ascii="Book Antiqua" w:eastAsia="Book Antiqua" w:hAnsi="Book Antiqua" w:cs="Book Antiqua"/>
          <w:color w:val="000000"/>
          <w:szCs w:val="30"/>
          <w:vertAlign w:val="superscript"/>
        </w:rPr>
        <w:t>[</w:t>
      </w:r>
      <w:r w:rsidR="000E60D7">
        <w:rPr>
          <w:rFonts w:ascii="Book Antiqua" w:eastAsia="Book Antiqua" w:hAnsi="Book Antiqua" w:cs="Book Antiqua"/>
          <w:color w:val="000000"/>
          <w:szCs w:val="20"/>
          <w:vertAlign w:val="superscript"/>
        </w:rPr>
        <w:t>33</w:t>
      </w:r>
      <w:r w:rsidR="000E60D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observed that </w:t>
      </w:r>
      <w:r w:rsidR="00E018AE">
        <w:rPr>
          <w:rFonts w:ascii="Book Antiqua" w:eastAsia="Book Antiqua" w:hAnsi="Book Antiqua" w:cs="Book Antiqua"/>
          <w:color w:val="000000"/>
        </w:rPr>
        <w:t>a</w:t>
      </w:r>
      <w:r>
        <w:rPr>
          <w:rFonts w:ascii="Book Antiqua" w:eastAsia="Book Antiqua" w:hAnsi="Book Antiqua" w:cs="Book Antiqua"/>
          <w:color w:val="000000"/>
        </w:rPr>
        <w:t xml:space="preserve"> gastric pH ≤</w:t>
      </w:r>
      <w:r w:rsidR="000E60D7">
        <w:rPr>
          <w:rFonts w:ascii="Book Antiqua" w:eastAsia="Book Antiqua" w:hAnsi="Book Antiqua" w:cs="Book Antiqua"/>
          <w:color w:val="000000"/>
        </w:rPr>
        <w:t xml:space="preserve"> </w:t>
      </w:r>
      <w:r>
        <w:rPr>
          <w:rFonts w:ascii="Book Antiqua" w:eastAsia="Book Antiqua" w:hAnsi="Book Antiqua" w:cs="Book Antiqua"/>
          <w:color w:val="000000"/>
        </w:rPr>
        <w:t xml:space="preserve">3 has the capacity to alter the infectivity of this virus, while further lower values of pH resulting from acid suppression by PPIs could not inactivate the virus. This could represent fundamental information, as SARS-CoV-2 is very similar to SARS-CoV-1 and it has been proven that SARS-CoV-2 can cause infection </w:t>
      </w:r>
      <w:r w:rsidR="00E018AE">
        <w:rPr>
          <w:rFonts w:ascii="Book Antiqua" w:eastAsia="Book Antiqua" w:hAnsi="Book Antiqua" w:cs="Book Antiqua"/>
          <w:color w:val="000000"/>
        </w:rPr>
        <w:t>in</w:t>
      </w:r>
      <w:r>
        <w:rPr>
          <w:rFonts w:ascii="Book Antiqua" w:eastAsia="Book Antiqua" w:hAnsi="Book Antiqua" w:cs="Book Antiqua"/>
          <w:color w:val="000000"/>
        </w:rPr>
        <w:t xml:space="preserve"> </w:t>
      </w:r>
      <w:r w:rsidR="00E018AE">
        <w:rPr>
          <w:rFonts w:ascii="Book Antiqua" w:eastAsia="Book Antiqua" w:hAnsi="Book Antiqua" w:cs="Book Antiqua"/>
          <w:color w:val="000000"/>
        </w:rPr>
        <w:t xml:space="preserve">the </w:t>
      </w:r>
      <w:r w:rsidR="00C86593">
        <w:rPr>
          <w:rFonts w:ascii="Book Antiqua" w:eastAsia="Book Antiqua" w:hAnsi="Book Antiqua" w:cs="Book Antiqua"/>
          <w:color w:val="000000"/>
        </w:rPr>
        <w:t>gastrointestinal</w:t>
      </w:r>
      <w:r>
        <w:rPr>
          <w:rFonts w:ascii="Book Antiqua" w:eastAsia="Book Antiqua" w:hAnsi="Book Antiqua" w:cs="Book Antiqua"/>
          <w:color w:val="000000"/>
        </w:rPr>
        <w:t xml:space="preserve"> tract </w:t>
      </w:r>
      <w:r w:rsidR="00E018AE">
        <w:rPr>
          <w:rFonts w:ascii="Book Antiqua" w:eastAsia="Book Antiqua" w:hAnsi="Book Antiqua" w:cs="Book Antiqua"/>
          <w:color w:val="000000"/>
        </w:rPr>
        <w:t>and in the</w:t>
      </w:r>
      <w:r>
        <w:rPr>
          <w:rFonts w:ascii="Book Antiqua" w:eastAsia="Book Antiqua" w:hAnsi="Book Antiqua" w:cs="Book Antiqua"/>
          <w:color w:val="000000"/>
        </w:rPr>
        <w:t xml:space="preserve"> airways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opposite </w:t>
      </w:r>
      <w:r w:rsidR="00E018AE">
        <w:rPr>
          <w:rFonts w:ascii="Book Antiqua" w:eastAsia="Book Antiqua" w:hAnsi="Book Antiqua" w:cs="Book Antiqua"/>
          <w:color w:val="000000"/>
        </w:rPr>
        <w:t>view on</w:t>
      </w:r>
      <w:r>
        <w:rPr>
          <w:rFonts w:ascii="Book Antiqua" w:eastAsia="Book Antiqua" w:hAnsi="Book Antiqua" w:cs="Book Antiqua"/>
          <w:color w:val="000000"/>
        </w:rPr>
        <w:t xml:space="preserve"> the use of PPIs during COVID-19 disease is that their administration may result in decreased absorption of several vitamins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Moreover, PPIs seem to decrease vitamin C bioavailability and as a result lead</w:t>
      </w:r>
      <w:r w:rsidR="00E018AE">
        <w:rPr>
          <w:rFonts w:ascii="Book Antiqua" w:eastAsia="Book Antiqua" w:hAnsi="Book Antiqua" w:cs="Book Antiqua"/>
          <w:color w:val="000000"/>
        </w:rPr>
        <w:t>s</w:t>
      </w:r>
      <w:r>
        <w:rPr>
          <w:rFonts w:ascii="Book Antiqua" w:eastAsia="Book Antiqua" w:hAnsi="Book Antiqua" w:cs="Book Antiqua"/>
          <w:color w:val="000000"/>
        </w:rPr>
        <w:t xml:space="preserve"> to </w:t>
      </w:r>
      <w:r w:rsidR="00E018AE">
        <w:rPr>
          <w:rFonts w:ascii="Book Antiqua" w:eastAsia="Book Antiqua" w:hAnsi="Book Antiqua" w:cs="Book Antiqua"/>
          <w:color w:val="000000"/>
        </w:rPr>
        <w:t>a</w:t>
      </w:r>
      <w:r>
        <w:rPr>
          <w:rFonts w:ascii="Book Antiqua" w:eastAsia="Book Antiqua" w:hAnsi="Book Antiqua" w:cs="Book Antiqua"/>
          <w:color w:val="000000"/>
        </w:rPr>
        <w:t xml:space="preserve"> reduction of vitamin C and its antioxidant form, ascorbic acid concentration in gastric juices. These effects were clinically reported by several researchers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36,37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above</w:t>
      </w:r>
      <w:r w:rsidR="00E018AE">
        <w:rPr>
          <w:rFonts w:ascii="Book Antiqua" w:eastAsia="Book Antiqua" w:hAnsi="Book Antiqua" w:cs="Book Antiqua"/>
          <w:color w:val="000000"/>
        </w:rPr>
        <w:t>-</w:t>
      </w:r>
      <w:r>
        <w:rPr>
          <w:rFonts w:ascii="Book Antiqua" w:eastAsia="Book Antiqua" w:hAnsi="Book Antiqua" w:cs="Book Antiqua"/>
          <w:color w:val="000000"/>
        </w:rPr>
        <w:t>mentioned</w:t>
      </w:r>
      <w:r w:rsidR="000E60D7">
        <w:rPr>
          <w:rFonts w:ascii="Book Antiqua" w:eastAsia="Book Antiqua" w:hAnsi="Book Antiqua" w:cs="Book Antiqua"/>
          <w:color w:val="000000"/>
        </w:rPr>
        <w:t xml:space="preserve"> </w:t>
      </w:r>
      <w:r>
        <w:rPr>
          <w:rFonts w:ascii="Book Antiqua" w:eastAsia="Book Antiqua" w:hAnsi="Book Antiqua" w:cs="Book Antiqua"/>
          <w:color w:val="000000"/>
        </w:rPr>
        <w:t xml:space="preserve">observation could be correlated to recent findings demonstrating the efficacy of this vitamin both in prophylaxis and in severe forms of COVID-19. It has been shown by Feyaerts </w:t>
      </w:r>
      <w:r>
        <w:rPr>
          <w:rFonts w:ascii="Book Antiqua" w:eastAsia="Book Antiqua" w:hAnsi="Book Antiqua" w:cs="Book Antiqua"/>
          <w:i/>
          <w:iCs/>
          <w:color w:val="000000"/>
        </w:rPr>
        <w:t>et al</w:t>
      </w:r>
      <w:r w:rsidR="000E60D7">
        <w:rPr>
          <w:rFonts w:ascii="Book Antiqua" w:eastAsia="Book Antiqua" w:hAnsi="Book Antiqua" w:cs="Book Antiqua"/>
          <w:color w:val="000000"/>
          <w:szCs w:val="30"/>
          <w:vertAlign w:val="superscript"/>
        </w:rPr>
        <w:t>[</w:t>
      </w:r>
      <w:r w:rsidR="000E60D7">
        <w:rPr>
          <w:rFonts w:ascii="Book Antiqua" w:eastAsia="Book Antiqua" w:hAnsi="Book Antiqua" w:cs="Book Antiqua"/>
          <w:color w:val="000000"/>
          <w:szCs w:val="20"/>
          <w:vertAlign w:val="superscript"/>
        </w:rPr>
        <w:t>38</w:t>
      </w:r>
      <w:r w:rsidR="000E60D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that low doses (0.5</w:t>
      </w:r>
      <w:r w:rsidR="000E60D7">
        <w:rPr>
          <w:rFonts w:ascii="Book Antiqua" w:eastAsia="Book Antiqua" w:hAnsi="Book Antiqua" w:cs="Book Antiqua"/>
          <w:color w:val="000000"/>
        </w:rPr>
        <w:t>-</w:t>
      </w:r>
      <w:r>
        <w:rPr>
          <w:rFonts w:ascii="Book Antiqua" w:eastAsia="Book Antiqua" w:hAnsi="Book Antiqua" w:cs="Book Antiqua"/>
          <w:color w:val="000000"/>
        </w:rPr>
        <w:t xml:space="preserve">2 g/d) of vitamin C could benefit patients if taken </w:t>
      </w:r>
      <w:r w:rsidR="00E018AE">
        <w:rPr>
          <w:rFonts w:ascii="Book Antiqua" w:eastAsia="Book Antiqua" w:hAnsi="Book Antiqua" w:cs="Book Antiqua"/>
          <w:color w:val="000000"/>
        </w:rPr>
        <w:t xml:space="preserve">early </w:t>
      </w:r>
      <w:r>
        <w:rPr>
          <w:rFonts w:ascii="Book Antiqua" w:eastAsia="Book Antiqua" w:hAnsi="Book Antiqua" w:cs="Book Antiqua"/>
          <w:color w:val="000000"/>
        </w:rPr>
        <w:t xml:space="preserve">in severe forms of COVID-19 and in severe later stages of </w:t>
      </w:r>
      <w:r w:rsidR="00E018AE">
        <w:rPr>
          <w:rFonts w:ascii="Book Antiqua" w:eastAsia="Book Antiqua" w:hAnsi="Book Antiqua" w:cs="Book Antiqua"/>
          <w:color w:val="000000"/>
        </w:rPr>
        <w:t xml:space="preserve">the </w:t>
      </w:r>
      <w:r>
        <w:rPr>
          <w:rFonts w:ascii="Book Antiqua" w:eastAsia="Book Antiqua" w:hAnsi="Book Antiqua" w:cs="Book Antiqua"/>
          <w:color w:val="000000"/>
        </w:rPr>
        <w:t>infection, while high dosages are able to reduce some mediators of inflammation, such as interleukin-6 and endothelin-1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benefits of using high-dose vitamin C in severe cases have also been shown by Hoang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w:t>
      </w:r>
      <w:r w:rsidR="00E018AE">
        <w:rPr>
          <w:rFonts w:ascii="Book Antiqua" w:eastAsia="Book Antiqua" w:hAnsi="Book Antiqua" w:cs="Book Antiqua"/>
          <w:color w:val="000000"/>
        </w:rPr>
        <w:t>With regard to the</w:t>
      </w:r>
      <w:r>
        <w:rPr>
          <w:rFonts w:ascii="Book Antiqua" w:eastAsia="Book Antiqua" w:hAnsi="Book Antiqua" w:cs="Book Antiqua"/>
          <w:color w:val="000000"/>
        </w:rPr>
        <w:t xml:space="preserve"> role </w:t>
      </w:r>
      <w:r w:rsidR="00E018AE">
        <w:rPr>
          <w:rFonts w:ascii="Book Antiqua" w:eastAsia="Book Antiqua" w:hAnsi="Book Antiqua" w:cs="Book Antiqua"/>
          <w:color w:val="000000"/>
        </w:rPr>
        <w:t>of</w:t>
      </w:r>
      <w:r>
        <w:rPr>
          <w:rFonts w:ascii="Book Antiqua" w:eastAsia="Book Antiqua" w:hAnsi="Book Antiqua" w:cs="Book Antiqua"/>
          <w:color w:val="000000"/>
        </w:rPr>
        <w:t xml:space="preserve"> magnesium and vitamin D in this infection and how are they related to PPIs</w:t>
      </w:r>
      <w:r w:rsidR="00E018AE">
        <w:rPr>
          <w:rFonts w:ascii="Book Antiqua" w:eastAsia="Book Antiqua" w:hAnsi="Book Antiqua" w:cs="Book Antiqua"/>
          <w:color w:val="000000"/>
        </w:rPr>
        <w:t>, s</w:t>
      </w:r>
      <w:r>
        <w:rPr>
          <w:rFonts w:ascii="Book Antiqua" w:eastAsia="Book Antiqua" w:hAnsi="Book Antiqua" w:cs="Book Antiqua"/>
          <w:color w:val="000000"/>
        </w:rPr>
        <w:t>everal studies have shown that hypomagnesemia is one of the side effects reported in patients with long-term use of PPIs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Low levels of serum magnesium may be associated with a wide spectrum of symptoms, including fatigue, tetany, delirium, convulsions and arrhythmias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Chronic use of PPIs has been shown to increase the risk of bone fractures, whose incidence is decreased by the use of vitamin D in low doses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Magnesium (Mg</w:t>
      </w:r>
      <w:r w:rsidRPr="00B52C5C">
        <w:rPr>
          <w:rFonts w:ascii="Book Antiqua" w:eastAsia="Book Antiqua" w:hAnsi="Book Antiqua" w:cs="Book Antiqua"/>
          <w:color w:val="000000"/>
          <w:vertAlign w:val="superscript"/>
        </w:rPr>
        <w:t>2</w:t>
      </w:r>
      <w:r w:rsidRPr="000E60D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a cation present in the human body, ranking second among the intracellular </w:t>
      </w:r>
      <w:r w:rsidR="00547CAB">
        <w:rPr>
          <w:rFonts w:ascii="Book Antiqua" w:eastAsia="Book Antiqua" w:hAnsi="Book Antiqua" w:cs="Book Antiqua"/>
          <w:color w:val="000000"/>
        </w:rPr>
        <w:t>cations</w:t>
      </w:r>
      <w:r>
        <w:rPr>
          <w:rFonts w:ascii="Book Antiqua" w:eastAsia="Book Antiqua" w:hAnsi="Book Antiqua" w:cs="Book Antiqua"/>
          <w:color w:val="000000"/>
        </w:rPr>
        <w:t xml:space="preserve"> and fourth among extracellular</w:t>
      </w:r>
      <w:r w:rsidR="00547CAB">
        <w:rPr>
          <w:rFonts w:ascii="Book Antiqua" w:eastAsia="Book Antiqua" w:hAnsi="Book Antiqua" w:cs="Book Antiqua"/>
          <w:color w:val="000000"/>
        </w:rPr>
        <w:t xml:space="preserve"> cations</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whose intestinal absorption occurs through two proteins located on the apical membrane of enterocytes, TRPM6 and TRMP7 (transient receptor potential melastatin family)</w:t>
      </w:r>
      <w:r>
        <w:rPr>
          <w:rFonts w:ascii="Book Antiqua" w:eastAsia="Book Antiqua" w:hAnsi="Book Antiqua" w:cs="Book Antiqua"/>
          <w:color w:val="000000"/>
          <w:szCs w:val="30"/>
          <w:vertAlign w:val="superscript"/>
        </w:rPr>
        <w:t>[41,42]</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These optimally work in an acidic intraluminal environment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PPIs can decrease the activity of TRPM6, resulting in a reduction in magnesium absorption and in the onset of hypomagnesemia</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Several functions are attributed to this element, including the regulation of calcium and potassium ion channels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 lipid-soluble vitamin D needs magnesium to assume its active form (1,25[OH]2D)</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More and more studies </w:t>
      </w:r>
      <w:r w:rsidR="00547CAB">
        <w:rPr>
          <w:rFonts w:ascii="Book Antiqua" w:eastAsia="Book Antiqua" w:hAnsi="Book Antiqua" w:cs="Book Antiqua"/>
          <w:color w:val="000000"/>
        </w:rPr>
        <w:t>have</w:t>
      </w:r>
      <w:r>
        <w:rPr>
          <w:rFonts w:ascii="Book Antiqua" w:eastAsia="Book Antiqua" w:hAnsi="Book Antiqua" w:cs="Book Antiqua"/>
          <w:color w:val="000000"/>
        </w:rPr>
        <w:t xml:space="preserve"> show</w:t>
      </w:r>
      <w:r w:rsidR="00547CAB">
        <w:rPr>
          <w:rFonts w:ascii="Book Antiqua" w:eastAsia="Book Antiqua" w:hAnsi="Book Antiqua" w:cs="Book Antiqua"/>
          <w:color w:val="000000"/>
        </w:rPr>
        <w:t>n</w:t>
      </w:r>
      <w:r>
        <w:rPr>
          <w:rFonts w:ascii="Book Antiqua" w:eastAsia="Book Antiqua" w:hAnsi="Book Antiqua" w:cs="Book Antiqua"/>
          <w:color w:val="000000"/>
        </w:rPr>
        <w:t xml:space="preserve"> a link between low levels of vitamin D and increased susceptibility to contracting the SARS-CoV-2 infection, a</w:t>
      </w:r>
      <w:r w:rsidR="00547CAB">
        <w:rPr>
          <w:rFonts w:ascii="Book Antiqua" w:eastAsia="Book Antiqua" w:hAnsi="Book Antiqua" w:cs="Book Antiqua"/>
          <w:color w:val="000000"/>
        </w:rPr>
        <w:t xml:space="preserve">nd in </w:t>
      </w:r>
      <w:r>
        <w:rPr>
          <w:rFonts w:ascii="Book Antiqua" w:eastAsia="Book Antiqua" w:hAnsi="Book Antiqua" w:cs="Book Antiqua"/>
          <w:color w:val="000000"/>
        </w:rPr>
        <w:t>the severity of the clinical course</w:t>
      </w:r>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 xml:space="preserve">. In a recent meta-analysis, </w:t>
      </w:r>
      <w:r w:rsidR="00547CAB">
        <w:rPr>
          <w:rFonts w:ascii="Book Antiqua" w:eastAsia="Book Antiqua" w:hAnsi="Book Antiqua" w:cs="Book Antiqua"/>
          <w:color w:val="000000"/>
        </w:rPr>
        <w:t xml:space="preserve">which </w:t>
      </w:r>
      <w:r>
        <w:rPr>
          <w:rFonts w:ascii="Book Antiqua" w:eastAsia="Book Antiqua" w:hAnsi="Book Antiqua" w:cs="Book Antiqua"/>
          <w:color w:val="000000"/>
        </w:rPr>
        <w:t>includ</w:t>
      </w:r>
      <w:r w:rsidR="00547CAB">
        <w:rPr>
          <w:rFonts w:ascii="Book Antiqua" w:eastAsia="Book Antiqua" w:hAnsi="Book Antiqua" w:cs="Book Antiqua"/>
          <w:color w:val="000000"/>
        </w:rPr>
        <w:t>ed</w:t>
      </w:r>
      <w:r>
        <w:rPr>
          <w:rFonts w:ascii="Book Antiqua" w:eastAsia="Book Antiqua" w:hAnsi="Book Antiqua" w:cs="Book Antiqua"/>
          <w:color w:val="000000"/>
        </w:rPr>
        <w:t xml:space="preserve"> six studies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31,48</w:t>
      </w:r>
      <w:r w:rsidR="000E60D7">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with a total of 5884 hospitalized COVID-19 patients, Hariyanto </w:t>
      </w:r>
      <w:r>
        <w:rPr>
          <w:rFonts w:ascii="Book Antiqua" w:eastAsia="Book Antiqua" w:hAnsi="Book Antiqua" w:cs="Book Antiqua"/>
          <w:i/>
          <w:iCs/>
          <w:color w:val="000000"/>
        </w:rPr>
        <w:t>et al</w:t>
      </w:r>
      <w:r w:rsidR="000E60D7">
        <w:rPr>
          <w:rFonts w:ascii="Book Antiqua" w:eastAsia="Book Antiqua" w:hAnsi="Book Antiqua" w:cs="Book Antiqua"/>
          <w:color w:val="000000"/>
          <w:szCs w:val="30"/>
          <w:vertAlign w:val="superscript"/>
        </w:rPr>
        <w:t>[</w:t>
      </w:r>
      <w:r w:rsidR="000E60D7">
        <w:rPr>
          <w:rFonts w:ascii="Book Antiqua" w:eastAsia="Book Antiqua" w:hAnsi="Book Antiqua" w:cs="Book Antiqua"/>
          <w:color w:val="000000"/>
          <w:szCs w:val="20"/>
          <w:vertAlign w:val="superscript"/>
        </w:rPr>
        <w:t>53</w:t>
      </w:r>
      <w:r w:rsidR="000E60D7">
        <w:rPr>
          <w:rFonts w:ascii="Book Antiqua" w:eastAsia="Book Antiqua" w:hAnsi="Book Antiqua" w:cs="Book Antiqua"/>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showed how the use of PPIs was significantly associated with an increased risk of severity and mortality in COVID-19 cases. Aby </w:t>
      </w:r>
      <w:r>
        <w:rPr>
          <w:rFonts w:ascii="Book Antiqua" w:eastAsia="Book Antiqua" w:hAnsi="Book Antiqua" w:cs="Book Antiqua"/>
          <w:i/>
          <w:iCs/>
          <w:color w:val="000000"/>
        </w:rPr>
        <w:t>et al</w:t>
      </w:r>
      <w:r w:rsidR="000E60D7">
        <w:rPr>
          <w:rFonts w:ascii="Book Antiqua" w:eastAsia="Book Antiqua" w:hAnsi="Book Antiqua" w:cs="Book Antiqua"/>
          <w:color w:val="000000"/>
          <w:szCs w:val="30"/>
          <w:vertAlign w:val="superscript"/>
        </w:rPr>
        <w:t>[</w:t>
      </w:r>
      <w:r w:rsidR="000E60D7">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also underlined the high rate of mortality in such patients (COVID-19 positive and PPIs users).</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This was a retrospective study conducted in the American population, but details of the data have not been published. </w:t>
      </w:r>
      <w:r w:rsidR="00547CAB">
        <w:rPr>
          <w:rFonts w:ascii="Book Antiqua" w:eastAsia="Book Antiqua" w:hAnsi="Book Antiqua" w:cs="Book Antiqua"/>
          <w:color w:val="000000"/>
        </w:rPr>
        <w:t>The a</w:t>
      </w:r>
      <w:r>
        <w:rPr>
          <w:rFonts w:ascii="Book Antiqua" w:eastAsia="Book Antiqua" w:hAnsi="Book Antiqua" w:cs="Book Antiqua"/>
          <w:color w:val="000000"/>
        </w:rPr>
        <w:t>uthors also highlighted how the association between mortality and PPIs intake tends to decrease by considering and by correcting some factors, such as age, cardiovascular, pulmonary and renal comorbidities. They argued that other causes associated with the use of PPIs may affect mortality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1F9321C" w14:textId="77777777" w:rsidR="00A77B3E" w:rsidRDefault="00A77B3E">
      <w:pPr>
        <w:spacing w:line="360" w:lineRule="auto"/>
        <w:jc w:val="both"/>
      </w:pPr>
    </w:p>
    <w:p w14:paraId="5003FD70" w14:textId="77777777" w:rsidR="00A77B3E" w:rsidRDefault="00C43656">
      <w:pPr>
        <w:spacing w:line="360" w:lineRule="auto"/>
        <w:jc w:val="both"/>
      </w:pPr>
      <w:r>
        <w:rPr>
          <w:rFonts w:ascii="Book Antiqua" w:eastAsia="Book Antiqua" w:hAnsi="Book Antiqua" w:cs="Book Antiqua"/>
          <w:b/>
          <w:caps/>
          <w:color w:val="000000"/>
          <w:u w:val="single"/>
        </w:rPr>
        <w:t>MATERIALS AND METHODS</w:t>
      </w:r>
    </w:p>
    <w:p w14:paraId="441EA468" w14:textId="77777777" w:rsidR="00A77B3E" w:rsidRPr="000E60D7" w:rsidRDefault="00C43656">
      <w:pPr>
        <w:spacing w:line="360" w:lineRule="auto"/>
        <w:jc w:val="both"/>
        <w:rPr>
          <w:i/>
          <w:iCs/>
        </w:rPr>
      </w:pPr>
      <w:r w:rsidRPr="000E60D7">
        <w:rPr>
          <w:rFonts w:ascii="Book Antiqua" w:eastAsia="Book Antiqua" w:hAnsi="Book Antiqua" w:cs="Book Antiqua"/>
          <w:b/>
          <w:bCs/>
          <w:i/>
          <w:iCs/>
          <w:color w:val="000000"/>
        </w:rPr>
        <w:t>Literature search</w:t>
      </w:r>
    </w:p>
    <w:p w14:paraId="6695F7C8" w14:textId="59CDFC1A" w:rsidR="00A77B3E" w:rsidRDefault="00C436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systematic computer-based search of available published articles </w:t>
      </w:r>
      <w:r w:rsidR="00547CAB">
        <w:rPr>
          <w:rFonts w:ascii="Book Antiqua" w:eastAsia="Book Antiqua" w:hAnsi="Book Antiqua" w:cs="Book Antiqua"/>
          <w:color w:val="000000"/>
        </w:rPr>
        <w:t xml:space="preserve">was carried out </w:t>
      </w:r>
      <w:r>
        <w:rPr>
          <w:rFonts w:ascii="Book Antiqua" w:eastAsia="Book Antiqua" w:hAnsi="Book Antiqua" w:cs="Book Antiqua"/>
          <w:color w:val="000000"/>
        </w:rPr>
        <w:t>in order to identify relevant studies on the association between PPIs and COVID-19 (primary outcome) and the consequent related severity and mortality (secondary outcomes). Four electronic databases, including the MEDLINE/Pub</w:t>
      </w:r>
      <w:r w:rsidR="000E60D7">
        <w:rPr>
          <w:rFonts w:ascii="Book Antiqua" w:eastAsia="Book Antiqua" w:hAnsi="Book Antiqua" w:cs="Book Antiqua"/>
          <w:color w:val="000000"/>
        </w:rPr>
        <w:t>M</w:t>
      </w:r>
      <w:r>
        <w:rPr>
          <w:rFonts w:ascii="Book Antiqua" w:eastAsia="Book Antiqua" w:hAnsi="Book Antiqua" w:cs="Book Antiqua"/>
          <w:color w:val="000000"/>
        </w:rPr>
        <w:t>ed, the Cochrane Library, EMBASE, and Google Scholar</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were </w:t>
      </w:r>
      <w:r w:rsidR="00547CAB">
        <w:rPr>
          <w:rFonts w:ascii="Book Antiqua" w:eastAsia="Book Antiqua" w:hAnsi="Book Antiqua" w:cs="Book Antiqua"/>
          <w:color w:val="000000"/>
        </w:rPr>
        <w:t>searched</w:t>
      </w:r>
      <w:r>
        <w:rPr>
          <w:rFonts w:ascii="Book Antiqua" w:eastAsia="Book Antiqua" w:hAnsi="Book Antiqua" w:cs="Book Antiqua"/>
          <w:color w:val="000000"/>
        </w:rPr>
        <w:t xml:space="preserve"> u</w:t>
      </w:r>
      <w:r w:rsidR="00547CAB">
        <w:rPr>
          <w:rFonts w:ascii="Book Antiqua" w:eastAsia="Book Antiqua" w:hAnsi="Book Antiqua" w:cs="Book Antiqua"/>
          <w:color w:val="000000"/>
        </w:rPr>
        <w:t>p to</w:t>
      </w:r>
      <w:r>
        <w:rPr>
          <w:rFonts w:ascii="Book Antiqua" w:eastAsia="Book Antiqua" w:hAnsi="Book Antiqua" w:cs="Book Antiqua"/>
          <w:color w:val="000000"/>
        </w:rPr>
        <w:t xml:space="preserve"> November 2020, for all relevant articles published in English on this topic. Also, relevant articles, published in other languages </w:t>
      </w:r>
      <w:r w:rsidR="009052E2">
        <w:rPr>
          <w:rFonts w:ascii="Book Antiqua" w:eastAsia="Book Antiqua" w:hAnsi="Book Antiqua" w:cs="Book Antiqua"/>
          <w:color w:val="000000"/>
        </w:rPr>
        <w:t>were</w:t>
      </w:r>
      <w:r>
        <w:rPr>
          <w:rFonts w:ascii="Book Antiqua" w:eastAsia="Book Antiqua" w:hAnsi="Book Antiqua" w:cs="Book Antiqua"/>
          <w:color w:val="000000"/>
        </w:rPr>
        <w:t xml:space="preserve"> taken into account</w:t>
      </w:r>
      <w:r w:rsidR="009052E2">
        <w:rPr>
          <w:rFonts w:ascii="Book Antiqua" w:eastAsia="Book Antiqua" w:hAnsi="Book Antiqua" w:cs="Book Antiqua"/>
          <w:color w:val="000000"/>
        </w:rPr>
        <w:t>, and</w:t>
      </w:r>
      <w:r>
        <w:rPr>
          <w:rFonts w:ascii="Book Antiqua" w:eastAsia="Book Antiqua" w:hAnsi="Book Antiqua" w:cs="Book Antiqua"/>
          <w:color w:val="000000"/>
        </w:rPr>
        <w:t xml:space="preserve"> information</w:t>
      </w:r>
      <w:r w:rsidR="000E60D7">
        <w:rPr>
          <w:rFonts w:ascii="Book Antiqua" w:eastAsia="Book Antiqua" w:hAnsi="Book Antiqua" w:cs="Book Antiqua"/>
          <w:color w:val="000000"/>
        </w:rPr>
        <w:t xml:space="preserve"> </w:t>
      </w:r>
      <w:r>
        <w:rPr>
          <w:rFonts w:ascii="Book Antiqua" w:eastAsia="Book Antiqua" w:hAnsi="Book Antiqua" w:cs="Book Antiqua"/>
          <w:color w:val="000000"/>
        </w:rPr>
        <w:t>w</w:t>
      </w:r>
      <w:r w:rsidR="009052E2">
        <w:rPr>
          <w:rFonts w:ascii="Book Antiqua" w:eastAsia="Book Antiqua" w:hAnsi="Book Antiqua" w:cs="Book Antiqua"/>
          <w:color w:val="000000"/>
        </w:rPr>
        <w:t>as</w:t>
      </w:r>
      <w:r>
        <w:rPr>
          <w:rFonts w:ascii="Book Antiqua" w:eastAsia="Book Antiqua" w:hAnsi="Book Antiqua" w:cs="Book Antiqua"/>
          <w:color w:val="000000"/>
        </w:rPr>
        <w:t xml:space="preserve"> taken from their English abstracts. The search te</w:t>
      </w:r>
      <w:r w:rsidR="009052E2">
        <w:rPr>
          <w:rFonts w:ascii="Book Antiqua" w:eastAsia="Book Antiqua" w:hAnsi="Book Antiqua" w:cs="Book Antiqua"/>
          <w:color w:val="000000"/>
        </w:rPr>
        <w:t>rms</w:t>
      </w:r>
      <w:r>
        <w:rPr>
          <w:rFonts w:ascii="Book Antiqua" w:eastAsia="Book Antiqua" w:hAnsi="Book Antiqua" w:cs="Book Antiqua"/>
          <w:color w:val="000000"/>
        </w:rPr>
        <w:t xml:space="preserve"> were identified by means of controlled vocabularies, such as the National Library of Medicine’s MESH (Medical Subject Headings) and keywords. The MESH terms and keywords </w:t>
      </w:r>
      <w:r w:rsidR="009052E2">
        <w:rPr>
          <w:rFonts w:ascii="Book Antiqua" w:eastAsia="Book Antiqua" w:hAnsi="Book Antiqua" w:cs="Book Antiqua"/>
          <w:color w:val="000000"/>
        </w:rPr>
        <w:t xml:space="preserve">used </w:t>
      </w:r>
      <w:r>
        <w:rPr>
          <w:rFonts w:ascii="Book Antiqua" w:eastAsia="Book Antiqua" w:hAnsi="Book Antiqua" w:cs="Book Antiqua"/>
          <w:color w:val="000000"/>
        </w:rPr>
        <w:t xml:space="preserve">were: “COVID-19”, “proton pump inhibitors”, ”PPIs”, “SARS-CoV-2”, “outcomes”, “severity” and “mortality”. All studies that contained material </w:t>
      </w:r>
      <w:r w:rsidR="009052E2">
        <w:rPr>
          <w:rFonts w:ascii="Book Antiqua" w:eastAsia="Book Antiqua" w:hAnsi="Book Antiqua" w:cs="Book Antiqua"/>
          <w:color w:val="000000"/>
        </w:rPr>
        <w:t>on</w:t>
      </w:r>
      <w:r>
        <w:rPr>
          <w:rFonts w:ascii="Book Antiqua" w:eastAsia="Book Antiqua" w:hAnsi="Book Antiqua" w:cs="Book Antiqua"/>
          <w:color w:val="000000"/>
        </w:rPr>
        <w:t xml:space="preserve"> this specific topic were considered. The inclusion criteria </w:t>
      </w:r>
      <w:r w:rsidR="00CF716A">
        <w:rPr>
          <w:rFonts w:ascii="Book Antiqua" w:eastAsia="Book Antiqua" w:hAnsi="Book Antiqua" w:cs="Book Antiqua"/>
          <w:color w:val="000000"/>
        </w:rPr>
        <w:t>regarding the</w:t>
      </w:r>
      <w:r>
        <w:rPr>
          <w:rFonts w:ascii="Book Antiqua" w:eastAsia="Book Antiqua" w:hAnsi="Book Antiqua" w:cs="Book Antiqua"/>
          <w:color w:val="000000"/>
        </w:rPr>
        <w:t xml:space="preserve"> studies considered in our analysis were: meta-analyses, case</w:t>
      </w:r>
      <w:r w:rsidR="000E60D7">
        <w:rPr>
          <w:rFonts w:ascii="Book Antiqua" w:eastAsia="Book Antiqua" w:hAnsi="Book Antiqua" w:cs="Book Antiqua"/>
          <w:color w:val="000000"/>
        </w:rPr>
        <w:t>-</w:t>
      </w:r>
      <w:r>
        <w:rPr>
          <w:rFonts w:ascii="Book Antiqua" w:eastAsia="Book Antiqua" w:hAnsi="Book Antiqua" w:cs="Book Antiqua"/>
          <w:color w:val="000000"/>
        </w:rPr>
        <w:t>control, hospital-based case</w:t>
      </w:r>
      <w:r w:rsidR="000E60D7">
        <w:rPr>
          <w:rFonts w:ascii="Book Antiqua" w:eastAsia="Book Antiqua" w:hAnsi="Book Antiqua" w:cs="Book Antiqua"/>
          <w:color w:val="000000"/>
        </w:rPr>
        <w:t>-</w:t>
      </w:r>
      <w:r>
        <w:rPr>
          <w:rFonts w:ascii="Book Antiqua" w:eastAsia="Book Antiqua" w:hAnsi="Book Antiqua" w:cs="Book Antiqua"/>
          <w:color w:val="000000"/>
        </w:rPr>
        <w:t>control, population-based case</w:t>
      </w:r>
      <w:r w:rsidR="000E60D7">
        <w:rPr>
          <w:rFonts w:ascii="Book Antiqua" w:eastAsia="Book Antiqua" w:hAnsi="Book Antiqua" w:cs="Book Antiqua"/>
          <w:color w:val="000000"/>
        </w:rPr>
        <w:t>-</w:t>
      </w:r>
      <w:r>
        <w:rPr>
          <w:rFonts w:ascii="Book Antiqua" w:eastAsia="Book Antiqua" w:hAnsi="Book Antiqua" w:cs="Book Antiqua"/>
          <w:color w:val="000000"/>
        </w:rPr>
        <w:t>control as well as cohort-studies, while papers not published as full reports, such as conference abstracts, case reports, and editorials were excluded. Data extraction was performed by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two authors (de Biase </w:t>
      </w:r>
      <w:r w:rsidR="000E60D7">
        <w:rPr>
          <w:rFonts w:ascii="Book Antiqua" w:eastAsia="Book Antiqua" w:hAnsi="Book Antiqua" w:cs="Book Antiqua"/>
          <w:color w:val="000000"/>
        </w:rPr>
        <w:t xml:space="preserve">D </w:t>
      </w:r>
      <w:r>
        <w:rPr>
          <w:rFonts w:ascii="Book Antiqua" w:eastAsia="Book Antiqua" w:hAnsi="Book Antiqua" w:cs="Book Antiqua"/>
          <w:color w:val="000000"/>
        </w:rPr>
        <w:t>and Hong</w:t>
      </w:r>
      <w:r w:rsidR="000E60D7">
        <w:rPr>
          <w:rFonts w:ascii="Book Antiqua" w:eastAsia="Book Antiqua" w:hAnsi="Book Antiqua" w:cs="Book Antiqua"/>
          <w:color w:val="000000"/>
        </w:rPr>
        <w:t xml:space="preserve"> W</w:t>
      </w:r>
      <w:r>
        <w:rPr>
          <w:rFonts w:ascii="Book Antiqua" w:eastAsia="Book Antiqua" w:hAnsi="Book Antiqua" w:cs="Book Antiqua"/>
          <w:color w:val="000000"/>
        </w:rPr>
        <w:t xml:space="preserve">), in parallel and in independent mode. The other two authors (Pica </w:t>
      </w:r>
      <w:r w:rsidR="000E60D7">
        <w:rPr>
          <w:rFonts w:ascii="Book Antiqua" w:eastAsia="Book Antiqua" w:hAnsi="Book Antiqua" w:cs="Book Antiqua"/>
          <w:color w:val="000000"/>
        </w:rPr>
        <w:t xml:space="preserve">R </w:t>
      </w:r>
      <w:r>
        <w:rPr>
          <w:rFonts w:ascii="Book Antiqua" w:eastAsia="Book Antiqua" w:hAnsi="Book Antiqua" w:cs="Book Antiqua"/>
          <w:color w:val="000000"/>
        </w:rPr>
        <w:t>and Gallo</w:t>
      </w:r>
      <w:r w:rsidR="000E60D7">
        <w:rPr>
          <w:rFonts w:ascii="Book Antiqua" w:eastAsia="Book Antiqua" w:hAnsi="Book Antiqua" w:cs="Book Antiqua"/>
          <w:color w:val="000000"/>
        </w:rPr>
        <w:t xml:space="preserve"> CG</w:t>
      </w:r>
      <w:r>
        <w:rPr>
          <w:rFonts w:ascii="Book Antiqua" w:eastAsia="Book Antiqua" w:hAnsi="Book Antiqua" w:cs="Book Antiqua"/>
          <w:color w:val="000000"/>
        </w:rPr>
        <w:t>), independently extracted and tabulated all relevant data from the selected studies.</w:t>
      </w:r>
      <w:r>
        <w:rPr>
          <w:rFonts w:ascii="Book Antiqua" w:eastAsia="Book Antiqua" w:hAnsi="Book Antiqua" w:cs="Book Antiqua"/>
          <w:color w:val="000000"/>
          <w:szCs w:val="22"/>
        </w:rPr>
        <w:t xml:space="preserve"> </w:t>
      </w:r>
      <w:r>
        <w:rPr>
          <w:rFonts w:ascii="Book Antiqua" w:eastAsia="Book Antiqua" w:hAnsi="Book Antiqua" w:cs="Book Antiqua"/>
          <w:color w:val="000000"/>
        </w:rPr>
        <w:t>Lastly, the accuracy of data extrapolated was checked by Fiorino</w:t>
      </w:r>
      <w:r w:rsidR="000E60D7">
        <w:rPr>
          <w:rFonts w:ascii="Book Antiqua" w:eastAsia="Book Antiqua" w:hAnsi="Book Antiqua" w:cs="Book Antiqua"/>
          <w:color w:val="000000"/>
        </w:rPr>
        <w:t xml:space="preserve"> S</w:t>
      </w:r>
      <w:r>
        <w:rPr>
          <w:rFonts w:ascii="Book Antiqua" w:eastAsia="Book Antiqua" w:hAnsi="Book Antiqua" w:cs="Book Antiqua"/>
          <w:color w:val="000000"/>
        </w:rPr>
        <w:t xml:space="preserve">, and when discrepancies concerning the results were found among the selected works, a consensus between all authors was mandatory. In order to avoid possible duplicates, we searched the first author’s name of the research, as well as the place and the period of the subjects’ enrolment. In the case </w:t>
      </w:r>
      <w:r w:rsidR="009052E2">
        <w:rPr>
          <w:rFonts w:ascii="Book Antiqua" w:eastAsia="Book Antiqua" w:hAnsi="Book Antiqua" w:cs="Book Antiqua"/>
          <w:color w:val="000000"/>
        </w:rPr>
        <w:t>of</w:t>
      </w:r>
      <w:r>
        <w:rPr>
          <w:rFonts w:ascii="Book Antiqua" w:eastAsia="Book Antiqua" w:hAnsi="Book Antiqua" w:cs="Book Antiqua"/>
          <w:color w:val="000000"/>
        </w:rPr>
        <w:t xml:space="preserve"> different versions of the same study, only the most recent was considered (</w:t>
      </w:r>
      <w:r w:rsidRPr="000E60D7">
        <w:rPr>
          <w:rFonts w:ascii="Book Antiqua" w:eastAsia="Book Antiqua" w:hAnsi="Book Antiqua" w:cs="Book Antiqua"/>
          <w:color w:val="000000"/>
        </w:rPr>
        <w:t>Figure 2</w:t>
      </w:r>
      <w:r>
        <w:rPr>
          <w:rFonts w:ascii="Book Antiqua" w:eastAsia="Book Antiqua" w:hAnsi="Book Antiqua" w:cs="Book Antiqua"/>
          <w:color w:val="000000"/>
        </w:rPr>
        <w:t>).</w:t>
      </w:r>
    </w:p>
    <w:p w14:paraId="18528753" w14:textId="77777777" w:rsidR="000E60D7" w:rsidRDefault="000E60D7">
      <w:pPr>
        <w:spacing w:line="360" w:lineRule="auto"/>
        <w:jc w:val="both"/>
      </w:pPr>
    </w:p>
    <w:p w14:paraId="224F90DF" w14:textId="311E30BA" w:rsidR="00A77B3E" w:rsidRPr="000E60D7" w:rsidRDefault="00C43656">
      <w:pPr>
        <w:spacing w:line="360" w:lineRule="auto"/>
        <w:jc w:val="both"/>
        <w:rPr>
          <w:i/>
          <w:iCs/>
        </w:rPr>
      </w:pPr>
      <w:r w:rsidRPr="000E60D7">
        <w:rPr>
          <w:rFonts w:ascii="Book Antiqua" w:eastAsia="Book Antiqua" w:hAnsi="Book Antiqua" w:cs="Book Antiqua"/>
          <w:b/>
          <w:bCs/>
          <w:i/>
          <w:iCs/>
          <w:color w:val="000000"/>
        </w:rPr>
        <w:t>Statistical analysis</w:t>
      </w:r>
    </w:p>
    <w:p w14:paraId="61756CFD" w14:textId="1C50864C" w:rsidR="00A77B3E" w:rsidRDefault="00C43656">
      <w:pPr>
        <w:spacing w:line="360" w:lineRule="auto"/>
        <w:jc w:val="both"/>
      </w:pPr>
      <w:r>
        <w:rPr>
          <w:rFonts w:ascii="Book Antiqua" w:eastAsia="Book Antiqua" w:hAnsi="Book Antiqua" w:cs="Book Antiqua"/>
          <w:color w:val="000000"/>
        </w:rPr>
        <w:t>We summarize</w:t>
      </w:r>
      <w:r w:rsidR="009052E2">
        <w:rPr>
          <w:rFonts w:ascii="Book Antiqua" w:eastAsia="Book Antiqua" w:hAnsi="Book Antiqua" w:cs="Book Antiqua"/>
          <w:color w:val="000000"/>
        </w:rPr>
        <w:t>d</w:t>
      </w:r>
      <w:r>
        <w:rPr>
          <w:rFonts w:ascii="Book Antiqua" w:eastAsia="Book Antiqua" w:hAnsi="Book Antiqua" w:cs="Book Antiqua"/>
          <w:color w:val="000000"/>
        </w:rPr>
        <w:t xml:space="preserve"> and </w:t>
      </w:r>
      <w:r w:rsidR="009052E2">
        <w:rPr>
          <w:rFonts w:ascii="Book Antiqua" w:eastAsia="Book Antiqua" w:hAnsi="Book Antiqua" w:cs="Book Antiqua"/>
          <w:color w:val="000000"/>
        </w:rPr>
        <w:t>collated</w:t>
      </w:r>
      <w:r>
        <w:rPr>
          <w:rFonts w:ascii="Book Antiqua" w:eastAsia="Book Antiqua" w:hAnsi="Book Antiqua" w:cs="Book Antiqua"/>
          <w:color w:val="000000"/>
        </w:rPr>
        <w:t xml:space="preserve"> all the available information from the final analysis of the studies, identifying five works from which the data were extracted and collected where possible</w:t>
      </w:r>
      <w:r w:rsidR="00AA0DA4">
        <w:rPr>
          <w:rFonts w:ascii="Book Antiqua" w:eastAsia="Book Antiqua" w:hAnsi="Book Antiqua" w:cs="Book Antiqua"/>
          <w:color w:val="000000"/>
        </w:rPr>
        <w:t xml:space="preserve"> the two secondary outcomes</w:t>
      </w:r>
      <w:r>
        <w:rPr>
          <w:rFonts w:ascii="Book Antiqua" w:eastAsia="Book Antiqua" w:hAnsi="Book Antiqua" w:cs="Book Antiqua"/>
          <w:color w:val="000000"/>
        </w:rPr>
        <w:t>: severe events, defined as the incidence of patients needing organ support or intensive care, and</w:t>
      </w:r>
      <w:r w:rsidR="000E60D7">
        <w:rPr>
          <w:rFonts w:ascii="Book Antiqua" w:eastAsia="Book Antiqua" w:hAnsi="Book Antiqua" w:cs="Book Antiqua"/>
          <w:color w:val="000000"/>
        </w:rPr>
        <w:t xml:space="preserve"> </w:t>
      </w:r>
      <w:r>
        <w:rPr>
          <w:rFonts w:ascii="Book Antiqua" w:eastAsia="Book Antiqua" w:hAnsi="Book Antiqua" w:cs="Book Antiqua"/>
          <w:color w:val="000000"/>
        </w:rPr>
        <w:t>mortality, namely death occurr</w:t>
      </w:r>
      <w:r w:rsidR="009052E2">
        <w:rPr>
          <w:rFonts w:ascii="Book Antiqua" w:eastAsia="Book Antiqua" w:hAnsi="Book Antiqua" w:cs="Book Antiqua"/>
          <w:color w:val="000000"/>
        </w:rPr>
        <w:t>ing</w:t>
      </w:r>
      <w:r>
        <w:rPr>
          <w:rFonts w:ascii="Book Antiqua" w:eastAsia="Book Antiqua" w:hAnsi="Book Antiqua" w:cs="Book Antiqua"/>
          <w:color w:val="000000"/>
        </w:rPr>
        <w:t xml:space="preserve"> during hospitalization. Studies were excluded from the analysis if either the outcomes of interest were not mentioned or it was impossible to calculate them from the published results. Similarly, other studies were ruled out </w:t>
      </w:r>
      <w:r w:rsidR="009052E2">
        <w:rPr>
          <w:rFonts w:ascii="Book Antiqua" w:eastAsia="Book Antiqua" w:hAnsi="Book Antiqua" w:cs="Book Antiqua"/>
          <w:color w:val="000000"/>
        </w:rPr>
        <w:t>if the</w:t>
      </w:r>
      <w:r>
        <w:rPr>
          <w:rFonts w:ascii="Book Antiqua" w:eastAsia="Book Antiqua" w:hAnsi="Book Antiqua" w:cs="Book Antiqua"/>
          <w:color w:val="000000"/>
        </w:rPr>
        <w:t xml:space="preserve"> sample size </w:t>
      </w:r>
      <w:r w:rsidR="009052E2">
        <w:rPr>
          <w:rFonts w:ascii="Book Antiqua" w:eastAsia="Book Antiqua" w:hAnsi="Book Antiqua" w:cs="Book Antiqua"/>
          <w:color w:val="000000"/>
        </w:rPr>
        <w:t>was</w:t>
      </w:r>
      <w:r>
        <w:rPr>
          <w:rFonts w:ascii="Book Antiqua" w:eastAsia="Book Antiqua" w:hAnsi="Book Antiqua" w:cs="Book Antiqua"/>
          <w:color w:val="000000"/>
        </w:rPr>
        <w:t xml:space="preserve"> less than ten and </w:t>
      </w:r>
      <w:r w:rsidR="009052E2">
        <w:rPr>
          <w:rFonts w:ascii="Book Antiqua" w:eastAsia="Book Antiqua" w:hAnsi="Book Antiqua" w:cs="Book Antiqua"/>
          <w:color w:val="000000"/>
        </w:rPr>
        <w:t>if</w:t>
      </w:r>
      <w:r>
        <w:rPr>
          <w:rFonts w:ascii="Book Antiqua" w:eastAsia="Book Antiqua" w:hAnsi="Book Antiqua" w:cs="Book Antiqua"/>
          <w:color w:val="000000"/>
        </w:rPr>
        <w:t xml:space="preserve"> focus</w:t>
      </w:r>
      <w:r w:rsidR="009052E2">
        <w:rPr>
          <w:rFonts w:ascii="Book Antiqua" w:eastAsia="Book Antiqua" w:hAnsi="Book Antiqua" w:cs="Book Antiqua"/>
          <w:color w:val="000000"/>
        </w:rPr>
        <w:t>ed</w:t>
      </w:r>
      <w:r>
        <w:rPr>
          <w:rFonts w:ascii="Book Antiqua" w:eastAsia="Book Antiqua" w:hAnsi="Book Antiqua" w:cs="Book Antiqua"/>
          <w:color w:val="000000"/>
        </w:rPr>
        <w:t xml:space="preserve"> on animals. We used forest plots </w:t>
      </w:r>
      <w:r w:rsidR="009052E2">
        <w:rPr>
          <w:rFonts w:ascii="Book Antiqua" w:eastAsia="Book Antiqua" w:hAnsi="Book Antiqua" w:cs="Book Antiqua"/>
          <w:color w:val="000000"/>
        </w:rPr>
        <w:t>to</w:t>
      </w:r>
      <w:r>
        <w:rPr>
          <w:rFonts w:ascii="Book Antiqua" w:eastAsia="Book Antiqua" w:hAnsi="Book Antiqua" w:cs="Book Antiqua"/>
          <w:color w:val="000000"/>
        </w:rPr>
        <w:t xml:space="preserve"> estimat</w:t>
      </w:r>
      <w:r w:rsidR="009052E2">
        <w:rPr>
          <w:rFonts w:ascii="Book Antiqua" w:eastAsia="Book Antiqua" w:hAnsi="Book Antiqua" w:cs="Book Antiqua"/>
          <w:color w:val="000000"/>
        </w:rPr>
        <w:t>e</w:t>
      </w:r>
      <w:r>
        <w:rPr>
          <w:rFonts w:ascii="Book Antiqua" w:eastAsia="Book Antiqua" w:hAnsi="Book Antiqua" w:cs="Book Antiqua"/>
          <w:color w:val="000000"/>
        </w:rPr>
        <w:t xml:space="preserve"> </w:t>
      </w:r>
      <w:r w:rsidR="009052E2">
        <w:rPr>
          <w:rFonts w:ascii="Book Antiqua" w:eastAsia="Book Antiqua" w:hAnsi="Book Antiqua" w:cs="Book Antiqua"/>
          <w:color w:val="000000"/>
        </w:rPr>
        <w:t xml:space="preserve">the </w:t>
      </w:r>
      <w:r>
        <w:rPr>
          <w:rFonts w:ascii="Book Antiqua" w:eastAsia="Book Antiqua" w:hAnsi="Book Antiqua" w:cs="Book Antiqua"/>
          <w:color w:val="000000"/>
        </w:rPr>
        <w:t>pooled effect sizes of each study (</w:t>
      </w:r>
      <w:r w:rsidRPr="000E60D7">
        <w:rPr>
          <w:rFonts w:ascii="Book Antiqua" w:eastAsia="Book Antiqua" w:hAnsi="Book Antiqua" w:cs="Book Antiqua"/>
          <w:color w:val="000000"/>
        </w:rPr>
        <w:t>Table 1</w:t>
      </w:r>
      <w:r>
        <w:rPr>
          <w:rFonts w:ascii="Book Antiqua" w:eastAsia="Book Antiqua" w:hAnsi="Book Antiqua" w:cs="Book Antiqua"/>
          <w:color w:val="000000"/>
        </w:rPr>
        <w:t xml:space="preserve">), with 95%CI, to provide a visual summary of the data. Heterogeneity among studies was evaluated by </w:t>
      </w:r>
      <w:r w:rsidR="009052E2">
        <w:rPr>
          <w:rFonts w:ascii="Book Antiqua" w:eastAsia="Book Antiqua" w:hAnsi="Book Antiqua" w:cs="Book Antiqua"/>
          <w:color w:val="000000"/>
        </w:rPr>
        <w:t xml:space="preserve">the </w:t>
      </w:r>
      <w:r>
        <w:rPr>
          <w:rFonts w:ascii="Book Antiqua" w:eastAsia="Book Antiqua" w:hAnsi="Book Antiqua" w:cs="Book Antiqua"/>
          <w:color w:val="000000"/>
        </w:rPr>
        <w:t xml:space="preserve">Cochran </w:t>
      </w:r>
      <w:r w:rsidRPr="00A21DFA">
        <w:rPr>
          <w:rFonts w:ascii="Book Antiqua" w:eastAsia="Book Antiqua" w:hAnsi="Book Antiqua" w:cs="Book Antiqua"/>
          <w:i/>
          <w:color w:val="000000"/>
        </w:rPr>
        <w:t>Q</w:t>
      </w:r>
      <w:r>
        <w:rPr>
          <w:rFonts w:ascii="Book Antiqua" w:eastAsia="Book Antiqua" w:hAnsi="Book Antiqua" w:cs="Book Antiqua"/>
          <w:color w:val="000000"/>
        </w:rPr>
        <w:t xml:space="preserve">-test and I-squared index, with </w:t>
      </w:r>
      <w:r w:rsidRPr="00A21DFA">
        <w:rPr>
          <w:rFonts w:ascii="Book Antiqua" w:eastAsia="Book Antiqua" w:hAnsi="Book Antiqua" w:cs="Book Antiqua"/>
          <w:i/>
          <w:color w:val="000000"/>
        </w:rPr>
        <w:t>I</w:t>
      </w:r>
      <w:r w:rsidRPr="00A21DFA">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values above 75% as thresholds for high heterogeneity. When heterogeneity was present, we used a random-effects model (DerSimonian</w:t>
      </w:r>
      <w:r w:rsidR="000E60D7">
        <w:rPr>
          <w:rFonts w:ascii="Book Antiqua" w:eastAsia="Book Antiqua" w:hAnsi="Book Antiqua" w:cs="Book Antiqua"/>
          <w:color w:val="000000"/>
        </w:rPr>
        <w:t>-</w:t>
      </w:r>
      <w:r>
        <w:rPr>
          <w:rFonts w:ascii="Book Antiqua" w:eastAsia="Book Antiqua" w:hAnsi="Book Antiqua" w:cs="Book Antiqua"/>
          <w:color w:val="000000"/>
        </w:rPr>
        <w:t>Laird model). Otherwise, a fixed-effects model (Mantel</w:t>
      </w:r>
      <w:r w:rsidR="000E60D7">
        <w:rPr>
          <w:rFonts w:ascii="Book Antiqua" w:eastAsia="Book Antiqua" w:hAnsi="Book Antiqua" w:cs="Book Antiqua"/>
          <w:color w:val="000000"/>
        </w:rPr>
        <w:t>-</w:t>
      </w:r>
      <w:r>
        <w:rPr>
          <w:rFonts w:ascii="Book Antiqua" w:eastAsia="Book Antiqua" w:hAnsi="Book Antiqua" w:cs="Book Antiqua"/>
          <w:color w:val="000000"/>
        </w:rPr>
        <w:t xml:space="preserve">Haenszel) was used to compute the overall effects. </w:t>
      </w:r>
    </w:p>
    <w:p w14:paraId="70E305AA" w14:textId="77777777" w:rsidR="00A77B3E" w:rsidRDefault="00A77B3E">
      <w:pPr>
        <w:spacing w:line="360" w:lineRule="auto"/>
        <w:jc w:val="both"/>
      </w:pPr>
    </w:p>
    <w:p w14:paraId="505D5034" w14:textId="77777777" w:rsidR="00A77B3E" w:rsidRDefault="00C43656">
      <w:pPr>
        <w:spacing w:line="360" w:lineRule="auto"/>
        <w:jc w:val="both"/>
      </w:pPr>
      <w:r>
        <w:rPr>
          <w:rFonts w:ascii="Book Antiqua" w:eastAsia="Book Antiqua" w:hAnsi="Book Antiqua" w:cs="Book Antiqua"/>
          <w:b/>
          <w:caps/>
          <w:color w:val="000000"/>
          <w:u w:val="single"/>
        </w:rPr>
        <w:t>RESULTS</w:t>
      </w:r>
    </w:p>
    <w:p w14:paraId="26DAC810" w14:textId="77777777" w:rsidR="00A77B3E" w:rsidRPr="000E60D7" w:rsidRDefault="00C43656">
      <w:pPr>
        <w:spacing w:line="360" w:lineRule="auto"/>
        <w:jc w:val="both"/>
        <w:rPr>
          <w:i/>
          <w:iCs/>
        </w:rPr>
      </w:pPr>
      <w:r w:rsidRPr="000E60D7">
        <w:rPr>
          <w:rFonts w:ascii="Book Antiqua" w:eastAsia="Book Antiqua" w:hAnsi="Book Antiqua" w:cs="Book Antiqua"/>
          <w:b/>
          <w:bCs/>
          <w:i/>
          <w:iCs/>
          <w:color w:val="000000"/>
        </w:rPr>
        <w:t>Available studies on this topic</w:t>
      </w:r>
    </w:p>
    <w:p w14:paraId="3239DA3E" w14:textId="3263E07F" w:rsidR="00A77B3E" w:rsidRDefault="00C43656">
      <w:pPr>
        <w:spacing w:line="360" w:lineRule="auto"/>
        <w:jc w:val="both"/>
      </w:pPr>
      <w:r>
        <w:rPr>
          <w:rFonts w:ascii="Book Antiqua" w:eastAsia="Book Antiqua" w:hAnsi="Book Antiqua" w:cs="Book Antiqua"/>
          <w:color w:val="000000"/>
        </w:rPr>
        <w:t xml:space="preserve">To date, according to the available data in the literature, we identified 9 papers describing the use of PPIs in SARS-CoV-2 patients. The results are summarized in </w:t>
      </w:r>
      <w:r w:rsidRPr="000E60D7">
        <w:rPr>
          <w:rFonts w:ascii="Book Antiqua" w:eastAsia="Book Antiqua" w:hAnsi="Book Antiqua" w:cs="Book Antiqua"/>
          <w:color w:val="000000"/>
        </w:rPr>
        <w:t>Table 1</w:t>
      </w:r>
      <w:r>
        <w:rPr>
          <w:rFonts w:ascii="Book Antiqua" w:eastAsia="Book Antiqua" w:hAnsi="Book Antiqua" w:cs="Book Antiqua"/>
          <w:color w:val="000000"/>
        </w:rPr>
        <w:t>.</w:t>
      </w:r>
    </w:p>
    <w:p w14:paraId="70763A7D" w14:textId="2475E467" w:rsidR="00A77B3E" w:rsidRDefault="00C43656" w:rsidP="000E60D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Taking into account the study by Hariyanto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we included data </w:t>
      </w:r>
      <w:r w:rsidR="00CF7D69">
        <w:rPr>
          <w:rFonts w:ascii="Book Antiqua" w:eastAsia="Book Antiqua" w:hAnsi="Book Antiqua" w:cs="Book Antiqua"/>
          <w:color w:val="000000"/>
        </w:rPr>
        <w:t>on</w:t>
      </w:r>
      <w:r>
        <w:rPr>
          <w:rFonts w:ascii="Book Antiqua" w:eastAsia="Book Antiqua" w:hAnsi="Book Antiqua" w:cs="Book Antiqua"/>
          <w:color w:val="000000"/>
        </w:rPr>
        <w:t xml:space="preserve"> the severity of the disease, specifically for 16 patients and 77 </w:t>
      </w:r>
      <w:r w:rsidR="00CB4D8F">
        <w:rPr>
          <w:rFonts w:ascii="Book Antiqua" w:eastAsia="Book Antiqua" w:hAnsi="Book Antiqua" w:cs="Book Antiqua"/>
          <w:color w:val="000000"/>
        </w:rPr>
        <w:t>patients</w:t>
      </w:r>
      <w:r>
        <w:rPr>
          <w:rFonts w:ascii="Book Antiqua" w:eastAsia="Book Antiqua" w:hAnsi="Book Antiqua" w:cs="Book Antiqua"/>
          <w:color w:val="000000"/>
        </w:rPr>
        <w:t xml:space="preserve"> with shock, respectively, in the PPI-group and in the non-PPI-group</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18 </w:t>
      </w:r>
      <w:r w:rsidR="00CB4D8F">
        <w:rPr>
          <w:rFonts w:ascii="Book Antiqua" w:eastAsia="Book Antiqua" w:hAnsi="Book Antiqua" w:cs="Book Antiqua"/>
          <w:color w:val="000000"/>
        </w:rPr>
        <w:t>patients</w:t>
      </w:r>
      <w:r>
        <w:rPr>
          <w:rFonts w:ascii="Book Antiqua" w:eastAsia="Book Antiqua" w:hAnsi="Book Antiqua" w:cs="Book Antiqua"/>
          <w:color w:val="000000"/>
        </w:rPr>
        <w:t xml:space="preserve"> and 30 </w:t>
      </w:r>
      <w:r w:rsidR="00CB4D8F">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CF7D69">
        <w:rPr>
          <w:rFonts w:ascii="Book Antiqua" w:eastAsia="Book Antiqua" w:hAnsi="Book Antiqua" w:cs="Book Antiqua"/>
          <w:color w:val="000000"/>
        </w:rPr>
        <w:t>had</w:t>
      </w:r>
      <w:r>
        <w:rPr>
          <w:rFonts w:ascii="Book Antiqua" w:eastAsia="Book Antiqua" w:hAnsi="Book Antiqua" w:cs="Book Antiqua"/>
          <w:color w:val="000000"/>
        </w:rPr>
        <w:t xml:space="preserve"> secondary infection, respectively, in the PPI-group and in the non-PPI-group</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study by </w:t>
      </w:r>
      <w:r w:rsidR="00486546" w:rsidRPr="00486546">
        <w:rPr>
          <w:rFonts w:ascii="Book Antiqua" w:eastAsia="Book Antiqua" w:hAnsi="Book Antiqua" w:cs="Book Antiqua"/>
          <w:color w:val="000000"/>
        </w:rPr>
        <w:t>García-Menaya</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55</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CF7D69">
        <w:rPr>
          <w:rFonts w:ascii="Book Antiqua" w:eastAsia="Book Antiqua" w:hAnsi="Book Antiqua" w:cs="Book Antiqua"/>
          <w:color w:val="000000"/>
        </w:rPr>
        <w:t>included</w:t>
      </w:r>
      <w:r>
        <w:rPr>
          <w:rFonts w:ascii="Book Antiqua" w:eastAsia="Book Antiqua" w:hAnsi="Book Antiqua" w:cs="Book Antiqua"/>
          <w:color w:val="000000"/>
        </w:rPr>
        <w:t xml:space="preserve"> data related to severity and mortality of the disease, but they </w:t>
      </w:r>
      <w:r w:rsidR="00CF7D69">
        <w:rPr>
          <w:rFonts w:ascii="Book Antiqua" w:eastAsia="Book Antiqua" w:hAnsi="Book Antiqua" w:cs="Book Antiqua"/>
          <w:color w:val="000000"/>
        </w:rPr>
        <w:t>were</w:t>
      </w:r>
      <w:r>
        <w:rPr>
          <w:rFonts w:ascii="Book Antiqua" w:eastAsia="Book Antiqua" w:hAnsi="Book Antiqua" w:cs="Book Antiqua"/>
          <w:color w:val="000000"/>
        </w:rPr>
        <w:t xml:space="preserve"> calculated for patients with and without allergic conditions and for overall patients. It </w:t>
      </w:r>
      <w:r w:rsidR="00CF7D69">
        <w:rPr>
          <w:rFonts w:ascii="Book Antiqua" w:eastAsia="Book Antiqua" w:hAnsi="Book Antiqua" w:cs="Book Antiqua"/>
          <w:color w:val="000000"/>
        </w:rPr>
        <w:t>was</w:t>
      </w:r>
      <w:r>
        <w:rPr>
          <w:rFonts w:ascii="Book Antiqua" w:eastAsia="Book Antiqua" w:hAnsi="Book Antiqua" w:cs="Book Antiqua"/>
          <w:color w:val="000000"/>
        </w:rPr>
        <w:t xml:space="preserve"> observed </w:t>
      </w:r>
      <w:r w:rsidR="00CF7D69">
        <w:rPr>
          <w:rFonts w:ascii="Book Antiqua" w:eastAsia="Book Antiqua" w:hAnsi="Book Antiqua" w:cs="Book Antiqua"/>
          <w:color w:val="000000"/>
        </w:rPr>
        <w:t>that a</w:t>
      </w:r>
      <w:r>
        <w:rPr>
          <w:rFonts w:ascii="Book Antiqua" w:eastAsia="Book Antiqua" w:hAnsi="Book Antiqua" w:cs="Book Antiqua"/>
          <w:color w:val="000000"/>
        </w:rPr>
        <w:t xml:space="preserve"> history of PPIs intake was related to an increased risk of admission to </w:t>
      </w:r>
      <w:bookmarkStart w:id="9" w:name="_Hlk61020711"/>
      <w:r w:rsidR="00CF7D69">
        <w:rPr>
          <w:rFonts w:ascii="Book Antiqua" w:eastAsia="Book Antiqua" w:hAnsi="Book Antiqua" w:cs="Book Antiqua"/>
          <w:color w:val="000000"/>
        </w:rPr>
        <w:t xml:space="preserve">the </w:t>
      </w:r>
      <w:r w:rsidR="00486546" w:rsidRPr="00045CA0">
        <w:rPr>
          <w:rFonts w:ascii="Book Antiqua" w:eastAsia="Book Antiqua" w:hAnsi="Book Antiqua" w:cs="Book Antiqua"/>
          <w:color w:val="000000"/>
        </w:rPr>
        <w:t>intensive care unit</w:t>
      </w:r>
      <w:bookmarkEnd w:id="9"/>
      <w:r>
        <w:rPr>
          <w:rFonts w:ascii="Book Antiqua" w:eastAsia="Book Antiqua" w:hAnsi="Book Antiqua" w:cs="Book Antiqua"/>
          <w:color w:val="000000"/>
        </w:rPr>
        <w:t xml:space="preserve"> for all patients </w:t>
      </w:r>
      <w:r w:rsidR="00CF7D69">
        <w:rPr>
          <w:rFonts w:ascii="Book Antiqua" w:eastAsia="Book Antiqua" w:hAnsi="Book Antiqua" w:cs="Book Antiqua"/>
          <w:color w:val="000000"/>
        </w:rPr>
        <w:t xml:space="preserve">in the cohort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0.017)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some of these </w:t>
      </w:r>
      <w:r w:rsidR="00CF7D69">
        <w:rPr>
          <w:rFonts w:ascii="Book Antiqua" w:eastAsia="Book Antiqua" w:hAnsi="Book Antiqua" w:cs="Book Antiqua"/>
          <w:color w:val="000000"/>
        </w:rPr>
        <w:t>studies,</w:t>
      </w:r>
      <w:r>
        <w:rPr>
          <w:rFonts w:ascii="Book Antiqua" w:eastAsia="Book Antiqua" w:hAnsi="Book Antiqua" w:cs="Book Antiqua"/>
          <w:color w:val="000000"/>
        </w:rPr>
        <w:t xml:space="preserve"> it </w:t>
      </w:r>
      <w:r w:rsidR="00CF716A">
        <w:rPr>
          <w:rFonts w:ascii="Book Antiqua" w:eastAsia="Book Antiqua" w:hAnsi="Book Antiqua" w:cs="Book Antiqua"/>
          <w:color w:val="000000"/>
        </w:rPr>
        <w:t>was</w:t>
      </w:r>
      <w:r>
        <w:rPr>
          <w:rFonts w:ascii="Book Antiqua" w:eastAsia="Book Antiqua" w:hAnsi="Book Antiqua" w:cs="Book Antiqua"/>
          <w:color w:val="000000"/>
        </w:rPr>
        <w:t xml:space="preserve"> possible </w:t>
      </w:r>
      <w:r w:rsidR="00CF7D69">
        <w:rPr>
          <w:rFonts w:ascii="Book Antiqua" w:eastAsia="Book Antiqua" w:hAnsi="Book Antiqua" w:cs="Book Antiqua"/>
          <w:color w:val="000000"/>
        </w:rPr>
        <w:t xml:space="preserve">to </w:t>
      </w:r>
      <w:r>
        <w:rPr>
          <w:rFonts w:ascii="Book Antiqua" w:eastAsia="Book Antiqua" w:hAnsi="Book Antiqua" w:cs="Book Antiqua"/>
          <w:color w:val="000000"/>
        </w:rPr>
        <w:t>extrapolat</w:t>
      </w:r>
      <w:r w:rsidR="00CF7D69">
        <w:rPr>
          <w:rFonts w:ascii="Book Antiqua" w:eastAsia="Book Antiqua" w:hAnsi="Book Antiqua" w:cs="Book Antiqua"/>
          <w:color w:val="000000"/>
        </w:rPr>
        <w:t>e</w:t>
      </w:r>
      <w:r>
        <w:rPr>
          <w:rFonts w:ascii="Book Antiqua" w:eastAsia="Book Antiqua" w:hAnsi="Book Antiqua" w:cs="Book Antiqua"/>
          <w:color w:val="000000"/>
        </w:rPr>
        <w:t xml:space="preserve"> the type of PPI used, the dosage and the posology. As in the study conducted by Luxenburger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31</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percentage of patients using PPIs was calculated </w:t>
      </w:r>
      <w:r w:rsidR="00CF7D69">
        <w:rPr>
          <w:rFonts w:ascii="Book Antiqua" w:eastAsia="Book Antiqua" w:hAnsi="Book Antiqua" w:cs="Book Antiqua"/>
          <w:color w:val="000000"/>
        </w:rPr>
        <w:t>to be</w:t>
      </w:r>
      <w:r>
        <w:rPr>
          <w:rFonts w:ascii="Book Antiqua" w:eastAsia="Book Antiqua" w:hAnsi="Book Antiqua" w:cs="Book Antiqua"/>
          <w:color w:val="000000"/>
        </w:rPr>
        <w:t xml:space="preserve"> 83.9% (52 patients) for pantoprazole, 9.7% (6 patients) for esomeprazole and 6.5% (4 patients) for omeprazole. Almario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32</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that people taking PPIs once daily </w:t>
      </w:r>
      <w:r w:rsidR="00486546">
        <w:rPr>
          <w:rFonts w:ascii="Book Antiqua" w:eastAsia="Book Antiqua" w:hAnsi="Book Antiqua" w:cs="Book Antiqua"/>
          <w:color w:val="000000"/>
        </w:rPr>
        <w:t>[</w:t>
      </w:r>
      <w:r w:rsidR="00486546" w:rsidRPr="00486546">
        <w:rPr>
          <w:rFonts w:ascii="Book Antiqua" w:eastAsia="Book Antiqua" w:hAnsi="Book Antiqua" w:cs="Book Antiqua"/>
          <w:color w:val="000000"/>
        </w:rPr>
        <w:t xml:space="preserve">adjusted odds ratio </w:t>
      </w:r>
      <w:r>
        <w:rPr>
          <w:rFonts w:ascii="Book Antiqua" w:eastAsia="Book Antiqua" w:hAnsi="Book Antiqua" w:cs="Book Antiqua"/>
          <w:color w:val="000000"/>
        </w:rPr>
        <w:t>(aOR</w:t>
      </w:r>
      <w:r w:rsidR="00486546">
        <w:rPr>
          <w:rFonts w:ascii="Book Antiqua" w:eastAsia="Book Antiqua" w:hAnsi="Book Antiqua" w:cs="Book Antiqua"/>
          <w:color w:val="000000"/>
        </w:rPr>
        <w:t>)</w:t>
      </w:r>
      <w:r>
        <w:rPr>
          <w:rFonts w:ascii="Book Antiqua" w:eastAsia="Book Antiqua" w:hAnsi="Book Antiqua" w:cs="Book Antiqua"/>
          <w:color w:val="000000"/>
        </w:rPr>
        <w:t xml:space="preserve"> 2.15; 95%</w:t>
      </w:r>
      <w:r w:rsidR="00486546" w:rsidRPr="00486546">
        <w:rPr>
          <w:rFonts w:ascii="Book Antiqua" w:eastAsia="Malgun Gothic" w:hAnsi="Book Antiqua"/>
        </w:rPr>
        <w:t xml:space="preserve"> </w:t>
      </w:r>
      <w:r w:rsidR="00486546" w:rsidRPr="00616F4C">
        <w:rPr>
          <w:rFonts w:ascii="Book Antiqua" w:eastAsia="Malgun Gothic" w:hAnsi="Book Antiqua"/>
        </w:rPr>
        <w:t>confidence interval</w:t>
      </w:r>
      <w:r w:rsidR="00486546">
        <w:rPr>
          <w:rFonts w:ascii="Book Antiqua" w:eastAsia="Book Antiqua" w:hAnsi="Book Antiqua" w:cs="Book Antiqua"/>
          <w:color w:val="000000"/>
        </w:rPr>
        <w:t xml:space="preserve"> (</w:t>
      </w:r>
      <w:r>
        <w:rPr>
          <w:rFonts w:ascii="Book Antiqua" w:eastAsia="Book Antiqua" w:hAnsi="Book Antiqua" w:cs="Book Antiqua"/>
          <w:color w:val="000000"/>
        </w:rPr>
        <w:t>CI</w:t>
      </w:r>
      <w:r w:rsidR="00486546">
        <w:rPr>
          <w:rFonts w:ascii="Book Antiqua" w:eastAsia="Book Antiqua" w:hAnsi="Book Antiqua" w:cs="Book Antiqua"/>
          <w:color w:val="000000"/>
        </w:rPr>
        <w:t>)</w:t>
      </w:r>
      <w:r w:rsidR="00B408B0">
        <w:rPr>
          <w:rFonts w:ascii="Book Antiqua" w:eastAsia="Book Antiqua" w:hAnsi="Book Antiqua" w:cs="Book Antiqua"/>
          <w:color w:val="000000"/>
        </w:rPr>
        <w:t>:</w:t>
      </w:r>
      <w:r>
        <w:rPr>
          <w:rFonts w:ascii="Book Antiqua" w:eastAsia="Book Antiqua" w:hAnsi="Book Antiqua" w:cs="Book Antiqua"/>
          <w:color w:val="000000"/>
        </w:rPr>
        <w:t xml:space="preserve"> 1.90-2.44</w:t>
      </w:r>
      <w:r w:rsidR="00486546">
        <w:rPr>
          <w:rFonts w:ascii="Book Antiqua" w:eastAsia="Book Antiqua" w:hAnsi="Book Antiqua" w:cs="Book Antiqua"/>
          <w:color w:val="000000"/>
        </w:rPr>
        <w:t xml:space="preserve">] </w:t>
      </w:r>
      <w:r>
        <w:rPr>
          <w:rFonts w:ascii="Book Antiqua" w:eastAsia="Book Antiqua" w:hAnsi="Book Antiqua" w:cs="Book Antiqua"/>
          <w:color w:val="000000"/>
        </w:rPr>
        <w:t>or twice daily (aOR 3.67; 95%CI</w:t>
      </w:r>
      <w:r w:rsidR="00B408B0">
        <w:rPr>
          <w:rFonts w:ascii="Book Antiqua" w:eastAsia="Book Antiqua" w:hAnsi="Book Antiqua" w:cs="Book Antiqua"/>
          <w:color w:val="000000"/>
        </w:rPr>
        <w:t>:</w:t>
      </w:r>
      <w:r>
        <w:rPr>
          <w:rFonts w:ascii="Book Antiqua" w:eastAsia="Book Antiqua" w:hAnsi="Book Antiqua" w:cs="Book Antiqua"/>
          <w:color w:val="000000"/>
        </w:rPr>
        <w:t xml:space="preserve"> 2.93-4.60) showed a statistically significant risk of testing positive compared to th</w:t>
      </w:r>
      <w:r w:rsidR="00CF7D69">
        <w:rPr>
          <w:rFonts w:ascii="Book Antiqua" w:eastAsia="Book Antiqua" w:hAnsi="Book Antiqua" w:cs="Book Antiqua"/>
          <w:color w:val="000000"/>
        </w:rPr>
        <w:t>ose</w:t>
      </w:r>
      <w:r>
        <w:rPr>
          <w:rFonts w:ascii="Book Antiqua" w:eastAsia="Book Antiqua" w:hAnsi="Book Antiqua" w:cs="Book Antiqua"/>
          <w:color w:val="000000"/>
        </w:rPr>
        <w:t xml:space="preserve"> who did not use such drugs. On the contrary, it emerged </w:t>
      </w:r>
      <w:r w:rsidR="00CF7D69">
        <w:rPr>
          <w:rFonts w:ascii="Book Antiqua" w:eastAsia="Book Antiqua" w:hAnsi="Book Antiqua" w:cs="Book Antiqua"/>
          <w:color w:val="000000"/>
        </w:rPr>
        <w:t xml:space="preserve">that </w:t>
      </w:r>
      <w:r>
        <w:rPr>
          <w:rFonts w:ascii="Book Antiqua" w:eastAsia="Book Antiqua" w:hAnsi="Book Antiqua" w:cs="Book Antiqua"/>
          <w:color w:val="000000"/>
        </w:rPr>
        <w:t>the use of histamine-2 receptor antagonist (H2RA) was not associated with the risk of contracting the infection. In particular, 415 individuals (5.6%) were using H2RA once daily (aOR 0.85; 95%CI</w:t>
      </w:r>
      <w:r w:rsidR="00B408B0">
        <w:rPr>
          <w:rFonts w:ascii="Book Antiqua" w:eastAsia="Book Antiqua" w:hAnsi="Book Antiqua" w:cs="Book Antiqua"/>
          <w:color w:val="000000"/>
        </w:rPr>
        <w:t>:</w:t>
      </w:r>
      <w:r>
        <w:rPr>
          <w:rFonts w:ascii="Book Antiqua" w:eastAsia="Book Antiqua" w:hAnsi="Book Antiqua" w:cs="Book Antiqua"/>
          <w:color w:val="000000"/>
        </w:rPr>
        <w:t xml:space="preserve"> 0.74-0.99) and 143 (12.4%) twice daily (aOR 0.86; 95%CI</w:t>
      </w:r>
      <w:r w:rsidR="00B408B0">
        <w:rPr>
          <w:rFonts w:ascii="Book Antiqua" w:eastAsia="Book Antiqua" w:hAnsi="Book Antiqua" w:cs="Book Antiqua"/>
          <w:color w:val="000000"/>
        </w:rPr>
        <w:t>:</w:t>
      </w:r>
      <w:r>
        <w:rPr>
          <w:rFonts w:ascii="Book Antiqua" w:eastAsia="Book Antiqua" w:hAnsi="Book Antiqua" w:cs="Book Antiqua"/>
          <w:color w:val="000000"/>
        </w:rPr>
        <w:t xml:space="preserve"> 0.66-1.11)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Lee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51</w:t>
      </w:r>
      <w:r w:rsidR="00486546">
        <w:rPr>
          <w:rFonts w:ascii="Book Antiqua" w:eastAsia="Book Antiqua" w:hAnsi="Book Antiqua" w:cs="Book Antiqua"/>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noted that people who had taken PPIs for less than 30 d</w:t>
      </w:r>
      <w:r w:rsidR="00486546">
        <w:rPr>
          <w:rFonts w:ascii="Book Antiqua" w:eastAsia="Book Antiqua" w:hAnsi="Book Antiqua" w:cs="Book Antiqua"/>
          <w:color w:val="000000"/>
        </w:rPr>
        <w:t xml:space="preserve"> </w:t>
      </w:r>
      <w:r>
        <w:rPr>
          <w:rFonts w:ascii="Book Antiqua" w:eastAsia="Book Antiqua" w:hAnsi="Book Antiqua" w:cs="Book Antiqua"/>
          <w:color w:val="000000"/>
        </w:rPr>
        <w:t>before contracting th</w:t>
      </w:r>
      <w:r w:rsidR="00CF7D69">
        <w:rPr>
          <w:rFonts w:ascii="Book Antiqua" w:eastAsia="Book Antiqua" w:hAnsi="Book Antiqua" w:cs="Book Antiqua"/>
          <w:color w:val="000000"/>
        </w:rPr>
        <w:t>e</w:t>
      </w:r>
      <w:r>
        <w:rPr>
          <w:rFonts w:ascii="Book Antiqua" w:eastAsia="Book Antiqua" w:hAnsi="Book Antiqua" w:cs="Book Antiqua"/>
          <w:color w:val="000000"/>
        </w:rPr>
        <w:t xml:space="preserve"> virus showed an increased risk of severity compared to those who had never taken </w:t>
      </w:r>
      <w:r w:rsidR="00CF7D69">
        <w:rPr>
          <w:rFonts w:ascii="Book Antiqua" w:eastAsia="Book Antiqua" w:hAnsi="Book Antiqua" w:cs="Book Antiqua"/>
          <w:color w:val="000000"/>
        </w:rPr>
        <w:t>these</w:t>
      </w:r>
      <w:r>
        <w:rPr>
          <w:rFonts w:ascii="Book Antiqua" w:eastAsia="Book Antiqua" w:hAnsi="Book Antiqua" w:cs="Book Antiqua"/>
          <w:color w:val="000000"/>
        </w:rPr>
        <w:t xml:space="preserve"> </w:t>
      </w:r>
      <w:r w:rsidR="00CF7D69">
        <w:rPr>
          <w:rFonts w:ascii="Book Antiqua" w:eastAsia="Book Antiqua" w:hAnsi="Book Antiqua" w:cs="Book Antiqua"/>
          <w:color w:val="000000"/>
        </w:rPr>
        <w:t>drugs</w:t>
      </w:r>
      <w:r>
        <w:rPr>
          <w:rFonts w:ascii="Book Antiqua" w:eastAsia="Book Antiqua" w:hAnsi="Book Antiqua" w:cs="Book Antiqua"/>
          <w:color w:val="000000"/>
        </w:rPr>
        <w:t>. This outcome was further confirmed by a study on a subgroup of Korean individuals who were at that time under PPIs therapy</w:t>
      </w:r>
      <w:r>
        <w:rPr>
          <w:rFonts w:ascii="Book Antiqua" w:eastAsia="Book Antiqua" w:hAnsi="Book Antiqua" w:cs="Book Antiqua"/>
          <w:color w:val="000000"/>
          <w:szCs w:val="30"/>
          <w:vertAlign w:val="superscript"/>
        </w:rPr>
        <w:t>[</w:t>
      </w:r>
      <w:r w:rsidR="00AD0D95">
        <w:rPr>
          <w:rFonts w:ascii="Book Antiqua" w:eastAsia="Book Antiqua" w:hAnsi="Book Antiqua" w:cs="Book Antiqua"/>
          <w:color w:val="000000"/>
          <w:szCs w:val="30"/>
          <w:vertAlign w:val="superscript"/>
        </w:rPr>
        <w:t>56,</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F70E202" w14:textId="77777777" w:rsidR="00486546" w:rsidRDefault="00486546" w:rsidP="00486546">
      <w:pPr>
        <w:spacing w:line="360" w:lineRule="auto"/>
        <w:jc w:val="both"/>
      </w:pPr>
    </w:p>
    <w:p w14:paraId="02AEAF92" w14:textId="77777777" w:rsidR="00A77B3E" w:rsidRPr="00486546" w:rsidRDefault="00C43656">
      <w:pPr>
        <w:spacing w:line="360" w:lineRule="auto"/>
        <w:jc w:val="both"/>
        <w:rPr>
          <w:i/>
          <w:iCs/>
        </w:rPr>
      </w:pPr>
      <w:r w:rsidRPr="00486546">
        <w:rPr>
          <w:rFonts w:ascii="Book Antiqua" w:eastAsia="Book Antiqua" w:hAnsi="Book Antiqua" w:cs="Book Antiqua"/>
          <w:b/>
          <w:bCs/>
          <w:i/>
          <w:iCs/>
          <w:color w:val="000000"/>
        </w:rPr>
        <w:t>Statistical analysis</w:t>
      </w:r>
    </w:p>
    <w:p w14:paraId="029225B8" w14:textId="43DD80AC" w:rsidR="00A77B3E" w:rsidRDefault="00C43656">
      <w:pPr>
        <w:spacing w:line="360" w:lineRule="auto"/>
        <w:jc w:val="both"/>
      </w:pPr>
      <w:r>
        <w:rPr>
          <w:rFonts w:ascii="Book Antiqua" w:eastAsia="Book Antiqua" w:hAnsi="Book Antiqua" w:cs="Book Antiqua"/>
          <w:color w:val="000000"/>
        </w:rPr>
        <w:t xml:space="preserve">A random-effect model was used both for </w:t>
      </w:r>
      <w:r w:rsidR="00CF716A">
        <w:rPr>
          <w:rFonts w:ascii="Book Antiqua" w:eastAsia="Book Antiqua" w:hAnsi="Book Antiqua" w:cs="Book Antiqua"/>
          <w:color w:val="000000"/>
        </w:rPr>
        <w:t>disease</w:t>
      </w:r>
      <w:r>
        <w:rPr>
          <w:rFonts w:ascii="Book Antiqua" w:eastAsia="Book Antiqua" w:hAnsi="Book Antiqua" w:cs="Book Antiqua"/>
          <w:color w:val="000000"/>
        </w:rPr>
        <w:t xml:space="preserve"> severity and for mortality, due to the extensive heterogeneity occurring between studies (</w:t>
      </w:r>
      <w:r w:rsidRPr="00B408B0">
        <w:rPr>
          <w:rFonts w:ascii="Book Antiqua" w:eastAsia="Book Antiqua" w:hAnsi="Book Antiqua" w:cs="Book Antiqua"/>
          <w:i/>
          <w:iCs/>
          <w:color w:val="000000"/>
        </w:rPr>
        <w:t>I</w:t>
      </w:r>
      <w:r w:rsidR="00B408B0" w:rsidRPr="00B408B0">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95.7% and </w:t>
      </w:r>
      <w:r w:rsidRPr="00B408B0">
        <w:rPr>
          <w:rFonts w:ascii="Book Antiqua" w:eastAsia="Book Antiqua" w:hAnsi="Book Antiqua" w:cs="Book Antiqua"/>
          <w:i/>
          <w:iCs/>
          <w:color w:val="000000"/>
        </w:rPr>
        <w:t>I</w:t>
      </w:r>
      <w:r w:rsidR="00B408B0" w:rsidRPr="00B408B0">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89.0% respectively). The pooled incidence of severe events did not differ between patients with and without PPIs (OR 1.65, 95%CI: 0.62-4.35) (</w:t>
      </w:r>
      <w:r>
        <w:rPr>
          <w:rFonts w:ascii="Book Antiqua" w:eastAsia="Book Antiqua" w:hAnsi="Book Antiqua" w:cs="Book Antiqua"/>
          <w:i/>
          <w:iCs/>
          <w:color w:val="000000"/>
        </w:rPr>
        <w:t>P</w:t>
      </w:r>
      <w:r>
        <w:rPr>
          <w:rFonts w:ascii="Book Antiqua" w:eastAsia="Book Antiqua" w:hAnsi="Book Antiqua" w:cs="Book Antiqua"/>
          <w:color w:val="000000"/>
        </w:rPr>
        <w:t xml:space="preserve"> = 0.314), </w:t>
      </w:r>
      <w:r w:rsidR="00CF7D69">
        <w:rPr>
          <w:rFonts w:ascii="Book Antiqua" w:eastAsia="Book Antiqua" w:hAnsi="Book Antiqua" w:cs="Book Antiqua"/>
          <w:color w:val="000000"/>
        </w:rPr>
        <w:t>or</w:t>
      </w:r>
      <w:r>
        <w:rPr>
          <w:rFonts w:ascii="Book Antiqua" w:eastAsia="Book Antiqua" w:hAnsi="Book Antiqua" w:cs="Book Antiqua"/>
          <w:color w:val="000000"/>
        </w:rPr>
        <w:t xml:space="preserve"> for mortality (OR 1.77, 95%CI: 0.62-5.03) (</w:t>
      </w:r>
      <w:r>
        <w:rPr>
          <w:rFonts w:ascii="Book Antiqua" w:eastAsia="Book Antiqua" w:hAnsi="Book Antiqua" w:cs="Book Antiqua"/>
          <w:i/>
          <w:iCs/>
          <w:color w:val="000000"/>
        </w:rPr>
        <w:t>P</w:t>
      </w:r>
      <w:r>
        <w:rPr>
          <w:rFonts w:ascii="Book Antiqua" w:eastAsia="Book Antiqua" w:hAnsi="Book Antiqua" w:cs="Book Antiqua"/>
          <w:color w:val="000000"/>
        </w:rPr>
        <w:t xml:space="preserve"> = 0.286) (</w:t>
      </w:r>
      <w:r w:rsidRPr="00486546">
        <w:rPr>
          <w:rFonts w:ascii="Book Antiqua" w:eastAsia="Book Antiqua" w:hAnsi="Book Antiqua" w:cs="Book Antiqua"/>
          <w:color w:val="000000"/>
        </w:rPr>
        <w:t>Figure</w:t>
      </w:r>
      <w:r w:rsidR="00486546">
        <w:rPr>
          <w:rFonts w:ascii="Book Antiqua" w:eastAsia="Book Antiqua" w:hAnsi="Book Antiqua" w:cs="Book Antiqua"/>
          <w:color w:val="000000"/>
        </w:rPr>
        <w:t>s</w:t>
      </w:r>
      <w:r w:rsidRPr="00486546">
        <w:rPr>
          <w:rFonts w:ascii="Book Antiqua" w:eastAsia="Book Antiqua" w:hAnsi="Book Antiqua" w:cs="Book Antiqua"/>
          <w:color w:val="000000"/>
        </w:rPr>
        <w:t xml:space="preserve"> 3 and 4</w:t>
      </w:r>
      <w:r>
        <w:rPr>
          <w:rFonts w:ascii="Book Antiqua" w:eastAsia="Book Antiqua" w:hAnsi="Book Antiqua" w:cs="Book Antiqua"/>
          <w:color w:val="000000"/>
        </w:rPr>
        <w:t>).</w:t>
      </w:r>
    </w:p>
    <w:p w14:paraId="3BBDC7BB" w14:textId="77777777" w:rsidR="00A77B3E" w:rsidRDefault="00A77B3E">
      <w:pPr>
        <w:spacing w:line="360" w:lineRule="auto"/>
        <w:jc w:val="both"/>
      </w:pPr>
    </w:p>
    <w:p w14:paraId="7AA43122" w14:textId="77777777" w:rsidR="00A77B3E" w:rsidRDefault="00C43656">
      <w:pPr>
        <w:spacing w:line="360" w:lineRule="auto"/>
        <w:jc w:val="both"/>
      </w:pPr>
      <w:r>
        <w:rPr>
          <w:rFonts w:ascii="Book Antiqua" w:eastAsia="Book Antiqua" w:hAnsi="Book Antiqua" w:cs="Book Antiqua"/>
          <w:b/>
          <w:caps/>
          <w:color w:val="000000"/>
          <w:u w:val="single"/>
        </w:rPr>
        <w:t>DISCUSSION</w:t>
      </w:r>
    </w:p>
    <w:p w14:paraId="07FDE69B" w14:textId="333F30D4" w:rsidR="00A77B3E" w:rsidRPr="00486546" w:rsidRDefault="00486546">
      <w:pPr>
        <w:spacing w:line="360" w:lineRule="auto"/>
        <w:jc w:val="both"/>
        <w:rPr>
          <w:i/>
          <w:iCs/>
        </w:rPr>
      </w:pPr>
      <w:r w:rsidRPr="00486546">
        <w:rPr>
          <w:rFonts w:ascii="Book Antiqua" w:eastAsia="Book Antiqua" w:hAnsi="Book Antiqua" w:cs="Book Antiqua"/>
          <w:b/>
          <w:bCs/>
          <w:i/>
          <w:iCs/>
          <w:color w:val="000000"/>
        </w:rPr>
        <w:t>Evidence suggesting PPIs do not worsen COVID-19</w:t>
      </w:r>
    </w:p>
    <w:p w14:paraId="32848886" w14:textId="1486AE9D" w:rsidR="00A77B3E" w:rsidRDefault="00C43656">
      <w:pPr>
        <w:spacing w:line="360" w:lineRule="auto"/>
        <w:jc w:val="both"/>
      </w:pPr>
      <w:r>
        <w:rPr>
          <w:rFonts w:ascii="Book Antiqua" w:eastAsia="Book Antiqua" w:hAnsi="Book Antiqua" w:cs="Book Antiqua"/>
          <w:color w:val="000000"/>
        </w:rPr>
        <w:t xml:space="preserve">The literature, on the other hand, also provided a few studies supporting the beneficial effect of PPIs and their explicit action to counteract infections, including viral </w:t>
      </w:r>
      <w:r w:rsidR="00CF7D69">
        <w:rPr>
          <w:rFonts w:ascii="Book Antiqua" w:eastAsia="Book Antiqua" w:hAnsi="Book Antiqua" w:cs="Book Antiqua"/>
          <w:color w:val="000000"/>
        </w:rPr>
        <w:t>infections</w:t>
      </w:r>
      <w:r>
        <w:rPr>
          <w:rFonts w:ascii="Book Antiqua" w:eastAsia="Book Antiqua" w:hAnsi="Book Antiqua" w:cs="Book Antiqua"/>
          <w:color w:val="000000"/>
        </w:rPr>
        <w:t>. It has been shown that the lowering of pH due to the gastric acid anti-secretory action of PPIs can kill ingested microorganisms and avoid gastric bacterial overgrowth</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These two activities are useful both in preventing infections caused by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and in the development of spontaneous bacterial peritonitis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58,59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Taştemur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60</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hypothesized that </w:t>
      </w:r>
      <w:r w:rsidR="004F16A1">
        <w:rPr>
          <w:rFonts w:ascii="Book Antiqua" w:eastAsia="Book Antiqua" w:hAnsi="Book Antiqua" w:cs="Book Antiqua"/>
          <w:color w:val="000000"/>
        </w:rPr>
        <w:t>PPI</w:t>
      </w:r>
      <w:r>
        <w:rPr>
          <w:rFonts w:ascii="Book Antiqua" w:eastAsia="Book Antiqua" w:hAnsi="Book Antiqua" w:cs="Book Antiqua"/>
          <w:color w:val="000000"/>
        </w:rPr>
        <w:t xml:space="preserve">s might play a role, both in prophylaxis and in </w:t>
      </w:r>
      <w:r w:rsidR="00CF7D69">
        <w:rPr>
          <w:rFonts w:ascii="Book Antiqua" w:eastAsia="Book Antiqua" w:hAnsi="Book Antiqua" w:cs="Book Antiqua"/>
          <w:color w:val="000000"/>
        </w:rPr>
        <w:t xml:space="preserve">the </w:t>
      </w:r>
      <w:r>
        <w:rPr>
          <w:rFonts w:ascii="Book Antiqua" w:eastAsia="Book Antiqua" w:hAnsi="Book Antiqua" w:cs="Book Antiqua"/>
          <w:color w:val="000000"/>
        </w:rPr>
        <w:t xml:space="preserve">treatment of COVID-19. Ray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61</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bas</w:t>
      </w:r>
      <w:r w:rsidR="00CF7D69">
        <w:rPr>
          <w:rFonts w:ascii="Book Antiqua" w:eastAsia="Book Antiqua" w:hAnsi="Book Antiqua" w:cs="Book Antiqua"/>
          <w:color w:val="000000"/>
        </w:rPr>
        <w:t>ed</w:t>
      </w:r>
      <w:r>
        <w:rPr>
          <w:rFonts w:ascii="Book Antiqua" w:eastAsia="Book Antiqua" w:hAnsi="Book Antiqua" w:cs="Book Antiqua"/>
          <w:color w:val="000000"/>
        </w:rPr>
        <w:t xml:space="preserve"> on available scientific evidence, suggested the use of PPIs for therapeutic purposes in this virosis. It has been demonstrated </w:t>
      </w:r>
      <w:r w:rsidR="00CF7D69">
        <w:rPr>
          <w:rFonts w:ascii="Book Antiqua" w:eastAsia="Book Antiqua" w:hAnsi="Book Antiqua" w:cs="Book Antiqua"/>
          <w:color w:val="000000"/>
        </w:rPr>
        <w:t>that</w:t>
      </w:r>
      <w:r>
        <w:rPr>
          <w:rFonts w:ascii="Book Antiqua" w:eastAsia="Book Antiqua" w:hAnsi="Book Antiqua" w:cs="Book Antiqua"/>
          <w:color w:val="000000"/>
        </w:rPr>
        <w:t xml:space="preserve"> both pantoprazole and omeprazole can show a modulatory and a</w:t>
      </w:r>
      <w:r w:rsidR="00A21DFA">
        <w:rPr>
          <w:rFonts w:ascii="Book Antiqua" w:eastAsia="Book Antiqua" w:hAnsi="Book Antiqua" w:cs="Book Antiqua"/>
          <w:color w:val="000000"/>
        </w:rPr>
        <w:t>n</w:t>
      </w:r>
      <w:r>
        <w:rPr>
          <w:rFonts w:ascii="Book Antiqua" w:eastAsia="Book Antiqua" w:hAnsi="Book Antiqua" w:cs="Book Antiqua"/>
          <w:color w:val="000000"/>
        </w:rPr>
        <w:t xml:space="preserve"> inhibitory effect on autophagy. This physiological mechanism occurs in almost all cells and is capable of eliminating damaged or malfunctioning proteins, thereby ensuring cytoplasmic homeostasis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62-64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Autophagy may not work properly in various diseases, such as neurodegenerative disorders, metabolic diseases, cancer and infectious diseases. Host autophagy can help </w:t>
      </w:r>
      <w:r w:rsidR="000E634F">
        <w:rPr>
          <w:rFonts w:ascii="Book Antiqua" w:eastAsia="Book Antiqua" w:hAnsi="Book Antiqua" w:cs="Book Antiqua"/>
          <w:color w:val="000000"/>
        </w:rPr>
        <w:t xml:space="preserve">to </w:t>
      </w:r>
      <w:r>
        <w:rPr>
          <w:rFonts w:ascii="Book Antiqua" w:eastAsia="Book Antiqua" w:hAnsi="Book Antiqua" w:cs="Book Antiqua"/>
          <w:color w:val="000000"/>
        </w:rPr>
        <w:t>maintain homeostasis of intracellular organelles through the elimination of cellular waste, a</w:t>
      </w:r>
      <w:r w:rsidR="000E634F">
        <w:rPr>
          <w:rFonts w:ascii="Book Antiqua" w:eastAsia="Book Antiqua" w:hAnsi="Book Antiqua" w:cs="Book Antiqua"/>
          <w:color w:val="000000"/>
        </w:rPr>
        <w:t>nd</w:t>
      </w:r>
      <w:r>
        <w:rPr>
          <w:rFonts w:ascii="Book Antiqua" w:eastAsia="Book Antiqua" w:hAnsi="Book Antiqua" w:cs="Book Antiqua"/>
          <w:color w:val="000000"/>
        </w:rPr>
        <w:t xml:space="preserve"> affect the activities of some viruses to promote their proliferation and spread,</w:t>
      </w:r>
      <w:r>
        <w:rPr>
          <w:rFonts w:ascii="Book Antiqua" w:eastAsia="Book Antiqua" w:hAnsi="Book Antiqua" w:cs="Book Antiqua"/>
          <w:color w:val="000000"/>
          <w:szCs w:val="22"/>
        </w:rPr>
        <w:t xml:space="preserve"> </w:t>
      </w:r>
      <w:r>
        <w:rPr>
          <w:rFonts w:ascii="Book Antiqua" w:eastAsia="Book Antiqua" w:hAnsi="Book Antiqua" w:cs="Book Antiqua"/>
          <w:color w:val="000000"/>
        </w:rPr>
        <w:t>and this modality is a</w:t>
      </w:r>
      <w:r w:rsidR="000E634F">
        <w:rPr>
          <w:rFonts w:ascii="Book Antiqua" w:eastAsia="Book Antiqua" w:hAnsi="Book Antiqua" w:cs="Book Antiqua"/>
          <w:color w:val="000000"/>
        </w:rPr>
        <w:t>lso true</w:t>
      </w:r>
      <w:r>
        <w:rPr>
          <w:rFonts w:ascii="Book Antiqua" w:eastAsia="Book Antiqua" w:hAnsi="Book Antiqua" w:cs="Book Antiqua"/>
          <w:color w:val="000000"/>
        </w:rPr>
        <w:t xml:space="preserve"> for SARS-CoV-2</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The mechanisms involved in these events are not fully understood, nevertheless it has become apparent that as the intracellular pH rises, autophagy is also stimulated</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For this reason</w:t>
      </w:r>
      <w:r w:rsidR="000E634F">
        <w:rPr>
          <w:rFonts w:ascii="Book Antiqua" w:eastAsia="Book Antiqua" w:hAnsi="Book Antiqua" w:cs="Book Antiqua"/>
          <w:color w:val="000000"/>
        </w:rPr>
        <w:t>,</w:t>
      </w:r>
      <w:r>
        <w:rPr>
          <w:rFonts w:ascii="Book Antiqua" w:eastAsia="Book Antiqua" w:hAnsi="Book Antiqua" w:cs="Book Antiqua"/>
          <w:color w:val="000000"/>
        </w:rPr>
        <w:t xml:space="preserve"> researchers are </w:t>
      </w:r>
      <w:r w:rsidR="000E634F">
        <w:rPr>
          <w:rFonts w:ascii="Book Antiqua" w:eastAsia="Book Antiqua" w:hAnsi="Book Antiqua" w:cs="Book Antiqua"/>
          <w:color w:val="000000"/>
        </w:rPr>
        <w:t xml:space="preserve">now </w:t>
      </w:r>
      <w:r>
        <w:rPr>
          <w:rFonts w:ascii="Book Antiqua" w:eastAsia="Book Antiqua" w:hAnsi="Book Antiqua" w:cs="Book Antiqua"/>
          <w:color w:val="000000"/>
        </w:rPr>
        <w:t>considering particular</w:t>
      </w:r>
      <w:r w:rsidR="000E634F">
        <w:rPr>
          <w:rFonts w:ascii="Book Antiqua" w:eastAsia="Book Antiqua" w:hAnsi="Book Antiqua" w:cs="Book Antiqua"/>
          <w:color w:val="000000"/>
        </w:rPr>
        <w:t>ly</w:t>
      </w:r>
      <w:r>
        <w:rPr>
          <w:rFonts w:ascii="Book Antiqua" w:eastAsia="Book Antiqua" w:hAnsi="Book Antiqua" w:cs="Book Antiqua"/>
          <w:color w:val="000000"/>
        </w:rPr>
        <w:t xml:space="preserve"> the use of pantoprazole as a possible molecule in the course of COVID-19 pharmacologic treatment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PPIs are also able to regulate fibrogenesis, showing anti-fibrotic effects through the inhibition of molecules, such as fibronectin, collagen and matrix metalloproteinase enzymes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0E634F">
        <w:rPr>
          <w:rFonts w:ascii="Book Antiqua" w:eastAsia="Book Antiqua" w:hAnsi="Book Antiqua" w:cs="Book Antiqua"/>
          <w:color w:val="000000"/>
        </w:rPr>
        <w:t>P</w:t>
      </w:r>
      <w:r>
        <w:rPr>
          <w:rFonts w:ascii="Book Antiqua" w:eastAsia="Book Antiqua" w:hAnsi="Book Antiqua" w:cs="Book Antiqua"/>
          <w:color w:val="000000"/>
        </w:rPr>
        <w:t xml:space="preserve">ulmonary fibrosis, </w:t>
      </w:r>
      <w:r w:rsidR="000E634F">
        <w:rPr>
          <w:rFonts w:ascii="Book Antiqua" w:eastAsia="Book Antiqua" w:hAnsi="Book Antiqua" w:cs="Book Antiqua"/>
          <w:color w:val="000000"/>
        </w:rPr>
        <w:t xml:space="preserve">thought to be </w:t>
      </w:r>
      <w:r>
        <w:rPr>
          <w:rFonts w:ascii="Book Antiqua" w:eastAsia="Book Antiqua" w:hAnsi="Book Antiqua" w:cs="Book Antiqua"/>
          <w:color w:val="000000"/>
        </w:rPr>
        <w:t xml:space="preserve">a long-term consequence </w:t>
      </w:r>
      <w:r w:rsidR="000E634F">
        <w:rPr>
          <w:rFonts w:ascii="Book Antiqua" w:eastAsia="Book Antiqua" w:hAnsi="Book Antiqua" w:cs="Book Antiqua"/>
          <w:color w:val="000000"/>
        </w:rPr>
        <w:t xml:space="preserve">of this viral infection is </w:t>
      </w:r>
      <w:r>
        <w:rPr>
          <w:rFonts w:ascii="Book Antiqua" w:eastAsia="Book Antiqua" w:hAnsi="Book Antiqua" w:cs="Book Antiqua"/>
          <w:color w:val="000000"/>
        </w:rPr>
        <w:t xml:space="preserve">still debatable, many studies have correlated the use of PPIs </w:t>
      </w:r>
      <w:r w:rsidR="000E634F">
        <w:rPr>
          <w:rFonts w:ascii="Book Antiqua" w:eastAsia="Book Antiqua" w:hAnsi="Book Antiqua" w:cs="Book Antiqua"/>
          <w:color w:val="000000"/>
        </w:rPr>
        <w:t>with</w:t>
      </w:r>
      <w:r>
        <w:rPr>
          <w:rFonts w:ascii="Book Antiqua" w:eastAsia="Book Antiqua" w:hAnsi="Book Antiqua" w:cs="Book Antiqua"/>
          <w:color w:val="000000"/>
        </w:rPr>
        <w:t xml:space="preserve"> clinical improvement in patients suffering from idiopathic pulmonary fibrosis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69-72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During the previous SARS pandemic, SARS-CoV-1 virus inactivation based on intracellular pH was analyzed in alkali</w:t>
      </w:r>
      <w:r w:rsidR="000E634F">
        <w:rPr>
          <w:rFonts w:ascii="Book Antiqua" w:eastAsia="Book Antiqua" w:hAnsi="Book Antiqua" w:cs="Book Antiqua"/>
          <w:color w:val="000000"/>
        </w:rPr>
        <w:t>ne</w:t>
      </w:r>
      <w:r>
        <w:rPr>
          <w:rFonts w:ascii="Book Antiqua" w:eastAsia="Book Antiqua" w:hAnsi="Book Antiqua" w:cs="Book Antiqua"/>
          <w:color w:val="000000"/>
        </w:rPr>
        <w:t xml:space="preserve"> conditions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Pagat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73</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their experiments, using Vero cells and sodium hydroxide (NaOH) as an alkalizing agent, observed that the virus was active at a pH of 11, while at pH 13-13.5 it </w:t>
      </w:r>
      <w:r w:rsidR="000E634F">
        <w:rPr>
          <w:rFonts w:ascii="Book Antiqua" w:eastAsia="Book Antiqua" w:hAnsi="Book Antiqua" w:cs="Book Antiqua"/>
          <w:color w:val="000000"/>
        </w:rPr>
        <w:t xml:space="preserve">was </w:t>
      </w:r>
      <w:r>
        <w:rPr>
          <w:rFonts w:ascii="Book Antiqua" w:eastAsia="Book Antiqua" w:hAnsi="Book Antiqua" w:cs="Book Antiqua"/>
          <w:color w:val="000000"/>
        </w:rPr>
        <w:t>immediately inactivated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Viruses can directly enter host cells by binding their specific surface proteins to precise receptors followed by endocytosis, as in the case of SARS-CoV-2, in which the protein is a spike (S) glycoprotein and the receptor is an ACE-2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protein is organized in two functional domains: S1 subunit containing the receptor-binding domain (RBD) to bind the target cell by adhering to the ACE-2 receptor and S2 subunit, which is a second phase allowing the virus to enter into the host cell by fusing the respective membranes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fusion between S2 and the ACE-2 receptor is preceded by the action of a specific cellular protease, serine protease transmembrane 2 (TMPRSS2)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this way, the entire virus can enter into cells after formation of the SARS-CoV-2/ACE-2 complex and the relative fusion between the viral membrane and the luminal </w:t>
      </w:r>
      <w:r w:rsidR="000E634F">
        <w:rPr>
          <w:rFonts w:ascii="Book Antiqua" w:eastAsia="Book Antiqua" w:hAnsi="Book Antiqua" w:cs="Book Antiqua"/>
          <w:color w:val="000000"/>
        </w:rPr>
        <w:t>membrane</w:t>
      </w:r>
      <w:r>
        <w:rPr>
          <w:rFonts w:ascii="Book Antiqua" w:eastAsia="Book Antiqua" w:hAnsi="Book Antiqua" w:cs="Book Antiqua"/>
          <w:color w:val="000000"/>
        </w:rPr>
        <w:t xml:space="preserve"> of the endosome. This favors the transfer of the relative RNA to the cytosol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77-79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entry process also requires the intervention of other factors, such as endosomal pH acidification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Bayati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81</w:t>
      </w:r>
      <w:r w:rsidR="00486546">
        <w:rPr>
          <w:rFonts w:ascii="Book Antiqua" w:eastAsia="Book Antiqua" w:hAnsi="Book Antiqua" w:cs="Book Antiqua"/>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found that the pathway of endocytic entry is represented by clathrin-mediated endocytosis (CME)</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Pr="00486546">
        <w:rPr>
          <w:rFonts w:ascii="Book Antiqua" w:eastAsia="Book Antiqua" w:hAnsi="Book Antiqua" w:cs="Book Antiqua"/>
          <w:color w:val="000000"/>
        </w:rPr>
        <w:t xml:space="preserve">Figure </w:t>
      </w:r>
      <w:r w:rsidR="00D4205A">
        <w:rPr>
          <w:rFonts w:ascii="Book Antiqua" w:eastAsia="Book Antiqua" w:hAnsi="Book Antiqua" w:cs="Book Antiqua"/>
          <w:color w:val="000000"/>
        </w:rPr>
        <w:t>5</w:t>
      </w:r>
      <w:r>
        <w:rPr>
          <w:rFonts w:ascii="Book Antiqua" w:eastAsia="Book Antiqua" w:hAnsi="Book Antiqua" w:cs="Book Antiqua"/>
          <w:color w:val="000000"/>
        </w:rPr>
        <w:t>). This discovery is very important, as one of the molecules used in treatment of patients affected by COVID-19 is chloroquine (CQ), which blocks CME by reducing the expression of the phosphatidylinositol binding clathrin assembly protein (PICALM)</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82</w:t>
      </w:r>
      <w:r w:rsidR="00D4205A">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83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Aprotinin, a serine protease inhibitor, </w:t>
      </w:r>
      <w:r w:rsidR="000E634F">
        <w:rPr>
          <w:rFonts w:ascii="Book Antiqua" w:eastAsia="Book Antiqua" w:hAnsi="Book Antiqua" w:cs="Book Antiqua"/>
          <w:color w:val="000000"/>
        </w:rPr>
        <w:t>is used</w:t>
      </w:r>
      <w:r>
        <w:rPr>
          <w:rFonts w:ascii="Book Antiqua" w:eastAsia="Book Antiqua" w:hAnsi="Book Antiqua" w:cs="Book Antiqua"/>
          <w:color w:val="000000"/>
        </w:rPr>
        <w:t xml:space="preserve"> </w:t>
      </w:r>
      <w:r w:rsidR="000E634F">
        <w:rPr>
          <w:rFonts w:ascii="Book Antiqua" w:eastAsia="Book Antiqua" w:hAnsi="Book Antiqua" w:cs="Book Antiqua"/>
          <w:color w:val="000000"/>
        </w:rPr>
        <w:t>to</w:t>
      </w:r>
      <w:r>
        <w:rPr>
          <w:rFonts w:ascii="Book Antiqua" w:eastAsia="Book Antiqua" w:hAnsi="Book Antiqua" w:cs="Book Antiqua"/>
          <w:color w:val="000000"/>
        </w:rPr>
        <w:t xml:space="preserve"> treat pancreatitis and </w:t>
      </w:r>
      <w:r w:rsidR="000E634F">
        <w:rPr>
          <w:rFonts w:ascii="Book Antiqua" w:eastAsia="Book Antiqua" w:hAnsi="Book Antiqua" w:cs="Book Antiqua"/>
          <w:color w:val="000000"/>
        </w:rPr>
        <w:t>to</w:t>
      </w:r>
      <w:r>
        <w:rPr>
          <w:rFonts w:ascii="Book Antiqua" w:eastAsia="Book Antiqua" w:hAnsi="Book Antiqua" w:cs="Book Antiqua"/>
          <w:color w:val="000000"/>
        </w:rPr>
        <w:t xml:space="preserve"> reduc</w:t>
      </w:r>
      <w:r w:rsidR="000E634F">
        <w:rPr>
          <w:rFonts w:ascii="Book Antiqua" w:eastAsia="Book Antiqua" w:hAnsi="Book Antiqua" w:cs="Book Antiqua"/>
          <w:color w:val="000000"/>
        </w:rPr>
        <w:t>e</w:t>
      </w:r>
      <w:r>
        <w:rPr>
          <w:rFonts w:ascii="Book Antiqua" w:eastAsia="Book Antiqua" w:hAnsi="Book Antiqua" w:cs="Book Antiqua"/>
          <w:color w:val="000000"/>
        </w:rPr>
        <w:t xml:space="preserve"> bleeding during surgery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84,85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Its use was also assessed against influenza viruses, so much so that in Russia a formulation of this molecule in the form of </w:t>
      </w:r>
      <w:r w:rsidR="00141DC3">
        <w:rPr>
          <w:rFonts w:ascii="Book Antiqua" w:eastAsia="Book Antiqua" w:hAnsi="Book Antiqua" w:cs="Book Antiqua"/>
          <w:color w:val="000000"/>
        </w:rPr>
        <w:t xml:space="preserve">an </w:t>
      </w:r>
      <w:r>
        <w:rPr>
          <w:rFonts w:ascii="Book Antiqua" w:eastAsia="Book Antiqua" w:hAnsi="Book Antiqua" w:cs="Book Antiqua"/>
          <w:color w:val="000000"/>
        </w:rPr>
        <w:t>aerosol has been approved for the treatment of these viruses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previously observed by Shen </w:t>
      </w:r>
      <w:r>
        <w:rPr>
          <w:rFonts w:ascii="Book Antiqua" w:eastAsia="Book Antiqua" w:hAnsi="Book Antiqua" w:cs="Book Antiqua"/>
          <w:i/>
          <w:iCs/>
          <w:color w:val="000000"/>
        </w:rPr>
        <w:t>et al</w:t>
      </w:r>
      <w:r w:rsidR="00D4205A">
        <w:rPr>
          <w:rFonts w:ascii="Book Antiqua" w:eastAsia="Book Antiqua" w:hAnsi="Book Antiqua" w:cs="Book Antiqua"/>
          <w:color w:val="000000"/>
          <w:szCs w:val="30"/>
          <w:vertAlign w:val="superscript"/>
        </w:rPr>
        <w:t>[</w:t>
      </w:r>
      <w:r w:rsidR="00D4205A">
        <w:rPr>
          <w:rFonts w:ascii="Book Antiqua" w:eastAsia="Book Antiqua" w:hAnsi="Book Antiqua" w:cs="Book Antiqua"/>
          <w:color w:val="000000"/>
          <w:szCs w:val="20"/>
          <w:vertAlign w:val="superscript"/>
        </w:rPr>
        <w:t>87</w:t>
      </w:r>
      <w:r w:rsidR="00D4205A">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omeprazole can interfere with the acidification of lysosomes, a necessary requirement for viral replication. In a recent SARS-CoV</w:t>
      </w:r>
      <w:r w:rsidR="00141DC3">
        <w:rPr>
          <w:rFonts w:ascii="Book Antiqua" w:eastAsia="Book Antiqua" w:hAnsi="Book Antiqua" w:cs="Book Antiqua"/>
          <w:color w:val="000000"/>
        </w:rPr>
        <w:t>-</w:t>
      </w:r>
      <w:r>
        <w:rPr>
          <w:rFonts w:ascii="Book Antiqua" w:eastAsia="Book Antiqua" w:hAnsi="Book Antiqua" w:cs="Book Antiqua"/>
          <w:color w:val="000000"/>
        </w:rPr>
        <w:t xml:space="preserve">2-infected cell culture study, Bojkova </w:t>
      </w:r>
      <w:r>
        <w:rPr>
          <w:rFonts w:ascii="Book Antiqua" w:eastAsia="Book Antiqua" w:hAnsi="Book Antiqua" w:cs="Book Antiqua"/>
          <w:i/>
          <w:iCs/>
          <w:color w:val="000000"/>
        </w:rPr>
        <w:t>et al</w:t>
      </w:r>
      <w:r w:rsidR="00D4205A">
        <w:rPr>
          <w:rFonts w:ascii="Book Antiqua" w:eastAsia="Book Antiqua" w:hAnsi="Book Antiqua" w:cs="Book Antiqua"/>
          <w:color w:val="000000"/>
          <w:szCs w:val="30"/>
          <w:vertAlign w:val="superscript"/>
        </w:rPr>
        <w:t>[</w:t>
      </w:r>
      <w:r w:rsidR="00D4205A">
        <w:rPr>
          <w:rFonts w:ascii="Book Antiqua" w:eastAsia="Book Antiqua" w:hAnsi="Book Antiqua" w:cs="Book Antiqua"/>
          <w:color w:val="000000"/>
          <w:szCs w:val="20"/>
          <w:vertAlign w:val="superscript"/>
        </w:rPr>
        <w:t>88</w:t>
      </w:r>
      <w:r w:rsidR="00D4205A">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discovered</w:t>
      </w:r>
      <w:r w:rsidR="00D4205A">
        <w:rPr>
          <w:rFonts w:ascii="Book Antiqua" w:eastAsia="Book Antiqua" w:hAnsi="Book Antiqua" w:cs="Book Antiqua"/>
          <w:color w:val="000000"/>
        </w:rPr>
        <w:t xml:space="preserve"> </w:t>
      </w:r>
      <w:r>
        <w:rPr>
          <w:rFonts w:ascii="Book Antiqua" w:eastAsia="Book Antiqua" w:hAnsi="Book Antiqua" w:cs="Book Antiqua"/>
          <w:color w:val="000000"/>
        </w:rPr>
        <w:t>that the administration of omeprazole, at a therapeutic plasma concentration of 8 μ</w:t>
      </w:r>
      <w:r w:rsidR="00D4205A">
        <w:rPr>
          <w:rFonts w:ascii="Book Antiqua" w:eastAsia="Book Antiqua" w:hAnsi="Book Antiqua" w:cs="Book Antiqua"/>
          <w:color w:val="000000"/>
        </w:rPr>
        <w:t>mol/L</w:t>
      </w:r>
      <w:r>
        <w:rPr>
          <w:rFonts w:ascii="Book Antiqua" w:eastAsia="Book Antiqua" w:hAnsi="Book Antiqua" w:cs="Book Antiqua"/>
          <w:color w:val="000000"/>
        </w:rPr>
        <w:t xml:space="preserve">, has been shown to increase the efficacy of aprotinin by 2.7 times and </w:t>
      </w:r>
      <w:r w:rsidR="00141DC3">
        <w:rPr>
          <w:rFonts w:ascii="Book Antiqua" w:eastAsia="Book Antiqua" w:hAnsi="Book Antiqua" w:cs="Book Antiqua"/>
          <w:color w:val="000000"/>
        </w:rPr>
        <w:t xml:space="preserve">remdesivir </w:t>
      </w:r>
      <w:r>
        <w:rPr>
          <w:rFonts w:ascii="Book Antiqua" w:eastAsia="Book Antiqua" w:hAnsi="Book Antiqua" w:cs="Book Antiqua"/>
          <w:color w:val="000000"/>
        </w:rPr>
        <w:t xml:space="preserve">by 10 times. The findings showed </w:t>
      </w:r>
      <w:r w:rsidR="00141DC3">
        <w:rPr>
          <w:rFonts w:ascii="Book Antiqua" w:eastAsia="Book Antiqua" w:hAnsi="Book Antiqua" w:cs="Book Antiqua"/>
          <w:color w:val="000000"/>
        </w:rPr>
        <w:t xml:space="preserve">that </w:t>
      </w:r>
      <w:r>
        <w:rPr>
          <w:rFonts w:ascii="Book Antiqua" w:eastAsia="Book Antiqua" w:hAnsi="Book Antiqua" w:cs="Book Antiqua"/>
          <w:color w:val="000000"/>
        </w:rPr>
        <w:t>the combination of these two molecules (aprotinin and remdesivir) or single use, supported by the intake of omeprazole, may represent one of the possible emerging treatments for COVID-19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 common feature of both endosomes and lysosomes is a low intraluminal pH</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Vacuolar ATPase (V-ATPase), functionally identical to H</w:t>
      </w:r>
      <w:r w:rsidRPr="00D4205A">
        <w:rPr>
          <w:rFonts w:ascii="Book Antiqua" w:eastAsia="Book Antiqua" w:hAnsi="Book Antiqua" w:cs="Book Antiqua"/>
          <w:color w:val="000000"/>
          <w:vertAlign w:val="superscript"/>
        </w:rPr>
        <w:t>+</w:t>
      </w:r>
      <w:r>
        <w:rPr>
          <w:rFonts w:ascii="Book Antiqua" w:eastAsia="Book Antiqua" w:hAnsi="Book Antiqua" w:cs="Book Antiqua"/>
          <w:color w:val="000000"/>
        </w:rPr>
        <w:t>-ATPase, expressed on the surface of lysosomes and endosomes, is fundamental for the acidification of these two organelles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91,92</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Pr="00D4205A">
        <w:rPr>
          <w:rFonts w:ascii="Book Antiqua" w:eastAsia="Book Antiqua" w:hAnsi="Book Antiqua" w:cs="Book Antiqua"/>
          <w:color w:val="000000"/>
        </w:rPr>
        <w:t xml:space="preserve">Figure </w:t>
      </w:r>
      <w:r w:rsidR="00D4205A">
        <w:rPr>
          <w:rFonts w:ascii="Book Antiqua" w:eastAsia="Book Antiqua" w:hAnsi="Book Antiqua" w:cs="Book Antiqua"/>
          <w:color w:val="000000"/>
        </w:rPr>
        <w:t>5</w:t>
      </w:r>
      <w:r>
        <w:rPr>
          <w:rFonts w:ascii="Book Antiqua" w:eastAsia="Book Antiqua" w:hAnsi="Book Antiqua" w:cs="Book Antiqua"/>
          <w:color w:val="000000"/>
        </w:rPr>
        <w:t>). An increase in the pH of the</w:t>
      </w:r>
      <w:r w:rsidR="00141DC3">
        <w:rPr>
          <w:rFonts w:ascii="Book Antiqua" w:eastAsia="Book Antiqua" w:hAnsi="Book Antiqua" w:cs="Book Antiqua"/>
          <w:color w:val="000000"/>
        </w:rPr>
        <w:t xml:space="preserve">se organelles </w:t>
      </w:r>
      <w:r>
        <w:rPr>
          <w:rFonts w:ascii="Book Antiqua" w:eastAsia="Book Antiqua" w:hAnsi="Book Antiqua" w:cs="Book Antiqua"/>
          <w:color w:val="000000"/>
        </w:rPr>
        <w:t>could inhibit viral replication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Omeprazole and lansoprazole might inhibit V-ATPase in gastric mucosa and omeprazole has been shown to block this pump in rat models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94,95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has also </w:t>
      </w:r>
      <w:r w:rsidR="00141DC3">
        <w:rPr>
          <w:rFonts w:ascii="Book Antiqua" w:eastAsia="Book Antiqua" w:hAnsi="Book Antiqua" w:cs="Book Antiqua"/>
          <w:color w:val="000000"/>
        </w:rPr>
        <w:t xml:space="preserve">been </w:t>
      </w:r>
      <w:r>
        <w:rPr>
          <w:rFonts w:ascii="Book Antiqua" w:eastAsia="Book Antiqua" w:hAnsi="Book Antiqua" w:cs="Book Antiqua"/>
          <w:color w:val="000000"/>
        </w:rPr>
        <w:t xml:space="preserve">observed </w:t>
      </w:r>
      <w:r w:rsidR="00141DC3">
        <w:rPr>
          <w:rFonts w:ascii="Book Antiqua" w:eastAsia="Book Antiqua" w:hAnsi="Book Antiqua" w:cs="Book Antiqua"/>
          <w:color w:val="000000"/>
        </w:rPr>
        <w:t>that</w:t>
      </w:r>
      <w:r>
        <w:rPr>
          <w:rFonts w:ascii="Book Antiqua" w:eastAsia="Book Antiqua" w:hAnsi="Book Antiqua" w:cs="Book Antiqua"/>
          <w:color w:val="000000"/>
        </w:rPr>
        <w:t xml:space="preserve"> both omeprazole and esomeprazole can change the location of the </w:t>
      </w:r>
      <w:r w:rsidR="00D4205A">
        <w:rPr>
          <w:rFonts w:ascii="Book Antiqua" w:eastAsia="Book Antiqua" w:hAnsi="Book Antiqua" w:cs="Book Antiqua"/>
          <w:color w:val="000000"/>
        </w:rPr>
        <w:t>V</w:t>
      </w:r>
      <w:r>
        <w:rPr>
          <w:rFonts w:ascii="Book Antiqua" w:eastAsia="Book Antiqua" w:hAnsi="Book Antiqua" w:cs="Book Antiqua"/>
          <w:color w:val="000000"/>
        </w:rPr>
        <w:t>-ATPase in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141DC3">
        <w:rPr>
          <w:rFonts w:ascii="Book Antiqua" w:eastAsia="Book Antiqua" w:hAnsi="Book Antiqua" w:cs="Book Antiqua"/>
          <w:color w:val="000000"/>
        </w:rPr>
        <w:t>T</w:t>
      </w:r>
      <w:r>
        <w:rPr>
          <w:rFonts w:ascii="Book Antiqua" w:eastAsia="Book Antiqua" w:hAnsi="Book Antiqua" w:cs="Book Antiqua"/>
          <w:color w:val="000000"/>
        </w:rPr>
        <w:t xml:space="preserve">he inhibition of V-ATPase by PPIs </w:t>
      </w:r>
      <w:r w:rsidR="00141DC3">
        <w:rPr>
          <w:rFonts w:ascii="Book Antiqua" w:eastAsia="Book Antiqua" w:hAnsi="Book Antiqua" w:cs="Book Antiqua"/>
          <w:color w:val="000000"/>
        </w:rPr>
        <w:t xml:space="preserve">results in </w:t>
      </w:r>
      <w:r>
        <w:rPr>
          <w:rFonts w:ascii="Book Antiqua" w:eastAsia="Book Antiqua" w:hAnsi="Book Antiqua" w:cs="Book Antiqua"/>
          <w:color w:val="000000"/>
        </w:rPr>
        <w:t xml:space="preserve">loss of the pH gradient across the membranes of </w:t>
      </w:r>
      <w:r>
        <w:rPr>
          <w:rFonts w:ascii="Book Antiqua" w:eastAsia="Book Antiqua" w:hAnsi="Book Antiqua" w:cs="Book Antiqua"/>
          <w:color w:val="000000"/>
          <w:shd w:val="clear" w:color="auto" w:fill="FFFFFF"/>
        </w:rPr>
        <w:t>lysosomes and endosomes, resulting in cytosolic acidification and in endolysosomal alkalini</w:t>
      </w:r>
      <w:r w:rsidR="00141DC3">
        <w:rPr>
          <w:rFonts w:ascii="Book Antiqua" w:eastAsia="Book Antiqua" w:hAnsi="Book Antiqua" w:cs="Book Antiqua"/>
          <w:color w:val="000000"/>
          <w:shd w:val="clear" w:color="auto" w:fill="FFFFFF"/>
        </w:rPr>
        <w:t>z</w:t>
      </w:r>
      <w:r>
        <w:rPr>
          <w:rFonts w:ascii="Book Antiqua" w:eastAsia="Book Antiqua" w:hAnsi="Book Antiqua" w:cs="Book Antiqua"/>
          <w:color w:val="000000"/>
          <w:shd w:val="clear" w:color="auto" w:fill="FFFFFF"/>
        </w:rPr>
        <w:t>ation</w:t>
      </w:r>
      <w:r>
        <w:rPr>
          <w:rFonts w:ascii="Book Antiqua" w:eastAsia="Book Antiqua" w:hAnsi="Book Antiqua" w:cs="Book Antiqua"/>
          <w:color w:val="000000"/>
        </w:rPr>
        <w:t>, thus hindering viral replication and the resulting spread</w:t>
      </w:r>
      <w:r>
        <w:rPr>
          <w:rFonts w:ascii="Book Antiqua" w:eastAsia="Book Antiqua" w:hAnsi="Book Antiqua" w:cs="Book Antiqua"/>
          <w:color w:val="000000"/>
          <w:szCs w:val="30"/>
          <w:vertAlign w:val="superscript"/>
        </w:rPr>
        <w:t>[97-99]</w:t>
      </w:r>
      <w:r>
        <w:rPr>
          <w:rFonts w:ascii="Book Antiqua" w:eastAsia="Book Antiqua" w:hAnsi="Book Antiqua" w:cs="Book Antiqua"/>
          <w:color w:val="000000"/>
        </w:rPr>
        <w:t xml:space="preserve">. Further studies are needed to clarify </w:t>
      </w:r>
      <w:r w:rsidR="00141DC3">
        <w:rPr>
          <w:rFonts w:ascii="Book Antiqua" w:eastAsia="Book Antiqua" w:hAnsi="Book Antiqua" w:cs="Book Antiqua"/>
          <w:color w:val="000000"/>
        </w:rPr>
        <w:t>these findings</w:t>
      </w:r>
      <w:r>
        <w:rPr>
          <w:rFonts w:ascii="Book Antiqua" w:eastAsia="Book Antiqua" w:hAnsi="Book Antiqua" w:cs="Book Antiqua"/>
          <w:color w:val="000000"/>
        </w:rPr>
        <w:t>.</w:t>
      </w:r>
    </w:p>
    <w:p w14:paraId="217649B5" w14:textId="77777777" w:rsidR="00A77B3E" w:rsidRDefault="00A77B3E">
      <w:pPr>
        <w:spacing w:line="360" w:lineRule="auto"/>
        <w:jc w:val="both"/>
      </w:pPr>
    </w:p>
    <w:p w14:paraId="51F6741A" w14:textId="77777777" w:rsidR="00A77B3E" w:rsidRDefault="00C43656">
      <w:pPr>
        <w:spacing w:line="360" w:lineRule="auto"/>
        <w:jc w:val="both"/>
      </w:pPr>
      <w:r>
        <w:rPr>
          <w:rFonts w:ascii="Book Antiqua" w:eastAsia="Book Antiqua" w:hAnsi="Book Antiqua" w:cs="Book Antiqua"/>
          <w:b/>
          <w:caps/>
          <w:color w:val="000000"/>
          <w:u w:val="single"/>
        </w:rPr>
        <w:t>CONCLUSION</w:t>
      </w:r>
    </w:p>
    <w:p w14:paraId="76D0F0FE" w14:textId="278DCC7E" w:rsidR="00A77B3E" w:rsidRDefault="00C43656">
      <w:pPr>
        <w:spacing w:line="360" w:lineRule="auto"/>
        <w:jc w:val="both"/>
      </w:pPr>
      <w:r>
        <w:rPr>
          <w:rFonts w:ascii="Book Antiqua" w:eastAsia="Book Antiqua" w:hAnsi="Book Antiqua" w:cs="Book Antiqua"/>
          <w:color w:val="000000"/>
        </w:rPr>
        <w:t xml:space="preserve">The role of </w:t>
      </w:r>
      <w:r w:rsidR="004F16A1">
        <w:rPr>
          <w:rFonts w:ascii="Book Antiqua" w:eastAsia="Book Antiqua" w:hAnsi="Book Antiqua" w:cs="Book Antiqua"/>
          <w:color w:val="000000"/>
        </w:rPr>
        <w:t>PPI</w:t>
      </w:r>
      <w:r>
        <w:rPr>
          <w:rFonts w:ascii="Book Antiqua" w:eastAsia="Book Antiqua" w:hAnsi="Book Antiqua" w:cs="Book Antiqua"/>
          <w:color w:val="000000"/>
        </w:rPr>
        <w:t xml:space="preserve">s in the progression of infection by SARS-CoV-2 is still not fully understood. Most of the published works underline how their use, both before and during hospitalization, can represent a risk factor </w:t>
      </w:r>
      <w:r w:rsidR="00141DC3">
        <w:rPr>
          <w:rFonts w:ascii="Book Antiqua" w:eastAsia="Book Antiqua" w:hAnsi="Book Antiqua" w:cs="Book Antiqua"/>
          <w:color w:val="000000"/>
        </w:rPr>
        <w:t>in</w:t>
      </w:r>
      <w:r>
        <w:rPr>
          <w:rFonts w:ascii="Book Antiqua" w:eastAsia="Book Antiqua" w:hAnsi="Book Antiqua" w:cs="Book Antiqua"/>
          <w:color w:val="000000"/>
        </w:rPr>
        <w:t xml:space="preserve"> the course of the disease in terms of severity and mortality. Our review, based on the available studies, </w:t>
      </w:r>
      <w:r w:rsidR="00141DC3">
        <w:rPr>
          <w:rFonts w:ascii="Book Antiqua" w:eastAsia="Book Antiqua" w:hAnsi="Book Antiqua" w:cs="Book Antiqua"/>
          <w:color w:val="000000"/>
        </w:rPr>
        <w:t>has</w:t>
      </w:r>
      <w:r>
        <w:rPr>
          <w:rFonts w:ascii="Book Antiqua" w:eastAsia="Book Antiqua" w:hAnsi="Book Antiqua" w:cs="Book Antiqua"/>
          <w:color w:val="000000"/>
        </w:rPr>
        <w:t xml:space="preserve"> some limitations: </w:t>
      </w:r>
      <w:r w:rsidR="00D4205A">
        <w:rPr>
          <w:rFonts w:ascii="Book Antiqua" w:eastAsia="Book Antiqua" w:hAnsi="Book Antiqua" w:cs="Book Antiqua"/>
          <w:color w:val="000000"/>
        </w:rPr>
        <w:t>(1</w:t>
      </w:r>
      <w:r>
        <w:rPr>
          <w:rFonts w:ascii="Book Antiqua" w:eastAsia="Book Antiqua" w:hAnsi="Book Antiqua" w:cs="Book Antiqua"/>
          <w:color w:val="000000"/>
        </w:rPr>
        <w:t>) most of the</w:t>
      </w:r>
      <w:r w:rsidR="00141DC3">
        <w:rPr>
          <w:rFonts w:ascii="Book Antiqua" w:eastAsia="Book Antiqua" w:hAnsi="Book Antiqua" w:cs="Book Antiqua"/>
          <w:color w:val="000000"/>
        </w:rPr>
        <w:t xml:space="preserve"> studies </w:t>
      </w:r>
      <w:r>
        <w:rPr>
          <w:rFonts w:ascii="Book Antiqua" w:eastAsia="Book Antiqua" w:hAnsi="Book Antiqua" w:cs="Book Antiqua"/>
          <w:color w:val="000000"/>
        </w:rPr>
        <w:t xml:space="preserve">are observational or case-control studies; </w:t>
      </w:r>
      <w:r w:rsidR="00D4205A">
        <w:rPr>
          <w:rFonts w:ascii="Book Antiqua" w:eastAsia="Book Antiqua" w:hAnsi="Book Antiqua" w:cs="Book Antiqua"/>
          <w:color w:val="000000"/>
        </w:rPr>
        <w:t>(2</w:t>
      </w:r>
      <w:r>
        <w:rPr>
          <w:rFonts w:ascii="Book Antiqua" w:eastAsia="Book Antiqua" w:hAnsi="Book Antiqua" w:cs="Book Antiqua"/>
          <w:color w:val="000000"/>
        </w:rPr>
        <w:t xml:space="preserve">) there are no randomized controlled trials; </w:t>
      </w:r>
      <w:r w:rsidR="00D4205A">
        <w:rPr>
          <w:rFonts w:ascii="Book Antiqua" w:eastAsia="Book Antiqua" w:hAnsi="Book Antiqua" w:cs="Book Antiqua"/>
          <w:color w:val="000000"/>
        </w:rPr>
        <w:t>(3</w:t>
      </w:r>
      <w:r>
        <w:rPr>
          <w:rFonts w:ascii="Book Antiqua" w:eastAsia="Book Antiqua" w:hAnsi="Book Antiqua" w:cs="Book Antiqua"/>
          <w:color w:val="000000"/>
        </w:rPr>
        <w:t>) confound</w:t>
      </w:r>
      <w:r w:rsidR="00141DC3">
        <w:rPr>
          <w:rFonts w:ascii="Book Antiqua" w:eastAsia="Book Antiqua" w:hAnsi="Book Antiqua" w:cs="Book Antiqua"/>
          <w:color w:val="000000"/>
        </w:rPr>
        <w:t>ing</w:t>
      </w:r>
      <w:r>
        <w:rPr>
          <w:rFonts w:ascii="Book Antiqua" w:eastAsia="Book Antiqua" w:hAnsi="Book Antiqua" w:cs="Book Antiqua"/>
          <w:color w:val="000000"/>
        </w:rPr>
        <w:t xml:space="preserve"> aspects are present, such as statistically underpowered; </w:t>
      </w:r>
      <w:r w:rsidR="00D4205A">
        <w:rPr>
          <w:rFonts w:ascii="Book Antiqua" w:eastAsia="Book Antiqua" w:hAnsi="Book Antiqua" w:cs="Book Antiqua"/>
          <w:color w:val="000000"/>
        </w:rPr>
        <w:t>and (4</w:t>
      </w:r>
      <w:r>
        <w:rPr>
          <w:rFonts w:ascii="Book Antiqua" w:eastAsia="Book Antiqua" w:hAnsi="Book Antiqua" w:cs="Book Antiqua"/>
          <w:color w:val="000000"/>
        </w:rPr>
        <w:t xml:space="preserve">) statistically powered longitudinal studies in order to explore causality are lacking. These drugs possess well known anti-inflammatory and anti-fibrotic properties. If viral activity is regulated by intracellular pH, then what role can PPIs play? </w:t>
      </w:r>
      <w:r w:rsidR="00141DC3">
        <w:rPr>
          <w:rFonts w:ascii="Book Antiqua" w:eastAsia="Book Antiqua" w:hAnsi="Book Antiqua" w:cs="Book Antiqua"/>
          <w:color w:val="000000"/>
        </w:rPr>
        <w:t xml:space="preserve">Thus, </w:t>
      </w:r>
      <w:r>
        <w:rPr>
          <w:rFonts w:ascii="Book Antiqua" w:eastAsia="Book Antiqua" w:hAnsi="Book Antiqua" w:cs="Book Antiqua"/>
          <w:color w:val="000000"/>
        </w:rPr>
        <w:t>a paradox</w:t>
      </w:r>
      <w:r w:rsidR="00141DC3">
        <w:rPr>
          <w:rFonts w:ascii="Book Antiqua" w:eastAsia="Book Antiqua" w:hAnsi="Book Antiqua" w:cs="Book Antiqua"/>
          <w:color w:val="000000"/>
        </w:rPr>
        <w:t>ic</w:t>
      </w:r>
      <w:r>
        <w:rPr>
          <w:rFonts w:ascii="Book Antiqua" w:eastAsia="Book Antiqua" w:hAnsi="Book Antiqua" w:cs="Book Antiqua"/>
          <w:color w:val="000000"/>
        </w:rPr>
        <w:t xml:space="preserve">al relationship between </w:t>
      </w:r>
      <w:r w:rsidR="004D43B0">
        <w:rPr>
          <w:rFonts w:ascii="Book Antiqua" w:eastAsia="Book Antiqua" w:hAnsi="Book Antiqua" w:cs="Book Antiqua"/>
          <w:color w:val="000000"/>
        </w:rPr>
        <w:t xml:space="preserve">SARS-CoV-2 </w:t>
      </w:r>
      <w:r>
        <w:rPr>
          <w:rFonts w:ascii="Book Antiqua" w:eastAsia="Book Antiqua" w:hAnsi="Book Antiqua" w:cs="Book Antiqua"/>
          <w:color w:val="000000"/>
        </w:rPr>
        <w:t xml:space="preserve">infection and </w:t>
      </w:r>
      <w:r w:rsidR="004F16A1">
        <w:rPr>
          <w:rFonts w:ascii="Book Antiqua" w:eastAsia="Book Antiqua" w:hAnsi="Book Antiqua" w:cs="Book Antiqua"/>
          <w:color w:val="000000"/>
        </w:rPr>
        <w:t>PPI</w:t>
      </w:r>
      <w:r>
        <w:rPr>
          <w:rFonts w:ascii="Book Antiqua" w:eastAsia="Book Antiqua" w:hAnsi="Book Antiqua" w:cs="Book Antiqua"/>
          <w:color w:val="000000"/>
        </w:rPr>
        <w:t>s</w:t>
      </w:r>
      <w:r w:rsidR="004D43B0">
        <w:rPr>
          <w:rFonts w:ascii="Book Antiqua" w:eastAsia="Book Antiqua" w:hAnsi="Book Antiqua" w:cs="Book Antiqua"/>
          <w:color w:val="000000"/>
        </w:rPr>
        <w:t xml:space="preserve"> has emerged</w:t>
      </w:r>
      <w:r>
        <w:rPr>
          <w:rFonts w:ascii="Book Antiqua" w:eastAsia="Book Antiqua" w:hAnsi="Book Antiqua" w:cs="Book Antiqua"/>
          <w:color w:val="000000"/>
        </w:rPr>
        <w:t>. This review analyze</w:t>
      </w:r>
      <w:r w:rsidR="004D43B0">
        <w:rPr>
          <w:rFonts w:ascii="Book Antiqua" w:eastAsia="Book Antiqua" w:hAnsi="Book Antiqua" w:cs="Book Antiqua"/>
          <w:color w:val="000000"/>
        </w:rPr>
        <w:t>d</w:t>
      </w:r>
      <w:r>
        <w:rPr>
          <w:rFonts w:ascii="Book Antiqua" w:eastAsia="Book Antiqua" w:hAnsi="Book Antiqua" w:cs="Book Antiqua"/>
          <w:color w:val="000000"/>
        </w:rPr>
        <w:t xml:space="preserve"> the possible effects of PPIs in COVID-19 patients with the aim of trying to understand if their administration may be deleterious or may interfere with the clinical course of the disease.</w:t>
      </w:r>
    </w:p>
    <w:p w14:paraId="48BA4186" w14:textId="77777777" w:rsidR="00A77B3E" w:rsidRDefault="00A77B3E">
      <w:pPr>
        <w:spacing w:line="360" w:lineRule="auto"/>
        <w:jc w:val="both"/>
      </w:pPr>
    </w:p>
    <w:p w14:paraId="2C709842" w14:textId="77777777" w:rsidR="00A77B3E" w:rsidRDefault="00C43656">
      <w:pPr>
        <w:spacing w:line="360" w:lineRule="auto"/>
        <w:jc w:val="both"/>
      </w:pPr>
      <w:r>
        <w:rPr>
          <w:rFonts w:ascii="Book Antiqua" w:eastAsia="Book Antiqua" w:hAnsi="Book Antiqua" w:cs="Book Antiqua"/>
          <w:b/>
          <w:caps/>
          <w:color w:val="000000"/>
          <w:u w:val="single"/>
        </w:rPr>
        <w:t>ARTICLE HIGHLIGHTS</w:t>
      </w:r>
    </w:p>
    <w:p w14:paraId="768DE900" w14:textId="77777777" w:rsidR="00A77B3E" w:rsidRDefault="00C43656">
      <w:pPr>
        <w:spacing w:line="360" w:lineRule="auto"/>
        <w:jc w:val="both"/>
      </w:pPr>
      <w:r>
        <w:rPr>
          <w:rFonts w:ascii="Book Antiqua" w:eastAsia="Book Antiqua" w:hAnsi="Book Antiqua" w:cs="Book Antiqua"/>
          <w:b/>
          <w:i/>
          <w:color w:val="000000"/>
        </w:rPr>
        <w:t>Research background</w:t>
      </w:r>
    </w:p>
    <w:p w14:paraId="3D309AB6" w14:textId="61365C41" w:rsidR="00A77B3E" w:rsidRDefault="00D4205A">
      <w:pPr>
        <w:spacing w:line="360" w:lineRule="auto"/>
        <w:jc w:val="both"/>
      </w:pPr>
      <w:r>
        <w:rPr>
          <w:rFonts w:ascii="Book Antiqua" w:eastAsia="Book Antiqua" w:hAnsi="Book Antiqua" w:cs="Book Antiqua"/>
          <w:color w:val="000000"/>
        </w:rPr>
        <w:t>C</w:t>
      </w:r>
      <w:r w:rsidRPr="00B66013">
        <w:rPr>
          <w:rFonts w:ascii="Book Antiqua" w:eastAsia="Book Antiqua" w:hAnsi="Book Antiqua" w:cs="Book Antiqua"/>
          <w:color w:val="000000"/>
        </w:rPr>
        <w:t>oronavirus disease 2019</w:t>
      </w:r>
      <w:r>
        <w:rPr>
          <w:rFonts w:ascii="Book Antiqua" w:eastAsia="Book Antiqua" w:hAnsi="Book Antiqua" w:cs="Book Antiqua"/>
          <w:color w:val="000000"/>
        </w:rPr>
        <w:t xml:space="preserve"> (</w:t>
      </w:r>
      <w:r w:rsidR="00C43656">
        <w:rPr>
          <w:rFonts w:ascii="Book Antiqua" w:eastAsia="Book Antiqua" w:hAnsi="Book Antiqua" w:cs="Book Antiqua"/>
          <w:color w:val="000000"/>
        </w:rPr>
        <w:t>COVID-19</w:t>
      </w:r>
      <w:r>
        <w:rPr>
          <w:rFonts w:ascii="Book Antiqua" w:eastAsia="Book Antiqua" w:hAnsi="Book Antiqua" w:cs="Book Antiqua"/>
          <w:color w:val="000000"/>
        </w:rPr>
        <w:t>)</w:t>
      </w:r>
      <w:r w:rsidR="00C43656">
        <w:rPr>
          <w:rFonts w:ascii="Book Antiqua" w:eastAsia="Book Antiqua" w:hAnsi="Book Antiqua" w:cs="Book Antiqua"/>
          <w:color w:val="000000"/>
        </w:rPr>
        <w:t xml:space="preserve"> is an emerging infection increasingly found in clinical practice, </w:t>
      </w:r>
      <w:r w:rsidR="004D43B0">
        <w:rPr>
          <w:rFonts w:ascii="Book Antiqua" w:eastAsia="Book Antiqua" w:hAnsi="Book Antiqua" w:cs="Book Antiqua"/>
          <w:color w:val="000000"/>
        </w:rPr>
        <w:t>and is now</w:t>
      </w:r>
      <w:r w:rsidR="00C43656">
        <w:rPr>
          <w:rFonts w:ascii="Book Antiqua" w:eastAsia="Book Antiqua" w:hAnsi="Book Antiqua" w:cs="Book Antiqua"/>
          <w:color w:val="000000"/>
        </w:rPr>
        <w:t xml:space="preserve"> a </w:t>
      </w:r>
      <w:r w:rsidR="004D43B0">
        <w:rPr>
          <w:rFonts w:ascii="Book Antiqua" w:eastAsia="Book Antiqua" w:hAnsi="Book Antiqua" w:cs="Book Antiqua"/>
          <w:color w:val="000000"/>
        </w:rPr>
        <w:t>pandemic</w:t>
      </w:r>
      <w:r w:rsidR="00C43656">
        <w:rPr>
          <w:rFonts w:ascii="Book Antiqua" w:eastAsia="Book Antiqua" w:hAnsi="Book Antiqua" w:cs="Book Antiqua"/>
          <w:color w:val="000000"/>
        </w:rPr>
        <w:t xml:space="preserve">. Conventional pharmacotherapies, including proton pump inhibitors, are commonly used in the treatment of such patients. However, their clinical efficacy, as well as the risk of severe adverse events, remain a </w:t>
      </w:r>
      <w:r w:rsidR="004D43B0">
        <w:rPr>
          <w:rFonts w:ascii="Book Antiqua" w:eastAsia="Book Antiqua" w:hAnsi="Book Antiqua" w:cs="Book Antiqua"/>
          <w:color w:val="000000"/>
        </w:rPr>
        <w:t>problem</w:t>
      </w:r>
      <w:r w:rsidR="00C43656">
        <w:rPr>
          <w:rFonts w:ascii="Book Antiqua" w:eastAsia="Book Antiqua" w:hAnsi="Book Antiqua" w:cs="Book Antiqua"/>
          <w:color w:val="000000"/>
        </w:rPr>
        <w:t xml:space="preserve"> in their clinical application. Based on the fact that the use of this class of drugs seems to show both negative, particular</w:t>
      </w:r>
      <w:r w:rsidR="004D43B0">
        <w:rPr>
          <w:rFonts w:ascii="Book Antiqua" w:eastAsia="Book Antiqua" w:hAnsi="Book Antiqua" w:cs="Book Antiqua"/>
          <w:color w:val="000000"/>
        </w:rPr>
        <w:t>ly</w:t>
      </w:r>
      <w:r w:rsidR="00C43656">
        <w:rPr>
          <w:rFonts w:ascii="Book Antiqua" w:eastAsia="Book Antiqua" w:hAnsi="Book Antiqua" w:cs="Book Antiqua"/>
          <w:color w:val="000000"/>
        </w:rPr>
        <w:t xml:space="preserve"> in terms of severity and mortality, and positive effects on the course of this disease, it is neither realistic nor definitive to </w:t>
      </w:r>
      <w:r w:rsidR="004D43B0">
        <w:rPr>
          <w:rFonts w:ascii="Book Antiqua" w:eastAsia="Book Antiqua" w:hAnsi="Book Antiqua" w:cs="Book Antiqua"/>
          <w:color w:val="000000"/>
        </w:rPr>
        <w:t>consider</w:t>
      </w:r>
      <w:r w:rsidR="00C43656">
        <w:rPr>
          <w:rFonts w:ascii="Book Antiqua" w:eastAsia="Book Antiqua" w:hAnsi="Book Antiqua" w:cs="Book Antiqua"/>
          <w:color w:val="000000"/>
        </w:rPr>
        <w:t xml:space="preserve"> </w:t>
      </w:r>
      <w:r w:rsidR="004D43B0">
        <w:rPr>
          <w:rFonts w:ascii="Book Antiqua" w:eastAsia="Book Antiqua" w:hAnsi="Book Antiqua" w:cs="Book Antiqua"/>
          <w:color w:val="000000"/>
        </w:rPr>
        <w:t xml:space="preserve">not using </w:t>
      </w:r>
      <w:r w:rsidR="00C43656">
        <w:rPr>
          <w:rFonts w:ascii="Book Antiqua" w:eastAsia="Book Antiqua" w:hAnsi="Book Antiqua" w:cs="Book Antiqua"/>
          <w:color w:val="000000"/>
        </w:rPr>
        <w:t>the</w:t>
      </w:r>
      <w:r w:rsidR="004D43B0">
        <w:rPr>
          <w:rFonts w:ascii="Book Antiqua" w:eastAsia="Book Antiqua" w:hAnsi="Book Antiqua" w:cs="Book Antiqua"/>
          <w:color w:val="000000"/>
        </w:rPr>
        <w:t>se</w:t>
      </w:r>
      <w:r w:rsidR="00C43656">
        <w:rPr>
          <w:rFonts w:ascii="Book Antiqua" w:eastAsia="Book Antiqua" w:hAnsi="Book Antiqua" w:cs="Book Antiqua"/>
          <w:color w:val="000000"/>
        </w:rPr>
        <w:t xml:space="preserve"> medicinal product</w:t>
      </w:r>
      <w:r w:rsidR="004D43B0">
        <w:rPr>
          <w:rFonts w:ascii="Book Antiqua" w:eastAsia="Book Antiqua" w:hAnsi="Book Antiqua" w:cs="Book Antiqua"/>
          <w:color w:val="000000"/>
        </w:rPr>
        <w:t>s</w:t>
      </w:r>
      <w:r w:rsidR="00C43656">
        <w:rPr>
          <w:rFonts w:ascii="Book Antiqua" w:eastAsia="Book Antiqua" w:hAnsi="Book Antiqua" w:cs="Book Antiqua"/>
          <w:color w:val="000000"/>
        </w:rPr>
        <w:t xml:space="preserve"> in these patients.</w:t>
      </w:r>
    </w:p>
    <w:p w14:paraId="0CAC1FBF" w14:textId="77777777" w:rsidR="00A77B3E" w:rsidRDefault="00A77B3E">
      <w:pPr>
        <w:spacing w:line="360" w:lineRule="auto"/>
        <w:jc w:val="both"/>
      </w:pPr>
    </w:p>
    <w:p w14:paraId="424A9DE1" w14:textId="77777777" w:rsidR="00A77B3E" w:rsidRDefault="00C43656">
      <w:pPr>
        <w:spacing w:line="360" w:lineRule="auto"/>
        <w:jc w:val="both"/>
      </w:pPr>
      <w:r>
        <w:rPr>
          <w:rFonts w:ascii="Book Antiqua" w:eastAsia="Book Antiqua" w:hAnsi="Book Antiqua" w:cs="Book Antiqua"/>
          <w:b/>
          <w:i/>
          <w:color w:val="000000"/>
        </w:rPr>
        <w:t>Research motivation</w:t>
      </w:r>
    </w:p>
    <w:p w14:paraId="4397A31F" w14:textId="63F6CAD6" w:rsidR="00A77B3E" w:rsidRDefault="00C43656">
      <w:pPr>
        <w:spacing w:line="360" w:lineRule="auto"/>
        <w:jc w:val="both"/>
      </w:pPr>
      <w:r>
        <w:rPr>
          <w:rFonts w:ascii="Book Antiqua" w:eastAsia="Book Antiqua" w:hAnsi="Book Antiqua" w:cs="Book Antiqua"/>
          <w:color w:val="000000"/>
        </w:rPr>
        <w:t xml:space="preserve">Several basic and clinical studies have reported a relationship between </w:t>
      </w:r>
      <w:r w:rsidR="00D4205A">
        <w:rPr>
          <w:rFonts w:ascii="Book Antiqua" w:eastAsia="Book Antiqua" w:hAnsi="Book Antiqua" w:cs="Book Antiqua"/>
          <w:color w:val="000000"/>
        </w:rPr>
        <w:t>proton pump inhibitors (PPIs)</w:t>
      </w:r>
      <w:r>
        <w:rPr>
          <w:rFonts w:ascii="Book Antiqua" w:eastAsia="Book Antiqua" w:hAnsi="Book Antiqua" w:cs="Book Antiqua"/>
          <w:color w:val="000000"/>
        </w:rPr>
        <w:t xml:space="preserve"> use and COVID-19. </w:t>
      </w:r>
      <w:r w:rsidR="004D43B0">
        <w:rPr>
          <w:rFonts w:ascii="Book Antiqua" w:eastAsia="Book Antiqua" w:hAnsi="Book Antiqua" w:cs="Book Antiqua"/>
          <w:color w:val="000000"/>
        </w:rPr>
        <w:t>As</w:t>
      </w:r>
      <w:r>
        <w:rPr>
          <w:rFonts w:ascii="Book Antiqua" w:eastAsia="Book Antiqua" w:hAnsi="Book Antiqua" w:cs="Book Antiqua"/>
          <w:color w:val="000000"/>
        </w:rPr>
        <w:t xml:space="preserve"> the results obtained so far regarding these drugs are both against their use and in favor of it, the</w:t>
      </w:r>
      <w:r w:rsidR="004D43B0">
        <w:rPr>
          <w:rFonts w:ascii="Book Antiqua" w:eastAsia="Book Antiqua" w:hAnsi="Book Antiqua" w:cs="Book Antiqua"/>
          <w:color w:val="000000"/>
        </w:rPr>
        <w:t>se</w:t>
      </w:r>
      <w:r>
        <w:rPr>
          <w:rFonts w:ascii="Book Antiqua" w:eastAsia="Book Antiqua" w:hAnsi="Book Antiqua" w:cs="Book Antiqua"/>
          <w:color w:val="000000"/>
        </w:rPr>
        <w:t xml:space="preserve"> discordant conclusions </w:t>
      </w:r>
      <w:r w:rsidR="004D43B0">
        <w:rPr>
          <w:rFonts w:ascii="Book Antiqua" w:eastAsia="Book Antiqua" w:hAnsi="Book Antiqua" w:cs="Book Antiqua"/>
          <w:color w:val="000000"/>
        </w:rPr>
        <w:t>may</w:t>
      </w:r>
      <w:r>
        <w:rPr>
          <w:rFonts w:ascii="Book Antiqua" w:eastAsia="Book Antiqua" w:hAnsi="Book Antiqua" w:cs="Book Antiqua"/>
          <w:color w:val="000000"/>
        </w:rPr>
        <w:t xml:space="preserve"> create confusion among doctors </w:t>
      </w:r>
      <w:r w:rsidR="004D43B0">
        <w:rPr>
          <w:rFonts w:ascii="Book Antiqua" w:eastAsia="Book Antiqua" w:hAnsi="Book Antiqua" w:cs="Book Antiqua"/>
          <w:color w:val="000000"/>
        </w:rPr>
        <w:t>regarding</w:t>
      </w:r>
      <w:r>
        <w:rPr>
          <w:rFonts w:ascii="Book Antiqua" w:eastAsia="Book Antiqua" w:hAnsi="Book Antiqua" w:cs="Book Antiqua"/>
          <w:color w:val="000000"/>
        </w:rPr>
        <w:t xml:space="preserve"> their treatment choices.</w:t>
      </w:r>
    </w:p>
    <w:p w14:paraId="2B59A2B2" w14:textId="77777777" w:rsidR="00A77B3E" w:rsidRDefault="00A77B3E">
      <w:pPr>
        <w:spacing w:line="360" w:lineRule="auto"/>
        <w:jc w:val="both"/>
      </w:pPr>
    </w:p>
    <w:p w14:paraId="28C3569D" w14:textId="77777777" w:rsidR="00A77B3E" w:rsidRDefault="00C43656">
      <w:pPr>
        <w:spacing w:line="360" w:lineRule="auto"/>
        <w:jc w:val="both"/>
      </w:pPr>
      <w:r>
        <w:rPr>
          <w:rFonts w:ascii="Book Antiqua" w:eastAsia="Book Antiqua" w:hAnsi="Book Antiqua" w:cs="Book Antiqua"/>
          <w:b/>
          <w:i/>
          <w:color w:val="000000"/>
        </w:rPr>
        <w:t>Research objectives</w:t>
      </w:r>
    </w:p>
    <w:p w14:paraId="68DE979B" w14:textId="78E7D665" w:rsidR="00A77B3E" w:rsidRDefault="00C43656">
      <w:pPr>
        <w:spacing w:line="360" w:lineRule="auto"/>
        <w:jc w:val="both"/>
      </w:pPr>
      <w:r>
        <w:rPr>
          <w:rFonts w:ascii="Book Antiqua" w:eastAsia="Book Antiqua" w:hAnsi="Book Antiqua" w:cs="Book Antiqua"/>
          <w:color w:val="000000"/>
        </w:rPr>
        <w:t>The main objectives of this review</w:t>
      </w:r>
      <w:r w:rsidR="00D4205A">
        <w:rPr>
          <w:rFonts w:ascii="Book Antiqua" w:eastAsia="Book Antiqua" w:hAnsi="Book Antiqua" w:cs="Book Antiqua"/>
          <w:color w:val="000000"/>
        </w:rPr>
        <w:t xml:space="preserve"> </w:t>
      </w:r>
      <w:r>
        <w:rPr>
          <w:rFonts w:ascii="Book Antiqua" w:eastAsia="Book Antiqua" w:hAnsi="Book Antiqua" w:cs="Book Antiqua"/>
          <w:color w:val="000000"/>
        </w:rPr>
        <w:t>were to critically analyze the available data from studies accessible from the literature. Moreover, by following the extracted outcomes, future research</w:t>
      </w:r>
      <w:r w:rsidR="004D43B0">
        <w:rPr>
          <w:rFonts w:ascii="Book Antiqua" w:eastAsia="Book Antiqua" w:hAnsi="Book Antiqua" w:cs="Book Antiqua"/>
          <w:color w:val="000000"/>
        </w:rPr>
        <w:t xml:space="preserve"> is</w:t>
      </w:r>
      <w:r>
        <w:rPr>
          <w:rFonts w:ascii="Book Antiqua" w:eastAsia="Book Antiqua" w:hAnsi="Book Antiqua" w:cs="Book Antiqua"/>
          <w:color w:val="000000"/>
        </w:rPr>
        <w:t xml:space="preserve"> need</w:t>
      </w:r>
      <w:r w:rsidR="001803BE">
        <w:rPr>
          <w:rFonts w:ascii="Book Antiqua" w:eastAsia="Book Antiqua" w:hAnsi="Book Antiqua" w:cs="Book Antiqua"/>
          <w:color w:val="000000"/>
        </w:rPr>
        <w:t>ed</w:t>
      </w:r>
      <w:r>
        <w:rPr>
          <w:rFonts w:ascii="Book Antiqua" w:eastAsia="Book Antiqua" w:hAnsi="Book Antiqua" w:cs="Book Antiqua"/>
          <w:color w:val="000000"/>
        </w:rPr>
        <w:t>.</w:t>
      </w:r>
    </w:p>
    <w:p w14:paraId="3E6AF598" w14:textId="77777777" w:rsidR="00A77B3E" w:rsidRDefault="00A77B3E">
      <w:pPr>
        <w:spacing w:line="360" w:lineRule="auto"/>
        <w:jc w:val="both"/>
      </w:pPr>
    </w:p>
    <w:p w14:paraId="285C8B5B" w14:textId="77777777" w:rsidR="00A77B3E" w:rsidRDefault="00C43656">
      <w:pPr>
        <w:spacing w:line="360" w:lineRule="auto"/>
        <w:jc w:val="both"/>
      </w:pPr>
      <w:r>
        <w:rPr>
          <w:rFonts w:ascii="Book Antiqua" w:eastAsia="Book Antiqua" w:hAnsi="Book Antiqua" w:cs="Book Antiqua"/>
          <w:b/>
          <w:i/>
          <w:color w:val="000000"/>
        </w:rPr>
        <w:t>Research methods</w:t>
      </w:r>
    </w:p>
    <w:p w14:paraId="015AF250" w14:textId="11CBB3BA" w:rsidR="00A77B3E" w:rsidRDefault="00C43656">
      <w:pPr>
        <w:spacing w:line="360" w:lineRule="auto"/>
        <w:jc w:val="both"/>
      </w:pPr>
      <w:r>
        <w:rPr>
          <w:rFonts w:ascii="Book Antiqua" w:eastAsia="Book Antiqua" w:hAnsi="Book Antiqua" w:cs="Book Antiqua"/>
          <w:color w:val="000000"/>
        </w:rPr>
        <w:t xml:space="preserve">We searched three electronic databases up </w:t>
      </w:r>
      <w:r w:rsidR="004D43B0">
        <w:rPr>
          <w:rFonts w:ascii="Book Antiqua" w:eastAsia="Book Antiqua" w:hAnsi="Book Antiqua" w:cs="Book Antiqua"/>
          <w:color w:val="000000"/>
        </w:rPr>
        <w:t>to</w:t>
      </w:r>
      <w:r>
        <w:rPr>
          <w:rFonts w:ascii="Book Antiqua" w:eastAsia="Book Antiqua" w:hAnsi="Book Antiqua" w:cs="Book Antiqua"/>
          <w:color w:val="000000"/>
        </w:rPr>
        <w:t xml:space="preserve"> 30 November 2020, for studies that examined the safety and efficacy of the administration of PPIs in patients suffering from COVID-19. Two endpoints were considered: the severity and the mortality rates in th</w:t>
      </w:r>
      <w:r w:rsidR="004D43B0">
        <w:rPr>
          <w:rFonts w:ascii="Book Antiqua" w:eastAsia="Book Antiqua" w:hAnsi="Book Antiqua" w:cs="Book Antiqua"/>
          <w:color w:val="000000"/>
        </w:rPr>
        <w:t>is</w:t>
      </w:r>
      <w:r>
        <w:rPr>
          <w:rFonts w:ascii="Book Antiqua" w:eastAsia="Book Antiqua" w:hAnsi="Book Antiqua" w:cs="Book Antiqua"/>
          <w:color w:val="000000"/>
        </w:rPr>
        <w:t xml:space="preserve"> cohort. In order to calculate the estimate</w:t>
      </w:r>
      <w:r w:rsidR="004D43B0">
        <w:rPr>
          <w:rFonts w:ascii="Book Antiqua" w:eastAsia="Book Antiqua" w:hAnsi="Book Antiqua" w:cs="Book Antiqua"/>
          <w:color w:val="000000"/>
        </w:rPr>
        <w:t>d</w:t>
      </w:r>
      <w:r>
        <w:rPr>
          <w:rFonts w:ascii="Book Antiqua" w:eastAsia="Book Antiqua" w:hAnsi="Book Antiqua" w:cs="Book Antiqua"/>
          <w:color w:val="000000"/>
        </w:rPr>
        <w:t xml:space="preserve"> risks in this meta-analysis, fixed and random effects models were used.</w:t>
      </w:r>
    </w:p>
    <w:p w14:paraId="190E88C8" w14:textId="77777777" w:rsidR="00A77B3E" w:rsidRDefault="00A77B3E">
      <w:pPr>
        <w:spacing w:line="360" w:lineRule="auto"/>
        <w:jc w:val="both"/>
      </w:pPr>
    </w:p>
    <w:p w14:paraId="5DA23074" w14:textId="77777777" w:rsidR="00A77B3E" w:rsidRDefault="00C43656">
      <w:pPr>
        <w:spacing w:line="360" w:lineRule="auto"/>
        <w:jc w:val="both"/>
      </w:pPr>
      <w:r>
        <w:rPr>
          <w:rFonts w:ascii="Book Antiqua" w:eastAsia="Book Antiqua" w:hAnsi="Book Antiqua" w:cs="Book Antiqua"/>
          <w:b/>
          <w:i/>
          <w:color w:val="000000"/>
        </w:rPr>
        <w:t>Research results</w:t>
      </w:r>
    </w:p>
    <w:p w14:paraId="3229C8A4" w14:textId="6A6F109A" w:rsidR="00A77B3E" w:rsidRDefault="00C43656">
      <w:pPr>
        <w:spacing w:line="360" w:lineRule="auto"/>
        <w:jc w:val="both"/>
      </w:pPr>
      <w:r>
        <w:rPr>
          <w:rFonts w:ascii="Book Antiqua" w:eastAsia="Book Antiqua" w:hAnsi="Book Antiqua" w:cs="Book Antiqua"/>
          <w:color w:val="000000"/>
        </w:rPr>
        <w:t>The pooled incidence of severe events did not differ between patients with and without PPIs (</w:t>
      </w:r>
      <w:r w:rsidR="00D4205A" w:rsidRPr="00616F4C">
        <w:rPr>
          <w:rFonts w:ascii="Book Antiqua" w:eastAsia="Malgun Gothic" w:hAnsi="Book Antiqua"/>
        </w:rPr>
        <w:t>odds ratio</w:t>
      </w:r>
      <w:r>
        <w:rPr>
          <w:rFonts w:ascii="Book Antiqua" w:eastAsia="Book Antiqua" w:hAnsi="Book Antiqua" w:cs="Book Antiqua"/>
          <w:color w:val="000000"/>
        </w:rPr>
        <w:t xml:space="preserve"> 1.65, 95%</w:t>
      </w:r>
      <w:r w:rsidR="00D4205A" w:rsidRPr="00D4205A">
        <w:rPr>
          <w:rFonts w:ascii="Book Antiqua" w:eastAsia="Malgun Gothic" w:hAnsi="Book Antiqua"/>
        </w:rPr>
        <w:t xml:space="preserve"> </w:t>
      </w:r>
      <w:r w:rsidR="00D4205A" w:rsidRPr="00616F4C">
        <w:rPr>
          <w:rFonts w:ascii="Book Antiqua" w:eastAsia="Malgun Gothic" w:hAnsi="Book Antiqua"/>
        </w:rPr>
        <w:t>confidence interval</w:t>
      </w:r>
      <w:r>
        <w:rPr>
          <w:rFonts w:ascii="Book Antiqua" w:eastAsia="Book Antiqua" w:hAnsi="Book Antiqua" w:cs="Book Antiqua"/>
          <w:color w:val="000000"/>
        </w:rPr>
        <w:t>: 0.62-4.35) (</w:t>
      </w:r>
      <w:r>
        <w:rPr>
          <w:rFonts w:ascii="Book Antiqua" w:eastAsia="Book Antiqua" w:hAnsi="Book Antiqua" w:cs="Book Antiqua"/>
          <w:i/>
          <w:iCs/>
          <w:color w:val="000000"/>
        </w:rPr>
        <w:t>P</w:t>
      </w:r>
      <w:r>
        <w:rPr>
          <w:rFonts w:ascii="Book Antiqua" w:eastAsia="Book Antiqua" w:hAnsi="Book Antiqua" w:cs="Book Antiqua"/>
          <w:color w:val="000000"/>
        </w:rPr>
        <w:t xml:space="preserve"> = 0.314), </w:t>
      </w:r>
      <w:r w:rsidR="004D43B0">
        <w:rPr>
          <w:rFonts w:ascii="Book Antiqua" w:eastAsia="Book Antiqua" w:hAnsi="Book Antiqua" w:cs="Book Antiqua"/>
          <w:color w:val="000000"/>
        </w:rPr>
        <w:t>or</w:t>
      </w:r>
      <w:r>
        <w:rPr>
          <w:rFonts w:ascii="Book Antiqua" w:eastAsia="Book Antiqua" w:hAnsi="Book Antiqua" w:cs="Book Antiqua"/>
          <w:color w:val="000000"/>
        </w:rPr>
        <w:t xml:space="preserve"> for mortality (</w:t>
      </w:r>
      <w:r w:rsidR="00D4205A" w:rsidRPr="00616F4C">
        <w:rPr>
          <w:rFonts w:ascii="Book Antiqua" w:eastAsia="Malgun Gothic" w:hAnsi="Book Antiqua"/>
        </w:rPr>
        <w:t>odds ratio</w:t>
      </w:r>
      <w:r>
        <w:rPr>
          <w:rFonts w:ascii="Book Antiqua" w:eastAsia="Book Antiqua" w:hAnsi="Book Antiqua" w:cs="Book Antiqua"/>
          <w:color w:val="000000"/>
        </w:rPr>
        <w:t xml:space="preserve"> 1.77, 95%</w:t>
      </w:r>
      <w:r w:rsidR="00D4205A" w:rsidRPr="00D4205A">
        <w:rPr>
          <w:rFonts w:ascii="Book Antiqua" w:eastAsia="Malgun Gothic" w:hAnsi="Book Antiqua"/>
        </w:rPr>
        <w:t xml:space="preserve"> </w:t>
      </w:r>
      <w:r w:rsidR="00D4205A" w:rsidRPr="00616F4C">
        <w:rPr>
          <w:rFonts w:ascii="Book Antiqua" w:eastAsia="Malgun Gothic" w:hAnsi="Book Antiqua"/>
        </w:rPr>
        <w:t>confidence interval</w:t>
      </w:r>
      <w:r>
        <w:rPr>
          <w:rFonts w:ascii="Book Antiqua" w:eastAsia="Book Antiqua" w:hAnsi="Book Antiqua" w:cs="Book Antiqua"/>
          <w:color w:val="000000"/>
        </w:rPr>
        <w:t>: 0.62-5.03) (</w:t>
      </w:r>
      <w:r>
        <w:rPr>
          <w:rFonts w:ascii="Book Antiqua" w:eastAsia="Book Antiqua" w:hAnsi="Book Antiqua" w:cs="Book Antiqua"/>
          <w:i/>
          <w:iCs/>
          <w:color w:val="000000"/>
        </w:rPr>
        <w:t>P</w:t>
      </w:r>
      <w:r>
        <w:rPr>
          <w:rFonts w:ascii="Book Antiqua" w:eastAsia="Book Antiqua" w:hAnsi="Book Antiqua" w:cs="Book Antiqua"/>
          <w:color w:val="000000"/>
        </w:rPr>
        <w:t xml:space="preserve"> = 0.286). </w:t>
      </w:r>
    </w:p>
    <w:p w14:paraId="08030C5B" w14:textId="77777777" w:rsidR="00A77B3E" w:rsidRDefault="00A77B3E">
      <w:pPr>
        <w:spacing w:line="360" w:lineRule="auto"/>
        <w:jc w:val="both"/>
      </w:pPr>
    </w:p>
    <w:p w14:paraId="77FDAB30" w14:textId="77777777" w:rsidR="00A77B3E" w:rsidRDefault="00C43656">
      <w:pPr>
        <w:spacing w:line="360" w:lineRule="auto"/>
        <w:jc w:val="both"/>
      </w:pPr>
      <w:r>
        <w:rPr>
          <w:rFonts w:ascii="Book Antiqua" w:eastAsia="Book Antiqua" w:hAnsi="Book Antiqua" w:cs="Book Antiqua"/>
          <w:b/>
          <w:i/>
          <w:color w:val="000000"/>
        </w:rPr>
        <w:t>Research conclusions</w:t>
      </w:r>
    </w:p>
    <w:p w14:paraId="599D501D" w14:textId="4276E461" w:rsidR="00A77B3E" w:rsidRDefault="00C43656">
      <w:pPr>
        <w:spacing w:line="360" w:lineRule="auto"/>
        <w:jc w:val="both"/>
      </w:pPr>
      <w:r>
        <w:rPr>
          <w:rFonts w:ascii="Book Antiqua" w:eastAsia="Book Antiqua" w:hAnsi="Book Antiqua" w:cs="Book Antiqua"/>
          <w:color w:val="000000"/>
        </w:rPr>
        <w:t>This review analyze</w:t>
      </w:r>
      <w:r w:rsidR="004D43B0">
        <w:rPr>
          <w:rFonts w:ascii="Book Antiqua" w:eastAsia="Book Antiqua" w:hAnsi="Book Antiqua" w:cs="Book Antiqua"/>
          <w:color w:val="000000"/>
        </w:rPr>
        <w:t>d</w:t>
      </w:r>
      <w:r>
        <w:rPr>
          <w:rFonts w:ascii="Book Antiqua" w:eastAsia="Book Antiqua" w:hAnsi="Book Antiqua" w:cs="Book Antiqua"/>
          <w:color w:val="000000"/>
        </w:rPr>
        <w:t xml:space="preserve"> the possible effects of PPIs in COVID-19 patients with the aim of trying to understand if their administration may be deleterious or may interfere with the clinical course of the disease. The role of </w:t>
      </w:r>
      <w:r w:rsidR="004D43B0">
        <w:rPr>
          <w:rFonts w:ascii="Book Antiqua" w:eastAsia="Book Antiqua" w:hAnsi="Book Antiqua" w:cs="Book Antiqua"/>
          <w:color w:val="000000"/>
        </w:rPr>
        <w:t>PPI</w:t>
      </w:r>
      <w:r>
        <w:rPr>
          <w:rFonts w:ascii="Book Antiqua" w:eastAsia="Book Antiqua" w:hAnsi="Book Antiqua" w:cs="Book Antiqua"/>
          <w:color w:val="000000"/>
        </w:rPr>
        <w:t xml:space="preserve">s in the progression of </w:t>
      </w:r>
      <w:r w:rsidR="00D4205A" w:rsidRPr="00D4205A">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w:t>
      </w:r>
      <w:r w:rsidR="004D43B0">
        <w:rPr>
          <w:rFonts w:ascii="Book Antiqua" w:eastAsia="Book Antiqua" w:hAnsi="Book Antiqua" w:cs="Book Antiqua"/>
          <w:color w:val="000000"/>
        </w:rPr>
        <w:t xml:space="preserve">infection </w:t>
      </w:r>
      <w:r>
        <w:rPr>
          <w:rFonts w:ascii="Book Antiqua" w:eastAsia="Book Antiqua" w:hAnsi="Book Antiqua" w:cs="Book Antiqua"/>
          <w:color w:val="000000"/>
        </w:rPr>
        <w:t xml:space="preserve">is still not fully understood. </w:t>
      </w:r>
    </w:p>
    <w:p w14:paraId="03175629" w14:textId="77777777" w:rsidR="00A77B3E" w:rsidRDefault="00A77B3E">
      <w:pPr>
        <w:spacing w:line="360" w:lineRule="auto"/>
        <w:jc w:val="both"/>
      </w:pPr>
    </w:p>
    <w:p w14:paraId="31510C68" w14:textId="77777777" w:rsidR="00A77B3E" w:rsidRDefault="00C43656">
      <w:pPr>
        <w:spacing w:line="360" w:lineRule="auto"/>
        <w:jc w:val="both"/>
      </w:pPr>
      <w:r>
        <w:rPr>
          <w:rFonts w:ascii="Book Antiqua" w:eastAsia="Book Antiqua" w:hAnsi="Book Antiqua" w:cs="Book Antiqua"/>
          <w:b/>
          <w:i/>
          <w:color w:val="000000"/>
        </w:rPr>
        <w:t>Research perspectives</w:t>
      </w:r>
    </w:p>
    <w:p w14:paraId="0D55BD64" w14:textId="05B9E6D9" w:rsidR="00A77B3E" w:rsidRDefault="00C43656">
      <w:pPr>
        <w:spacing w:line="360" w:lineRule="auto"/>
        <w:jc w:val="both"/>
      </w:pPr>
      <w:r>
        <w:rPr>
          <w:rFonts w:ascii="Book Antiqua" w:eastAsia="Book Antiqua" w:hAnsi="Book Antiqua" w:cs="Book Antiqua"/>
          <w:color w:val="000000"/>
        </w:rPr>
        <w:t>The paradox</w:t>
      </w:r>
      <w:r w:rsidR="00C74F3B">
        <w:rPr>
          <w:rFonts w:ascii="Book Antiqua" w:eastAsia="Book Antiqua" w:hAnsi="Book Antiqua" w:cs="Book Antiqua"/>
          <w:color w:val="000000"/>
        </w:rPr>
        <w:t>ic</w:t>
      </w:r>
      <w:r>
        <w:rPr>
          <w:rFonts w:ascii="Book Antiqua" w:eastAsia="Book Antiqua" w:hAnsi="Book Antiqua" w:cs="Book Antiqua"/>
          <w:color w:val="000000"/>
        </w:rPr>
        <w:t>al relationship between PPIs and COVID-19 should not be a confounding factor for doctors but should prompt them to proceed with further studies in this regard.</w:t>
      </w:r>
    </w:p>
    <w:p w14:paraId="2D4F5403" w14:textId="77777777" w:rsidR="00A77B3E" w:rsidRDefault="00A77B3E">
      <w:pPr>
        <w:spacing w:line="360" w:lineRule="auto"/>
        <w:jc w:val="both"/>
      </w:pPr>
    </w:p>
    <w:p w14:paraId="5756B0C9" w14:textId="77777777" w:rsidR="00A77B3E" w:rsidRDefault="00C43656">
      <w:pPr>
        <w:spacing w:line="360" w:lineRule="auto"/>
        <w:jc w:val="both"/>
      </w:pPr>
      <w:r>
        <w:rPr>
          <w:rFonts w:ascii="Book Antiqua" w:eastAsia="Book Antiqua" w:hAnsi="Book Antiqua" w:cs="Book Antiqua"/>
          <w:b/>
          <w:caps/>
          <w:color w:val="000000"/>
          <w:u w:val="single"/>
        </w:rPr>
        <w:t>ACKNOWLEDGEMENTS</w:t>
      </w:r>
    </w:p>
    <w:p w14:paraId="33C8E39D" w14:textId="0F3021A5" w:rsidR="00A77B3E" w:rsidRDefault="00C43656">
      <w:pPr>
        <w:spacing w:line="360" w:lineRule="auto"/>
        <w:jc w:val="both"/>
      </w:pPr>
      <w:r>
        <w:rPr>
          <w:rFonts w:ascii="Book Antiqua" w:eastAsia="Book Antiqua" w:hAnsi="Book Antiqua" w:cs="Book Antiqua"/>
          <w:color w:val="000000"/>
        </w:rPr>
        <w:t>The Authors thank Dr. Varlotta</w:t>
      </w:r>
      <w:r w:rsidR="0050016D">
        <w:rPr>
          <w:rFonts w:ascii="Book Antiqua" w:eastAsia="Book Antiqua" w:hAnsi="Book Antiqua" w:cs="Book Antiqua"/>
          <w:color w:val="000000"/>
        </w:rPr>
        <w:t xml:space="preserve"> A</w:t>
      </w:r>
      <w:r>
        <w:rPr>
          <w:rFonts w:ascii="Book Antiqua" w:eastAsia="Book Antiqua" w:hAnsi="Book Antiqua" w:cs="Book Antiqua"/>
          <w:color w:val="000000"/>
        </w:rPr>
        <w:t>, Rome, Italy</w:t>
      </w:r>
      <w:r w:rsidR="0050016D">
        <w:rPr>
          <w:rFonts w:ascii="Book Antiqua" w:eastAsia="Book Antiqua" w:hAnsi="Book Antiqua" w:cs="Book Antiqua"/>
          <w:color w:val="000000"/>
        </w:rPr>
        <w:t xml:space="preserve"> and </w:t>
      </w:r>
      <w:r>
        <w:rPr>
          <w:rFonts w:ascii="Book Antiqua" w:eastAsia="Book Antiqua" w:hAnsi="Book Antiqua" w:cs="Book Antiqua"/>
          <w:color w:val="000000"/>
        </w:rPr>
        <w:t>Washington, United States, for her contribute in graphic illustration and Dr. de Vito</w:t>
      </w:r>
      <w:r w:rsidR="0050016D">
        <w:rPr>
          <w:rFonts w:ascii="Book Antiqua" w:eastAsia="Book Antiqua" w:hAnsi="Book Antiqua" w:cs="Book Antiqua"/>
          <w:color w:val="000000"/>
        </w:rPr>
        <w:t xml:space="preserve"> S</w:t>
      </w:r>
      <w:r>
        <w:rPr>
          <w:rFonts w:ascii="Book Antiqua" w:eastAsia="Book Antiqua" w:hAnsi="Book Antiqua" w:cs="Book Antiqua"/>
          <w:color w:val="000000"/>
        </w:rPr>
        <w:t>, Italian Medicines Agency, Rome, Italy, for the further English revision of the manuscript.</w:t>
      </w:r>
    </w:p>
    <w:p w14:paraId="3CD0DAA6" w14:textId="77777777" w:rsidR="00A77B3E" w:rsidRDefault="00A77B3E">
      <w:pPr>
        <w:spacing w:line="360" w:lineRule="auto"/>
        <w:jc w:val="both"/>
      </w:pPr>
    </w:p>
    <w:p w14:paraId="3360D943" w14:textId="77777777" w:rsidR="00A77B3E" w:rsidRDefault="00C43656">
      <w:pPr>
        <w:spacing w:line="360" w:lineRule="auto"/>
        <w:jc w:val="both"/>
      </w:pPr>
      <w:r>
        <w:rPr>
          <w:rFonts w:ascii="Book Antiqua" w:eastAsia="Book Antiqua" w:hAnsi="Book Antiqua" w:cs="Book Antiqua"/>
          <w:b/>
          <w:color w:val="000000"/>
        </w:rPr>
        <w:t>REFERENCES</w:t>
      </w:r>
    </w:p>
    <w:p w14:paraId="257BB9B5" w14:textId="77777777" w:rsidR="00A77B3E" w:rsidRDefault="00C43656">
      <w:pPr>
        <w:spacing w:line="360" w:lineRule="auto"/>
        <w:jc w:val="both"/>
      </w:pPr>
      <w:bookmarkStart w:id="10"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Zheng J</w:t>
      </w:r>
      <w:r>
        <w:rPr>
          <w:rFonts w:ascii="Book Antiqua" w:eastAsia="Book Antiqua" w:hAnsi="Book Antiqua" w:cs="Book Antiqua"/>
          <w:color w:val="000000"/>
        </w:rPr>
        <w:t xml:space="preserve">. SARS-CoV-2: an Emerging Coronavirus that Causes a Global Threat.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1678-1685 [PMID: 32226285 DOI: 10.7150/ijbs.45053]</w:t>
      </w:r>
    </w:p>
    <w:p w14:paraId="16900A7B" w14:textId="77777777" w:rsidR="00A77B3E" w:rsidRDefault="00C4365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Jiang F</w:t>
      </w:r>
      <w:r>
        <w:rPr>
          <w:rFonts w:ascii="Book Antiqua" w:eastAsia="Book Antiqua" w:hAnsi="Book Antiqua" w:cs="Book Antiqua"/>
          <w:color w:val="000000"/>
        </w:rPr>
        <w:t xml:space="preserve">, Deng L, Zhang L, Cai Y, Cheung CW, Xia Z. Review of the Clinical Characteristics of Coronavirus Disease 2019 (COVID-19). </w:t>
      </w:r>
      <w:r>
        <w:rPr>
          <w:rFonts w:ascii="Book Antiqua" w:eastAsia="Book Antiqua" w:hAnsi="Book Antiqua" w:cs="Book Antiqua"/>
          <w:i/>
          <w:iCs/>
          <w:color w:val="000000"/>
        </w:rPr>
        <w:t>J Gen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1545-1549 [PMID: 32133578 DOI: 10.1007/s11606-020-05762-w]</w:t>
      </w:r>
    </w:p>
    <w:p w14:paraId="2EEECD3A" w14:textId="77777777" w:rsidR="00A77B3E" w:rsidRPr="00F30D12" w:rsidRDefault="00C4365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Xiao F</w:t>
      </w:r>
      <w:r>
        <w:rPr>
          <w:rFonts w:ascii="Book Antiqua" w:eastAsia="Book Antiqua" w:hAnsi="Book Antiqua" w:cs="Book Antiqua"/>
          <w:color w:val="000000"/>
        </w:rPr>
        <w:t xml:space="preserve">, Tang M, Zheng X, Liu Y, Li X, Shan H. Evidence for Gastrointestinal Infection of SARS-CoV-2.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xml:space="preserve">: 1831-1833.e3 [PMID: 32142773 DOI: </w:t>
      </w:r>
      <w:r w:rsidRPr="00F30D12">
        <w:rPr>
          <w:rFonts w:ascii="Book Antiqua" w:eastAsia="Book Antiqua" w:hAnsi="Book Antiqua" w:cs="Book Antiqua"/>
          <w:color w:val="000000"/>
        </w:rPr>
        <w:t>10.1053/j.gastro.2020.02.055]</w:t>
      </w:r>
    </w:p>
    <w:p w14:paraId="1A43FAEC" w14:textId="77777777" w:rsidR="00A77B3E" w:rsidRPr="00F30D12" w:rsidRDefault="00C43656">
      <w:pPr>
        <w:spacing w:line="360" w:lineRule="auto"/>
        <w:jc w:val="both"/>
      </w:pPr>
      <w:r w:rsidRPr="00F30D12">
        <w:rPr>
          <w:rFonts w:ascii="Book Antiqua" w:eastAsia="Book Antiqua" w:hAnsi="Book Antiqua" w:cs="Book Antiqua"/>
          <w:color w:val="000000"/>
        </w:rPr>
        <w:t xml:space="preserve">4 </w:t>
      </w:r>
      <w:r w:rsidRPr="00F30D12">
        <w:rPr>
          <w:rFonts w:ascii="Book Antiqua" w:eastAsia="Book Antiqua" w:hAnsi="Book Antiqua" w:cs="Book Antiqua"/>
          <w:b/>
          <w:bCs/>
          <w:color w:val="000000"/>
        </w:rPr>
        <w:t>Tian Y</w:t>
      </w:r>
      <w:r w:rsidRPr="00F30D12">
        <w:rPr>
          <w:rFonts w:ascii="Book Antiqua" w:eastAsia="Book Antiqua" w:hAnsi="Book Antiqua" w:cs="Book Antiqua"/>
          <w:color w:val="000000"/>
        </w:rPr>
        <w:t xml:space="preserve">, Rong L, Nian W, He Y. Review article: gastrointestinal features in COVID-19 and the possibility of faecal transmission. </w:t>
      </w:r>
      <w:r w:rsidRPr="00F30D12">
        <w:rPr>
          <w:rFonts w:ascii="Book Antiqua" w:eastAsia="Book Antiqua" w:hAnsi="Book Antiqua" w:cs="Book Antiqua"/>
          <w:i/>
          <w:iCs/>
          <w:color w:val="000000"/>
        </w:rPr>
        <w:t>Aliment Pharmacol Ther</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51</w:t>
      </w:r>
      <w:r w:rsidRPr="00F30D12">
        <w:rPr>
          <w:rFonts w:ascii="Book Antiqua" w:eastAsia="Book Antiqua" w:hAnsi="Book Antiqua" w:cs="Book Antiqua"/>
          <w:color w:val="000000"/>
        </w:rPr>
        <w:t>: 843-851 [PMID: 32222988 DOI: 10.1111/apt.15731]</w:t>
      </w:r>
    </w:p>
    <w:p w14:paraId="3CFDE2D6"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 </w:t>
      </w:r>
      <w:r w:rsidRPr="00F30D12">
        <w:rPr>
          <w:rFonts w:ascii="Book Antiqua" w:eastAsia="Book Antiqua" w:hAnsi="Book Antiqua" w:cs="Book Antiqua"/>
          <w:b/>
          <w:bCs/>
          <w:color w:val="000000"/>
        </w:rPr>
        <w:t>Ali A</w:t>
      </w:r>
      <w:r w:rsidRPr="00F30D12">
        <w:rPr>
          <w:rFonts w:ascii="Book Antiqua" w:eastAsia="Book Antiqua" w:hAnsi="Book Antiqua" w:cs="Book Antiqua"/>
          <w:color w:val="000000"/>
        </w:rPr>
        <w:t xml:space="preserve">, Vijayan R. Dynamics of the ACE2-SARS-CoV-2/SARS-CoV spike protein interface reveal unique mechanisms. </w:t>
      </w:r>
      <w:r w:rsidRPr="00F30D12">
        <w:rPr>
          <w:rFonts w:ascii="Book Antiqua" w:eastAsia="Book Antiqua" w:hAnsi="Book Antiqua" w:cs="Book Antiqua"/>
          <w:i/>
          <w:iCs/>
          <w:color w:val="000000"/>
        </w:rPr>
        <w:t>Sci Rep</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10</w:t>
      </w:r>
      <w:r w:rsidRPr="00F30D12">
        <w:rPr>
          <w:rFonts w:ascii="Book Antiqua" w:eastAsia="Book Antiqua" w:hAnsi="Book Antiqua" w:cs="Book Antiqua"/>
          <w:color w:val="000000"/>
        </w:rPr>
        <w:t>: 14214 [PMID: 32848162 DOI: 10.1038/s41598-020-71188-3]</w:t>
      </w:r>
    </w:p>
    <w:p w14:paraId="72F400EF"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 </w:t>
      </w:r>
      <w:r w:rsidRPr="00F30D12">
        <w:rPr>
          <w:rFonts w:ascii="Book Antiqua" w:eastAsia="Book Antiqua" w:hAnsi="Book Antiqua" w:cs="Book Antiqua"/>
          <w:b/>
          <w:bCs/>
          <w:color w:val="000000"/>
        </w:rPr>
        <w:t>Song W</w:t>
      </w:r>
      <w:r w:rsidRPr="00F30D12">
        <w:rPr>
          <w:rFonts w:ascii="Book Antiqua" w:eastAsia="Book Antiqua" w:hAnsi="Book Antiqua" w:cs="Book Antiqua"/>
          <w:color w:val="000000"/>
        </w:rPr>
        <w:t xml:space="preserve">, Gui M, Wang X, Xiang Y. Cryo-EM structure of the SARS coronavirus spike glycoprotein in complex with its host cell receptor ACE2. </w:t>
      </w:r>
      <w:r w:rsidRPr="00F30D12">
        <w:rPr>
          <w:rFonts w:ascii="Book Antiqua" w:eastAsia="Book Antiqua" w:hAnsi="Book Antiqua" w:cs="Book Antiqua"/>
          <w:i/>
          <w:iCs/>
          <w:color w:val="000000"/>
        </w:rPr>
        <w:t>PLoS Pathog</w:t>
      </w:r>
      <w:r w:rsidRPr="00F30D12">
        <w:rPr>
          <w:rFonts w:ascii="Book Antiqua" w:eastAsia="Book Antiqua" w:hAnsi="Book Antiqua" w:cs="Book Antiqua"/>
          <w:color w:val="000000"/>
        </w:rPr>
        <w:t xml:space="preserve"> 2018; </w:t>
      </w:r>
      <w:r w:rsidRPr="00F30D12">
        <w:rPr>
          <w:rFonts w:ascii="Book Antiqua" w:eastAsia="Book Antiqua" w:hAnsi="Book Antiqua" w:cs="Book Antiqua"/>
          <w:b/>
          <w:bCs/>
          <w:color w:val="000000"/>
        </w:rPr>
        <w:t>14</w:t>
      </w:r>
      <w:r w:rsidRPr="00F30D12">
        <w:rPr>
          <w:rFonts w:ascii="Book Antiqua" w:eastAsia="Book Antiqua" w:hAnsi="Book Antiqua" w:cs="Book Antiqua"/>
          <w:color w:val="000000"/>
        </w:rPr>
        <w:t>: e1007236 [PMID: 30102747 DOI: 10.1371/journal.ppat.1007236]</w:t>
      </w:r>
    </w:p>
    <w:p w14:paraId="15D4BED2"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 </w:t>
      </w:r>
      <w:r w:rsidRPr="00F30D12">
        <w:rPr>
          <w:rFonts w:ascii="Book Antiqua" w:eastAsia="Book Antiqua" w:hAnsi="Book Antiqua" w:cs="Book Antiqua"/>
          <w:b/>
          <w:bCs/>
          <w:color w:val="000000"/>
        </w:rPr>
        <w:t>Ksiazek TG</w:t>
      </w:r>
      <w:r w:rsidRPr="00F30D12">
        <w:rPr>
          <w:rFonts w:ascii="Book Antiqua" w:eastAsia="Book Antiqua" w:hAnsi="Book Antiqua" w:cs="Book Antiqua"/>
          <w:color w:val="000000"/>
        </w:rPr>
        <w:t xml:space="preserve">, Erdman D, Goldsmith CS, Zaki SR, Peret T, Emery S, Tong S, Urbani C, Comer JA, Lim W, Rollin PE, Dowell SF, Ling AE, Humphrey CD, Shieh WJ, Guarner J, Paddock CD, Rota P, Fields B, DeRisi J, Yang JY, Cox N, Hughes JM, LeDuc JW, Bellini WJ, Anderson LJ; SARS Working Group. A novel coronavirus associated with severe acute respiratory syndrome. </w:t>
      </w:r>
      <w:r w:rsidRPr="00F30D12">
        <w:rPr>
          <w:rFonts w:ascii="Book Antiqua" w:eastAsia="Book Antiqua" w:hAnsi="Book Antiqua" w:cs="Book Antiqua"/>
          <w:i/>
          <w:iCs/>
          <w:color w:val="000000"/>
        </w:rPr>
        <w:t>N Engl J Med</w:t>
      </w:r>
      <w:r w:rsidRPr="00F30D12">
        <w:rPr>
          <w:rFonts w:ascii="Book Antiqua" w:eastAsia="Book Antiqua" w:hAnsi="Book Antiqua" w:cs="Book Antiqua"/>
          <w:color w:val="000000"/>
        </w:rPr>
        <w:t xml:space="preserve"> 2003; </w:t>
      </w:r>
      <w:r w:rsidRPr="00F30D12">
        <w:rPr>
          <w:rFonts w:ascii="Book Antiqua" w:eastAsia="Book Antiqua" w:hAnsi="Book Antiqua" w:cs="Book Antiqua"/>
          <w:b/>
          <w:bCs/>
          <w:color w:val="000000"/>
        </w:rPr>
        <w:t>348</w:t>
      </w:r>
      <w:r w:rsidRPr="00F30D12">
        <w:rPr>
          <w:rFonts w:ascii="Book Antiqua" w:eastAsia="Book Antiqua" w:hAnsi="Book Antiqua" w:cs="Book Antiqua"/>
          <w:color w:val="000000"/>
        </w:rPr>
        <w:t>: 1953-1966 [PMID: 12690092 DOI: 10.1056/NEJMoa030781]</w:t>
      </w:r>
    </w:p>
    <w:p w14:paraId="1DA94AA5" w14:textId="77777777" w:rsidR="00A77B3E" w:rsidRPr="00F30D12" w:rsidRDefault="00C43656">
      <w:pPr>
        <w:spacing w:line="360" w:lineRule="auto"/>
        <w:jc w:val="both"/>
      </w:pPr>
      <w:r w:rsidRPr="00F30D12">
        <w:rPr>
          <w:rFonts w:ascii="Book Antiqua" w:eastAsia="Book Antiqua" w:hAnsi="Book Antiqua" w:cs="Book Antiqua"/>
          <w:color w:val="000000"/>
        </w:rPr>
        <w:t xml:space="preserve">8 </w:t>
      </w:r>
      <w:r w:rsidRPr="00F30D12">
        <w:rPr>
          <w:rFonts w:ascii="Book Antiqua" w:eastAsia="Book Antiqua" w:hAnsi="Book Antiqua" w:cs="Book Antiqua"/>
          <w:b/>
          <w:bCs/>
          <w:color w:val="000000"/>
        </w:rPr>
        <w:t>Zippi M</w:t>
      </w:r>
      <w:r w:rsidRPr="00F30D12">
        <w:rPr>
          <w:rFonts w:ascii="Book Antiqua" w:eastAsia="Book Antiqua" w:hAnsi="Book Antiqua" w:cs="Book Antiqua"/>
          <w:color w:val="000000"/>
        </w:rPr>
        <w:t xml:space="preserve">, Fiorino S, Occhigrossi G, Hong W. Hypertransaminasemia in the course of infection with SARS-CoV-2: Incidence and pathogenetic hypothesis. </w:t>
      </w:r>
      <w:r w:rsidRPr="00F30D12">
        <w:rPr>
          <w:rFonts w:ascii="Book Antiqua" w:eastAsia="Book Antiqua" w:hAnsi="Book Antiqua" w:cs="Book Antiqua"/>
          <w:i/>
          <w:iCs/>
          <w:color w:val="000000"/>
        </w:rPr>
        <w:t>World J Clin Cases</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8</w:t>
      </w:r>
      <w:r w:rsidRPr="00F30D12">
        <w:rPr>
          <w:rFonts w:ascii="Book Antiqua" w:eastAsia="Book Antiqua" w:hAnsi="Book Antiqua" w:cs="Book Antiqua"/>
          <w:color w:val="000000"/>
        </w:rPr>
        <w:t>: 1385-1390 [PMID: 32368531 DOI: 10.12998/wjcc.v8.i8.1385]</w:t>
      </w:r>
    </w:p>
    <w:p w14:paraId="02A152F1" w14:textId="77777777" w:rsidR="00A77B3E" w:rsidRPr="00F30D12" w:rsidRDefault="00C43656">
      <w:pPr>
        <w:spacing w:line="360" w:lineRule="auto"/>
        <w:jc w:val="both"/>
      </w:pPr>
      <w:r w:rsidRPr="00F30D12">
        <w:rPr>
          <w:rFonts w:ascii="Book Antiqua" w:eastAsia="Book Antiqua" w:hAnsi="Book Antiqua" w:cs="Book Antiqua"/>
          <w:color w:val="000000"/>
        </w:rPr>
        <w:t xml:space="preserve">9 </w:t>
      </w:r>
      <w:r w:rsidRPr="00F30D12">
        <w:rPr>
          <w:rFonts w:ascii="Book Antiqua" w:eastAsia="Book Antiqua" w:hAnsi="Book Antiqua" w:cs="Book Antiqua"/>
          <w:b/>
          <w:bCs/>
          <w:color w:val="000000"/>
        </w:rPr>
        <w:t>Zippi M</w:t>
      </w:r>
      <w:r w:rsidRPr="00F30D12">
        <w:rPr>
          <w:rFonts w:ascii="Book Antiqua" w:eastAsia="Book Antiqua" w:hAnsi="Book Antiqua" w:cs="Book Antiqua"/>
          <w:color w:val="000000"/>
        </w:rPr>
        <w:t xml:space="preserve">, Hong W, Traversa G, Maccioni F, De Biase D, Gallo C, Fiorino S. Involvement of the exocrine pancreas during COVID-19 infection and possible pathogenetic hypothesis: a concise review. </w:t>
      </w:r>
      <w:r w:rsidRPr="00F30D12">
        <w:rPr>
          <w:rFonts w:ascii="Book Antiqua" w:eastAsia="Book Antiqua" w:hAnsi="Book Antiqua" w:cs="Book Antiqua"/>
          <w:i/>
          <w:iCs/>
          <w:color w:val="000000"/>
        </w:rPr>
        <w:t>Infez Med</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28</w:t>
      </w:r>
      <w:r w:rsidRPr="00F30D12">
        <w:rPr>
          <w:rFonts w:ascii="Book Antiqua" w:eastAsia="Book Antiqua" w:hAnsi="Book Antiqua" w:cs="Book Antiqua"/>
          <w:color w:val="000000"/>
        </w:rPr>
        <w:t>: 507-515 [PMID: 33257624]</w:t>
      </w:r>
    </w:p>
    <w:p w14:paraId="01F7A778"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10 </w:t>
      </w:r>
      <w:r w:rsidRPr="00F30D12">
        <w:rPr>
          <w:rFonts w:ascii="Book Antiqua" w:eastAsia="Book Antiqua" w:hAnsi="Book Antiqua" w:cs="Book Antiqua"/>
          <w:b/>
          <w:bCs/>
          <w:color w:val="000000"/>
        </w:rPr>
        <w:t>Yeo C</w:t>
      </w:r>
      <w:r w:rsidRPr="00F30D12">
        <w:rPr>
          <w:rFonts w:ascii="Book Antiqua" w:eastAsia="Book Antiqua" w:hAnsi="Book Antiqua" w:cs="Book Antiqua"/>
          <w:color w:val="000000"/>
        </w:rPr>
        <w:t xml:space="preserve">, Kaushal S, Yeo D. Enteric involvement of coronaviruses: is faecal-oral transmission of SARS-CoV-2 possible? </w:t>
      </w:r>
      <w:r w:rsidRPr="00F30D12">
        <w:rPr>
          <w:rFonts w:ascii="Book Antiqua" w:eastAsia="Book Antiqua" w:hAnsi="Book Antiqua" w:cs="Book Antiqua"/>
          <w:i/>
          <w:iCs/>
          <w:color w:val="000000"/>
        </w:rPr>
        <w:t>Lancet Gastroenterol Hepatol</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5</w:t>
      </w:r>
      <w:r w:rsidRPr="00F30D12">
        <w:rPr>
          <w:rFonts w:ascii="Book Antiqua" w:eastAsia="Book Antiqua" w:hAnsi="Book Antiqua" w:cs="Book Antiqua"/>
          <w:color w:val="000000"/>
        </w:rPr>
        <w:t>: 335-337 [PMID: 32087098 DOI: 10.1016/S2468-1253(20)30048-0]</w:t>
      </w:r>
    </w:p>
    <w:p w14:paraId="14E057C1"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11 </w:t>
      </w:r>
      <w:r w:rsidRPr="00F30D12">
        <w:rPr>
          <w:rFonts w:ascii="Book Antiqua" w:eastAsia="Book Antiqua" w:hAnsi="Book Antiqua" w:cs="Book Antiqua"/>
          <w:b/>
          <w:bCs/>
          <w:color w:val="000000"/>
        </w:rPr>
        <w:t>Shin JM</w:t>
      </w:r>
      <w:r w:rsidRPr="00F30D12">
        <w:rPr>
          <w:rFonts w:ascii="Book Antiqua" w:eastAsia="Book Antiqua" w:hAnsi="Book Antiqua" w:cs="Book Antiqua"/>
          <w:color w:val="000000"/>
        </w:rPr>
        <w:t xml:space="preserve">, Sachs G. Pharmacology of proton pump inhibitors. </w:t>
      </w:r>
      <w:r w:rsidRPr="00F30D12">
        <w:rPr>
          <w:rFonts w:ascii="Book Antiqua" w:eastAsia="Book Antiqua" w:hAnsi="Book Antiqua" w:cs="Book Antiqua"/>
          <w:i/>
          <w:iCs/>
          <w:color w:val="000000"/>
        </w:rPr>
        <w:t>Curr Gastroenterol Rep</w:t>
      </w:r>
      <w:r w:rsidRPr="00F30D12">
        <w:rPr>
          <w:rFonts w:ascii="Book Antiqua" w:eastAsia="Book Antiqua" w:hAnsi="Book Antiqua" w:cs="Book Antiqua"/>
          <w:color w:val="000000"/>
        </w:rPr>
        <w:t xml:space="preserve"> 2008; </w:t>
      </w:r>
      <w:r w:rsidRPr="00F30D12">
        <w:rPr>
          <w:rFonts w:ascii="Book Antiqua" w:eastAsia="Book Antiqua" w:hAnsi="Book Antiqua" w:cs="Book Antiqua"/>
          <w:b/>
          <w:bCs/>
          <w:color w:val="000000"/>
        </w:rPr>
        <w:t>10</w:t>
      </w:r>
      <w:r w:rsidRPr="00F30D12">
        <w:rPr>
          <w:rFonts w:ascii="Book Antiqua" w:eastAsia="Book Antiqua" w:hAnsi="Book Antiqua" w:cs="Book Antiqua"/>
          <w:color w:val="000000"/>
        </w:rPr>
        <w:t>: 528-534 [PMID: 19006606 DOI: 10.1007/s11894-008-0098-4]</w:t>
      </w:r>
    </w:p>
    <w:p w14:paraId="7D933137"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12 </w:t>
      </w:r>
      <w:r w:rsidRPr="00F30D12">
        <w:rPr>
          <w:rFonts w:ascii="Book Antiqua" w:eastAsia="Book Antiqua" w:hAnsi="Book Antiqua" w:cs="Book Antiqua"/>
          <w:b/>
          <w:bCs/>
          <w:color w:val="000000"/>
        </w:rPr>
        <w:t>Nehra AK</w:t>
      </w:r>
      <w:r w:rsidRPr="00F30D12">
        <w:rPr>
          <w:rFonts w:ascii="Book Antiqua" w:eastAsia="Book Antiqua" w:hAnsi="Book Antiqua" w:cs="Book Antiqua"/>
          <w:color w:val="000000"/>
        </w:rPr>
        <w:t xml:space="preserve">, Alexander JA, Loftus CG, Nehra V. Proton Pump Inhibitors: Review of Emerging Concerns. </w:t>
      </w:r>
      <w:r w:rsidRPr="00F30D12">
        <w:rPr>
          <w:rFonts w:ascii="Book Antiqua" w:eastAsia="Book Antiqua" w:hAnsi="Book Antiqua" w:cs="Book Antiqua"/>
          <w:i/>
          <w:iCs/>
          <w:color w:val="000000"/>
        </w:rPr>
        <w:t>Mayo Clin Proc</w:t>
      </w:r>
      <w:r w:rsidRPr="00F30D12">
        <w:rPr>
          <w:rFonts w:ascii="Book Antiqua" w:eastAsia="Book Antiqua" w:hAnsi="Book Antiqua" w:cs="Book Antiqua"/>
          <w:color w:val="000000"/>
        </w:rPr>
        <w:t xml:space="preserve"> 2018; </w:t>
      </w:r>
      <w:r w:rsidRPr="00F30D12">
        <w:rPr>
          <w:rFonts w:ascii="Book Antiqua" w:eastAsia="Book Antiqua" w:hAnsi="Book Antiqua" w:cs="Book Antiqua"/>
          <w:b/>
          <w:bCs/>
          <w:color w:val="000000"/>
        </w:rPr>
        <w:t>93</w:t>
      </w:r>
      <w:r w:rsidRPr="00F30D12">
        <w:rPr>
          <w:rFonts w:ascii="Book Antiqua" w:eastAsia="Book Antiqua" w:hAnsi="Book Antiqua" w:cs="Book Antiqua"/>
          <w:color w:val="000000"/>
        </w:rPr>
        <w:t>: 240-246 [PMID: 29406201 DOI: 10.1016/j.mayocp.2017.10.022]</w:t>
      </w:r>
    </w:p>
    <w:p w14:paraId="12D406B5"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13 </w:t>
      </w:r>
      <w:r w:rsidRPr="00F30D12">
        <w:rPr>
          <w:rFonts w:ascii="Book Antiqua" w:eastAsia="Book Antiqua" w:hAnsi="Book Antiqua" w:cs="Book Antiqua"/>
          <w:b/>
          <w:bCs/>
          <w:color w:val="000000"/>
        </w:rPr>
        <w:t>Strand DS</w:t>
      </w:r>
      <w:r w:rsidRPr="00F30D12">
        <w:rPr>
          <w:rFonts w:ascii="Book Antiqua" w:eastAsia="Book Antiqua" w:hAnsi="Book Antiqua" w:cs="Book Antiqua"/>
          <w:color w:val="000000"/>
        </w:rPr>
        <w:t xml:space="preserve">, Kim D, Peura DA. 25 Years of Proton Pump Inhibitors: A Comprehensive Review. </w:t>
      </w:r>
      <w:r w:rsidRPr="00F30D12">
        <w:rPr>
          <w:rFonts w:ascii="Book Antiqua" w:eastAsia="Book Antiqua" w:hAnsi="Book Antiqua" w:cs="Book Antiqua"/>
          <w:i/>
          <w:iCs/>
          <w:color w:val="000000"/>
        </w:rPr>
        <w:t>Gut Liver</w:t>
      </w:r>
      <w:r w:rsidRPr="00F30D12">
        <w:rPr>
          <w:rFonts w:ascii="Book Antiqua" w:eastAsia="Book Antiqua" w:hAnsi="Book Antiqua" w:cs="Book Antiqua"/>
          <w:color w:val="000000"/>
        </w:rPr>
        <w:t xml:space="preserve"> 2017; </w:t>
      </w:r>
      <w:r w:rsidRPr="00F30D12">
        <w:rPr>
          <w:rFonts w:ascii="Book Antiqua" w:eastAsia="Book Antiqua" w:hAnsi="Book Antiqua" w:cs="Book Antiqua"/>
          <w:b/>
          <w:bCs/>
          <w:color w:val="000000"/>
        </w:rPr>
        <w:t>11</w:t>
      </w:r>
      <w:r w:rsidRPr="00F30D12">
        <w:rPr>
          <w:rFonts w:ascii="Book Antiqua" w:eastAsia="Book Antiqua" w:hAnsi="Book Antiqua" w:cs="Book Antiqua"/>
          <w:color w:val="000000"/>
        </w:rPr>
        <w:t>: 27-37 [PMID: 27840364 DOI: 10.5009/gnl15502]</w:t>
      </w:r>
    </w:p>
    <w:p w14:paraId="6B121B9A"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14 </w:t>
      </w:r>
      <w:r w:rsidRPr="00F30D12">
        <w:rPr>
          <w:rFonts w:ascii="Book Antiqua" w:eastAsia="Book Antiqua" w:hAnsi="Book Antiqua" w:cs="Book Antiqua"/>
          <w:b/>
          <w:bCs/>
          <w:color w:val="000000"/>
        </w:rPr>
        <w:t>Rotman SR</w:t>
      </w:r>
      <w:r w:rsidRPr="00F30D12">
        <w:rPr>
          <w:rFonts w:ascii="Book Antiqua" w:eastAsia="Book Antiqua" w:hAnsi="Book Antiqua" w:cs="Book Antiqua"/>
          <w:color w:val="000000"/>
        </w:rPr>
        <w:t xml:space="preserve">, Bishop TF. Proton pump inhibitor use in the U.S. ambulatory setting, 2002-2009. </w:t>
      </w:r>
      <w:r w:rsidRPr="00F30D12">
        <w:rPr>
          <w:rFonts w:ascii="Book Antiqua" w:eastAsia="Book Antiqua" w:hAnsi="Book Antiqua" w:cs="Book Antiqua"/>
          <w:i/>
          <w:iCs/>
          <w:color w:val="000000"/>
        </w:rPr>
        <w:t>PLoS One</w:t>
      </w:r>
      <w:r w:rsidRPr="00F30D12">
        <w:rPr>
          <w:rFonts w:ascii="Book Antiqua" w:eastAsia="Book Antiqua" w:hAnsi="Book Antiqua" w:cs="Book Antiqua"/>
          <w:color w:val="000000"/>
        </w:rPr>
        <w:t xml:space="preserve"> 2013; </w:t>
      </w:r>
      <w:r w:rsidRPr="00F30D12">
        <w:rPr>
          <w:rFonts w:ascii="Book Antiqua" w:eastAsia="Book Antiqua" w:hAnsi="Book Antiqua" w:cs="Book Antiqua"/>
          <w:b/>
          <w:bCs/>
          <w:color w:val="000000"/>
        </w:rPr>
        <w:t>8</w:t>
      </w:r>
      <w:r w:rsidRPr="00F30D12">
        <w:rPr>
          <w:rFonts w:ascii="Book Antiqua" w:eastAsia="Book Antiqua" w:hAnsi="Book Antiqua" w:cs="Book Antiqua"/>
          <w:color w:val="000000"/>
        </w:rPr>
        <w:t>: e56060 [PMID: 23418510 DOI: 10.1371/journal.pone.0056060]</w:t>
      </w:r>
    </w:p>
    <w:p w14:paraId="30B9D896"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15 </w:t>
      </w:r>
      <w:r w:rsidRPr="00F30D12">
        <w:rPr>
          <w:rFonts w:ascii="Book Antiqua" w:eastAsia="Book Antiqua" w:hAnsi="Book Antiqua" w:cs="Book Antiqua"/>
          <w:b/>
          <w:bCs/>
          <w:color w:val="000000"/>
        </w:rPr>
        <w:t>Ramirez E</w:t>
      </w:r>
      <w:r w:rsidRPr="00F30D12">
        <w:rPr>
          <w:rFonts w:ascii="Book Antiqua" w:eastAsia="Book Antiqua" w:hAnsi="Book Antiqua" w:cs="Book Antiqua"/>
          <w:color w:val="000000"/>
        </w:rPr>
        <w:t xml:space="preserve">, Lei SH, Borobia AM, Piñana E, Fudio S, Muñoz R, Campos A, Carcas AJ, Frias J. Overuse of PPIs in patients at admission, during treatment, and at discharge in a tertiary Spanish hospital. </w:t>
      </w:r>
      <w:r w:rsidRPr="00F30D12">
        <w:rPr>
          <w:rFonts w:ascii="Book Antiqua" w:eastAsia="Book Antiqua" w:hAnsi="Book Antiqua" w:cs="Book Antiqua"/>
          <w:i/>
          <w:iCs/>
          <w:color w:val="000000"/>
        </w:rPr>
        <w:t>Curr Clin Pharmacol</w:t>
      </w:r>
      <w:r w:rsidRPr="00F30D12">
        <w:rPr>
          <w:rFonts w:ascii="Book Antiqua" w:eastAsia="Book Antiqua" w:hAnsi="Book Antiqua" w:cs="Book Antiqua"/>
          <w:color w:val="000000"/>
        </w:rPr>
        <w:t xml:space="preserve"> 2010; </w:t>
      </w:r>
      <w:r w:rsidRPr="00F30D12">
        <w:rPr>
          <w:rFonts w:ascii="Book Antiqua" w:eastAsia="Book Antiqua" w:hAnsi="Book Antiqua" w:cs="Book Antiqua"/>
          <w:b/>
          <w:bCs/>
          <w:color w:val="000000"/>
        </w:rPr>
        <w:t>5</w:t>
      </w:r>
      <w:r w:rsidRPr="00F30D12">
        <w:rPr>
          <w:rFonts w:ascii="Book Antiqua" w:eastAsia="Book Antiqua" w:hAnsi="Book Antiqua" w:cs="Book Antiqua"/>
          <w:color w:val="000000"/>
        </w:rPr>
        <w:t>: 288-297 [PMID: 20925644 DOI: 10.2174/157488410793352067]</w:t>
      </w:r>
    </w:p>
    <w:p w14:paraId="64B6ACDC"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16 </w:t>
      </w:r>
      <w:r w:rsidRPr="00F30D12">
        <w:rPr>
          <w:rFonts w:ascii="Book Antiqua" w:eastAsia="Book Antiqua" w:hAnsi="Book Antiqua" w:cs="Book Antiqua"/>
          <w:b/>
          <w:bCs/>
          <w:color w:val="000000"/>
        </w:rPr>
        <w:t>Grant K</w:t>
      </w:r>
      <w:r w:rsidRPr="00F30D12">
        <w:rPr>
          <w:rFonts w:ascii="Book Antiqua" w:eastAsia="Book Antiqua" w:hAnsi="Book Antiqua" w:cs="Book Antiqua"/>
          <w:color w:val="000000"/>
        </w:rPr>
        <w:t xml:space="preserve">, Al-Adhami N, Tordoff J, Livesey J, Barbezat G, Reith D. Continuation of proton pump inhibitors from hospital to community. </w:t>
      </w:r>
      <w:r w:rsidRPr="00F30D12">
        <w:rPr>
          <w:rFonts w:ascii="Book Antiqua" w:eastAsia="Book Antiqua" w:hAnsi="Book Antiqua" w:cs="Book Antiqua"/>
          <w:i/>
          <w:iCs/>
          <w:color w:val="000000"/>
        </w:rPr>
        <w:t>Pharm World Sci</w:t>
      </w:r>
      <w:r w:rsidRPr="00F30D12">
        <w:rPr>
          <w:rFonts w:ascii="Book Antiqua" w:eastAsia="Book Antiqua" w:hAnsi="Book Antiqua" w:cs="Book Antiqua"/>
          <w:color w:val="000000"/>
        </w:rPr>
        <w:t xml:space="preserve"> 2006; </w:t>
      </w:r>
      <w:r w:rsidRPr="00F30D12">
        <w:rPr>
          <w:rFonts w:ascii="Book Antiqua" w:eastAsia="Book Antiqua" w:hAnsi="Book Antiqua" w:cs="Book Antiqua"/>
          <w:b/>
          <w:bCs/>
          <w:color w:val="000000"/>
        </w:rPr>
        <w:t>28</w:t>
      </w:r>
      <w:r w:rsidRPr="00F30D12">
        <w:rPr>
          <w:rFonts w:ascii="Book Antiqua" w:eastAsia="Book Antiqua" w:hAnsi="Book Antiqua" w:cs="Book Antiqua"/>
          <w:color w:val="000000"/>
        </w:rPr>
        <w:t>: 189-193 [PMID: 17066244 DOI: 10.1007/s11096-006-9028-4]</w:t>
      </w:r>
    </w:p>
    <w:p w14:paraId="4F1260DE"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17 </w:t>
      </w:r>
      <w:r w:rsidRPr="00F30D12">
        <w:rPr>
          <w:rFonts w:ascii="Book Antiqua" w:eastAsia="Book Antiqua" w:hAnsi="Book Antiqua" w:cs="Book Antiqua"/>
          <w:b/>
          <w:bCs/>
          <w:color w:val="000000"/>
        </w:rPr>
        <w:t>Yao X</w:t>
      </w:r>
      <w:r w:rsidRPr="00F30D12">
        <w:rPr>
          <w:rFonts w:ascii="Book Antiqua" w:eastAsia="Book Antiqua" w:hAnsi="Book Antiqua" w:cs="Book Antiqua"/>
          <w:color w:val="000000"/>
        </w:rPr>
        <w:t xml:space="preserve">, Forte JG. Cell biology of acid secretion by the parietal cell. </w:t>
      </w:r>
      <w:r w:rsidRPr="00F30D12">
        <w:rPr>
          <w:rFonts w:ascii="Book Antiqua" w:eastAsia="Book Antiqua" w:hAnsi="Book Antiqua" w:cs="Book Antiqua"/>
          <w:i/>
          <w:iCs/>
          <w:color w:val="000000"/>
        </w:rPr>
        <w:t>Annu Rev Physiol</w:t>
      </w:r>
      <w:r w:rsidRPr="00F30D12">
        <w:rPr>
          <w:rFonts w:ascii="Book Antiqua" w:eastAsia="Book Antiqua" w:hAnsi="Book Antiqua" w:cs="Book Antiqua"/>
          <w:color w:val="000000"/>
        </w:rPr>
        <w:t xml:space="preserve"> 2003; </w:t>
      </w:r>
      <w:r w:rsidRPr="00F30D12">
        <w:rPr>
          <w:rFonts w:ascii="Book Antiqua" w:eastAsia="Book Antiqua" w:hAnsi="Book Antiqua" w:cs="Book Antiqua"/>
          <w:b/>
          <w:bCs/>
          <w:color w:val="000000"/>
        </w:rPr>
        <w:t>65</w:t>
      </w:r>
      <w:r w:rsidRPr="00F30D12">
        <w:rPr>
          <w:rFonts w:ascii="Book Antiqua" w:eastAsia="Book Antiqua" w:hAnsi="Book Antiqua" w:cs="Book Antiqua"/>
          <w:color w:val="000000"/>
        </w:rPr>
        <w:t>: 103-131 [PMID: 12500969 DOI: 10.1146/annurev.physiol.65.072302.114200]</w:t>
      </w:r>
    </w:p>
    <w:p w14:paraId="0F1B0289"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18 </w:t>
      </w:r>
      <w:r w:rsidRPr="00F30D12">
        <w:rPr>
          <w:rFonts w:ascii="Book Antiqua" w:eastAsia="Book Antiqua" w:hAnsi="Book Antiqua" w:cs="Book Antiqua"/>
          <w:b/>
          <w:bCs/>
          <w:color w:val="000000"/>
        </w:rPr>
        <w:t>Ogata T</w:t>
      </w:r>
      <w:r w:rsidRPr="00F30D12">
        <w:rPr>
          <w:rFonts w:ascii="Book Antiqua" w:eastAsia="Book Antiqua" w:hAnsi="Book Antiqua" w:cs="Book Antiqua"/>
          <w:color w:val="000000"/>
        </w:rPr>
        <w:t xml:space="preserve">, Yamasaki Y. Ultra-high-resolution scanning electron microscopy of the continuity of cytoplasmic and luminal membranes in frog oxyntic cells. </w:t>
      </w:r>
      <w:r w:rsidRPr="00F30D12">
        <w:rPr>
          <w:rFonts w:ascii="Book Antiqua" w:eastAsia="Book Antiqua" w:hAnsi="Book Antiqua" w:cs="Book Antiqua"/>
          <w:i/>
          <w:iCs/>
          <w:color w:val="000000"/>
        </w:rPr>
        <w:t>Anat Rec</w:t>
      </w:r>
      <w:r w:rsidRPr="00F30D12">
        <w:rPr>
          <w:rFonts w:ascii="Book Antiqua" w:eastAsia="Book Antiqua" w:hAnsi="Book Antiqua" w:cs="Book Antiqua"/>
          <w:color w:val="000000"/>
        </w:rPr>
        <w:t xml:space="preserve"> 1996; </w:t>
      </w:r>
      <w:r w:rsidRPr="00F30D12">
        <w:rPr>
          <w:rFonts w:ascii="Book Antiqua" w:eastAsia="Book Antiqua" w:hAnsi="Book Antiqua" w:cs="Book Antiqua"/>
          <w:b/>
          <w:bCs/>
          <w:color w:val="000000"/>
        </w:rPr>
        <w:t>245</w:t>
      </w:r>
      <w:r w:rsidRPr="00F30D12">
        <w:rPr>
          <w:rFonts w:ascii="Book Antiqua" w:eastAsia="Book Antiqua" w:hAnsi="Book Antiqua" w:cs="Book Antiqua"/>
          <w:color w:val="000000"/>
        </w:rPr>
        <w:t>: 559-567 [PMID: 8800414 DOI: 10.1002/(SICI)1097-0185(199607)245:3&lt;559::AID-AR12&gt;3.0.CO;2-O]</w:t>
      </w:r>
    </w:p>
    <w:p w14:paraId="1A3D0C1A" w14:textId="77777777" w:rsidR="00A77B3E" w:rsidRPr="00F30D12" w:rsidRDefault="00C43656">
      <w:pPr>
        <w:spacing w:line="360" w:lineRule="auto"/>
        <w:jc w:val="both"/>
      </w:pPr>
      <w:r w:rsidRPr="00F30D12">
        <w:rPr>
          <w:rFonts w:ascii="Book Antiqua" w:eastAsia="Book Antiqua" w:hAnsi="Book Antiqua" w:cs="Book Antiqua"/>
          <w:color w:val="000000"/>
        </w:rPr>
        <w:t xml:space="preserve">19 </w:t>
      </w:r>
      <w:r w:rsidRPr="00F30D12">
        <w:rPr>
          <w:rFonts w:ascii="Book Antiqua" w:eastAsia="Book Antiqua" w:hAnsi="Book Antiqua" w:cs="Book Antiqua"/>
          <w:b/>
          <w:bCs/>
          <w:color w:val="000000"/>
        </w:rPr>
        <w:t>Roche VF</w:t>
      </w:r>
      <w:r w:rsidRPr="00F30D12">
        <w:rPr>
          <w:rFonts w:ascii="Book Antiqua" w:eastAsia="Book Antiqua" w:hAnsi="Book Antiqua" w:cs="Book Antiqua"/>
          <w:color w:val="000000"/>
        </w:rPr>
        <w:t xml:space="preserve">. The chemically elegant proton pump inhibitors. </w:t>
      </w:r>
      <w:r w:rsidRPr="00F30D12">
        <w:rPr>
          <w:rFonts w:ascii="Book Antiqua" w:eastAsia="Book Antiqua" w:hAnsi="Book Antiqua" w:cs="Book Antiqua"/>
          <w:i/>
          <w:iCs/>
          <w:color w:val="000000"/>
        </w:rPr>
        <w:t>Am J Pharm Educ</w:t>
      </w:r>
      <w:r w:rsidRPr="00F30D12">
        <w:rPr>
          <w:rFonts w:ascii="Book Antiqua" w:eastAsia="Book Antiqua" w:hAnsi="Book Antiqua" w:cs="Book Antiqua"/>
          <w:color w:val="000000"/>
        </w:rPr>
        <w:t xml:space="preserve"> 2006; </w:t>
      </w:r>
      <w:r w:rsidRPr="00F30D12">
        <w:rPr>
          <w:rFonts w:ascii="Book Antiqua" w:eastAsia="Book Antiqua" w:hAnsi="Book Antiqua" w:cs="Book Antiqua"/>
          <w:b/>
          <w:bCs/>
          <w:color w:val="000000"/>
        </w:rPr>
        <w:t>70</w:t>
      </w:r>
      <w:r w:rsidRPr="00F30D12">
        <w:rPr>
          <w:rFonts w:ascii="Book Antiqua" w:eastAsia="Book Antiqua" w:hAnsi="Book Antiqua" w:cs="Book Antiqua"/>
          <w:color w:val="000000"/>
        </w:rPr>
        <w:t>: 101 [PMID: 17149430 DOI: 10.5688/aj7005101]</w:t>
      </w:r>
    </w:p>
    <w:p w14:paraId="3305FC1E"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20 </w:t>
      </w:r>
      <w:r w:rsidRPr="00F30D12">
        <w:rPr>
          <w:rFonts w:ascii="Book Antiqua" w:eastAsia="Book Antiqua" w:hAnsi="Book Antiqua" w:cs="Book Antiqua"/>
          <w:b/>
          <w:bCs/>
          <w:color w:val="000000"/>
        </w:rPr>
        <w:t>Shin JM</w:t>
      </w:r>
      <w:r w:rsidRPr="00F30D12">
        <w:rPr>
          <w:rFonts w:ascii="Book Antiqua" w:eastAsia="Book Antiqua" w:hAnsi="Book Antiqua" w:cs="Book Antiqua"/>
          <w:color w:val="000000"/>
        </w:rPr>
        <w:t xml:space="preserve">, Munson K, Vagin O, Sachs G. The gastric HK-ATPase: structure, function, and inhibition. </w:t>
      </w:r>
      <w:r w:rsidRPr="00F30D12">
        <w:rPr>
          <w:rFonts w:ascii="Book Antiqua" w:eastAsia="Book Antiqua" w:hAnsi="Book Antiqua" w:cs="Book Antiqua"/>
          <w:i/>
          <w:iCs/>
          <w:color w:val="000000"/>
        </w:rPr>
        <w:t>Pflugers Arch</w:t>
      </w:r>
      <w:r w:rsidRPr="00F30D12">
        <w:rPr>
          <w:rFonts w:ascii="Book Antiqua" w:eastAsia="Book Antiqua" w:hAnsi="Book Antiqua" w:cs="Book Antiqua"/>
          <w:color w:val="000000"/>
        </w:rPr>
        <w:t xml:space="preserve"> 2009; </w:t>
      </w:r>
      <w:r w:rsidRPr="00F30D12">
        <w:rPr>
          <w:rFonts w:ascii="Book Antiqua" w:eastAsia="Book Antiqua" w:hAnsi="Book Antiqua" w:cs="Book Antiqua"/>
          <w:b/>
          <w:bCs/>
          <w:color w:val="000000"/>
        </w:rPr>
        <w:t>457</w:t>
      </w:r>
      <w:r w:rsidRPr="00F30D12">
        <w:rPr>
          <w:rFonts w:ascii="Book Antiqua" w:eastAsia="Book Antiqua" w:hAnsi="Book Antiqua" w:cs="Book Antiqua"/>
          <w:color w:val="000000"/>
        </w:rPr>
        <w:t>: 609-622 [PMID: 18536934 DOI: 10.1007/s00424-008-0495-4]</w:t>
      </w:r>
    </w:p>
    <w:p w14:paraId="07A5C6FF"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21 </w:t>
      </w:r>
      <w:r w:rsidRPr="00F30D12">
        <w:rPr>
          <w:rFonts w:ascii="Book Antiqua" w:eastAsia="Book Antiqua" w:hAnsi="Book Antiqua" w:cs="Book Antiqua"/>
          <w:b/>
          <w:bCs/>
          <w:color w:val="000000"/>
        </w:rPr>
        <w:t>Sachs G</w:t>
      </w:r>
      <w:r w:rsidRPr="00F30D12">
        <w:rPr>
          <w:rFonts w:ascii="Book Antiqua" w:eastAsia="Book Antiqua" w:hAnsi="Book Antiqua" w:cs="Book Antiqua"/>
          <w:color w:val="000000"/>
        </w:rPr>
        <w:t xml:space="preserve">, Chang HH, Rabon E, Schackman R, Lewin M, Saccomani G. A nonelectrogenic H+ pump in plasma membranes of hog stomach. </w:t>
      </w:r>
      <w:r w:rsidRPr="00F30D12">
        <w:rPr>
          <w:rFonts w:ascii="Book Antiqua" w:eastAsia="Book Antiqua" w:hAnsi="Book Antiqua" w:cs="Book Antiqua"/>
          <w:i/>
          <w:iCs/>
          <w:color w:val="000000"/>
        </w:rPr>
        <w:t>J Biol Chem</w:t>
      </w:r>
      <w:r w:rsidRPr="00F30D12">
        <w:rPr>
          <w:rFonts w:ascii="Book Antiqua" w:eastAsia="Book Antiqua" w:hAnsi="Book Antiqua" w:cs="Book Antiqua"/>
          <w:color w:val="000000"/>
        </w:rPr>
        <w:t xml:space="preserve"> 1976; </w:t>
      </w:r>
      <w:r w:rsidRPr="00F30D12">
        <w:rPr>
          <w:rFonts w:ascii="Book Antiqua" w:eastAsia="Book Antiqua" w:hAnsi="Book Antiqua" w:cs="Book Antiqua"/>
          <w:b/>
          <w:bCs/>
          <w:color w:val="000000"/>
        </w:rPr>
        <w:t>251</w:t>
      </w:r>
      <w:r w:rsidRPr="00F30D12">
        <w:rPr>
          <w:rFonts w:ascii="Book Antiqua" w:eastAsia="Book Antiqua" w:hAnsi="Book Antiqua" w:cs="Book Antiqua"/>
          <w:color w:val="000000"/>
        </w:rPr>
        <w:t>: 7690-7698 [PMID: 12175]</w:t>
      </w:r>
    </w:p>
    <w:p w14:paraId="7DCFCBAC"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22 </w:t>
      </w:r>
      <w:r w:rsidRPr="00F30D12">
        <w:rPr>
          <w:rFonts w:ascii="Book Antiqua" w:eastAsia="Book Antiqua" w:hAnsi="Book Antiqua" w:cs="Book Antiqua"/>
          <w:b/>
          <w:bCs/>
          <w:color w:val="000000"/>
        </w:rPr>
        <w:t>Maeda M</w:t>
      </w:r>
      <w:r w:rsidRPr="00F30D12">
        <w:rPr>
          <w:rFonts w:ascii="Book Antiqua" w:eastAsia="Book Antiqua" w:hAnsi="Book Antiqua" w:cs="Book Antiqua"/>
          <w:color w:val="000000"/>
        </w:rPr>
        <w:t xml:space="preserve">, Oshiman K, Tamura S, Futai M. Human gastric (H+ + K+)-ATPase gene. Similarity to (Na+ + K+)-ATPase genes in exon/intron organization but difference in control region. </w:t>
      </w:r>
      <w:r w:rsidRPr="00F30D12">
        <w:rPr>
          <w:rFonts w:ascii="Book Antiqua" w:eastAsia="Book Antiqua" w:hAnsi="Book Antiqua" w:cs="Book Antiqua"/>
          <w:i/>
          <w:iCs/>
          <w:color w:val="000000"/>
        </w:rPr>
        <w:t>J Biol Chem</w:t>
      </w:r>
      <w:r w:rsidRPr="00F30D12">
        <w:rPr>
          <w:rFonts w:ascii="Book Antiqua" w:eastAsia="Book Antiqua" w:hAnsi="Book Antiqua" w:cs="Book Antiqua"/>
          <w:color w:val="000000"/>
        </w:rPr>
        <w:t xml:space="preserve"> 1990; </w:t>
      </w:r>
      <w:r w:rsidRPr="00F30D12">
        <w:rPr>
          <w:rFonts w:ascii="Book Antiqua" w:eastAsia="Book Antiqua" w:hAnsi="Book Antiqua" w:cs="Book Antiqua"/>
          <w:b/>
          <w:bCs/>
          <w:color w:val="000000"/>
        </w:rPr>
        <w:t>265</w:t>
      </w:r>
      <w:r w:rsidRPr="00F30D12">
        <w:rPr>
          <w:rFonts w:ascii="Book Antiqua" w:eastAsia="Book Antiqua" w:hAnsi="Book Antiqua" w:cs="Book Antiqua"/>
          <w:color w:val="000000"/>
        </w:rPr>
        <w:t>: 9027-9032 [PMID: 2160952]</w:t>
      </w:r>
    </w:p>
    <w:p w14:paraId="27C577AD"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23 </w:t>
      </w:r>
      <w:r w:rsidRPr="00F30D12">
        <w:rPr>
          <w:rFonts w:ascii="Book Antiqua" w:eastAsia="Book Antiqua" w:hAnsi="Book Antiqua" w:cs="Book Antiqua"/>
          <w:b/>
          <w:bCs/>
          <w:color w:val="000000"/>
        </w:rPr>
        <w:t>Morii M</w:t>
      </w:r>
      <w:r w:rsidRPr="00F30D12">
        <w:rPr>
          <w:rFonts w:ascii="Book Antiqua" w:eastAsia="Book Antiqua" w:hAnsi="Book Antiqua" w:cs="Book Antiqua"/>
          <w:color w:val="000000"/>
        </w:rPr>
        <w:t xml:space="preserve">, Yamauchi M, Ichikawa T, Fujii T, Takahashi Y, Asano S, Takeguchi N, Sakai H. Involvement of the H3O+-Lys-164 -Gln-161-Glu-345 charge transfer pathway in proton transport of gastric H+,K+-ATPase. </w:t>
      </w:r>
      <w:r w:rsidRPr="00F30D12">
        <w:rPr>
          <w:rFonts w:ascii="Book Antiqua" w:eastAsia="Book Antiqua" w:hAnsi="Book Antiqua" w:cs="Book Antiqua"/>
          <w:i/>
          <w:iCs/>
          <w:color w:val="000000"/>
        </w:rPr>
        <w:t>J Biol Chem</w:t>
      </w:r>
      <w:r w:rsidRPr="00F30D12">
        <w:rPr>
          <w:rFonts w:ascii="Book Antiqua" w:eastAsia="Book Antiqua" w:hAnsi="Book Antiqua" w:cs="Book Antiqua"/>
          <w:color w:val="000000"/>
        </w:rPr>
        <w:t xml:space="preserve"> 2008; </w:t>
      </w:r>
      <w:r w:rsidRPr="00F30D12">
        <w:rPr>
          <w:rFonts w:ascii="Book Antiqua" w:eastAsia="Book Antiqua" w:hAnsi="Book Antiqua" w:cs="Book Antiqua"/>
          <w:b/>
          <w:bCs/>
          <w:color w:val="000000"/>
        </w:rPr>
        <w:t>283</w:t>
      </w:r>
      <w:r w:rsidRPr="00F30D12">
        <w:rPr>
          <w:rFonts w:ascii="Book Antiqua" w:eastAsia="Book Antiqua" w:hAnsi="Book Antiqua" w:cs="Book Antiqua"/>
          <w:color w:val="000000"/>
        </w:rPr>
        <w:t>: 16876-16884 [PMID: 18403373 DOI: 10.1074/jbc.M800563200]</w:t>
      </w:r>
    </w:p>
    <w:p w14:paraId="5D8CFACB"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24 </w:t>
      </w:r>
      <w:r w:rsidRPr="00F30D12">
        <w:rPr>
          <w:rFonts w:ascii="Book Antiqua" w:eastAsia="Book Antiqua" w:hAnsi="Book Antiqua" w:cs="Book Antiqua"/>
          <w:b/>
          <w:bCs/>
          <w:color w:val="000000"/>
        </w:rPr>
        <w:t>Savarino V</w:t>
      </w:r>
      <w:r w:rsidRPr="00F30D12">
        <w:rPr>
          <w:rFonts w:ascii="Book Antiqua" w:eastAsia="Book Antiqua" w:hAnsi="Book Antiqua" w:cs="Book Antiqua"/>
          <w:color w:val="000000"/>
        </w:rPr>
        <w:t xml:space="preserve">, Marabotto E, Furnari M, Zingone F, Zentilin P, Savarino E. Latest insights into the hot question of proton pump inhibitor safety - a narrative review. </w:t>
      </w:r>
      <w:r w:rsidRPr="00F30D12">
        <w:rPr>
          <w:rFonts w:ascii="Book Antiqua" w:eastAsia="Book Antiqua" w:hAnsi="Book Antiqua" w:cs="Book Antiqua"/>
          <w:i/>
          <w:iCs/>
          <w:color w:val="000000"/>
        </w:rPr>
        <w:t>Dig Liver Dis</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52</w:t>
      </w:r>
      <w:r w:rsidRPr="00F30D12">
        <w:rPr>
          <w:rFonts w:ascii="Book Antiqua" w:eastAsia="Book Antiqua" w:hAnsi="Book Antiqua" w:cs="Book Antiqua"/>
          <w:color w:val="000000"/>
        </w:rPr>
        <w:t>: 842-852 [PMID: 32513631 DOI: 10.1016/j.dld.2020.04.020]</w:t>
      </w:r>
    </w:p>
    <w:p w14:paraId="047E1A83"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25 </w:t>
      </w:r>
      <w:r w:rsidRPr="00F30D12">
        <w:rPr>
          <w:rFonts w:ascii="Book Antiqua" w:eastAsia="Book Antiqua" w:hAnsi="Book Antiqua" w:cs="Book Antiqua"/>
          <w:b/>
          <w:bCs/>
          <w:color w:val="000000"/>
        </w:rPr>
        <w:t>Meijvis SC</w:t>
      </w:r>
      <w:r w:rsidRPr="00F30D12">
        <w:rPr>
          <w:rFonts w:ascii="Book Antiqua" w:eastAsia="Book Antiqua" w:hAnsi="Book Antiqua" w:cs="Book Antiqua"/>
          <w:color w:val="000000"/>
        </w:rPr>
        <w:t xml:space="preserve">, Cornips MC, Voorn GP, Souverein PC, Endeman H, Biesma DH, Leufkens HG, van de Garde EM. Microbial evaluation of proton-pump inhibitors and the risk of pneumonia. </w:t>
      </w:r>
      <w:r w:rsidRPr="00F30D12">
        <w:rPr>
          <w:rFonts w:ascii="Book Antiqua" w:eastAsia="Book Antiqua" w:hAnsi="Book Antiqua" w:cs="Book Antiqua"/>
          <w:i/>
          <w:iCs/>
          <w:color w:val="000000"/>
        </w:rPr>
        <w:t>Eur Respir J</w:t>
      </w:r>
      <w:r w:rsidRPr="00F30D12">
        <w:rPr>
          <w:rFonts w:ascii="Book Antiqua" w:eastAsia="Book Antiqua" w:hAnsi="Book Antiqua" w:cs="Book Antiqua"/>
          <w:color w:val="000000"/>
        </w:rPr>
        <w:t xml:space="preserve"> 2011; </w:t>
      </w:r>
      <w:r w:rsidRPr="00F30D12">
        <w:rPr>
          <w:rFonts w:ascii="Book Antiqua" w:eastAsia="Book Antiqua" w:hAnsi="Book Antiqua" w:cs="Book Antiqua"/>
          <w:b/>
          <w:bCs/>
          <w:color w:val="000000"/>
        </w:rPr>
        <w:t>38</w:t>
      </w:r>
      <w:r w:rsidRPr="00F30D12">
        <w:rPr>
          <w:rFonts w:ascii="Book Antiqua" w:eastAsia="Book Antiqua" w:hAnsi="Book Antiqua" w:cs="Book Antiqua"/>
          <w:color w:val="000000"/>
        </w:rPr>
        <w:t>: 1165-1172 [PMID: 21478217 DOI: 10.1183/09031936.00020811]</w:t>
      </w:r>
    </w:p>
    <w:p w14:paraId="74CBC21E"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26 </w:t>
      </w:r>
      <w:r w:rsidRPr="00F30D12">
        <w:rPr>
          <w:rFonts w:ascii="Book Antiqua" w:eastAsia="Book Antiqua" w:hAnsi="Book Antiqua" w:cs="Book Antiqua"/>
          <w:b/>
          <w:bCs/>
          <w:color w:val="000000"/>
        </w:rPr>
        <w:t>Sasaki T</w:t>
      </w:r>
      <w:r w:rsidRPr="00F30D12">
        <w:rPr>
          <w:rFonts w:ascii="Book Antiqua" w:eastAsia="Book Antiqua" w:hAnsi="Book Antiqua" w:cs="Book Antiqua"/>
          <w:color w:val="000000"/>
        </w:rPr>
        <w:t xml:space="preserve">, Nakayama K, Yasuda H, Yamaya M. A new strategy with proton pump inhibitors for the prevention of acute exacerbations in COPD. </w:t>
      </w:r>
      <w:r w:rsidRPr="00F30D12">
        <w:rPr>
          <w:rFonts w:ascii="Book Antiqua" w:eastAsia="Book Antiqua" w:hAnsi="Book Antiqua" w:cs="Book Antiqua"/>
          <w:i/>
          <w:iCs/>
          <w:color w:val="000000"/>
        </w:rPr>
        <w:t>Ther Adv Respir Dis</w:t>
      </w:r>
      <w:r w:rsidRPr="00F30D12">
        <w:rPr>
          <w:rFonts w:ascii="Book Antiqua" w:eastAsia="Book Antiqua" w:hAnsi="Book Antiqua" w:cs="Book Antiqua"/>
          <w:color w:val="000000"/>
        </w:rPr>
        <w:t xml:space="preserve"> 2011; </w:t>
      </w:r>
      <w:r w:rsidRPr="00F30D12">
        <w:rPr>
          <w:rFonts w:ascii="Book Antiqua" w:eastAsia="Book Antiqua" w:hAnsi="Book Antiqua" w:cs="Book Antiqua"/>
          <w:b/>
          <w:bCs/>
          <w:color w:val="000000"/>
        </w:rPr>
        <w:t>5</w:t>
      </w:r>
      <w:r w:rsidRPr="00F30D12">
        <w:rPr>
          <w:rFonts w:ascii="Book Antiqua" w:eastAsia="Book Antiqua" w:hAnsi="Book Antiqua" w:cs="Book Antiqua"/>
          <w:color w:val="000000"/>
        </w:rPr>
        <w:t>: 91-103 [PMID: 21285157 DOI: 10.1177/1753465810392264]</w:t>
      </w:r>
    </w:p>
    <w:p w14:paraId="47E2F162"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27 </w:t>
      </w:r>
      <w:r w:rsidRPr="00F30D12">
        <w:rPr>
          <w:rFonts w:ascii="Book Antiqua" w:eastAsia="Book Antiqua" w:hAnsi="Book Antiqua" w:cs="Book Antiqua"/>
          <w:b/>
          <w:bCs/>
          <w:color w:val="000000"/>
        </w:rPr>
        <w:t>Savarino V</w:t>
      </w:r>
      <w:r w:rsidRPr="00F30D12">
        <w:rPr>
          <w:rFonts w:ascii="Book Antiqua" w:eastAsia="Book Antiqua" w:hAnsi="Book Antiqua" w:cs="Book Antiqua"/>
          <w:color w:val="000000"/>
        </w:rPr>
        <w:t xml:space="preserve">, Dulbecco P, Savarino E. Are proton pump inhibitors really so dangerous? </w:t>
      </w:r>
      <w:r w:rsidRPr="00F30D12">
        <w:rPr>
          <w:rFonts w:ascii="Book Antiqua" w:eastAsia="Book Antiqua" w:hAnsi="Book Antiqua" w:cs="Book Antiqua"/>
          <w:i/>
          <w:iCs/>
          <w:color w:val="000000"/>
        </w:rPr>
        <w:t>Dig Liver Dis</w:t>
      </w:r>
      <w:r w:rsidRPr="00F30D12">
        <w:rPr>
          <w:rFonts w:ascii="Book Antiqua" w:eastAsia="Book Antiqua" w:hAnsi="Book Antiqua" w:cs="Book Antiqua"/>
          <w:color w:val="000000"/>
        </w:rPr>
        <w:t xml:space="preserve"> 2016; </w:t>
      </w:r>
      <w:r w:rsidRPr="00F30D12">
        <w:rPr>
          <w:rFonts w:ascii="Book Antiqua" w:eastAsia="Book Antiqua" w:hAnsi="Book Antiqua" w:cs="Book Antiqua"/>
          <w:b/>
          <w:bCs/>
          <w:color w:val="000000"/>
        </w:rPr>
        <w:t>48</w:t>
      </w:r>
      <w:r w:rsidRPr="00F30D12">
        <w:rPr>
          <w:rFonts w:ascii="Book Antiqua" w:eastAsia="Book Antiqua" w:hAnsi="Book Antiqua" w:cs="Book Antiqua"/>
          <w:color w:val="000000"/>
        </w:rPr>
        <w:t>: 851-859 [PMID: 27321544 DOI: 10.1016/j.dld.2016.05.018]</w:t>
      </w:r>
    </w:p>
    <w:p w14:paraId="68531970"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28 </w:t>
      </w:r>
      <w:r w:rsidRPr="00F30D12">
        <w:rPr>
          <w:rFonts w:ascii="Book Antiqua" w:eastAsia="Book Antiqua" w:hAnsi="Book Antiqua" w:cs="Book Antiqua"/>
          <w:b/>
          <w:bCs/>
          <w:color w:val="000000"/>
        </w:rPr>
        <w:t>Namazi MR</w:t>
      </w:r>
      <w:r w:rsidRPr="00F30D12">
        <w:rPr>
          <w:rFonts w:ascii="Book Antiqua" w:eastAsia="Book Antiqua" w:hAnsi="Book Antiqua" w:cs="Book Antiqua"/>
          <w:color w:val="000000"/>
        </w:rPr>
        <w:t xml:space="preserve">, Jowkar F. A succinct review of the general and immunological pharmacologic effects of proton pump inhibitors. </w:t>
      </w:r>
      <w:r w:rsidRPr="00F30D12">
        <w:rPr>
          <w:rFonts w:ascii="Book Antiqua" w:eastAsia="Book Antiqua" w:hAnsi="Book Antiqua" w:cs="Book Antiqua"/>
          <w:i/>
          <w:iCs/>
          <w:color w:val="000000"/>
        </w:rPr>
        <w:t>J Clin Pharm Ther</w:t>
      </w:r>
      <w:r w:rsidRPr="00F30D12">
        <w:rPr>
          <w:rFonts w:ascii="Book Antiqua" w:eastAsia="Book Antiqua" w:hAnsi="Book Antiqua" w:cs="Book Antiqua"/>
          <w:color w:val="000000"/>
        </w:rPr>
        <w:t xml:space="preserve"> 2008; </w:t>
      </w:r>
      <w:r w:rsidRPr="00F30D12">
        <w:rPr>
          <w:rFonts w:ascii="Book Antiqua" w:eastAsia="Book Antiqua" w:hAnsi="Book Antiqua" w:cs="Book Antiqua"/>
          <w:b/>
          <w:bCs/>
          <w:color w:val="000000"/>
        </w:rPr>
        <w:t>33</w:t>
      </w:r>
      <w:r w:rsidRPr="00F30D12">
        <w:rPr>
          <w:rFonts w:ascii="Book Antiqua" w:eastAsia="Book Antiqua" w:hAnsi="Book Antiqua" w:cs="Book Antiqua"/>
          <w:color w:val="000000"/>
        </w:rPr>
        <w:t>: 215-217 [PMID: 18452407 DOI: 10.1111/j.1365-2710.2008.00907.x]</w:t>
      </w:r>
    </w:p>
    <w:p w14:paraId="5703B98C" w14:textId="77777777" w:rsidR="00A77B3E" w:rsidRPr="00F30D12" w:rsidRDefault="00C43656">
      <w:pPr>
        <w:spacing w:line="360" w:lineRule="auto"/>
        <w:jc w:val="both"/>
      </w:pPr>
      <w:r w:rsidRPr="00F30D12">
        <w:rPr>
          <w:rFonts w:ascii="Book Antiqua" w:eastAsia="Book Antiqua" w:hAnsi="Book Antiqua" w:cs="Book Antiqua"/>
          <w:color w:val="000000"/>
        </w:rPr>
        <w:t xml:space="preserve">29 </w:t>
      </w:r>
      <w:r w:rsidRPr="00F30D12">
        <w:rPr>
          <w:rFonts w:ascii="Book Antiqua" w:eastAsia="Book Antiqua" w:hAnsi="Book Antiqua" w:cs="Book Antiqua"/>
          <w:b/>
          <w:bCs/>
          <w:color w:val="000000"/>
        </w:rPr>
        <w:t>Charpiat B</w:t>
      </w:r>
      <w:r w:rsidRPr="00F30D12">
        <w:rPr>
          <w:rFonts w:ascii="Book Antiqua" w:eastAsia="Book Antiqua" w:hAnsi="Book Antiqua" w:cs="Book Antiqua"/>
          <w:color w:val="000000"/>
        </w:rPr>
        <w:t xml:space="preserve">, Bleyzac N, Tod M. Proton Pump Inhibitors are Risk Factors for Viral Infections: Even for COVID-19? </w:t>
      </w:r>
      <w:r w:rsidRPr="00F30D12">
        <w:rPr>
          <w:rFonts w:ascii="Book Antiqua" w:eastAsia="Book Antiqua" w:hAnsi="Book Antiqua" w:cs="Book Antiqua"/>
          <w:i/>
          <w:iCs/>
          <w:color w:val="000000"/>
        </w:rPr>
        <w:t>Clin Drug Investig</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40</w:t>
      </w:r>
      <w:r w:rsidRPr="00F30D12">
        <w:rPr>
          <w:rFonts w:ascii="Book Antiqua" w:eastAsia="Book Antiqua" w:hAnsi="Book Antiqua" w:cs="Book Antiqua"/>
          <w:color w:val="000000"/>
        </w:rPr>
        <w:t>: 897-899 [PMID: 32779119 DOI: 10.1007/s40261-020-00963-x]</w:t>
      </w:r>
    </w:p>
    <w:p w14:paraId="44F22439"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30 </w:t>
      </w:r>
      <w:r w:rsidRPr="00F30D12">
        <w:rPr>
          <w:rFonts w:ascii="Book Antiqua" w:eastAsia="Book Antiqua" w:hAnsi="Book Antiqua" w:cs="Book Antiqua"/>
          <w:b/>
          <w:bCs/>
          <w:color w:val="000000"/>
        </w:rPr>
        <w:t>Eom CS</w:t>
      </w:r>
      <w:r w:rsidRPr="00F30D12">
        <w:rPr>
          <w:rFonts w:ascii="Book Antiqua" w:eastAsia="Book Antiqua" w:hAnsi="Book Antiqua" w:cs="Book Antiqua"/>
          <w:color w:val="000000"/>
        </w:rPr>
        <w:t xml:space="preserve">, Jeon CY, Lim JW, Cho EG, Park SM, Lee KS. Use of acid-suppressive drugs and risk of pneumonia: a systematic review and meta-analysis. </w:t>
      </w:r>
      <w:r w:rsidRPr="00F30D12">
        <w:rPr>
          <w:rFonts w:ascii="Book Antiqua" w:eastAsia="Book Antiqua" w:hAnsi="Book Antiqua" w:cs="Book Antiqua"/>
          <w:i/>
          <w:iCs/>
          <w:color w:val="000000"/>
        </w:rPr>
        <w:t>CMAJ</w:t>
      </w:r>
      <w:r w:rsidRPr="00F30D12">
        <w:rPr>
          <w:rFonts w:ascii="Book Antiqua" w:eastAsia="Book Antiqua" w:hAnsi="Book Antiqua" w:cs="Book Antiqua"/>
          <w:color w:val="000000"/>
        </w:rPr>
        <w:t xml:space="preserve"> 2011; </w:t>
      </w:r>
      <w:r w:rsidRPr="00F30D12">
        <w:rPr>
          <w:rFonts w:ascii="Book Antiqua" w:eastAsia="Book Antiqua" w:hAnsi="Book Antiqua" w:cs="Book Antiqua"/>
          <w:b/>
          <w:bCs/>
          <w:color w:val="000000"/>
        </w:rPr>
        <w:t>183</w:t>
      </w:r>
      <w:r w:rsidRPr="00F30D12">
        <w:rPr>
          <w:rFonts w:ascii="Book Antiqua" w:eastAsia="Book Antiqua" w:hAnsi="Book Antiqua" w:cs="Book Antiqua"/>
          <w:color w:val="000000"/>
        </w:rPr>
        <w:t>: 310-319 [PMID: 21173070 DOI: 10.1503/cmaj.092129]</w:t>
      </w:r>
    </w:p>
    <w:p w14:paraId="18647BEC"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31 </w:t>
      </w:r>
      <w:r w:rsidRPr="00F30D12">
        <w:rPr>
          <w:rFonts w:ascii="Book Antiqua" w:eastAsia="Book Antiqua" w:hAnsi="Book Antiqua" w:cs="Book Antiqua"/>
          <w:b/>
          <w:bCs/>
          <w:color w:val="000000"/>
        </w:rPr>
        <w:t>Luxenburger H</w:t>
      </w:r>
      <w:r w:rsidRPr="00F30D12">
        <w:rPr>
          <w:rFonts w:ascii="Book Antiqua" w:eastAsia="Book Antiqua" w:hAnsi="Book Antiqua" w:cs="Book Antiqua"/>
          <w:color w:val="000000"/>
        </w:rPr>
        <w:t xml:space="preserve">, Sturm L, Biever P, Rieg S, Duerschmied D, Schultheiss M, Neumann-Haefelin C, Thimme R, Bettinger D. Treatment with proton pump inhibitors increases the risk of secondary infections and ARDS in hospitalized patients with COVID-19: coincidence or underestimated risk factor? </w:t>
      </w:r>
      <w:r w:rsidRPr="00F30D12">
        <w:rPr>
          <w:rFonts w:ascii="Book Antiqua" w:eastAsia="Book Antiqua" w:hAnsi="Book Antiqua" w:cs="Book Antiqua"/>
          <w:i/>
          <w:iCs/>
          <w:color w:val="000000"/>
        </w:rPr>
        <w:t>J Intern Med</w:t>
      </w:r>
      <w:r w:rsidRPr="00F30D12">
        <w:rPr>
          <w:rFonts w:ascii="Book Antiqua" w:eastAsia="Book Antiqua" w:hAnsi="Book Antiqua" w:cs="Book Antiqua"/>
          <w:color w:val="000000"/>
        </w:rPr>
        <w:t xml:space="preserve"> 2021; </w:t>
      </w:r>
      <w:r w:rsidRPr="00F30D12">
        <w:rPr>
          <w:rFonts w:ascii="Book Antiqua" w:eastAsia="Book Antiqua" w:hAnsi="Book Antiqua" w:cs="Book Antiqua"/>
          <w:b/>
          <w:bCs/>
          <w:color w:val="000000"/>
        </w:rPr>
        <w:t>289</w:t>
      </w:r>
      <w:r w:rsidRPr="00F30D12">
        <w:rPr>
          <w:rFonts w:ascii="Book Antiqua" w:eastAsia="Book Antiqua" w:hAnsi="Book Antiqua" w:cs="Book Antiqua"/>
          <w:color w:val="000000"/>
        </w:rPr>
        <w:t>: 121-124 [PMID: 32608546 DOI: 10.1111/joim.13121]</w:t>
      </w:r>
    </w:p>
    <w:p w14:paraId="61F2BEB6"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32 </w:t>
      </w:r>
      <w:r w:rsidRPr="00F30D12">
        <w:rPr>
          <w:rFonts w:ascii="Book Antiqua" w:eastAsia="Book Antiqua" w:hAnsi="Book Antiqua" w:cs="Book Antiqua"/>
          <w:b/>
          <w:bCs/>
          <w:color w:val="000000"/>
        </w:rPr>
        <w:t>Almario CV</w:t>
      </w:r>
      <w:r w:rsidRPr="00F30D12">
        <w:rPr>
          <w:rFonts w:ascii="Book Antiqua" w:eastAsia="Book Antiqua" w:hAnsi="Book Antiqua" w:cs="Book Antiqua"/>
          <w:color w:val="000000"/>
        </w:rPr>
        <w:t xml:space="preserve">, Chey WD, Spiegel BMR. Increased Risk of COVID-19 Among Users of Proton Pump Inhibitors. </w:t>
      </w:r>
      <w:r w:rsidRPr="00F30D12">
        <w:rPr>
          <w:rFonts w:ascii="Book Antiqua" w:eastAsia="Book Antiqua" w:hAnsi="Book Antiqua" w:cs="Book Antiqua"/>
          <w:i/>
          <w:iCs/>
          <w:color w:val="000000"/>
        </w:rPr>
        <w:t>Am J Gastroenterol</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115</w:t>
      </w:r>
      <w:r w:rsidRPr="00F30D12">
        <w:rPr>
          <w:rFonts w:ascii="Book Antiqua" w:eastAsia="Book Antiqua" w:hAnsi="Book Antiqua" w:cs="Book Antiqua"/>
          <w:color w:val="000000"/>
        </w:rPr>
        <w:t>: 1707-1715 [PMID: 32852340 DOI: 10.14309/ajg.0000000000000798]</w:t>
      </w:r>
    </w:p>
    <w:p w14:paraId="388B2BE0"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33 </w:t>
      </w:r>
      <w:r w:rsidRPr="00F30D12">
        <w:rPr>
          <w:rFonts w:ascii="Book Antiqua" w:eastAsia="Book Antiqua" w:hAnsi="Book Antiqua" w:cs="Book Antiqua"/>
          <w:b/>
          <w:bCs/>
          <w:color w:val="000000"/>
        </w:rPr>
        <w:t>Darnell ME</w:t>
      </w:r>
      <w:r w:rsidRPr="00F30D12">
        <w:rPr>
          <w:rFonts w:ascii="Book Antiqua" w:eastAsia="Book Antiqua" w:hAnsi="Book Antiqua" w:cs="Book Antiqua"/>
          <w:color w:val="000000"/>
        </w:rPr>
        <w:t xml:space="preserve">, Subbarao K, Feinstone SM, Taylor DR. Inactivation of the coronavirus that induces severe acute respiratory syndrome, SARS-CoV. </w:t>
      </w:r>
      <w:r w:rsidRPr="00F30D12">
        <w:rPr>
          <w:rFonts w:ascii="Book Antiqua" w:eastAsia="Book Antiqua" w:hAnsi="Book Antiqua" w:cs="Book Antiqua"/>
          <w:i/>
          <w:iCs/>
          <w:color w:val="000000"/>
        </w:rPr>
        <w:t>J Virol Methods</w:t>
      </w:r>
      <w:r w:rsidRPr="00F30D12">
        <w:rPr>
          <w:rFonts w:ascii="Book Antiqua" w:eastAsia="Book Antiqua" w:hAnsi="Book Antiqua" w:cs="Book Antiqua"/>
          <w:color w:val="000000"/>
        </w:rPr>
        <w:t xml:space="preserve"> 2004; </w:t>
      </w:r>
      <w:r w:rsidRPr="00F30D12">
        <w:rPr>
          <w:rFonts w:ascii="Book Antiqua" w:eastAsia="Book Antiqua" w:hAnsi="Book Antiqua" w:cs="Book Antiqua"/>
          <w:b/>
          <w:bCs/>
          <w:color w:val="000000"/>
        </w:rPr>
        <w:t>121</w:t>
      </w:r>
      <w:r w:rsidRPr="00F30D12">
        <w:rPr>
          <w:rFonts w:ascii="Book Antiqua" w:eastAsia="Book Antiqua" w:hAnsi="Book Antiqua" w:cs="Book Antiqua"/>
          <w:color w:val="000000"/>
        </w:rPr>
        <w:t>: 85-91 [PMID: 15350737 DOI: 10.1016/j.jviromet.2004.06.006]</w:t>
      </w:r>
    </w:p>
    <w:p w14:paraId="4E1F0F75"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34 </w:t>
      </w:r>
      <w:r w:rsidRPr="00F30D12">
        <w:rPr>
          <w:rFonts w:ascii="Book Antiqua" w:eastAsia="Book Antiqua" w:hAnsi="Book Antiqua" w:cs="Book Antiqua"/>
          <w:b/>
          <w:bCs/>
          <w:color w:val="000000"/>
        </w:rPr>
        <w:t>Trottein F</w:t>
      </w:r>
      <w:r w:rsidRPr="00F30D12">
        <w:rPr>
          <w:rFonts w:ascii="Book Antiqua" w:eastAsia="Book Antiqua" w:hAnsi="Book Antiqua" w:cs="Book Antiqua"/>
          <w:color w:val="000000"/>
        </w:rPr>
        <w:t xml:space="preserve">, Sokol H. Potential Causes and Consequences of Gastrointestinal Disorders during a SARS-CoV-2 Infection. </w:t>
      </w:r>
      <w:r w:rsidRPr="00F30D12">
        <w:rPr>
          <w:rFonts w:ascii="Book Antiqua" w:eastAsia="Book Antiqua" w:hAnsi="Book Antiqua" w:cs="Book Antiqua"/>
          <w:i/>
          <w:iCs/>
          <w:color w:val="000000"/>
        </w:rPr>
        <w:t>Cell Rep</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32</w:t>
      </w:r>
      <w:r w:rsidRPr="00F30D12">
        <w:rPr>
          <w:rFonts w:ascii="Book Antiqua" w:eastAsia="Book Antiqua" w:hAnsi="Book Antiqua" w:cs="Book Antiqua"/>
          <w:color w:val="000000"/>
        </w:rPr>
        <w:t>: 107915 [PMID: 32649864 DOI: 10.1016/j.celrep.2020.107915]</w:t>
      </w:r>
    </w:p>
    <w:p w14:paraId="18A0E89A"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35 </w:t>
      </w:r>
      <w:r w:rsidRPr="00F30D12">
        <w:rPr>
          <w:rFonts w:ascii="Book Antiqua" w:eastAsia="Book Antiqua" w:hAnsi="Book Antiqua" w:cs="Book Antiqua"/>
          <w:b/>
          <w:bCs/>
          <w:color w:val="000000"/>
        </w:rPr>
        <w:t>Heidelbaugh JJ</w:t>
      </w:r>
      <w:r w:rsidRPr="00F30D12">
        <w:rPr>
          <w:rFonts w:ascii="Book Antiqua" w:eastAsia="Book Antiqua" w:hAnsi="Book Antiqua" w:cs="Book Antiqua"/>
          <w:color w:val="000000"/>
        </w:rPr>
        <w:t xml:space="preserve">. Proton pump inhibitors and risk of vitamin and mineral deficiency: evidence and clinical implications. </w:t>
      </w:r>
      <w:r w:rsidRPr="00F30D12">
        <w:rPr>
          <w:rFonts w:ascii="Book Antiqua" w:eastAsia="Book Antiqua" w:hAnsi="Book Antiqua" w:cs="Book Antiqua"/>
          <w:i/>
          <w:iCs/>
          <w:color w:val="000000"/>
        </w:rPr>
        <w:t>Ther Adv Drug Saf</w:t>
      </w:r>
      <w:r w:rsidRPr="00F30D12">
        <w:rPr>
          <w:rFonts w:ascii="Book Antiqua" w:eastAsia="Book Antiqua" w:hAnsi="Book Antiqua" w:cs="Book Antiqua"/>
          <w:color w:val="000000"/>
        </w:rPr>
        <w:t xml:space="preserve"> 2013; </w:t>
      </w:r>
      <w:r w:rsidRPr="00F30D12">
        <w:rPr>
          <w:rFonts w:ascii="Book Antiqua" w:eastAsia="Book Antiqua" w:hAnsi="Book Antiqua" w:cs="Book Antiqua"/>
          <w:b/>
          <w:bCs/>
          <w:color w:val="000000"/>
        </w:rPr>
        <w:t>4</w:t>
      </w:r>
      <w:r w:rsidRPr="00F30D12">
        <w:rPr>
          <w:rFonts w:ascii="Book Antiqua" w:eastAsia="Book Antiqua" w:hAnsi="Book Antiqua" w:cs="Book Antiqua"/>
          <w:color w:val="000000"/>
        </w:rPr>
        <w:t>: 125-133 [PMID: 25083257 DOI: 10.1177/2042098613482484]</w:t>
      </w:r>
    </w:p>
    <w:p w14:paraId="70082167"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36 </w:t>
      </w:r>
      <w:r w:rsidRPr="00F30D12">
        <w:rPr>
          <w:rFonts w:ascii="Book Antiqua" w:eastAsia="Book Antiqua" w:hAnsi="Book Antiqua" w:cs="Book Antiqua"/>
          <w:b/>
          <w:bCs/>
          <w:color w:val="000000"/>
        </w:rPr>
        <w:t>Mowat C</w:t>
      </w:r>
      <w:r w:rsidRPr="00F30D12">
        <w:rPr>
          <w:rFonts w:ascii="Book Antiqua" w:eastAsia="Book Antiqua" w:hAnsi="Book Antiqua" w:cs="Book Antiqua"/>
          <w:color w:val="000000"/>
        </w:rPr>
        <w:t xml:space="preserve">, Carswell A, Wirz A, McColl KE. Omeprazole and dietary nitrate independently affect levels of vitamin C and nitrite in gastric juice. </w:t>
      </w:r>
      <w:r w:rsidRPr="00F30D12">
        <w:rPr>
          <w:rFonts w:ascii="Book Antiqua" w:eastAsia="Book Antiqua" w:hAnsi="Book Antiqua" w:cs="Book Antiqua"/>
          <w:i/>
          <w:iCs/>
          <w:color w:val="000000"/>
        </w:rPr>
        <w:t>Gastroenterology</w:t>
      </w:r>
      <w:r w:rsidRPr="00F30D12">
        <w:rPr>
          <w:rFonts w:ascii="Book Antiqua" w:eastAsia="Book Antiqua" w:hAnsi="Book Antiqua" w:cs="Book Antiqua"/>
          <w:color w:val="000000"/>
        </w:rPr>
        <w:t xml:space="preserve"> 1999; </w:t>
      </w:r>
      <w:r w:rsidRPr="00F30D12">
        <w:rPr>
          <w:rFonts w:ascii="Book Antiqua" w:eastAsia="Book Antiqua" w:hAnsi="Book Antiqua" w:cs="Book Antiqua"/>
          <w:b/>
          <w:bCs/>
          <w:color w:val="000000"/>
        </w:rPr>
        <w:t>116</w:t>
      </w:r>
      <w:r w:rsidRPr="00F30D12">
        <w:rPr>
          <w:rFonts w:ascii="Book Antiqua" w:eastAsia="Book Antiqua" w:hAnsi="Book Antiqua" w:cs="Book Antiqua"/>
          <w:color w:val="000000"/>
        </w:rPr>
        <w:t>: 813-822 [PMID: 10092303 DOI: 10.1016/s0016-5085(99)70064-8]</w:t>
      </w:r>
    </w:p>
    <w:p w14:paraId="02F654DF"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37 </w:t>
      </w:r>
      <w:r w:rsidRPr="00F30D12">
        <w:rPr>
          <w:rFonts w:ascii="Book Antiqua" w:eastAsia="Book Antiqua" w:hAnsi="Book Antiqua" w:cs="Book Antiqua"/>
          <w:b/>
          <w:bCs/>
          <w:color w:val="000000"/>
        </w:rPr>
        <w:t>Henry EB</w:t>
      </w:r>
      <w:r w:rsidRPr="00F30D12">
        <w:rPr>
          <w:rFonts w:ascii="Book Antiqua" w:eastAsia="Book Antiqua" w:hAnsi="Book Antiqua" w:cs="Book Antiqua"/>
          <w:color w:val="000000"/>
        </w:rPr>
        <w:t xml:space="preserve">, Carswell A, Wirz A, Fyffe V, McColl KE. Proton pump inhibitors reduce the bioavailability of dietary vitamin C. </w:t>
      </w:r>
      <w:r w:rsidRPr="00F30D12">
        <w:rPr>
          <w:rFonts w:ascii="Book Antiqua" w:eastAsia="Book Antiqua" w:hAnsi="Book Antiqua" w:cs="Book Antiqua"/>
          <w:i/>
          <w:iCs/>
          <w:color w:val="000000"/>
        </w:rPr>
        <w:t>Aliment Pharmacol Ther</w:t>
      </w:r>
      <w:r w:rsidRPr="00F30D12">
        <w:rPr>
          <w:rFonts w:ascii="Book Antiqua" w:eastAsia="Book Antiqua" w:hAnsi="Book Antiqua" w:cs="Book Antiqua"/>
          <w:color w:val="000000"/>
        </w:rPr>
        <w:t xml:space="preserve"> 2005; </w:t>
      </w:r>
      <w:r w:rsidRPr="00F30D12">
        <w:rPr>
          <w:rFonts w:ascii="Book Antiqua" w:eastAsia="Book Antiqua" w:hAnsi="Book Antiqua" w:cs="Book Antiqua"/>
          <w:b/>
          <w:bCs/>
          <w:color w:val="000000"/>
        </w:rPr>
        <w:t>22</w:t>
      </w:r>
      <w:r w:rsidRPr="00F30D12">
        <w:rPr>
          <w:rFonts w:ascii="Book Antiqua" w:eastAsia="Book Antiqua" w:hAnsi="Book Antiqua" w:cs="Book Antiqua"/>
          <w:color w:val="000000"/>
        </w:rPr>
        <w:t>: 539-545 [PMID: 16167970 DOI: 10.1111/j.1365-2036.2005.02568.x]</w:t>
      </w:r>
    </w:p>
    <w:p w14:paraId="3F22AA95"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38 </w:t>
      </w:r>
      <w:r w:rsidRPr="00F30D12">
        <w:rPr>
          <w:rFonts w:ascii="Book Antiqua" w:eastAsia="Book Antiqua" w:hAnsi="Book Antiqua" w:cs="Book Antiqua"/>
          <w:b/>
          <w:bCs/>
          <w:color w:val="000000"/>
        </w:rPr>
        <w:t>Feyaerts AF</w:t>
      </w:r>
      <w:r w:rsidRPr="00F30D12">
        <w:rPr>
          <w:rFonts w:ascii="Book Antiqua" w:eastAsia="Book Antiqua" w:hAnsi="Book Antiqua" w:cs="Book Antiqua"/>
          <w:color w:val="000000"/>
        </w:rPr>
        <w:t xml:space="preserve">, Luyten W. Vitamin C as prophylaxis and adjunctive medical treatment for COVID-19? </w:t>
      </w:r>
      <w:r w:rsidRPr="00F30D12">
        <w:rPr>
          <w:rFonts w:ascii="Book Antiqua" w:eastAsia="Book Antiqua" w:hAnsi="Book Antiqua" w:cs="Book Antiqua"/>
          <w:i/>
          <w:iCs/>
          <w:color w:val="000000"/>
        </w:rPr>
        <w:t>Nutrition</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79-80</w:t>
      </w:r>
      <w:r w:rsidRPr="00F30D12">
        <w:rPr>
          <w:rFonts w:ascii="Book Antiqua" w:eastAsia="Book Antiqua" w:hAnsi="Book Antiqua" w:cs="Book Antiqua"/>
          <w:color w:val="000000"/>
        </w:rPr>
        <w:t>: 110948 [PMID: 32911430 DOI: 10.1016/j.nut.2020.110948]</w:t>
      </w:r>
    </w:p>
    <w:p w14:paraId="2FF6D91E" w14:textId="77777777" w:rsidR="00A77B3E" w:rsidRPr="00F30D12" w:rsidRDefault="00C43656">
      <w:pPr>
        <w:spacing w:line="360" w:lineRule="auto"/>
        <w:jc w:val="both"/>
      </w:pPr>
      <w:r w:rsidRPr="00F30D12">
        <w:rPr>
          <w:rFonts w:ascii="Book Antiqua" w:eastAsia="Book Antiqua" w:hAnsi="Book Antiqua" w:cs="Book Antiqua"/>
          <w:color w:val="000000"/>
        </w:rPr>
        <w:t xml:space="preserve">39 </w:t>
      </w:r>
      <w:r w:rsidRPr="00F30D12">
        <w:rPr>
          <w:rFonts w:ascii="Book Antiqua" w:eastAsia="Book Antiqua" w:hAnsi="Book Antiqua" w:cs="Book Antiqua"/>
          <w:b/>
          <w:bCs/>
          <w:color w:val="000000"/>
        </w:rPr>
        <w:t>Hoang BX</w:t>
      </w:r>
      <w:r w:rsidRPr="00F30D12">
        <w:rPr>
          <w:rFonts w:ascii="Book Antiqua" w:eastAsia="Book Antiqua" w:hAnsi="Book Antiqua" w:cs="Book Antiqua"/>
          <w:color w:val="000000"/>
        </w:rPr>
        <w:t xml:space="preserve">, Shaw G, Fang W, Han B. Possible application of high-dose vitamin C in the prevention and therapy of coronavirus infection. </w:t>
      </w:r>
      <w:r w:rsidRPr="00F30D12">
        <w:rPr>
          <w:rFonts w:ascii="Book Antiqua" w:eastAsia="Book Antiqua" w:hAnsi="Book Antiqua" w:cs="Book Antiqua"/>
          <w:i/>
          <w:iCs/>
          <w:color w:val="000000"/>
        </w:rPr>
        <w:t>J Glob Antimicrob Resist</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23</w:t>
      </w:r>
      <w:r w:rsidRPr="00F30D12">
        <w:rPr>
          <w:rFonts w:ascii="Book Antiqua" w:eastAsia="Book Antiqua" w:hAnsi="Book Antiqua" w:cs="Book Antiqua"/>
          <w:color w:val="000000"/>
        </w:rPr>
        <w:t>: 256-262 [PMID: 33065330 DOI: 10.1016/j.jgar.2020.09.025]</w:t>
      </w:r>
    </w:p>
    <w:p w14:paraId="2BF42D37" w14:textId="77777777" w:rsidR="00A77B3E" w:rsidRPr="00F30D12" w:rsidRDefault="00C43656">
      <w:pPr>
        <w:spacing w:line="360" w:lineRule="auto"/>
        <w:jc w:val="both"/>
        <w:rPr>
          <w:lang w:val="it-IT"/>
        </w:rPr>
      </w:pPr>
      <w:r w:rsidRPr="00F30D12">
        <w:rPr>
          <w:rFonts w:ascii="Book Antiqua" w:eastAsia="Book Antiqua" w:hAnsi="Book Antiqua" w:cs="Book Antiqua"/>
          <w:color w:val="000000"/>
        </w:rPr>
        <w:t xml:space="preserve">40 </w:t>
      </w:r>
      <w:r w:rsidRPr="00F30D12">
        <w:rPr>
          <w:rFonts w:ascii="Book Antiqua" w:eastAsia="Book Antiqua" w:hAnsi="Book Antiqua" w:cs="Book Antiqua"/>
          <w:b/>
          <w:bCs/>
          <w:color w:val="000000"/>
        </w:rPr>
        <w:t>Srinutta T</w:t>
      </w:r>
      <w:r w:rsidRPr="00F30D12">
        <w:rPr>
          <w:rFonts w:ascii="Book Antiqua" w:eastAsia="Book Antiqua" w:hAnsi="Book Antiqua" w:cs="Book Antiqua"/>
          <w:color w:val="000000"/>
        </w:rPr>
        <w:t xml:space="preserve">, Chewcharat A, Takkavatakarn K, Praditpornsilpa K, Eiam-Ong S, Jaber BL, Susantitaphong P. Proton pump inhibitors and hypomagnesemia: A meta-analysis of observational studies. </w:t>
      </w:r>
      <w:r w:rsidRPr="00F30D12">
        <w:rPr>
          <w:rFonts w:ascii="Book Antiqua" w:eastAsia="Book Antiqua" w:hAnsi="Book Antiqua" w:cs="Book Antiqua"/>
          <w:i/>
          <w:iCs/>
          <w:color w:val="000000"/>
          <w:lang w:val="it-IT"/>
        </w:rPr>
        <w:t>Medicine (Baltimore)</w:t>
      </w:r>
      <w:r w:rsidRPr="00F30D12">
        <w:rPr>
          <w:rFonts w:ascii="Book Antiqua" w:eastAsia="Book Antiqua" w:hAnsi="Book Antiqua" w:cs="Book Antiqua"/>
          <w:color w:val="000000"/>
          <w:lang w:val="it-IT"/>
        </w:rPr>
        <w:t xml:space="preserve"> 2019; </w:t>
      </w:r>
      <w:r w:rsidRPr="00F30D12">
        <w:rPr>
          <w:rFonts w:ascii="Book Antiqua" w:eastAsia="Book Antiqua" w:hAnsi="Book Antiqua" w:cs="Book Antiqua"/>
          <w:b/>
          <w:bCs/>
          <w:color w:val="000000"/>
          <w:lang w:val="it-IT"/>
        </w:rPr>
        <w:t>98</w:t>
      </w:r>
      <w:r w:rsidRPr="00F30D12">
        <w:rPr>
          <w:rFonts w:ascii="Book Antiqua" w:eastAsia="Book Antiqua" w:hAnsi="Book Antiqua" w:cs="Book Antiqua"/>
          <w:color w:val="000000"/>
          <w:lang w:val="it-IT"/>
        </w:rPr>
        <w:t>: e17788 [PMID: 31689852 DOI: 10.1097/MD.0000000000017788]</w:t>
      </w:r>
    </w:p>
    <w:p w14:paraId="51775E3D" w14:textId="77777777" w:rsidR="00A77B3E" w:rsidRPr="00F30D12" w:rsidRDefault="00C43656">
      <w:pPr>
        <w:spacing w:line="360" w:lineRule="auto"/>
        <w:jc w:val="both"/>
      </w:pPr>
      <w:r w:rsidRPr="00F30D12">
        <w:rPr>
          <w:rFonts w:ascii="Book Antiqua" w:eastAsia="Book Antiqua" w:hAnsi="Book Antiqua" w:cs="Book Antiqua"/>
          <w:color w:val="000000"/>
          <w:lang w:val="it-IT"/>
        </w:rPr>
        <w:t xml:space="preserve">41 </w:t>
      </w:r>
      <w:r w:rsidRPr="00F30D12">
        <w:rPr>
          <w:rFonts w:ascii="Book Antiqua" w:eastAsia="Book Antiqua" w:hAnsi="Book Antiqua" w:cs="Book Antiqua"/>
          <w:b/>
          <w:bCs/>
          <w:color w:val="000000"/>
          <w:lang w:val="it-IT"/>
        </w:rPr>
        <w:t>Katopodis P</w:t>
      </w:r>
      <w:r w:rsidRPr="00F30D12">
        <w:rPr>
          <w:rFonts w:ascii="Book Antiqua" w:eastAsia="Book Antiqua" w:hAnsi="Book Antiqua" w:cs="Book Antiqua"/>
          <w:color w:val="000000"/>
          <w:lang w:val="it-IT"/>
        </w:rPr>
        <w:t xml:space="preserve">, Karteris E, Katopodis KP. </w:t>
      </w:r>
      <w:r w:rsidRPr="00F30D12">
        <w:rPr>
          <w:rFonts w:ascii="Book Antiqua" w:eastAsia="Book Antiqua" w:hAnsi="Book Antiqua" w:cs="Book Antiqua"/>
          <w:color w:val="000000"/>
        </w:rPr>
        <w:t xml:space="preserve">Pathophysiology of Drug-Induced Hypomagnesaemia. </w:t>
      </w:r>
      <w:r w:rsidRPr="00F30D12">
        <w:rPr>
          <w:rFonts w:ascii="Book Antiqua" w:eastAsia="Book Antiqua" w:hAnsi="Book Antiqua" w:cs="Book Antiqua"/>
          <w:i/>
          <w:iCs/>
          <w:color w:val="000000"/>
        </w:rPr>
        <w:t>Drug Saf</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43</w:t>
      </w:r>
      <w:r w:rsidRPr="00F30D12">
        <w:rPr>
          <w:rFonts w:ascii="Book Antiqua" w:eastAsia="Book Antiqua" w:hAnsi="Book Antiqua" w:cs="Book Antiqua"/>
          <w:color w:val="000000"/>
        </w:rPr>
        <w:t>: 867-880 [PMID: 32399868 DOI: 10.1007/s40264-020-00947-y]</w:t>
      </w:r>
    </w:p>
    <w:p w14:paraId="6B671A08" w14:textId="77777777" w:rsidR="00A77B3E" w:rsidRPr="00F30D12" w:rsidRDefault="00C43656">
      <w:pPr>
        <w:spacing w:line="360" w:lineRule="auto"/>
        <w:jc w:val="both"/>
      </w:pPr>
      <w:r w:rsidRPr="00F30D12">
        <w:rPr>
          <w:rFonts w:ascii="Book Antiqua" w:eastAsia="Book Antiqua" w:hAnsi="Book Antiqua" w:cs="Book Antiqua"/>
          <w:color w:val="000000"/>
        </w:rPr>
        <w:t xml:space="preserve">42 </w:t>
      </w:r>
      <w:r w:rsidRPr="00F30D12">
        <w:rPr>
          <w:rFonts w:ascii="Book Antiqua" w:eastAsia="Book Antiqua" w:hAnsi="Book Antiqua" w:cs="Book Antiqua"/>
          <w:b/>
          <w:bCs/>
          <w:color w:val="000000"/>
        </w:rPr>
        <w:t>Schmitz C</w:t>
      </w:r>
      <w:r w:rsidRPr="00F30D12">
        <w:rPr>
          <w:rFonts w:ascii="Book Antiqua" w:eastAsia="Book Antiqua" w:hAnsi="Book Antiqua" w:cs="Book Antiqua"/>
          <w:color w:val="000000"/>
        </w:rPr>
        <w:t xml:space="preserve">, Perraud AL, Johnson CO, Inabe K, Smith MK, Penner R, Kurosaki T, Fleig A, Scharenberg AM. Regulation of vertebrate cellular Mg2+ homeostasis by TRPM7. </w:t>
      </w:r>
      <w:r w:rsidRPr="00F30D12">
        <w:rPr>
          <w:rFonts w:ascii="Book Antiqua" w:eastAsia="Book Antiqua" w:hAnsi="Book Antiqua" w:cs="Book Antiqua"/>
          <w:i/>
          <w:iCs/>
          <w:color w:val="000000"/>
        </w:rPr>
        <w:t>Cell</w:t>
      </w:r>
      <w:r w:rsidRPr="00F30D12">
        <w:rPr>
          <w:rFonts w:ascii="Book Antiqua" w:eastAsia="Book Antiqua" w:hAnsi="Book Antiqua" w:cs="Book Antiqua"/>
          <w:color w:val="000000"/>
        </w:rPr>
        <w:t xml:space="preserve"> 2003; </w:t>
      </w:r>
      <w:r w:rsidRPr="00F30D12">
        <w:rPr>
          <w:rFonts w:ascii="Book Antiqua" w:eastAsia="Book Antiqua" w:hAnsi="Book Antiqua" w:cs="Book Antiqua"/>
          <w:b/>
          <w:bCs/>
          <w:color w:val="000000"/>
        </w:rPr>
        <w:t>114</w:t>
      </w:r>
      <w:r w:rsidRPr="00F30D12">
        <w:rPr>
          <w:rFonts w:ascii="Book Antiqua" w:eastAsia="Book Antiqua" w:hAnsi="Book Antiqua" w:cs="Book Antiqua"/>
          <w:color w:val="000000"/>
        </w:rPr>
        <w:t>: 191-200 [PMID: 12887921 DOI: 10.1016/s0092-8674(03)00556-7]</w:t>
      </w:r>
    </w:p>
    <w:p w14:paraId="6D5E96DF" w14:textId="77777777" w:rsidR="00A77B3E" w:rsidRPr="00F30D12" w:rsidRDefault="00C43656">
      <w:pPr>
        <w:spacing w:line="360" w:lineRule="auto"/>
        <w:jc w:val="both"/>
      </w:pPr>
      <w:r w:rsidRPr="00F30D12">
        <w:rPr>
          <w:rFonts w:ascii="Book Antiqua" w:eastAsia="Book Antiqua" w:hAnsi="Book Antiqua" w:cs="Book Antiqua"/>
          <w:color w:val="000000"/>
        </w:rPr>
        <w:t xml:space="preserve">43 </w:t>
      </w:r>
      <w:r w:rsidRPr="00F30D12">
        <w:rPr>
          <w:rFonts w:ascii="Book Antiqua" w:eastAsia="Book Antiqua" w:hAnsi="Book Antiqua" w:cs="Book Antiqua"/>
          <w:b/>
          <w:bCs/>
          <w:color w:val="000000"/>
        </w:rPr>
        <w:t>Thébault S</w:t>
      </w:r>
      <w:r w:rsidRPr="00F30D12">
        <w:rPr>
          <w:rFonts w:ascii="Book Antiqua" w:eastAsia="Book Antiqua" w:hAnsi="Book Antiqua" w:cs="Book Antiqua"/>
          <w:color w:val="000000"/>
        </w:rPr>
        <w:t xml:space="preserve">, Cao G, Venselaar H, Xi Q, Bindels RJ, Hoenderop JG. Role of the alpha-kinase domain in transient receptor potential melastatin 6 channel and regulation by intracellular ATP. </w:t>
      </w:r>
      <w:r w:rsidRPr="00F30D12">
        <w:rPr>
          <w:rFonts w:ascii="Book Antiqua" w:eastAsia="Book Antiqua" w:hAnsi="Book Antiqua" w:cs="Book Antiqua"/>
          <w:i/>
          <w:iCs/>
          <w:color w:val="000000"/>
        </w:rPr>
        <w:t>J Biol Chem</w:t>
      </w:r>
      <w:r w:rsidRPr="00F30D12">
        <w:rPr>
          <w:rFonts w:ascii="Book Antiqua" w:eastAsia="Book Antiqua" w:hAnsi="Book Antiqua" w:cs="Book Antiqua"/>
          <w:color w:val="000000"/>
        </w:rPr>
        <w:t xml:space="preserve"> 2008; </w:t>
      </w:r>
      <w:r w:rsidRPr="00F30D12">
        <w:rPr>
          <w:rFonts w:ascii="Book Antiqua" w:eastAsia="Book Antiqua" w:hAnsi="Book Antiqua" w:cs="Book Antiqua"/>
          <w:b/>
          <w:bCs/>
          <w:color w:val="000000"/>
        </w:rPr>
        <w:t>283</w:t>
      </w:r>
      <w:r w:rsidRPr="00F30D12">
        <w:rPr>
          <w:rFonts w:ascii="Book Antiqua" w:eastAsia="Book Antiqua" w:hAnsi="Book Antiqua" w:cs="Book Antiqua"/>
          <w:color w:val="000000"/>
        </w:rPr>
        <w:t>: 19999-20007 [PMID: 18490453 DOI: 10.1074/jbc.M800167200]</w:t>
      </w:r>
    </w:p>
    <w:p w14:paraId="60CECD7D" w14:textId="77777777" w:rsidR="00A77B3E" w:rsidRPr="00F30D12" w:rsidRDefault="00C43656">
      <w:pPr>
        <w:spacing w:line="360" w:lineRule="auto"/>
        <w:jc w:val="both"/>
      </w:pPr>
      <w:r w:rsidRPr="00F30D12">
        <w:rPr>
          <w:rFonts w:ascii="Book Antiqua" w:eastAsia="Book Antiqua" w:hAnsi="Book Antiqua" w:cs="Book Antiqua"/>
          <w:color w:val="000000"/>
        </w:rPr>
        <w:t xml:space="preserve">44 </w:t>
      </w:r>
      <w:r w:rsidRPr="00F30D12">
        <w:rPr>
          <w:rFonts w:ascii="Book Antiqua" w:eastAsia="Book Antiqua" w:hAnsi="Book Antiqua" w:cs="Book Antiqua"/>
          <w:b/>
          <w:bCs/>
          <w:color w:val="000000"/>
        </w:rPr>
        <w:t>Voets T</w:t>
      </w:r>
      <w:r w:rsidRPr="00F30D12">
        <w:rPr>
          <w:rFonts w:ascii="Book Antiqua" w:eastAsia="Book Antiqua" w:hAnsi="Book Antiqua" w:cs="Book Antiqua"/>
          <w:color w:val="000000"/>
        </w:rPr>
        <w:t xml:space="preserve">, Nilius B, Hoefs S, van der Kemp AW, Droogmans G, Bindels RJ, Hoenderop JG. TRPM6 forms the Mg2+ influx channel involved in intestinal and renal Mg2+ absorption. </w:t>
      </w:r>
      <w:r w:rsidRPr="00F30D12">
        <w:rPr>
          <w:rFonts w:ascii="Book Antiqua" w:eastAsia="Book Antiqua" w:hAnsi="Book Antiqua" w:cs="Book Antiqua"/>
          <w:i/>
          <w:iCs/>
          <w:color w:val="000000"/>
        </w:rPr>
        <w:t>J Biol Chem</w:t>
      </w:r>
      <w:r w:rsidRPr="00F30D12">
        <w:rPr>
          <w:rFonts w:ascii="Book Antiqua" w:eastAsia="Book Antiqua" w:hAnsi="Book Antiqua" w:cs="Book Antiqua"/>
          <w:color w:val="000000"/>
        </w:rPr>
        <w:t xml:space="preserve"> 2004; </w:t>
      </w:r>
      <w:r w:rsidRPr="00F30D12">
        <w:rPr>
          <w:rFonts w:ascii="Book Antiqua" w:eastAsia="Book Antiqua" w:hAnsi="Book Antiqua" w:cs="Book Antiqua"/>
          <w:b/>
          <w:bCs/>
          <w:color w:val="000000"/>
        </w:rPr>
        <w:t>279</w:t>
      </w:r>
      <w:r w:rsidRPr="00F30D12">
        <w:rPr>
          <w:rFonts w:ascii="Book Antiqua" w:eastAsia="Book Antiqua" w:hAnsi="Book Antiqua" w:cs="Book Antiqua"/>
          <w:color w:val="000000"/>
        </w:rPr>
        <w:t>: 19-25 [PMID: 14576148 DOI: 10.1074/jbc.M311201200]</w:t>
      </w:r>
    </w:p>
    <w:p w14:paraId="78AE2493" w14:textId="77777777" w:rsidR="00A77B3E" w:rsidRPr="00F30D12" w:rsidRDefault="00C43656">
      <w:pPr>
        <w:spacing w:line="360" w:lineRule="auto"/>
        <w:jc w:val="both"/>
      </w:pPr>
      <w:r w:rsidRPr="00F30D12">
        <w:rPr>
          <w:rFonts w:ascii="Book Antiqua" w:eastAsia="Book Antiqua" w:hAnsi="Book Antiqua" w:cs="Book Antiqua"/>
          <w:color w:val="000000"/>
        </w:rPr>
        <w:t xml:space="preserve">45 </w:t>
      </w:r>
      <w:r w:rsidRPr="00F30D12">
        <w:rPr>
          <w:rFonts w:ascii="Book Antiqua" w:eastAsia="Book Antiqua" w:hAnsi="Book Antiqua" w:cs="Book Antiqua"/>
          <w:b/>
          <w:bCs/>
          <w:color w:val="000000"/>
        </w:rPr>
        <w:t>Uwitonze AM</w:t>
      </w:r>
      <w:r w:rsidRPr="00F30D12">
        <w:rPr>
          <w:rFonts w:ascii="Book Antiqua" w:eastAsia="Book Antiqua" w:hAnsi="Book Antiqua" w:cs="Book Antiqua"/>
          <w:color w:val="000000"/>
        </w:rPr>
        <w:t xml:space="preserve">, Razzaque MS. Role of Magnesium in Vitamin D Activation and Function. </w:t>
      </w:r>
      <w:r w:rsidRPr="00F30D12">
        <w:rPr>
          <w:rFonts w:ascii="Book Antiqua" w:eastAsia="Book Antiqua" w:hAnsi="Book Antiqua" w:cs="Book Antiqua"/>
          <w:i/>
          <w:iCs/>
          <w:color w:val="000000"/>
        </w:rPr>
        <w:t>J Am Osteopath Assoc</w:t>
      </w:r>
      <w:r w:rsidRPr="00F30D12">
        <w:rPr>
          <w:rFonts w:ascii="Book Antiqua" w:eastAsia="Book Antiqua" w:hAnsi="Book Antiqua" w:cs="Book Antiqua"/>
          <w:color w:val="000000"/>
        </w:rPr>
        <w:t xml:space="preserve"> 2018; </w:t>
      </w:r>
      <w:r w:rsidRPr="00F30D12">
        <w:rPr>
          <w:rFonts w:ascii="Book Antiqua" w:eastAsia="Book Antiqua" w:hAnsi="Book Antiqua" w:cs="Book Antiqua"/>
          <w:b/>
          <w:bCs/>
          <w:color w:val="000000"/>
        </w:rPr>
        <w:t>118</w:t>
      </w:r>
      <w:r w:rsidRPr="00F30D12">
        <w:rPr>
          <w:rFonts w:ascii="Book Antiqua" w:eastAsia="Book Antiqua" w:hAnsi="Book Antiqua" w:cs="Book Antiqua"/>
          <w:color w:val="000000"/>
        </w:rPr>
        <w:t>: 181-189 [PMID: 29480918 DOI: 10.7556/jaoa.2018.037]</w:t>
      </w:r>
    </w:p>
    <w:p w14:paraId="4BBE1862" w14:textId="77777777" w:rsidR="00A77B3E" w:rsidRPr="00F30D12" w:rsidRDefault="00C43656">
      <w:pPr>
        <w:spacing w:line="360" w:lineRule="auto"/>
        <w:jc w:val="both"/>
      </w:pPr>
      <w:r w:rsidRPr="00F30D12">
        <w:rPr>
          <w:rFonts w:ascii="Book Antiqua" w:eastAsia="Book Antiqua" w:hAnsi="Book Antiqua" w:cs="Book Antiqua"/>
          <w:color w:val="000000"/>
        </w:rPr>
        <w:t xml:space="preserve">46 </w:t>
      </w:r>
      <w:r w:rsidRPr="00F30D12">
        <w:rPr>
          <w:rFonts w:ascii="Book Antiqua" w:eastAsia="Book Antiqua" w:hAnsi="Book Antiqua" w:cs="Book Antiqua"/>
          <w:b/>
          <w:bCs/>
          <w:color w:val="000000"/>
        </w:rPr>
        <w:t>Ali N</w:t>
      </w:r>
      <w:r w:rsidRPr="00F30D12">
        <w:rPr>
          <w:rFonts w:ascii="Book Antiqua" w:eastAsia="Book Antiqua" w:hAnsi="Book Antiqua" w:cs="Book Antiqua"/>
          <w:color w:val="000000"/>
        </w:rPr>
        <w:t xml:space="preserve">. Role of vitamin D in preventing of COVID-19 infection, progression and severity. </w:t>
      </w:r>
      <w:r w:rsidRPr="00F30D12">
        <w:rPr>
          <w:rFonts w:ascii="Book Antiqua" w:eastAsia="Book Antiqua" w:hAnsi="Book Antiqua" w:cs="Book Antiqua"/>
          <w:i/>
          <w:iCs/>
          <w:color w:val="000000"/>
        </w:rPr>
        <w:t>J Infect Public Health</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13</w:t>
      </w:r>
      <w:r w:rsidRPr="00F30D12">
        <w:rPr>
          <w:rFonts w:ascii="Book Antiqua" w:eastAsia="Book Antiqua" w:hAnsi="Book Antiqua" w:cs="Book Antiqua"/>
          <w:color w:val="000000"/>
        </w:rPr>
        <w:t>: 1373-1380 [PMID: 32605780 DOI: 10.1016/j.jiph.2020.06.021]</w:t>
      </w:r>
    </w:p>
    <w:p w14:paraId="56BA408A" w14:textId="77777777" w:rsidR="00A77B3E" w:rsidRPr="00F30D12" w:rsidRDefault="00C43656">
      <w:pPr>
        <w:spacing w:line="360" w:lineRule="auto"/>
        <w:jc w:val="both"/>
      </w:pPr>
      <w:r w:rsidRPr="00F30D12">
        <w:rPr>
          <w:rFonts w:ascii="Book Antiqua" w:eastAsia="Book Antiqua" w:hAnsi="Book Antiqua" w:cs="Book Antiqua"/>
          <w:color w:val="000000"/>
        </w:rPr>
        <w:t xml:space="preserve">47 </w:t>
      </w:r>
      <w:r w:rsidRPr="00F30D12">
        <w:rPr>
          <w:rFonts w:ascii="Book Antiqua" w:eastAsia="Book Antiqua" w:hAnsi="Book Antiqua" w:cs="Book Antiqua"/>
          <w:b/>
          <w:bCs/>
          <w:color w:val="000000"/>
        </w:rPr>
        <w:t>Fiorino S</w:t>
      </w:r>
      <w:r w:rsidRPr="00F30D12">
        <w:rPr>
          <w:rFonts w:ascii="Book Antiqua" w:eastAsia="Book Antiqua" w:hAnsi="Book Antiqua" w:cs="Book Antiqua"/>
          <w:color w:val="000000"/>
        </w:rPr>
        <w:t xml:space="preserve">, Zippi M, Gallo C, Sifo D, Sabbatani S, Manfredi R, Rasciti E, Rasciti L, Giampieri E, Corazza I, Leandri P, de Biase D. The rationale for a multi-step therapeutic approach based on antivirals, drugs and nutrients with immunomodulatory activity in patients with coronavirus-SARS2-induced disease of different severities. </w:t>
      </w:r>
      <w:r w:rsidRPr="00F30D12">
        <w:rPr>
          <w:rFonts w:ascii="Book Antiqua" w:eastAsia="Book Antiqua" w:hAnsi="Book Antiqua" w:cs="Book Antiqua"/>
          <w:i/>
          <w:iCs/>
          <w:color w:val="000000"/>
        </w:rPr>
        <w:t>Br J Nutr</w:t>
      </w:r>
      <w:r w:rsidRPr="00F30D12">
        <w:rPr>
          <w:rFonts w:ascii="Book Antiqua" w:eastAsia="Book Antiqua" w:hAnsi="Book Antiqua" w:cs="Book Antiqua"/>
          <w:color w:val="000000"/>
        </w:rPr>
        <w:t xml:space="preserve"> 2021; </w:t>
      </w:r>
      <w:r w:rsidRPr="00F30D12">
        <w:rPr>
          <w:rFonts w:ascii="Book Antiqua" w:eastAsia="Book Antiqua" w:hAnsi="Book Antiqua" w:cs="Book Antiqua"/>
          <w:b/>
          <w:bCs/>
          <w:color w:val="000000"/>
        </w:rPr>
        <w:t>125</w:t>
      </w:r>
      <w:r w:rsidRPr="00F30D12">
        <w:rPr>
          <w:rFonts w:ascii="Book Antiqua" w:eastAsia="Book Antiqua" w:hAnsi="Book Antiqua" w:cs="Book Antiqua"/>
          <w:color w:val="000000"/>
        </w:rPr>
        <w:t>: 275-293 [PMID: 32703328 DOI: 10.1017/S0007114520002913]</w:t>
      </w:r>
    </w:p>
    <w:p w14:paraId="424ADF46" w14:textId="14619C06" w:rsidR="00A77B3E" w:rsidRPr="00F30D12" w:rsidRDefault="00C43656">
      <w:pPr>
        <w:spacing w:line="360" w:lineRule="auto"/>
        <w:jc w:val="both"/>
        <w:rPr>
          <w:rFonts w:ascii="Book Antiqua" w:eastAsia="Book Antiqua" w:hAnsi="Book Antiqua" w:cs="Book Antiqua"/>
          <w:color w:val="000000"/>
        </w:rPr>
      </w:pPr>
      <w:r w:rsidRPr="00F30D12">
        <w:rPr>
          <w:rFonts w:ascii="Book Antiqua" w:eastAsia="Book Antiqua" w:hAnsi="Book Antiqua" w:cs="Book Antiqua"/>
          <w:color w:val="000000"/>
        </w:rPr>
        <w:t xml:space="preserve">48 </w:t>
      </w:r>
      <w:r w:rsidRPr="00F30D12">
        <w:rPr>
          <w:rFonts w:ascii="Book Antiqua" w:eastAsia="Book Antiqua" w:hAnsi="Book Antiqua" w:cs="Book Antiqua"/>
          <w:b/>
          <w:bCs/>
          <w:color w:val="000000"/>
        </w:rPr>
        <w:t>McKeigue PM</w:t>
      </w:r>
      <w:r w:rsidRPr="00F30D12">
        <w:rPr>
          <w:rFonts w:ascii="Book Antiqua" w:eastAsia="Book Antiqua" w:hAnsi="Book Antiqua" w:cs="Book Antiqua"/>
          <w:color w:val="000000"/>
        </w:rPr>
        <w:t xml:space="preserve">, Kennedy S, Weir A, Bishop J, McGurnaghan SJ, McAllister D, </w:t>
      </w:r>
      <w:r w:rsidR="001B36D5" w:rsidRPr="00F30D12">
        <w:rPr>
          <w:rFonts w:ascii="Book Antiqua" w:eastAsia="Book Antiqua" w:hAnsi="Book Antiqua" w:cs="Book Antiqua"/>
          <w:color w:val="000000"/>
        </w:rPr>
        <w:t>Robertson C, Wood R, Lone N, Murray J, Caparrotta TM, Smith-Palmer A, Goldberg D, McMenamin J, Ramsay C, Guthrie B, Hutchinson S, Colhoun HM.</w:t>
      </w:r>
      <w:r w:rsidRPr="00F30D12">
        <w:rPr>
          <w:rFonts w:ascii="Book Antiqua" w:eastAsia="Book Antiqua" w:hAnsi="Book Antiqua" w:cs="Book Antiqua"/>
          <w:color w:val="000000"/>
        </w:rPr>
        <w:t xml:space="preserve"> Associations of severe COVID-19 with polypharmacy in the REACT-SCOT case-control study. </w:t>
      </w:r>
      <w:r w:rsidR="000762E0" w:rsidRPr="00F30D12">
        <w:rPr>
          <w:rFonts w:ascii="Book Antiqua" w:hAnsi="Book Antiqua" w:cs="Segoe UI"/>
          <w:color w:val="000000"/>
        </w:rPr>
        <w:t xml:space="preserve">2020 </w:t>
      </w:r>
      <w:bookmarkStart w:id="11" w:name="OLE_LINK654"/>
      <w:bookmarkStart w:id="12" w:name="OLE_LINK655"/>
      <w:r w:rsidR="000762E0" w:rsidRPr="00F30D12">
        <w:rPr>
          <w:rFonts w:ascii="Book Antiqua" w:hAnsi="Book Antiqua" w:cs="Segoe UI"/>
          <w:color w:val="000000"/>
        </w:rPr>
        <w:t xml:space="preserve">Preprint. Available from: </w:t>
      </w:r>
      <w:r w:rsidR="000762E0" w:rsidRPr="00F30D12">
        <w:rPr>
          <w:rFonts w:ascii="Book Antiqua" w:eastAsia="Book Antiqua" w:hAnsi="Book Antiqua" w:cs="Book Antiqua"/>
          <w:color w:val="000000"/>
        </w:rPr>
        <w:t>medRxiv</w:t>
      </w:r>
      <w:bookmarkEnd w:id="11"/>
      <w:bookmarkEnd w:id="12"/>
      <w:r w:rsidR="000762E0" w:rsidRPr="00F30D12">
        <w:rPr>
          <w:rFonts w:ascii="Book Antiqua" w:hAnsi="Book Antiqua" w:cs="Segoe UI"/>
          <w:color w:val="000000"/>
        </w:rPr>
        <w:t xml:space="preserve"> </w:t>
      </w:r>
      <w:r w:rsidRPr="00F30D12">
        <w:rPr>
          <w:rFonts w:ascii="Book Antiqua" w:eastAsia="Book Antiqua" w:hAnsi="Book Antiqua" w:cs="Book Antiqua"/>
          <w:color w:val="000000"/>
        </w:rPr>
        <w:t>[</w:t>
      </w:r>
      <w:r w:rsidR="001B36D5" w:rsidRPr="00F30D12">
        <w:rPr>
          <w:rFonts w:ascii="Book Antiqua" w:eastAsia="Book Antiqua" w:hAnsi="Book Antiqua" w:cs="Book Antiqua"/>
          <w:color w:val="000000"/>
        </w:rPr>
        <w:t>DOI</w:t>
      </w:r>
      <w:r w:rsidRPr="00F30D12">
        <w:rPr>
          <w:rFonts w:ascii="Book Antiqua" w:eastAsia="Book Antiqua" w:hAnsi="Book Antiqua" w:cs="Book Antiqua"/>
          <w:color w:val="000000"/>
        </w:rPr>
        <w:t>:</w:t>
      </w:r>
      <w:r w:rsidR="00EF5788" w:rsidRPr="00F30D12">
        <w:rPr>
          <w:rFonts w:ascii="Book Antiqua" w:eastAsia="Book Antiqua" w:hAnsi="Book Antiqua" w:cs="Book Antiqua"/>
          <w:color w:val="000000"/>
        </w:rPr>
        <w:t xml:space="preserve"> </w:t>
      </w:r>
      <w:r w:rsidRPr="00F30D12">
        <w:rPr>
          <w:rFonts w:ascii="Book Antiqua" w:eastAsia="Book Antiqua" w:hAnsi="Book Antiqua" w:cs="Book Antiqua"/>
          <w:color w:val="000000"/>
        </w:rPr>
        <w:t>10.1101/2020.07.23.20160747]</w:t>
      </w:r>
    </w:p>
    <w:p w14:paraId="4D6464E8" w14:textId="77777777" w:rsidR="00A77B3E" w:rsidRPr="00F30D12" w:rsidRDefault="00C43656">
      <w:pPr>
        <w:spacing w:line="360" w:lineRule="auto"/>
        <w:jc w:val="both"/>
      </w:pPr>
      <w:r w:rsidRPr="00F30D12">
        <w:rPr>
          <w:rFonts w:ascii="Book Antiqua" w:eastAsia="Book Antiqua" w:hAnsi="Book Antiqua" w:cs="Book Antiqua"/>
          <w:color w:val="000000"/>
        </w:rPr>
        <w:t xml:space="preserve">49 </w:t>
      </w:r>
      <w:r w:rsidRPr="00F30D12">
        <w:rPr>
          <w:rFonts w:ascii="Book Antiqua" w:eastAsia="Book Antiqua" w:hAnsi="Book Antiqua" w:cs="Book Antiqua"/>
          <w:b/>
          <w:bCs/>
          <w:color w:val="000000"/>
        </w:rPr>
        <w:t>Argenziano MG</w:t>
      </w:r>
      <w:r w:rsidRPr="00F30D12">
        <w:rPr>
          <w:rFonts w:ascii="Book Antiqua" w:eastAsia="Book Antiqua" w:hAnsi="Book Antiqua" w:cs="Book Antiqua"/>
          <w:color w:val="000000"/>
        </w:rPr>
        <w:t xml:space="preserve">, Bruce SL, Slater CL, Tiao JR, Baldwin MR, Barr RG, Chang BP, Chau KH, Choi JJ, Gavin N, Goyal P, Mills AM, Patel AA, Romney MS, Safford MM, Schluger NW, Sengupta S, Sobieszczyk ME, Zucker JE, Asadourian PA, Bell FM, Boyd R, Cohen MF, Colquhoun MI, Colville LA, de Jonge JH, Dershowitz LB, Dey SA, Eiseman KA, Girvin ZP, Goni DT, Harb AA, Herzik N, Householder S, Karaaslan LE, Lee H, Lieberman E, Ling A, Lu R, Shou AY, Sisti AC, Snow ZE, Sperring CP, Xiong Y, Zhou HW, Natarajan K, Hripcsak G, Chen R. Characterization and clinical course of 1000 patients with coronavirus disease 2019 in New York: retrospective case series. </w:t>
      </w:r>
      <w:r w:rsidRPr="00F30D12">
        <w:rPr>
          <w:rFonts w:ascii="Book Antiqua" w:eastAsia="Book Antiqua" w:hAnsi="Book Antiqua" w:cs="Book Antiqua"/>
          <w:i/>
          <w:iCs/>
          <w:color w:val="000000"/>
        </w:rPr>
        <w:t>BMJ</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369</w:t>
      </w:r>
      <w:r w:rsidRPr="00F30D12">
        <w:rPr>
          <w:rFonts w:ascii="Book Antiqua" w:eastAsia="Book Antiqua" w:hAnsi="Book Antiqua" w:cs="Book Antiqua"/>
          <w:color w:val="000000"/>
        </w:rPr>
        <w:t>: m1996 [PMID: 32471884 DOI: 10.1136/bmj.m1996]</w:t>
      </w:r>
    </w:p>
    <w:p w14:paraId="1F800860"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50 </w:t>
      </w:r>
      <w:r w:rsidRPr="00F30D12">
        <w:rPr>
          <w:rFonts w:ascii="Book Antiqua" w:eastAsia="Book Antiqua" w:hAnsi="Book Antiqua" w:cs="Book Antiqua"/>
          <w:b/>
          <w:bCs/>
          <w:color w:val="000000"/>
        </w:rPr>
        <w:t>Ramachandran P</w:t>
      </w:r>
      <w:r w:rsidRPr="00F30D12">
        <w:rPr>
          <w:rFonts w:ascii="Book Antiqua" w:eastAsia="Book Antiqua" w:hAnsi="Book Antiqua" w:cs="Book Antiqua"/>
          <w:color w:val="000000"/>
        </w:rPr>
        <w:t xml:space="preserve">, Perisetti A, Gajendran M, Jean-Louis F, Bansal P, Dwivedi AK, Goyal H. Pre-hospitalization proton pump inhibitor use and clinical outcomes in COVID-19. </w:t>
      </w:r>
      <w:r w:rsidRPr="00F30D12">
        <w:rPr>
          <w:rFonts w:ascii="Book Antiqua" w:eastAsia="Book Antiqua" w:hAnsi="Book Antiqua" w:cs="Book Antiqua"/>
          <w:i/>
          <w:iCs/>
          <w:color w:val="000000"/>
        </w:rPr>
        <w:t>Eur J Gastroenterol Hepatol</w:t>
      </w:r>
      <w:r w:rsidRPr="00F30D12">
        <w:rPr>
          <w:rFonts w:ascii="Book Antiqua" w:eastAsia="Book Antiqua" w:hAnsi="Book Antiqua" w:cs="Book Antiqua"/>
          <w:color w:val="000000"/>
        </w:rPr>
        <w:t xml:space="preserve"> 2020 [PMID: 33252418 DOI: 10.1097/MEG.0000000000002013]</w:t>
      </w:r>
    </w:p>
    <w:p w14:paraId="0DCE1A87"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51 </w:t>
      </w:r>
      <w:r w:rsidRPr="00F30D12">
        <w:rPr>
          <w:rFonts w:ascii="Book Antiqua" w:eastAsia="Book Antiqua" w:hAnsi="Book Antiqua" w:cs="Book Antiqua"/>
          <w:b/>
          <w:bCs/>
          <w:color w:val="000000"/>
        </w:rPr>
        <w:t>Lee SW</w:t>
      </w:r>
      <w:r w:rsidRPr="00F30D12">
        <w:rPr>
          <w:rFonts w:ascii="Book Antiqua" w:eastAsia="Book Antiqua" w:hAnsi="Book Antiqua" w:cs="Book Antiqua"/>
          <w:color w:val="000000"/>
        </w:rPr>
        <w:t xml:space="preserve">, Ha EK, Yeniova AÖ, Moon SY, Kim SY, Koh HY, Yang JM, Jeong SJ, Moon SJ, Cho JY, Yoo IK, Yon DK. Severe clinical outcomes of COVID-19 associated with proton pump inhibitors: a nationwide cohort study with propensity score matching. </w:t>
      </w:r>
      <w:r w:rsidRPr="00F30D12">
        <w:rPr>
          <w:rFonts w:ascii="Book Antiqua" w:eastAsia="Book Antiqua" w:hAnsi="Book Antiqua" w:cs="Book Antiqua"/>
          <w:i/>
          <w:iCs/>
          <w:color w:val="000000"/>
        </w:rPr>
        <w:t>Gut</w:t>
      </w:r>
      <w:r w:rsidRPr="00F30D12">
        <w:rPr>
          <w:rFonts w:ascii="Book Antiqua" w:eastAsia="Book Antiqua" w:hAnsi="Book Antiqua" w:cs="Book Antiqua"/>
          <w:color w:val="000000"/>
        </w:rPr>
        <w:t xml:space="preserve"> 2021; </w:t>
      </w:r>
      <w:r w:rsidRPr="00F30D12">
        <w:rPr>
          <w:rFonts w:ascii="Book Antiqua" w:eastAsia="Book Antiqua" w:hAnsi="Book Antiqua" w:cs="Book Antiqua"/>
          <w:b/>
          <w:bCs/>
          <w:color w:val="000000"/>
        </w:rPr>
        <w:t>70</w:t>
      </w:r>
      <w:r w:rsidRPr="00F30D12">
        <w:rPr>
          <w:rFonts w:ascii="Book Antiqua" w:eastAsia="Book Antiqua" w:hAnsi="Book Antiqua" w:cs="Book Antiqua"/>
          <w:color w:val="000000"/>
        </w:rPr>
        <w:t>: 76-84 [PMID: 32732368 DOI: 10.1136/gutjnl-2020-322248]</w:t>
      </w:r>
    </w:p>
    <w:p w14:paraId="36DC63BE" w14:textId="1A3F6918" w:rsidR="00A77B3E" w:rsidRPr="00F30D12" w:rsidRDefault="00C43656">
      <w:pPr>
        <w:spacing w:line="360" w:lineRule="auto"/>
        <w:jc w:val="both"/>
      </w:pPr>
      <w:r w:rsidRPr="00F30D12">
        <w:rPr>
          <w:rFonts w:ascii="Book Antiqua" w:eastAsia="Book Antiqua" w:hAnsi="Book Antiqua" w:cs="Book Antiqua"/>
          <w:color w:val="000000"/>
        </w:rPr>
        <w:t xml:space="preserve">52 </w:t>
      </w:r>
      <w:r w:rsidRPr="00F30D12">
        <w:rPr>
          <w:rFonts w:ascii="Book Antiqua" w:eastAsia="Book Antiqua" w:hAnsi="Book Antiqua" w:cs="Book Antiqua"/>
          <w:b/>
          <w:bCs/>
          <w:color w:val="000000"/>
        </w:rPr>
        <w:t>Ullah AZMD</w:t>
      </w:r>
      <w:r w:rsidRPr="00F30D12">
        <w:rPr>
          <w:rFonts w:ascii="Book Antiqua" w:eastAsia="Book Antiqua" w:hAnsi="Book Antiqua" w:cs="Book Antiqua"/>
          <w:color w:val="000000"/>
        </w:rPr>
        <w:t>, Sivapalan L, Chelala C, Kocher HM. COVID-19 in patients with hepatobiliary and pancreatic diseases in East London: a single-centre cohort study.</w:t>
      </w:r>
      <w:r w:rsidR="000762E0" w:rsidRPr="00F30D12">
        <w:rPr>
          <w:rFonts w:ascii="Book Antiqua" w:hAnsi="Book Antiqua" w:cs="Segoe UI"/>
          <w:color w:val="000000"/>
        </w:rPr>
        <w:t xml:space="preserve"> 2020 Preprint. Available from: </w:t>
      </w:r>
      <w:r w:rsidR="000762E0" w:rsidRPr="00F30D12">
        <w:rPr>
          <w:rFonts w:ascii="Book Antiqua" w:eastAsia="Book Antiqua" w:hAnsi="Book Antiqua" w:cs="Book Antiqua"/>
          <w:color w:val="000000"/>
        </w:rPr>
        <w:t>medRxiv</w:t>
      </w:r>
      <w:r w:rsidRPr="00F30D12">
        <w:rPr>
          <w:rFonts w:ascii="Book Antiqua" w:eastAsia="Book Antiqua" w:hAnsi="Book Antiqua" w:cs="Book Antiqua"/>
          <w:color w:val="000000"/>
        </w:rPr>
        <w:t xml:space="preserve"> [</w:t>
      </w:r>
      <w:r w:rsidR="00C72B07" w:rsidRPr="00F30D12">
        <w:rPr>
          <w:rFonts w:ascii="Book Antiqua" w:eastAsia="Book Antiqua" w:hAnsi="Book Antiqua" w:cs="Book Antiqua"/>
          <w:color w:val="000000"/>
        </w:rPr>
        <w:t>DOI</w:t>
      </w:r>
      <w:r w:rsidRPr="00F30D12">
        <w:rPr>
          <w:rFonts w:ascii="Book Antiqua" w:eastAsia="Book Antiqua" w:hAnsi="Book Antiqua" w:cs="Book Antiqua"/>
          <w:color w:val="000000"/>
        </w:rPr>
        <w:t>:</w:t>
      </w:r>
      <w:r w:rsidR="00C72B07" w:rsidRPr="00F30D12">
        <w:rPr>
          <w:rFonts w:ascii="Book Antiqua" w:eastAsia="Book Antiqua" w:hAnsi="Book Antiqua" w:cs="Book Antiqua"/>
          <w:color w:val="000000"/>
        </w:rPr>
        <w:t xml:space="preserve"> </w:t>
      </w:r>
      <w:r w:rsidRPr="00F30D12">
        <w:rPr>
          <w:rFonts w:ascii="Book Antiqua" w:eastAsia="Book Antiqua" w:hAnsi="Book Antiqua" w:cs="Book Antiqua"/>
          <w:color w:val="000000"/>
        </w:rPr>
        <w:t>10.1101/2020.09.07.20189621]</w:t>
      </w:r>
    </w:p>
    <w:p w14:paraId="3FEB3A6D"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53 </w:t>
      </w:r>
      <w:r w:rsidRPr="00F30D12">
        <w:rPr>
          <w:rFonts w:ascii="Book Antiqua" w:eastAsia="Book Antiqua" w:hAnsi="Book Antiqua" w:cs="Book Antiqua"/>
          <w:b/>
          <w:bCs/>
          <w:color w:val="000000"/>
        </w:rPr>
        <w:t>Hariyanto TI</w:t>
      </w:r>
      <w:r w:rsidRPr="00F30D12">
        <w:rPr>
          <w:rFonts w:ascii="Book Antiqua" w:eastAsia="Book Antiqua" w:hAnsi="Book Antiqua" w:cs="Book Antiqua"/>
          <w:color w:val="000000"/>
        </w:rPr>
        <w:t xml:space="preserve">, Prasetya IB, Kurniawan A. Proton pump inhibitor use is associated with increased risk of severity and mortality from coronavirus disease 2019 (COVID-19) infection. </w:t>
      </w:r>
      <w:r w:rsidRPr="00F30D12">
        <w:rPr>
          <w:rFonts w:ascii="Book Antiqua" w:eastAsia="Book Antiqua" w:hAnsi="Book Antiqua" w:cs="Book Antiqua"/>
          <w:i/>
          <w:iCs/>
          <w:color w:val="000000"/>
        </w:rPr>
        <w:t>Dig Liver Dis</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52</w:t>
      </w:r>
      <w:r w:rsidRPr="00F30D12">
        <w:rPr>
          <w:rFonts w:ascii="Book Antiqua" w:eastAsia="Book Antiqua" w:hAnsi="Book Antiqua" w:cs="Book Antiqua"/>
          <w:color w:val="000000"/>
        </w:rPr>
        <w:t>: 1410-1412 [PMID: 33092998 DOI: 10.1016/j.dld.2020.10.001]</w:t>
      </w:r>
    </w:p>
    <w:p w14:paraId="3E2D4F99"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54 </w:t>
      </w:r>
      <w:r w:rsidRPr="00F30D12">
        <w:rPr>
          <w:rFonts w:ascii="Book Antiqua" w:eastAsia="Book Antiqua" w:hAnsi="Book Antiqua" w:cs="Book Antiqua"/>
          <w:b/>
          <w:bCs/>
          <w:color w:val="000000"/>
        </w:rPr>
        <w:t>Aby ES</w:t>
      </w:r>
      <w:r w:rsidRPr="00F30D12">
        <w:rPr>
          <w:rFonts w:ascii="Book Antiqua" w:eastAsia="Book Antiqua" w:hAnsi="Book Antiqua" w:cs="Book Antiqua"/>
          <w:color w:val="000000"/>
        </w:rPr>
        <w:t xml:space="preserve">, Rodin H, Debes JD. Proton Pump Inhibitors and Mortality in Individuals With COVID-19. </w:t>
      </w:r>
      <w:r w:rsidRPr="00F30D12">
        <w:rPr>
          <w:rFonts w:ascii="Book Antiqua" w:eastAsia="Book Antiqua" w:hAnsi="Book Antiqua" w:cs="Book Antiqua"/>
          <w:i/>
          <w:iCs/>
          <w:color w:val="000000"/>
        </w:rPr>
        <w:t>Am J Gastroenterol</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115</w:t>
      </w:r>
      <w:r w:rsidRPr="00F30D12">
        <w:rPr>
          <w:rFonts w:ascii="Book Antiqua" w:eastAsia="Book Antiqua" w:hAnsi="Book Antiqua" w:cs="Book Antiqua"/>
          <w:color w:val="000000"/>
        </w:rPr>
        <w:t>: 1918 [PMID: 33156113 DOI: 10.14309/ajg.0000000000000992]</w:t>
      </w:r>
    </w:p>
    <w:p w14:paraId="6B537EEA"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55 </w:t>
      </w:r>
      <w:r w:rsidRPr="00F30D12">
        <w:rPr>
          <w:rFonts w:ascii="Book Antiqua" w:eastAsia="Book Antiqua" w:hAnsi="Book Antiqua" w:cs="Book Antiqua"/>
          <w:b/>
          <w:bCs/>
          <w:color w:val="000000"/>
        </w:rPr>
        <w:t>García-Menaya JM</w:t>
      </w:r>
      <w:r w:rsidRPr="00F30D12">
        <w:rPr>
          <w:rFonts w:ascii="Book Antiqua" w:eastAsia="Book Antiqua" w:hAnsi="Book Antiqua" w:cs="Book Antiqua"/>
          <w:color w:val="000000"/>
        </w:rPr>
        <w:t xml:space="preserve">, Cordobés-Durán C, Rangel-Mayoral JF, García-Martín E, Agúndez JAG. Outcomes and Laboratory and Clinical Findings of Asthma and Allergic Patients Admitted With Covid-19 in a Spanish University Hospital. </w:t>
      </w:r>
      <w:r w:rsidRPr="00F30D12">
        <w:rPr>
          <w:rFonts w:ascii="Book Antiqua" w:eastAsia="Book Antiqua" w:hAnsi="Book Antiqua" w:cs="Book Antiqua"/>
          <w:i/>
          <w:iCs/>
          <w:color w:val="000000"/>
        </w:rPr>
        <w:t>Front Pharmacol</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11</w:t>
      </w:r>
      <w:r w:rsidRPr="00F30D12">
        <w:rPr>
          <w:rFonts w:ascii="Book Antiqua" w:eastAsia="Book Antiqua" w:hAnsi="Book Antiqua" w:cs="Book Antiqua"/>
          <w:color w:val="000000"/>
        </w:rPr>
        <w:t>: 570721 [PMID: 33041811 DOI: 10.3389/fphar.2020.570721]</w:t>
      </w:r>
    </w:p>
    <w:p w14:paraId="7D38CB25"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56 </w:t>
      </w:r>
      <w:r w:rsidRPr="00F30D12">
        <w:rPr>
          <w:rFonts w:ascii="Book Antiqua" w:eastAsia="Book Antiqua" w:hAnsi="Book Antiqua" w:cs="Book Antiqua"/>
          <w:b/>
          <w:bCs/>
          <w:color w:val="000000"/>
        </w:rPr>
        <w:t>Gadiparthi C</w:t>
      </w:r>
      <w:r w:rsidRPr="00F30D12">
        <w:rPr>
          <w:rFonts w:ascii="Book Antiqua" w:eastAsia="Book Antiqua" w:hAnsi="Book Antiqua" w:cs="Book Antiqua"/>
          <w:color w:val="000000"/>
        </w:rPr>
        <w:t xml:space="preserve">, Perisetti A, Sayana H, Tharian B, Inamdar S, Korman A. Gastrointestinal Bleeding in Patients with Severe SARS-CoV-2. </w:t>
      </w:r>
      <w:r w:rsidRPr="00F30D12">
        <w:rPr>
          <w:rFonts w:ascii="Book Antiqua" w:eastAsia="Book Antiqua" w:hAnsi="Book Antiqua" w:cs="Book Antiqua"/>
          <w:i/>
          <w:iCs/>
          <w:color w:val="000000"/>
        </w:rPr>
        <w:t>Am J Gastroenterol</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115</w:t>
      </w:r>
      <w:r w:rsidRPr="00F30D12">
        <w:rPr>
          <w:rFonts w:ascii="Book Antiqua" w:eastAsia="Book Antiqua" w:hAnsi="Book Antiqua" w:cs="Book Antiqua"/>
          <w:color w:val="000000"/>
        </w:rPr>
        <w:t>: 1283-1285 [PMID: 32516204 DOI: 10.14309/ajg.0000000000000719]</w:t>
      </w:r>
    </w:p>
    <w:p w14:paraId="06D63944"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57 </w:t>
      </w:r>
      <w:r w:rsidRPr="00F30D12">
        <w:rPr>
          <w:rFonts w:ascii="Book Antiqua" w:eastAsia="Book Antiqua" w:hAnsi="Book Antiqua" w:cs="Book Antiqua"/>
          <w:b/>
          <w:bCs/>
          <w:color w:val="000000"/>
        </w:rPr>
        <w:t>Li GF</w:t>
      </w:r>
      <w:r w:rsidRPr="00F30D12">
        <w:rPr>
          <w:rFonts w:ascii="Book Antiqua" w:eastAsia="Book Antiqua" w:hAnsi="Book Antiqua" w:cs="Book Antiqua"/>
          <w:color w:val="000000"/>
        </w:rPr>
        <w:t xml:space="preserve">, An XX, Yu Y, Jiao LR, Canarutto D, Yu G, Wang G, Wu DN, Xiao Y. Do proton pump inhibitors influence SARS-CoV-2 related outcomes? A meta-analysis. </w:t>
      </w:r>
      <w:r w:rsidRPr="00F30D12">
        <w:rPr>
          <w:rFonts w:ascii="Book Antiqua" w:eastAsia="Book Antiqua" w:hAnsi="Book Antiqua" w:cs="Book Antiqua"/>
          <w:i/>
          <w:iCs/>
          <w:color w:val="000000"/>
        </w:rPr>
        <w:t>Gut</w:t>
      </w:r>
      <w:r w:rsidRPr="00F30D12">
        <w:rPr>
          <w:rFonts w:ascii="Book Antiqua" w:eastAsia="Book Antiqua" w:hAnsi="Book Antiqua" w:cs="Book Antiqua"/>
          <w:color w:val="000000"/>
        </w:rPr>
        <w:t xml:space="preserve"> 2020 [PMID: 33172925 DOI: 10.1136/gutjnl-2020-323366]</w:t>
      </w:r>
    </w:p>
    <w:p w14:paraId="635F8BB1"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58 </w:t>
      </w:r>
      <w:r w:rsidRPr="00F30D12">
        <w:rPr>
          <w:rFonts w:ascii="Book Antiqua" w:eastAsia="Book Antiqua" w:hAnsi="Book Antiqua" w:cs="Book Antiqua"/>
          <w:b/>
          <w:bCs/>
          <w:color w:val="000000"/>
        </w:rPr>
        <w:t>Kwon JH</w:t>
      </w:r>
      <w:r w:rsidRPr="00F30D12">
        <w:rPr>
          <w:rFonts w:ascii="Book Antiqua" w:eastAsia="Book Antiqua" w:hAnsi="Book Antiqua" w:cs="Book Antiqua"/>
          <w:color w:val="000000"/>
        </w:rPr>
        <w:t xml:space="preserve">, Koh SJ, Kim W, Jung YJ, Kim JW, Kim BG, Lee KL, Im JP, Kim YJ, Kim JS, Yoon JH, Lee HS, Jung HC. Mortality associated with proton pump inhibitors in cirrhotic patients with spontaneous bacterial peritonitis. </w:t>
      </w:r>
      <w:r w:rsidRPr="00F30D12">
        <w:rPr>
          <w:rFonts w:ascii="Book Antiqua" w:eastAsia="Book Antiqua" w:hAnsi="Book Antiqua" w:cs="Book Antiqua"/>
          <w:i/>
          <w:iCs/>
          <w:color w:val="000000"/>
        </w:rPr>
        <w:t>J Gastroenterol Hepatol</w:t>
      </w:r>
      <w:r w:rsidRPr="00F30D12">
        <w:rPr>
          <w:rFonts w:ascii="Book Antiqua" w:eastAsia="Book Antiqua" w:hAnsi="Book Antiqua" w:cs="Book Antiqua"/>
          <w:color w:val="000000"/>
        </w:rPr>
        <w:t xml:space="preserve"> 2014; </w:t>
      </w:r>
      <w:r w:rsidRPr="00F30D12">
        <w:rPr>
          <w:rFonts w:ascii="Book Antiqua" w:eastAsia="Book Antiqua" w:hAnsi="Book Antiqua" w:cs="Book Antiqua"/>
          <w:b/>
          <w:bCs/>
          <w:color w:val="000000"/>
        </w:rPr>
        <w:t>29</w:t>
      </w:r>
      <w:r w:rsidRPr="00F30D12">
        <w:rPr>
          <w:rFonts w:ascii="Book Antiqua" w:eastAsia="Book Antiqua" w:hAnsi="Book Antiqua" w:cs="Book Antiqua"/>
          <w:color w:val="000000"/>
        </w:rPr>
        <w:t>: 775-781 [PMID: 24219827 DOI: 10.1111/jgh.12426]</w:t>
      </w:r>
    </w:p>
    <w:p w14:paraId="637EE2A9" w14:textId="77777777" w:rsidR="00A77B3E" w:rsidRPr="00F30D12" w:rsidRDefault="00C43656">
      <w:pPr>
        <w:spacing w:line="360" w:lineRule="auto"/>
        <w:jc w:val="both"/>
      </w:pPr>
      <w:r w:rsidRPr="00F30D12">
        <w:rPr>
          <w:rFonts w:ascii="Book Antiqua" w:eastAsia="Book Antiqua" w:hAnsi="Book Antiqua" w:cs="Book Antiqua"/>
          <w:color w:val="000000"/>
        </w:rPr>
        <w:t xml:space="preserve">59 </w:t>
      </w:r>
      <w:r w:rsidRPr="00F30D12">
        <w:rPr>
          <w:rFonts w:ascii="Book Antiqua" w:eastAsia="Book Antiqua" w:hAnsi="Book Antiqua" w:cs="Book Antiqua"/>
          <w:b/>
          <w:bCs/>
          <w:color w:val="000000"/>
        </w:rPr>
        <w:t>Hegarty JP</w:t>
      </w:r>
      <w:r w:rsidRPr="00F30D12">
        <w:rPr>
          <w:rFonts w:ascii="Book Antiqua" w:eastAsia="Book Antiqua" w:hAnsi="Book Antiqua" w:cs="Book Antiqua"/>
          <w:color w:val="000000"/>
        </w:rPr>
        <w:t xml:space="preserve">, Sangster W, Harris LR 3rd, Stewart DB. Proton pump inhibitors induce changes in colonocyte gene expression that may affect Clostridium difficile infection. </w:t>
      </w:r>
      <w:r w:rsidRPr="00F30D12">
        <w:rPr>
          <w:rFonts w:ascii="Book Antiqua" w:eastAsia="Book Antiqua" w:hAnsi="Book Antiqua" w:cs="Book Antiqua"/>
          <w:i/>
          <w:iCs/>
          <w:color w:val="000000"/>
        </w:rPr>
        <w:t>Surgery</w:t>
      </w:r>
      <w:r w:rsidRPr="00F30D12">
        <w:rPr>
          <w:rFonts w:ascii="Book Antiqua" w:eastAsia="Book Antiqua" w:hAnsi="Book Antiqua" w:cs="Book Antiqua"/>
          <w:color w:val="000000"/>
        </w:rPr>
        <w:t xml:space="preserve"> 2014; </w:t>
      </w:r>
      <w:r w:rsidRPr="00F30D12">
        <w:rPr>
          <w:rFonts w:ascii="Book Antiqua" w:eastAsia="Book Antiqua" w:hAnsi="Book Antiqua" w:cs="Book Antiqua"/>
          <w:b/>
          <w:bCs/>
          <w:color w:val="000000"/>
        </w:rPr>
        <w:t>156</w:t>
      </w:r>
      <w:r w:rsidRPr="00F30D12">
        <w:rPr>
          <w:rFonts w:ascii="Book Antiqua" w:eastAsia="Book Antiqua" w:hAnsi="Book Antiqua" w:cs="Book Antiqua"/>
          <w:color w:val="000000"/>
        </w:rPr>
        <w:t>: 972-978 [PMID: 25151556 DOI: 10.1016/j.surg.2014.06.074]</w:t>
      </w:r>
    </w:p>
    <w:p w14:paraId="15CA53AD"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60 </w:t>
      </w:r>
      <w:r w:rsidRPr="00F30D12">
        <w:rPr>
          <w:rFonts w:ascii="Book Antiqua" w:eastAsia="Book Antiqua" w:hAnsi="Book Antiqua" w:cs="Book Antiqua"/>
          <w:b/>
          <w:bCs/>
          <w:color w:val="000000"/>
        </w:rPr>
        <w:t>Taştemur Ş</w:t>
      </w:r>
      <w:r w:rsidRPr="00F30D12">
        <w:rPr>
          <w:rFonts w:ascii="Book Antiqua" w:eastAsia="Book Antiqua" w:hAnsi="Book Antiqua" w:cs="Book Antiqua"/>
          <w:color w:val="000000"/>
        </w:rPr>
        <w:t xml:space="preserve">, Ataseven H. Is it possible to use Proton Pump Inhibitors in COVID-19 treatment and prophylaxis? </w:t>
      </w:r>
      <w:r w:rsidRPr="00F30D12">
        <w:rPr>
          <w:rFonts w:ascii="Book Antiqua" w:eastAsia="Book Antiqua" w:hAnsi="Book Antiqua" w:cs="Book Antiqua"/>
          <w:i/>
          <w:iCs/>
          <w:color w:val="000000"/>
        </w:rPr>
        <w:t>Med Hypotheses</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143</w:t>
      </w:r>
      <w:r w:rsidRPr="00F30D12">
        <w:rPr>
          <w:rFonts w:ascii="Book Antiqua" w:eastAsia="Book Antiqua" w:hAnsi="Book Antiqua" w:cs="Book Antiqua"/>
          <w:color w:val="000000"/>
        </w:rPr>
        <w:t>: 110018 [PMID: 32679422 DOI: 10.1016/j.mehy.2020.110018]</w:t>
      </w:r>
    </w:p>
    <w:p w14:paraId="0DF8C501"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61 </w:t>
      </w:r>
      <w:r w:rsidRPr="00F30D12">
        <w:rPr>
          <w:rFonts w:ascii="Book Antiqua" w:eastAsia="Book Antiqua" w:hAnsi="Book Antiqua" w:cs="Book Antiqua"/>
          <w:b/>
          <w:bCs/>
          <w:color w:val="000000"/>
        </w:rPr>
        <w:t>Ray A</w:t>
      </w:r>
      <w:r w:rsidRPr="00F30D12">
        <w:rPr>
          <w:rFonts w:ascii="Book Antiqua" w:eastAsia="Book Antiqua" w:hAnsi="Book Antiqua" w:cs="Book Antiqua"/>
          <w:color w:val="000000"/>
        </w:rPr>
        <w:t xml:space="preserve">, Sharma S, Sadasivam B. The Potential Therapeutic Role of Proton Pump Inhibitors in COVID-19: Hypotheses Based on Existing Evidences. </w:t>
      </w:r>
      <w:r w:rsidRPr="00F30D12">
        <w:rPr>
          <w:rFonts w:ascii="Book Antiqua" w:eastAsia="Book Antiqua" w:hAnsi="Book Antiqua" w:cs="Book Antiqua"/>
          <w:i/>
          <w:iCs/>
          <w:color w:val="000000"/>
        </w:rPr>
        <w:t>Drug Res (Stuttg)</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70</w:t>
      </w:r>
      <w:r w:rsidRPr="00F30D12">
        <w:rPr>
          <w:rFonts w:ascii="Book Antiqua" w:eastAsia="Book Antiqua" w:hAnsi="Book Antiqua" w:cs="Book Antiqua"/>
          <w:color w:val="000000"/>
        </w:rPr>
        <w:t>: 484-488 [PMID: 32877948 DOI: 10.1055/a-1236-3041]</w:t>
      </w:r>
    </w:p>
    <w:p w14:paraId="1BAA70D6"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62 </w:t>
      </w:r>
      <w:r w:rsidRPr="00F30D12">
        <w:rPr>
          <w:rFonts w:ascii="Book Antiqua" w:eastAsia="Book Antiqua" w:hAnsi="Book Antiqua" w:cs="Book Antiqua"/>
          <w:b/>
          <w:bCs/>
          <w:color w:val="000000"/>
        </w:rPr>
        <w:t>Cao Y</w:t>
      </w:r>
      <w:r w:rsidRPr="00F30D12">
        <w:rPr>
          <w:rFonts w:ascii="Book Antiqua" w:eastAsia="Book Antiqua" w:hAnsi="Book Antiqua" w:cs="Book Antiqua"/>
          <w:color w:val="000000"/>
        </w:rPr>
        <w:t xml:space="preserve">, Chen M, Tang D, Yan H, Ding X, Zhou F, Zhang M, Xu G, Zhang W, Zhang S, Zhuge Y, Wang L, Zou X. The proton pump inhibitor pantoprazole disrupts protein degradation systems and sensitizes cancer cells to death under various stresses. </w:t>
      </w:r>
      <w:r w:rsidRPr="00F30D12">
        <w:rPr>
          <w:rFonts w:ascii="Book Antiqua" w:eastAsia="Book Antiqua" w:hAnsi="Book Antiqua" w:cs="Book Antiqua"/>
          <w:i/>
          <w:iCs/>
          <w:color w:val="000000"/>
        </w:rPr>
        <w:t>Cell Death Dis</w:t>
      </w:r>
      <w:r w:rsidRPr="00F30D12">
        <w:rPr>
          <w:rFonts w:ascii="Book Antiqua" w:eastAsia="Book Antiqua" w:hAnsi="Book Antiqua" w:cs="Book Antiqua"/>
          <w:color w:val="000000"/>
        </w:rPr>
        <w:t xml:space="preserve"> 2018; </w:t>
      </w:r>
      <w:r w:rsidRPr="00F30D12">
        <w:rPr>
          <w:rFonts w:ascii="Book Antiqua" w:eastAsia="Book Antiqua" w:hAnsi="Book Antiqua" w:cs="Book Antiqua"/>
          <w:b/>
          <w:bCs/>
          <w:color w:val="000000"/>
        </w:rPr>
        <w:t>9</w:t>
      </w:r>
      <w:r w:rsidRPr="00F30D12">
        <w:rPr>
          <w:rFonts w:ascii="Book Antiqua" w:eastAsia="Book Antiqua" w:hAnsi="Book Antiqua" w:cs="Book Antiqua"/>
          <w:color w:val="000000"/>
        </w:rPr>
        <w:t>: 604 [PMID: 29789637 DOI: 10.1038/s41419-018-0642-6]</w:t>
      </w:r>
    </w:p>
    <w:p w14:paraId="74B7816E"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63 </w:t>
      </w:r>
      <w:r w:rsidRPr="00F30D12">
        <w:rPr>
          <w:rFonts w:ascii="Book Antiqua" w:eastAsia="Book Antiqua" w:hAnsi="Book Antiqua" w:cs="Book Antiqua"/>
          <w:b/>
          <w:bCs/>
          <w:color w:val="000000"/>
        </w:rPr>
        <w:t>Udelnow A</w:t>
      </w:r>
      <w:r w:rsidRPr="00F30D12">
        <w:rPr>
          <w:rFonts w:ascii="Book Antiqua" w:eastAsia="Book Antiqua" w:hAnsi="Book Antiqua" w:cs="Book Antiqua"/>
          <w:color w:val="000000"/>
        </w:rPr>
        <w:t xml:space="preserve">, Kreyes A, Ellinger S, Landfester K, Walther P, Klapperstueck T, Wohlrab J, Henne-Bruns D, Knippschild U, Würl P. Omeprazole inhibits proliferation and modulates autophagy in pancreatic cancer cells. </w:t>
      </w:r>
      <w:r w:rsidRPr="00F30D12">
        <w:rPr>
          <w:rFonts w:ascii="Book Antiqua" w:eastAsia="Book Antiqua" w:hAnsi="Book Antiqua" w:cs="Book Antiqua"/>
          <w:i/>
          <w:iCs/>
          <w:color w:val="000000"/>
        </w:rPr>
        <w:t>PLoS One</w:t>
      </w:r>
      <w:r w:rsidRPr="00F30D12">
        <w:rPr>
          <w:rFonts w:ascii="Book Antiqua" w:eastAsia="Book Antiqua" w:hAnsi="Book Antiqua" w:cs="Book Antiqua"/>
          <w:color w:val="000000"/>
        </w:rPr>
        <w:t xml:space="preserve"> 2011; </w:t>
      </w:r>
      <w:r w:rsidRPr="00F30D12">
        <w:rPr>
          <w:rFonts w:ascii="Book Antiqua" w:eastAsia="Book Antiqua" w:hAnsi="Book Antiqua" w:cs="Book Antiqua"/>
          <w:b/>
          <w:bCs/>
          <w:color w:val="000000"/>
        </w:rPr>
        <w:t>6</w:t>
      </w:r>
      <w:r w:rsidRPr="00F30D12">
        <w:rPr>
          <w:rFonts w:ascii="Book Antiqua" w:eastAsia="Book Antiqua" w:hAnsi="Book Antiqua" w:cs="Book Antiqua"/>
          <w:color w:val="000000"/>
        </w:rPr>
        <w:t>: e20143 [PMID: 21629657 DOI: 10.1371/journal.pone.0020143]</w:t>
      </w:r>
    </w:p>
    <w:p w14:paraId="3EED41F0"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64 </w:t>
      </w:r>
      <w:r w:rsidRPr="00F30D12">
        <w:rPr>
          <w:rFonts w:ascii="Book Antiqua" w:eastAsia="Book Antiqua" w:hAnsi="Book Antiqua" w:cs="Book Antiqua"/>
          <w:b/>
          <w:bCs/>
          <w:color w:val="000000"/>
        </w:rPr>
        <w:t>Ravikumar B</w:t>
      </w:r>
      <w:r w:rsidRPr="00F30D12">
        <w:rPr>
          <w:rFonts w:ascii="Book Antiqua" w:eastAsia="Book Antiqua" w:hAnsi="Book Antiqua" w:cs="Book Antiqua"/>
          <w:color w:val="000000"/>
        </w:rPr>
        <w:t xml:space="preserve">, Sarkar S, Davies JE, Futter M, Garcia-Arencibia M, Green-Thompson ZW, Jimenez-Sanchez M, Korolchuk VI, Lichtenberg M, Luo S, Massey DC, Menzies FM, Moreau K, Narayanan U, Renna M, Siddiqi FH, Underwood BR, Winslow AR, Rubinsztein DC. Regulation of mammalian autophagy in physiology and pathophysiology. </w:t>
      </w:r>
      <w:r w:rsidRPr="00F30D12">
        <w:rPr>
          <w:rFonts w:ascii="Book Antiqua" w:eastAsia="Book Antiqua" w:hAnsi="Book Antiqua" w:cs="Book Antiqua"/>
          <w:i/>
          <w:iCs/>
          <w:color w:val="000000"/>
        </w:rPr>
        <w:t>Physiol Rev</w:t>
      </w:r>
      <w:r w:rsidRPr="00F30D12">
        <w:rPr>
          <w:rFonts w:ascii="Book Antiqua" w:eastAsia="Book Antiqua" w:hAnsi="Book Antiqua" w:cs="Book Antiqua"/>
          <w:color w:val="000000"/>
        </w:rPr>
        <w:t xml:space="preserve"> 2010; </w:t>
      </w:r>
      <w:r w:rsidRPr="00F30D12">
        <w:rPr>
          <w:rFonts w:ascii="Book Antiqua" w:eastAsia="Book Antiqua" w:hAnsi="Book Antiqua" w:cs="Book Antiqua"/>
          <w:b/>
          <w:bCs/>
          <w:color w:val="000000"/>
        </w:rPr>
        <w:t>90</w:t>
      </w:r>
      <w:r w:rsidRPr="00F30D12">
        <w:rPr>
          <w:rFonts w:ascii="Book Antiqua" w:eastAsia="Book Antiqua" w:hAnsi="Book Antiqua" w:cs="Book Antiqua"/>
          <w:color w:val="000000"/>
        </w:rPr>
        <w:t>: 1383-1435 [PMID: 20959619 DOI: 10.1152/physrev.00030.2009]</w:t>
      </w:r>
    </w:p>
    <w:p w14:paraId="2F075A19"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65 </w:t>
      </w:r>
      <w:r w:rsidRPr="00F30D12">
        <w:rPr>
          <w:rFonts w:ascii="Book Antiqua" w:eastAsia="Book Antiqua" w:hAnsi="Book Antiqua" w:cs="Book Antiqua"/>
          <w:b/>
          <w:bCs/>
          <w:color w:val="000000"/>
        </w:rPr>
        <w:t>Delorme-Axford E</w:t>
      </w:r>
      <w:r w:rsidRPr="00F30D12">
        <w:rPr>
          <w:rFonts w:ascii="Book Antiqua" w:eastAsia="Book Antiqua" w:hAnsi="Book Antiqua" w:cs="Book Antiqua"/>
          <w:color w:val="000000"/>
        </w:rPr>
        <w:t xml:space="preserve">, Klionsky DJ. Highlights in the fight against COVID-19: does autophagy play a role in SARS-CoV-2 infection? </w:t>
      </w:r>
      <w:r w:rsidRPr="00F30D12">
        <w:rPr>
          <w:rFonts w:ascii="Book Antiqua" w:eastAsia="Book Antiqua" w:hAnsi="Book Antiqua" w:cs="Book Antiqua"/>
          <w:i/>
          <w:iCs/>
          <w:color w:val="000000"/>
        </w:rPr>
        <w:t>Autophagy</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16</w:t>
      </w:r>
      <w:r w:rsidRPr="00F30D12">
        <w:rPr>
          <w:rFonts w:ascii="Book Antiqua" w:eastAsia="Book Antiqua" w:hAnsi="Book Antiqua" w:cs="Book Antiqua"/>
          <w:color w:val="000000"/>
        </w:rPr>
        <w:t>: 2123-2127 [PMID: 33153403 DOI: 10.1080/15548627.2020.1844940]</w:t>
      </w:r>
    </w:p>
    <w:p w14:paraId="4818369E" w14:textId="4BA64D9C" w:rsidR="00A77B3E" w:rsidRPr="00F30D12" w:rsidRDefault="00C43656">
      <w:pPr>
        <w:spacing w:line="360" w:lineRule="auto"/>
        <w:jc w:val="both"/>
      </w:pPr>
      <w:r w:rsidRPr="00F30D12">
        <w:rPr>
          <w:rFonts w:ascii="Book Antiqua" w:eastAsia="Book Antiqua" w:hAnsi="Book Antiqua" w:cs="Book Antiqua"/>
          <w:color w:val="000000"/>
        </w:rPr>
        <w:t xml:space="preserve">66 </w:t>
      </w:r>
      <w:r w:rsidR="00025C08" w:rsidRPr="00F30D12">
        <w:rPr>
          <w:rFonts w:ascii="Book Antiqua" w:eastAsia="Book Antiqua" w:hAnsi="Book Antiqua" w:cs="Book Antiqua"/>
          <w:color w:val="000000"/>
        </w:rPr>
        <w:t>B</w:t>
      </w:r>
      <w:r w:rsidR="00025C08" w:rsidRPr="00F30D12">
        <w:rPr>
          <w:rFonts w:ascii="Book Antiqua" w:eastAsia="Book Antiqua" w:hAnsi="Book Antiqua" w:cs="Book Antiqua"/>
          <w:b/>
          <w:bCs/>
          <w:color w:val="000000"/>
        </w:rPr>
        <w:t>e</w:t>
      </w:r>
      <w:r w:rsidR="008347E8" w:rsidRPr="00F30D12">
        <w:rPr>
          <w:rFonts w:ascii="Book Antiqua" w:hAnsi="Book Antiqua" w:cs="Book Antiqua" w:hint="eastAsia"/>
          <w:b/>
          <w:bCs/>
          <w:color w:val="000000"/>
          <w:lang w:eastAsia="zh-CN"/>
        </w:rPr>
        <w:t>r</w:t>
      </w:r>
      <w:r w:rsidR="00025C08" w:rsidRPr="00F30D12">
        <w:rPr>
          <w:rFonts w:ascii="Book Antiqua" w:eastAsia="Book Antiqua" w:hAnsi="Book Antiqua" w:cs="Book Antiqua"/>
          <w:b/>
          <w:bCs/>
          <w:color w:val="000000"/>
        </w:rPr>
        <w:t>ezh</w:t>
      </w:r>
      <w:r w:rsidR="008347E8" w:rsidRPr="00F30D12">
        <w:rPr>
          <w:rFonts w:ascii="Book Antiqua" w:hAnsi="Book Antiqua" w:cs="Book Antiqua" w:hint="eastAsia"/>
          <w:b/>
          <w:bCs/>
          <w:color w:val="000000"/>
          <w:lang w:eastAsia="zh-CN"/>
        </w:rPr>
        <w:t>n</w:t>
      </w:r>
      <w:r w:rsidR="00025C08" w:rsidRPr="00F30D12">
        <w:rPr>
          <w:rFonts w:ascii="Book Antiqua" w:eastAsia="Book Antiqua" w:hAnsi="Book Antiqua" w:cs="Book Antiqua"/>
          <w:b/>
          <w:bCs/>
          <w:color w:val="000000"/>
        </w:rPr>
        <w:t>ov AV</w:t>
      </w:r>
      <w:r w:rsidR="00025C08" w:rsidRPr="00F30D12">
        <w:rPr>
          <w:rFonts w:ascii="Book Antiqua" w:eastAsia="Book Antiqua" w:hAnsi="Book Antiqua" w:cs="Book Antiqua"/>
          <w:color w:val="000000"/>
        </w:rPr>
        <w:t xml:space="preserve">, Soutar MP, Fedotova EI, Frolova MS, Plun-Favreau H, Zinchenko VP, Abramov AY. Intracellular pH Modulates Autophagy and Mitophagy. </w:t>
      </w:r>
      <w:r w:rsidR="00025C08" w:rsidRPr="00F30D12">
        <w:rPr>
          <w:rFonts w:ascii="Book Antiqua" w:eastAsia="Book Antiqua" w:hAnsi="Book Antiqua" w:cs="Book Antiqua"/>
          <w:i/>
          <w:iCs/>
          <w:color w:val="000000"/>
        </w:rPr>
        <w:t>J Biol Chem</w:t>
      </w:r>
      <w:r w:rsidR="00025C08" w:rsidRPr="00F30D12">
        <w:rPr>
          <w:rFonts w:ascii="Book Antiqua" w:eastAsia="Book Antiqua" w:hAnsi="Book Antiqua" w:cs="Book Antiqua"/>
          <w:color w:val="000000"/>
        </w:rPr>
        <w:t xml:space="preserve"> 2016; </w:t>
      </w:r>
      <w:r w:rsidR="00025C08" w:rsidRPr="00F30D12">
        <w:rPr>
          <w:rFonts w:ascii="Book Antiqua" w:eastAsia="Book Antiqua" w:hAnsi="Book Antiqua" w:cs="Book Antiqua"/>
          <w:b/>
          <w:bCs/>
          <w:color w:val="000000"/>
        </w:rPr>
        <w:t>291</w:t>
      </w:r>
      <w:r w:rsidR="00025C08" w:rsidRPr="00F30D12">
        <w:rPr>
          <w:rFonts w:ascii="Book Antiqua" w:eastAsia="Book Antiqua" w:hAnsi="Book Antiqua" w:cs="Book Antiqua"/>
          <w:color w:val="000000"/>
        </w:rPr>
        <w:t>:</w:t>
      </w:r>
      <w:r w:rsidR="008347E8" w:rsidRPr="00F30D12">
        <w:rPr>
          <w:rFonts w:ascii="Book Antiqua" w:hAnsi="Book Antiqua" w:cs="Book Antiqua" w:hint="eastAsia"/>
          <w:color w:val="000000"/>
          <w:lang w:eastAsia="zh-CN"/>
        </w:rPr>
        <w:t xml:space="preserve"> </w:t>
      </w:r>
      <w:r w:rsidR="00025C08" w:rsidRPr="00F30D12">
        <w:rPr>
          <w:rFonts w:ascii="Book Antiqua" w:eastAsia="Book Antiqua" w:hAnsi="Book Antiqua" w:cs="Book Antiqua"/>
          <w:color w:val="000000"/>
        </w:rPr>
        <w:t>8701</w:t>
      </w:r>
      <w:r w:rsidR="008347E8" w:rsidRPr="00F30D12">
        <w:rPr>
          <w:rFonts w:ascii="Book Antiqua" w:hAnsi="Book Antiqua" w:cs="Book Antiqua" w:hint="eastAsia"/>
          <w:color w:val="000000"/>
          <w:lang w:eastAsia="zh-CN"/>
        </w:rPr>
        <w:t>-</w:t>
      </w:r>
      <w:r w:rsidR="00025C08" w:rsidRPr="00F30D12">
        <w:rPr>
          <w:rFonts w:ascii="Book Antiqua" w:eastAsia="Book Antiqua" w:hAnsi="Book Antiqua" w:cs="Book Antiqua"/>
          <w:color w:val="000000"/>
        </w:rPr>
        <w:t>8708 [PMID: 26893374 DOI: 10.1074/jbc.M115.691774]</w:t>
      </w:r>
    </w:p>
    <w:p w14:paraId="63F41474"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67 </w:t>
      </w:r>
      <w:r w:rsidRPr="00F30D12">
        <w:rPr>
          <w:rFonts w:ascii="Book Antiqua" w:eastAsia="Book Antiqua" w:hAnsi="Book Antiqua" w:cs="Book Antiqua"/>
          <w:b/>
          <w:bCs/>
          <w:color w:val="000000"/>
        </w:rPr>
        <w:t>Rubinsztein DC</w:t>
      </w:r>
      <w:r w:rsidRPr="00F30D12">
        <w:rPr>
          <w:rFonts w:ascii="Book Antiqua" w:eastAsia="Book Antiqua" w:hAnsi="Book Antiqua" w:cs="Book Antiqua"/>
          <w:color w:val="000000"/>
        </w:rPr>
        <w:t xml:space="preserve">, Codogno P, Levine B. Autophagy modulation as a potential therapeutic target for diverse diseases. </w:t>
      </w:r>
      <w:r w:rsidRPr="00F30D12">
        <w:rPr>
          <w:rFonts w:ascii="Book Antiqua" w:eastAsia="Book Antiqua" w:hAnsi="Book Antiqua" w:cs="Book Antiqua"/>
          <w:i/>
          <w:iCs/>
          <w:color w:val="000000"/>
        </w:rPr>
        <w:t>Nat Rev Drug Discov</w:t>
      </w:r>
      <w:r w:rsidRPr="00F30D12">
        <w:rPr>
          <w:rFonts w:ascii="Book Antiqua" w:eastAsia="Book Antiqua" w:hAnsi="Book Antiqua" w:cs="Book Antiqua"/>
          <w:color w:val="000000"/>
        </w:rPr>
        <w:t xml:space="preserve"> 2012; </w:t>
      </w:r>
      <w:r w:rsidRPr="00F30D12">
        <w:rPr>
          <w:rFonts w:ascii="Book Antiqua" w:eastAsia="Book Antiqua" w:hAnsi="Book Antiqua" w:cs="Book Antiqua"/>
          <w:b/>
          <w:bCs/>
          <w:color w:val="000000"/>
        </w:rPr>
        <w:t>11</w:t>
      </w:r>
      <w:r w:rsidRPr="00F30D12">
        <w:rPr>
          <w:rFonts w:ascii="Book Antiqua" w:eastAsia="Book Antiqua" w:hAnsi="Book Antiqua" w:cs="Book Antiqua"/>
          <w:color w:val="000000"/>
        </w:rPr>
        <w:t>: 709-730 [PMID: 22935804 DOI: 10.1038/nrd3802]</w:t>
      </w:r>
    </w:p>
    <w:p w14:paraId="25C183CE"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68 </w:t>
      </w:r>
      <w:r w:rsidRPr="00F30D12">
        <w:rPr>
          <w:rFonts w:ascii="Book Antiqua" w:eastAsia="Book Antiqua" w:hAnsi="Book Antiqua" w:cs="Book Antiqua"/>
          <w:b/>
          <w:bCs/>
          <w:color w:val="000000"/>
        </w:rPr>
        <w:t>Ghebre Y</w:t>
      </w:r>
      <w:r w:rsidRPr="00F30D12">
        <w:rPr>
          <w:rFonts w:ascii="Book Antiqua" w:eastAsia="Book Antiqua" w:hAnsi="Book Antiqua" w:cs="Book Antiqua"/>
          <w:color w:val="000000"/>
        </w:rPr>
        <w:t xml:space="preserve">, Raghu G. Proton pump inhibitors in IPF: beyond mere suppression of gastric acidity. </w:t>
      </w:r>
      <w:r w:rsidRPr="00F30D12">
        <w:rPr>
          <w:rFonts w:ascii="Book Antiqua" w:eastAsia="Book Antiqua" w:hAnsi="Book Antiqua" w:cs="Book Antiqua"/>
          <w:i/>
          <w:iCs/>
          <w:color w:val="000000"/>
        </w:rPr>
        <w:t>QJM</w:t>
      </w:r>
      <w:r w:rsidRPr="00F30D12">
        <w:rPr>
          <w:rFonts w:ascii="Book Antiqua" w:eastAsia="Book Antiqua" w:hAnsi="Book Antiqua" w:cs="Book Antiqua"/>
          <w:color w:val="000000"/>
        </w:rPr>
        <w:t xml:space="preserve"> 2016; </w:t>
      </w:r>
      <w:r w:rsidRPr="00F30D12">
        <w:rPr>
          <w:rFonts w:ascii="Book Antiqua" w:eastAsia="Book Antiqua" w:hAnsi="Book Antiqua" w:cs="Book Antiqua"/>
          <w:b/>
          <w:bCs/>
          <w:color w:val="000000"/>
        </w:rPr>
        <w:t>109</w:t>
      </w:r>
      <w:r w:rsidRPr="00F30D12">
        <w:rPr>
          <w:rFonts w:ascii="Book Antiqua" w:eastAsia="Book Antiqua" w:hAnsi="Book Antiqua" w:cs="Book Antiqua"/>
          <w:color w:val="000000"/>
        </w:rPr>
        <w:t>: 577-579 [PMID: 27647940 DOI: 10.1093/qjmed/hcw115]</w:t>
      </w:r>
    </w:p>
    <w:p w14:paraId="0BEA2B43" w14:textId="77777777" w:rsidR="00A77B3E" w:rsidRPr="00F30D12" w:rsidRDefault="00C43656">
      <w:pPr>
        <w:spacing w:line="360" w:lineRule="auto"/>
        <w:jc w:val="both"/>
      </w:pPr>
      <w:r w:rsidRPr="00F30D12">
        <w:rPr>
          <w:rFonts w:ascii="Book Antiqua" w:eastAsia="Book Antiqua" w:hAnsi="Book Antiqua" w:cs="Book Antiqua"/>
          <w:color w:val="000000"/>
        </w:rPr>
        <w:t xml:space="preserve">69 </w:t>
      </w:r>
      <w:r w:rsidRPr="00F30D12">
        <w:rPr>
          <w:rFonts w:ascii="Book Antiqua" w:eastAsia="Book Antiqua" w:hAnsi="Book Antiqua" w:cs="Book Antiqua"/>
          <w:b/>
          <w:bCs/>
          <w:color w:val="000000"/>
        </w:rPr>
        <w:t>Raghu G</w:t>
      </w:r>
      <w:r w:rsidRPr="00F30D12">
        <w:rPr>
          <w:rFonts w:ascii="Book Antiqua" w:eastAsia="Book Antiqua" w:hAnsi="Book Antiqua" w:cs="Book Antiqua"/>
          <w:color w:val="000000"/>
        </w:rPr>
        <w:t xml:space="preserve">, Yang ST, Spada C, Hayes J, Pellegrini CA. Sole treatment of acid gastroesophageal reflux in idiopathic pulmonary fibrosis: a case series. </w:t>
      </w:r>
      <w:r w:rsidRPr="00F30D12">
        <w:rPr>
          <w:rFonts w:ascii="Book Antiqua" w:eastAsia="Book Antiqua" w:hAnsi="Book Antiqua" w:cs="Book Antiqua"/>
          <w:i/>
          <w:iCs/>
          <w:color w:val="000000"/>
        </w:rPr>
        <w:t>Chest</w:t>
      </w:r>
      <w:r w:rsidRPr="00F30D12">
        <w:rPr>
          <w:rFonts w:ascii="Book Antiqua" w:eastAsia="Book Antiqua" w:hAnsi="Book Antiqua" w:cs="Book Antiqua"/>
          <w:color w:val="000000"/>
        </w:rPr>
        <w:t xml:space="preserve"> 2006; </w:t>
      </w:r>
      <w:r w:rsidRPr="00F30D12">
        <w:rPr>
          <w:rFonts w:ascii="Book Antiqua" w:eastAsia="Book Antiqua" w:hAnsi="Book Antiqua" w:cs="Book Antiqua"/>
          <w:b/>
          <w:bCs/>
          <w:color w:val="000000"/>
        </w:rPr>
        <w:t>129</w:t>
      </w:r>
      <w:r w:rsidRPr="00F30D12">
        <w:rPr>
          <w:rFonts w:ascii="Book Antiqua" w:eastAsia="Book Antiqua" w:hAnsi="Book Antiqua" w:cs="Book Antiqua"/>
          <w:color w:val="000000"/>
        </w:rPr>
        <w:t>: 794-800 [PMID: 16537884 DOI: 10.1378/chest.129.3.794]</w:t>
      </w:r>
    </w:p>
    <w:p w14:paraId="318A7060"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70 </w:t>
      </w:r>
      <w:r w:rsidRPr="00F30D12">
        <w:rPr>
          <w:rFonts w:ascii="Book Antiqua" w:eastAsia="Book Antiqua" w:hAnsi="Book Antiqua" w:cs="Book Antiqua"/>
          <w:b/>
          <w:bCs/>
          <w:color w:val="000000"/>
        </w:rPr>
        <w:t>Lee JS</w:t>
      </w:r>
      <w:r w:rsidRPr="00F30D12">
        <w:rPr>
          <w:rFonts w:ascii="Book Antiqua" w:eastAsia="Book Antiqua" w:hAnsi="Book Antiqua" w:cs="Book Antiqua"/>
          <w:color w:val="000000"/>
        </w:rPr>
        <w:t xml:space="preserve">, Ryu JH, Elicker BM, Lydell CP, Jones KD, Wolters PJ, King TE Jr, Collard HR. Gastroesophageal reflux therapy is associated with longer survival in patients with idiopathic pulmonary fibrosis. </w:t>
      </w:r>
      <w:r w:rsidRPr="00F30D12">
        <w:rPr>
          <w:rFonts w:ascii="Book Antiqua" w:eastAsia="Book Antiqua" w:hAnsi="Book Antiqua" w:cs="Book Antiqua"/>
          <w:i/>
          <w:iCs/>
          <w:color w:val="000000"/>
        </w:rPr>
        <w:t>Am J Respir Crit Care Med</w:t>
      </w:r>
      <w:r w:rsidRPr="00F30D12">
        <w:rPr>
          <w:rFonts w:ascii="Book Antiqua" w:eastAsia="Book Antiqua" w:hAnsi="Book Antiqua" w:cs="Book Antiqua"/>
          <w:color w:val="000000"/>
        </w:rPr>
        <w:t xml:space="preserve"> 2011; </w:t>
      </w:r>
      <w:r w:rsidRPr="00F30D12">
        <w:rPr>
          <w:rFonts w:ascii="Book Antiqua" w:eastAsia="Book Antiqua" w:hAnsi="Book Antiqua" w:cs="Book Antiqua"/>
          <w:b/>
          <w:bCs/>
          <w:color w:val="000000"/>
        </w:rPr>
        <w:t>184</w:t>
      </w:r>
      <w:r w:rsidRPr="00F30D12">
        <w:rPr>
          <w:rFonts w:ascii="Book Antiqua" w:eastAsia="Book Antiqua" w:hAnsi="Book Antiqua" w:cs="Book Antiqua"/>
          <w:color w:val="000000"/>
        </w:rPr>
        <w:t>: 1390-1394 [PMID: 21700909 DOI: 10.1164/rccm.201101-0138OC]</w:t>
      </w:r>
    </w:p>
    <w:p w14:paraId="2705CDD8"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71 </w:t>
      </w:r>
      <w:r w:rsidRPr="00F30D12">
        <w:rPr>
          <w:rFonts w:ascii="Book Antiqua" w:eastAsia="Book Antiqua" w:hAnsi="Book Antiqua" w:cs="Book Antiqua"/>
          <w:b/>
          <w:bCs/>
          <w:color w:val="000000"/>
        </w:rPr>
        <w:t>Lee JS</w:t>
      </w:r>
      <w:r w:rsidRPr="00F30D12">
        <w:rPr>
          <w:rFonts w:ascii="Book Antiqua" w:eastAsia="Book Antiqua" w:hAnsi="Book Antiqua" w:cs="Book Antiqua"/>
          <w:color w:val="000000"/>
        </w:rPr>
        <w:t xml:space="preserve">, Collard HR, Anstrom KJ, Martinez FJ, Noth I, Roberts RS, Yow E, Raghu G; IPFnet Investigators. Anti-acid treatment and disease progression in idiopathic pulmonary fibrosis: an analysis of data from three randomised controlled trials. </w:t>
      </w:r>
      <w:r w:rsidRPr="00F30D12">
        <w:rPr>
          <w:rFonts w:ascii="Book Antiqua" w:eastAsia="Book Antiqua" w:hAnsi="Book Antiqua" w:cs="Book Antiqua"/>
          <w:i/>
          <w:iCs/>
          <w:color w:val="000000"/>
        </w:rPr>
        <w:t>Lancet Respir Med</w:t>
      </w:r>
      <w:r w:rsidRPr="00F30D12">
        <w:rPr>
          <w:rFonts w:ascii="Book Antiqua" w:eastAsia="Book Antiqua" w:hAnsi="Book Antiqua" w:cs="Book Antiqua"/>
          <w:color w:val="000000"/>
        </w:rPr>
        <w:t xml:space="preserve"> 2013; </w:t>
      </w:r>
      <w:r w:rsidRPr="00F30D12">
        <w:rPr>
          <w:rFonts w:ascii="Book Antiqua" w:eastAsia="Book Antiqua" w:hAnsi="Book Antiqua" w:cs="Book Antiqua"/>
          <w:b/>
          <w:bCs/>
          <w:color w:val="000000"/>
        </w:rPr>
        <w:t>1</w:t>
      </w:r>
      <w:r w:rsidRPr="00F30D12">
        <w:rPr>
          <w:rFonts w:ascii="Book Antiqua" w:eastAsia="Book Antiqua" w:hAnsi="Book Antiqua" w:cs="Book Antiqua"/>
          <w:color w:val="000000"/>
        </w:rPr>
        <w:t>: 369-376 [PMID: 24429201 DOI: 10.1016/S2213-2600(13)70105-X]</w:t>
      </w:r>
    </w:p>
    <w:p w14:paraId="24B6AF70"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72 </w:t>
      </w:r>
      <w:r w:rsidRPr="00F30D12">
        <w:rPr>
          <w:rFonts w:ascii="Book Antiqua" w:eastAsia="Book Antiqua" w:hAnsi="Book Antiqua" w:cs="Book Antiqua"/>
          <w:b/>
          <w:bCs/>
          <w:color w:val="000000"/>
        </w:rPr>
        <w:t>Ghebremariam YT</w:t>
      </w:r>
      <w:r w:rsidRPr="00F30D12">
        <w:rPr>
          <w:rFonts w:ascii="Book Antiqua" w:eastAsia="Book Antiqua" w:hAnsi="Book Antiqua" w:cs="Book Antiqua"/>
          <w:color w:val="000000"/>
        </w:rPr>
        <w:t xml:space="preserve">, Cooke JP, Gerhart W, Griego C, Brower JB, Doyle-Eisele M, Moeller BC, Zhou Q, Ho L, de Andrade J, Raghu G, Peterson L, Rivera A, Rosen GD. Pleiotropic effect of the proton pump inhibitor esomeprazole leading to suppression of lung inflammation and fibrosis. </w:t>
      </w:r>
      <w:r w:rsidRPr="00F30D12">
        <w:rPr>
          <w:rFonts w:ascii="Book Antiqua" w:eastAsia="Book Antiqua" w:hAnsi="Book Antiqua" w:cs="Book Antiqua"/>
          <w:i/>
          <w:iCs/>
          <w:color w:val="000000"/>
        </w:rPr>
        <w:t>J Transl Med</w:t>
      </w:r>
      <w:r w:rsidRPr="00F30D12">
        <w:rPr>
          <w:rFonts w:ascii="Book Antiqua" w:eastAsia="Book Antiqua" w:hAnsi="Book Antiqua" w:cs="Book Antiqua"/>
          <w:color w:val="000000"/>
        </w:rPr>
        <w:t xml:space="preserve"> 2015; </w:t>
      </w:r>
      <w:r w:rsidRPr="00F30D12">
        <w:rPr>
          <w:rFonts w:ascii="Book Antiqua" w:eastAsia="Book Antiqua" w:hAnsi="Book Antiqua" w:cs="Book Antiqua"/>
          <w:b/>
          <w:bCs/>
          <w:color w:val="000000"/>
        </w:rPr>
        <w:t>13</w:t>
      </w:r>
      <w:r w:rsidRPr="00F30D12">
        <w:rPr>
          <w:rFonts w:ascii="Book Antiqua" w:eastAsia="Book Antiqua" w:hAnsi="Book Antiqua" w:cs="Book Antiqua"/>
          <w:color w:val="000000"/>
        </w:rPr>
        <w:t>: 249 [PMID: 26231702 DOI: 10.1186/s12967-015-0614-x]</w:t>
      </w:r>
    </w:p>
    <w:p w14:paraId="0F75189C" w14:textId="5A599851" w:rsidR="00A77B3E" w:rsidRPr="00F30D12" w:rsidRDefault="00C43656">
      <w:pPr>
        <w:spacing w:line="360" w:lineRule="auto"/>
        <w:jc w:val="both"/>
      </w:pPr>
      <w:r w:rsidRPr="00F30D12">
        <w:rPr>
          <w:rFonts w:ascii="Book Antiqua" w:eastAsia="Book Antiqua" w:hAnsi="Book Antiqua" w:cs="Book Antiqua"/>
          <w:color w:val="000000"/>
        </w:rPr>
        <w:t xml:space="preserve">73 </w:t>
      </w:r>
      <w:r w:rsidRPr="00F30D12">
        <w:rPr>
          <w:rFonts w:ascii="Book Antiqua" w:eastAsia="Book Antiqua" w:hAnsi="Book Antiqua" w:cs="Book Antiqua"/>
          <w:b/>
          <w:bCs/>
          <w:color w:val="000000"/>
        </w:rPr>
        <w:t>Pagat AM</w:t>
      </w:r>
      <w:r w:rsidRPr="00F30D12">
        <w:rPr>
          <w:rFonts w:ascii="Book Antiqua" w:eastAsia="Book Antiqua" w:hAnsi="Book Antiqua" w:cs="Book Antiqua"/>
          <w:color w:val="000000"/>
        </w:rPr>
        <w:t xml:space="preserve">, Seux-Goepfert R, Lutsch C, Lecouturier V, Saluzzo JF, Kusters IC. Evaluation of SARS-Coronavirus Decontamination Procedures. </w:t>
      </w:r>
      <w:r w:rsidRPr="00F30D12">
        <w:rPr>
          <w:rFonts w:ascii="Book Antiqua" w:eastAsia="Book Antiqua" w:hAnsi="Book Antiqua" w:cs="Book Antiqua"/>
          <w:i/>
          <w:iCs/>
          <w:color w:val="000000"/>
        </w:rPr>
        <w:t>Appl</w:t>
      </w:r>
      <w:r w:rsidR="00A92178" w:rsidRPr="00F30D12">
        <w:rPr>
          <w:rFonts w:ascii="Book Antiqua" w:eastAsia="Book Antiqua" w:hAnsi="Book Antiqua" w:cs="Book Antiqua"/>
          <w:i/>
          <w:iCs/>
          <w:color w:val="000000"/>
        </w:rPr>
        <w:t xml:space="preserve"> </w:t>
      </w:r>
      <w:r w:rsidRPr="00F30D12">
        <w:rPr>
          <w:rFonts w:ascii="Book Antiqua" w:eastAsia="Book Antiqua" w:hAnsi="Book Antiqua" w:cs="Book Antiqua"/>
          <w:i/>
          <w:iCs/>
          <w:color w:val="000000"/>
        </w:rPr>
        <w:t>Bio</w:t>
      </w:r>
      <w:r w:rsidR="00A92178" w:rsidRPr="00F30D12">
        <w:rPr>
          <w:rFonts w:ascii="Book Antiqua" w:eastAsia="Book Antiqua" w:hAnsi="Book Antiqua" w:cs="Book Antiqua"/>
          <w:color w:val="000000"/>
        </w:rPr>
        <w:t xml:space="preserve"> </w:t>
      </w:r>
      <w:r w:rsidRPr="00F30D12">
        <w:rPr>
          <w:rFonts w:ascii="Book Antiqua" w:eastAsia="Book Antiqua" w:hAnsi="Book Antiqua" w:cs="Book Antiqua"/>
          <w:color w:val="000000"/>
        </w:rPr>
        <w:t>2007;</w:t>
      </w:r>
      <w:r w:rsidR="00A92178" w:rsidRPr="00F30D12">
        <w:rPr>
          <w:rFonts w:ascii="Book Antiqua" w:eastAsia="Book Antiqua" w:hAnsi="Book Antiqua" w:cs="Book Antiqua"/>
          <w:color w:val="000000"/>
        </w:rPr>
        <w:t xml:space="preserve"> </w:t>
      </w:r>
      <w:r w:rsidRPr="00F30D12">
        <w:rPr>
          <w:rFonts w:ascii="Book Antiqua" w:eastAsia="Book Antiqua" w:hAnsi="Book Antiqua" w:cs="Book Antiqua"/>
          <w:b/>
          <w:bCs/>
          <w:color w:val="000000"/>
        </w:rPr>
        <w:t>12</w:t>
      </w:r>
      <w:r w:rsidRPr="00F30D12">
        <w:rPr>
          <w:rFonts w:ascii="Book Antiqua" w:eastAsia="Book Antiqua" w:hAnsi="Book Antiqua" w:cs="Book Antiqua"/>
          <w:color w:val="000000"/>
        </w:rPr>
        <w:t>:</w:t>
      </w:r>
      <w:r w:rsidR="00A92178" w:rsidRPr="00F30D12">
        <w:rPr>
          <w:rFonts w:ascii="Book Antiqua" w:eastAsia="Book Antiqua" w:hAnsi="Book Antiqua" w:cs="Book Antiqua"/>
          <w:color w:val="000000"/>
        </w:rPr>
        <w:t xml:space="preserve"> </w:t>
      </w:r>
      <w:r w:rsidRPr="00F30D12">
        <w:rPr>
          <w:rFonts w:ascii="Book Antiqua" w:eastAsia="Book Antiqua" w:hAnsi="Book Antiqua" w:cs="Book Antiqua"/>
          <w:color w:val="000000"/>
        </w:rPr>
        <w:t>100-108 [</w:t>
      </w:r>
      <w:r w:rsidR="00A92178" w:rsidRPr="00F30D12">
        <w:rPr>
          <w:rFonts w:ascii="Book Antiqua" w:eastAsia="Book Antiqua" w:hAnsi="Book Antiqua" w:cs="Book Antiqua"/>
          <w:color w:val="000000"/>
        </w:rPr>
        <w:t>DOI</w:t>
      </w:r>
      <w:r w:rsidRPr="00F30D12">
        <w:rPr>
          <w:rFonts w:ascii="Book Antiqua" w:eastAsia="Book Antiqua" w:hAnsi="Book Antiqua" w:cs="Book Antiqua"/>
          <w:color w:val="000000"/>
        </w:rPr>
        <w:t>:</w:t>
      </w:r>
      <w:r w:rsidR="00A92178" w:rsidRPr="00F30D12">
        <w:rPr>
          <w:rFonts w:ascii="Book Antiqua" w:eastAsia="Book Antiqua" w:hAnsi="Book Antiqua" w:cs="Book Antiqua"/>
          <w:color w:val="000000"/>
        </w:rPr>
        <w:t xml:space="preserve"> </w:t>
      </w:r>
      <w:r w:rsidRPr="00F30D12">
        <w:rPr>
          <w:rFonts w:ascii="Book Antiqua" w:eastAsia="Book Antiqua" w:hAnsi="Book Antiqua" w:cs="Book Antiqua"/>
          <w:color w:val="000000"/>
        </w:rPr>
        <w:t>10.1177/153567600701200206]</w:t>
      </w:r>
    </w:p>
    <w:p w14:paraId="1A3DBFA3"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74 </w:t>
      </w:r>
      <w:r w:rsidRPr="00F30D12">
        <w:rPr>
          <w:rFonts w:ascii="Book Antiqua" w:eastAsia="Book Antiqua" w:hAnsi="Book Antiqua" w:cs="Book Antiqua"/>
          <w:b/>
          <w:bCs/>
          <w:color w:val="000000"/>
        </w:rPr>
        <w:t>Belouzard S</w:t>
      </w:r>
      <w:r w:rsidRPr="00F30D12">
        <w:rPr>
          <w:rFonts w:ascii="Book Antiqua" w:eastAsia="Book Antiqua" w:hAnsi="Book Antiqua" w:cs="Book Antiqua"/>
          <w:color w:val="000000"/>
        </w:rPr>
        <w:t xml:space="preserve">, Millet JK, Licitra BN, Whittaker GR. Mechanisms of coronavirus cell entry mediated by the viral spike protein. </w:t>
      </w:r>
      <w:r w:rsidRPr="00F30D12">
        <w:rPr>
          <w:rFonts w:ascii="Book Antiqua" w:eastAsia="Book Antiqua" w:hAnsi="Book Antiqua" w:cs="Book Antiqua"/>
          <w:i/>
          <w:iCs/>
          <w:color w:val="000000"/>
        </w:rPr>
        <w:t>Viruses</w:t>
      </w:r>
      <w:r w:rsidRPr="00F30D12">
        <w:rPr>
          <w:rFonts w:ascii="Book Antiqua" w:eastAsia="Book Antiqua" w:hAnsi="Book Antiqua" w:cs="Book Antiqua"/>
          <w:color w:val="000000"/>
        </w:rPr>
        <w:t xml:space="preserve"> 2012; </w:t>
      </w:r>
      <w:r w:rsidRPr="00F30D12">
        <w:rPr>
          <w:rFonts w:ascii="Book Antiqua" w:eastAsia="Book Antiqua" w:hAnsi="Book Antiqua" w:cs="Book Antiqua"/>
          <w:b/>
          <w:bCs/>
          <w:color w:val="000000"/>
        </w:rPr>
        <w:t>4</w:t>
      </w:r>
      <w:r w:rsidRPr="00F30D12">
        <w:rPr>
          <w:rFonts w:ascii="Book Antiqua" w:eastAsia="Book Antiqua" w:hAnsi="Book Antiqua" w:cs="Book Antiqua"/>
          <w:color w:val="000000"/>
        </w:rPr>
        <w:t>: 1011-1033 [PMID: 22816037 DOI: 10.3390/v4061011]</w:t>
      </w:r>
    </w:p>
    <w:p w14:paraId="4DED9513"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75 </w:t>
      </w:r>
      <w:r w:rsidRPr="00F30D12">
        <w:rPr>
          <w:rFonts w:ascii="Book Antiqua" w:eastAsia="Book Antiqua" w:hAnsi="Book Antiqua" w:cs="Book Antiqua"/>
          <w:b/>
          <w:bCs/>
          <w:color w:val="000000"/>
        </w:rPr>
        <w:t>Sternberg A</w:t>
      </w:r>
      <w:r w:rsidRPr="00F30D12">
        <w:rPr>
          <w:rFonts w:ascii="Book Antiqua" w:eastAsia="Book Antiqua" w:hAnsi="Book Antiqua" w:cs="Book Antiqua"/>
          <w:color w:val="000000"/>
        </w:rPr>
        <w:t xml:space="preserve">, Naujokat C. Structural features of coronavirus SARS-CoV-2 spike protein: Targets for vaccination. </w:t>
      </w:r>
      <w:r w:rsidRPr="00F30D12">
        <w:rPr>
          <w:rFonts w:ascii="Book Antiqua" w:eastAsia="Book Antiqua" w:hAnsi="Book Antiqua" w:cs="Book Antiqua"/>
          <w:i/>
          <w:iCs/>
          <w:color w:val="000000"/>
        </w:rPr>
        <w:t>Life Sci</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257</w:t>
      </w:r>
      <w:r w:rsidRPr="00F30D12">
        <w:rPr>
          <w:rFonts w:ascii="Book Antiqua" w:eastAsia="Book Antiqua" w:hAnsi="Book Antiqua" w:cs="Book Antiqua"/>
          <w:color w:val="000000"/>
        </w:rPr>
        <w:t>: 118056 [PMID: 32645344 DOI: 10.1016/j.lfs.2020.118056]</w:t>
      </w:r>
    </w:p>
    <w:p w14:paraId="2E7CD0F8"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76 </w:t>
      </w:r>
      <w:r w:rsidRPr="00F30D12">
        <w:rPr>
          <w:rFonts w:ascii="Book Antiqua" w:eastAsia="Book Antiqua" w:hAnsi="Book Antiqua" w:cs="Book Antiqua"/>
          <w:b/>
          <w:bCs/>
          <w:color w:val="000000"/>
        </w:rPr>
        <w:t>Hoffmann M</w:t>
      </w:r>
      <w:r w:rsidRPr="00F30D12">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sidRPr="00F30D12">
        <w:rPr>
          <w:rFonts w:ascii="Book Antiqua" w:eastAsia="Book Antiqua" w:hAnsi="Book Antiqua" w:cs="Book Antiqua"/>
          <w:i/>
          <w:iCs/>
          <w:color w:val="000000"/>
        </w:rPr>
        <w:t>Cell</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181</w:t>
      </w:r>
      <w:r w:rsidRPr="00F30D12">
        <w:rPr>
          <w:rFonts w:ascii="Book Antiqua" w:eastAsia="Book Antiqua" w:hAnsi="Book Antiqua" w:cs="Book Antiqua"/>
          <w:color w:val="000000"/>
        </w:rPr>
        <w:t>: 271-280.e8 [PMID: 32142651 DOI: 10.1016/j.cell.2020.02.052]</w:t>
      </w:r>
    </w:p>
    <w:p w14:paraId="0569967C"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77 </w:t>
      </w:r>
      <w:r w:rsidRPr="00F30D12">
        <w:rPr>
          <w:rFonts w:ascii="Book Antiqua" w:eastAsia="Book Antiqua" w:hAnsi="Book Antiqua" w:cs="Book Antiqua"/>
          <w:b/>
          <w:bCs/>
          <w:color w:val="000000"/>
        </w:rPr>
        <w:t>Glebov OO</w:t>
      </w:r>
      <w:r w:rsidRPr="00F30D12">
        <w:rPr>
          <w:rFonts w:ascii="Book Antiqua" w:eastAsia="Book Antiqua" w:hAnsi="Book Antiqua" w:cs="Book Antiqua"/>
          <w:color w:val="000000"/>
        </w:rPr>
        <w:t xml:space="preserve">. Understanding SARS-CoV-2 endocytosis for COVID-19 drug repurposing. </w:t>
      </w:r>
      <w:r w:rsidRPr="00F30D12">
        <w:rPr>
          <w:rFonts w:ascii="Book Antiqua" w:eastAsia="Book Antiqua" w:hAnsi="Book Antiqua" w:cs="Book Antiqua"/>
          <w:i/>
          <w:iCs/>
          <w:color w:val="000000"/>
        </w:rPr>
        <w:t>FEBS J</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287</w:t>
      </w:r>
      <w:r w:rsidRPr="00F30D12">
        <w:rPr>
          <w:rFonts w:ascii="Book Antiqua" w:eastAsia="Book Antiqua" w:hAnsi="Book Antiqua" w:cs="Book Antiqua"/>
          <w:color w:val="000000"/>
        </w:rPr>
        <w:t>: 3664-3671 [PMID: 32428379 DOI: 10.1111/febs.15369]</w:t>
      </w:r>
    </w:p>
    <w:p w14:paraId="3EBEC519"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78 </w:t>
      </w:r>
      <w:r w:rsidRPr="00F30D12">
        <w:rPr>
          <w:rFonts w:ascii="Book Antiqua" w:eastAsia="Book Antiqua" w:hAnsi="Book Antiqua" w:cs="Book Antiqua"/>
          <w:b/>
          <w:bCs/>
          <w:color w:val="000000"/>
        </w:rPr>
        <w:t>Yang N</w:t>
      </w:r>
      <w:r w:rsidRPr="00F30D12">
        <w:rPr>
          <w:rFonts w:ascii="Book Antiqua" w:eastAsia="Book Antiqua" w:hAnsi="Book Antiqua" w:cs="Book Antiqua"/>
          <w:color w:val="000000"/>
        </w:rPr>
        <w:t xml:space="preserve">, Shen HM. Targeting the Endocytic Pathway and Autophagy Process as a Novel Therapeutic Strategy in COVID-19. </w:t>
      </w:r>
      <w:r w:rsidRPr="00F30D12">
        <w:rPr>
          <w:rFonts w:ascii="Book Antiqua" w:eastAsia="Book Antiqua" w:hAnsi="Book Antiqua" w:cs="Book Antiqua"/>
          <w:i/>
          <w:iCs/>
          <w:color w:val="000000"/>
        </w:rPr>
        <w:t>Int J Biol Sci</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16</w:t>
      </w:r>
      <w:r w:rsidRPr="00F30D12">
        <w:rPr>
          <w:rFonts w:ascii="Book Antiqua" w:eastAsia="Book Antiqua" w:hAnsi="Book Antiqua" w:cs="Book Antiqua"/>
          <w:color w:val="000000"/>
        </w:rPr>
        <w:t>: 1724-1731 [PMID: 32226290 DOI: 10.7150/ijbs.45498]</w:t>
      </w:r>
    </w:p>
    <w:p w14:paraId="379C36CF" w14:textId="77777777" w:rsidR="00A77B3E" w:rsidRPr="00F30D12" w:rsidRDefault="00C43656">
      <w:pPr>
        <w:spacing w:line="360" w:lineRule="auto"/>
        <w:jc w:val="both"/>
      </w:pPr>
      <w:r w:rsidRPr="00F30D12">
        <w:rPr>
          <w:rFonts w:ascii="Book Antiqua" w:eastAsia="Book Antiqua" w:hAnsi="Book Antiqua" w:cs="Book Antiqua"/>
          <w:color w:val="000000"/>
        </w:rPr>
        <w:t xml:space="preserve">79 </w:t>
      </w:r>
      <w:r w:rsidRPr="00F30D12">
        <w:rPr>
          <w:rFonts w:ascii="Book Antiqua" w:eastAsia="Book Antiqua" w:hAnsi="Book Antiqua" w:cs="Book Antiqua"/>
          <w:b/>
          <w:bCs/>
          <w:color w:val="000000"/>
        </w:rPr>
        <w:t>Homolak J</w:t>
      </w:r>
      <w:r w:rsidRPr="00F30D12">
        <w:rPr>
          <w:rFonts w:ascii="Book Antiqua" w:eastAsia="Book Antiqua" w:hAnsi="Book Antiqua" w:cs="Book Antiqua"/>
          <w:color w:val="000000"/>
        </w:rPr>
        <w:t xml:space="preserve">, Kodvanj I. Widely available lysosome targeting agents should be considered as potential therapy for COVID-19. </w:t>
      </w:r>
      <w:r w:rsidRPr="00F30D12">
        <w:rPr>
          <w:rFonts w:ascii="Book Antiqua" w:eastAsia="Book Antiqua" w:hAnsi="Book Antiqua" w:cs="Book Antiqua"/>
          <w:i/>
          <w:iCs/>
          <w:color w:val="000000"/>
        </w:rPr>
        <w:t>Int J Antimicrob Agents</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56</w:t>
      </w:r>
      <w:r w:rsidRPr="00F30D12">
        <w:rPr>
          <w:rFonts w:ascii="Book Antiqua" w:eastAsia="Book Antiqua" w:hAnsi="Book Antiqua" w:cs="Book Antiqua"/>
          <w:color w:val="000000"/>
        </w:rPr>
        <w:t>: 106044 [PMID: 32522674 DOI: 10.1016/j.ijantimicag.2020.106044]</w:t>
      </w:r>
    </w:p>
    <w:p w14:paraId="7EEF7E29" w14:textId="3B21019C" w:rsidR="00A77B3E" w:rsidRPr="00F30D12" w:rsidRDefault="00C43656">
      <w:pPr>
        <w:spacing w:line="360" w:lineRule="auto"/>
        <w:jc w:val="both"/>
      </w:pPr>
      <w:r w:rsidRPr="00F30D12">
        <w:rPr>
          <w:rFonts w:ascii="Book Antiqua" w:eastAsia="Book Antiqua" w:hAnsi="Book Antiqua" w:cs="Book Antiqua"/>
          <w:color w:val="000000"/>
        </w:rPr>
        <w:t xml:space="preserve">80 </w:t>
      </w:r>
      <w:r w:rsidRPr="00F30D12">
        <w:rPr>
          <w:rFonts w:ascii="Book Antiqua" w:eastAsia="Book Antiqua" w:hAnsi="Book Antiqua" w:cs="Book Antiqua"/>
          <w:b/>
          <w:bCs/>
          <w:color w:val="000000"/>
        </w:rPr>
        <w:t>Fredericksen BL</w:t>
      </w:r>
      <w:r w:rsidRPr="00F30D12">
        <w:rPr>
          <w:rFonts w:ascii="Book Antiqua" w:eastAsia="Book Antiqua" w:hAnsi="Book Antiqua" w:cs="Book Antiqua"/>
          <w:color w:val="000000"/>
        </w:rPr>
        <w:t>, Wei BL, Yao J, Luo T, Garcia JV. Inhibition of endosomal/</w:t>
      </w:r>
      <w:r w:rsidR="00C54B2C" w:rsidRPr="00F30D12">
        <w:rPr>
          <w:rFonts w:ascii="Book Antiqua" w:eastAsia="Book Antiqua" w:hAnsi="Book Antiqua" w:cs="Book Antiqua"/>
          <w:color w:val="000000"/>
        </w:rPr>
        <w:t>l</w:t>
      </w:r>
      <w:r w:rsidRPr="00F30D12">
        <w:rPr>
          <w:rFonts w:ascii="Book Antiqua" w:eastAsia="Book Antiqua" w:hAnsi="Book Antiqua" w:cs="Book Antiqua"/>
          <w:color w:val="000000"/>
        </w:rPr>
        <w:t xml:space="preserve">ysosomal degradation increases the infectivity of human immunodeficiency virus. </w:t>
      </w:r>
      <w:r w:rsidRPr="00F30D12">
        <w:rPr>
          <w:rFonts w:ascii="Book Antiqua" w:eastAsia="Book Antiqua" w:hAnsi="Book Antiqua" w:cs="Book Antiqua"/>
          <w:i/>
          <w:iCs/>
          <w:color w:val="000000"/>
        </w:rPr>
        <w:t>J Virol</w:t>
      </w:r>
      <w:r w:rsidRPr="00F30D12">
        <w:rPr>
          <w:rFonts w:ascii="Book Antiqua" w:eastAsia="Book Antiqua" w:hAnsi="Book Antiqua" w:cs="Book Antiqua"/>
          <w:color w:val="000000"/>
        </w:rPr>
        <w:t xml:space="preserve"> 2002; </w:t>
      </w:r>
      <w:r w:rsidRPr="00F30D12">
        <w:rPr>
          <w:rFonts w:ascii="Book Antiqua" w:eastAsia="Book Antiqua" w:hAnsi="Book Antiqua" w:cs="Book Antiqua"/>
          <w:b/>
          <w:bCs/>
          <w:color w:val="000000"/>
        </w:rPr>
        <w:t>76</w:t>
      </w:r>
      <w:r w:rsidRPr="00F30D12">
        <w:rPr>
          <w:rFonts w:ascii="Book Antiqua" w:eastAsia="Book Antiqua" w:hAnsi="Book Antiqua" w:cs="Book Antiqua"/>
          <w:color w:val="000000"/>
        </w:rPr>
        <w:t>: 11440-11446 [PMID: 12388705 DOI: 10.1128/jvi.76.22.11440-11446.2002]</w:t>
      </w:r>
    </w:p>
    <w:p w14:paraId="44C7D85D" w14:textId="5B5B68BF" w:rsidR="00A77B3E" w:rsidRPr="00F30D12" w:rsidRDefault="00C43656">
      <w:pPr>
        <w:spacing w:line="360" w:lineRule="auto"/>
        <w:jc w:val="both"/>
      </w:pPr>
      <w:r w:rsidRPr="00F30D12">
        <w:rPr>
          <w:rFonts w:ascii="Book Antiqua" w:eastAsia="Book Antiqua" w:hAnsi="Book Antiqua" w:cs="Book Antiqua"/>
          <w:color w:val="000000"/>
        </w:rPr>
        <w:t xml:space="preserve">81 </w:t>
      </w:r>
      <w:r w:rsidRPr="00F30D12">
        <w:rPr>
          <w:rFonts w:ascii="Book Antiqua" w:eastAsia="Book Antiqua" w:hAnsi="Book Antiqua" w:cs="Book Antiqua"/>
          <w:b/>
          <w:bCs/>
          <w:color w:val="000000"/>
        </w:rPr>
        <w:t>Bayati</w:t>
      </w:r>
      <w:r w:rsidR="002A2124" w:rsidRPr="00F30D12">
        <w:rPr>
          <w:rFonts w:ascii="Book Antiqua" w:eastAsia="Book Antiqua" w:hAnsi="Book Antiqua" w:cs="Book Antiqua"/>
          <w:b/>
          <w:bCs/>
          <w:color w:val="000000"/>
        </w:rPr>
        <w:t xml:space="preserve"> A</w:t>
      </w:r>
      <w:r w:rsidRPr="00F30D12">
        <w:rPr>
          <w:rFonts w:ascii="Book Antiqua" w:eastAsia="Book Antiqua" w:hAnsi="Book Antiqua" w:cs="Book Antiqua"/>
          <w:color w:val="000000"/>
        </w:rPr>
        <w:t>, Kumar</w:t>
      </w:r>
      <w:r w:rsidR="002A2124" w:rsidRPr="00F30D12">
        <w:rPr>
          <w:rFonts w:ascii="Book Antiqua" w:eastAsia="Book Antiqua" w:hAnsi="Book Antiqua" w:cs="Book Antiqua"/>
          <w:color w:val="000000"/>
        </w:rPr>
        <w:t xml:space="preserve"> R</w:t>
      </w:r>
      <w:r w:rsidRPr="00F30D12">
        <w:rPr>
          <w:rFonts w:ascii="Book Antiqua" w:eastAsia="Book Antiqua" w:hAnsi="Book Antiqua" w:cs="Book Antiqua"/>
          <w:color w:val="000000"/>
        </w:rPr>
        <w:t>, Francis</w:t>
      </w:r>
      <w:r w:rsidR="002A2124" w:rsidRPr="00F30D12">
        <w:rPr>
          <w:rFonts w:ascii="Book Antiqua" w:eastAsia="Book Antiqua" w:hAnsi="Book Antiqua" w:cs="Book Antiqua"/>
          <w:color w:val="000000"/>
        </w:rPr>
        <w:t xml:space="preserve"> V</w:t>
      </w:r>
      <w:r w:rsidRPr="00F30D12">
        <w:rPr>
          <w:rFonts w:ascii="Book Antiqua" w:eastAsia="Book Antiqua" w:hAnsi="Book Antiqua" w:cs="Book Antiqua"/>
          <w:color w:val="000000"/>
        </w:rPr>
        <w:t>, McPherson</w:t>
      </w:r>
      <w:r w:rsidR="002A2124" w:rsidRPr="00F30D12">
        <w:rPr>
          <w:rFonts w:ascii="Book Antiqua" w:eastAsia="Book Antiqua" w:hAnsi="Book Antiqua" w:cs="Book Antiqua"/>
          <w:color w:val="000000"/>
        </w:rPr>
        <w:t xml:space="preserve"> PS</w:t>
      </w:r>
      <w:r w:rsidRPr="00F30D12">
        <w:rPr>
          <w:rFonts w:ascii="Book Antiqua" w:eastAsia="Book Antiqua" w:hAnsi="Book Antiqua" w:cs="Book Antiqua"/>
          <w:color w:val="000000"/>
        </w:rPr>
        <w:t xml:space="preserve">. SARS-CoV-2 uses clathrin-mediated endocytosis to gain access into cells. </w:t>
      </w:r>
      <w:r w:rsidR="000762E0" w:rsidRPr="00F30D12">
        <w:rPr>
          <w:rFonts w:ascii="Book Antiqua" w:hAnsi="Book Antiqua" w:cs="Segoe UI"/>
          <w:color w:val="000000"/>
        </w:rPr>
        <w:t xml:space="preserve">2020 Preprint. Available from: </w:t>
      </w:r>
      <w:r w:rsidRPr="00F30D12">
        <w:rPr>
          <w:rFonts w:ascii="Book Antiqua" w:eastAsia="Book Antiqua" w:hAnsi="Book Antiqua" w:cs="Book Antiqua"/>
          <w:color w:val="000000"/>
        </w:rPr>
        <w:t>bioRxiv</w:t>
      </w:r>
      <w:r w:rsidR="000762E0" w:rsidRPr="00F30D12">
        <w:rPr>
          <w:rFonts w:ascii="Book Antiqua" w:eastAsia="Book Antiqua" w:hAnsi="Book Antiqua" w:cs="Book Antiqua"/>
          <w:color w:val="000000"/>
        </w:rPr>
        <w:t xml:space="preserve"> </w:t>
      </w:r>
      <w:r w:rsidRPr="00F30D12">
        <w:rPr>
          <w:rFonts w:ascii="Book Antiqua" w:eastAsia="Book Antiqua" w:hAnsi="Book Antiqua" w:cs="Book Antiqua"/>
          <w:color w:val="000000"/>
        </w:rPr>
        <w:t>[DOI: 10.1101/2020.07.13.201509]</w:t>
      </w:r>
    </w:p>
    <w:p w14:paraId="41C45029" w14:textId="77777777" w:rsidR="00A77B3E" w:rsidRPr="00F30D12" w:rsidRDefault="00C43656">
      <w:pPr>
        <w:spacing w:line="360" w:lineRule="auto"/>
        <w:jc w:val="both"/>
      </w:pPr>
      <w:r w:rsidRPr="00F30D12">
        <w:rPr>
          <w:rFonts w:ascii="Book Antiqua" w:eastAsia="Book Antiqua" w:hAnsi="Book Antiqua" w:cs="Book Antiqua"/>
          <w:color w:val="000000"/>
        </w:rPr>
        <w:t xml:space="preserve">82 </w:t>
      </w:r>
      <w:r w:rsidRPr="00F30D12">
        <w:rPr>
          <w:rFonts w:ascii="Book Antiqua" w:eastAsia="Book Antiqua" w:hAnsi="Book Antiqua" w:cs="Book Antiqua"/>
          <w:b/>
          <w:bCs/>
          <w:color w:val="000000"/>
        </w:rPr>
        <w:t>Hu TY</w:t>
      </w:r>
      <w:r w:rsidRPr="00F30D12">
        <w:rPr>
          <w:rFonts w:ascii="Book Antiqua" w:eastAsia="Book Antiqua" w:hAnsi="Book Antiqua" w:cs="Book Antiqua"/>
          <w:color w:val="000000"/>
        </w:rPr>
        <w:t xml:space="preserve">, Frieman M, Wolfram J. Insights from nanomedicine into chloroquine efficacy against COVID-19. </w:t>
      </w:r>
      <w:r w:rsidRPr="00F30D12">
        <w:rPr>
          <w:rFonts w:ascii="Book Antiqua" w:eastAsia="Book Antiqua" w:hAnsi="Book Antiqua" w:cs="Book Antiqua"/>
          <w:i/>
          <w:iCs/>
          <w:color w:val="000000"/>
        </w:rPr>
        <w:t>Nat Nanotechnol</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15</w:t>
      </w:r>
      <w:r w:rsidRPr="00F30D12">
        <w:rPr>
          <w:rFonts w:ascii="Book Antiqua" w:eastAsia="Book Antiqua" w:hAnsi="Book Antiqua" w:cs="Book Antiqua"/>
          <w:color w:val="000000"/>
        </w:rPr>
        <w:t>: 247-249 [PMID: 32203437 DOI: 10.1038/s41565-020-0674-9]</w:t>
      </w:r>
    </w:p>
    <w:p w14:paraId="23440FB6" w14:textId="77777777" w:rsidR="00A77B3E" w:rsidRPr="00F30D12" w:rsidRDefault="00C43656">
      <w:pPr>
        <w:spacing w:line="360" w:lineRule="auto"/>
        <w:jc w:val="both"/>
      </w:pPr>
      <w:r w:rsidRPr="00F30D12">
        <w:rPr>
          <w:rFonts w:ascii="Book Antiqua" w:eastAsia="Book Antiqua" w:hAnsi="Book Antiqua" w:cs="Book Antiqua"/>
          <w:color w:val="000000"/>
        </w:rPr>
        <w:t xml:space="preserve">83 </w:t>
      </w:r>
      <w:r w:rsidRPr="00F30D12">
        <w:rPr>
          <w:rFonts w:ascii="Book Antiqua" w:eastAsia="Book Antiqua" w:hAnsi="Book Antiqua" w:cs="Book Antiqua"/>
          <w:b/>
          <w:bCs/>
          <w:color w:val="000000"/>
        </w:rPr>
        <w:t>Miller SE</w:t>
      </w:r>
      <w:r w:rsidRPr="00F30D12">
        <w:rPr>
          <w:rFonts w:ascii="Book Antiqua" w:eastAsia="Book Antiqua" w:hAnsi="Book Antiqua" w:cs="Book Antiqua"/>
          <w:color w:val="000000"/>
        </w:rPr>
        <w:t xml:space="preserve">, Mathiasen S, Bright NA, Pierre F, Kelly BT, Kladt N, Schauss A, Merrifield CJ, Stamou D, Höning S, Owen DJ. CALM regulates clathrin-coated vesicle size and maturation by directly sensing and driving membrane curvature. </w:t>
      </w:r>
      <w:r w:rsidRPr="00F30D12">
        <w:rPr>
          <w:rFonts w:ascii="Book Antiqua" w:eastAsia="Book Antiqua" w:hAnsi="Book Antiqua" w:cs="Book Antiqua"/>
          <w:i/>
          <w:iCs/>
          <w:color w:val="000000"/>
        </w:rPr>
        <w:t>Dev Cell</w:t>
      </w:r>
      <w:r w:rsidRPr="00F30D12">
        <w:rPr>
          <w:rFonts w:ascii="Book Antiqua" w:eastAsia="Book Antiqua" w:hAnsi="Book Antiqua" w:cs="Book Antiqua"/>
          <w:color w:val="000000"/>
        </w:rPr>
        <w:t xml:space="preserve"> 2015; </w:t>
      </w:r>
      <w:r w:rsidRPr="00F30D12">
        <w:rPr>
          <w:rFonts w:ascii="Book Antiqua" w:eastAsia="Book Antiqua" w:hAnsi="Book Antiqua" w:cs="Book Antiqua"/>
          <w:b/>
          <w:bCs/>
          <w:color w:val="000000"/>
        </w:rPr>
        <w:t>33</w:t>
      </w:r>
      <w:r w:rsidRPr="00F30D12">
        <w:rPr>
          <w:rFonts w:ascii="Book Antiqua" w:eastAsia="Book Antiqua" w:hAnsi="Book Antiqua" w:cs="Book Antiqua"/>
          <w:color w:val="000000"/>
        </w:rPr>
        <w:t>: 163-175 [PMID: 25898166 DOI: 10.1016/j.devcel.2015.03.002]</w:t>
      </w:r>
    </w:p>
    <w:p w14:paraId="051B724B" w14:textId="77777777" w:rsidR="00A77B3E" w:rsidRPr="00F30D12" w:rsidRDefault="00C43656">
      <w:pPr>
        <w:spacing w:line="360" w:lineRule="auto"/>
        <w:jc w:val="both"/>
      </w:pPr>
      <w:r w:rsidRPr="00F30D12">
        <w:rPr>
          <w:rFonts w:ascii="Book Antiqua" w:eastAsia="Book Antiqua" w:hAnsi="Book Antiqua" w:cs="Book Antiqua"/>
          <w:color w:val="000000"/>
        </w:rPr>
        <w:t xml:space="preserve">84 </w:t>
      </w:r>
      <w:r w:rsidRPr="00F30D12">
        <w:rPr>
          <w:rFonts w:ascii="Book Antiqua" w:eastAsia="Book Antiqua" w:hAnsi="Book Antiqua" w:cs="Book Antiqua"/>
          <w:b/>
          <w:bCs/>
          <w:color w:val="000000"/>
        </w:rPr>
        <w:t>Moggia E</w:t>
      </w:r>
      <w:r w:rsidRPr="00F30D12">
        <w:rPr>
          <w:rFonts w:ascii="Book Antiqua" w:eastAsia="Book Antiqua" w:hAnsi="Book Antiqua" w:cs="Book Antiqua"/>
          <w:color w:val="000000"/>
        </w:rPr>
        <w:t xml:space="preserve">, Koti R, Belgaumkar AP, Fazio F, Pereira SP, Davidson BR, Gurusamy KS. Pharmacological interventions for acute pancreatitis. </w:t>
      </w:r>
      <w:r w:rsidRPr="00F30D12">
        <w:rPr>
          <w:rFonts w:ascii="Book Antiqua" w:eastAsia="Book Antiqua" w:hAnsi="Book Antiqua" w:cs="Book Antiqua"/>
          <w:i/>
          <w:iCs/>
          <w:color w:val="000000"/>
        </w:rPr>
        <w:t>Cochrane Database Syst Rev</w:t>
      </w:r>
      <w:r w:rsidRPr="00F30D12">
        <w:rPr>
          <w:rFonts w:ascii="Book Antiqua" w:eastAsia="Book Antiqua" w:hAnsi="Book Antiqua" w:cs="Book Antiqua"/>
          <w:color w:val="000000"/>
        </w:rPr>
        <w:t xml:space="preserve"> 2017; </w:t>
      </w:r>
      <w:r w:rsidRPr="00F30D12">
        <w:rPr>
          <w:rFonts w:ascii="Book Antiqua" w:eastAsia="Book Antiqua" w:hAnsi="Book Antiqua" w:cs="Book Antiqua"/>
          <w:b/>
          <w:bCs/>
          <w:color w:val="000000"/>
        </w:rPr>
        <w:t>4</w:t>
      </w:r>
      <w:r w:rsidRPr="00F30D12">
        <w:rPr>
          <w:rFonts w:ascii="Book Antiqua" w:eastAsia="Book Antiqua" w:hAnsi="Book Antiqua" w:cs="Book Antiqua"/>
          <w:color w:val="000000"/>
        </w:rPr>
        <w:t>: CD011384 [PMID: 28431202 DOI: 10.1002/14651858.CD011384.pub2]</w:t>
      </w:r>
    </w:p>
    <w:p w14:paraId="08FC4B11" w14:textId="77777777" w:rsidR="00A77B3E" w:rsidRPr="00F30D12" w:rsidRDefault="00C43656">
      <w:pPr>
        <w:spacing w:line="360" w:lineRule="auto"/>
        <w:jc w:val="both"/>
      </w:pPr>
      <w:r w:rsidRPr="00F30D12">
        <w:rPr>
          <w:rFonts w:ascii="Book Antiqua" w:eastAsia="Book Antiqua" w:hAnsi="Book Antiqua" w:cs="Book Antiqua"/>
          <w:color w:val="000000"/>
        </w:rPr>
        <w:t xml:space="preserve">85 </w:t>
      </w:r>
      <w:r w:rsidRPr="00F30D12">
        <w:rPr>
          <w:rFonts w:ascii="Book Antiqua" w:eastAsia="Book Antiqua" w:hAnsi="Book Antiqua" w:cs="Book Antiqua"/>
          <w:b/>
          <w:bCs/>
          <w:color w:val="000000"/>
        </w:rPr>
        <w:t>Kapadia BH</w:t>
      </w:r>
      <w:r w:rsidRPr="00F30D12">
        <w:rPr>
          <w:rFonts w:ascii="Book Antiqua" w:eastAsia="Book Antiqua" w:hAnsi="Book Antiqua" w:cs="Book Antiqua"/>
          <w:color w:val="000000"/>
        </w:rPr>
        <w:t xml:space="preserve">, Torre BB, Ullman N, Yang A, Harb MA, Grieco PW, Newman JM, Harwin SF, Maheshwari AV. Reducing perioperative blood loss with antifibrinolytics and antifibrinolytic-like agents for patients undergoing total hip and total knee arthroplasty. </w:t>
      </w:r>
      <w:r w:rsidRPr="00F30D12">
        <w:rPr>
          <w:rFonts w:ascii="Book Antiqua" w:eastAsia="Book Antiqua" w:hAnsi="Book Antiqua" w:cs="Book Antiqua"/>
          <w:i/>
          <w:iCs/>
          <w:color w:val="000000"/>
        </w:rPr>
        <w:t>J Orthop</w:t>
      </w:r>
      <w:r w:rsidRPr="00F30D12">
        <w:rPr>
          <w:rFonts w:ascii="Book Antiqua" w:eastAsia="Book Antiqua" w:hAnsi="Book Antiqua" w:cs="Book Antiqua"/>
          <w:color w:val="000000"/>
        </w:rPr>
        <w:t xml:space="preserve"> 2019; </w:t>
      </w:r>
      <w:r w:rsidRPr="00F30D12">
        <w:rPr>
          <w:rFonts w:ascii="Book Antiqua" w:eastAsia="Book Antiqua" w:hAnsi="Book Antiqua" w:cs="Book Antiqua"/>
          <w:b/>
          <w:bCs/>
          <w:color w:val="000000"/>
        </w:rPr>
        <w:t>16</w:t>
      </w:r>
      <w:r w:rsidRPr="00F30D12">
        <w:rPr>
          <w:rFonts w:ascii="Book Antiqua" w:eastAsia="Book Antiqua" w:hAnsi="Book Antiqua" w:cs="Book Antiqua"/>
          <w:color w:val="000000"/>
        </w:rPr>
        <w:t>: 513-516 [PMID: 31680743 DOI: 10.1016/j.jor.2019.06.025]</w:t>
      </w:r>
    </w:p>
    <w:p w14:paraId="51D877E8" w14:textId="77777777" w:rsidR="00A77B3E" w:rsidRPr="00F30D12" w:rsidRDefault="00C43656">
      <w:pPr>
        <w:spacing w:line="360" w:lineRule="auto"/>
        <w:jc w:val="both"/>
      </w:pPr>
      <w:r w:rsidRPr="00F30D12">
        <w:rPr>
          <w:rFonts w:ascii="Book Antiqua" w:eastAsia="Book Antiqua" w:hAnsi="Book Antiqua" w:cs="Book Antiqua"/>
          <w:color w:val="000000"/>
        </w:rPr>
        <w:t xml:space="preserve">86 </w:t>
      </w:r>
      <w:r w:rsidRPr="00F30D12">
        <w:rPr>
          <w:rFonts w:ascii="Book Antiqua" w:eastAsia="Book Antiqua" w:hAnsi="Book Antiqua" w:cs="Book Antiqua"/>
          <w:b/>
          <w:bCs/>
          <w:color w:val="000000"/>
        </w:rPr>
        <w:t>Zhirnov OP</w:t>
      </w:r>
      <w:r w:rsidRPr="00F30D12">
        <w:rPr>
          <w:rFonts w:ascii="Book Antiqua" w:eastAsia="Book Antiqua" w:hAnsi="Book Antiqua" w:cs="Book Antiqua"/>
          <w:color w:val="000000"/>
        </w:rPr>
        <w:t xml:space="preserve">, Klenk HD, Wright PF. Aprotinin and similar protease inhibitors as drugs against influenza. </w:t>
      </w:r>
      <w:r w:rsidRPr="00F30D12">
        <w:rPr>
          <w:rFonts w:ascii="Book Antiqua" w:eastAsia="Book Antiqua" w:hAnsi="Book Antiqua" w:cs="Book Antiqua"/>
          <w:i/>
          <w:iCs/>
          <w:color w:val="000000"/>
        </w:rPr>
        <w:t>Antiviral Res</w:t>
      </w:r>
      <w:r w:rsidRPr="00F30D12">
        <w:rPr>
          <w:rFonts w:ascii="Book Antiqua" w:eastAsia="Book Antiqua" w:hAnsi="Book Antiqua" w:cs="Book Antiqua"/>
          <w:color w:val="000000"/>
        </w:rPr>
        <w:t xml:space="preserve"> 2011; </w:t>
      </w:r>
      <w:r w:rsidRPr="00F30D12">
        <w:rPr>
          <w:rFonts w:ascii="Book Antiqua" w:eastAsia="Book Antiqua" w:hAnsi="Book Antiqua" w:cs="Book Antiqua"/>
          <w:b/>
          <w:bCs/>
          <w:color w:val="000000"/>
        </w:rPr>
        <w:t>92</w:t>
      </w:r>
      <w:r w:rsidRPr="00F30D12">
        <w:rPr>
          <w:rFonts w:ascii="Book Antiqua" w:eastAsia="Book Antiqua" w:hAnsi="Book Antiqua" w:cs="Book Antiqua"/>
          <w:color w:val="000000"/>
        </w:rPr>
        <w:t>: 27-36 [PMID: 21802447 DOI: 10.1016/j.antiviral.2011.07.014]</w:t>
      </w:r>
    </w:p>
    <w:p w14:paraId="787CE9FA" w14:textId="77777777" w:rsidR="00A77B3E" w:rsidRPr="00F30D12" w:rsidRDefault="00C43656">
      <w:pPr>
        <w:spacing w:line="360" w:lineRule="auto"/>
        <w:jc w:val="both"/>
      </w:pPr>
      <w:r w:rsidRPr="00F30D12">
        <w:rPr>
          <w:rFonts w:ascii="Book Antiqua" w:eastAsia="Book Antiqua" w:hAnsi="Book Antiqua" w:cs="Book Antiqua"/>
          <w:color w:val="000000"/>
        </w:rPr>
        <w:t xml:space="preserve">87 </w:t>
      </w:r>
      <w:r w:rsidRPr="00F30D12">
        <w:rPr>
          <w:rFonts w:ascii="Book Antiqua" w:eastAsia="Book Antiqua" w:hAnsi="Book Antiqua" w:cs="Book Antiqua"/>
          <w:b/>
          <w:bCs/>
          <w:color w:val="000000"/>
        </w:rPr>
        <w:t>Shen LW</w:t>
      </w:r>
      <w:r w:rsidRPr="00F30D12">
        <w:rPr>
          <w:rFonts w:ascii="Book Antiqua" w:eastAsia="Book Antiqua" w:hAnsi="Book Antiqua" w:cs="Book Antiqua"/>
          <w:color w:val="000000"/>
        </w:rPr>
        <w:t xml:space="preserve">, Mao HJ, Wu YL, Tanaka Y, Zhang W. TMPRSS2: A potential target for treatment of influenza virus and coronavirus infections. </w:t>
      </w:r>
      <w:r w:rsidRPr="00F30D12">
        <w:rPr>
          <w:rFonts w:ascii="Book Antiqua" w:eastAsia="Book Antiqua" w:hAnsi="Book Antiqua" w:cs="Book Antiqua"/>
          <w:i/>
          <w:iCs/>
          <w:color w:val="000000"/>
        </w:rPr>
        <w:t>Biochimie</w:t>
      </w:r>
      <w:r w:rsidRPr="00F30D12">
        <w:rPr>
          <w:rFonts w:ascii="Book Antiqua" w:eastAsia="Book Antiqua" w:hAnsi="Book Antiqua" w:cs="Book Antiqua"/>
          <w:color w:val="000000"/>
        </w:rPr>
        <w:t xml:space="preserve"> 2017; </w:t>
      </w:r>
      <w:r w:rsidRPr="00F30D12">
        <w:rPr>
          <w:rFonts w:ascii="Book Antiqua" w:eastAsia="Book Antiqua" w:hAnsi="Book Antiqua" w:cs="Book Antiqua"/>
          <w:b/>
          <w:bCs/>
          <w:color w:val="000000"/>
        </w:rPr>
        <w:t>142</w:t>
      </w:r>
      <w:r w:rsidRPr="00F30D12">
        <w:rPr>
          <w:rFonts w:ascii="Book Antiqua" w:eastAsia="Book Antiqua" w:hAnsi="Book Antiqua" w:cs="Book Antiqua"/>
          <w:color w:val="000000"/>
        </w:rPr>
        <w:t>: 1-10 [PMID: 28778717 DOI: 10.1016/j.biochi.2017.07.016]</w:t>
      </w:r>
    </w:p>
    <w:p w14:paraId="6B290ED5" w14:textId="7193C0AE" w:rsidR="00A77B3E" w:rsidRPr="00F30D12" w:rsidRDefault="00C43656">
      <w:pPr>
        <w:spacing w:line="360" w:lineRule="auto"/>
        <w:jc w:val="both"/>
      </w:pPr>
      <w:r w:rsidRPr="00F30D12">
        <w:rPr>
          <w:rFonts w:ascii="Book Antiqua" w:eastAsia="Book Antiqua" w:hAnsi="Book Antiqua" w:cs="Book Antiqua"/>
          <w:color w:val="000000"/>
        </w:rPr>
        <w:t xml:space="preserve">88 </w:t>
      </w:r>
      <w:r w:rsidRPr="00F30D12">
        <w:rPr>
          <w:rFonts w:ascii="Book Antiqua" w:eastAsia="Book Antiqua" w:hAnsi="Book Antiqua" w:cs="Book Antiqua"/>
          <w:b/>
          <w:bCs/>
          <w:color w:val="000000"/>
        </w:rPr>
        <w:t>Bojkova</w:t>
      </w:r>
      <w:r w:rsidR="002A2124" w:rsidRPr="00F30D12">
        <w:rPr>
          <w:rFonts w:ascii="Book Antiqua" w:eastAsia="Book Antiqua" w:hAnsi="Book Antiqua" w:cs="Book Antiqua"/>
          <w:b/>
          <w:bCs/>
          <w:color w:val="000000"/>
        </w:rPr>
        <w:t xml:space="preserve"> D</w:t>
      </w:r>
      <w:r w:rsidRPr="00F30D12">
        <w:rPr>
          <w:rFonts w:ascii="Book Antiqua" w:eastAsia="Book Antiqua" w:hAnsi="Book Antiqua" w:cs="Book Antiqua"/>
          <w:color w:val="000000"/>
        </w:rPr>
        <w:t>, McGreig</w:t>
      </w:r>
      <w:r w:rsidR="002A2124" w:rsidRPr="00F30D12">
        <w:rPr>
          <w:rFonts w:ascii="Book Antiqua" w:eastAsia="Book Antiqua" w:hAnsi="Book Antiqua" w:cs="Book Antiqua"/>
          <w:color w:val="000000"/>
        </w:rPr>
        <w:t xml:space="preserve"> JE</w:t>
      </w:r>
      <w:r w:rsidRPr="00F30D12">
        <w:rPr>
          <w:rFonts w:ascii="Book Antiqua" w:eastAsia="Book Antiqua" w:hAnsi="Book Antiqua" w:cs="Book Antiqua"/>
          <w:color w:val="000000"/>
        </w:rPr>
        <w:t>, McLaughlin</w:t>
      </w:r>
      <w:r w:rsidR="002A2124" w:rsidRPr="00F30D12">
        <w:rPr>
          <w:rFonts w:ascii="Book Antiqua" w:eastAsia="Book Antiqua" w:hAnsi="Book Antiqua" w:cs="Book Antiqua"/>
          <w:color w:val="000000"/>
        </w:rPr>
        <w:t xml:space="preserve"> KM</w:t>
      </w:r>
      <w:r w:rsidRPr="00F30D12">
        <w:rPr>
          <w:rFonts w:ascii="Book Antiqua" w:eastAsia="Book Antiqua" w:hAnsi="Book Antiqua" w:cs="Book Antiqua"/>
          <w:color w:val="000000"/>
        </w:rPr>
        <w:t>, Masterson</w:t>
      </w:r>
      <w:r w:rsidR="002A2124" w:rsidRPr="00F30D12">
        <w:rPr>
          <w:rFonts w:ascii="Book Antiqua" w:eastAsia="Book Antiqua" w:hAnsi="Book Antiqua" w:cs="Book Antiqua"/>
          <w:color w:val="000000"/>
        </w:rPr>
        <w:t xml:space="preserve"> SG</w:t>
      </w:r>
      <w:r w:rsidRPr="00F30D12">
        <w:rPr>
          <w:rFonts w:ascii="Book Antiqua" w:eastAsia="Book Antiqua" w:hAnsi="Book Antiqua" w:cs="Book Antiqua"/>
          <w:color w:val="000000"/>
        </w:rPr>
        <w:t>, Widera</w:t>
      </w:r>
      <w:r w:rsidR="002A2124" w:rsidRPr="00F30D12">
        <w:rPr>
          <w:rFonts w:ascii="Book Antiqua" w:eastAsia="Book Antiqua" w:hAnsi="Book Antiqua" w:cs="Book Antiqua"/>
          <w:color w:val="000000"/>
        </w:rPr>
        <w:t xml:space="preserve"> M</w:t>
      </w:r>
      <w:r w:rsidRPr="00F30D12">
        <w:rPr>
          <w:rFonts w:ascii="Book Antiqua" w:eastAsia="Book Antiqua" w:hAnsi="Book Antiqua" w:cs="Book Antiqua"/>
          <w:color w:val="000000"/>
        </w:rPr>
        <w:t>, Krähling</w:t>
      </w:r>
      <w:r w:rsidR="002A2124" w:rsidRPr="00F30D12">
        <w:rPr>
          <w:rFonts w:ascii="Book Antiqua" w:eastAsia="Book Antiqua" w:hAnsi="Book Antiqua" w:cs="Book Antiqua"/>
          <w:color w:val="000000"/>
        </w:rPr>
        <w:t xml:space="preserve"> V</w:t>
      </w:r>
      <w:r w:rsidRPr="00F30D12">
        <w:rPr>
          <w:rFonts w:ascii="Book Antiqua" w:eastAsia="Book Antiqua" w:hAnsi="Book Antiqua" w:cs="Book Antiqua"/>
          <w:color w:val="000000"/>
        </w:rPr>
        <w:t>, Ciesek</w:t>
      </w:r>
      <w:r w:rsidR="002A2124" w:rsidRPr="00F30D12">
        <w:rPr>
          <w:rFonts w:ascii="Book Antiqua" w:eastAsia="Book Antiqua" w:hAnsi="Book Antiqua" w:cs="Book Antiqua"/>
          <w:color w:val="000000"/>
        </w:rPr>
        <w:t xml:space="preserve"> S</w:t>
      </w:r>
      <w:r w:rsidRPr="00F30D12">
        <w:rPr>
          <w:rFonts w:ascii="Book Antiqua" w:eastAsia="Book Antiqua" w:hAnsi="Book Antiqua" w:cs="Book Antiqua"/>
          <w:color w:val="000000"/>
        </w:rPr>
        <w:t>, Wass</w:t>
      </w:r>
      <w:r w:rsidR="002A2124" w:rsidRPr="00F30D12">
        <w:rPr>
          <w:rFonts w:ascii="Book Antiqua" w:eastAsia="Book Antiqua" w:hAnsi="Book Antiqua" w:cs="Book Antiqua"/>
          <w:color w:val="000000"/>
        </w:rPr>
        <w:t xml:space="preserve"> MN</w:t>
      </w:r>
      <w:r w:rsidRPr="00F30D12">
        <w:rPr>
          <w:rFonts w:ascii="Book Antiqua" w:eastAsia="Book Antiqua" w:hAnsi="Book Antiqua" w:cs="Book Antiqua"/>
          <w:color w:val="000000"/>
        </w:rPr>
        <w:t>, Michaelis</w:t>
      </w:r>
      <w:r w:rsidR="002A2124" w:rsidRPr="00F30D12">
        <w:rPr>
          <w:rFonts w:ascii="Book Antiqua" w:eastAsia="Book Antiqua" w:hAnsi="Book Antiqua" w:cs="Book Antiqua"/>
          <w:color w:val="000000"/>
        </w:rPr>
        <w:t xml:space="preserve"> M</w:t>
      </w:r>
      <w:r w:rsidRPr="00F30D12">
        <w:rPr>
          <w:rFonts w:ascii="Book Antiqua" w:eastAsia="Book Antiqua" w:hAnsi="Book Antiqua" w:cs="Book Antiqua"/>
          <w:color w:val="000000"/>
        </w:rPr>
        <w:t>, Cinatl jr</w:t>
      </w:r>
      <w:r w:rsidR="002A2124" w:rsidRPr="00F30D12">
        <w:rPr>
          <w:rFonts w:ascii="Book Antiqua" w:eastAsia="Book Antiqua" w:hAnsi="Book Antiqua" w:cs="Book Antiqua"/>
          <w:color w:val="000000"/>
        </w:rPr>
        <w:t xml:space="preserve"> J</w:t>
      </w:r>
      <w:r w:rsidRPr="00F30D12">
        <w:rPr>
          <w:rFonts w:ascii="Book Antiqua" w:eastAsia="Book Antiqua" w:hAnsi="Book Antiqua" w:cs="Book Antiqua"/>
          <w:color w:val="000000"/>
        </w:rPr>
        <w:t xml:space="preserve">. SARS-CoV-2 and SARS-CoV differ in their cell tropism and drug sensitivity profiles. </w:t>
      </w:r>
      <w:r w:rsidR="000762E0" w:rsidRPr="00F30D12">
        <w:rPr>
          <w:rFonts w:ascii="Book Antiqua" w:hAnsi="Book Antiqua" w:cs="Segoe UI"/>
          <w:color w:val="000000"/>
        </w:rPr>
        <w:t xml:space="preserve">2020 Preprint. Available from: </w:t>
      </w:r>
      <w:r w:rsidR="000762E0" w:rsidRPr="00F30D12">
        <w:rPr>
          <w:rFonts w:ascii="Book Antiqua" w:eastAsia="Book Antiqua" w:hAnsi="Book Antiqua" w:cs="Book Antiqua"/>
          <w:color w:val="000000"/>
        </w:rPr>
        <w:t>bioRxiv</w:t>
      </w:r>
      <w:r w:rsidRPr="00F30D12">
        <w:rPr>
          <w:rFonts w:ascii="Book Antiqua" w:eastAsia="Book Antiqua" w:hAnsi="Book Antiqua" w:cs="Book Antiqua"/>
          <w:color w:val="000000"/>
        </w:rPr>
        <w:t xml:space="preserve"> [DOI: 10.1101/2020.04.03.024257]</w:t>
      </w:r>
    </w:p>
    <w:p w14:paraId="212AFAB1" w14:textId="77777777" w:rsidR="00A77B3E" w:rsidRPr="00F30D12" w:rsidRDefault="00C43656">
      <w:pPr>
        <w:spacing w:line="360" w:lineRule="auto"/>
        <w:jc w:val="both"/>
      </w:pPr>
      <w:r w:rsidRPr="00F30D12">
        <w:rPr>
          <w:rFonts w:ascii="Book Antiqua" w:eastAsia="Book Antiqua" w:hAnsi="Book Antiqua" w:cs="Book Antiqua"/>
          <w:color w:val="000000"/>
        </w:rPr>
        <w:t xml:space="preserve">89 </w:t>
      </w:r>
      <w:r w:rsidRPr="00F30D12">
        <w:rPr>
          <w:rFonts w:ascii="Book Antiqua" w:eastAsia="Book Antiqua" w:hAnsi="Book Antiqua" w:cs="Book Antiqua"/>
          <w:b/>
          <w:bCs/>
          <w:color w:val="000000"/>
        </w:rPr>
        <w:t>Aguila EJT</w:t>
      </w:r>
      <w:r w:rsidRPr="00F30D12">
        <w:rPr>
          <w:rFonts w:ascii="Book Antiqua" w:eastAsia="Book Antiqua" w:hAnsi="Book Antiqua" w:cs="Book Antiqua"/>
          <w:color w:val="000000"/>
        </w:rPr>
        <w:t xml:space="preserve">, Cua IHY. Repurposed GI Drugs in the Treatment of COVID-19. </w:t>
      </w:r>
      <w:r w:rsidRPr="00F30D12">
        <w:rPr>
          <w:rFonts w:ascii="Book Antiqua" w:eastAsia="Book Antiqua" w:hAnsi="Book Antiqua" w:cs="Book Antiqua"/>
          <w:i/>
          <w:iCs/>
          <w:color w:val="000000"/>
        </w:rPr>
        <w:t>Dig Dis Sci</w:t>
      </w:r>
      <w:r w:rsidRPr="00F30D12">
        <w:rPr>
          <w:rFonts w:ascii="Book Antiqua" w:eastAsia="Book Antiqua" w:hAnsi="Book Antiqua" w:cs="Book Antiqua"/>
          <w:color w:val="000000"/>
        </w:rPr>
        <w:t xml:space="preserve"> 2020; </w:t>
      </w:r>
      <w:r w:rsidRPr="00F30D12">
        <w:rPr>
          <w:rFonts w:ascii="Book Antiqua" w:eastAsia="Book Antiqua" w:hAnsi="Book Antiqua" w:cs="Book Antiqua"/>
          <w:b/>
          <w:bCs/>
          <w:color w:val="000000"/>
        </w:rPr>
        <w:t>65</w:t>
      </w:r>
      <w:r w:rsidRPr="00F30D12">
        <w:rPr>
          <w:rFonts w:ascii="Book Antiqua" w:eastAsia="Book Antiqua" w:hAnsi="Book Antiqua" w:cs="Book Antiqua"/>
          <w:color w:val="000000"/>
        </w:rPr>
        <w:t>: 2452-2453 [PMID: 32601778 DOI: 10.1007/s10620-020-06430-z]</w:t>
      </w:r>
    </w:p>
    <w:p w14:paraId="08E00EC7" w14:textId="77777777" w:rsidR="00A77B3E" w:rsidRPr="00F30D12" w:rsidRDefault="00C43656">
      <w:pPr>
        <w:spacing w:line="360" w:lineRule="auto"/>
        <w:jc w:val="both"/>
      </w:pPr>
      <w:r w:rsidRPr="00F30D12">
        <w:rPr>
          <w:rFonts w:ascii="Book Antiqua" w:eastAsia="Book Antiqua" w:hAnsi="Book Antiqua" w:cs="Book Antiqua"/>
          <w:color w:val="000000"/>
        </w:rPr>
        <w:t xml:space="preserve">90 </w:t>
      </w:r>
      <w:r w:rsidRPr="00F30D12">
        <w:rPr>
          <w:rFonts w:ascii="Book Antiqua" w:eastAsia="Book Antiqua" w:hAnsi="Book Antiqua" w:cs="Book Antiqua"/>
          <w:b/>
          <w:bCs/>
          <w:color w:val="000000"/>
        </w:rPr>
        <w:t>Hu YB</w:t>
      </w:r>
      <w:r w:rsidRPr="00F30D12">
        <w:rPr>
          <w:rFonts w:ascii="Book Antiqua" w:eastAsia="Book Antiqua" w:hAnsi="Book Antiqua" w:cs="Book Antiqua"/>
          <w:color w:val="000000"/>
        </w:rPr>
        <w:t xml:space="preserve">, Dammer EB, Ren RJ, Wang G. The endosomal-lysosomal system: from acidification and cargo sorting to neurodegeneration. </w:t>
      </w:r>
      <w:r w:rsidRPr="00F30D12">
        <w:rPr>
          <w:rFonts w:ascii="Book Antiqua" w:eastAsia="Book Antiqua" w:hAnsi="Book Antiqua" w:cs="Book Antiqua"/>
          <w:i/>
          <w:iCs/>
          <w:color w:val="000000"/>
        </w:rPr>
        <w:t>Transl Neurodegener</w:t>
      </w:r>
      <w:r w:rsidRPr="00F30D12">
        <w:rPr>
          <w:rFonts w:ascii="Book Antiqua" w:eastAsia="Book Antiqua" w:hAnsi="Book Antiqua" w:cs="Book Antiqua"/>
          <w:color w:val="000000"/>
        </w:rPr>
        <w:t xml:space="preserve"> 2015; </w:t>
      </w:r>
      <w:r w:rsidRPr="00F30D12">
        <w:rPr>
          <w:rFonts w:ascii="Book Antiqua" w:eastAsia="Book Antiqua" w:hAnsi="Book Antiqua" w:cs="Book Antiqua"/>
          <w:b/>
          <w:bCs/>
          <w:color w:val="000000"/>
        </w:rPr>
        <w:t>4</w:t>
      </w:r>
      <w:r w:rsidRPr="00F30D12">
        <w:rPr>
          <w:rFonts w:ascii="Book Antiqua" w:eastAsia="Book Antiqua" w:hAnsi="Book Antiqua" w:cs="Book Antiqua"/>
          <w:color w:val="000000"/>
        </w:rPr>
        <w:t>: 18 [PMID: 26448863 DOI: 10.1186/s40035-015-0041-1]</w:t>
      </w:r>
    </w:p>
    <w:p w14:paraId="16A39DCB" w14:textId="77777777" w:rsidR="00A77B3E" w:rsidRPr="00F30D12" w:rsidRDefault="00C43656">
      <w:pPr>
        <w:spacing w:line="360" w:lineRule="auto"/>
        <w:jc w:val="both"/>
      </w:pPr>
      <w:r w:rsidRPr="00F30D12">
        <w:rPr>
          <w:rFonts w:ascii="Book Antiqua" w:eastAsia="Book Antiqua" w:hAnsi="Book Antiqua" w:cs="Book Antiqua"/>
          <w:color w:val="000000"/>
        </w:rPr>
        <w:t xml:space="preserve">91 </w:t>
      </w:r>
      <w:r w:rsidRPr="00F30D12">
        <w:rPr>
          <w:rFonts w:ascii="Book Antiqua" w:eastAsia="Book Antiqua" w:hAnsi="Book Antiqua" w:cs="Book Antiqua"/>
          <w:b/>
          <w:bCs/>
          <w:color w:val="000000"/>
        </w:rPr>
        <w:t>Futai M</w:t>
      </w:r>
      <w:r w:rsidRPr="00F30D12">
        <w:rPr>
          <w:rFonts w:ascii="Book Antiqua" w:eastAsia="Book Antiqua" w:hAnsi="Book Antiqua" w:cs="Book Antiqua"/>
          <w:color w:val="000000"/>
        </w:rPr>
        <w:t xml:space="preserve">, Sun-Wada GH, Wada Y, Matsumoto N, Nakanishi-Matsui M. Vacuolar-type ATPase: A proton pump to lysosomal trafficking. </w:t>
      </w:r>
      <w:r w:rsidRPr="00F30D12">
        <w:rPr>
          <w:rFonts w:ascii="Book Antiqua" w:eastAsia="Book Antiqua" w:hAnsi="Book Antiqua" w:cs="Book Antiqua"/>
          <w:i/>
          <w:iCs/>
          <w:color w:val="000000"/>
        </w:rPr>
        <w:t>Proc Jpn Acad Ser B Phys Biol Sci</w:t>
      </w:r>
      <w:r w:rsidRPr="00F30D12">
        <w:rPr>
          <w:rFonts w:ascii="Book Antiqua" w:eastAsia="Book Antiqua" w:hAnsi="Book Antiqua" w:cs="Book Antiqua"/>
          <w:color w:val="000000"/>
        </w:rPr>
        <w:t xml:space="preserve"> 2019; </w:t>
      </w:r>
      <w:r w:rsidRPr="00F30D12">
        <w:rPr>
          <w:rFonts w:ascii="Book Antiqua" w:eastAsia="Book Antiqua" w:hAnsi="Book Antiqua" w:cs="Book Antiqua"/>
          <w:b/>
          <w:bCs/>
          <w:color w:val="000000"/>
        </w:rPr>
        <w:t>95</w:t>
      </w:r>
      <w:r w:rsidRPr="00F30D12">
        <w:rPr>
          <w:rFonts w:ascii="Book Antiqua" w:eastAsia="Book Antiqua" w:hAnsi="Book Antiqua" w:cs="Book Antiqua"/>
          <w:color w:val="000000"/>
        </w:rPr>
        <w:t>: 261-277 [PMID: 31189779 DOI: 10.2183/pjab.95.018]</w:t>
      </w:r>
    </w:p>
    <w:p w14:paraId="1DE942C0" w14:textId="77777777" w:rsidR="00A77B3E" w:rsidRPr="00F30D12" w:rsidRDefault="00C43656">
      <w:pPr>
        <w:spacing w:line="360" w:lineRule="auto"/>
        <w:jc w:val="both"/>
      </w:pPr>
      <w:r w:rsidRPr="00F30D12">
        <w:rPr>
          <w:rFonts w:ascii="Book Antiqua" w:eastAsia="Book Antiqua" w:hAnsi="Book Antiqua" w:cs="Book Antiqua"/>
          <w:color w:val="000000"/>
        </w:rPr>
        <w:t xml:space="preserve">92 </w:t>
      </w:r>
      <w:r w:rsidRPr="00F30D12">
        <w:rPr>
          <w:rFonts w:ascii="Book Antiqua" w:eastAsia="Book Antiqua" w:hAnsi="Book Antiqua" w:cs="Book Antiqua"/>
          <w:b/>
          <w:bCs/>
          <w:color w:val="000000"/>
        </w:rPr>
        <w:t>De Milito A</w:t>
      </w:r>
      <w:r w:rsidRPr="00F30D12">
        <w:rPr>
          <w:rFonts w:ascii="Book Antiqua" w:eastAsia="Book Antiqua" w:hAnsi="Book Antiqua" w:cs="Book Antiqua"/>
          <w:color w:val="000000"/>
        </w:rPr>
        <w:t xml:space="preserve">, Iessi E, Logozzi M, Lozupone F, Spada M, Marino ML, Federici C, Perdicchio M, Matarrese P, Lugini L, Nilsson A, Fais S. Proton pump inhibitors induce apoptosis of human B-cell tumors through a caspase-independent mechanism involving reactive oxygen species. </w:t>
      </w:r>
      <w:r w:rsidRPr="00F30D12">
        <w:rPr>
          <w:rFonts w:ascii="Book Antiqua" w:eastAsia="Book Antiqua" w:hAnsi="Book Antiqua" w:cs="Book Antiqua"/>
          <w:i/>
          <w:iCs/>
          <w:color w:val="000000"/>
        </w:rPr>
        <w:t>Cancer Res</w:t>
      </w:r>
      <w:r w:rsidRPr="00F30D12">
        <w:rPr>
          <w:rFonts w:ascii="Book Antiqua" w:eastAsia="Book Antiqua" w:hAnsi="Book Antiqua" w:cs="Book Antiqua"/>
          <w:color w:val="000000"/>
        </w:rPr>
        <w:t xml:space="preserve"> 2007; </w:t>
      </w:r>
      <w:r w:rsidRPr="00F30D12">
        <w:rPr>
          <w:rFonts w:ascii="Book Antiqua" w:eastAsia="Book Antiqua" w:hAnsi="Book Antiqua" w:cs="Book Antiqua"/>
          <w:b/>
          <w:bCs/>
          <w:color w:val="000000"/>
        </w:rPr>
        <w:t>67</w:t>
      </w:r>
      <w:r w:rsidRPr="00F30D12">
        <w:rPr>
          <w:rFonts w:ascii="Book Antiqua" w:eastAsia="Book Antiqua" w:hAnsi="Book Antiqua" w:cs="Book Antiqua"/>
          <w:color w:val="000000"/>
        </w:rPr>
        <w:t>: 5408-5417 [PMID: 17545622 DOI: 10.1158/0008-5472.CAN-06-4095]</w:t>
      </w:r>
    </w:p>
    <w:p w14:paraId="18B2769A" w14:textId="77777777" w:rsidR="00A77B3E" w:rsidRPr="00F30D12" w:rsidRDefault="00C43656">
      <w:pPr>
        <w:spacing w:line="360" w:lineRule="auto"/>
        <w:jc w:val="both"/>
      </w:pPr>
      <w:r w:rsidRPr="00F30D12">
        <w:rPr>
          <w:rFonts w:ascii="Book Antiqua" w:eastAsia="Book Antiqua" w:hAnsi="Book Antiqua" w:cs="Book Antiqua"/>
          <w:color w:val="000000"/>
        </w:rPr>
        <w:t xml:space="preserve">93 </w:t>
      </w:r>
      <w:r w:rsidRPr="00F30D12">
        <w:rPr>
          <w:rFonts w:ascii="Book Antiqua" w:eastAsia="Book Antiqua" w:hAnsi="Book Antiqua" w:cs="Book Antiqua"/>
          <w:b/>
          <w:bCs/>
          <w:color w:val="000000"/>
        </w:rPr>
        <w:t>Marshansky V</w:t>
      </w:r>
      <w:r w:rsidRPr="00F30D12">
        <w:rPr>
          <w:rFonts w:ascii="Book Antiqua" w:eastAsia="Book Antiqua" w:hAnsi="Book Antiqua" w:cs="Book Antiqua"/>
          <w:color w:val="000000"/>
        </w:rPr>
        <w:t xml:space="preserve">, Futai M. The V-type H+-ATPase in vesicular trafficking: targeting, regulation and function. </w:t>
      </w:r>
      <w:r w:rsidRPr="00F30D12">
        <w:rPr>
          <w:rFonts w:ascii="Book Antiqua" w:eastAsia="Book Antiqua" w:hAnsi="Book Antiqua" w:cs="Book Antiqua"/>
          <w:i/>
          <w:iCs/>
          <w:color w:val="000000"/>
        </w:rPr>
        <w:t>Curr Opin Cell Biol</w:t>
      </w:r>
      <w:r w:rsidRPr="00F30D12">
        <w:rPr>
          <w:rFonts w:ascii="Book Antiqua" w:eastAsia="Book Antiqua" w:hAnsi="Book Antiqua" w:cs="Book Antiqua"/>
          <w:color w:val="000000"/>
        </w:rPr>
        <w:t xml:space="preserve"> 2008; </w:t>
      </w:r>
      <w:r w:rsidRPr="00F30D12">
        <w:rPr>
          <w:rFonts w:ascii="Book Antiqua" w:eastAsia="Book Antiqua" w:hAnsi="Book Antiqua" w:cs="Book Antiqua"/>
          <w:b/>
          <w:bCs/>
          <w:color w:val="000000"/>
        </w:rPr>
        <w:t>20</w:t>
      </w:r>
      <w:r w:rsidRPr="00F30D12">
        <w:rPr>
          <w:rFonts w:ascii="Book Antiqua" w:eastAsia="Book Antiqua" w:hAnsi="Book Antiqua" w:cs="Book Antiqua"/>
          <w:color w:val="000000"/>
        </w:rPr>
        <w:t>: 415-426 [PMID: 18511251 DOI: 10.1016/j.ceb.2008.03.015]</w:t>
      </w:r>
    </w:p>
    <w:p w14:paraId="117CA3ED" w14:textId="77777777" w:rsidR="00A77B3E" w:rsidRPr="00F30D12" w:rsidRDefault="00C43656">
      <w:pPr>
        <w:spacing w:line="360" w:lineRule="auto"/>
        <w:jc w:val="both"/>
      </w:pPr>
      <w:r w:rsidRPr="00F30D12">
        <w:rPr>
          <w:rFonts w:ascii="Book Antiqua" w:eastAsia="Book Antiqua" w:hAnsi="Book Antiqua" w:cs="Book Antiqua"/>
          <w:color w:val="000000"/>
        </w:rPr>
        <w:t xml:space="preserve">94 </w:t>
      </w:r>
      <w:r w:rsidRPr="00F30D12">
        <w:rPr>
          <w:rFonts w:ascii="Book Antiqua" w:eastAsia="Book Antiqua" w:hAnsi="Book Antiqua" w:cs="Book Antiqua"/>
          <w:b/>
          <w:bCs/>
          <w:color w:val="000000"/>
        </w:rPr>
        <w:t>Sachs G</w:t>
      </w:r>
      <w:r w:rsidRPr="00F30D12">
        <w:rPr>
          <w:rFonts w:ascii="Book Antiqua" w:eastAsia="Book Antiqua" w:hAnsi="Book Antiqua" w:cs="Book Antiqua"/>
          <w:color w:val="000000"/>
        </w:rPr>
        <w:t xml:space="preserve">, Prinz C, Loo D, Bamberg K, Besancon M, Shin JM. Gastric acid secretion: activation and inhibition. </w:t>
      </w:r>
      <w:r w:rsidRPr="00F30D12">
        <w:rPr>
          <w:rFonts w:ascii="Book Antiqua" w:eastAsia="Book Antiqua" w:hAnsi="Book Antiqua" w:cs="Book Antiqua"/>
          <w:i/>
          <w:iCs/>
          <w:color w:val="000000"/>
        </w:rPr>
        <w:t>Yale J Biol Med</w:t>
      </w:r>
      <w:r w:rsidRPr="00F30D12">
        <w:rPr>
          <w:rFonts w:ascii="Book Antiqua" w:eastAsia="Book Antiqua" w:hAnsi="Book Antiqua" w:cs="Book Antiqua"/>
          <w:color w:val="000000"/>
        </w:rPr>
        <w:t xml:space="preserve"> 1994; </w:t>
      </w:r>
      <w:r w:rsidRPr="00F30D12">
        <w:rPr>
          <w:rFonts w:ascii="Book Antiqua" w:eastAsia="Book Antiqua" w:hAnsi="Book Antiqua" w:cs="Book Antiqua"/>
          <w:b/>
          <w:bCs/>
          <w:color w:val="000000"/>
        </w:rPr>
        <w:t>67</w:t>
      </w:r>
      <w:r w:rsidRPr="00F30D12">
        <w:rPr>
          <w:rFonts w:ascii="Book Antiqua" w:eastAsia="Book Antiqua" w:hAnsi="Book Antiqua" w:cs="Book Antiqua"/>
          <w:color w:val="000000"/>
        </w:rPr>
        <w:t>: 81-95 [PMID: 7502535]</w:t>
      </w:r>
    </w:p>
    <w:p w14:paraId="75A9747D" w14:textId="77777777" w:rsidR="00A77B3E" w:rsidRPr="00F30D12" w:rsidRDefault="00C43656">
      <w:pPr>
        <w:spacing w:line="360" w:lineRule="auto"/>
        <w:jc w:val="both"/>
      </w:pPr>
      <w:r w:rsidRPr="00F30D12">
        <w:rPr>
          <w:rFonts w:ascii="Book Antiqua" w:eastAsia="Book Antiqua" w:hAnsi="Book Antiqua" w:cs="Book Antiqua"/>
          <w:color w:val="000000"/>
        </w:rPr>
        <w:t xml:space="preserve">95 </w:t>
      </w:r>
      <w:r w:rsidRPr="00F30D12">
        <w:rPr>
          <w:rFonts w:ascii="Book Antiqua" w:eastAsia="Book Antiqua" w:hAnsi="Book Antiqua" w:cs="Book Antiqua"/>
          <w:b/>
          <w:bCs/>
          <w:color w:val="000000"/>
        </w:rPr>
        <w:t>Sabolić I</w:t>
      </w:r>
      <w:r w:rsidRPr="00F30D12">
        <w:rPr>
          <w:rFonts w:ascii="Book Antiqua" w:eastAsia="Book Antiqua" w:hAnsi="Book Antiqua" w:cs="Book Antiqua"/>
          <w:color w:val="000000"/>
        </w:rPr>
        <w:t xml:space="preserve">, Brown D, Verbavatz JM, Kleinman J. H(+)-ATPases of renal cortical and medullary endosomes are differentially sensitive to Sch-28080 and omeprazole. </w:t>
      </w:r>
      <w:r w:rsidRPr="00F30D12">
        <w:rPr>
          <w:rFonts w:ascii="Book Antiqua" w:eastAsia="Book Antiqua" w:hAnsi="Book Antiqua" w:cs="Book Antiqua"/>
          <w:i/>
          <w:iCs/>
          <w:color w:val="000000"/>
        </w:rPr>
        <w:t>Am J Physiol</w:t>
      </w:r>
      <w:r w:rsidRPr="00F30D12">
        <w:rPr>
          <w:rFonts w:ascii="Book Antiqua" w:eastAsia="Book Antiqua" w:hAnsi="Book Antiqua" w:cs="Book Antiqua"/>
          <w:color w:val="000000"/>
        </w:rPr>
        <w:t xml:space="preserve"> 1994; </w:t>
      </w:r>
      <w:r w:rsidRPr="00F30D12">
        <w:rPr>
          <w:rFonts w:ascii="Book Antiqua" w:eastAsia="Book Antiqua" w:hAnsi="Book Antiqua" w:cs="Book Antiqua"/>
          <w:b/>
          <w:bCs/>
          <w:color w:val="000000"/>
        </w:rPr>
        <w:t>266</w:t>
      </w:r>
      <w:r w:rsidRPr="00F30D12">
        <w:rPr>
          <w:rFonts w:ascii="Book Antiqua" w:eastAsia="Book Antiqua" w:hAnsi="Book Antiqua" w:cs="Book Antiqua"/>
          <w:color w:val="000000"/>
        </w:rPr>
        <w:t>: F868-F877 [PMID: 7517642 DOI: 10.1152/ajprenal.1994.266.6.F868]</w:t>
      </w:r>
    </w:p>
    <w:p w14:paraId="00E6E4DD" w14:textId="77777777" w:rsidR="00A77B3E" w:rsidRPr="00F30D12" w:rsidRDefault="00C43656">
      <w:pPr>
        <w:spacing w:line="360" w:lineRule="auto"/>
        <w:jc w:val="both"/>
      </w:pPr>
      <w:r w:rsidRPr="00F30D12">
        <w:rPr>
          <w:rFonts w:ascii="Book Antiqua" w:eastAsia="Book Antiqua" w:hAnsi="Book Antiqua" w:cs="Book Antiqua"/>
          <w:color w:val="000000"/>
        </w:rPr>
        <w:t xml:space="preserve">96 </w:t>
      </w:r>
      <w:r w:rsidRPr="00F30D12">
        <w:rPr>
          <w:rFonts w:ascii="Book Antiqua" w:eastAsia="Book Antiqua" w:hAnsi="Book Antiqua" w:cs="Book Antiqua"/>
          <w:b/>
          <w:bCs/>
          <w:color w:val="000000"/>
        </w:rPr>
        <w:t>Brecher M</w:t>
      </w:r>
      <w:r w:rsidRPr="00F30D12">
        <w:rPr>
          <w:rFonts w:ascii="Book Antiqua" w:eastAsia="Book Antiqua" w:hAnsi="Book Antiqua" w:cs="Book Antiqua"/>
          <w:color w:val="000000"/>
        </w:rPr>
        <w:t xml:space="preserve">, Schornberg KL, Delos SE, Fusco ML, Saphire EO, White JM. Cathepsin cleavage potentiates the Ebola virus glycoprotein to undergo a subsequent fusion-relevant conformational change. </w:t>
      </w:r>
      <w:r w:rsidRPr="00F30D12">
        <w:rPr>
          <w:rFonts w:ascii="Book Antiqua" w:eastAsia="Book Antiqua" w:hAnsi="Book Antiqua" w:cs="Book Antiqua"/>
          <w:i/>
          <w:iCs/>
          <w:color w:val="000000"/>
        </w:rPr>
        <w:t>J Virol</w:t>
      </w:r>
      <w:r w:rsidRPr="00F30D12">
        <w:rPr>
          <w:rFonts w:ascii="Book Antiqua" w:eastAsia="Book Antiqua" w:hAnsi="Book Antiqua" w:cs="Book Antiqua"/>
          <w:color w:val="000000"/>
        </w:rPr>
        <w:t xml:space="preserve"> 2012; </w:t>
      </w:r>
      <w:r w:rsidRPr="00F30D12">
        <w:rPr>
          <w:rFonts w:ascii="Book Antiqua" w:eastAsia="Book Antiqua" w:hAnsi="Book Antiqua" w:cs="Book Antiqua"/>
          <w:b/>
          <w:bCs/>
          <w:color w:val="000000"/>
        </w:rPr>
        <w:t>86</w:t>
      </w:r>
      <w:r w:rsidRPr="00F30D12">
        <w:rPr>
          <w:rFonts w:ascii="Book Antiqua" w:eastAsia="Book Antiqua" w:hAnsi="Book Antiqua" w:cs="Book Antiqua"/>
          <w:color w:val="000000"/>
        </w:rPr>
        <w:t>: 364-372 [PMID: 22031933 DOI: 10.1128/JVI.05708-11]</w:t>
      </w:r>
    </w:p>
    <w:p w14:paraId="34E692BB" w14:textId="77777777" w:rsidR="00A77B3E" w:rsidRDefault="00C43656">
      <w:pPr>
        <w:spacing w:line="360" w:lineRule="auto"/>
        <w:jc w:val="both"/>
      </w:pPr>
      <w:r w:rsidRPr="00F30D12">
        <w:rPr>
          <w:rFonts w:ascii="Book Antiqua" w:eastAsia="Book Antiqua" w:hAnsi="Book Antiqua" w:cs="Book Antiqua"/>
          <w:color w:val="000000"/>
        </w:rPr>
        <w:t xml:space="preserve">97 </w:t>
      </w:r>
      <w:r w:rsidRPr="00F30D12">
        <w:rPr>
          <w:rFonts w:ascii="Book Antiqua" w:eastAsia="Book Antiqua" w:hAnsi="Book Antiqua" w:cs="Book Antiqua"/>
          <w:b/>
          <w:bCs/>
          <w:color w:val="000000"/>
        </w:rPr>
        <w:t>Ikemura K</w:t>
      </w:r>
      <w:r w:rsidRPr="00F30D12">
        <w:rPr>
          <w:rFonts w:ascii="Book Antiqua" w:eastAsia="Book Antiqua" w:hAnsi="Book Antiqua" w:cs="Book Antiqua"/>
          <w:color w:val="000000"/>
        </w:rPr>
        <w:t>, Hiramatsu S, Okuda M. Drug Rep</w:t>
      </w:r>
      <w:r>
        <w:rPr>
          <w:rFonts w:ascii="Book Antiqua" w:eastAsia="Book Antiqua" w:hAnsi="Book Antiqua" w:cs="Book Antiqua"/>
          <w:color w:val="000000"/>
        </w:rPr>
        <w:t xml:space="preserve">ositioning of Proton Pump Inhibitors for Enhanced Efficacy and Safety of Cancer Chemotherapy.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911 [PMID: 29311921 DOI: 10.3389/fphar.2017.00911]</w:t>
      </w:r>
    </w:p>
    <w:p w14:paraId="0C97DC5D" w14:textId="77777777" w:rsidR="00A77B3E" w:rsidRDefault="00C43656">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Pahan P</w:t>
      </w:r>
      <w:r>
        <w:rPr>
          <w:rFonts w:ascii="Book Antiqua" w:eastAsia="Book Antiqua" w:hAnsi="Book Antiqua" w:cs="Book Antiqua"/>
          <w:color w:val="000000"/>
        </w:rPr>
        <w:t xml:space="preserve">, Pahan K. Smooth or Risky Revisit of an Old Malaria Drug for COVID-19? </w:t>
      </w:r>
      <w:r>
        <w:rPr>
          <w:rFonts w:ascii="Book Antiqua" w:eastAsia="Book Antiqua" w:hAnsi="Book Antiqua" w:cs="Book Antiqua"/>
          <w:i/>
          <w:iCs/>
          <w:color w:val="000000"/>
        </w:rPr>
        <w:t>J Neuroimmune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174-180 [PMID: 32415419 DOI: 10.1007/s11481-020-09923-w]</w:t>
      </w:r>
    </w:p>
    <w:p w14:paraId="38EDA541" w14:textId="77777777" w:rsidR="00A77B3E" w:rsidRDefault="00C43656">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Pamarthy S</w:t>
      </w:r>
      <w:r>
        <w:rPr>
          <w:rFonts w:ascii="Book Antiqua" w:eastAsia="Book Antiqua" w:hAnsi="Book Antiqua" w:cs="Book Antiqua"/>
          <w:color w:val="000000"/>
        </w:rPr>
        <w:t xml:space="preserve">, Kulshrestha A, Katara GK, Beaman KD. The curious case of vacuolar ATPase: regulation of signaling pathways.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41 [PMID: 29448933 DOI: 10.1186/s12943-018-0811-3]</w:t>
      </w:r>
    </w:p>
    <w:bookmarkEnd w:id="10"/>
    <w:p w14:paraId="0FE9790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AD5E65B" w14:textId="77777777" w:rsidR="00A77B3E" w:rsidRDefault="00C43656">
      <w:pPr>
        <w:spacing w:line="360" w:lineRule="auto"/>
        <w:jc w:val="both"/>
      </w:pPr>
      <w:r>
        <w:rPr>
          <w:rFonts w:ascii="Book Antiqua" w:eastAsia="Book Antiqua" w:hAnsi="Book Antiqua" w:cs="Book Antiqua"/>
          <w:b/>
          <w:color w:val="000000"/>
        </w:rPr>
        <w:t>Footnotes</w:t>
      </w:r>
    </w:p>
    <w:p w14:paraId="4AF2E37C" w14:textId="77777777" w:rsidR="00A77B3E" w:rsidRDefault="00C4365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no conflicts of interest.</w:t>
      </w:r>
    </w:p>
    <w:p w14:paraId="630DEF40" w14:textId="77777777" w:rsidR="00A77B3E" w:rsidRDefault="00A77B3E">
      <w:pPr>
        <w:spacing w:line="360" w:lineRule="auto"/>
        <w:jc w:val="both"/>
      </w:pPr>
    </w:p>
    <w:p w14:paraId="28A056F9" w14:textId="77777777" w:rsidR="00A77B3E" w:rsidRDefault="00C43656">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2A355770" w14:textId="77777777" w:rsidR="00A77B3E" w:rsidRDefault="00A77B3E">
      <w:pPr>
        <w:spacing w:line="360" w:lineRule="auto"/>
        <w:jc w:val="both"/>
      </w:pPr>
    </w:p>
    <w:p w14:paraId="5B683A61" w14:textId="77777777" w:rsidR="00A77B3E" w:rsidRDefault="00C436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947B25" w14:textId="77777777" w:rsidR="00A77B3E" w:rsidRDefault="00A77B3E">
      <w:pPr>
        <w:spacing w:line="360" w:lineRule="auto"/>
        <w:jc w:val="both"/>
      </w:pPr>
    </w:p>
    <w:p w14:paraId="03452777" w14:textId="406E08E6" w:rsidR="00A77B3E" w:rsidRDefault="00C4365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007863">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ADBFF35" w14:textId="77777777" w:rsidR="00374A8C" w:rsidRDefault="00374A8C">
      <w:pPr>
        <w:spacing w:line="360" w:lineRule="auto"/>
        <w:jc w:val="both"/>
      </w:pPr>
    </w:p>
    <w:p w14:paraId="0F07BEB9" w14:textId="71491511" w:rsidR="00A77B3E" w:rsidRDefault="00C43656">
      <w:pPr>
        <w:spacing w:line="360" w:lineRule="auto"/>
        <w:jc w:val="both"/>
      </w:pPr>
      <w:r>
        <w:rPr>
          <w:rFonts w:ascii="Book Antiqua" w:eastAsia="Book Antiqua" w:hAnsi="Book Antiqua" w:cs="Book Antiqua"/>
          <w:b/>
          <w:color w:val="000000"/>
        </w:rPr>
        <w:t xml:space="preserve">Corresponding Author's Membership in Professional Societies: </w:t>
      </w:r>
      <w:bookmarkStart w:id="13" w:name="OLE_LINK3"/>
      <w:r>
        <w:rPr>
          <w:rFonts w:ascii="Book Antiqua" w:eastAsia="Book Antiqua" w:hAnsi="Book Antiqua" w:cs="Book Antiqua"/>
          <w:color w:val="000000"/>
        </w:rPr>
        <w:t>European Society of Gastro</w:t>
      </w:r>
      <w:r w:rsidR="00007863">
        <w:rPr>
          <w:rFonts w:ascii="Book Antiqua" w:eastAsia="Book Antiqua" w:hAnsi="Book Antiqua" w:cs="Book Antiqua"/>
          <w:color w:val="000000"/>
        </w:rPr>
        <w:t>i</w:t>
      </w:r>
      <w:r>
        <w:rPr>
          <w:rFonts w:ascii="Book Antiqua" w:eastAsia="Book Antiqua" w:hAnsi="Book Antiqua" w:cs="Book Antiqua"/>
          <w:color w:val="000000"/>
        </w:rPr>
        <w:t xml:space="preserve">ntestinal </w:t>
      </w:r>
      <w:r w:rsidR="00007863">
        <w:rPr>
          <w:rFonts w:ascii="Book Antiqua" w:eastAsia="Book Antiqua" w:hAnsi="Book Antiqua" w:cs="Book Antiqua"/>
          <w:color w:val="000000"/>
        </w:rPr>
        <w:t>E</w:t>
      </w:r>
      <w:r>
        <w:rPr>
          <w:rFonts w:ascii="Book Antiqua" w:eastAsia="Book Antiqua" w:hAnsi="Book Antiqua" w:cs="Book Antiqua"/>
          <w:color w:val="000000"/>
        </w:rPr>
        <w:t>ndoscopy</w:t>
      </w:r>
      <w:bookmarkEnd w:id="13"/>
      <w:r>
        <w:rPr>
          <w:rFonts w:ascii="Book Antiqua" w:eastAsia="Book Antiqua" w:hAnsi="Book Antiqua" w:cs="Book Antiqua"/>
          <w:color w:val="000000"/>
        </w:rPr>
        <w:t xml:space="preserve">, </w:t>
      </w:r>
      <w:r w:rsidR="00374A8C">
        <w:rPr>
          <w:rFonts w:ascii="Book Antiqua" w:eastAsia="Book Antiqua" w:hAnsi="Book Antiqua" w:cs="Book Antiqua"/>
          <w:color w:val="000000"/>
        </w:rPr>
        <w:t xml:space="preserve">No. </w:t>
      </w:r>
      <w:r>
        <w:rPr>
          <w:rFonts w:ascii="Book Antiqua" w:eastAsia="Book Antiqua" w:hAnsi="Book Antiqua" w:cs="Book Antiqua"/>
          <w:color w:val="000000"/>
        </w:rPr>
        <w:t>45910119</w:t>
      </w:r>
      <w:r w:rsidR="001A5CDE">
        <w:rPr>
          <w:rFonts w:ascii="Book Antiqua" w:eastAsia="Book Antiqua" w:hAnsi="Book Antiqua" w:cs="Book Antiqua"/>
          <w:color w:val="000000"/>
        </w:rPr>
        <w:t>.</w:t>
      </w:r>
    </w:p>
    <w:p w14:paraId="372C856B" w14:textId="77777777" w:rsidR="00A77B3E" w:rsidRDefault="00A77B3E">
      <w:pPr>
        <w:spacing w:line="360" w:lineRule="auto"/>
        <w:jc w:val="both"/>
      </w:pPr>
    </w:p>
    <w:p w14:paraId="42072BEB" w14:textId="77777777" w:rsidR="00A77B3E" w:rsidRDefault="00C436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2020</w:t>
      </w:r>
    </w:p>
    <w:p w14:paraId="282CAC3E" w14:textId="77777777" w:rsidR="00A77B3E" w:rsidRDefault="00C436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54D88024" w14:textId="5C2D220D" w:rsidR="00A77B3E" w:rsidRDefault="00C43656">
      <w:pPr>
        <w:spacing w:line="360" w:lineRule="auto"/>
        <w:jc w:val="both"/>
      </w:pPr>
      <w:r>
        <w:rPr>
          <w:rFonts w:ascii="Book Antiqua" w:eastAsia="Book Antiqua" w:hAnsi="Book Antiqua" w:cs="Book Antiqua"/>
          <w:b/>
          <w:color w:val="000000"/>
        </w:rPr>
        <w:t xml:space="preserve">Article in press: </w:t>
      </w:r>
      <w:r w:rsidR="00E67C04" w:rsidRPr="00DE354D">
        <w:rPr>
          <w:rFonts w:ascii="Book Antiqua" w:eastAsia="Book Antiqua" w:hAnsi="Book Antiqua" w:cs="Book Antiqua"/>
          <w:color w:val="000000"/>
        </w:rPr>
        <w:t>February 12, 2021</w:t>
      </w:r>
    </w:p>
    <w:p w14:paraId="10B8D912" w14:textId="77777777" w:rsidR="00A77B3E" w:rsidRDefault="00A77B3E">
      <w:pPr>
        <w:spacing w:line="360" w:lineRule="auto"/>
        <w:jc w:val="both"/>
      </w:pPr>
    </w:p>
    <w:p w14:paraId="1E6C41E9" w14:textId="4AA11F49" w:rsidR="00A77B3E" w:rsidRDefault="00C43656">
      <w:pPr>
        <w:spacing w:line="360" w:lineRule="auto"/>
        <w:jc w:val="both"/>
      </w:pPr>
      <w:r>
        <w:rPr>
          <w:rFonts w:ascii="Book Antiqua" w:eastAsia="Book Antiqua" w:hAnsi="Book Antiqua" w:cs="Book Antiqua"/>
          <w:b/>
          <w:color w:val="000000"/>
        </w:rPr>
        <w:t xml:space="preserve">Specialty type: </w:t>
      </w:r>
      <w:r w:rsidR="001B36D5" w:rsidRPr="00E700C2">
        <w:rPr>
          <w:rFonts w:ascii="Book Antiqua" w:eastAsia="微软雅黑" w:hAnsi="Book Antiqua" w:cs="宋体"/>
        </w:rPr>
        <w:t>Medicine, research and experimental</w:t>
      </w:r>
    </w:p>
    <w:p w14:paraId="3A294E3A" w14:textId="77777777" w:rsidR="00A77B3E" w:rsidRDefault="00C436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5DAAE4F4" w14:textId="77777777" w:rsidR="00A77B3E" w:rsidRDefault="00C43656">
      <w:pPr>
        <w:spacing w:line="360" w:lineRule="auto"/>
        <w:jc w:val="both"/>
      </w:pPr>
      <w:r>
        <w:rPr>
          <w:rFonts w:ascii="Book Antiqua" w:eastAsia="Book Antiqua" w:hAnsi="Book Antiqua" w:cs="Book Antiqua"/>
          <w:b/>
          <w:color w:val="000000"/>
        </w:rPr>
        <w:t>Peer-review report’s scientific quality classification</w:t>
      </w:r>
    </w:p>
    <w:p w14:paraId="001E5556" w14:textId="77777777" w:rsidR="00A77B3E" w:rsidRDefault="00C43656">
      <w:pPr>
        <w:spacing w:line="360" w:lineRule="auto"/>
        <w:jc w:val="both"/>
      </w:pPr>
      <w:r>
        <w:rPr>
          <w:rFonts w:ascii="Book Antiqua" w:eastAsia="Book Antiqua" w:hAnsi="Book Antiqua" w:cs="Book Antiqua"/>
          <w:color w:val="000000"/>
        </w:rPr>
        <w:t>Grade A (Excellent): 0</w:t>
      </w:r>
    </w:p>
    <w:p w14:paraId="26BC7EEA" w14:textId="77777777" w:rsidR="00A77B3E" w:rsidRDefault="00C43656">
      <w:pPr>
        <w:spacing w:line="360" w:lineRule="auto"/>
        <w:jc w:val="both"/>
      </w:pPr>
      <w:r>
        <w:rPr>
          <w:rFonts w:ascii="Book Antiqua" w:eastAsia="Book Antiqua" w:hAnsi="Book Antiqua" w:cs="Book Antiqua"/>
          <w:color w:val="000000"/>
        </w:rPr>
        <w:t>Grade B (Very good): B</w:t>
      </w:r>
    </w:p>
    <w:p w14:paraId="285D931B" w14:textId="17D4F8CF" w:rsidR="00A77B3E" w:rsidRDefault="00C43656">
      <w:pPr>
        <w:spacing w:line="360" w:lineRule="auto"/>
        <w:jc w:val="both"/>
      </w:pPr>
      <w:r>
        <w:rPr>
          <w:rFonts w:ascii="Book Antiqua" w:eastAsia="Book Antiqua" w:hAnsi="Book Antiqua" w:cs="Book Antiqua"/>
          <w:color w:val="000000"/>
        </w:rPr>
        <w:t xml:space="preserve">Grade C (Good): </w:t>
      </w:r>
      <w:r w:rsidR="000762E0">
        <w:rPr>
          <w:rFonts w:ascii="Book Antiqua" w:eastAsia="Book Antiqua" w:hAnsi="Book Antiqua" w:cs="Book Antiqua"/>
          <w:color w:val="000000"/>
        </w:rPr>
        <w:t>0</w:t>
      </w:r>
    </w:p>
    <w:p w14:paraId="28E1283C" w14:textId="77777777" w:rsidR="00A77B3E" w:rsidRDefault="00C43656">
      <w:pPr>
        <w:spacing w:line="360" w:lineRule="auto"/>
        <w:jc w:val="both"/>
      </w:pPr>
      <w:r>
        <w:rPr>
          <w:rFonts w:ascii="Book Antiqua" w:eastAsia="Book Antiqua" w:hAnsi="Book Antiqua" w:cs="Book Antiqua"/>
          <w:color w:val="000000"/>
        </w:rPr>
        <w:t>Grade D (Fair): 0</w:t>
      </w:r>
    </w:p>
    <w:p w14:paraId="60D14CD4" w14:textId="77777777" w:rsidR="00A77B3E" w:rsidRDefault="00C43656">
      <w:pPr>
        <w:spacing w:line="360" w:lineRule="auto"/>
        <w:jc w:val="both"/>
      </w:pPr>
      <w:r>
        <w:rPr>
          <w:rFonts w:ascii="Book Antiqua" w:eastAsia="Book Antiqua" w:hAnsi="Book Antiqua" w:cs="Book Antiqua"/>
          <w:color w:val="000000"/>
        </w:rPr>
        <w:t>Grade E (Poor): 0</w:t>
      </w:r>
    </w:p>
    <w:p w14:paraId="587D4259" w14:textId="77777777" w:rsidR="00A77B3E" w:rsidRDefault="00A77B3E">
      <w:pPr>
        <w:spacing w:line="360" w:lineRule="auto"/>
        <w:jc w:val="both"/>
      </w:pPr>
    </w:p>
    <w:p w14:paraId="601F5474" w14:textId="01056432" w:rsidR="00A77B3E" w:rsidRDefault="00C436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Jahromi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74F3B">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E67C04">
        <w:rPr>
          <w:rFonts w:ascii="Book Antiqua" w:hAnsi="Book Antiqua" w:cs="Book Antiqua" w:hint="eastAsia"/>
          <w:b/>
          <w:color w:val="000000"/>
          <w:lang w:eastAsia="zh-CN"/>
        </w:rPr>
        <w:t xml:space="preserve"> </w:t>
      </w:r>
      <w:r w:rsidR="00E67C04" w:rsidRPr="00E60F36">
        <w:rPr>
          <w:rFonts w:ascii="Book Antiqua" w:hAnsi="Book Antiqua"/>
          <w:bCs/>
        </w:rPr>
        <w:t>Zhang</w:t>
      </w:r>
      <w:r w:rsidR="00E67C04">
        <w:rPr>
          <w:rFonts w:ascii="Book Antiqua" w:hAnsi="Book Antiqua"/>
          <w:bCs/>
        </w:rPr>
        <w:t xml:space="preserve"> </w:t>
      </w:r>
      <w:r w:rsidR="00E67C04" w:rsidRPr="00E60F36">
        <w:rPr>
          <w:rFonts w:ascii="Book Antiqua" w:hAnsi="Book Antiqua"/>
          <w:bCs/>
        </w:rPr>
        <w:t>YL</w:t>
      </w:r>
      <w:r w:rsidR="00E67C04">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 </w:t>
      </w:r>
    </w:p>
    <w:p w14:paraId="5867284C" w14:textId="3D7F8508" w:rsidR="00EA78CE" w:rsidRDefault="00EA78CE">
      <w:pPr>
        <w:spacing w:line="360" w:lineRule="auto"/>
        <w:jc w:val="both"/>
        <w:sectPr w:rsidR="00EA78CE">
          <w:pgSz w:w="12240" w:h="15840"/>
          <w:pgMar w:top="1440" w:right="1440" w:bottom="1440" w:left="1440" w:header="720" w:footer="720" w:gutter="0"/>
          <w:cols w:space="720"/>
          <w:docGrid w:linePitch="360"/>
        </w:sectPr>
      </w:pPr>
    </w:p>
    <w:p w14:paraId="0881CEE5" w14:textId="6C99F8CC" w:rsidR="00A77B3E" w:rsidRDefault="00C436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77D6F30" w14:textId="14F416CF" w:rsidR="00EA78CE" w:rsidRDefault="00EA78CE">
      <w:pPr>
        <w:spacing w:line="360" w:lineRule="auto"/>
        <w:jc w:val="both"/>
      </w:pPr>
      <w:r>
        <w:rPr>
          <w:noProof/>
          <w:lang w:eastAsia="zh-CN"/>
        </w:rPr>
        <w:drawing>
          <wp:inline distT="0" distB="0" distL="0" distR="0" wp14:anchorId="129EE984" wp14:editId="1D138560">
            <wp:extent cx="5797586" cy="40785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7831" cy="4085753"/>
                    </a:xfrm>
                    <a:prstGeom prst="rect">
                      <a:avLst/>
                    </a:prstGeom>
                    <a:noFill/>
                  </pic:spPr>
                </pic:pic>
              </a:graphicData>
            </a:graphic>
          </wp:inline>
        </w:drawing>
      </w:r>
    </w:p>
    <w:p w14:paraId="76EACE27" w14:textId="2C50B8F3" w:rsidR="00EA78CE" w:rsidRDefault="00C436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EA78C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Parietal cell activation by histamine is followed by an intracellular increase in </w:t>
      </w:r>
      <w:r w:rsidR="00C74F3B">
        <w:rPr>
          <w:rFonts w:ascii="Book Antiqua" w:eastAsia="Book Antiqua" w:hAnsi="Book Antiqua" w:cs="Book Antiqua"/>
          <w:b/>
          <w:bCs/>
          <w:color w:val="000000"/>
        </w:rPr>
        <w:t xml:space="preserve">the </w:t>
      </w:r>
      <w:r>
        <w:rPr>
          <w:rFonts w:ascii="Book Antiqua" w:eastAsia="Book Antiqua" w:hAnsi="Book Antiqua" w:cs="Book Antiqua"/>
          <w:b/>
          <w:bCs/>
          <w:color w:val="000000"/>
        </w:rPr>
        <w:t xml:space="preserve">cAMP-dependent protein kinase cascade (adenosine 3',5'-cyclic monophosphate), while gastrin and acetylcholine result in an intracellular increase in </w:t>
      </w:r>
      <w:r w:rsidR="00C74F3B">
        <w:rPr>
          <w:rFonts w:ascii="Book Antiqua" w:eastAsia="Book Antiqua" w:hAnsi="Book Antiqua" w:cs="Book Antiqua"/>
          <w:b/>
          <w:bCs/>
          <w:color w:val="000000"/>
        </w:rPr>
        <w:t xml:space="preserve">the </w:t>
      </w:r>
      <w:r>
        <w:rPr>
          <w:rFonts w:ascii="Book Antiqua" w:eastAsia="Book Antiqua" w:hAnsi="Book Antiqua" w:cs="Book Antiqua"/>
          <w:b/>
          <w:bCs/>
          <w:color w:val="000000"/>
        </w:rPr>
        <w:t>calcium (Ca</w:t>
      </w:r>
      <w:r>
        <w:rPr>
          <w:rFonts w:ascii="Book Antiqua" w:eastAsia="Book Antiqua" w:hAnsi="Book Antiqua" w:cs="Book Antiqua"/>
          <w:b/>
          <w:bCs/>
          <w:color w:val="000000"/>
          <w:szCs w:val="30"/>
          <w:vertAlign w:val="superscript"/>
        </w:rPr>
        <w:t>2+</w:t>
      </w:r>
      <w:r>
        <w:rPr>
          <w:rFonts w:ascii="Book Antiqua" w:eastAsia="Book Antiqua" w:hAnsi="Book Antiqua" w:cs="Book Antiqua"/>
          <w:b/>
          <w:bCs/>
          <w:color w:val="000000"/>
        </w:rPr>
        <w:t xml:space="preserve">)-dependent cascade, all leading to insertion into </w:t>
      </w:r>
      <w:r w:rsidR="00C74F3B">
        <w:rPr>
          <w:rFonts w:ascii="Book Antiqua" w:eastAsia="Book Antiqua" w:hAnsi="Book Antiqua" w:cs="Book Antiqua"/>
          <w:b/>
          <w:bCs/>
          <w:color w:val="000000"/>
        </w:rPr>
        <w:t xml:space="preserve">the </w:t>
      </w:r>
      <w:r>
        <w:rPr>
          <w:rFonts w:ascii="Book Antiqua" w:eastAsia="Book Antiqua" w:hAnsi="Book Antiqua" w:cs="Book Antiqua"/>
          <w:b/>
          <w:bCs/>
          <w:color w:val="000000"/>
        </w:rPr>
        <w:t>apical membrane and to activation of the H-K-ATPase.</w:t>
      </w:r>
      <w:r w:rsidR="00EA78CE">
        <w:rPr>
          <w:rFonts w:ascii="Book Antiqua" w:eastAsia="Book Antiqua" w:hAnsi="Book Antiqua" w:cs="Book Antiqua"/>
          <w:b/>
          <w:bCs/>
          <w:color w:val="000000"/>
        </w:rPr>
        <w:t xml:space="preserve"> </w:t>
      </w:r>
      <w:r w:rsidR="00EA78CE" w:rsidRPr="00EA78CE">
        <w:rPr>
          <w:rFonts w:ascii="Book Antiqua" w:eastAsia="Book Antiqua" w:hAnsi="Book Antiqua" w:cs="Book Antiqua"/>
          <w:color w:val="000000"/>
        </w:rPr>
        <w:t xml:space="preserve">HCl: </w:t>
      </w:r>
      <w:r w:rsidR="00EA78CE">
        <w:rPr>
          <w:rFonts w:ascii="Book Antiqua" w:eastAsia="Book Antiqua" w:hAnsi="Book Antiqua" w:cs="Book Antiqua"/>
          <w:color w:val="000000"/>
        </w:rPr>
        <w:t>Hydrochloric acid.</w:t>
      </w:r>
    </w:p>
    <w:p w14:paraId="7121E976" w14:textId="49AF951E" w:rsidR="00A77B3E" w:rsidRDefault="00EA78C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372D5CC3" wp14:editId="159D628C">
            <wp:extent cx="5479729" cy="38628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5521" cy="3866953"/>
                    </a:xfrm>
                    <a:prstGeom prst="rect">
                      <a:avLst/>
                    </a:prstGeom>
                    <a:noFill/>
                  </pic:spPr>
                </pic:pic>
              </a:graphicData>
            </a:graphic>
          </wp:inline>
        </w:drawing>
      </w:r>
    </w:p>
    <w:p w14:paraId="28F39964" w14:textId="2FD41154" w:rsidR="00EA78CE" w:rsidRDefault="00C4365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00EA78CE" w:rsidRPr="00EA78CE">
        <w:rPr>
          <w:rFonts w:ascii="Book Antiqua" w:eastAsia="Book Antiqua" w:hAnsi="Book Antiqua" w:cs="Book Antiqua"/>
          <w:b/>
          <w:bCs/>
          <w:color w:val="000000"/>
        </w:rPr>
        <w:t xml:space="preserve"> </w:t>
      </w:r>
      <w:r w:rsidRPr="00EA78CE">
        <w:rPr>
          <w:rFonts w:ascii="Book Antiqua" w:eastAsia="Book Antiqua" w:hAnsi="Book Antiqua" w:cs="Book Antiqua"/>
          <w:b/>
          <w:bCs/>
          <w:color w:val="000000"/>
        </w:rPr>
        <w:t>Summary of stud</w:t>
      </w:r>
      <w:r w:rsidR="00C74F3B">
        <w:rPr>
          <w:rFonts w:ascii="Book Antiqua" w:eastAsia="Book Antiqua" w:hAnsi="Book Antiqua" w:cs="Book Antiqua"/>
          <w:b/>
          <w:bCs/>
          <w:color w:val="000000"/>
        </w:rPr>
        <w:t>y</w:t>
      </w:r>
      <w:r w:rsidRPr="00EA78CE">
        <w:rPr>
          <w:rFonts w:ascii="Book Antiqua" w:eastAsia="Book Antiqua" w:hAnsi="Book Antiqua" w:cs="Book Antiqua"/>
          <w:b/>
          <w:bCs/>
          <w:color w:val="000000"/>
        </w:rPr>
        <w:t xml:space="preserve"> identification and </w:t>
      </w:r>
      <w:commentRangeStart w:id="14"/>
      <w:commentRangeStart w:id="15"/>
      <w:r w:rsidRPr="00EA78CE">
        <w:rPr>
          <w:rFonts w:ascii="Book Antiqua" w:eastAsia="Book Antiqua" w:hAnsi="Book Antiqua" w:cs="Book Antiqua"/>
          <w:b/>
          <w:bCs/>
          <w:color w:val="000000"/>
        </w:rPr>
        <w:t>selection</w:t>
      </w:r>
      <w:commentRangeEnd w:id="14"/>
      <w:r w:rsidR="00C74F3B">
        <w:rPr>
          <w:rStyle w:val="a5"/>
        </w:rPr>
        <w:commentReference w:id="14"/>
      </w:r>
      <w:commentRangeEnd w:id="15"/>
      <w:r w:rsidR="000377E8">
        <w:rPr>
          <w:rStyle w:val="a5"/>
        </w:rPr>
        <w:commentReference w:id="15"/>
      </w:r>
      <w:r w:rsidRPr="00EA78CE">
        <w:rPr>
          <w:rFonts w:ascii="Book Antiqua" w:eastAsia="Book Antiqua" w:hAnsi="Book Antiqua" w:cs="Book Antiqua"/>
          <w:b/>
          <w:bCs/>
          <w:color w:val="000000"/>
        </w:rPr>
        <w:t>.</w:t>
      </w:r>
    </w:p>
    <w:p w14:paraId="40210561" w14:textId="703A0B02" w:rsidR="00A77B3E" w:rsidRDefault="00EA78C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AD0D95">
        <w:rPr>
          <w:rFonts w:ascii="Book Antiqua" w:eastAsia="Book Antiqua" w:hAnsi="Book Antiqua" w:cs="Book Antiqua"/>
          <w:b/>
          <w:bCs/>
          <w:noProof/>
          <w:color w:val="000000"/>
          <w:lang w:eastAsia="zh-CN"/>
        </w:rPr>
        <w:drawing>
          <wp:inline distT="0" distB="0" distL="0" distR="0" wp14:anchorId="4DD700FE" wp14:editId="5EDA1A91">
            <wp:extent cx="5932805" cy="3628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030FDBA3" w14:textId="77777777" w:rsidR="00AD0D95" w:rsidRDefault="00AD0D95">
      <w:pPr>
        <w:spacing w:line="360" w:lineRule="auto"/>
        <w:jc w:val="both"/>
      </w:pPr>
    </w:p>
    <w:p w14:paraId="24506879" w14:textId="0C003B11" w:rsidR="00C43656" w:rsidRDefault="00C43656">
      <w:pPr>
        <w:spacing w:line="360" w:lineRule="auto"/>
        <w:jc w:val="both"/>
        <w:rPr>
          <w:rFonts w:ascii="Book Antiqua" w:eastAsia="Malgun Gothic" w:hAnsi="Book Antiqua"/>
        </w:rPr>
      </w:pPr>
      <w:r>
        <w:rPr>
          <w:rFonts w:ascii="Book Antiqua" w:eastAsia="Book Antiqua" w:hAnsi="Book Antiqua" w:cs="Book Antiqua"/>
          <w:b/>
          <w:bCs/>
          <w:color w:val="000000"/>
        </w:rPr>
        <w:t>Figure 3</w:t>
      </w:r>
      <w:r w:rsidR="00EA78CE">
        <w:rPr>
          <w:rFonts w:ascii="Book Antiqua" w:eastAsia="Book Antiqua" w:hAnsi="Book Antiqua" w:cs="Book Antiqua"/>
          <w:b/>
          <w:bCs/>
          <w:color w:val="000000"/>
        </w:rPr>
        <w:t xml:space="preserve"> </w:t>
      </w:r>
      <w:r>
        <w:rPr>
          <w:rFonts w:ascii="Book Antiqua" w:eastAsia="Book Antiqua" w:hAnsi="Book Antiqua" w:cs="Book Antiqua"/>
          <w:b/>
          <w:bCs/>
          <w:color w:val="000000"/>
        </w:rPr>
        <w:t>Severe events.</w:t>
      </w:r>
      <w:r>
        <w:rPr>
          <w:rFonts w:ascii="Book Antiqua" w:eastAsia="Book Antiqua" w:hAnsi="Book Antiqua" w:cs="Book Antiqua"/>
          <w:color w:val="000000"/>
        </w:rPr>
        <w:t xml:space="preserve"> </w:t>
      </w:r>
      <w:r w:rsidR="00EA78CE">
        <w:rPr>
          <w:rFonts w:ascii="Book Antiqua" w:eastAsia="Book Antiqua" w:hAnsi="Book Antiqua" w:cs="Book Antiqua"/>
          <w:color w:val="000000"/>
        </w:rPr>
        <w:t xml:space="preserve">PPIs: Proton pump inhibitors; </w:t>
      </w:r>
      <w:r w:rsidR="00EA78CE" w:rsidRPr="00616F4C">
        <w:rPr>
          <w:rFonts w:ascii="Book Antiqua" w:hAnsi="Book Antiqua"/>
        </w:rPr>
        <w:t xml:space="preserve">CI: </w:t>
      </w:r>
      <w:r w:rsidR="00EA78CE">
        <w:rPr>
          <w:rFonts w:ascii="Book Antiqua" w:eastAsia="Malgun Gothic" w:hAnsi="Book Antiqua"/>
        </w:rPr>
        <w:t>C</w:t>
      </w:r>
      <w:r w:rsidR="00EA78CE" w:rsidRPr="00616F4C">
        <w:rPr>
          <w:rFonts w:ascii="Book Antiqua" w:eastAsia="Malgun Gothic" w:hAnsi="Book Antiqua"/>
        </w:rPr>
        <w:t xml:space="preserve">onfidence interval; OR: </w:t>
      </w:r>
      <w:r w:rsidR="00EA78CE">
        <w:rPr>
          <w:rFonts w:ascii="Book Antiqua" w:eastAsia="Malgun Gothic" w:hAnsi="Book Antiqua"/>
        </w:rPr>
        <w:t>O</w:t>
      </w:r>
      <w:r w:rsidR="00EA78CE" w:rsidRPr="00616F4C">
        <w:rPr>
          <w:rFonts w:ascii="Book Antiqua" w:eastAsia="Malgun Gothic" w:hAnsi="Book Antiqua"/>
        </w:rPr>
        <w:t xml:space="preserve">dds </w:t>
      </w:r>
      <w:commentRangeStart w:id="16"/>
      <w:commentRangeStart w:id="17"/>
      <w:r w:rsidR="00EA78CE" w:rsidRPr="00616F4C">
        <w:rPr>
          <w:rFonts w:ascii="Book Antiqua" w:eastAsia="Malgun Gothic" w:hAnsi="Book Antiqua"/>
        </w:rPr>
        <w:t>ratio</w:t>
      </w:r>
      <w:commentRangeEnd w:id="16"/>
      <w:r w:rsidR="00C74F3B">
        <w:rPr>
          <w:rStyle w:val="a5"/>
        </w:rPr>
        <w:commentReference w:id="16"/>
      </w:r>
      <w:commentRangeEnd w:id="17"/>
      <w:r w:rsidR="000377E8">
        <w:rPr>
          <w:rStyle w:val="a5"/>
        </w:rPr>
        <w:commentReference w:id="17"/>
      </w:r>
      <w:r w:rsidR="00EA78CE">
        <w:rPr>
          <w:rFonts w:ascii="Book Antiqua" w:eastAsia="Malgun Gothic" w:hAnsi="Book Antiqua"/>
        </w:rPr>
        <w:t>.</w:t>
      </w:r>
      <w:r w:rsidR="00C74F3B">
        <w:rPr>
          <w:rFonts w:ascii="Book Antiqua" w:eastAsia="Malgun Gothic" w:hAnsi="Book Antiqua"/>
        </w:rPr>
        <w:t xml:space="preserve"> </w:t>
      </w:r>
    </w:p>
    <w:p w14:paraId="01BB4FF5" w14:textId="72462EC2" w:rsidR="00A77B3E" w:rsidRDefault="00A77B3E">
      <w:pPr>
        <w:spacing w:line="360" w:lineRule="auto"/>
        <w:jc w:val="both"/>
        <w:rPr>
          <w:rFonts w:ascii="Book Antiqua" w:eastAsia="Malgun Gothic" w:hAnsi="Book Antiqua"/>
          <w:noProof/>
          <w:lang w:eastAsia="zh-CN"/>
        </w:rPr>
      </w:pPr>
    </w:p>
    <w:p w14:paraId="311B0829" w14:textId="2C87D6BF" w:rsidR="00AD0D95" w:rsidRPr="00EA78CE" w:rsidRDefault="00AD0D95">
      <w:pPr>
        <w:spacing w:line="360" w:lineRule="auto"/>
        <w:jc w:val="both"/>
      </w:pPr>
      <w:r>
        <w:rPr>
          <w:rFonts w:ascii="Book Antiqua" w:eastAsia="Malgun Gothic" w:hAnsi="Book Antiqua"/>
          <w:noProof/>
          <w:lang w:eastAsia="zh-CN"/>
        </w:rPr>
        <w:drawing>
          <wp:inline distT="0" distB="0" distL="0" distR="0" wp14:anchorId="441B8EA4" wp14:editId="5A488E4C">
            <wp:extent cx="5939790" cy="3628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628390"/>
                    </a:xfrm>
                    <a:prstGeom prst="rect">
                      <a:avLst/>
                    </a:prstGeom>
                    <a:noFill/>
                    <a:ln>
                      <a:noFill/>
                    </a:ln>
                  </pic:spPr>
                </pic:pic>
              </a:graphicData>
            </a:graphic>
          </wp:inline>
        </w:drawing>
      </w:r>
    </w:p>
    <w:p w14:paraId="1D65B460" w14:textId="77777777" w:rsidR="00C43656" w:rsidRDefault="00C43656" w:rsidP="00C43656">
      <w:pPr>
        <w:spacing w:line="360" w:lineRule="auto"/>
        <w:jc w:val="both"/>
        <w:rPr>
          <w:rFonts w:ascii="Book Antiqua" w:eastAsia="Malgun Gothic" w:hAnsi="Book Antiqua"/>
        </w:rPr>
      </w:pPr>
      <w:r>
        <w:rPr>
          <w:rFonts w:ascii="Book Antiqua" w:eastAsia="Book Antiqua" w:hAnsi="Book Antiqua" w:cs="Book Antiqua"/>
          <w:b/>
          <w:bCs/>
          <w:color w:val="000000"/>
        </w:rPr>
        <w:t>Figure 4 Mortality.</w:t>
      </w:r>
      <w:r>
        <w:rPr>
          <w:rFonts w:ascii="Book Antiqua" w:eastAsia="Book Antiqua" w:hAnsi="Book Antiqua" w:cs="Book Antiqua"/>
          <w:color w:val="000000"/>
        </w:rPr>
        <w:t xml:space="preserve"> PPIs: Proton pump inhibitors; </w:t>
      </w:r>
      <w:r w:rsidRPr="00616F4C">
        <w:rPr>
          <w:rFonts w:ascii="Book Antiqua" w:hAnsi="Book Antiqua"/>
        </w:rPr>
        <w:t xml:space="preserve">CI: </w:t>
      </w:r>
      <w:r>
        <w:rPr>
          <w:rFonts w:ascii="Book Antiqua" w:eastAsia="Malgun Gothic" w:hAnsi="Book Antiqua"/>
        </w:rPr>
        <w:t>C</w:t>
      </w:r>
      <w:r w:rsidRPr="00616F4C">
        <w:rPr>
          <w:rFonts w:ascii="Book Antiqua" w:eastAsia="Malgun Gothic" w:hAnsi="Book Antiqua"/>
        </w:rPr>
        <w:t xml:space="preserve">onfidence interval; OR: </w:t>
      </w:r>
      <w:r>
        <w:rPr>
          <w:rFonts w:ascii="Book Antiqua" w:eastAsia="Malgun Gothic" w:hAnsi="Book Antiqua"/>
        </w:rPr>
        <w:t>O</w:t>
      </w:r>
      <w:r w:rsidRPr="00616F4C">
        <w:rPr>
          <w:rFonts w:ascii="Book Antiqua" w:eastAsia="Malgun Gothic" w:hAnsi="Book Antiqua"/>
        </w:rPr>
        <w:t xml:space="preserve">dds </w:t>
      </w:r>
      <w:commentRangeStart w:id="18"/>
      <w:commentRangeStart w:id="19"/>
      <w:r w:rsidRPr="00616F4C">
        <w:rPr>
          <w:rFonts w:ascii="Book Antiqua" w:eastAsia="Malgun Gothic" w:hAnsi="Book Antiqua"/>
        </w:rPr>
        <w:t>ratio</w:t>
      </w:r>
      <w:commentRangeEnd w:id="18"/>
      <w:r w:rsidR="00C74F3B">
        <w:rPr>
          <w:rStyle w:val="a5"/>
        </w:rPr>
        <w:commentReference w:id="18"/>
      </w:r>
      <w:commentRangeEnd w:id="19"/>
      <w:r w:rsidR="000377E8">
        <w:rPr>
          <w:rStyle w:val="a5"/>
        </w:rPr>
        <w:commentReference w:id="19"/>
      </w:r>
      <w:r>
        <w:rPr>
          <w:rFonts w:ascii="Book Antiqua" w:eastAsia="Malgun Gothic" w:hAnsi="Book Antiqua"/>
        </w:rPr>
        <w:t>.</w:t>
      </w:r>
    </w:p>
    <w:p w14:paraId="3BC4A6F3" w14:textId="33FF9EF0" w:rsidR="00A77B3E" w:rsidRDefault="00C43656">
      <w:pPr>
        <w:spacing w:line="360" w:lineRule="auto"/>
        <w:jc w:val="both"/>
      </w:pPr>
      <w:r>
        <w:br w:type="page"/>
      </w:r>
      <w:r>
        <w:rPr>
          <w:noProof/>
          <w:lang w:eastAsia="zh-CN"/>
        </w:rPr>
        <w:drawing>
          <wp:inline distT="0" distB="0" distL="0" distR="0" wp14:anchorId="45445850" wp14:editId="060980BD">
            <wp:extent cx="5473955" cy="36168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604" cy="3625899"/>
                    </a:xfrm>
                    <a:prstGeom prst="rect">
                      <a:avLst/>
                    </a:prstGeom>
                    <a:noFill/>
                  </pic:spPr>
                </pic:pic>
              </a:graphicData>
            </a:graphic>
          </wp:inline>
        </w:drawing>
      </w:r>
    </w:p>
    <w:p w14:paraId="02458C93" w14:textId="61EF44C0" w:rsidR="00CB4D8F" w:rsidRDefault="00C43656" w:rsidP="005B58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After the virus binds to its respective receptors, a "dimple" forms on the host cell membrane. </w:t>
      </w:r>
      <w:r w:rsidRPr="00D735AB">
        <w:rPr>
          <w:rFonts w:ascii="Book Antiqua" w:eastAsia="Book Antiqua" w:hAnsi="Book Antiqua" w:cs="Book Antiqua"/>
          <w:color w:val="000000"/>
        </w:rPr>
        <w:t>This inward fold resulting from the initial endocytosis gives rise to the formation of a clathrin-coated vesicle (early endosome). Later, the vesicle loses this coating (late endosome) and merges with the lysosome for degradation.</w:t>
      </w:r>
      <w:r w:rsidR="00D735AB">
        <w:rPr>
          <w:rFonts w:ascii="Book Antiqua" w:eastAsia="Book Antiqua" w:hAnsi="Book Antiqua" w:cs="Book Antiqua"/>
          <w:color w:val="000000"/>
        </w:rPr>
        <w:t xml:space="preserve"> SARS-CoV-2: </w:t>
      </w:r>
      <w:r w:rsidR="00CB4D8F">
        <w:rPr>
          <w:rFonts w:ascii="Book Antiqua" w:eastAsia="Book Antiqua" w:hAnsi="Book Antiqua" w:cs="Book Antiqua"/>
          <w:color w:val="000000"/>
        </w:rPr>
        <w:t>S</w:t>
      </w:r>
      <w:r w:rsidR="00D735AB" w:rsidRPr="005865F1">
        <w:rPr>
          <w:rFonts w:ascii="Book Antiqua" w:eastAsia="Book Antiqua" w:hAnsi="Book Antiqua" w:cs="Book Antiqua"/>
          <w:color w:val="000000"/>
        </w:rPr>
        <w:t>evere acute respiratory syndrome coronavirus 2</w:t>
      </w:r>
      <w:r w:rsidR="00D735AB">
        <w:rPr>
          <w:rFonts w:ascii="Book Antiqua" w:hAnsi="Book Antiqua" w:cs="Book Antiqua" w:hint="eastAsia"/>
          <w:color w:val="000000"/>
          <w:lang w:eastAsia="zh-CN"/>
        </w:rPr>
        <w:t>;</w:t>
      </w:r>
      <w:r w:rsidR="00D735AB">
        <w:rPr>
          <w:rFonts w:ascii="Book Antiqua" w:hAnsi="Book Antiqua" w:cs="Book Antiqua"/>
          <w:color w:val="000000"/>
          <w:lang w:eastAsia="zh-CN"/>
        </w:rPr>
        <w:t xml:space="preserve"> ACE-2: </w:t>
      </w:r>
      <w:r w:rsidR="00D735AB">
        <w:rPr>
          <w:rFonts w:ascii="Book Antiqua" w:eastAsia="Book Antiqua" w:hAnsi="Book Antiqua" w:cs="Book Antiqua"/>
          <w:color w:val="000000"/>
        </w:rPr>
        <w:t>Angiotensin converting enzyme 2; TMPRSS2: Serine protease transmembrane 2; V-ATPase:</w:t>
      </w:r>
      <w:r w:rsidR="00D735AB" w:rsidRPr="00D735AB">
        <w:rPr>
          <w:rFonts w:ascii="Book Antiqua" w:eastAsia="Book Antiqua" w:hAnsi="Book Antiqua" w:cs="Book Antiqua"/>
          <w:color w:val="000000"/>
        </w:rPr>
        <w:t xml:space="preserve"> </w:t>
      </w:r>
      <w:r w:rsidR="00D735AB">
        <w:rPr>
          <w:rFonts w:ascii="Book Antiqua" w:eastAsia="Book Antiqua" w:hAnsi="Book Antiqua" w:cs="Book Antiqua"/>
          <w:color w:val="000000"/>
        </w:rPr>
        <w:t>Vacuolar ATPase.</w:t>
      </w:r>
    </w:p>
    <w:p w14:paraId="5668F738" w14:textId="6E0EEC77" w:rsidR="00CB4D8F" w:rsidRDefault="00CB4D8F" w:rsidP="00D735AB">
      <w:pPr>
        <w:spacing w:line="360" w:lineRule="auto"/>
        <w:rPr>
          <w:rFonts w:ascii="Book Antiqua" w:eastAsia="Book Antiqua" w:hAnsi="Book Antiqua" w:cs="Book Antiqua"/>
          <w:b/>
          <w:bCs/>
          <w:color w:val="000000"/>
        </w:rPr>
      </w:pPr>
      <w:r>
        <w:rPr>
          <w:rFonts w:ascii="Book Antiqua" w:eastAsia="Book Antiqua" w:hAnsi="Book Antiqua" w:cs="Book Antiqua"/>
          <w:color w:val="000000"/>
        </w:rPr>
        <w:br w:type="page"/>
      </w:r>
      <w:r w:rsidRPr="00CB4D8F">
        <w:rPr>
          <w:rFonts w:ascii="Book Antiqua" w:hAnsi="Book Antiqua" w:cs="Book Antiqua"/>
          <w:b/>
          <w:bCs/>
          <w:color w:val="000000"/>
          <w:lang w:eastAsia="zh-CN"/>
        </w:rPr>
        <w:t xml:space="preserve">Table 1 Studies considering </w:t>
      </w:r>
      <w:r w:rsidRPr="00CB4D8F">
        <w:rPr>
          <w:rFonts w:ascii="Book Antiqua" w:eastAsia="Book Antiqua" w:hAnsi="Book Antiqua" w:cs="Book Antiqua"/>
          <w:b/>
          <w:bCs/>
          <w:color w:val="000000"/>
        </w:rPr>
        <w:t>proton pump inhibitors</w:t>
      </w:r>
      <w:r w:rsidRPr="00CB4D8F">
        <w:rPr>
          <w:rFonts w:ascii="Book Antiqua" w:hAnsi="Book Antiqua" w:cs="Book Antiqua"/>
          <w:b/>
          <w:bCs/>
          <w:color w:val="000000"/>
          <w:lang w:eastAsia="zh-CN"/>
        </w:rPr>
        <w:t xml:space="preserve"> use in patients with </w:t>
      </w:r>
      <w:r w:rsidRPr="00CB4D8F">
        <w:rPr>
          <w:rFonts w:ascii="Book Antiqua" w:eastAsia="Book Antiqua" w:hAnsi="Book Antiqua" w:cs="Book Antiqua"/>
          <w:b/>
          <w:bCs/>
          <w:color w:val="000000"/>
        </w:rPr>
        <w:t>severe acute respiratory syndrome coronavirus 2</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262"/>
        <w:gridCol w:w="1396"/>
        <w:gridCol w:w="1241"/>
        <w:gridCol w:w="1115"/>
        <w:gridCol w:w="1534"/>
        <w:gridCol w:w="1954"/>
        <w:gridCol w:w="1074"/>
      </w:tblGrid>
      <w:tr w:rsidR="00CB4D8F" w:rsidRPr="00CB4D8F" w14:paraId="6B0B4409" w14:textId="77777777" w:rsidTr="00F148A5">
        <w:trPr>
          <w:trHeight w:val="1011"/>
        </w:trPr>
        <w:tc>
          <w:tcPr>
            <w:tcW w:w="659" w:type="pct"/>
            <w:tcBorders>
              <w:top w:val="single" w:sz="4" w:space="0" w:color="auto"/>
              <w:bottom w:val="single" w:sz="4" w:space="0" w:color="auto"/>
            </w:tcBorders>
            <w:shd w:val="clear" w:color="auto" w:fill="auto"/>
            <w:hideMark/>
          </w:tcPr>
          <w:p w14:paraId="428731A8" w14:textId="1E9FB937" w:rsidR="00CB4D8F" w:rsidRPr="00CB4D8F" w:rsidRDefault="00CB4D8F" w:rsidP="00CB4D8F">
            <w:pPr>
              <w:spacing w:line="360" w:lineRule="auto"/>
              <w:jc w:val="both"/>
              <w:rPr>
                <w:rFonts w:ascii="Book Antiqua" w:eastAsia="Times New Roman" w:hAnsi="Book Antiqua" w:cs="Times New Roman"/>
              </w:rPr>
            </w:pPr>
            <w:r>
              <w:rPr>
                <w:rFonts w:ascii="Book Antiqua" w:eastAsia="Times New Roman" w:hAnsi="Book Antiqua" w:cs="Times New Roman"/>
                <w:b/>
                <w:bCs/>
                <w:color w:val="000000"/>
                <w:kern w:val="24"/>
              </w:rPr>
              <w:t>Ref.</w:t>
            </w:r>
          </w:p>
        </w:tc>
        <w:tc>
          <w:tcPr>
            <w:tcW w:w="729" w:type="pct"/>
            <w:tcBorders>
              <w:top w:val="single" w:sz="4" w:space="0" w:color="auto"/>
              <w:bottom w:val="single" w:sz="4" w:space="0" w:color="auto"/>
            </w:tcBorders>
            <w:shd w:val="clear" w:color="auto" w:fill="auto"/>
          </w:tcPr>
          <w:p w14:paraId="5788CF60" w14:textId="77777777" w:rsidR="00CB4D8F" w:rsidRPr="00CB4D8F" w:rsidRDefault="00CB4D8F" w:rsidP="00CB4D8F">
            <w:pPr>
              <w:spacing w:line="360" w:lineRule="auto"/>
              <w:jc w:val="both"/>
              <w:rPr>
                <w:rFonts w:ascii="Book Antiqua" w:eastAsia="Times New Roman" w:hAnsi="Book Antiqua" w:cs="Times New Roman"/>
                <w:b/>
                <w:bCs/>
                <w:color w:val="000000"/>
                <w:kern w:val="24"/>
                <w:lang w:val="en-US"/>
              </w:rPr>
            </w:pPr>
            <w:r w:rsidRPr="00CB4D8F">
              <w:rPr>
                <w:rFonts w:ascii="Book Antiqua" w:eastAsia="Times New Roman" w:hAnsi="Book Antiqua" w:cs="Times New Roman"/>
                <w:b/>
                <w:bCs/>
                <w:color w:val="000000"/>
                <w:kern w:val="24"/>
                <w:lang w:val="en-US"/>
              </w:rPr>
              <w:t>Type of study</w:t>
            </w:r>
          </w:p>
        </w:tc>
        <w:tc>
          <w:tcPr>
            <w:tcW w:w="648" w:type="pct"/>
            <w:tcBorders>
              <w:top w:val="single" w:sz="4" w:space="0" w:color="auto"/>
              <w:bottom w:val="single" w:sz="4" w:space="0" w:color="auto"/>
            </w:tcBorders>
            <w:shd w:val="clear" w:color="auto" w:fill="auto"/>
            <w:hideMark/>
          </w:tcPr>
          <w:p w14:paraId="36886B72" w14:textId="54175F78"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b/>
                <w:bCs/>
                <w:color w:val="000000"/>
                <w:kern w:val="24"/>
                <w:lang w:val="en-US"/>
              </w:rPr>
              <w:t>Number of patients with</w:t>
            </w:r>
            <w:r>
              <w:rPr>
                <w:rFonts w:ascii="Book Antiqua" w:eastAsia="Times New Roman" w:hAnsi="Book Antiqua" w:cs="Times New Roman"/>
                <w:b/>
                <w:bCs/>
                <w:color w:val="000000"/>
                <w:kern w:val="24"/>
                <w:lang w:val="en-US"/>
              </w:rPr>
              <w:t xml:space="preserve"> </w:t>
            </w:r>
            <w:r w:rsidRPr="00CB4D8F">
              <w:rPr>
                <w:rFonts w:ascii="Book Antiqua" w:eastAsia="Times New Roman" w:hAnsi="Book Antiqua" w:cs="Times New Roman"/>
                <w:b/>
                <w:bCs/>
                <w:color w:val="000000"/>
                <w:kern w:val="24"/>
                <w:lang w:val="en-US"/>
              </w:rPr>
              <w:t>SARS-CoV-2</w:t>
            </w:r>
          </w:p>
        </w:tc>
        <w:tc>
          <w:tcPr>
            <w:tcW w:w="582" w:type="pct"/>
            <w:tcBorders>
              <w:top w:val="single" w:sz="4" w:space="0" w:color="auto"/>
              <w:bottom w:val="single" w:sz="4" w:space="0" w:color="auto"/>
            </w:tcBorders>
            <w:shd w:val="clear" w:color="auto" w:fill="auto"/>
          </w:tcPr>
          <w:p w14:paraId="2A8EB887" w14:textId="77777777" w:rsidR="00CB4D8F" w:rsidRPr="00CB4D8F" w:rsidRDefault="00CB4D8F" w:rsidP="00CB4D8F">
            <w:pPr>
              <w:spacing w:line="360" w:lineRule="auto"/>
              <w:jc w:val="both"/>
              <w:rPr>
                <w:rFonts w:ascii="Book Antiqua" w:eastAsia="Times New Roman" w:hAnsi="Book Antiqua" w:cs="Times New Roman"/>
                <w:b/>
                <w:bCs/>
                <w:kern w:val="24"/>
                <w:lang w:val="en-US"/>
              </w:rPr>
            </w:pPr>
            <w:r w:rsidRPr="00CB4D8F">
              <w:rPr>
                <w:rFonts w:ascii="Book Antiqua" w:eastAsia="Times New Roman" w:hAnsi="Book Antiqua" w:cs="Times New Roman"/>
                <w:b/>
                <w:lang w:val="en-US"/>
              </w:rPr>
              <w:t>Period of intake of PPIs</w:t>
            </w:r>
          </w:p>
        </w:tc>
        <w:tc>
          <w:tcPr>
            <w:tcW w:w="801" w:type="pct"/>
            <w:tcBorders>
              <w:top w:val="single" w:sz="4" w:space="0" w:color="auto"/>
              <w:bottom w:val="single" w:sz="4" w:space="0" w:color="auto"/>
            </w:tcBorders>
            <w:shd w:val="clear" w:color="auto" w:fill="auto"/>
            <w:hideMark/>
          </w:tcPr>
          <w:p w14:paraId="69F5869D" w14:textId="61BB910B" w:rsidR="00CB4D8F" w:rsidRPr="00CB4D8F" w:rsidRDefault="00CB4D8F" w:rsidP="00CB4D8F">
            <w:pPr>
              <w:spacing w:line="360" w:lineRule="auto"/>
              <w:jc w:val="both"/>
              <w:rPr>
                <w:rFonts w:ascii="Book Antiqua" w:eastAsia="Times New Roman" w:hAnsi="Book Antiqua" w:cs="Times New Roman"/>
                <w:color w:val="FF0000"/>
                <w:lang w:val="en-US"/>
              </w:rPr>
            </w:pPr>
            <w:r w:rsidRPr="00CB4D8F">
              <w:rPr>
                <w:rFonts w:ascii="Book Antiqua" w:eastAsia="Times New Roman" w:hAnsi="Book Antiqua" w:cs="Times New Roman"/>
                <w:b/>
                <w:bCs/>
                <w:kern w:val="24"/>
                <w:lang w:val="en-US"/>
              </w:rPr>
              <w:t>Number of patients</w:t>
            </w:r>
            <w:r w:rsidR="00DE4562">
              <w:rPr>
                <w:rFonts w:ascii="Book Antiqua" w:eastAsia="Times New Roman" w:hAnsi="Book Antiqua" w:cs="Times New Roman"/>
                <w:b/>
                <w:bCs/>
                <w:kern w:val="24"/>
                <w:lang w:val="en-US"/>
              </w:rPr>
              <w:t xml:space="preserve"> </w:t>
            </w:r>
            <w:r w:rsidRPr="00CB4D8F">
              <w:rPr>
                <w:rFonts w:ascii="Book Antiqua" w:eastAsia="Times New Roman" w:hAnsi="Book Antiqua" w:cs="Times New Roman"/>
                <w:b/>
                <w:bCs/>
                <w:kern w:val="24"/>
                <w:lang w:val="en-US"/>
              </w:rPr>
              <w:t>treated or</w:t>
            </w:r>
            <w:r>
              <w:rPr>
                <w:rFonts w:ascii="Book Antiqua" w:eastAsia="Times New Roman" w:hAnsi="Book Antiqua" w:cs="Times New Roman"/>
                <w:b/>
                <w:bCs/>
                <w:kern w:val="24"/>
                <w:lang w:val="en-US"/>
              </w:rPr>
              <w:t xml:space="preserve"> </w:t>
            </w:r>
            <w:r w:rsidRPr="00CB4D8F">
              <w:rPr>
                <w:rFonts w:ascii="Book Antiqua" w:eastAsia="Times New Roman" w:hAnsi="Book Antiqua" w:cs="Times New Roman"/>
                <w:b/>
                <w:bCs/>
                <w:kern w:val="24"/>
                <w:lang w:val="en-US"/>
              </w:rPr>
              <w:t>not treated with PPIs (%)</w:t>
            </w:r>
          </w:p>
        </w:tc>
        <w:tc>
          <w:tcPr>
            <w:tcW w:w="1020" w:type="pct"/>
            <w:tcBorders>
              <w:top w:val="single" w:sz="4" w:space="0" w:color="auto"/>
              <w:bottom w:val="single" w:sz="4" w:space="0" w:color="auto"/>
            </w:tcBorders>
            <w:shd w:val="clear" w:color="auto" w:fill="auto"/>
          </w:tcPr>
          <w:p w14:paraId="0B3A3012" w14:textId="04E7362D" w:rsidR="00CB4D8F" w:rsidRPr="00CB4D8F" w:rsidRDefault="00CB4D8F" w:rsidP="00C74F3B">
            <w:pPr>
              <w:spacing w:line="360" w:lineRule="auto"/>
              <w:jc w:val="both"/>
              <w:rPr>
                <w:rFonts w:ascii="Book Antiqua" w:eastAsia="Times New Roman" w:hAnsi="Book Antiqua" w:cs="Times New Roman"/>
                <w:b/>
                <w:lang w:val="en-US"/>
              </w:rPr>
            </w:pPr>
            <w:r w:rsidRPr="00CB4D8F">
              <w:rPr>
                <w:rFonts w:ascii="Book Antiqua" w:eastAsia="Times New Roman" w:hAnsi="Book Antiqua" w:cs="Times New Roman"/>
                <w:b/>
                <w:lang w:val="en-US"/>
              </w:rPr>
              <w:t xml:space="preserve">Severity </w:t>
            </w:r>
            <w:r w:rsidR="00C74F3B">
              <w:rPr>
                <w:rFonts w:ascii="Book Antiqua" w:eastAsia="Times New Roman" w:hAnsi="Book Antiqua" w:cs="Times New Roman"/>
                <w:b/>
                <w:lang w:val="en-US"/>
              </w:rPr>
              <w:t>of</w:t>
            </w:r>
            <w:r w:rsidRPr="00CB4D8F">
              <w:rPr>
                <w:rFonts w:ascii="Book Antiqua" w:eastAsia="Times New Roman" w:hAnsi="Book Antiqua" w:cs="Times New Roman"/>
                <w:b/>
                <w:lang w:val="en-US"/>
              </w:rPr>
              <w:t xml:space="preserve"> patients</w:t>
            </w:r>
            <w:r w:rsidRPr="00CB4D8F">
              <w:rPr>
                <w:rFonts w:ascii="Book Antiqua" w:hAnsi="Book Antiqua"/>
                <w:lang w:val="en-US"/>
              </w:rPr>
              <w:t xml:space="preserve"> </w:t>
            </w:r>
            <w:r w:rsidRPr="00CB4D8F">
              <w:rPr>
                <w:rFonts w:ascii="Book Antiqua" w:eastAsia="Times New Roman" w:hAnsi="Book Antiqua" w:cs="Times New Roman"/>
                <w:b/>
                <w:lang w:val="en-US"/>
              </w:rPr>
              <w:t>treated or</w:t>
            </w:r>
            <w:r>
              <w:rPr>
                <w:rFonts w:ascii="Book Antiqua" w:eastAsia="Times New Roman" w:hAnsi="Book Antiqua" w:cs="Times New Roman"/>
                <w:b/>
                <w:lang w:val="en-US"/>
              </w:rPr>
              <w:t xml:space="preserve"> </w:t>
            </w:r>
            <w:r w:rsidRPr="00CB4D8F">
              <w:rPr>
                <w:rFonts w:ascii="Book Antiqua" w:eastAsia="Times New Roman" w:hAnsi="Book Antiqua" w:cs="Times New Roman"/>
                <w:b/>
                <w:lang w:val="en-US"/>
              </w:rPr>
              <w:t>not treated with PPIs (%)</w:t>
            </w:r>
          </w:p>
        </w:tc>
        <w:tc>
          <w:tcPr>
            <w:tcW w:w="561" w:type="pct"/>
            <w:tcBorders>
              <w:top w:val="single" w:sz="4" w:space="0" w:color="auto"/>
              <w:bottom w:val="single" w:sz="4" w:space="0" w:color="auto"/>
            </w:tcBorders>
            <w:shd w:val="clear" w:color="auto" w:fill="auto"/>
            <w:hideMark/>
          </w:tcPr>
          <w:p w14:paraId="619D4FCD" w14:textId="5A1F7A88" w:rsidR="00CB4D8F" w:rsidRPr="00CB4D8F" w:rsidRDefault="00CB4D8F" w:rsidP="00DE4562">
            <w:pPr>
              <w:spacing w:line="360" w:lineRule="auto"/>
              <w:jc w:val="both"/>
              <w:rPr>
                <w:rFonts w:ascii="Book Antiqua" w:eastAsia="Times New Roman" w:hAnsi="Book Antiqua" w:cs="Times New Roman"/>
                <w:b/>
                <w:lang w:val="en-US"/>
              </w:rPr>
            </w:pPr>
            <w:r w:rsidRPr="00CB4D8F">
              <w:rPr>
                <w:rFonts w:ascii="Book Antiqua" w:eastAsia="Times New Roman" w:hAnsi="Book Antiqua" w:cs="Times New Roman"/>
                <w:b/>
                <w:lang w:val="en-US"/>
              </w:rPr>
              <w:t>Mortality</w:t>
            </w:r>
            <w:r w:rsidR="00DE4562">
              <w:rPr>
                <w:rFonts w:ascii="Book Antiqua" w:eastAsia="Times New Roman" w:hAnsi="Book Antiqua" w:cs="Times New Roman"/>
                <w:b/>
                <w:lang w:val="en-US"/>
              </w:rPr>
              <w:t xml:space="preserve"> </w:t>
            </w:r>
            <w:r w:rsidRPr="00CB4D8F">
              <w:rPr>
                <w:rFonts w:ascii="Book Antiqua" w:eastAsia="Times New Roman" w:hAnsi="Book Antiqua" w:cs="Times New Roman"/>
                <w:b/>
                <w:lang w:val="en-US"/>
              </w:rPr>
              <w:t>in patients</w:t>
            </w:r>
            <w:r>
              <w:rPr>
                <w:rFonts w:ascii="Book Antiqua" w:eastAsia="Times New Roman" w:hAnsi="Book Antiqua" w:cs="Times New Roman"/>
                <w:b/>
                <w:lang w:val="en-US"/>
              </w:rPr>
              <w:t xml:space="preserve"> </w:t>
            </w:r>
            <w:r w:rsidRPr="00CB4D8F">
              <w:rPr>
                <w:rFonts w:ascii="Book Antiqua" w:eastAsia="Times New Roman" w:hAnsi="Book Antiqua" w:cs="Times New Roman"/>
                <w:b/>
                <w:lang w:val="en-US"/>
              </w:rPr>
              <w:t>treated or</w:t>
            </w:r>
            <w:r>
              <w:rPr>
                <w:rFonts w:ascii="Book Antiqua" w:eastAsia="Times New Roman" w:hAnsi="Book Antiqua" w:cs="Times New Roman"/>
                <w:b/>
                <w:lang w:val="en-US"/>
              </w:rPr>
              <w:t xml:space="preserve"> </w:t>
            </w:r>
            <w:r w:rsidRPr="00CB4D8F">
              <w:rPr>
                <w:rFonts w:ascii="Book Antiqua" w:eastAsia="Times New Roman" w:hAnsi="Book Antiqua" w:cs="Times New Roman"/>
                <w:b/>
                <w:lang w:val="en-US"/>
              </w:rPr>
              <w:t>not treated with PPIs (%)</w:t>
            </w:r>
          </w:p>
        </w:tc>
      </w:tr>
      <w:tr w:rsidR="00CB4D8F" w:rsidRPr="00CB4D8F" w14:paraId="68565953" w14:textId="77777777" w:rsidTr="00F148A5">
        <w:trPr>
          <w:trHeight w:val="396"/>
        </w:trPr>
        <w:tc>
          <w:tcPr>
            <w:tcW w:w="659" w:type="pct"/>
            <w:tcBorders>
              <w:top w:val="single" w:sz="4" w:space="0" w:color="auto"/>
            </w:tcBorders>
            <w:shd w:val="clear" w:color="auto" w:fill="auto"/>
          </w:tcPr>
          <w:p w14:paraId="2A3E01EF" w14:textId="2036EDDA"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Calibri" w:hAnsi="Book Antiqua" w:cs="Times New Roman"/>
                <w:color w:val="000000"/>
                <w:kern w:val="24"/>
                <w:lang w:val="en-US"/>
              </w:rPr>
              <w:t>Luxenburger</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B4D8F">
              <w:rPr>
                <w:rFonts w:ascii="Book Antiqua" w:eastAsia="Calibri" w:hAnsi="Book Antiqua" w:cs="Times New Roman"/>
                <w:color w:val="000000"/>
                <w:kern w:val="24"/>
                <w:position w:val="7"/>
                <w:vertAlign w:val="superscript"/>
                <w:lang w:val="en-US"/>
              </w:rPr>
              <w:t>[</w:t>
            </w:r>
            <w:r w:rsidRPr="00CB4D8F">
              <w:rPr>
                <w:rFonts w:ascii="Book Antiqua" w:eastAsia="Calibri" w:hAnsi="Book Antiqua" w:cs="Times New Roman"/>
                <w:kern w:val="24"/>
                <w:position w:val="7"/>
                <w:vertAlign w:val="superscript"/>
                <w:lang w:val="en-US"/>
              </w:rPr>
              <w:t>31</w:t>
            </w:r>
            <w:r w:rsidRPr="00CB4D8F">
              <w:rPr>
                <w:rFonts w:ascii="Book Antiqua" w:eastAsia="Calibri" w:hAnsi="Book Antiqua" w:cs="Times New Roman"/>
                <w:color w:val="000000"/>
                <w:kern w:val="24"/>
                <w:position w:val="7"/>
                <w:vertAlign w:val="superscript"/>
                <w:lang w:val="en-US"/>
              </w:rPr>
              <w:t>]</w:t>
            </w:r>
          </w:p>
        </w:tc>
        <w:tc>
          <w:tcPr>
            <w:tcW w:w="729" w:type="pct"/>
            <w:tcBorders>
              <w:top w:val="single" w:sz="4" w:space="0" w:color="auto"/>
            </w:tcBorders>
            <w:shd w:val="clear" w:color="auto" w:fill="auto"/>
          </w:tcPr>
          <w:p w14:paraId="27DD009F" w14:textId="76BE05A4" w:rsidR="00CB4D8F" w:rsidRPr="00CB4D8F" w:rsidRDefault="00CB4D8F" w:rsidP="00CB4D8F">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Retrospective</w:t>
            </w:r>
          </w:p>
        </w:tc>
        <w:tc>
          <w:tcPr>
            <w:tcW w:w="648" w:type="pct"/>
            <w:tcBorders>
              <w:top w:val="single" w:sz="4" w:space="0" w:color="auto"/>
            </w:tcBorders>
            <w:shd w:val="clear" w:color="auto" w:fill="auto"/>
          </w:tcPr>
          <w:p w14:paraId="646DA296" w14:textId="77777777"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Calibri" w:hAnsi="Book Antiqua" w:cs="Times New Roman"/>
                <w:kern w:val="24"/>
                <w:lang w:val="en-US"/>
              </w:rPr>
              <w:t>152</w:t>
            </w:r>
          </w:p>
        </w:tc>
        <w:tc>
          <w:tcPr>
            <w:tcW w:w="582" w:type="pct"/>
            <w:tcBorders>
              <w:top w:val="single" w:sz="4" w:space="0" w:color="auto"/>
            </w:tcBorders>
            <w:shd w:val="clear" w:color="auto" w:fill="auto"/>
          </w:tcPr>
          <w:p w14:paraId="5D0331A0" w14:textId="48500364" w:rsidR="00CB4D8F" w:rsidRPr="00CB4D8F" w:rsidRDefault="00CB4D8F" w:rsidP="00CB4D8F">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Home drug</w:t>
            </w:r>
          </w:p>
        </w:tc>
        <w:tc>
          <w:tcPr>
            <w:tcW w:w="801" w:type="pct"/>
            <w:tcBorders>
              <w:top w:val="single" w:sz="4" w:space="0" w:color="auto"/>
            </w:tcBorders>
            <w:shd w:val="clear" w:color="auto" w:fill="auto"/>
          </w:tcPr>
          <w:p w14:paraId="5E93BEDC" w14:textId="3CB66A1F"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Calibri" w:hAnsi="Book Antiqua" w:cs="Times New Roman"/>
                <w:kern w:val="24"/>
                <w:lang w:val="en-US"/>
              </w:rPr>
              <w:t>62 (40.7)</w:t>
            </w:r>
          </w:p>
        </w:tc>
        <w:tc>
          <w:tcPr>
            <w:tcW w:w="1020" w:type="pct"/>
            <w:tcBorders>
              <w:top w:val="single" w:sz="4" w:space="0" w:color="auto"/>
            </w:tcBorders>
            <w:shd w:val="clear" w:color="auto" w:fill="auto"/>
          </w:tcPr>
          <w:p w14:paraId="650DE1CD" w14:textId="73CF9C8C"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18</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11</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29 (32.2) (secondary infection +</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ARDS)</w:t>
            </w:r>
          </w:p>
        </w:tc>
        <w:tc>
          <w:tcPr>
            <w:tcW w:w="561" w:type="pct"/>
            <w:tcBorders>
              <w:top w:val="single" w:sz="4" w:space="0" w:color="auto"/>
            </w:tcBorders>
            <w:shd w:val="clear" w:color="auto" w:fill="auto"/>
          </w:tcPr>
          <w:p w14:paraId="609C542E" w14:textId="3D120ED0"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5 (5.6)</w:t>
            </w:r>
          </w:p>
        </w:tc>
      </w:tr>
      <w:tr w:rsidR="00C9394E" w:rsidRPr="00CB4D8F" w14:paraId="32989C1C" w14:textId="77777777" w:rsidTr="00F148A5">
        <w:trPr>
          <w:trHeight w:val="396"/>
        </w:trPr>
        <w:tc>
          <w:tcPr>
            <w:tcW w:w="659" w:type="pct"/>
            <w:shd w:val="clear" w:color="auto" w:fill="auto"/>
          </w:tcPr>
          <w:p w14:paraId="55BCB2D6" w14:textId="5768E448"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Luxenburger</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B4D8F">
              <w:rPr>
                <w:rFonts w:ascii="Book Antiqua" w:eastAsia="Calibri" w:hAnsi="Book Antiqua" w:cs="Times New Roman"/>
                <w:color w:val="000000"/>
                <w:kern w:val="24"/>
                <w:position w:val="7"/>
                <w:vertAlign w:val="superscript"/>
                <w:lang w:val="en-US"/>
              </w:rPr>
              <w:t>[</w:t>
            </w:r>
            <w:r w:rsidRPr="00CB4D8F">
              <w:rPr>
                <w:rFonts w:ascii="Book Antiqua" w:eastAsia="Calibri" w:hAnsi="Book Antiqua" w:cs="Times New Roman"/>
                <w:kern w:val="24"/>
                <w:position w:val="7"/>
                <w:vertAlign w:val="superscript"/>
                <w:lang w:val="en-US"/>
              </w:rPr>
              <w:t>31</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4325A923" w14:textId="6E0A742C"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Retrospective</w:t>
            </w:r>
          </w:p>
        </w:tc>
        <w:tc>
          <w:tcPr>
            <w:tcW w:w="648" w:type="pct"/>
            <w:shd w:val="clear" w:color="auto" w:fill="auto"/>
          </w:tcPr>
          <w:p w14:paraId="16D6850D" w14:textId="2217B55F"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152</w:t>
            </w:r>
          </w:p>
        </w:tc>
        <w:tc>
          <w:tcPr>
            <w:tcW w:w="582" w:type="pct"/>
            <w:shd w:val="clear" w:color="auto" w:fill="auto"/>
          </w:tcPr>
          <w:p w14:paraId="3EBAF553" w14:textId="0295BAE2"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Home drug</w:t>
            </w:r>
          </w:p>
        </w:tc>
        <w:tc>
          <w:tcPr>
            <w:tcW w:w="801" w:type="pct"/>
            <w:shd w:val="clear" w:color="auto" w:fill="auto"/>
          </w:tcPr>
          <w:p w14:paraId="2562546F" w14:textId="0541AE37" w:rsidR="00C9394E" w:rsidRPr="00CB4D8F" w:rsidRDefault="00C9394E" w:rsidP="00C9394E">
            <w:pPr>
              <w:spacing w:line="360" w:lineRule="auto"/>
              <w:jc w:val="both"/>
              <w:rPr>
                <w:rFonts w:ascii="Book Antiqua" w:eastAsia="Calibri" w:hAnsi="Book Antiqua"/>
                <w:kern w:val="24"/>
              </w:rPr>
            </w:pPr>
            <w:r w:rsidRPr="00CB4D8F">
              <w:rPr>
                <w:rFonts w:ascii="Book Antiqua" w:eastAsia="Times New Roman" w:hAnsi="Book Antiqua" w:cs="Times New Roman"/>
                <w:lang w:val="en-US"/>
              </w:rPr>
              <w:t>90 (59.3)</w:t>
            </w:r>
          </w:p>
        </w:tc>
        <w:tc>
          <w:tcPr>
            <w:tcW w:w="1020" w:type="pct"/>
            <w:shd w:val="clear" w:color="auto" w:fill="auto"/>
          </w:tcPr>
          <w:p w14:paraId="484DF3A6" w14:textId="43C5206A"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lang w:val="en-US"/>
              </w:rPr>
              <w:t>30</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17</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47 (75.8) (secondary infection +</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ARDS)</w:t>
            </w:r>
          </w:p>
        </w:tc>
        <w:tc>
          <w:tcPr>
            <w:tcW w:w="561" w:type="pct"/>
            <w:shd w:val="clear" w:color="auto" w:fill="auto"/>
          </w:tcPr>
          <w:p w14:paraId="71891286" w14:textId="7C795154"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lang w:val="en-US"/>
              </w:rPr>
              <w:t>12 (19.4)</w:t>
            </w:r>
          </w:p>
        </w:tc>
      </w:tr>
      <w:tr w:rsidR="00C9394E" w:rsidRPr="00CB4D8F" w14:paraId="432F1DC1" w14:textId="77777777" w:rsidTr="00F148A5">
        <w:trPr>
          <w:trHeight w:val="396"/>
        </w:trPr>
        <w:tc>
          <w:tcPr>
            <w:tcW w:w="659" w:type="pct"/>
            <w:shd w:val="clear" w:color="auto" w:fill="auto"/>
          </w:tcPr>
          <w:p w14:paraId="05AA7E99" w14:textId="1B75AB6D"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 xml:space="preserve">Almario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32</w:t>
            </w:r>
            <w:r w:rsidRPr="00CB4D8F">
              <w:rPr>
                <w:rFonts w:ascii="Book Antiqua" w:eastAsia="Calibri" w:hAnsi="Book Antiqua" w:cs="Times New Roman"/>
                <w:color w:val="000000"/>
                <w:kern w:val="24"/>
                <w:position w:val="7"/>
                <w:vertAlign w:val="superscript"/>
              </w:rPr>
              <w:t>]</w:t>
            </w:r>
          </w:p>
        </w:tc>
        <w:tc>
          <w:tcPr>
            <w:tcW w:w="729" w:type="pct"/>
            <w:shd w:val="clear" w:color="auto" w:fill="auto"/>
          </w:tcPr>
          <w:p w14:paraId="78C779A3" w14:textId="351FF61B" w:rsidR="00C9394E" w:rsidRPr="00CB4D8F" w:rsidRDefault="00C9394E" w:rsidP="00C9394E">
            <w:pPr>
              <w:spacing w:line="360" w:lineRule="auto"/>
              <w:jc w:val="both"/>
              <w:rPr>
                <w:rFonts w:ascii="Book Antiqua" w:eastAsia="Calibri" w:hAnsi="Book Antiqua" w:cs="Times New Roman"/>
                <w:color w:val="000000"/>
                <w:kern w:val="24"/>
              </w:rPr>
            </w:pPr>
            <w:r>
              <w:rPr>
                <w:rFonts w:ascii="Book Antiqua" w:eastAsia="Calibri" w:hAnsi="Book Antiqua" w:cs="Times New Roman"/>
                <w:color w:val="000000"/>
                <w:kern w:val="24"/>
              </w:rPr>
              <w:t>O</w:t>
            </w:r>
            <w:r w:rsidRPr="00CB4D8F">
              <w:rPr>
                <w:rFonts w:ascii="Book Antiqua" w:eastAsia="Calibri" w:hAnsi="Book Antiqua" w:cs="Times New Roman"/>
                <w:color w:val="000000"/>
                <w:kern w:val="24"/>
              </w:rPr>
              <w:t>nline survey</w:t>
            </w:r>
          </w:p>
        </w:tc>
        <w:tc>
          <w:tcPr>
            <w:tcW w:w="648" w:type="pct"/>
            <w:shd w:val="clear" w:color="auto" w:fill="auto"/>
          </w:tcPr>
          <w:p w14:paraId="17925C0D" w14:textId="77777777"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3386</w:t>
            </w:r>
          </w:p>
        </w:tc>
        <w:tc>
          <w:tcPr>
            <w:tcW w:w="582" w:type="pct"/>
            <w:shd w:val="clear" w:color="auto" w:fill="auto"/>
          </w:tcPr>
          <w:p w14:paraId="64E21FAF" w14:textId="492B5DED" w:rsidR="00C9394E" w:rsidRPr="00CB4D8F" w:rsidRDefault="00C9394E" w:rsidP="00C9394E">
            <w:pPr>
              <w:spacing w:line="360" w:lineRule="auto"/>
              <w:jc w:val="both"/>
              <w:rPr>
                <w:rFonts w:ascii="Book Antiqua" w:eastAsia="Calibri" w:hAnsi="Book Antiqua" w:cs="Times New Roman"/>
                <w:color w:val="000000"/>
                <w:kern w:val="24"/>
              </w:rPr>
            </w:pPr>
            <w:r>
              <w:rPr>
                <w:rFonts w:ascii="Book Antiqua" w:eastAsia="Calibri" w:hAnsi="Book Antiqua" w:cs="Times New Roman"/>
                <w:color w:val="000000"/>
                <w:kern w:val="24"/>
              </w:rPr>
              <w:t>H</w:t>
            </w:r>
            <w:r w:rsidRPr="00CB4D8F">
              <w:rPr>
                <w:rFonts w:ascii="Book Antiqua" w:eastAsia="Calibri" w:hAnsi="Book Antiqua" w:cs="Times New Roman"/>
                <w:color w:val="000000"/>
                <w:kern w:val="24"/>
              </w:rPr>
              <w:t>ome drugs</w:t>
            </w:r>
          </w:p>
        </w:tc>
        <w:tc>
          <w:tcPr>
            <w:tcW w:w="801" w:type="pct"/>
            <w:shd w:val="clear" w:color="auto" w:fill="auto"/>
          </w:tcPr>
          <w:p w14:paraId="51E668EB" w14:textId="38BA762E"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2661 (78.6)</w:t>
            </w:r>
          </w:p>
        </w:tc>
        <w:tc>
          <w:tcPr>
            <w:tcW w:w="1020" w:type="pct"/>
            <w:shd w:val="clear" w:color="auto" w:fill="auto"/>
          </w:tcPr>
          <w:p w14:paraId="0F53F23D"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NA</w:t>
            </w:r>
          </w:p>
        </w:tc>
        <w:tc>
          <w:tcPr>
            <w:tcW w:w="561" w:type="pct"/>
            <w:shd w:val="clear" w:color="auto" w:fill="auto"/>
          </w:tcPr>
          <w:p w14:paraId="2280D319"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NA</w:t>
            </w:r>
          </w:p>
        </w:tc>
      </w:tr>
      <w:tr w:rsidR="00C9394E" w:rsidRPr="00CB4D8F" w14:paraId="78B39674" w14:textId="77777777" w:rsidTr="00F148A5">
        <w:trPr>
          <w:trHeight w:val="396"/>
        </w:trPr>
        <w:tc>
          <w:tcPr>
            <w:tcW w:w="659" w:type="pct"/>
            <w:shd w:val="clear" w:color="auto" w:fill="auto"/>
          </w:tcPr>
          <w:p w14:paraId="7DE74774" w14:textId="4C36DECB"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 xml:space="preserve">Almario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32</w:t>
            </w:r>
            <w:r w:rsidRPr="00CB4D8F">
              <w:rPr>
                <w:rFonts w:ascii="Book Antiqua" w:eastAsia="Calibri" w:hAnsi="Book Antiqua" w:cs="Times New Roman"/>
                <w:color w:val="000000"/>
                <w:kern w:val="24"/>
                <w:position w:val="7"/>
                <w:vertAlign w:val="superscript"/>
              </w:rPr>
              <w:t>]</w:t>
            </w:r>
          </w:p>
        </w:tc>
        <w:tc>
          <w:tcPr>
            <w:tcW w:w="729" w:type="pct"/>
            <w:shd w:val="clear" w:color="auto" w:fill="auto"/>
          </w:tcPr>
          <w:p w14:paraId="2CAD1CB6" w14:textId="700DDD59" w:rsidR="00C9394E" w:rsidRDefault="00C9394E" w:rsidP="00C9394E">
            <w:pPr>
              <w:spacing w:line="360" w:lineRule="auto"/>
              <w:jc w:val="both"/>
              <w:rPr>
                <w:rFonts w:ascii="Book Antiqua" w:eastAsia="Calibri" w:hAnsi="Book Antiqua"/>
                <w:color w:val="000000"/>
                <w:kern w:val="24"/>
              </w:rPr>
            </w:pPr>
            <w:r>
              <w:rPr>
                <w:rFonts w:ascii="Book Antiqua" w:eastAsia="Calibri" w:hAnsi="Book Antiqua" w:cs="Times New Roman"/>
                <w:color w:val="000000"/>
                <w:kern w:val="24"/>
              </w:rPr>
              <w:t>O</w:t>
            </w:r>
            <w:r w:rsidRPr="00CB4D8F">
              <w:rPr>
                <w:rFonts w:ascii="Book Antiqua" w:eastAsia="Calibri" w:hAnsi="Book Antiqua" w:cs="Times New Roman"/>
                <w:color w:val="000000"/>
                <w:kern w:val="24"/>
              </w:rPr>
              <w:t>nline survey</w:t>
            </w:r>
          </w:p>
        </w:tc>
        <w:tc>
          <w:tcPr>
            <w:tcW w:w="648" w:type="pct"/>
            <w:shd w:val="clear" w:color="auto" w:fill="auto"/>
          </w:tcPr>
          <w:p w14:paraId="0833376E" w14:textId="5EF183BC"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3386</w:t>
            </w:r>
          </w:p>
        </w:tc>
        <w:tc>
          <w:tcPr>
            <w:tcW w:w="582" w:type="pct"/>
            <w:shd w:val="clear" w:color="auto" w:fill="auto"/>
          </w:tcPr>
          <w:p w14:paraId="2FE22B1D" w14:textId="7257AC6B" w:rsidR="00C9394E" w:rsidRDefault="00C9394E" w:rsidP="00C9394E">
            <w:pPr>
              <w:spacing w:line="360" w:lineRule="auto"/>
              <w:jc w:val="both"/>
              <w:rPr>
                <w:rFonts w:ascii="Book Antiqua" w:eastAsia="Calibri" w:hAnsi="Book Antiqua"/>
                <w:color w:val="000000"/>
                <w:kern w:val="24"/>
              </w:rPr>
            </w:pPr>
            <w:r>
              <w:rPr>
                <w:rFonts w:ascii="Book Antiqua" w:eastAsia="Calibri" w:hAnsi="Book Antiqua" w:cs="Times New Roman"/>
                <w:color w:val="000000"/>
                <w:kern w:val="24"/>
              </w:rPr>
              <w:t>H</w:t>
            </w:r>
            <w:r w:rsidRPr="00CB4D8F">
              <w:rPr>
                <w:rFonts w:ascii="Book Antiqua" w:eastAsia="Calibri" w:hAnsi="Book Antiqua" w:cs="Times New Roman"/>
                <w:color w:val="000000"/>
                <w:kern w:val="24"/>
              </w:rPr>
              <w:t>ome drugs</w:t>
            </w:r>
          </w:p>
        </w:tc>
        <w:tc>
          <w:tcPr>
            <w:tcW w:w="801" w:type="pct"/>
            <w:shd w:val="clear" w:color="auto" w:fill="auto"/>
          </w:tcPr>
          <w:p w14:paraId="129CBB33" w14:textId="6454A264"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Times New Roman" w:hAnsi="Book Antiqua" w:cs="Times New Roman"/>
              </w:rPr>
              <w:t>752 (2.1)</w:t>
            </w:r>
          </w:p>
        </w:tc>
        <w:tc>
          <w:tcPr>
            <w:tcW w:w="1020" w:type="pct"/>
            <w:shd w:val="clear" w:color="auto" w:fill="auto"/>
          </w:tcPr>
          <w:p w14:paraId="21C647D4" w14:textId="351F0D74"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rPr>
              <w:t>NA</w:t>
            </w:r>
          </w:p>
        </w:tc>
        <w:tc>
          <w:tcPr>
            <w:tcW w:w="561" w:type="pct"/>
            <w:shd w:val="clear" w:color="auto" w:fill="auto"/>
          </w:tcPr>
          <w:p w14:paraId="4EBE619D" w14:textId="0353EADE"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rPr>
              <w:t>NA</w:t>
            </w:r>
          </w:p>
        </w:tc>
      </w:tr>
      <w:tr w:rsidR="00C9394E" w:rsidRPr="00CB4D8F" w14:paraId="6E58971C" w14:textId="77777777" w:rsidTr="00F148A5">
        <w:trPr>
          <w:trHeight w:val="396"/>
        </w:trPr>
        <w:tc>
          <w:tcPr>
            <w:tcW w:w="659" w:type="pct"/>
            <w:shd w:val="clear" w:color="auto" w:fill="auto"/>
          </w:tcPr>
          <w:p w14:paraId="783A29DA" w14:textId="755A4772"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McKeigue</w:t>
            </w:r>
            <w:r>
              <w:rPr>
                <w:rFonts w:ascii="Book Antiqua" w:eastAsia="+mn-ea" w:hAnsi="Book Antiqua" w:cs="Times New Roman"/>
                <w:color w:val="000000"/>
                <w:kern w:val="24"/>
                <w:lang w:val="en-US"/>
              </w:rPr>
              <w:t xml:space="preserve"> </w:t>
            </w:r>
            <w:r w:rsidRPr="00CB4D8F">
              <w:rPr>
                <w:rFonts w:ascii="Book Antiqua" w:eastAsia="+mn-ea" w:hAnsi="Book Antiqua" w:cs="Times New Roman"/>
                <w:i/>
                <w:kern w:val="24"/>
              </w:rPr>
              <w:t>et</w:t>
            </w:r>
            <w:r w:rsidRPr="00CB4D8F">
              <w:rPr>
                <w:rFonts w:ascii="Book Antiqua" w:eastAsia="+mn-ea" w:hAnsi="Book Antiqua" w:cs="Times New Roman"/>
                <w:i/>
                <w:iCs/>
                <w:kern w:val="24"/>
              </w:rPr>
              <w:t xml:space="preserve"> al</w:t>
            </w:r>
            <w:r w:rsidRPr="00CB4D8F">
              <w:rPr>
                <w:rFonts w:ascii="Book Antiqua" w:eastAsia="+mn-ea" w:hAnsi="Book Antiqua" w:cs="Times New Roman"/>
                <w:kern w:val="24"/>
                <w:position w:val="7"/>
                <w:vertAlign w:val="superscript"/>
              </w:rPr>
              <w:t>[</w:t>
            </w:r>
            <w:r w:rsidRPr="00C9394E">
              <w:rPr>
                <w:rFonts w:ascii="Book Antiqua" w:eastAsia="+mn-ea" w:hAnsi="Book Antiqua" w:cs="Times New Roman"/>
                <w:kern w:val="24"/>
                <w:position w:val="7"/>
                <w:vertAlign w:val="superscript"/>
              </w:rPr>
              <w:t>48</w:t>
            </w:r>
            <w:r w:rsidRPr="00CB4D8F">
              <w:rPr>
                <w:rFonts w:ascii="Book Antiqua" w:eastAsia="+mn-ea" w:hAnsi="Book Antiqua" w:cs="Times New Roman"/>
                <w:kern w:val="24"/>
                <w:position w:val="7"/>
                <w:vertAlign w:val="superscript"/>
              </w:rPr>
              <w:t>]</w:t>
            </w:r>
          </w:p>
        </w:tc>
        <w:tc>
          <w:tcPr>
            <w:tcW w:w="729" w:type="pct"/>
            <w:shd w:val="clear" w:color="auto" w:fill="auto"/>
          </w:tcPr>
          <w:p w14:paraId="6A647B7E" w14:textId="53188399" w:rsidR="00C9394E" w:rsidRPr="00CB4D8F" w:rsidRDefault="00C9394E" w:rsidP="00C9394E">
            <w:pPr>
              <w:spacing w:line="360" w:lineRule="auto"/>
              <w:jc w:val="both"/>
              <w:rPr>
                <w:rFonts w:ascii="Book Antiqua" w:eastAsia="+mn-ea" w:hAnsi="Book Antiqua" w:cs="Times New Roman"/>
                <w:color w:val="000000"/>
                <w:kern w:val="24"/>
                <w:lang w:val="en-US"/>
              </w:rPr>
            </w:pPr>
            <w:r>
              <w:rPr>
                <w:rFonts w:ascii="Book Antiqua" w:eastAsia="+mn-ea" w:hAnsi="Book Antiqua" w:cs="Times New Roman"/>
                <w:color w:val="000000"/>
                <w:kern w:val="24"/>
                <w:lang w:val="en-US"/>
              </w:rPr>
              <w:t>C</w:t>
            </w:r>
            <w:r w:rsidRPr="00CB4D8F">
              <w:rPr>
                <w:rFonts w:ascii="Book Antiqua" w:eastAsia="+mn-ea" w:hAnsi="Book Antiqua" w:cs="Times New Roman"/>
                <w:color w:val="000000"/>
                <w:kern w:val="24"/>
                <w:lang w:val="en-US"/>
              </w:rPr>
              <w:t>ase-control</w:t>
            </w:r>
          </w:p>
        </w:tc>
        <w:tc>
          <w:tcPr>
            <w:tcW w:w="648" w:type="pct"/>
            <w:shd w:val="clear" w:color="auto" w:fill="auto"/>
          </w:tcPr>
          <w:p w14:paraId="2BE26ECF" w14:textId="77777777"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36391</w:t>
            </w:r>
          </w:p>
        </w:tc>
        <w:tc>
          <w:tcPr>
            <w:tcW w:w="582" w:type="pct"/>
            <w:shd w:val="clear" w:color="auto" w:fill="auto"/>
          </w:tcPr>
          <w:p w14:paraId="28C1D377" w14:textId="5DC9A24E" w:rsidR="00C9394E" w:rsidRPr="00CB4D8F" w:rsidRDefault="00C9394E" w:rsidP="00C9394E">
            <w:pPr>
              <w:spacing w:line="360" w:lineRule="auto"/>
              <w:jc w:val="both"/>
              <w:rPr>
                <w:rFonts w:ascii="Book Antiqua" w:eastAsia="+mn-ea" w:hAnsi="Book Antiqua" w:cs="Times New Roman"/>
                <w:kern w:val="24"/>
                <w:lang w:val="en-US"/>
              </w:rPr>
            </w:pPr>
            <w:r>
              <w:rPr>
                <w:rFonts w:ascii="Book Antiqua" w:eastAsia="+mn-ea" w:hAnsi="Book Antiqua" w:cs="Times New Roman"/>
                <w:kern w:val="24"/>
                <w:lang w:val="en-US"/>
              </w:rPr>
              <w:t>H</w:t>
            </w:r>
            <w:r w:rsidRPr="00CB4D8F">
              <w:rPr>
                <w:rFonts w:ascii="Book Antiqua" w:eastAsia="+mn-ea" w:hAnsi="Book Antiqua" w:cs="Times New Roman"/>
                <w:kern w:val="24"/>
                <w:lang w:val="en-US"/>
              </w:rPr>
              <w:t>ome drug</w:t>
            </w:r>
          </w:p>
        </w:tc>
        <w:tc>
          <w:tcPr>
            <w:tcW w:w="801" w:type="pct"/>
            <w:shd w:val="clear" w:color="auto" w:fill="auto"/>
          </w:tcPr>
          <w:p w14:paraId="2EDA5506" w14:textId="1DE6D4CF"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13982 (38.4)</w:t>
            </w:r>
          </w:p>
        </w:tc>
        <w:tc>
          <w:tcPr>
            <w:tcW w:w="1020" w:type="pct"/>
            <w:shd w:val="clear" w:color="auto" w:fill="auto"/>
          </w:tcPr>
          <w:p w14:paraId="08FC8406" w14:textId="0B99E22C" w:rsidR="00C9394E" w:rsidRPr="00CB4D8F" w:rsidRDefault="00C9394E" w:rsidP="00C9394E">
            <w:pPr>
              <w:spacing w:line="360" w:lineRule="auto"/>
              <w:jc w:val="both"/>
              <w:rPr>
                <w:rFonts w:ascii="Book Antiqua" w:eastAsia="+mn-ea" w:hAnsi="Book Antiqua" w:cs="Times New Roman"/>
                <w:kern w:val="24"/>
                <w:lang w:val="en-US"/>
              </w:rPr>
            </w:pPr>
            <w:r w:rsidRPr="00CB4D8F">
              <w:rPr>
                <w:rFonts w:ascii="Book Antiqua" w:eastAsia="+mn-ea" w:hAnsi="Book Antiqua" w:cs="Times New Roman"/>
                <w:kern w:val="24"/>
                <w:lang w:val="en-US"/>
              </w:rPr>
              <w:t>1177 (8.4)</w:t>
            </w:r>
            <w:r w:rsidRPr="00CB4D8F">
              <w:rPr>
                <w:rFonts w:ascii="Book Antiqua" w:eastAsia="Calibri" w:hAnsi="Book Antiqua" w:cs="Times New Roman"/>
                <w:lang w:val="en-US"/>
              </w:rPr>
              <w:t xml:space="preserve"> </w:t>
            </w:r>
            <w:r w:rsidRPr="00CB4D8F">
              <w:rPr>
                <w:rFonts w:ascii="Book Antiqua" w:eastAsia="+mn-ea" w:hAnsi="Book Antiqua" w:cs="Times New Roman"/>
                <w:kern w:val="24"/>
                <w:lang w:val="en-US"/>
              </w:rPr>
              <w:t>(severe outcomes)</w:t>
            </w:r>
          </w:p>
        </w:tc>
        <w:tc>
          <w:tcPr>
            <w:tcW w:w="561" w:type="pct"/>
            <w:shd w:val="clear" w:color="auto" w:fill="auto"/>
          </w:tcPr>
          <w:p w14:paraId="5A61A089" w14:textId="77777777"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NA</w:t>
            </w:r>
          </w:p>
        </w:tc>
      </w:tr>
      <w:tr w:rsidR="00C9394E" w:rsidRPr="00CB4D8F" w14:paraId="74B031BC" w14:textId="77777777" w:rsidTr="00F148A5">
        <w:trPr>
          <w:trHeight w:val="396"/>
        </w:trPr>
        <w:tc>
          <w:tcPr>
            <w:tcW w:w="659" w:type="pct"/>
            <w:shd w:val="clear" w:color="auto" w:fill="auto"/>
          </w:tcPr>
          <w:p w14:paraId="661250A0" w14:textId="134784D1"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McKeigue</w:t>
            </w:r>
            <w:r>
              <w:rPr>
                <w:rFonts w:ascii="Book Antiqua" w:eastAsia="+mn-ea" w:hAnsi="Book Antiqua" w:cs="Times New Roman"/>
                <w:color w:val="000000"/>
                <w:kern w:val="24"/>
                <w:lang w:val="en-US"/>
              </w:rPr>
              <w:t xml:space="preserve"> </w:t>
            </w:r>
            <w:r w:rsidRPr="00CB4D8F">
              <w:rPr>
                <w:rFonts w:ascii="Book Antiqua" w:eastAsia="+mn-ea" w:hAnsi="Book Antiqua" w:cs="Times New Roman"/>
                <w:i/>
                <w:kern w:val="24"/>
              </w:rPr>
              <w:t>et</w:t>
            </w:r>
            <w:r w:rsidRPr="00CB4D8F">
              <w:rPr>
                <w:rFonts w:ascii="Book Antiqua" w:eastAsia="+mn-ea" w:hAnsi="Book Antiqua" w:cs="Times New Roman"/>
                <w:i/>
                <w:iCs/>
                <w:kern w:val="24"/>
              </w:rPr>
              <w:t xml:space="preserve"> al</w:t>
            </w:r>
            <w:r w:rsidRPr="00CB4D8F">
              <w:rPr>
                <w:rFonts w:ascii="Book Antiqua" w:eastAsia="+mn-ea" w:hAnsi="Book Antiqua" w:cs="Times New Roman"/>
                <w:kern w:val="24"/>
                <w:position w:val="7"/>
                <w:vertAlign w:val="superscript"/>
              </w:rPr>
              <w:t>[</w:t>
            </w:r>
            <w:r w:rsidRPr="00C9394E">
              <w:rPr>
                <w:rFonts w:ascii="Book Antiqua" w:eastAsia="+mn-ea" w:hAnsi="Book Antiqua" w:cs="Times New Roman"/>
                <w:kern w:val="24"/>
                <w:position w:val="7"/>
                <w:vertAlign w:val="superscript"/>
              </w:rPr>
              <w:t>48</w:t>
            </w:r>
            <w:r w:rsidRPr="00CB4D8F">
              <w:rPr>
                <w:rFonts w:ascii="Book Antiqua" w:eastAsia="+mn-ea" w:hAnsi="Book Antiqua" w:cs="Times New Roman"/>
                <w:kern w:val="24"/>
                <w:position w:val="7"/>
                <w:vertAlign w:val="superscript"/>
              </w:rPr>
              <w:t>]</w:t>
            </w:r>
          </w:p>
        </w:tc>
        <w:tc>
          <w:tcPr>
            <w:tcW w:w="729" w:type="pct"/>
            <w:shd w:val="clear" w:color="auto" w:fill="auto"/>
          </w:tcPr>
          <w:p w14:paraId="67ABFE56" w14:textId="39BEFC40" w:rsidR="00C9394E" w:rsidRPr="00CB4D8F" w:rsidRDefault="00C9394E" w:rsidP="00C9394E">
            <w:pPr>
              <w:spacing w:line="360" w:lineRule="auto"/>
              <w:jc w:val="both"/>
              <w:rPr>
                <w:rFonts w:ascii="Book Antiqua" w:eastAsia="+mn-ea" w:hAnsi="Book Antiqua"/>
                <w:color w:val="000000"/>
                <w:kern w:val="24"/>
              </w:rPr>
            </w:pPr>
            <w:r>
              <w:rPr>
                <w:rFonts w:ascii="Book Antiqua" w:eastAsia="+mn-ea" w:hAnsi="Book Antiqua" w:cs="Times New Roman"/>
                <w:color w:val="000000"/>
                <w:kern w:val="24"/>
                <w:lang w:val="en-US"/>
              </w:rPr>
              <w:t>C</w:t>
            </w:r>
            <w:r w:rsidRPr="00CB4D8F">
              <w:rPr>
                <w:rFonts w:ascii="Book Antiqua" w:eastAsia="+mn-ea" w:hAnsi="Book Antiqua" w:cs="Times New Roman"/>
                <w:color w:val="000000"/>
                <w:kern w:val="24"/>
                <w:lang w:val="en-US"/>
              </w:rPr>
              <w:t>ase-control</w:t>
            </w:r>
          </w:p>
        </w:tc>
        <w:tc>
          <w:tcPr>
            <w:tcW w:w="648" w:type="pct"/>
            <w:shd w:val="clear" w:color="auto" w:fill="auto"/>
          </w:tcPr>
          <w:p w14:paraId="4C491EE1" w14:textId="6EDFF12C"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36391</w:t>
            </w:r>
          </w:p>
        </w:tc>
        <w:tc>
          <w:tcPr>
            <w:tcW w:w="582" w:type="pct"/>
            <w:shd w:val="clear" w:color="auto" w:fill="auto"/>
          </w:tcPr>
          <w:p w14:paraId="2C327E53" w14:textId="20342198" w:rsidR="00C9394E" w:rsidRPr="00CB4D8F" w:rsidRDefault="00C9394E" w:rsidP="00C9394E">
            <w:pPr>
              <w:spacing w:line="360" w:lineRule="auto"/>
              <w:jc w:val="both"/>
              <w:rPr>
                <w:rFonts w:ascii="Book Antiqua" w:eastAsia="+mn-ea" w:hAnsi="Book Antiqua"/>
                <w:kern w:val="24"/>
              </w:rPr>
            </w:pPr>
            <w:r>
              <w:rPr>
                <w:rFonts w:ascii="Book Antiqua" w:eastAsia="+mn-ea" w:hAnsi="Book Antiqua" w:cs="Times New Roman"/>
                <w:kern w:val="24"/>
                <w:lang w:val="en-US"/>
              </w:rPr>
              <w:t>H</w:t>
            </w:r>
            <w:r w:rsidRPr="00CB4D8F">
              <w:rPr>
                <w:rFonts w:ascii="Book Antiqua" w:eastAsia="+mn-ea" w:hAnsi="Book Antiqua" w:cs="Times New Roman"/>
                <w:kern w:val="24"/>
                <w:lang w:val="en-US"/>
              </w:rPr>
              <w:t>ome drug</w:t>
            </w:r>
          </w:p>
        </w:tc>
        <w:tc>
          <w:tcPr>
            <w:tcW w:w="801" w:type="pct"/>
            <w:shd w:val="clear" w:color="auto" w:fill="auto"/>
          </w:tcPr>
          <w:p w14:paraId="2824EECD" w14:textId="142AB92A"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22409 (61.6)</w:t>
            </w:r>
          </w:p>
        </w:tc>
        <w:tc>
          <w:tcPr>
            <w:tcW w:w="1020" w:type="pct"/>
            <w:shd w:val="clear" w:color="auto" w:fill="auto"/>
          </w:tcPr>
          <w:p w14:paraId="2BE9EE3D" w14:textId="460E43FE" w:rsidR="00C9394E" w:rsidRPr="00CB4D8F" w:rsidRDefault="00C9394E" w:rsidP="00C9394E">
            <w:pPr>
              <w:spacing w:line="360" w:lineRule="auto"/>
              <w:jc w:val="both"/>
              <w:rPr>
                <w:rFonts w:ascii="Book Antiqua" w:eastAsia="+mn-ea" w:hAnsi="Book Antiqua"/>
                <w:kern w:val="24"/>
              </w:rPr>
            </w:pPr>
            <w:r w:rsidRPr="00CB4D8F">
              <w:rPr>
                <w:rFonts w:ascii="Book Antiqua" w:eastAsia="+mn-ea" w:hAnsi="Book Antiqua" w:cs="Times New Roman"/>
                <w:kern w:val="24"/>
                <w:lang w:val="en-US"/>
              </w:rPr>
              <w:t>12805 (57.1)</w:t>
            </w:r>
            <w:r w:rsidRPr="00CB4D8F">
              <w:rPr>
                <w:rFonts w:ascii="Book Antiqua" w:eastAsia="Calibri" w:hAnsi="Book Antiqua" w:cs="Times New Roman"/>
                <w:lang w:val="en-US"/>
              </w:rPr>
              <w:t xml:space="preserve"> </w:t>
            </w:r>
            <w:r w:rsidRPr="00CB4D8F">
              <w:rPr>
                <w:rFonts w:ascii="Book Antiqua" w:eastAsia="+mn-ea" w:hAnsi="Book Antiqua" w:cs="Times New Roman"/>
                <w:kern w:val="24"/>
                <w:lang w:val="en-US"/>
              </w:rPr>
              <w:t>(severe outcomes)</w:t>
            </w:r>
          </w:p>
        </w:tc>
        <w:tc>
          <w:tcPr>
            <w:tcW w:w="561" w:type="pct"/>
            <w:shd w:val="clear" w:color="auto" w:fill="auto"/>
          </w:tcPr>
          <w:p w14:paraId="486563BD" w14:textId="2C5348E8"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NA</w:t>
            </w:r>
          </w:p>
        </w:tc>
      </w:tr>
      <w:tr w:rsidR="00C9394E" w:rsidRPr="00CB4D8F" w14:paraId="191BC934" w14:textId="77777777" w:rsidTr="00F148A5">
        <w:trPr>
          <w:trHeight w:val="863"/>
        </w:trPr>
        <w:tc>
          <w:tcPr>
            <w:tcW w:w="659" w:type="pct"/>
            <w:shd w:val="clear" w:color="auto" w:fill="auto"/>
          </w:tcPr>
          <w:p w14:paraId="04B9940E" w14:textId="0B16B3A3"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Argenziano</w:t>
            </w:r>
            <w:r>
              <w:rPr>
                <w:rFonts w:ascii="Book Antiqua" w:eastAsia="+mn-ea" w:hAnsi="Book Antiqua" w:cs="Times New Roman"/>
                <w:color w:val="000000"/>
                <w:kern w:val="24"/>
                <w:lang w:val="en-US"/>
              </w:rPr>
              <w:t xml:space="preserve"> </w:t>
            </w:r>
            <w:r w:rsidRPr="00CB4D8F">
              <w:rPr>
                <w:rFonts w:ascii="Book Antiqua" w:eastAsia="+mn-ea" w:hAnsi="Book Antiqua" w:cs="Times New Roman"/>
                <w:i/>
                <w:kern w:val="24"/>
                <w:lang w:val="en-US"/>
              </w:rPr>
              <w:t>et</w:t>
            </w:r>
            <w:r w:rsidRPr="00CB4D8F">
              <w:rPr>
                <w:rFonts w:ascii="Book Antiqua" w:eastAsia="+mn-ea" w:hAnsi="Book Antiqua" w:cs="Times New Roman"/>
                <w:i/>
                <w:iCs/>
                <w:kern w:val="24"/>
                <w:lang w:val="en-US"/>
              </w:rPr>
              <w:t xml:space="preserve"> al</w:t>
            </w:r>
            <w:r w:rsidRPr="00CB4D8F">
              <w:rPr>
                <w:rFonts w:ascii="Book Antiqua" w:eastAsia="+mn-ea" w:hAnsi="Book Antiqua" w:cs="Times New Roman"/>
                <w:kern w:val="24"/>
                <w:position w:val="7"/>
                <w:vertAlign w:val="superscript"/>
                <w:lang w:val="en-US"/>
              </w:rPr>
              <w:t>[</w:t>
            </w:r>
            <w:r w:rsidRPr="00C9394E">
              <w:rPr>
                <w:rFonts w:ascii="Book Antiqua" w:eastAsia="+mn-ea" w:hAnsi="Book Antiqua" w:cs="Times New Roman"/>
                <w:kern w:val="24"/>
                <w:position w:val="7"/>
                <w:vertAlign w:val="superscript"/>
                <w:lang w:val="en-US"/>
              </w:rPr>
              <w:t>49</w:t>
            </w:r>
            <w:r w:rsidRPr="00CB4D8F">
              <w:rPr>
                <w:rFonts w:ascii="Book Antiqua" w:eastAsia="+mn-ea" w:hAnsi="Book Antiqua" w:cs="Times New Roman"/>
                <w:kern w:val="24"/>
                <w:position w:val="7"/>
                <w:vertAlign w:val="superscript"/>
                <w:lang w:val="en-US"/>
              </w:rPr>
              <w:t>]</w:t>
            </w:r>
          </w:p>
        </w:tc>
        <w:tc>
          <w:tcPr>
            <w:tcW w:w="729" w:type="pct"/>
            <w:shd w:val="clear" w:color="auto" w:fill="auto"/>
          </w:tcPr>
          <w:p w14:paraId="5E717CEE" w14:textId="0173FF6A"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Retrospective</w:t>
            </w:r>
          </w:p>
        </w:tc>
        <w:tc>
          <w:tcPr>
            <w:tcW w:w="648" w:type="pct"/>
            <w:shd w:val="clear" w:color="auto" w:fill="auto"/>
          </w:tcPr>
          <w:p w14:paraId="42D297DE" w14:textId="77777777"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mn-ea" w:hAnsi="Book Antiqua" w:cs="Times New Roman"/>
                <w:color w:val="000000"/>
                <w:kern w:val="24"/>
                <w:lang w:val="en-US"/>
              </w:rPr>
              <w:t>1000</w:t>
            </w:r>
          </w:p>
        </w:tc>
        <w:tc>
          <w:tcPr>
            <w:tcW w:w="582" w:type="pct"/>
            <w:shd w:val="clear" w:color="auto" w:fill="auto"/>
          </w:tcPr>
          <w:p w14:paraId="2418FE96" w14:textId="37DB7D51"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 xml:space="preserve">Home drug </w:t>
            </w:r>
          </w:p>
        </w:tc>
        <w:tc>
          <w:tcPr>
            <w:tcW w:w="801" w:type="pct"/>
            <w:shd w:val="clear" w:color="auto" w:fill="auto"/>
          </w:tcPr>
          <w:p w14:paraId="6DEB7949" w14:textId="7A636CDB"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mn-ea" w:hAnsi="Book Antiqua" w:cs="Times New Roman"/>
                <w:color w:val="000000"/>
                <w:kern w:val="24"/>
                <w:lang w:val="en-US"/>
              </w:rPr>
              <w:t>163 (16.3)</w:t>
            </w:r>
          </w:p>
        </w:tc>
        <w:tc>
          <w:tcPr>
            <w:tcW w:w="1020" w:type="pct"/>
            <w:shd w:val="clear" w:color="auto" w:fill="auto"/>
          </w:tcPr>
          <w:p w14:paraId="6BE010E7" w14:textId="5A733234"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38 (23.3)</w:t>
            </w:r>
            <w:r>
              <w:rPr>
                <w:rFonts w:ascii="Book Antiqua" w:eastAsia="+mn-ea" w:hAnsi="Book Antiqua" w:cs="Times New Roman"/>
                <w:color w:val="000000"/>
                <w:kern w:val="24"/>
                <w:lang w:val="en-US"/>
              </w:rPr>
              <w:t xml:space="preserve"> </w:t>
            </w:r>
            <w:r w:rsidRPr="00CB4D8F">
              <w:rPr>
                <w:rFonts w:ascii="Book Antiqua" w:eastAsia="+mn-ea" w:hAnsi="Book Antiqua" w:cs="Times New Roman"/>
                <w:color w:val="000000"/>
                <w:kern w:val="24"/>
                <w:lang w:val="en-US"/>
              </w:rPr>
              <w:t>(intensive care units)</w:t>
            </w:r>
          </w:p>
        </w:tc>
        <w:tc>
          <w:tcPr>
            <w:tcW w:w="561" w:type="pct"/>
            <w:shd w:val="clear" w:color="auto" w:fill="auto"/>
          </w:tcPr>
          <w:p w14:paraId="0DF55DCA" w14:textId="77777777"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NA</w:t>
            </w:r>
          </w:p>
        </w:tc>
      </w:tr>
      <w:tr w:rsidR="00C9394E" w:rsidRPr="00CB4D8F" w14:paraId="3A6E7594" w14:textId="77777777" w:rsidTr="00F148A5">
        <w:trPr>
          <w:trHeight w:val="863"/>
        </w:trPr>
        <w:tc>
          <w:tcPr>
            <w:tcW w:w="659" w:type="pct"/>
            <w:shd w:val="clear" w:color="auto" w:fill="auto"/>
          </w:tcPr>
          <w:p w14:paraId="59AA02D4" w14:textId="45868E2E"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Argenziano</w:t>
            </w:r>
            <w:r>
              <w:rPr>
                <w:rFonts w:ascii="Book Antiqua" w:eastAsia="+mn-ea" w:hAnsi="Book Antiqua" w:cs="Times New Roman"/>
                <w:color w:val="000000"/>
                <w:kern w:val="24"/>
                <w:lang w:val="en-US"/>
              </w:rPr>
              <w:t xml:space="preserve"> </w:t>
            </w:r>
            <w:r w:rsidRPr="00CB4D8F">
              <w:rPr>
                <w:rFonts w:ascii="Book Antiqua" w:eastAsia="+mn-ea" w:hAnsi="Book Antiqua" w:cs="Times New Roman"/>
                <w:i/>
                <w:kern w:val="24"/>
                <w:lang w:val="en-US"/>
              </w:rPr>
              <w:t>et</w:t>
            </w:r>
            <w:r w:rsidRPr="00CB4D8F">
              <w:rPr>
                <w:rFonts w:ascii="Book Antiqua" w:eastAsia="+mn-ea" w:hAnsi="Book Antiqua" w:cs="Times New Roman"/>
                <w:i/>
                <w:iCs/>
                <w:kern w:val="24"/>
                <w:lang w:val="en-US"/>
              </w:rPr>
              <w:t xml:space="preserve"> al</w:t>
            </w:r>
            <w:r w:rsidRPr="00CB4D8F">
              <w:rPr>
                <w:rFonts w:ascii="Book Antiqua" w:eastAsia="+mn-ea" w:hAnsi="Book Antiqua" w:cs="Times New Roman"/>
                <w:kern w:val="24"/>
                <w:position w:val="7"/>
                <w:vertAlign w:val="superscript"/>
                <w:lang w:val="en-US"/>
              </w:rPr>
              <w:t>[</w:t>
            </w:r>
            <w:r w:rsidRPr="00C9394E">
              <w:rPr>
                <w:rFonts w:ascii="Book Antiqua" w:eastAsia="+mn-ea" w:hAnsi="Book Antiqua" w:cs="Times New Roman"/>
                <w:kern w:val="24"/>
                <w:position w:val="7"/>
                <w:vertAlign w:val="superscript"/>
                <w:lang w:val="en-US"/>
              </w:rPr>
              <w:t>49</w:t>
            </w:r>
            <w:r w:rsidRPr="00CB4D8F">
              <w:rPr>
                <w:rFonts w:ascii="Book Antiqua" w:eastAsia="+mn-ea" w:hAnsi="Book Antiqua" w:cs="Times New Roman"/>
                <w:kern w:val="24"/>
                <w:position w:val="7"/>
                <w:vertAlign w:val="superscript"/>
                <w:lang w:val="en-US"/>
              </w:rPr>
              <w:t>]</w:t>
            </w:r>
          </w:p>
        </w:tc>
        <w:tc>
          <w:tcPr>
            <w:tcW w:w="729" w:type="pct"/>
            <w:shd w:val="clear" w:color="auto" w:fill="auto"/>
          </w:tcPr>
          <w:p w14:paraId="6A3B6271" w14:textId="56095BD1"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Retrospective</w:t>
            </w:r>
          </w:p>
        </w:tc>
        <w:tc>
          <w:tcPr>
            <w:tcW w:w="648" w:type="pct"/>
            <w:shd w:val="clear" w:color="auto" w:fill="auto"/>
          </w:tcPr>
          <w:p w14:paraId="033C8AAE" w14:textId="40144A5A"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1000</w:t>
            </w:r>
          </w:p>
        </w:tc>
        <w:tc>
          <w:tcPr>
            <w:tcW w:w="582" w:type="pct"/>
            <w:shd w:val="clear" w:color="auto" w:fill="auto"/>
          </w:tcPr>
          <w:p w14:paraId="44A0F1D4" w14:textId="657527F9"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 xml:space="preserve">Home drug </w:t>
            </w:r>
          </w:p>
        </w:tc>
        <w:tc>
          <w:tcPr>
            <w:tcW w:w="801" w:type="pct"/>
            <w:shd w:val="clear" w:color="auto" w:fill="auto"/>
          </w:tcPr>
          <w:p w14:paraId="6D6A29D5" w14:textId="14790631" w:rsidR="00C9394E" w:rsidRPr="00C9394E" w:rsidRDefault="00C9394E" w:rsidP="00C9394E">
            <w:pPr>
              <w:spacing w:line="360" w:lineRule="auto"/>
              <w:jc w:val="both"/>
              <w:rPr>
                <w:rFonts w:ascii="Book Antiqua" w:eastAsia="+mn-ea" w:hAnsi="Book Antiqua"/>
                <w:b/>
                <w:bCs/>
                <w:color w:val="000000"/>
                <w:kern w:val="24"/>
              </w:rPr>
            </w:pPr>
            <w:r w:rsidRPr="00CB4D8F">
              <w:rPr>
                <w:rFonts w:ascii="Book Antiqua" w:eastAsia="+mn-ea" w:hAnsi="Book Antiqua" w:cs="Times New Roman"/>
                <w:color w:val="000000"/>
                <w:kern w:val="24"/>
                <w:lang w:val="en-US"/>
              </w:rPr>
              <w:t>837 (83.7)</w:t>
            </w:r>
          </w:p>
        </w:tc>
        <w:tc>
          <w:tcPr>
            <w:tcW w:w="1020" w:type="pct"/>
            <w:shd w:val="clear" w:color="auto" w:fill="auto"/>
          </w:tcPr>
          <w:p w14:paraId="1CD3BCBA" w14:textId="4F112C49"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NA</w:t>
            </w:r>
          </w:p>
        </w:tc>
        <w:tc>
          <w:tcPr>
            <w:tcW w:w="561" w:type="pct"/>
            <w:shd w:val="clear" w:color="auto" w:fill="auto"/>
          </w:tcPr>
          <w:p w14:paraId="01FBF83A" w14:textId="60DCDD36"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mn-ea" w:hAnsi="Book Antiqua" w:cs="Times New Roman"/>
                <w:color w:val="000000"/>
                <w:kern w:val="24"/>
                <w:lang w:val="en-US"/>
              </w:rPr>
              <w:t>NA</w:t>
            </w:r>
          </w:p>
        </w:tc>
      </w:tr>
      <w:tr w:rsidR="00C9394E" w:rsidRPr="00CB4D8F" w14:paraId="2F7BBB74" w14:textId="77777777" w:rsidTr="00F148A5">
        <w:trPr>
          <w:trHeight w:val="396"/>
        </w:trPr>
        <w:tc>
          <w:tcPr>
            <w:tcW w:w="659" w:type="pct"/>
            <w:shd w:val="clear" w:color="auto" w:fill="auto"/>
            <w:hideMark/>
          </w:tcPr>
          <w:p w14:paraId="524945DE" w14:textId="01EF47E4"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mn-ea" w:hAnsi="Book Antiqua" w:cs="Times New Roman"/>
                <w:color w:val="000000"/>
                <w:kern w:val="24"/>
              </w:rPr>
              <w:t xml:space="preserve">Ramachandran </w:t>
            </w:r>
            <w:r w:rsidRPr="00CB4D8F">
              <w:rPr>
                <w:rFonts w:ascii="Book Antiqua" w:eastAsia="+mn-ea" w:hAnsi="Book Antiqua" w:cs="Times New Roman"/>
                <w:i/>
                <w:color w:val="000000"/>
                <w:kern w:val="24"/>
              </w:rPr>
              <w:t>et</w:t>
            </w:r>
            <w:r w:rsidRPr="00CB4D8F">
              <w:rPr>
                <w:rFonts w:ascii="Book Antiqua" w:eastAsia="+mn-ea" w:hAnsi="Book Antiqua" w:cs="Times New Roman"/>
                <w:i/>
                <w:iCs/>
                <w:color w:val="000000"/>
                <w:kern w:val="24"/>
              </w:rPr>
              <w:t xml:space="preserve"> </w:t>
            </w:r>
            <w:r w:rsidRPr="00CB4D8F">
              <w:rPr>
                <w:rFonts w:ascii="Book Antiqua" w:eastAsia="+mn-ea" w:hAnsi="Book Antiqua" w:cs="Times New Roman"/>
                <w:i/>
                <w:iCs/>
                <w:kern w:val="24"/>
              </w:rPr>
              <w:t>al</w:t>
            </w:r>
            <w:r w:rsidRPr="00CB4D8F">
              <w:rPr>
                <w:rFonts w:ascii="Book Antiqua" w:eastAsia="+mn-ea" w:hAnsi="Book Antiqua" w:cs="Times New Roman"/>
                <w:kern w:val="24"/>
                <w:position w:val="7"/>
                <w:vertAlign w:val="superscript"/>
              </w:rPr>
              <w:t>[</w:t>
            </w:r>
            <w:r w:rsidRPr="00C9394E">
              <w:rPr>
                <w:rFonts w:ascii="Book Antiqua" w:eastAsia="+mn-ea" w:hAnsi="Book Antiqua" w:cs="Times New Roman"/>
                <w:kern w:val="24"/>
                <w:position w:val="7"/>
                <w:vertAlign w:val="superscript"/>
              </w:rPr>
              <w:t>50</w:t>
            </w:r>
            <w:r w:rsidRPr="00CB4D8F">
              <w:rPr>
                <w:rFonts w:ascii="Book Antiqua" w:eastAsia="+mn-ea" w:hAnsi="Book Antiqua" w:cs="Times New Roman"/>
                <w:kern w:val="24"/>
                <w:position w:val="7"/>
                <w:vertAlign w:val="superscript"/>
              </w:rPr>
              <w:t>]</w:t>
            </w:r>
          </w:p>
        </w:tc>
        <w:tc>
          <w:tcPr>
            <w:tcW w:w="729" w:type="pct"/>
            <w:shd w:val="clear" w:color="auto" w:fill="auto"/>
          </w:tcPr>
          <w:p w14:paraId="600A2AEA" w14:textId="6D5006C8"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Retrospective</w:t>
            </w:r>
          </w:p>
        </w:tc>
        <w:tc>
          <w:tcPr>
            <w:tcW w:w="648" w:type="pct"/>
            <w:shd w:val="clear" w:color="auto" w:fill="auto"/>
            <w:hideMark/>
          </w:tcPr>
          <w:p w14:paraId="011D47FA"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Calibri" w:hAnsi="Book Antiqua" w:cs="Times New Roman"/>
                <w:kern w:val="24"/>
              </w:rPr>
              <w:t>295</w:t>
            </w:r>
          </w:p>
        </w:tc>
        <w:tc>
          <w:tcPr>
            <w:tcW w:w="582" w:type="pct"/>
            <w:shd w:val="clear" w:color="auto" w:fill="auto"/>
          </w:tcPr>
          <w:p w14:paraId="5B5EE3B0" w14:textId="37D7B167" w:rsidR="00C9394E" w:rsidRPr="00CB4D8F" w:rsidRDefault="00C9394E" w:rsidP="00C9394E">
            <w:pPr>
              <w:spacing w:line="360" w:lineRule="auto"/>
              <w:jc w:val="both"/>
              <w:rPr>
                <w:rFonts w:ascii="Book Antiqua" w:eastAsia="Calibri" w:hAnsi="Book Antiqua" w:cs="Times New Roman"/>
                <w:kern w:val="24"/>
              </w:rPr>
            </w:pPr>
            <w:r w:rsidRPr="00CB4D8F">
              <w:rPr>
                <w:rFonts w:ascii="Book Antiqua" w:eastAsia="Calibri" w:hAnsi="Book Antiqua" w:cs="Times New Roman"/>
                <w:kern w:val="24"/>
              </w:rPr>
              <w:t>Home drug</w:t>
            </w:r>
          </w:p>
        </w:tc>
        <w:tc>
          <w:tcPr>
            <w:tcW w:w="801" w:type="pct"/>
            <w:shd w:val="clear" w:color="auto" w:fill="auto"/>
            <w:hideMark/>
          </w:tcPr>
          <w:p w14:paraId="6251B4AC" w14:textId="68BD967B"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Calibri" w:hAnsi="Book Antiqua" w:cs="Times New Roman"/>
                <w:kern w:val="24"/>
              </w:rPr>
              <w:t>46 (15.5)</w:t>
            </w:r>
          </w:p>
        </w:tc>
        <w:tc>
          <w:tcPr>
            <w:tcW w:w="1020" w:type="pct"/>
            <w:shd w:val="clear" w:color="auto" w:fill="auto"/>
          </w:tcPr>
          <w:p w14:paraId="738D18B3" w14:textId="7AB8F83D"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16</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12</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28 (60.8) (shock</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mechanical ventilation)</w:t>
            </w:r>
          </w:p>
        </w:tc>
        <w:tc>
          <w:tcPr>
            <w:tcW w:w="561" w:type="pct"/>
            <w:shd w:val="clear" w:color="auto" w:fill="auto"/>
            <w:hideMark/>
          </w:tcPr>
          <w:p w14:paraId="06F992A7" w14:textId="25184488" w:rsidR="00C9394E" w:rsidRPr="00CB4D8F" w:rsidRDefault="00C9394E" w:rsidP="00C9394E">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16 (34.7)</w:t>
            </w:r>
          </w:p>
        </w:tc>
      </w:tr>
      <w:tr w:rsidR="00C9394E" w:rsidRPr="00CB4D8F" w14:paraId="51579219" w14:textId="77777777" w:rsidTr="00F148A5">
        <w:trPr>
          <w:trHeight w:val="396"/>
        </w:trPr>
        <w:tc>
          <w:tcPr>
            <w:tcW w:w="659" w:type="pct"/>
            <w:shd w:val="clear" w:color="auto" w:fill="auto"/>
          </w:tcPr>
          <w:p w14:paraId="6C8BCE84" w14:textId="1BE7D011"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rPr>
              <w:t xml:space="preserve">Ramachandran </w:t>
            </w:r>
            <w:r w:rsidRPr="00CB4D8F">
              <w:rPr>
                <w:rFonts w:ascii="Book Antiqua" w:eastAsia="+mn-ea" w:hAnsi="Book Antiqua" w:cs="Times New Roman"/>
                <w:i/>
                <w:color w:val="000000"/>
                <w:kern w:val="24"/>
              </w:rPr>
              <w:t>et</w:t>
            </w:r>
            <w:r w:rsidRPr="00CB4D8F">
              <w:rPr>
                <w:rFonts w:ascii="Book Antiqua" w:eastAsia="+mn-ea" w:hAnsi="Book Antiqua" w:cs="Times New Roman"/>
                <w:i/>
                <w:iCs/>
                <w:color w:val="000000"/>
                <w:kern w:val="24"/>
              </w:rPr>
              <w:t xml:space="preserve"> </w:t>
            </w:r>
            <w:r w:rsidRPr="00CB4D8F">
              <w:rPr>
                <w:rFonts w:ascii="Book Antiqua" w:eastAsia="+mn-ea" w:hAnsi="Book Antiqua" w:cs="Times New Roman"/>
                <w:i/>
                <w:iCs/>
                <w:kern w:val="24"/>
              </w:rPr>
              <w:t>al</w:t>
            </w:r>
            <w:r w:rsidRPr="00CB4D8F">
              <w:rPr>
                <w:rFonts w:ascii="Book Antiqua" w:eastAsia="+mn-ea" w:hAnsi="Book Antiqua" w:cs="Times New Roman"/>
                <w:kern w:val="24"/>
                <w:position w:val="7"/>
                <w:vertAlign w:val="superscript"/>
              </w:rPr>
              <w:t>[</w:t>
            </w:r>
            <w:r w:rsidRPr="00C9394E">
              <w:rPr>
                <w:rFonts w:ascii="Book Antiqua" w:eastAsia="+mn-ea" w:hAnsi="Book Antiqua" w:cs="Times New Roman"/>
                <w:kern w:val="24"/>
                <w:position w:val="7"/>
                <w:vertAlign w:val="superscript"/>
              </w:rPr>
              <w:t>50</w:t>
            </w:r>
            <w:r w:rsidRPr="00CB4D8F">
              <w:rPr>
                <w:rFonts w:ascii="Book Antiqua" w:eastAsia="+mn-ea" w:hAnsi="Book Antiqua" w:cs="Times New Roman"/>
                <w:kern w:val="24"/>
                <w:position w:val="7"/>
                <w:vertAlign w:val="superscript"/>
              </w:rPr>
              <w:t>]</w:t>
            </w:r>
          </w:p>
        </w:tc>
        <w:tc>
          <w:tcPr>
            <w:tcW w:w="729" w:type="pct"/>
            <w:shd w:val="clear" w:color="auto" w:fill="auto"/>
          </w:tcPr>
          <w:p w14:paraId="4A7E8B0D" w14:textId="2725EF7F"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Retrospective</w:t>
            </w:r>
          </w:p>
        </w:tc>
        <w:tc>
          <w:tcPr>
            <w:tcW w:w="648" w:type="pct"/>
            <w:shd w:val="clear" w:color="auto" w:fill="auto"/>
          </w:tcPr>
          <w:p w14:paraId="73A942B8" w14:textId="7561B460"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rPr>
              <w:t>295</w:t>
            </w:r>
          </w:p>
        </w:tc>
        <w:tc>
          <w:tcPr>
            <w:tcW w:w="582" w:type="pct"/>
            <w:shd w:val="clear" w:color="auto" w:fill="auto"/>
          </w:tcPr>
          <w:p w14:paraId="3F71743F" w14:textId="4051AD87"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rPr>
              <w:t>Home drug</w:t>
            </w:r>
          </w:p>
        </w:tc>
        <w:tc>
          <w:tcPr>
            <w:tcW w:w="801" w:type="pct"/>
            <w:shd w:val="clear" w:color="auto" w:fill="auto"/>
          </w:tcPr>
          <w:p w14:paraId="7E8561D6" w14:textId="2B1AED1F"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249 (84.5)</w:t>
            </w:r>
          </w:p>
        </w:tc>
        <w:tc>
          <w:tcPr>
            <w:tcW w:w="1020" w:type="pct"/>
            <w:shd w:val="clear" w:color="auto" w:fill="auto"/>
          </w:tcPr>
          <w:p w14:paraId="5E073D7C" w14:textId="43078E96"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77</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37</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114 (45.7) (shock</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mechanical ventilation)</w:t>
            </w:r>
          </w:p>
        </w:tc>
        <w:tc>
          <w:tcPr>
            <w:tcW w:w="561" w:type="pct"/>
            <w:shd w:val="clear" w:color="auto" w:fill="auto"/>
          </w:tcPr>
          <w:p w14:paraId="56CEA9DE" w14:textId="13F5DF8B" w:rsidR="00C9394E" w:rsidRPr="00CB4D8F" w:rsidRDefault="00C9394E" w:rsidP="00C9394E">
            <w:pPr>
              <w:spacing w:line="360" w:lineRule="auto"/>
              <w:jc w:val="both"/>
              <w:rPr>
                <w:rFonts w:ascii="Book Antiqua" w:eastAsia="Times New Roman" w:hAnsi="Book Antiqua"/>
              </w:rPr>
            </w:pPr>
            <w:r w:rsidRPr="00CB4D8F">
              <w:rPr>
                <w:rFonts w:ascii="Book Antiqua" w:eastAsia="Calibri" w:hAnsi="Book Antiqua" w:cs="Times New Roman"/>
                <w:kern w:val="24"/>
                <w:lang w:val="en-US"/>
              </w:rPr>
              <w:t>40 (16.1)</w:t>
            </w:r>
          </w:p>
        </w:tc>
      </w:tr>
      <w:tr w:rsidR="00C9394E" w:rsidRPr="00CB4D8F" w14:paraId="39F656F5" w14:textId="77777777" w:rsidTr="00F148A5">
        <w:trPr>
          <w:trHeight w:val="448"/>
        </w:trPr>
        <w:tc>
          <w:tcPr>
            <w:tcW w:w="659" w:type="pct"/>
            <w:shd w:val="clear" w:color="auto" w:fill="auto"/>
          </w:tcPr>
          <w:p w14:paraId="6D04545C" w14:textId="2D453C93"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Lee</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9394E">
              <w:rPr>
                <w:rFonts w:ascii="Book Antiqua" w:eastAsia="Calibri" w:hAnsi="Book Antiqua" w:cs="Times New Roman"/>
                <w:kern w:val="24"/>
                <w:position w:val="7"/>
                <w:vertAlign w:val="superscript"/>
                <w:lang w:val="en-US"/>
              </w:rPr>
              <w:t>[51</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5A253725" w14:textId="0F548645"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Retrospective</w:t>
            </w:r>
          </w:p>
        </w:tc>
        <w:tc>
          <w:tcPr>
            <w:tcW w:w="648" w:type="pct"/>
            <w:shd w:val="clear" w:color="auto" w:fill="auto"/>
          </w:tcPr>
          <w:p w14:paraId="60C16BAB" w14:textId="77777777"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534</w:t>
            </w:r>
          </w:p>
        </w:tc>
        <w:tc>
          <w:tcPr>
            <w:tcW w:w="582" w:type="pct"/>
            <w:shd w:val="clear" w:color="auto" w:fill="auto"/>
          </w:tcPr>
          <w:p w14:paraId="774C682B" w14:textId="493EB30C"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Home drug</w:t>
            </w:r>
          </w:p>
        </w:tc>
        <w:tc>
          <w:tcPr>
            <w:tcW w:w="801" w:type="pct"/>
            <w:shd w:val="clear" w:color="auto" w:fill="auto"/>
          </w:tcPr>
          <w:p w14:paraId="49452CC9" w14:textId="0567A39D"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267 (50)</w:t>
            </w:r>
          </w:p>
        </w:tc>
        <w:tc>
          <w:tcPr>
            <w:tcW w:w="1020" w:type="pct"/>
            <w:shd w:val="clear" w:color="auto" w:fill="auto"/>
          </w:tcPr>
          <w:p w14:paraId="7DD3FBE6" w14:textId="77777777" w:rsidR="00C9394E" w:rsidRPr="00CB4D8F" w:rsidRDefault="00C9394E" w:rsidP="00C9394E">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49</w:t>
            </w:r>
          </w:p>
          <w:p w14:paraId="4873A170" w14:textId="77777777" w:rsidR="00C9394E" w:rsidRPr="00CB4D8F" w:rsidRDefault="00C9394E" w:rsidP="00C9394E">
            <w:pPr>
              <w:spacing w:line="360" w:lineRule="auto"/>
              <w:jc w:val="both"/>
              <w:rPr>
                <w:rFonts w:ascii="Book Antiqua" w:eastAsia="Times New Roman" w:hAnsi="Book Antiqua" w:cs="Times New Roman"/>
                <w:lang w:val="en-US"/>
              </w:rPr>
            </w:pPr>
          </w:p>
        </w:tc>
        <w:tc>
          <w:tcPr>
            <w:tcW w:w="561" w:type="pct"/>
            <w:shd w:val="clear" w:color="auto" w:fill="auto"/>
          </w:tcPr>
          <w:p w14:paraId="17051B55" w14:textId="77777777" w:rsidR="00C9394E" w:rsidRPr="00CB4D8F" w:rsidRDefault="00C9394E" w:rsidP="00C9394E">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24</w:t>
            </w:r>
          </w:p>
        </w:tc>
      </w:tr>
      <w:tr w:rsidR="00C9394E" w:rsidRPr="00CB4D8F" w14:paraId="053E011A" w14:textId="77777777" w:rsidTr="00F148A5">
        <w:trPr>
          <w:trHeight w:val="448"/>
        </w:trPr>
        <w:tc>
          <w:tcPr>
            <w:tcW w:w="659" w:type="pct"/>
            <w:shd w:val="clear" w:color="auto" w:fill="auto"/>
          </w:tcPr>
          <w:p w14:paraId="23800216" w14:textId="0A9C8BA7"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Lee</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9394E">
              <w:rPr>
                <w:rFonts w:ascii="Book Antiqua" w:eastAsia="Calibri" w:hAnsi="Book Antiqua" w:cs="Times New Roman"/>
                <w:kern w:val="24"/>
                <w:position w:val="7"/>
                <w:vertAlign w:val="superscript"/>
                <w:lang w:val="en-US"/>
              </w:rPr>
              <w:t>[51</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00DCC144" w14:textId="32A6316D"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Retrospective</w:t>
            </w:r>
          </w:p>
        </w:tc>
        <w:tc>
          <w:tcPr>
            <w:tcW w:w="648" w:type="pct"/>
            <w:shd w:val="clear" w:color="auto" w:fill="auto"/>
          </w:tcPr>
          <w:p w14:paraId="2FEEF4D1" w14:textId="2CC2FF6F"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534</w:t>
            </w:r>
          </w:p>
        </w:tc>
        <w:tc>
          <w:tcPr>
            <w:tcW w:w="582" w:type="pct"/>
            <w:shd w:val="clear" w:color="auto" w:fill="auto"/>
          </w:tcPr>
          <w:p w14:paraId="7D32C8B8" w14:textId="4FCE2130"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Home drug</w:t>
            </w:r>
          </w:p>
        </w:tc>
        <w:tc>
          <w:tcPr>
            <w:tcW w:w="801" w:type="pct"/>
            <w:shd w:val="clear" w:color="auto" w:fill="auto"/>
          </w:tcPr>
          <w:p w14:paraId="204B3B89" w14:textId="58609A16" w:rsidR="00C9394E" w:rsidRPr="00CB4D8F" w:rsidRDefault="00C9394E" w:rsidP="00C9394E">
            <w:pPr>
              <w:spacing w:line="360" w:lineRule="auto"/>
              <w:jc w:val="both"/>
              <w:rPr>
                <w:rFonts w:ascii="Book Antiqua" w:eastAsia="Calibri" w:hAnsi="Book Antiqua"/>
                <w:kern w:val="24"/>
              </w:rPr>
            </w:pPr>
            <w:r w:rsidRPr="00CB4D8F">
              <w:rPr>
                <w:rFonts w:ascii="Book Antiqua" w:eastAsia="Times New Roman" w:hAnsi="Book Antiqua" w:cs="Times New Roman"/>
                <w:lang w:val="en-US"/>
              </w:rPr>
              <w:t>267 (50)</w:t>
            </w:r>
          </w:p>
        </w:tc>
        <w:tc>
          <w:tcPr>
            <w:tcW w:w="1020" w:type="pct"/>
            <w:shd w:val="clear" w:color="auto" w:fill="auto"/>
          </w:tcPr>
          <w:p w14:paraId="0137BC3B" w14:textId="0D04247F"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lang w:val="en-US"/>
              </w:rPr>
              <w:t>32</w:t>
            </w:r>
          </w:p>
        </w:tc>
        <w:tc>
          <w:tcPr>
            <w:tcW w:w="561" w:type="pct"/>
            <w:shd w:val="clear" w:color="auto" w:fill="auto"/>
          </w:tcPr>
          <w:p w14:paraId="523CE585" w14:textId="72F8E231"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lang w:val="en-US"/>
              </w:rPr>
              <w:t>14</w:t>
            </w:r>
          </w:p>
        </w:tc>
      </w:tr>
      <w:tr w:rsidR="00C9394E" w:rsidRPr="00CB4D8F" w14:paraId="54DB5861" w14:textId="77777777" w:rsidTr="00F148A5">
        <w:trPr>
          <w:trHeight w:val="448"/>
        </w:trPr>
        <w:tc>
          <w:tcPr>
            <w:tcW w:w="659" w:type="pct"/>
            <w:shd w:val="clear" w:color="auto" w:fill="auto"/>
          </w:tcPr>
          <w:p w14:paraId="492898C9" w14:textId="490B3C21"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Ullah</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B4D8F">
              <w:rPr>
                <w:rFonts w:ascii="Book Antiqua" w:eastAsia="Calibri" w:hAnsi="Book Antiqua" w:cs="Times New Roman"/>
                <w:color w:val="000000"/>
                <w:kern w:val="24"/>
                <w:position w:val="7"/>
                <w:vertAlign w:val="superscript"/>
                <w:lang w:val="en-US"/>
              </w:rPr>
              <w:t>[</w:t>
            </w:r>
            <w:r w:rsidRPr="00C9394E">
              <w:rPr>
                <w:rFonts w:ascii="Book Antiqua" w:eastAsia="Calibri" w:hAnsi="Book Antiqua" w:cs="Times New Roman"/>
                <w:kern w:val="24"/>
                <w:position w:val="7"/>
                <w:vertAlign w:val="superscript"/>
                <w:lang w:val="en-US"/>
              </w:rPr>
              <w:t>52</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357A3BA6" w14:textId="7C16C635"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 xml:space="preserve">Retrospective </w:t>
            </w:r>
          </w:p>
        </w:tc>
        <w:tc>
          <w:tcPr>
            <w:tcW w:w="648" w:type="pct"/>
            <w:shd w:val="clear" w:color="auto" w:fill="auto"/>
          </w:tcPr>
          <w:p w14:paraId="2D4F26F9" w14:textId="77777777"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212</w:t>
            </w:r>
          </w:p>
          <w:p w14:paraId="5096E5DD" w14:textId="77777777" w:rsidR="00C9394E" w:rsidRPr="00CB4D8F" w:rsidRDefault="00C9394E" w:rsidP="00C9394E">
            <w:pPr>
              <w:spacing w:line="360" w:lineRule="auto"/>
              <w:jc w:val="both"/>
              <w:rPr>
                <w:rFonts w:ascii="Book Antiqua" w:eastAsia="Calibri" w:hAnsi="Book Antiqua" w:cs="Times New Roman"/>
                <w:color w:val="0070C0"/>
                <w:kern w:val="24"/>
                <w:lang w:val="en-US"/>
              </w:rPr>
            </w:pPr>
            <w:r w:rsidRPr="00CB4D8F">
              <w:rPr>
                <w:rFonts w:ascii="Book Antiqua" w:eastAsia="Calibri" w:hAnsi="Book Antiqua" w:cs="Times New Roman"/>
                <w:kern w:val="24"/>
                <w:lang w:val="en-US"/>
              </w:rPr>
              <w:t>(with</w:t>
            </w:r>
            <w:r w:rsidRPr="00CB4D8F">
              <w:rPr>
                <w:rFonts w:ascii="Book Antiqua" w:eastAsia="Calibri" w:hAnsi="Book Antiqua" w:cs="Times New Roman"/>
                <w:lang w:val="en-US"/>
              </w:rPr>
              <w:t xml:space="preserve"> </w:t>
            </w:r>
            <w:r w:rsidRPr="00CB4D8F">
              <w:rPr>
                <w:rFonts w:ascii="Book Antiqua" w:eastAsia="Calibri" w:hAnsi="Book Antiqua" w:cs="Times New Roman"/>
                <w:kern w:val="24"/>
                <w:lang w:val="en-US"/>
              </w:rPr>
              <w:t>pre-existing HPB condition)</w:t>
            </w:r>
          </w:p>
        </w:tc>
        <w:tc>
          <w:tcPr>
            <w:tcW w:w="582" w:type="pct"/>
            <w:shd w:val="clear" w:color="auto" w:fill="auto"/>
          </w:tcPr>
          <w:p w14:paraId="47FD2D18" w14:textId="049268A3" w:rsidR="00C9394E" w:rsidRPr="00CB4D8F" w:rsidRDefault="00C9394E" w:rsidP="00C9394E">
            <w:pPr>
              <w:spacing w:line="360" w:lineRule="auto"/>
              <w:jc w:val="both"/>
              <w:rPr>
                <w:rFonts w:ascii="Book Antiqua" w:eastAsia="Calibri" w:hAnsi="Book Antiqua" w:cs="Times New Roman"/>
                <w:color w:val="0070C0"/>
                <w:kern w:val="24"/>
                <w:lang w:val="en-US"/>
              </w:rPr>
            </w:pPr>
            <w:r w:rsidRPr="00CB4D8F">
              <w:rPr>
                <w:rFonts w:ascii="Book Antiqua" w:eastAsia="Calibri" w:hAnsi="Book Antiqua" w:cs="Times New Roman"/>
                <w:kern w:val="24"/>
                <w:lang w:val="en-US"/>
              </w:rPr>
              <w:t>Home drug</w:t>
            </w:r>
          </w:p>
        </w:tc>
        <w:tc>
          <w:tcPr>
            <w:tcW w:w="801" w:type="pct"/>
            <w:shd w:val="clear" w:color="auto" w:fill="auto"/>
          </w:tcPr>
          <w:p w14:paraId="56B7DB71" w14:textId="7FC4DA3A"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109 (51.4)</w:t>
            </w:r>
          </w:p>
        </w:tc>
        <w:tc>
          <w:tcPr>
            <w:tcW w:w="1020" w:type="pct"/>
            <w:shd w:val="clear" w:color="auto" w:fill="auto"/>
          </w:tcPr>
          <w:p w14:paraId="666A6334" w14:textId="77777777"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NA</w:t>
            </w:r>
          </w:p>
        </w:tc>
        <w:tc>
          <w:tcPr>
            <w:tcW w:w="561" w:type="pct"/>
            <w:shd w:val="clear" w:color="auto" w:fill="auto"/>
          </w:tcPr>
          <w:p w14:paraId="1A6CA3F9" w14:textId="3DF4D8EF" w:rsidR="00C9394E" w:rsidRPr="00CB4D8F" w:rsidRDefault="00C9394E" w:rsidP="00C9394E">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27 (24.8)</w:t>
            </w:r>
          </w:p>
        </w:tc>
      </w:tr>
      <w:tr w:rsidR="00C9394E" w:rsidRPr="00CB4D8F" w14:paraId="2D575E10" w14:textId="77777777" w:rsidTr="00F148A5">
        <w:trPr>
          <w:trHeight w:val="448"/>
        </w:trPr>
        <w:tc>
          <w:tcPr>
            <w:tcW w:w="659" w:type="pct"/>
            <w:shd w:val="clear" w:color="auto" w:fill="auto"/>
          </w:tcPr>
          <w:p w14:paraId="6335103C" w14:textId="5D6EC4EC"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Ullah</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B4D8F">
              <w:rPr>
                <w:rFonts w:ascii="Book Antiqua" w:eastAsia="Calibri" w:hAnsi="Book Antiqua" w:cs="Times New Roman"/>
                <w:color w:val="000000"/>
                <w:kern w:val="24"/>
                <w:position w:val="7"/>
                <w:vertAlign w:val="superscript"/>
                <w:lang w:val="en-US"/>
              </w:rPr>
              <w:t>[</w:t>
            </w:r>
            <w:r w:rsidRPr="00C9394E">
              <w:rPr>
                <w:rFonts w:ascii="Book Antiqua" w:eastAsia="Calibri" w:hAnsi="Book Antiqua" w:cs="Times New Roman"/>
                <w:kern w:val="24"/>
                <w:position w:val="7"/>
                <w:vertAlign w:val="superscript"/>
                <w:lang w:val="en-US"/>
              </w:rPr>
              <w:t>52</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05BCCA08" w14:textId="7D856D98"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 xml:space="preserve">Retrospective </w:t>
            </w:r>
          </w:p>
        </w:tc>
        <w:tc>
          <w:tcPr>
            <w:tcW w:w="648" w:type="pct"/>
            <w:shd w:val="clear" w:color="auto" w:fill="auto"/>
          </w:tcPr>
          <w:p w14:paraId="02CA5496" w14:textId="77777777"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212</w:t>
            </w:r>
          </w:p>
          <w:p w14:paraId="369F4E87" w14:textId="271BB56B" w:rsidR="00C9394E" w:rsidRPr="00EF5788" w:rsidRDefault="00C9394E" w:rsidP="00C9394E">
            <w:pPr>
              <w:spacing w:line="360" w:lineRule="auto"/>
              <w:jc w:val="both"/>
              <w:rPr>
                <w:rFonts w:ascii="Book Antiqua" w:eastAsia="Calibri" w:hAnsi="Book Antiqua"/>
                <w:kern w:val="24"/>
                <w:lang w:val="en-US"/>
              </w:rPr>
            </w:pPr>
            <w:r w:rsidRPr="00CB4D8F">
              <w:rPr>
                <w:rFonts w:ascii="Book Antiqua" w:eastAsia="Calibri" w:hAnsi="Book Antiqua" w:cs="Times New Roman"/>
                <w:kern w:val="24"/>
                <w:lang w:val="en-US"/>
              </w:rPr>
              <w:t>(with</w:t>
            </w:r>
            <w:r w:rsidRPr="00CB4D8F">
              <w:rPr>
                <w:rFonts w:ascii="Book Antiqua" w:eastAsia="Calibri" w:hAnsi="Book Antiqua" w:cs="Times New Roman"/>
                <w:lang w:val="en-US"/>
              </w:rPr>
              <w:t xml:space="preserve"> </w:t>
            </w:r>
            <w:r w:rsidRPr="00CB4D8F">
              <w:rPr>
                <w:rFonts w:ascii="Book Antiqua" w:eastAsia="Calibri" w:hAnsi="Book Antiqua" w:cs="Times New Roman"/>
                <w:kern w:val="24"/>
                <w:lang w:val="en-US"/>
              </w:rPr>
              <w:t>pre-existing HPB condition)</w:t>
            </w:r>
          </w:p>
        </w:tc>
        <w:tc>
          <w:tcPr>
            <w:tcW w:w="582" w:type="pct"/>
            <w:shd w:val="clear" w:color="auto" w:fill="auto"/>
          </w:tcPr>
          <w:p w14:paraId="18945EAC" w14:textId="6D0B82D1"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Home drug</w:t>
            </w:r>
          </w:p>
        </w:tc>
        <w:tc>
          <w:tcPr>
            <w:tcW w:w="801" w:type="pct"/>
            <w:shd w:val="clear" w:color="auto" w:fill="auto"/>
          </w:tcPr>
          <w:p w14:paraId="0F00A6DB" w14:textId="505CE863"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103 (48.6)</w:t>
            </w:r>
          </w:p>
        </w:tc>
        <w:tc>
          <w:tcPr>
            <w:tcW w:w="1020" w:type="pct"/>
            <w:shd w:val="clear" w:color="auto" w:fill="auto"/>
          </w:tcPr>
          <w:p w14:paraId="270DE625" w14:textId="174C079E"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NA</w:t>
            </w:r>
          </w:p>
        </w:tc>
        <w:tc>
          <w:tcPr>
            <w:tcW w:w="561" w:type="pct"/>
            <w:shd w:val="clear" w:color="auto" w:fill="auto"/>
          </w:tcPr>
          <w:p w14:paraId="5B42D0F6" w14:textId="5ACCF038" w:rsidR="00C9394E" w:rsidRPr="00CB4D8F" w:rsidRDefault="00C9394E" w:rsidP="00C9394E">
            <w:pPr>
              <w:spacing w:line="360" w:lineRule="auto"/>
              <w:jc w:val="both"/>
              <w:rPr>
                <w:rFonts w:ascii="Book Antiqua" w:eastAsia="Times New Roman" w:hAnsi="Book Antiqua"/>
              </w:rPr>
            </w:pPr>
            <w:r w:rsidRPr="00CB4D8F">
              <w:rPr>
                <w:rFonts w:ascii="Book Antiqua" w:eastAsia="Calibri" w:hAnsi="Book Antiqua" w:cs="Times New Roman"/>
                <w:kern w:val="24"/>
                <w:lang w:val="en-US"/>
              </w:rPr>
              <w:t>27 (26.2)</w:t>
            </w:r>
          </w:p>
        </w:tc>
      </w:tr>
      <w:tr w:rsidR="00C9394E" w:rsidRPr="00CB4D8F" w14:paraId="0E1BB47D" w14:textId="77777777" w:rsidTr="00F148A5">
        <w:trPr>
          <w:trHeight w:val="448"/>
        </w:trPr>
        <w:tc>
          <w:tcPr>
            <w:tcW w:w="659" w:type="pct"/>
            <w:shd w:val="clear" w:color="auto" w:fill="auto"/>
          </w:tcPr>
          <w:p w14:paraId="20BC96B2" w14:textId="7D1C43D5"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García-Menaya</w:t>
            </w:r>
            <w:r>
              <w:rPr>
                <w:rFonts w:ascii="Book Antiqua" w:eastAsia="Calibri" w:hAnsi="Book Antiqua" w:cs="Times New Roman"/>
                <w:color w:val="000000"/>
                <w:kern w:val="24"/>
              </w:rPr>
              <w:t xml:space="preserve">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55</w:t>
            </w:r>
            <w:r w:rsidRPr="00CB4D8F">
              <w:rPr>
                <w:rFonts w:ascii="Book Antiqua" w:eastAsia="Calibri" w:hAnsi="Book Antiqua" w:cs="Times New Roman"/>
                <w:color w:val="000000"/>
                <w:kern w:val="24"/>
                <w:position w:val="7"/>
                <w:vertAlign w:val="superscript"/>
              </w:rPr>
              <w:t>]</w:t>
            </w:r>
          </w:p>
        </w:tc>
        <w:tc>
          <w:tcPr>
            <w:tcW w:w="729" w:type="pct"/>
            <w:shd w:val="clear" w:color="auto" w:fill="auto"/>
          </w:tcPr>
          <w:p w14:paraId="7DEDE987" w14:textId="77777777"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Retrospective</w:t>
            </w:r>
          </w:p>
        </w:tc>
        <w:tc>
          <w:tcPr>
            <w:tcW w:w="648" w:type="pct"/>
            <w:shd w:val="clear" w:color="auto" w:fill="auto"/>
          </w:tcPr>
          <w:p w14:paraId="2B24C918" w14:textId="77777777" w:rsidR="00C9394E" w:rsidRPr="00CB4D8F" w:rsidRDefault="00C9394E" w:rsidP="00C9394E">
            <w:pPr>
              <w:tabs>
                <w:tab w:val="left" w:pos="597"/>
                <w:tab w:val="center" w:pos="742"/>
              </w:tabs>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113</w:t>
            </w:r>
          </w:p>
          <w:p w14:paraId="3D436AAC" w14:textId="77777777" w:rsidR="00C9394E" w:rsidRPr="00CB4D8F" w:rsidRDefault="00C9394E" w:rsidP="00C9394E">
            <w:pPr>
              <w:tabs>
                <w:tab w:val="left" w:pos="597"/>
                <w:tab w:val="center" w:pos="742"/>
              </w:tabs>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(asthma and allergic patients)</w:t>
            </w:r>
          </w:p>
        </w:tc>
        <w:tc>
          <w:tcPr>
            <w:tcW w:w="582" w:type="pct"/>
            <w:shd w:val="clear" w:color="auto" w:fill="auto"/>
          </w:tcPr>
          <w:p w14:paraId="5E6010DD" w14:textId="020D4624" w:rsidR="00C9394E" w:rsidRPr="00CB4D8F" w:rsidRDefault="00C9394E" w:rsidP="00C9394E">
            <w:pPr>
              <w:spacing w:line="360" w:lineRule="auto"/>
              <w:jc w:val="both"/>
              <w:rPr>
                <w:rFonts w:ascii="Book Antiqua" w:eastAsia="Calibri" w:hAnsi="Book Antiqua" w:cs="Times New Roman"/>
                <w:color w:val="000000"/>
                <w:kern w:val="24"/>
              </w:rPr>
            </w:pPr>
            <w:r>
              <w:rPr>
                <w:rFonts w:ascii="Book Antiqua" w:eastAsia="Calibri" w:hAnsi="Book Antiqua" w:cs="Times New Roman"/>
                <w:color w:val="000000"/>
                <w:kern w:val="24"/>
              </w:rPr>
              <w:t>H</w:t>
            </w:r>
            <w:r w:rsidRPr="00CB4D8F">
              <w:rPr>
                <w:rFonts w:ascii="Book Antiqua" w:eastAsia="Calibri" w:hAnsi="Book Antiqua" w:cs="Times New Roman"/>
                <w:color w:val="000000"/>
                <w:kern w:val="24"/>
              </w:rPr>
              <w:t>ome drug</w:t>
            </w:r>
          </w:p>
        </w:tc>
        <w:tc>
          <w:tcPr>
            <w:tcW w:w="801" w:type="pct"/>
            <w:shd w:val="clear" w:color="auto" w:fill="auto"/>
          </w:tcPr>
          <w:p w14:paraId="2673D9F6" w14:textId="52487180"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54 (47.8)</w:t>
            </w:r>
          </w:p>
        </w:tc>
        <w:tc>
          <w:tcPr>
            <w:tcW w:w="1020" w:type="pct"/>
            <w:shd w:val="clear" w:color="auto" w:fill="auto"/>
          </w:tcPr>
          <w:p w14:paraId="457D6684"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NA</w:t>
            </w:r>
          </w:p>
        </w:tc>
        <w:tc>
          <w:tcPr>
            <w:tcW w:w="561" w:type="pct"/>
            <w:shd w:val="clear" w:color="auto" w:fill="auto"/>
          </w:tcPr>
          <w:p w14:paraId="76D2BFF9"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NA</w:t>
            </w:r>
          </w:p>
        </w:tc>
      </w:tr>
      <w:tr w:rsidR="00C9394E" w:rsidRPr="00CB4D8F" w14:paraId="1350B5FA" w14:textId="77777777" w:rsidTr="00F148A5">
        <w:trPr>
          <w:trHeight w:val="448"/>
        </w:trPr>
        <w:tc>
          <w:tcPr>
            <w:tcW w:w="659" w:type="pct"/>
            <w:shd w:val="clear" w:color="auto" w:fill="auto"/>
          </w:tcPr>
          <w:p w14:paraId="638F45E3" w14:textId="78533C43"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García-Menaya</w:t>
            </w:r>
            <w:r>
              <w:rPr>
                <w:rFonts w:ascii="Book Antiqua" w:eastAsia="Calibri" w:hAnsi="Book Antiqua" w:cs="Times New Roman"/>
                <w:color w:val="000000"/>
                <w:kern w:val="24"/>
              </w:rPr>
              <w:t xml:space="preserve">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55</w:t>
            </w:r>
            <w:r w:rsidRPr="00CB4D8F">
              <w:rPr>
                <w:rFonts w:ascii="Book Antiqua" w:eastAsia="Calibri" w:hAnsi="Book Antiqua" w:cs="Times New Roman"/>
                <w:color w:val="000000"/>
                <w:kern w:val="24"/>
                <w:position w:val="7"/>
                <w:vertAlign w:val="superscript"/>
              </w:rPr>
              <w:t>]</w:t>
            </w:r>
          </w:p>
        </w:tc>
        <w:tc>
          <w:tcPr>
            <w:tcW w:w="729" w:type="pct"/>
            <w:shd w:val="clear" w:color="auto" w:fill="auto"/>
          </w:tcPr>
          <w:p w14:paraId="0A790629" w14:textId="2C3BE0E2"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Retrospective</w:t>
            </w:r>
          </w:p>
        </w:tc>
        <w:tc>
          <w:tcPr>
            <w:tcW w:w="648" w:type="pct"/>
            <w:shd w:val="clear" w:color="auto" w:fill="auto"/>
          </w:tcPr>
          <w:p w14:paraId="102F1266" w14:textId="77777777" w:rsidR="00C9394E" w:rsidRPr="00CB4D8F" w:rsidRDefault="00C9394E" w:rsidP="00C9394E">
            <w:pPr>
              <w:tabs>
                <w:tab w:val="left" w:pos="597"/>
                <w:tab w:val="center" w:pos="742"/>
              </w:tabs>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113</w:t>
            </w:r>
          </w:p>
          <w:p w14:paraId="5FEE0D90" w14:textId="78E193CA" w:rsidR="00C9394E" w:rsidRPr="00CB4D8F" w:rsidRDefault="00C9394E" w:rsidP="00C9394E">
            <w:pPr>
              <w:tabs>
                <w:tab w:val="left" w:pos="597"/>
                <w:tab w:val="center" w:pos="742"/>
              </w:tabs>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(asthma and allergic patients)</w:t>
            </w:r>
          </w:p>
        </w:tc>
        <w:tc>
          <w:tcPr>
            <w:tcW w:w="582" w:type="pct"/>
            <w:shd w:val="clear" w:color="auto" w:fill="auto"/>
          </w:tcPr>
          <w:p w14:paraId="4A8B2FC5" w14:textId="00EFAA31" w:rsidR="00C9394E" w:rsidRDefault="00C9394E" w:rsidP="00C9394E">
            <w:pPr>
              <w:spacing w:line="360" w:lineRule="auto"/>
              <w:jc w:val="both"/>
              <w:rPr>
                <w:rFonts w:ascii="Book Antiqua" w:eastAsia="Calibri" w:hAnsi="Book Antiqua"/>
                <w:color w:val="000000"/>
                <w:kern w:val="24"/>
              </w:rPr>
            </w:pPr>
            <w:r>
              <w:rPr>
                <w:rFonts w:ascii="Book Antiqua" w:eastAsia="Calibri" w:hAnsi="Book Antiqua" w:cs="Times New Roman"/>
                <w:color w:val="000000"/>
                <w:kern w:val="24"/>
              </w:rPr>
              <w:t>H</w:t>
            </w:r>
            <w:r w:rsidRPr="00CB4D8F">
              <w:rPr>
                <w:rFonts w:ascii="Book Antiqua" w:eastAsia="Calibri" w:hAnsi="Book Antiqua" w:cs="Times New Roman"/>
                <w:color w:val="000000"/>
                <w:kern w:val="24"/>
              </w:rPr>
              <w:t>ome drug</w:t>
            </w:r>
          </w:p>
        </w:tc>
        <w:tc>
          <w:tcPr>
            <w:tcW w:w="801" w:type="pct"/>
            <w:shd w:val="clear" w:color="auto" w:fill="auto"/>
          </w:tcPr>
          <w:p w14:paraId="58B465F7" w14:textId="4EAA102A"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Times New Roman" w:hAnsi="Book Antiqua" w:cs="Times New Roman"/>
              </w:rPr>
              <w:t>59 (52.2)</w:t>
            </w:r>
          </w:p>
        </w:tc>
        <w:tc>
          <w:tcPr>
            <w:tcW w:w="1020" w:type="pct"/>
            <w:shd w:val="clear" w:color="auto" w:fill="auto"/>
          </w:tcPr>
          <w:p w14:paraId="1BB8A6EC" w14:textId="6D3AF88B"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rPr>
              <w:t>NA</w:t>
            </w:r>
          </w:p>
        </w:tc>
        <w:tc>
          <w:tcPr>
            <w:tcW w:w="561" w:type="pct"/>
            <w:shd w:val="clear" w:color="auto" w:fill="auto"/>
          </w:tcPr>
          <w:p w14:paraId="15E87EAF" w14:textId="0A5DCBCF"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rPr>
              <w:t>NA</w:t>
            </w:r>
          </w:p>
        </w:tc>
      </w:tr>
      <w:tr w:rsidR="00C9394E" w:rsidRPr="00CB4D8F" w14:paraId="4C5FC0C5" w14:textId="77777777" w:rsidTr="00F148A5">
        <w:trPr>
          <w:trHeight w:val="448"/>
        </w:trPr>
        <w:tc>
          <w:tcPr>
            <w:tcW w:w="659" w:type="pct"/>
            <w:tcBorders>
              <w:bottom w:val="single" w:sz="4" w:space="0" w:color="auto"/>
            </w:tcBorders>
            <w:shd w:val="clear" w:color="auto" w:fill="auto"/>
          </w:tcPr>
          <w:p w14:paraId="5A451527" w14:textId="0862C926"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Gadiparthi</w:t>
            </w:r>
            <w:r>
              <w:rPr>
                <w:rFonts w:ascii="Book Antiqua" w:eastAsia="Calibri" w:hAnsi="Book Antiqua" w:cs="Times New Roman"/>
                <w:color w:val="000000"/>
                <w:kern w:val="24"/>
              </w:rPr>
              <w:t xml:space="preserve">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56</w:t>
            </w:r>
            <w:r w:rsidRPr="00CB4D8F">
              <w:rPr>
                <w:rFonts w:ascii="Book Antiqua" w:eastAsia="Calibri" w:hAnsi="Book Antiqua" w:cs="Times New Roman"/>
                <w:color w:val="000000"/>
                <w:kern w:val="24"/>
                <w:position w:val="7"/>
                <w:vertAlign w:val="superscript"/>
              </w:rPr>
              <w:t>]</w:t>
            </w:r>
          </w:p>
        </w:tc>
        <w:tc>
          <w:tcPr>
            <w:tcW w:w="729" w:type="pct"/>
            <w:tcBorders>
              <w:bottom w:val="single" w:sz="4" w:space="0" w:color="auto"/>
            </w:tcBorders>
            <w:shd w:val="clear" w:color="auto" w:fill="auto"/>
          </w:tcPr>
          <w:p w14:paraId="27495003" w14:textId="0C101688"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Retrospective</w:t>
            </w:r>
          </w:p>
        </w:tc>
        <w:tc>
          <w:tcPr>
            <w:tcW w:w="648" w:type="pct"/>
            <w:tcBorders>
              <w:bottom w:val="single" w:sz="4" w:space="0" w:color="auto"/>
            </w:tcBorders>
            <w:shd w:val="clear" w:color="auto" w:fill="auto"/>
          </w:tcPr>
          <w:p w14:paraId="0E2CA7D2" w14:textId="047D0AAB"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3</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color w:val="000000"/>
                <w:kern w:val="24"/>
                <w:lang w:val="en-US"/>
              </w:rPr>
              <w:t>(all with GI bleeding)</w:t>
            </w:r>
          </w:p>
        </w:tc>
        <w:tc>
          <w:tcPr>
            <w:tcW w:w="582" w:type="pct"/>
            <w:tcBorders>
              <w:bottom w:val="single" w:sz="4" w:space="0" w:color="auto"/>
            </w:tcBorders>
            <w:shd w:val="clear" w:color="auto" w:fill="auto"/>
          </w:tcPr>
          <w:p w14:paraId="622EE287" w14:textId="240FA27F"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In hospital</w:t>
            </w:r>
          </w:p>
        </w:tc>
        <w:tc>
          <w:tcPr>
            <w:tcW w:w="801" w:type="pct"/>
            <w:tcBorders>
              <w:bottom w:val="single" w:sz="4" w:space="0" w:color="auto"/>
            </w:tcBorders>
            <w:shd w:val="clear" w:color="auto" w:fill="auto"/>
          </w:tcPr>
          <w:p w14:paraId="3BB53A92" w14:textId="4C0EF97E"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3 (100)</w:t>
            </w:r>
          </w:p>
        </w:tc>
        <w:tc>
          <w:tcPr>
            <w:tcW w:w="1020" w:type="pct"/>
            <w:tcBorders>
              <w:bottom w:val="single" w:sz="4" w:space="0" w:color="auto"/>
            </w:tcBorders>
            <w:shd w:val="clear" w:color="auto" w:fill="auto"/>
          </w:tcPr>
          <w:p w14:paraId="1239BD44" w14:textId="48D5AC7F"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1 (33.3)</w:t>
            </w:r>
            <w:r>
              <w:rPr>
                <w:rFonts w:ascii="Book Antiqua" w:eastAsia="Times New Roman" w:hAnsi="Book Antiqua" w:cs="Times New Roman"/>
              </w:rPr>
              <w:t xml:space="preserve"> </w:t>
            </w:r>
            <w:r w:rsidRPr="00CB4D8F">
              <w:rPr>
                <w:rFonts w:ascii="Book Antiqua" w:eastAsia="Times New Roman" w:hAnsi="Book Antiqua" w:cs="Times New Roman"/>
              </w:rPr>
              <w:t>(intensive care unit)</w:t>
            </w:r>
          </w:p>
        </w:tc>
        <w:tc>
          <w:tcPr>
            <w:tcW w:w="561" w:type="pct"/>
            <w:tcBorders>
              <w:bottom w:val="single" w:sz="4" w:space="0" w:color="auto"/>
            </w:tcBorders>
            <w:shd w:val="clear" w:color="auto" w:fill="auto"/>
          </w:tcPr>
          <w:p w14:paraId="4C1E95A5" w14:textId="6DA9FEAA"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2 (66.7)</w:t>
            </w:r>
          </w:p>
        </w:tc>
      </w:tr>
    </w:tbl>
    <w:p w14:paraId="4D927064" w14:textId="09EBE70E" w:rsidR="00157BF9" w:rsidRDefault="00C9394E" w:rsidP="00D735AB">
      <w:pPr>
        <w:spacing w:line="360" w:lineRule="auto"/>
        <w:rPr>
          <w:rFonts w:ascii="Book Antiqua" w:eastAsia="Book Antiqua" w:hAnsi="Book Antiqua" w:cs="Book Antiqua"/>
          <w:color w:val="000000"/>
        </w:rPr>
      </w:pPr>
      <w:r>
        <w:rPr>
          <w:rFonts w:ascii="Book Antiqua" w:eastAsia="Book Antiqua" w:hAnsi="Book Antiqua" w:cs="Book Antiqua"/>
          <w:color w:val="000000"/>
        </w:rPr>
        <w:t>SARS-CoV-2: S</w:t>
      </w:r>
      <w:r w:rsidRPr="005865F1">
        <w:rPr>
          <w:rFonts w:ascii="Book Antiqua" w:eastAsia="Book Antiqua" w:hAnsi="Book Antiqua" w:cs="Book Antiqua"/>
          <w:color w:val="000000"/>
        </w:rPr>
        <w:t>evere acute respiratory syndrome coronavirus 2</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PPIs: Proton pump inhibitors; </w:t>
      </w:r>
      <w:r w:rsidR="001019FE">
        <w:rPr>
          <w:rFonts w:ascii="Book Antiqua" w:eastAsia="Book Antiqua" w:hAnsi="Book Antiqua" w:cs="Book Antiqua"/>
          <w:color w:val="000000"/>
        </w:rPr>
        <w:t>ARDS: A</w:t>
      </w:r>
      <w:r w:rsidR="001019FE" w:rsidRPr="001019FE">
        <w:rPr>
          <w:rFonts w:ascii="Book Antiqua" w:eastAsia="Book Antiqua" w:hAnsi="Book Antiqua" w:cs="Book Antiqua"/>
          <w:color w:val="000000"/>
        </w:rPr>
        <w:t>cute respiratory distress syndrome</w:t>
      </w:r>
      <w:r w:rsidR="001019FE">
        <w:rPr>
          <w:rFonts w:ascii="Book Antiqua" w:eastAsia="Book Antiqua" w:hAnsi="Book Antiqua" w:cs="Book Antiqua"/>
          <w:color w:val="000000"/>
        </w:rPr>
        <w:t xml:space="preserve">; </w:t>
      </w:r>
      <w:r w:rsidRPr="00C9394E">
        <w:rPr>
          <w:rFonts w:ascii="Book Antiqua" w:hAnsi="Book Antiqua" w:cs="Book Antiqua"/>
          <w:color w:val="000000"/>
          <w:lang w:eastAsia="zh-CN"/>
        </w:rPr>
        <w:t xml:space="preserve">NA: </w:t>
      </w:r>
      <w:r>
        <w:rPr>
          <w:rFonts w:ascii="Book Antiqua" w:hAnsi="Book Antiqua" w:cs="Book Antiqua"/>
          <w:color w:val="000000"/>
          <w:lang w:eastAsia="zh-CN"/>
        </w:rPr>
        <w:t>N</w:t>
      </w:r>
      <w:r w:rsidRPr="00C9394E">
        <w:rPr>
          <w:rFonts w:ascii="Book Antiqua" w:hAnsi="Book Antiqua" w:cs="Book Antiqua"/>
          <w:color w:val="000000"/>
          <w:lang w:eastAsia="zh-CN"/>
        </w:rPr>
        <w:t xml:space="preserve">ot available; HPB: </w:t>
      </w:r>
      <w:r>
        <w:rPr>
          <w:rFonts w:ascii="Book Antiqua" w:hAnsi="Book Antiqua" w:cs="Book Antiqua"/>
          <w:color w:val="000000"/>
          <w:lang w:eastAsia="zh-CN"/>
        </w:rPr>
        <w:t>H</w:t>
      </w:r>
      <w:r w:rsidRPr="00C9394E">
        <w:rPr>
          <w:rFonts w:ascii="Book Antiqua" w:hAnsi="Book Antiqua" w:cs="Book Antiqua"/>
          <w:color w:val="000000"/>
          <w:lang w:eastAsia="zh-CN"/>
        </w:rPr>
        <w:t>epato-pancreato-biliary</w:t>
      </w:r>
      <w:r>
        <w:rPr>
          <w:rFonts w:ascii="Book Antiqua" w:hAnsi="Book Antiqua" w:cs="Book Antiqua"/>
          <w:color w:val="000000"/>
          <w:lang w:eastAsia="zh-CN"/>
        </w:rPr>
        <w:t>;</w:t>
      </w:r>
      <w:r w:rsidR="001019FE">
        <w:rPr>
          <w:rFonts w:ascii="Book Antiqua" w:hAnsi="Book Antiqua" w:cs="Book Antiqua"/>
          <w:color w:val="000000"/>
          <w:lang w:eastAsia="zh-CN"/>
        </w:rPr>
        <w:t xml:space="preserve"> GI: </w:t>
      </w:r>
      <w:r w:rsidR="001019FE">
        <w:rPr>
          <w:rFonts w:ascii="Book Antiqua" w:eastAsia="Book Antiqua" w:hAnsi="Book Antiqua" w:cs="Book Antiqua"/>
          <w:color w:val="000000"/>
        </w:rPr>
        <w:t>Gastrointestinal.</w:t>
      </w:r>
    </w:p>
    <w:p w14:paraId="3A0BB577" w14:textId="77777777" w:rsidR="00157BF9" w:rsidRDefault="00157BF9">
      <w:pPr>
        <w:rPr>
          <w:rFonts w:ascii="Book Antiqua" w:eastAsia="Book Antiqua" w:hAnsi="Book Antiqua" w:cs="Book Antiqua"/>
          <w:color w:val="000000"/>
        </w:rPr>
      </w:pPr>
      <w:r>
        <w:rPr>
          <w:rFonts w:ascii="Book Antiqua" w:eastAsia="Book Antiqua" w:hAnsi="Book Antiqua" w:cs="Book Antiqua"/>
          <w:color w:val="000000"/>
        </w:rPr>
        <w:br w:type="page"/>
      </w:r>
    </w:p>
    <w:p w14:paraId="09AE7BAB" w14:textId="77777777" w:rsidR="00157BF9" w:rsidRDefault="00157BF9" w:rsidP="00157BF9">
      <w:pPr>
        <w:jc w:val="center"/>
        <w:rPr>
          <w:rFonts w:ascii="Book Antiqua" w:hAnsi="Book Antiqua"/>
          <w:lang w:eastAsia="zh-CN"/>
        </w:rPr>
      </w:pPr>
    </w:p>
    <w:p w14:paraId="05CB0107" w14:textId="77777777" w:rsidR="00157BF9" w:rsidRDefault="00157BF9" w:rsidP="00157BF9">
      <w:pPr>
        <w:jc w:val="center"/>
        <w:rPr>
          <w:rFonts w:ascii="Book Antiqua" w:hAnsi="Book Antiqua"/>
          <w:lang w:eastAsia="zh-CN"/>
        </w:rPr>
      </w:pPr>
    </w:p>
    <w:p w14:paraId="57F31BF8" w14:textId="77777777" w:rsidR="00157BF9" w:rsidRDefault="00157BF9" w:rsidP="00157BF9">
      <w:pPr>
        <w:jc w:val="center"/>
        <w:rPr>
          <w:rFonts w:ascii="Book Antiqua" w:hAnsi="Book Antiqua"/>
          <w:lang w:eastAsia="zh-CN"/>
        </w:rPr>
      </w:pPr>
    </w:p>
    <w:p w14:paraId="2484DC4D" w14:textId="77777777" w:rsidR="00157BF9" w:rsidRDefault="00157BF9" w:rsidP="00157BF9">
      <w:pPr>
        <w:jc w:val="center"/>
        <w:rPr>
          <w:rFonts w:ascii="Book Antiqua" w:hAnsi="Book Antiqua"/>
          <w:lang w:eastAsia="zh-CN"/>
        </w:rPr>
      </w:pPr>
    </w:p>
    <w:p w14:paraId="18043C55" w14:textId="77777777" w:rsidR="00157BF9" w:rsidRDefault="00157BF9" w:rsidP="00157BF9">
      <w:pPr>
        <w:jc w:val="center"/>
        <w:rPr>
          <w:rFonts w:ascii="Book Antiqua" w:hAnsi="Book Antiqua"/>
          <w:lang w:eastAsia="zh-CN"/>
        </w:rPr>
      </w:pPr>
    </w:p>
    <w:p w14:paraId="758B51DB" w14:textId="77777777" w:rsidR="00157BF9" w:rsidRDefault="00157BF9" w:rsidP="00157BF9">
      <w:pPr>
        <w:jc w:val="center"/>
        <w:rPr>
          <w:rFonts w:ascii="Book Antiqua" w:hAnsi="Book Antiqua"/>
          <w:lang w:eastAsia="zh-CN"/>
        </w:rPr>
      </w:pPr>
      <w:r>
        <w:rPr>
          <w:rFonts w:ascii="Book Antiqua" w:hAnsi="Book Antiqua"/>
          <w:noProof/>
          <w:lang w:eastAsia="zh-CN"/>
        </w:rPr>
        <w:drawing>
          <wp:inline distT="0" distB="0" distL="0" distR="0" wp14:anchorId="623A754A" wp14:editId="77B292FD">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D03B9C" w14:textId="77777777" w:rsidR="00157BF9" w:rsidRDefault="00157BF9" w:rsidP="00157BF9">
      <w:pPr>
        <w:jc w:val="center"/>
        <w:rPr>
          <w:rFonts w:ascii="Book Antiqua" w:hAnsi="Book Antiqua"/>
          <w:lang w:eastAsia="zh-CN"/>
        </w:rPr>
      </w:pPr>
    </w:p>
    <w:p w14:paraId="5B8BD604" w14:textId="77777777" w:rsidR="00157BF9" w:rsidRPr="00763D22" w:rsidRDefault="00157BF9" w:rsidP="00157BF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E9E4B85" w14:textId="77777777" w:rsidR="00157BF9" w:rsidRPr="00763D22" w:rsidRDefault="00157BF9" w:rsidP="00157BF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9C3EEA8" w14:textId="77777777" w:rsidR="00157BF9" w:rsidRPr="00763D22" w:rsidRDefault="00157BF9" w:rsidP="00157BF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CA7657F" w14:textId="77777777" w:rsidR="00157BF9" w:rsidRPr="00763D22" w:rsidRDefault="00157BF9" w:rsidP="00157BF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CED7109" w14:textId="77777777" w:rsidR="00157BF9" w:rsidRPr="00763D22" w:rsidRDefault="00157BF9" w:rsidP="00157BF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C162D14" w14:textId="77777777" w:rsidR="00157BF9" w:rsidRPr="00763D22" w:rsidRDefault="00157BF9" w:rsidP="00157BF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9CC24B1" w14:textId="77777777" w:rsidR="00157BF9" w:rsidRDefault="00157BF9" w:rsidP="00157BF9">
      <w:pPr>
        <w:jc w:val="center"/>
        <w:rPr>
          <w:rFonts w:ascii="Book Antiqua" w:hAnsi="Book Antiqua"/>
          <w:lang w:eastAsia="zh-CN"/>
        </w:rPr>
      </w:pPr>
    </w:p>
    <w:p w14:paraId="57A87EA1" w14:textId="77777777" w:rsidR="00157BF9" w:rsidRDefault="00157BF9" w:rsidP="00157BF9">
      <w:pPr>
        <w:jc w:val="center"/>
        <w:rPr>
          <w:rFonts w:ascii="Book Antiqua" w:hAnsi="Book Antiqua"/>
          <w:lang w:eastAsia="zh-CN"/>
        </w:rPr>
      </w:pPr>
    </w:p>
    <w:p w14:paraId="760EC8A4" w14:textId="77777777" w:rsidR="00157BF9" w:rsidRDefault="00157BF9" w:rsidP="00157BF9">
      <w:pPr>
        <w:jc w:val="center"/>
        <w:rPr>
          <w:rFonts w:ascii="Book Antiqua" w:hAnsi="Book Antiqua"/>
          <w:lang w:eastAsia="zh-CN"/>
        </w:rPr>
      </w:pPr>
    </w:p>
    <w:p w14:paraId="303439D5" w14:textId="77777777" w:rsidR="00157BF9" w:rsidRDefault="00157BF9" w:rsidP="00157BF9">
      <w:pPr>
        <w:jc w:val="center"/>
        <w:rPr>
          <w:rFonts w:ascii="Book Antiqua" w:hAnsi="Book Antiqua"/>
          <w:lang w:eastAsia="zh-CN"/>
        </w:rPr>
      </w:pPr>
      <w:r>
        <w:rPr>
          <w:rFonts w:ascii="Book Antiqua" w:hAnsi="Book Antiqua"/>
          <w:noProof/>
          <w:lang w:eastAsia="zh-CN"/>
        </w:rPr>
        <w:drawing>
          <wp:inline distT="0" distB="0" distL="0" distR="0" wp14:anchorId="18BDDE76" wp14:editId="470C1395">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9B7CC4" w14:textId="77777777" w:rsidR="00157BF9" w:rsidRDefault="00157BF9" w:rsidP="00157BF9">
      <w:pPr>
        <w:jc w:val="center"/>
        <w:rPr>
          <w:rFonts w:ascii="Book Antiqua" w:hAnsi="Book Antiqua"/>
          <w:lang w:eastAsia="zh-CN"/>
        </w:rPr>
      </w:pPr>
    </w:p>
    <w:p w14:paraId="0E0E439F" w14:textId="77777777" w:rsidR="00157BF9" w:rsidRDefault="00157BF9" w:rsidP="00157BF9">
      <w:pPr>
        <w:jc w:val="center"/>
        <w:rPr>
          <w:rFonts w:ascii="Book Antiqua" w:hAnsi="Book Antiqua"/>
          <w:lang w:eastAsia="zh-CN"/>
        </w:rPr>
      </w:pPr>
    </w:p>
    <w:p w14:paraId="5444EB20" w14:textId="77777777" w:rsidR="00157BF9" w:rsidRDefault="00157BF9" w:rsidP="00157BF9">
      <w:pPr>
        <w:jc w:val="center"/>
        <w:rPr>
          <w:rFonts w:ascii="Book Antiqua" w:hAnsi="Book Antiqua"/>
          <w:lang w:eastAsia="zh-CN"/>
        </w:rPr>
      </w:pPr>
    </w:p>
    <w:p w14:paraId="72FD0596" w14:textId="77777777" w:rsidR="00157BF9" w:rsidRDefault="00157BF9" w:rsidP="00157BF9">
      <w:pPr>
        <w:jc w:val="center"/>
        <w:rPr>
          <w:rFonts w:ascii="Book Antiqua" w:hAnsi="Book Antiqua"/>
          <w:lang w:eastAsia="zh-CN"/>
        </w:rPr>
      </w:pPr>
    </w:p>
    <w:p w14:paraId="6FCC38F6" w14:textId="77777777" w:rsidR="00157BF9" w:rsidRDefault="00157BF9" w:rsidP="00157BF9">
      <w:pPr>
        <w:jc w:val="center"/>
        <w:rPr>
          <w:rFonts w:ascii="Book Antiqua" w:hAnsi="Book Antiqua"/>
          <w:lang w:eastAsia="zh-CN"/>
        </w:rPr>
      </w:pPr>
    </w:p>
    <w:p w14:paraId="08B21DBF" w14:textId="77777777" w:rsidR="00157BF9" w:rsidRDefault="00157BF9" w:rsidP="00157BF9">
      <w:pPr>
        <w:jc w:val="center"/>
        <w:rPr>
          <w:rFonts w:ascii="Book Antiqua" w:hAnsi="Book Antiqua"/>
          <w:lang w:eastAsia="zh-CN"/>
        </w:rPr>
      </w:pPr>
    </w:p>
    <w:p w14:paraId="342BDCEA" w14:textId="77777777" w:rsidR="00157BF9" w:rsidRDefault="00157BF9" w:rsidP="00157BF9">
      <w:pPr>
        <w:jc w:val="center"/>
        <w:rPr>
          <w:rFonts w:ascii="Book Antiqua" w:hAnsi="Book Antiqua"/>
          <w:lang w:eastAsia="zh-CN"/>
        </w:rPr>
      </w:pPr>
    </w:p>
    <w:p w14:paraId="11C6BD26" w14:textId="77777777" w:rsidR="00157BF9" w:rsidRDefault="00157BF9" w:rsidP="00157BF9">
      <w:pPr>
        <w:jc w:val="center"/>
        <w:rPr>
          <w:rFonts w:ascii="Book Antiqua" w:hAnsi="Book Antiqua"/>
          <w:lang w:eastAsia="zh-CN"/>
        </w:rPr>
      </w:pPr>
    </w:p>
    <w:p w14:paraId="105320DE" w14:textId="77777777" w:rsidR="00157BF9" w:rsidRDefault="00157BF9" w:rsidP="00157BF9">
      <w:pPr>
        <w:jc w:val="center"/>
        <w:rPr>
          <w:rFonts w:ascii="Book Antiqua" w:hAnsi="Book Antiqua"/>
          <w:lang w:eastAsia="zh-CN"/>
        </w:rPr>
      </w:pPr>
    </w:p>
    <w:p w14:paraId="602091C1" w14:textId="77777777" w:rsidR="00157BF9" w:rsidRPr="00763D22" w:rsidRDefault="00157BF9" w:rsidP="00157BF9">
      <w:pPr>
        <w:jc w:val="right"/>
        <w:rPr>
          <w:rFonts w:ascii="Book Antiqua" w:hAnsi="Book Antiqua"/>
          <w:color w:val="000000" w:themeColor="text1"/>
          <w:lang w:eastAsia="zh-CN"/>
        </w:rPr>
      </w:pPr>
    </w:p>
    <w:p w14:paraId="5C84804A" w14:textId="77777777" w:rsidR="00157BF9" w:rsidRPr="00763D22" w:rsidRDefault="00157BF9" w:rsidP="00157BF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89A7E4B" w14:textId="77777777" w:rsidR="00CB4D8F" w:rsidRPr="00157BF9" w:rsidRDefault="00CB4D8F" w:rsidP="00D735AB">
      <w:pPr>
        <w:spacing w:line="360" w:lineRule="auto"/>
        <w:rPr>
          <w:rFonts w:ascii="Book Antiqua" w:hAnsi="Book Antiqua" w:cs="Book Antiqua"/>
          <w:color w:val="000000"/>
          <w:lang w:eastAsia="zh-CN"/>
        </w:rPr>
      </w:pPr>
    </w:p>
    <w:sectPr w:rsidR="00CB4D8F" w:rsidRPr="00157BF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jrw" w:date="2021-03-01T13:04:00Z" w:initials="j">
    <w:p w14:paraId="3E4EBF7C" w14:textId="4EC8E4D9" w:rsidR="00C74F3B" w:rsidRDefault="00C74F3B">
      <w:pPr>
        <w:pStyle w:val="a6"/>
      </w:pPr>
      <w:r>
        <w:rPr>
          <w:rStyle w:val="a5"/>
        </w:rPr>
        <w:annotationRef/>
      </w:r>
      <w:r>
        <w:t>Incorrect spelling of retrieved. Should accord be accordance?</w:t>
      </w:r>
    </w:p>
  </w:comment>
  <w:comment w:id="15" w:author="Maddalena Zippi" w:date="2021-03-01T15:45:00Z" w:initials="MZ">
    <w:p w14:paraId="29348651" w14:textId="747B6FC3" w:rsidR="000377E8" w:rsidRDefault="000377E8">
      <w:pPr>
        <w:pStyle w:val="a6"/>
      </w:pPr>
      <w:r>
        <w:rPr>
          <w:rStyle w:val="a5"/>
        </w:rPr>
        <w:annotationRef/>
      </w:r>
      <w:r>
        <w:t>Ok for the legend</w:t>
      </w:r>
    </w:p>
  </w:comment>
  <w:comment w:id="16" w:author="jrw" w:date="2021-03-01T13:05:00Z" w:initials="j">
    <w:p w14:paraId="7FE6B3AB" w14:textId="56ACDDA6" w:rsidR="00C74F3B" w:rsidRDefault="00C74F3B">
      <w:pPr>
        <w:pStyle w:val="a6"/>
      </w:pPr>
      <w:r>
        <w:rPr>
          <w:rStyle w:val="a5"/>
        </w:rPr>
        <w:annotationRef/>
      </w:r>
      <w:r>
        <w:t>Should favours be favors?</w:t>
      </w:r>
    </w:p>
  </w:comment>
  <w:comment w:id="17" w:author="Maddalena Zippi" w:date="2021-03-01T15:46:00Z" w:initials="MZ">
    <w:p w14:paraId="3E7B8DFE" w14:textId="0198418B" w:rsidR="000377E8" w:rsidRDefault="000377E8">
      <w:pPr>
        <w:pStyle w:val="a6"/>
      </w:pPr>
      <w:r>
        <w:rPr>
          <w:rStyle w:val="a5"/>
        </w:rPr>
        <w:annotationRef/>
      </w:r>
      <w:r>
        <w:t>favour</w:t>
      </w:r>
    </w:p>
  </w:comment>
  <w:comment w:id="18" w:author="jrw" w:date="2021-03-01T13:06:00Z" w:initials="j">
    <w:p w14:paraId="40C01C8B" w14:textId="4DEF680F" w:rsidR="00C74F3B" w:rsidRDefault="00C74F3B">
      <w:pPr>
        <w:pStyle w:val="a6"/>
      </w:pPr>
      <w:r>
        <w:rPr>
          <w:rStyle w:val="a5"/>
        </w:rPr>
        <w:annotationRef/>
      </w:r>
      <w:r>
        <w:t>Please see comment 2.</w:t>
      </w:r>
    </w:p>
  </w:comment>
  <w:comment w:id="19" w:author="Maddalena Zippi" w:date="2021-03-01T15:46:00Z" w:initials="MZ">
    <w:p w14:paraId="49171EFA" w14:textId="39D51208" w:rsidR="000377E8" w:rsidRDefault="000377E8">
      <w:pPr>
        <w:pStyle w:val="a6"/>
      </w:pPr>
      <w:r>
        <w:rPr>
          <w:rStyle w:val="a5"/>
        </w:rPr>
        <w:annotationRef/>
      </w:r>
      <w:r>
        <w:t>Ok for the legend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4EBF7C" w15:done="0"/>
  <w15:commentEx w15:paraId="29348651" w15:paraIdParent="3E4EBF7C" w15:done="0"/>
  <w15:commentEx w15:paraId="7FE6B3AB" w15:done="0"/>
  <w15:commentEx w15:paraId="3E7B8DFE" w15:paraIdParent="7FE6B3AB" w15:done="0"/>
  <w15:commentEx w15:paraId="40C01C8B" w15:done="0"/>
  <w15:commentEx w15:paraId="49171EFA" w15:paraIdParent="40C01C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183CD" w14:textId="77777777" w:rsidR="0081726B" w:rsidRDefault="0081726B" w:rsidP="00007863">
      <w:r>
        <w:separator/>
      </w:r>
    </w:p>
  </w:endnote>
  <w:endnote w:type="continuationSeparator" w:id="0">
    <w:p w14:paraId="17368D58" w14:textId="77777777" w:rsidR="0081726B" w:rsidRDefault="0081726B" w:rsidP="0000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n-e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86759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78FDBCE" w14:textId="53FFC6BB" w:rsidR="005269D5" w:rsidRPr="00024D88" w:rsidRDefault="005269D5" w:rsidP="00024D88">
            <w:pPr>
              <w:pStyle w:val="a4"/>
              <w:jc w:val="right"/>
              <w:rPr>
                <w:rFonts w:ascii="Book Antiqua" w:hAnsi="Book Antiqua"/>
                <w:sz w:val="24"/>
                <w:szCs w:val="24"/>
              </w:rPr>
            </w:pPr>
            <w:r w:rsidRPr="00024D88">
              <w:rPr>
                <w:rFonts w:ascii="Book Antiqua" w:hAnsi="Book Antiqua"/>
                <w:sz w:val="24"/>
                <w:szCs w:val="24"/>
                <w:lang w:val="zh-CN" w:eastAsia="zh-CN"/>
              </w:rPr>
              <w:t xml:space="preserve"> </w:t>
            </w:r>
            <w:r w:rsidRPr="00024D88">
              <w:rPr>
                <w:rFonts w:ascii="Book Antiqua" w:hAnsi="Book Antiqua"/>
                <w:sz w:val="24"/>
                <w:szCs w:val="24"/>
              </w:rPr>
              <w:fldChar w:fldCharType="begin"/>
            </w:r>
            <w:r w:rsidRPr="00024D88">
              <w:rPr>
                <w:rFonts w:ascii="Book Antiqua" w:hAnsi="Book Antiqua"/>
                <w:sz w:val="24"/>
                <w:szCs w:val="24"/>
              </w:rPr>
              <w:instrText>PAGE</w:instrText>
            </w:r>
            <w:r w:rsidRPr="00024D88">
              <w:rPr>
                <w:rFonts w:ascii="Book Antiqua" w:hAnsi="Book Antiqua"/>
                <w:sz w:val="24"/>
                <w:szCs w:val="24"/>
              </w:rPr>
              <w:fldChar w:fldCharType="separate"/>
            </w:r>
            <w:r w:rsidR="0081726B">
              <w:rPr>
                <w:rFonts w:ascii="Book Antiqua" w:hAnsi="Book Antiqua"/>
                <w:noProof/>
                <w:sz w:val="24"/>
                <w:szCs w:val="24"/>
              </w:rPr>
              <w:t>1</w:t>
            </w:r>
            <w:r w:rsidRPr="00024D88">
              <w:rPr>
                <w:rFonts w:ascii="Book Antiqua" w:hAnsi="Book Antiqua"/>
                <w:sz w:val="24"/>
                <w:szCs w:val="24"/>
              </w:rPr>
              <w:fldChar w:fldCharType="end"/>
            </w:r>
            <w:r w:rsidRPr="00024D88">
              <w:rPr>
                <w:rFonts w:ascii="Book Antiqua" w:hAnsi="Book Antiqua"/>
                <w:sz w:val="24"/>
                <w:szCs w:val="24"/>
                <w:lang w:val="zh-CN" w:eastAsia="zh-CN"/>
              </w:rPr>
              <w:t xml:space="preserve"> / </w:t>
            </w:r>
            <w:r w:rsidRPr="00024D88">
              <w:rPr>
                <w:rFonts w:ascii="Book Antiqua" w:hAnsi="Book Antiqua"/>
                <w:sz w:val="24"/>
                <w:szCs w:val="24"/>
              </w:rPr>
              <w:fldChar w:fldCharType="begin"/>
            </w:r>
            <w:r w:rsidRPr="00024D88">
              <w:rPr>
                <w:rFonts w:ascii="Book Antiqua" w:hAnsi="Book Antiqua"/>
                <w:sz w:val="24"/>
                <w:szCs w:val="24"/>
              </w:rPr>
              <w:instrText>NUMPAGES</w:instrText>
            </w:r>
            <w:r w:rsidRPr="00024D88">
              <w:rPr>
                <w:rFonts w:ascii="Book Antiqua" w:hAnsi="Book Antiqua"/>
                <w:sz w:val="24"/>
                <w:szCs w:val="24"/>
              </w:rPr>
              <w:fldChar w:fldCharType="separate"/>
            </w:r>
            <w:r w:rsidR="0081726B">
              <w:rPr>
                <w:rFonts w:ascii="Book Antiqua" w:hAnsi="Book Antiqua"/>
                <w:noProof/>
                <w:sz w:val="24"/>
                <w:szCs w:val="24"/>
              </w:rPr>
              <w:t>1</w:t>
            </w:r>
            <w:r w:rsidRPr="00024D88">
              <w:rPr>
                <w:rFonts w:ascii="Book Antiqua" w:hAnsi="Book Antiqua"/>
                <w:sz w:val="24"/>
                <w:szCs w:val="24"/>
              </w:rPr>
              <w:fldChar w:fldCharType="end"/>
            </w:r>
          </w:p>
        </w:sdtContent>
      </w:sdt>
    </w:sdtContent>
  </w:sdt>
  <w:p w14:paraId="248DF5B9" w14:textId="77777777" w:rsidR="005269D5" w:rsidRPr="00024D88" w:rsidRDefault="005269D5" w:rsidP="00024D88">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BCE6A" w14:textId="77777777" w:rsidR="0081726B" w:rsidRDefault="0081726B" w:rsidP="00007863">
      <w:r>
        <w:separator/>
      </w:r>
    </w:p>
  </w:footnote>
  <w:footnote w:type="continuationSeparator" w:id="0">
    <w:p w14:paraId="122C6F29" w14:textId="77777777" w:rsidR="0081726B" w:rsidRDefault="0081726B" w:rsidP="00007863">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ddalena Zippi">
    <w15:presenceInfo w15:providerId="AD" w15:userId="S-1-5-21-4279605229-1478352052-467362509-3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9CA"/>
    <w:rsid w:val="00007863"/>
    <w:rsid w:val="0002399B"/>
    <w:rsid w:val="00024D88"/>
    <w:rsid w:val="00024DDC"/>
    <w:rsid w:val="00025C08"/>
    <w:rsid w:val="000377E8"/>
    <w:rsid w:val="000762E0"/>
    <w:rsid w:val="00085739"/>
    <w:rsid w:val="000C589A"/>
    <w:rsid w:val="000E60D7"/>
    <w:rsid w:val="000E61D0"/>
    <w:rsid w:val="000E634F"/>
    <w:rsid w:val="001019FE"/>
    <w:rsid w:val="00141DC3"/>
    <w:rsid w:val="00143B8D"/>
    <w:rsid w:val="00157BF9"/>
    <w:rsid w:val="001803BE"/>
    <w:rsid w:val="00184EEB"/>
    <w:rsid w:val="001A5CDE"/>
    <w:rsid w:val="001B36D5"/>
    <w:rsid w:val="001F21F2"/>
    <w:rsid w:val="001F59DE"/>
    <w:rsid w:val="002353C4"/>
    <w:rsid w:val="002371A6"/>
    <w:rsid w:val="00276E8A"/>
    <w:rsid w:val="002A2124"/>
    <w:rsid w:val="00324486"/>
    <w:rsid w:val="003274D5"/>
    <w:rsid w:val="00374A8C"/>
    <w:rsid w:val="00422EE6"/>
    <w:rsid w:val="00454879"/>
    <w:rsid w:val="00486546"/>
    <w:rsid w:val="004D43B0"/>
    <w:rsid w:val="004F16A1"/>
    <w:rsid w:val="0050016D"/>
    <w:rsid w:val="005269D5"/>
    <w:rsid w:val="00527A26"/>
    <w:rsid w:val="00547CAB"/>
    <w:rsid w:val="0058069C"/>
    <w:rsid w:val="00580E00"/>
    <w:rsid w:val="00592034"/>
    <w:rsid w:val="005B16D8"/>
    <w:rsid w:val="005B58F9"/>
    <w:rsid w:val="005B65D1"/>
    <w:rsid w:val="00626FBA"/>
    <w:rsid w:val="006675C4"/>
    <w:rsid w:val="006A39FB"/>
    <w:rsid w:val="006C2815"/>
    <w:rsid w:val="006C33F7"/>
    <w:rsid w:val="006F5C45"/>
    <w:rsid w:val="00787EBB"/>
    <w:rsid w:val="007B2649"/>
    <w:rsid w:val="007B5CFE"/>
    <w:rsid w:val="007D2E57"/>
    <w:rsid w:val="008047DC"/>
    <w:rsid w:val="0081726B"/>
    <w:rsid w:val="008222D4"/>
    <w:rsid w:val="008347E8"/>
    <w:rsid w:val="00856025"/>
    <w:rsid w:val="008928E1"/>
    <w:rsid w:val="008A37B4"/>
    <w:rsid w:val="009052E2"/>
    <w:rsid w:val="00905B57"/>
    <w:rsid w:val="0095688A"/>
    <w:rsid w:val="009A0907"/>
    <w:rsid w:val="00A0503F"/>
    <w:rsid w:val="00A13AD9"/>
    <w:rsid w:val="00A203F7"/>
    <w:rsid w:val="00A21DFA"/>
    <w:rsid w:val="00A5505F"/>
    <w:rsid w:val="00A56A29"/>
    <w:rsid w:val="00A77B3E"/>
    <w:rsid w:val="00A77F49"/>
    <w:rsid w:val="00A92178"/>
    <w:rsid w:val="00AA0DA4"/>
    <w:rsid w:val="00AC1A54"/>
    <w:rsid w:val="00AC1BD6"/>
    <w:rsid w:val="00AD0D95"/>
    <w:rsid w:val="00B2471C"/>
    <w:rsid w:val="00B35345"/>
    <w:rsid w:val="00B408B0"/>
    <w:rsid w:val="00B52C5C"/>
    <w:rsid w:val="00B94475"/>
    <w:rsid w:val="00B945CD"/>
    <w:rsid w:val="00C43656"/>
    <w:rsid w:val="00C5124C"/>
    <w:rsid w:val="00C54B2C"/>
    <w:rsid w:val="00C640D9"/>
    <w:rsid w:val="00C6535D"/>
    <w:rsid w:val="00C65852"/>
    <w:rsid w:val="00C72B07"/>
    <w:rsid w:val="00C74F3B"/>
    <w:rsid w:val="00C8531E"/>
    <w:rsid w:val="00C86593"/>
    <w:rsid w:val="00C9394E"/>
    <w:rsid w:val="00CA2A55"/>
    <w:rsid w:val="00CB4D8F"/>
    <w:rsid w:val="00CC7B84"/>
    <w:rsid w:val="00CD54C0"/>
    <w:rsid w:val="00CF144D"/>
    <w:rsid w:val="00CF716A"/>
    <w:rsid w:val="00CF7D69"/>
    <w:rsid w:val="00D4205A"/>
    <w:rsid w:val="00D44D60"/>
    <w:rsid w:val="00D735AB"/>
    <w:rsid w:val="00DC57F8"/>
    <w:rsid w:val="00DC5AE2"/>
    <w:rsid w:val="00DE354D"/>
    <w:rsid w:val="00DE4562"/>
    <w:rsid w:val="00DE594C"/>
    <w:rsid w:val="00E018AE"/>
    <w:rsid w:val="00E42D8B"/>
    <w:rsid w:val="00E67C04"/>
    <w:rsid w:val="00EA78CE"/>
    <w:rsid w:val="00EF5788"/>
    <w:rsid w:val="00F148A5"/>
    <w:rsid w:val="00F30D12"/>
    <w:rsid w:val="00F670CE"/>
    <w:rsid w:val="00FA235B"/>
    <w:rsid w:val="00FC44D6"/>
    <w:rsid w:val="00FF2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76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078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07863"/>
    <w:rPr>
      <w:sz w:val="18"/>
      <w:szCs w:val="18"/>
    </w:rPr>
  </w:style>
  <w:style w:type="paragraph" w:styleId="a4">
    <w:name w:val="footer"/>
    <w:basedOn w:val="a"/>
    <w:link w:val="Char0"/>
    <w:uiPriority w:val="99"/>
    <w:unhideWhenUsed/>
    <w:rsid w:val="00007863"/>
    <w:pPr>
      <w:tabs>
        <w:tab w:val="center" w:pos="4153"/>
        <w:tab w:val="right" w:pos="8306"/>
      </w:tabs>
      <w:snapToGrid w:val="0"/>
    </w:pPr>
    <w:rPr>
      <w:sz w:val="18"/>
      <w:szCs w:val="18"/>
    </w:rPr>
  </w:style>
  <w:style w:type="character" w:customStyle="1" w:styleId="Char0">
    <w:name w:val="页脚 Char"/>
    <w:basedOn w:val="a0"/>
    <w:link w:val="a4"/>
    <w:uiPriority w:val="99"/>
    <w:rsid w:val="00007863"/>
    <w:rPr>
      <w:sz w:val="18"/>
      <w:szCs w:val="18"/>
    </w:rPr>
  </w:style>
  <w:style w:type="character" w:styleId="a5">
    <w:name w:val="annotation reference"/>
    <w:basedOn w:val="a0"/>
    <w:semiHidden/>
    <w:unhideWhenUsed/>
    <w:rsid w:val="00007863"/>
    <w:rPr>
      <w:sz w:val="21"/>
      <w:szCs w:val="21"/>
    </w:rPr>
  </w:style>
  <w:style w:type="paragraph" w:styleId="a6">
    <w:name w:val="annotation text"/>
    <w:basedOn w:val="a"/>
    <w:link w:val="Char1"/>
    <w:semiHidden/>
    <w:unhideWhenUsed/>
    <w:rsid w:val="00007863"/>
  </w:style>
  <w:style w:type="character" w:customStyle="1" w:styleId="Char1">
    <w:name w:val="批注文字 Char"/>
    <w:basedOn w:val="a0"/>
    <w:link w:val="a6"/>
    <w:semiHidden/>
    <w:rsid w:val="00007863"/>
    <w:rPr>
      <w:sz w:val="24"/>
      <w:szCs w:val="24"/>
    </w:rPr>
  </w:style>
  <w:style w:type="paragraph" w:styleId="a7">
    <w:name w:val="annotation subject"/>
    <w:basedOn w:val="a6"/>
    <w:next w:val="a6"/>
    <w:link w:val="Char2"/>
    <w:semiHidden/>
    <w:unhideWhenUsed/>
    <w:rsid w:val="00007863"/>
    <w:rPr>
      <w:b/>
      <w:bCs/>
    </w:rPr>
  </w:style>
  <w:style w:type="character" w:customStyle="1" w:styleId="Char2">
    <w:name w:val="批注主题 Char"/>
    <w:basedOn w:val="Char1"/>
    <w:link w:val="a7"/>
    <w:semiHidden/>
    <w:rsid w:val="00007863"/>
    <w:rPr>
      <w:b/>
      <w:bCs/>
      <w:sz w:val="24"/>
      <w:szCs w:val="24"/>
    </w:rPr>
  </w:style>
  <w:style w:type="paragraph" w:styleId="a8">
    <w:name w:val="Balloon Text"/>
    <w:basedOn w:val="a"/>
    <w:link w:val="Char3"/>
    <w:uiPriority w:val="99"/>
    <w:unhideWhenUsed/>
    <w:rsid w:val="00007863"/>
    <w:pPr>
      <w:widowControl w:val="0"/>
      <w:jc w:val="both"/>
    </w:pPr>
    <w:rPr>
      <w:rFonts w:asciiTheme="minorHAnsi" w:hAnsiTheme="minorHAnsi" w:cstheme="minorBidi"/>
      <w:kern w:val="2"/>
      <w:sz w:val="18"/>
      <w:szCs w:val="18"/>
      <w:lang w:eastAsia="zh-CN"/>
    </w:rPr>
  </w:style>
  <w:style w:type="character" w:customStyle="1" w:styleId="Char3">
    <w:name w:val="批注框文本 Char"/>
    <w:basedOn w:val="a0"/>
    <w:link w:val="a8"/>
    <w:uiPriority w:val="99"/>
    <w:rsid w:val="00007863"/>
    <w:rPr>
      <w:rFonts w:asciiTheme="minorHAnsi" w:hAnsiTheme="minorHAnsi" w:cstheme="minorBidi"/>
      <w:kern w:val="2"/>
      <w:sz w:val="18"/>
      <w:szCs w:val="18"/>
      <w:lang w:eastAsia="zh-CN"/>
    </w:rPr>
  </w:style>
  <w:style w:type="table" w:styleId="a9">
    <w:name w:val="Table Grid"/>
    <w:basedOn w:val="a1"/>
    <w:uiPriority w:val="59"/>
    <w:rsid w:val="00CB4D8F"/>
    <w:rPr>
      <w:rFonts w:asciiTheme="minorHAnsi" w:hAnsiTheme="minorHAnsi" w:cstheme="minorBidi"/>
      <w:sz w:val="22"/>
      <w:szCs w:val="22"/>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D44D60"/>
    <w:rPr>
      <w:i/>
      <w:iCs/>
    </w:rPr>
  </w:style>
  <w:style w:type="character" w:styleId="ab">
    <w:name w:val="Strong"/>
    <w:basedOn w:val="a0"/>
    <w:uiPriority w:val="22"/>
    <w:qFormat/>
    <w:rsid w:val="00D44D60"/>
    <w:rPr>
      <w:b/>
      <w:bCs/>
    </w:rPr>
  </w:style>
  <w:style w:type="character" w:styleId="ac">
    <w:name w:val="Hyperlink"/>
    <w:basedOn w:val="a0"/>
    <w:unhideWhenUsed/>
    <w:rsid w:val="00FF2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078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07863"/>
    <w:rPr>
      <w:sz w:val="18"/>
      <w:szCs w:val="18"/>
    </w:rPr>
  </w:style>
  <w:style w:type="paragraph" w:styleId="a4">
    <w:name w:val="footer"/>
    <w:basedOn w:val="a"/>
    <w:link w:val="Char0"/>
    <w:uiPriority w:val="99"/>
    <w:unhideWhenUsed/>
    <w:rsid w:val="00007863"/>
    <w:pPr>
      <w:tabs>
        <w:tab w:val="center" w:pos="4153"/>
        <w:tab w:val="right" w:pos="8306"/>
      </w:tabs>
      <w:snapToGrid w:val="0"/>
    </w:pPr>
    <w:rPr>
      <w:sz w:val="18"/>
      <w:szCs w:val="18"/>
    </w:rPr>
  </w:style>
  <w:style w:type="character" w:customStyle="1" w:styleId="Char0">
    <w:name w:val="页脚 Char"/>
    <w:basedOn w:val="a0"/>
    <w:link w:val="a4"/>
    <w:uiPriority w:val="99"/>
    <w:rsid w:val="00007863"/>
    <w:rPr>
      <w:sz w:val="18"/>
      <w:szCs w:val="18"/>
    </w:rPr>
  </w:style>
  <w:style w:type="character" w:styleId="a5">
    <w:name w:val="annotation reference"/>
    <w:basedOn w:val="a0"/>
    <w:semiHidden/>
    <w:unhideWhenUsed/>
    <w:rsid w:val="00007863"/>
    <w:rPr>
      <w:sz w:val="21"/>
      <w:szCs w:val="21"/>
    </w:rPr>
  </w:style>
  <w:style w:type="paragraph" w:styleId="a6">
    <w:name w:val="annotation text"/>
    <w:basedOn w:val="a"/>
    <w:link w:val="Char1"/>
    <w:semiHidden/>
    <w:unhideWhenUsed/>
    <w:rsid w:val="00007863"/>
  </w:style>
  <w:style w:type="character" w:customStyle="1" w:styleId="Char1">
    <w:name w:val="批注文字 Char"/>
    <w:basedOn w:val="a0"/>
    <w:link w:val="a6"/>
    <w:semiHidden/>
    <w:rsid w:val="00007863"/>
    <w:rPr>
      <w:sz w:val="24"/>
      <w:szCs w:val="24"/>
    </w:rPr>
  </w:style>
  <w:style w:type="paragraph" w:styleId="a7">
    <w:name w:val="annotation subject"/>
    <w:basedOn w:val="a6"/>
    <w:next w:val="a6"/>
    <w:link w:val="Char2"/>
    <w:semiHidden/>
    <w:unhideWhenUsed/>
    <w:rsid w:val="00007863"/>
    <w:rPr>
      <w:b/>
      <w:bCs/>
    </w:rPr>
  </w:style>
  <w:style w:type="character" w:customStyle="1" w:styleId="Char2">
    <w:name w:val="批注主题 Char"/>
    <w:basedOn w:val="Char1"/>
    <w:link w:val="a7"/>
    <w:semiHidden/>
    <w:rsid w:val="00007863"/>
    <w:rPr>
      <w:b/>
      <w:bCs/>
      <w:sz w:val="24"/>
      <w:szCs w:val="24"/>
    </w:rPr>
  </w:style>
  <w:style w:type="paragraph" w:styleId="a8">
    <w:name w:val="Balloon Text"/>
    <w:basedOn w:val="a"/>
    <w:link w:val="Char3"/>
    <w:uiPriority w:val="99"/>
    <w:unhideWhenUsed/>
    <w:rsid w:val="00007863"/>
    <w:pPr>
      <w:widowControl w:val="0"/>
      <w:jc w:val="both"/>
    </w:pPr>
    <w:rPr>
      <w:rFonts w:asciiTheme="minorHAnsi" w:hAnsiTheme="minorHAnsi" w:cstheme="minorBidi"/>
      <w:kern w:val="2"/>
      <w:sz w:val="18"/>
      <w:szCs w:val="18"/>
      <w:lang w:eastAsia="zh-CN"/>
    </w:rPr>
  </w:style>
  <w:style w:type="character" w:customStyle="1" w:styleId="Char3">
    <w:name w:val="批注框文本 Char"/>
    <w:basedOn w:val="a0"/>
    <w:link w:val="a8"/>
    <w:uiPriority w:val="99"/>
    <w:rsid w:val="00007863"/>
    <w:rPr>
      <w:rFonts w:asciiTheme="minorHAnsi" w:hAnsiTheme="minorHAnsi" w:cstheme="minorBidi"/>
      <w:kern w:val="2"/>
      <w:sz w:val="18"/>
      <w:szCs w:val="18"/>
      <w:lang w:eastAsia="zh-CN"/>
    </w:rPr>
  </w:style>
  <w:style w:type="table" w:styleId="a9">
    <w:name w:val="Table Grid"/>
    <w:basedOn w:val="a1"/>
    <w:uiPriority w:val="59"/>
    <w:rsid w:val="00CB4D8F"/>
    <w:rPr>
      <w:rFonts w:asciiTheme="minorHAnsi" w:hAnsiTheme="minorHAnsi" w:cstheme="minorBidi"/>
      <w:sz w:val="22"/>
      <w:szCs w:val="22"/>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D44D60"/>
    <w:rPr>
      <w:i/>
      <w:iCs/>
    </w:rPr>
  </w:style>
  <w:style w:type="character" w:styleId="ab">
    <w:name w:val="Strong"/>
    <w:basedOn w:val="a0"/>
    <w:uiPriority w:val="22"/>
    <w:qFormat/>
    <w:rsid w:val="00D44D60"/>
    <w:rPr>
      <w:b/>
      <w:bCs/>
    </w:rPr>
  </w:style>
  <w:style w:type="character" w:styleId="ac">
    <w:name w:val="Hyperlink"/>
    <w:basedOn w:val="a0"/>
    <w:unhideWhenUsed/>
    <w:rsid w:val="00FF2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40</Pages>
  <Words>9038</Words>
  <Characters>51521</Characters>
  <Application>Microsoft Office Word</Application>
  <DocSecurity>0</DocSecurity>
  <Lines>429</Lines>
  <Paragraphs>120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60439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15</cp:revision>
  <dcterms:created xsi:type="dcterms:W3CDTF">2021-03-01T15:31:00Z</dcterms:created>
  <dcterms:modified xsi:type="dcterms:W3CDTF">2021-04-14T11:36:00Z</dcterms:modified>
</cp:coreProperties>
</file>