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30C0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301515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61618</w:t>
      </w:r>
    </w:p>
    <w:p w14:paraId="749B617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7F79FD4" w14:textId="77777777" w:rsidR="001154E7" w:rsidRDefault="001154E7">
      <w:pPr>
        <w:adjustRightInd w:val="0"/>
        <w:snapToGrid w:val="0"/>
        <w:spacing w:line="360" w:lineRule="auto"/>
        <w:jc w:val="both"/>
        <w:rPr>
          <w:rFonts w:ascii="Book Antiqua" w:hAnsi="Book Antiqua"/>
        </w:rPr>
      </w:pPr>
    </w:p>
    <w:p w14:paraId="41BB2A1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Basic Study</w:t>
      </w:r>
    </w:p>
    <w:p w14:paraId="444B407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Oncogenic </w:t>
      </w:r>
      <w:r>
        <w:rPr>
          <w:rFonts w:ascii="Book Antiqua" w:eastAsia="Book Antiqua" w:hAnsi="Book Antiqua" w:cs="Book Antiqua"/>
          <w:b/>
          <w:color w:val="000000"/>
        </w:rPr>
        <w:t>tuftelin 1</w:t>
      </w:r>
      <w:r>
        <w:rPr>
          <w:rFonts w:ascii="Book Antiqua" w:eastAsia="Book Antiqua" w:hAnsi="Book Antiqua" w:cs="Book Antiqua"/>
          <w:b/>
          <w:bCs/>
          <w:color w:val="000000"/>
        </w:rPr>
        <w:t xml:space="preserve"> as a potential molecular-targeted for inhibiting hepatocellular carcinoma growth</w:t>
      </w:r>
    </w:p>
    <w:p w14:paraId="15F4522C" w14:textId="77777777" w:rsidR="001154E7" w:rsidRDefault="001154E7">
      <w:pPr>
        <w:adjustRightInd w:val="0"/>
        <w:snapToGrid w:val="0"/>
        <w:spacing w:line="360" w:lineRule="auto"/>
        <w:jc w:val="both"/>
        <w:rPr>
          <w:rFonts w:ascii="Book Antiqua" w:hAnsi="Book Antiqua"/>
        </w:rPr>
      </w:pPr>
    </w:p>
    <w:p w14:paraId="5901260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Wu MN </w:t>
      </w:r>
      <w:r>
        <w:rPr>
          <w:rFonts w:ascii="Book Antiqua" w:eastAsia="SimSun" w:hAnsi="Book Antiqua" w:cs="SimSun"/>
          <w:i/>
          <w:iCs/>
          <w:color w:val="000000"/>
          <w:lang w:eastAsia="zh-CN"/>
        </w:rPr>
        <w:t>et al</w:t>
      </w:r>
      <w:r>
        <w:rPr>
          <w:rFonts w:ascii="Book Antiqua" w:eastAsia="SimSun" w:hAnsi="Book Antiqua" w:cs="SimSun"/>
          <w:color w:val="000000"/>
          <w:lang w:eastAsia="zh-CN"/>
        </w:rPr>
        <w:t xml:space="preserve">. </w:t>
      </w:r>
      <w:r>
        <w:rPr>
          <w:rFonts w:ascii="Book Antiqua" w:eastAsia="Book Antiqua" w:hAnsi="Book Antiqua" w:cs="Book Antiqua"/>
          <w:color w:val="000000"/>
        </w:rPr>
        <w:t>TUFT1 in HCC</w:t>
      </w:r>
    </w:p>
    <w:p w14:paraId="1C1C64F6" w14:textId="77777777" w:rsidR="001154E7" w:rsidRDefault="001154E7">
      <w:pPr>
        <w:adjustRightInd w:val="0"/>
        <w:snapToGrid w:val="0"/>
        <w:spacing w:line="360" w:lineRule="auto"/>
        <w:jc w:val="both"/>
        <w:rPr>
          <w:rFonts w:ascii="Book Antiqua" w:hAnsi="Book Antiqua"/>
        </w:rPr>
      </w:pPr>
    </w:p>
    <w:p w14:paraId="0859EE5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Meng-Na Wu, Wen-Jie Zheng, Wen-Xin Ye, Li Wang, Ying Chen, Jie Yang, Deng-Fu Yao, Min Yao</w:t>
      </w:r>
    </w:p>
    <w:p w14:paraId="7D1A13B6" w14:textId="77777777" w:rsidR="001154E7" w:rsidRDefault="001154E7">
      <w:pPr>
        <w:adjustRightInd w:val="0"/>
        <w:snapToGrid w:val="0"/>
        <w:spacing w:line="360" w:lineRule="auto"/>
        <w:jc w:val="both"/>
        <w:rPr>
          <w:rFonts w:ascii="Book Antiqua" w:hAnsi="Book Antiqua"/>
        </w:rPr>
      </w:pPr>
    </w:p>
    <w:p w14:paraId="6C733A9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Meng-Na Wu, Wen-Jie Zheng, Deng-Fu Yao, </w:t>
      </w:r>
      <w:r>
        <w:rPr>
          <w:rFonts w:ascii="Book Antiqua" w:eastAsia="Book Antiqua" w:hAnsi="Book Antiqua" w:cs="Book Antiqua"/>
          <w:color w:val="000000"/>
        </w:rPr>
        <w:t>Research Center</w:t>
      </w:r>
      <w:r>
        <w:rPr>
          <w:rFonts w:ascii="Book Antiqua" w:eastAsia="Book Antiqua" w:hAnsi="Book Antiqua" w:cs="Book Antiqua"/>
          <w:color w:val="000000"/>
        </w:rPr>
        <w:t xml:space="preserve"> of Clinical Medicine, Affiliated Hospital of Nantong University, Nantong 226001, Jiangsu Province, China</w:t>
      </w:r>
    </w:p>
    <w:p w14:paraId="1B9B3D93" w14:textId="77777777" w:rsidR="001154E7" w:rsidRDefault="001154E7">
      <w:pPr>
        <w:adjustRightInd w:val="0"/>
        <w:snapToGrid w:val="0"/>
        <w:spacing w:line="360" w:lineRule="auto"/>
        <w:jc w:val="both"/>
        <w:rPr>
          <w:rFonts w:ascii="Book Antiqua" w:hAnsi="Book Antiqua"/>
        </w:rPr>
      </w:pPr>
    </w:p>
    <w:p w14:paraId="2D95E2F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Wen-Xin Ye, Min Yao, </w:t>
      </w:r>
      <w:r>
        <w:rPr>
          <w:rFonts w:ascii="Book Antiqua" w:eastAsia="Book Antiqua" w:hAnsi="Book Antiqua" w:cs="Book Antiqua"/>
          <w:color w:val="000000"/>
        </w:rPr>
        <w:t>Department of Medical Immunology, Medical School of Nantong University, Nantong 226001, Jiangsu Province, China</w:t>
      </w:r>
    </w:p>
    <w:p w14:paraId="6A3181F6" w14:textId="77777777" w:rsidR="001154E7" w:rsidRDefault="001154E7">
      <w:pPr>
        <w:adjustRightInd w:val="0"/>
        <w:snapToGrid w:val="0"/>
        <w:spacing w:line="360" w:lineRule="auto"/>
        <w:jc w:val="both"/>
        <w:rPr>
          <w:rFonts w:ascii="Book Antiqua" w:hAnsi="Book Antiqua"/>
        </w:rPr>
      </w:pPr>
    </w:p>
    <w:p w14:paraId="08539EDA"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Li Wang, </w:t>
      </w:r>
      <w:r>
        <w:rPr>
          <w:rFonts w:ascii="Book Antiqua" w:eastAsia="Book Antiqua" w:hAnsi="Book Antiqua" w:cs="Book Antiqua"/>
          <w:color w:val="000000"/>
        </w:rPr>
        <w:t>Depart</w:t>
      </w:r>
      <w:r>
        <w:rPr>
          <w:rFonts w:ascii="Book Antiqua" w:eastAsia="Book Antiqua" w:hAnsi="Book Antiqua" w:cs="Book Antiqua"/>
          <w:color w:val="000000"/>
        </w:rPr>
        <w:t>ment of Medical Informatics, Medical School of Nantong University, Nantong 226001, Jiangsu Province, China</w:t>
      </w:r>
    </w:p>
    <w:p w14:paraId="0B01B491" w14:textId="77777777" w:rsidR="001154E7" w:rsidRDefault="001154E7">
      <w:pPr>
        <w:adjustRightInd w:val="0"/>
        <w:snapToGrid w:val="0"/>
        <w:spacing w:line="360" w:lineRule="auto"/>
        <w:jc w:val="both"/>
        <w:rPr>
          <w:rFonts w:ascii="Book Antiqua" w:hAnsi="Book Antiqua"/>
        </w:rPr>
      </w:pPr>
    </w:p>
    <w:p w14:paraId="5B78C7F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Ying Chen, </w:t>
      </w:r>
      <w:r>
        <w:rPr>
          <w:rFonts w:ascii="Book Antiqua" w:eastAsia="Book Antiqua" w:hAnsi="Book Antiqua" w:cs="Book Antiqua"/>
          <w:color w:val="000000"/>
        </w:rPr>
        <w:t>Department of Oncology, Affiliated Second Hospital of Nantong University, Nantong 226001, Jiangsu Province, China</w:t>
      </w:r>
    </w:p>
    <w:p w14:paraId="439C056E" w14:textId="77777777" w:rsidR="001154E7" w:rsidRDefault="001154E7">
      <w:pPr>
        <w:adjustRightInd w:val="0"/>
        <w:snapToGrid w:val="0"/>
        <w:spacing w:line="360" w:lineRule="auto"/>
        <w:jc w:val="both"/>
        <w:rPr>
          <w:rFonts w:ascii="Book Antiqua" w:hAnsi="Book Antiqua"/>
        </w:rPr>
      </w:pPr>
    </w:p>
    <w:p w14:paraId="5389175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Jie Yang, </w:t>
      </w:r>
      <w:r>
        <w:rPr>
          <w:rFonts w:ascii="Book Antiqua" w:eastAsia="Book Antiqua" w:hAnsi="Book Antiqua" w:cs="Book Antiqua"/>
          <w:color w:val="000000"/>
        </w:rPr>
        <w:t>Department o</w:t>
      </w:r>
      <w:r>
        <w:rPr>
          <w:rFonts w:ascii="Book Antiqua" w:eastAsia="Book Antiqua" w:hAnsi="Book Antiqua" w:cs="Book Antiqua"/>
          <w:color w:val="000000"/>
        </w:rPr>
        <w:t>f Molecular Biology, Life Science School of Nantong University, Nantong 226009, Jiangsu Province, China</w:t>
      </w:r>
    </w:p>
    <w:p w14:paraId="4D5232C9" w14:textId="77777777" w:rsidR="001154E7" w:rsidRDefault="001154E7">
      <w:pPr>
        <w:adjustRightInd w:val="0"/>
        <w:snapToGrid w:val="0"/>
        <w:spacing w:line="360" w:lineRule="auto"/>
        <w:jc w:val="both"/>
        <w:rPr>
          <w:rFonts w:ascii="Book Antiqua" w:hAnsi="Book Antiqua"/>
        </w:rPr>
      </w:pPr>
    </w:p>
    <w:p w14:paraId="6573275A"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Wu MN, Zheng WJ, and Ye WX contributed equally to this work and wrote the first draft; Wang L, Chen Y, and Yang J contributed to </w:t>
      </w:r>
      <w:r>
        <w:rPr>
          <w:rFonts w:ascii="Book Antiqua" w:eastAsia="Book Antiqua" w:hAnsi="Book Antiqua" w:cs="Book Antiqua"/>
          <w:color w:val="000000"/>
        </w:rPr>
        <w:t xml:space="preserve">the methodology, </w:t>
      </w:r>
      <w:r>
        <w:rPr>
          <w:rFonts w:ascii="Book Antiqua" w:eastAsia="Book Antiqua" w:hAnsi="Book Antiqua" w:cs="Book Antiqua"/>
          <w:color w:val="000000"/>
        </w:rPr>
        <w:lastRenderedPageBreak/>
        <w:t xml:space="preserve">data curation, and formal analysis; Yao M and Yao DF revised the manuscript. All authors approved the final version of the manuscript. </w:t>
      </w:r>
    </w:p>
    <w:p w14:paraId="0DB99BD6" w14:textId="77777777" w:rsidR="001154E7" w:rsidRDefault="001154E7">
      <w:pPr>
        <w:adjustRightInd w:val="0"/>
        <w:snapToGrid w:val="0"/>
        <w:spacing w:line="360" w:lineRule="auto"/>
        <w:jc w:val="both"/>
        <w:rPr>
          <w:rFonts w:ascii="Book Antiqua" w:hAnsi="Book Antiqua"/>
        </w:rPr>
      </w:pPr>
    </w:p>
    <w:p w14:paraId="249C290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Projects of the Ministry of Science and Technology, National Key Research and Development</w:t>
      </w:r>
      <w:r>
        <w:rPr>
          <w:rFonts w:ascii="Book Antiqua" w:eastAsia="Book Antiqua" w:hAnsi="Book Antiqua" w:cs="Book Antiqua"/>
          <w:color w:val="000000"/>
        </w:rPr>
        <w:t xml:space="preserve"> Program, No. 2018YFC0116902; National Natural Science Foundation of China, No. 81673241, No. 31872738, No. 81873915.</w:t>
      </w:r>
    </w:p>
    <w:p w14:paraId="15DF9611" w14:textId="77777777" w:rsidR="001154E7" w:rsidRDefault="001154E7">
      <w:pPr>
        <w:adjustRightInd w:val="0"/>
        <w:snapToGrid w:val="0"/>
        <w:spacing w:line="360" w:lineRule="auto"/>
        <w:jc w:val="both"/>
        <w:rPr>
          <w:rFonts w:ascii="Book Antiqua" w:hAnsi="Book Antiqua"/>
        </w:rPr>
      </w:pPr>
    </w:p>
    <w:p w14:paraId="3D8CC27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Deng-Fu Yao, MD, PhD, Director, Full Professor, </w:t>
      </w:r>
      <w:r>
        <w:rPr>
          <w:rFonts w:ascii="Book Antiqua" w:eastAsia="Book Antiqua" w:hAnsi="Book Antiqua" w:cs="Book Antiqua"/>
          <w:color w:val="000000"/>
        </w:rPr>
        <w:t>Research Center of Clinical Medicine, Affiliated Hospital of Nanton</w:t>
      </w:r>
      <w:r>
        <w:rPr>
          <w:rFonts w:ascii="Book Antiqua" w:eastAsia="Book Antiqua" w:hAnsi="Book Antiqua" w:cs="Book Antiqua"/>
          <w:color w:val="000000"/>
        </w:rPr>
        <w:t>g University, No. 20 West Temple Road, Nantong 226001, Jiangsu Province, China. yaodf@ahnmc.com</w:t>
      </w:r>
    </w:p>
    <w:p w14:paraId="5C0C7910" w14:textId="77777777" w:rsidR="001154E7" w:rsidRDefault="001154E7">
      <w:pPr>
        <w:adjustRightInd w:val="0"/>
        <w:snapToGrid w:val="0"/>
        <w:spacing w:line="360" w:lineRule="auto"/>
        <w:jc w:val="both"/>
        <w:rPr>
          <w:rFonts w:ascii="Book Antiqua" w:hAnsi="Book Antiqua"/>
        </w:rPr>
      </w:pPr>
    </w:p>
    <w:p w14:paraId="658D38F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14, 2020</w:t>
      </w:r>
    </w:p>
    <w:p w14:paraId="75D074D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6, 2021</w:t>
      </w:r>
    </w:p>
    <w:p w14:paraId="591F2CA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19, 2021</w:t>
      </w:r>
    </w:p>
    <w:p w14:paraId="1C00E6B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699F274F" w14:textId="77777777" w:rsidR="001154E7" w:rsidRDefault="001154E7">
      <w:pPr>
        <w:adjustRightInd w:val="0"/>
        <w:snapToGrid w:val="0"/>
        <w:spacing w:line="360" w:lineRule="auto"/>
        <w:jc w:val="both"/>
        <w:rPr>
          <w:rFonts w:ascii="Book Antiqua" w:hAnsi="Book Antiqua"/>
        </w:rPr>
        <w:sectPr w:rsidR="001154E7">
          <w:headerReference w:type="default" r:id="rId7"/>
          <w:footerReference w:type="default" r:id="rId8"/>
          <w:pgSz w:w="12240" w:h="15840"/>
          <w:pgMar w:top="1440" w:right="1440" w:bottom="1440" w:left="1440" w:header="720" w:footer="720" w:gutter="0"/>
          <w:cols w:space="720"/>
          <w:docGrid w:linePitch="360"/>
        </w:sectPr>
      </w:pPr>
    </w:p>
    <w:p w14:paraId="19B3EA1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627B5B8"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5C730D0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Abnormal tuftelin 1 (TUFT1) </w:t>
      </w:r>
      <w:r>
        <w:rPr>
          <w:rFonts w:ascii="Book Antiqua" w:eastAsia="Book Antiqua" w:hAnsi="Book Antiqua" w:cs="Book Antiqua"/>
          <w:color w:val="000000"/>
          <w:shd w:val="clear" w:color="auto" w:fill="FFFFFF"/>
        </w:rPr>
        <w:t xml:space="preserve">has been reported in multiple cancers and exhibits oncogenic roles in tumor progression. </w:t>
      </w:r>
      <w:r>
        <w:rPr>
          <w:rFonts w:ascii="Book Antiqua" w:eastAsia="Book Antiqua" w:hAnsi="Book Antiqua" w:cs="Book Antiqua"/>
          <w:color w:val="000000"/>
        </w:rPr>
        <w:t>However, limited data are available on the relationship between TUFT1 and hepat</w:t>
      </w:r>
      <w:r>
        <w:rPr>
          <w:rFonts w:ascii="Book Antiqua" w:eastAsia="Book Antiqua" w:hAnsi="Book Antiqua" w:cs="Book Antiqua"/>
          <w:color w:val="000000"/>
        </w:rPr>
        <w:t xml:space="preserve">ocellular carcinoma (HCC), and </w:t>
      </w:r>
      <w:r>
        <w:rPr>
          <w:rFonts w:ascii="Book Antiqua" w:eastAsia="Book Antiqua" w:hAnsi="Book Antiqua" w:cs="Book Antiqua"/>
          <w:color w:val="000000"/>
          <w:shd w:val="clear" w:color="auto" w:fill="FFFFFF"/>
        </w:rPr>
        <w:t xml:space="preserve">the exact biological mechanism of </w:t>
      </w:r>
      <w:r>
        <w:rPr>
          <w:rFonts w:ascii="Book Antiqua" w:eastAsia="Book Antiqua" w:hAnsi="Book Antiqua" w:cs="Book Antiqua"/>
          <w:color w:val="000000"/>
        </w:rPr>
        <w:t>TUFT1</w:t>
      </w:r>
      <w:r>
        <w:rPr>
          <w:rFonts w:ascii="Book Antiqua" w:eastAsia="Book Antiqua" w:hAnsi="Book Antiqua" w:cs="Book Antiqua"/>
          <w:color w:val="000000"/>
          <w:shd w:val="clear" w:color="auto" w:fill="FFFFFF"/>
        </w:rPr>
        <w:t xml:space="preserve"> is still poorly understood in HCC.</w:t>
      </w:r>
    </w:p>
    <w:p w14:paraId="44C71CA2" w14:textId="77777777" w:rsidR="001154E7" w:rsidRDefault="001154E7">
      <w:pPr>
        <w:adjustRightInd w:val="0"/>
        <w:snapToGrid w:val="0"/>
        <w:spacing w:line="360" w:lineRule="auto"/>
        <w:jc w:val="both"/>
        <w:rPr>
          <w:rFonts w:ascii="Book Antiqua" w:hAnsi="Book Antiqua"/>
        </w:rPr>
      </w:pPr>
    </w:p>
    <w:p w14:paraId="25A245F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AIM</w:t>
      </w:r>
    </w:p>
    <w:p w14:paraId="5D623F9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 investigate TUFT1 expression in HCC and how interfering </w:t>
      </w:r>
      <w:r>
        <w:rPr>
          <w:rFonts w:ascii="Book Antiqua" w:eastAsia="Book Antiqua" w:hAnsi="Book Antiqua" w:cs="Book Antiqua"/>
          <w:i/>
          <w:iCs/>
          <w:color w:val="000000"/>
        </w:rPr>
        <w:t>TUFT1</w:t>
      </w:r>
      <w:r>
        <w:rPr>
          <w:rFonts w:ascii="Book Antiqua" w:eastAsia="Book Antiqua" w:hAnsi="Book Antiqua" w:cs="Book Antiqua"/>
          <w:color w:val="000000"/>
        </w:rPr>
        <w:t xml:space="preserve"> transcription affects HCC growth.</w:t>
      </w:r>
    </w:p>
    <w:p w14:paraId="1D2F36B0" w14:textId="77777777" w:rsidR="001154E7" w:rsidRDefault="001154E7">
      <w:pPr>
        <w:adjustRightInd w:val="0"/>
        <w:snapToGrid w:val="0"/>
        <w:spacing w:line="360" w:lineRule="auto"/>
        <w:jc w:val="both"/>
        <w:rPr>
          <w:rFonts w:ascii="Book Antiqua" w:hAnsi="Book Antiqua"/>
        </w:rPr>
      </w:pPr>
    </w:p>
    <w:p w14:paraId="3751D0C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METHODS</w:t>
      </w:r>
    </w:p>
    <w:p w14:paraId="58C46AF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TUFT1 in HCC and non-HCC tissues based on databases of the Cancer Genome Atlas and Oncomine were analyzed, and TUFT1 in human HCC tissues on microarray were detected by immunohistochemistry for clinicopathological features, overall survival, and disease-fr</w:t>
      </w:r>
      <w:r>
        <w:rPr>
          <w:rFonts w:ascii="Book Antiqua" w:eastAsia="Book Antiqua" w:hAnsi="Book Antiqua" w:cs="Book Antiqua"/>
          <w:color w:val="000000"/>
        </w:rPr>
        <w:t xml:space="preserve">ee survival. HCC cells were transfected with constructed vectors of </w:t>
      </w:r>
      <w:r>
        <w:rPr>
          <w:rFonts w:ascii="Book Antiqua" w:eastAsia="Book Antiqua" w:hAnsi="Book Antiqua" w:cs="Book Antiqua"/>
          <w:i/>
          <w:iCs/>
          <w:color w:val="000000"/>
        </w:rPr>
        <w:t>TUFT1</w:t>
      </w:r>
      <w:r>
        <w:rPr>
          <w:rFonts w:ascii="Book Antiqua" w:eastAsia="Book Antiqua" w:hAnsi="Book Antiqua" w:cs="Book Antiqua"/>
          <w:color w:val="000000"/>
        </w:rPr>
        <w:t xml:space="preserve"> that interfere or over-express TUFT1 for analyzing the biological behaviors of HCC cells. Proliferation, invasion, migration, and apoptosis of cells were detected by cell counting ki</w:t>
      </w:r>
      <w:r>
        <w:rPr>
          <w:rFonts w:ascii="Book Antiqua" w:eastAsia="Book Antiqua" w:hAnsi="Book Antiqua" w:cs="Book Antiqua"/>
          <w:color w:val="000000"/>
        </w:rPr>
        <w:t xml:space="preserve">t-8, scratch assay, transwell tests, and flow cytometry and confirmed by Western blotting, respectively. </w:t>
      </w:r>
    </w:p>
    <w:p w14:paraId="02496B4B" w14:textId="77777777" w:rsidR="001154E7" w:rsidRDefault="001154E7">
      <w:pPr>
        <w:adjustRightInd w:val="0"/>
        <w:snapToGrid w:val="0"/>
        <w:spacing w:line="360" w:lineRule="auto"/>
        <w:jc w:val="both"/>
        <w:rPr>
          <w:rFonts w:ascii="Book Antiqua" w:hAnsi="Book Antiqua"/>
        </w:rPr>
      </w:pPr>
    </w:p>
    <w:p w14:paraId="55A5C7A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RESULTS</w:t>
      </w:r>
    </w:p>
    <w:p w14:paraId="53E84BD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Abnormal TUFT1 levels in databases expressed in HCC at messenger RNA (mRNA) level and HCC tissues were mainly located in cytoplasm and </w:t>
      </w:r>
      <w:r>
        <w:rPr>
          <w:rFonts w:ascii="Book Antiqua" w:eastAsia="Book Antiqua" w:hAnsi="Book Antiqua" w:cs="Book Antiqua"/>
          <w:color w:val="000000"/>
        </w:rPr>
        <w:t>membrane. The level of TUFT1 expression in the HCC group was significantly higher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18.563</w:t>
      </w:r>
      <w:r>
        <w:rPr>
          <w:rFonts w:ascii="SimSun" w:eastAsia="SimSun" w:hAnsi="SimSun" w:cs="SimSun" w:hint="eastAsi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than that in the non-cancerous group, closely related to clinical staging, size, vascular invasion of tumor, hepatitis B e-antigen positive, and ascit</w:t>
      </w:r>
      <w:r>
        <w:rPr>
          <w:rFonts w:ascii="Book Antiqua" w:eastAsia="Book Antiqua" w:hAnsi="Book Antiqua" w:cs="Book Antiqua"/>
          <w:color w:val="000000"/>
        </w:rPr>
        <w:t>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of HCC patients, and negatively to HCC patients’ overall survival and disease-free survival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After interfering with </w:t>
      </w:r>
      <w:r>
        <w:rPr>
          <w:rFonts w:ascii="Book Antiqua" w:eastAsia="Book Antiqua" w:hAnsi="Book Antiqua" w:cs="Book Antiqua"/>
          <w:i/>
          <w:iCs/>
          <w:color w:val="000000"/>
        </w:rPr>
        <w:t>TUFT1</w:t>
      </w:r>
      <w:r>
        <w:rPr>
          <w:rFonts w:ascii="Book Antiqua" w:eastAsia="Book Antiqua" w:hAnsi="Book Antiqua" w:cs="Book Antiqua"/>
          <w:color w:val="000000"/>
        </w:rPr>
        <w:t xml:space="preserve"> transcription at mRNA level in the MHCC-97H cells by the specific TUFT1-short hairpin RNA, cell proliferatio</w:t>
      </w:r>
      <w:r>
        <w:rPr>
          <w:rFonts w:ascii="Book Antiqua" w:eastAsia="Book Antiqua" w:hAnsi="Book Antiqua" w:cs="Book Antiqua"/>
          <w:color w:val="000000"/>
        </w:rPr>
        <w:t>n, invasion</w:t>
      </w:r>
      <w:r>
        <w:rPr>
          <w:rFonts w:ascii="Book Antiqua" w:eastAsia="Book Antiqua" w:hAnsi="Book Antiqua" w:cs="Book Antiqua"/>
          <w:color w:val="000000"/>
        </w:rPr>
        <w:t>,</w:t>
      </w:r>
      <w:r>
        <w:rPr>
          <w:rFonts w:ascii="Book Antiqua" w:eastAsia="Book Antiqua" w:hAnsi="Book Antiqua" w:cs="Book Antiqua"/>
          <w:color w:val="000000"/>
        </w:rPr>
        <w:t xml:space="preserve"> and metastasis were </w:t>
      </w:r>
      <w:r>
        <w:rPr>
          <w:rFonts w:ascii="Book Antiqua" w:eastAsia="Book Antiqua" w:hAnsi="Book Antiqua" w:cs="Book Antiqua"/>
          <w:color w:val="000000"/>
        </w:rPr>
        <w:lastRenderedPageBreak/>
        <w:t>significantly inhibited with increasing apoptosis rate. In contrast, proliferation, invasion</w:t>
      </w:r>
      <w:r>
        <w:rPr>
          <w:rFonts w:ascii="Book Antiqua" w:eastAsia="Book Antiqua" w:hAnsi="Book Antiqua" w:cs="Book Antiqua"/>
          <w:color w:val="000000"/>
        </w:rPr>
        <w:t>,</w:t>
      </w:r>
      <w:r>
        <w:rPr>
          <w:rFonts w:ascii="Book Antiqua" w:eastAsia="Book Antiqua" w:hAnsi="Book Antiqua" w:cs="Book Antiqua"/>
          <w:color w:val="000000"/>
        </w:rPr>
        <w:t xml:space="preserve"> and migration were significantly enhanced after over-expression of TUFT1 mRNA in Hep3B cells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11B2A4F1" w14:textId="77777777" w:rsidR="001154E7" w:rsidRDefault="001154E7">
      <w:pPr>
        <w:adjustRightInd w:val="0"/>
        <w:snapToGrid w:val="0"/>
        <w:spacing w:line="360" w:lineRule="auto"/>
        <w:jc w:val="both"/>
        <w:rPr>
          <w:rFonts w:ascii="Book Antiqua" w:hAnsi="Book Antiqua"/>
        </w:rPr>
      </w:pPr>
    </w:p>
    <w:p w14:paraId="0D6E749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14:paraId="617C745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Oncogenic</w:t>
      </w:r>
      <w:r>
        <w:rPr>
          <w:rFonts w:ascii="Book Antiqua" w:eastAsia="Book Antiqua" w:hAnsi="Book Antiqua" w:cs="Book Antiqua"/>
          <w:i/>
          <w:iCs/>
          <w:color w:val="000000"/>
        </w:rPr>
        <w:t xml:space="preserve"> </w:t>
      </w:r>
      <w:r>
        <w:rPr>
          <w:rFonts w:ascii="Book Antiqua" w:eastAsia="Book Antiqua" w:hAnsi="Book Antiqua" w:cs="Book Antiqua"/>
          <w:color w:val="000000"/>
        </w:rPr>
        <w:t>TUFT</w:t>
      </w:r>
      <w:r>
        <w:rPr>
          <w:rFonts w:ascii="Book Antiqua" w:eastAsia="Book Antiqua" w:hAnsi="Book Antiqua" w:cs="Book Antiqua"/>
          <w:color w:val="000000"/>
        </w:rPr>
        <w:t>1 was associated with the progression of HCC and could be a potential molecular-target for inhibiting HCC growth.</w:t>
      </w:r>
    </w:p>
    <w:p w14:paraId="7E8713A0" w14:textId="77777777" w:rsidR="001154E7" w:rsidRDefault="001154E7">
      <w:pPr>
        <w:adjustRightInd w:val="0"/>
        <w:snapToGrid w:val="0"/>
        <w:spacing w:line="360" w:lineRule="auto"/>
        <w:jc w:val="both"/>
        <w:rPr>
          <w:rFonts w:ascii="Book Antiqua" w:hAnsi="Book Antiqua"/>
        </w:rPr>
      </w:pPr>
    </w:p>
    <w:p w14:paraId="1F08D6EA"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Hepatocellular carcinoma; Tuftelin 1; Prognosis; Molecular-target; Growth</w:t>
      </w:r>
    </w:p>
    <w:p w14:paraId="3129972A" w14:textId="77777777" w:rsidR="001154E7" w:rsidRDefault="001154E7">
      <w:pPr>
        <w:adjustRightInd w:val="0"/>
        <w:snapToGrid w:val="0"/>
        <w:spacing w:line="360" w:lineRule="auto"/>
        <w:jc w:val="both"/>
        <w:rPr>
          <w:rFonts w:ascii="Book Antiqua" w:hAnsi="Book Antiqua"/>
        </w:rPr>
      </w:pPr>
    </w:p>
    <w:p w14:paraId="2398FD0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Wu MN, Zheng WJ, Ye WX, Wang L, Chen Y, Yang J, Yao DF,</w:t>
      </w:r>
      <w:r>
        <w:rPr>
          <w:rFonts w:ascii="Book Antiqua" w:eastAsia="Book Antiqua" w:hAnsi="Book Antiqua" w:cs="Book Antiqua"/>
          <w:color w:val="000000"/>
        </w:rPr>
        <w:t xml:space="preserve"> Yao M. Oncogenic tuftelin 1 as a potential molecular-targeted for inhibiting hepatocellular carcinoma growth.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3F2FB60E" w14:textId="77777777" w:rsidR="001154E7" w:rsidRDefault="001154E7">
      <w:pPr>
        <w:adjustRightInd w:val="0"/>
        <w:snapToGrid w:val="0"/>
        <w:spacing w:line="360" w:lineRule="auto"/>
        <w:jc w:val="both"/>
        <w:rPr>
          <w:rFonts w:ascii="Book Antiqua" w:hAnsi="Book Antiqua"/>
        </w:rPr>
      </w:pPr>
    </w:p>
    <w:p w14:paraId="24681FF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Tuftelin1 (TUFT1) has been reported to be regulated by hypoxia and involved in the Hedgehog signa</w:t>
      </w:r>
      <w:r>
        <w:rPr>
          <w:rFonts w:ascii="Book Antiqua" w:eastAsia="Book Antiqua" w:hAnsi="Book Antiqua" w:cs="Book Antiqua"/>
          <w:color w:val="000000"/>
        </w:rPr>
        <w:t>ling pathway, with over-expression in hepatocellular carcinoma (HCC) tissues or cell lines. Abnormal TUFT1 level was significantly related to tumor size, vascular invasion, positive hepatitis B e-antigen, advanced tumor-node-metastasis stage of HCC, patien</w:t>
      </w:r>
      <w:r>
        <w:rPr>
          <w:rFonts w:ascii="Book Antiqua" w:eastAsia="Book Antiqua" w:hAnsi="Book Antiqua" w:cs="Book Antiqua"/>
          <w:color w:val="000000"/>
        </w:rPr>
        <w:t xml:space="preserve">ts with ascites, and shorter overall survival and disease-free survival. Interfering </w:t>
      </w:r>
      <w:r>
        <w:rPr>
          <w:rFonts w:ascii="Book Antiqua" w:eastAsia="Book Antiqua" w:hAnsi="Book Antiqua" w:cs="Book Antiqua"/>
          <w:i/>
          <w:iCs/>
          <w:color w:val="000000"/>
        </w:rPr>
        <w:t>TUFT1</w:t>
      </w:r>
      <w:r>
        <w:rPr>
          <w:rFonts w:ascii="Book Antiqua" w:eastAsia="Book Antiqua" w:hAnsi="Book Antiqua" w:cs="Book Antiqua"/>
          <w:color w:val="000000"/>
        </w:rPr>
        <w:t xml:space="preserve"> transcription</w:t>
      </w:r>
      <w:r>
        <w:rPr>
          <w:rFonts w:ascii="Book Antiqua" w:eastAsia="Book Antiqua" w:hAnsi="Book Antiqua" w:cs="Book Antiqua"/>
          <w:i/>
          <w:iCs/>
          <w:color w:val="000000"/>
        </w:rPr>
        <w:t xml:space="preserve"> </w:t>
      </w:r>
      <w:r>
        <w:rPr>
          <w:rFonts w:ascii="Book Antiqua" w:eastAsia="Book Antiqua" w:hAnsi="Book Antiqua" w:cs="Book Antiqua"/>
          <w:color w:val="000000"/>
        </w:rPr>
        <w:t>could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markedly suppress the growth and metastasis of high TUFT1 MHCC-97H cell lines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through accelerating apoptosis. Moreover, increasing TUFT1</w:t>
      </w:r>
      <w:r>
        <w:rPr>
          <w:rFonts w:ascii="Book Antiqua" w:eastAsia="Book Antiqua" w:hAnsi="Book Antiqua" w:cs="Book Antiqua"/>
          <w:color w:val="000000"/>
        </w:rPr>
        <w:t xml:space="preserve"> expression might promote the growth and metastasis of low TUFT1 Hep3B cell lines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 data suggested that TUFT1 is involved in HCC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mechanism of inhibiting apoptosis and might serve as a potential therapeutic target for inhibit</w:t>
      </w:r>
      <w:r>
        <w:rPr>
          <w:rFonts w:ascii="Book Antiqua" w:eastAsia="Book Antiqua" w:hAnsi="Book Antiqua" w:cs="Book Antiqua"/>
          <w:color w:val="000000"/>
        </w:rPr>
        <w:t xml:space="preserve">ing HCC growth. </w:t>
      </w:r>
    </w:p>
    <w:p w14:paraId="499FEBC6" w14:textId="77777777" w:rsidR="001154E7" w:rsidRDefault="001154E7">
      <w:pPr>
        <w:adjustRightInd w:val="0"/>
        <w:snapToGrid w:val="0"/>
        <w:spacing w:line="360" w:lineRule="auto"/>
        <w:jc w:val="both"/>
        <w:rPr>
          <w:rFonts w:ascii="Book Antiqua" w:hAnsi="Book Antiqua"/>
        </w:rPr>
      </w:pPr>
    </w:p>
    <w:p w14:paraId="1724F3F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FB0B0F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Hepatocellular carcinoma (HCC) is </w:t>
      </w:r>
      <w:r>
        <w:rPr>
          <w:rFonts w:ascii="Book Antiqua" w:eastAsia="Book Antiqua" w:hAnsi="Book Antiqua" w:cs="Book Antiqua"/>
          <w:color w:val="000000"/>
        </w:rPr>
        <w:t>usually lethal because of late diagnosis and early metastasis</w:t>
      </w:r>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HCC is still one of</w:t>
      </w:r>
      <w:r>
        <w:rPr>
          <w:rFonts w:ascii="Book Antiqua" w:eastAsia="Book Antiqua" w:hAnsi="Book Antiqua" w:cs="Book Antiqua"/>
          <w:color w:val="000000"/>
          <w:shd w:val="clear" w:color="auto" w:fill="FFFFFF"/>
        </w:rPr>
        <w:t xml:space="preserve"> the most common cancers with</w:t>
      </w:r>
      <w:r>
        <w:rPr>
          <w:rFonts w:ascii="Book Antiqua" w:eastAsia="Book Antiqua" w:hAnsi="Book Antiqua" w:cs="Book Antiqua"/>
          <w:color w:val="000000"/>
        </w:rPr>
        <w:t xml:space="preserve"> increasing incidence </w:t>
      </w:r>
      <w:r>
        <w:rPr>
          <w:rFonts w:ascii="Book Antiqua" w:eastAsia="Book Antiqua" w:hAnsi="Book Antiqua" w:cs="Book Antiqua"/>
          <w:color w:val="000000"/>
          <w:shd w:val="clear" w:color="auto" w:fill="FFFFFF"/>
        </w:rPr>
        <w:t>in the inshore area of the Yangtze River</w:t>
      </w:r>
      <w:r>
        <w:rPr>
          <w:rFonts w:ascii="Book Antiqua" w:eastAsia="Book Antiqua" w:hAnsi="Book Antiqua" w:cs="Book Antiqua"/>
          <w:color w:val="000000"/>
          <w:vertAlign w:val="superscript"/>
        </w:rPr>
        <w:t>[2]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Aberrant up-regulated or down-regulated expression of many genes was identified during malignant transformation of hepatocytes in patients with chronic inflammation or damage by hepatitis B viruses (HBV), hepatitis C viruses (HCV), toxic intake, liver cirr</w:t>
      </w:r>
      <w:r>
        <w:rPr>
          <w:rFonts w:ascii="Book Antiqua" w:eastAsia="Book Antiqua" w:hAnsi="Book Antiqua" w:cs="Book Antiqua"/>
          <w:color w:val="000000"/>
        </w:rPr>
        <w:t>hosis, and non-alcoholic fatty liver disease</w:t>
      </w:r>
      <w:r>
        <w:rPr>
          <w:rFonts w:ascii="Book Antiqua" w:eastAsia="Book Antiqua" w:hAnsi="Book Antiqua" w:cs="Book Antiqua"/>
          <w:color w:val="000000"/>
          <w:vertAlign w:val="superscript"/>
        </w:rPr>
        <w:t>[3,4]</w:t>
      </w:r>
      <w:r>
        <w:rPr>
          <w:rFonts w:ascii="Book Antiqua" w:eastAsia="Book Antiqua" w:hAnsi="Book Antiqua" w:cs="Book Antiqua"/>
          <w:color w:val="000000"/>
        </w:rPr>
        <w:t>. Given the limited effective therapies available for HCC patients with advanced stages, surgical resection and radiofrequency ablation are still the most common curative treatments for early stage patients,</w:t>
      </w:r>
      <w:r>
        <w:rPr>
          <w:rFonts w:ascii="Book Antiqua" w:eastAsia="Book Antiqua" w:hAnsi="Book Antiqua" w:cs="Book Antiqua"/>
          <w:color w:val="000000"/>
        </w:rPr>
        <w:t xml:space="preserve"> but the prognosis as overall survival (OS) or disease free survival (DFS) rate is very poor</w:t>
      </w:r>
      <w:r>
        <w:rPr>
          <w:rFonts w:ascii="Book Antiqua" w:eastAsia="Book Antiqua" w:hAnsi="Book Antiqua" w:cs="Book Antiqua"/>
          <w:color w:val="000000"/>
          <w:vertAlign w:val="superscript"/>
        </w:rPr>
        <w:t>[5,6]</w:t>
      </w:r>
      <w:r>
        <w:rPr>
          <w:rFonts w:ascii="Book Antiqua" w:eastAsia="Book Antiqua" w:hAnsi="Book Antiqua" w:cs="Book Antiqua"/>
          <w:color w:val="000000"/>
        </w:rPr>
        <w:t>. Therefore, the pathogenesis and feasible therapeutic treatments of HCC need urgent investigation</w:t>
      </w:r>
      <w:r>
        <w:rPr>
          <w:rFonts w:ascii="Book Antiqua" w:eastAsia="Book Antiqua" w:hAnsi="Book Antiqua" w:cs="Book Antiqua"/>
          <w:color w:val="000000"/>
          <w:vertAlign w:val="superscript"/>
        </w:rPr>
        <w:t>[7-9]</w:t>
      </w:r>
      <w:r>
        <w:rPr>
          <w:rFonts w:ascii="Book Antiqua" w:eastAsia="Book Antiqua" w:hAnsi="Book Antiqua" w:cs="Book Antiqua"/>
          <w:color w:val="000000"/>
        </w:rPr>
        <w:t>. Recently, tuftelin 1 (TUFT1)</w:t>
      </w:r>
      <w:r>
        <w:rPr>
          <w:rFonts w:ascii="Book Antiqua" w:eastAsia="Book Antiqua" w:hAnsi="Book Antiqua" w:cs="Book Antiqua"/>
          <w:color w:val="000000"/>
          <w:shd w:val="clear" w:color="auto" w:fill="FFFFFF"/>
        </w:rPr>
        <w:t xml:space="preserve"> has been reported to be e</w:t>
      </w:r>
      <w:r>
        <w:rPr>
          <w:rFonts w:ascii="Book Antiqua" w:eastAsia="Book Antiqua" w:hAnsi="Book Antiqua" w:cs="Book Antiqua"/>
          <w:color w:val="000000"/>
          <w:shd w:val="clear" w:color="auto" w:fill="FFFFFF"/>
        </w:rPr>
        <w:t xml:space="preserve">levated during multiple cancer types, and </w:t>
      </w:r>
      <w:r>
        <w:rPr>
          <w:rFonts w:ascii="Book Antiqua" w:eastAsia="Book Antiqua" w:hAnsi="Book Antiqua" w:cs="Book Antiqua"/>
          <w:color w:val="000000"/>
        </w:rPr>
        <w:t>the abnormal expression of TUFT1 has attracted medical attention</w:t>
      </w:r>
      <w:r>
        <w:rPr>
          <w:rFonts w:ascii="Book Antiqua" w:eastAsia="Book Antiqua" w:hAnsi="Book Antiqua" w:cs="Book Antiqua"/>
          <w:color w:val="000000"/>
          <w:vertAlign w:val="superscript"/>
        </w:rPr>
        <w:t>[10,11]</w:t>
      </w:r>
      <w:r>
        <w:rPr>
          <w:rFonts w:ascii="Book Antiqua" w:eastAsia="Book Antiqua" w:hAnsi="Book Antiqua" w:cs="Book Antiqua"/>
          <w:color w:val="000000"/>
        </w:rPr>
        <w:t>. TUFT1 was first identified and sequenced from a bovine ameloblast-enriched complementary DNA library with a highly conserved gene localized i</w:t>
      </w:r>
      <w:r>
        <w:rPr>
          <w:rFonts w:ascii="Book Antiqua" w:eastAsia="Book Antiqua" w:hAnsi="Book Antiqua" w:cs="Book Antiqua"/>
          <w:color w:val="000000"/>
        </w:rPr>
        <w:t>n chromosome 1q21-31 that contains 13 exons encoding an acidic, phosphorylated glycoprotein of 390 amino acids and plays a critical role in the development and mineralization of enamel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14:paraId="3882945B" w14:textId="77777777" w:rsidR="001154E7" w:rsidRDefault="00ED61B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TUFT1 belongs to the enamel associated teeth proteins and is thou</w:t>
      </w:r>
      <w:r>
        <w:rPr>
          <w:rFonts w:ascii="Book Antiqua" w:eastAsia="Book Antiqua" w:hAnsi="Book Antiqua" w:cs="Book Antiqua"/>
          <w:color w:val="000000"/>
          <w:shd w:val="clear" w:color="auto" w:fill="FFFFFF"/>
        </w:rPr>
        <w:t xml:space="preserve">ght to play a role in enamel mineralization. Also, </w:t>
      </w:r>
      <w:r>
        <w:rPr>
          <w:rFonts w:ascii="Book Antiqua" w:eastAsia="Book Antiqua" w:hAnsi="Book Antiqua" w:cs="Book Antiqua"/>
          <w:color w:val="000000"/>
        </w:rPr>
        <w:t xml:space="preserve">TUFT1 is expressed in embryonic stem cells, </w:t>
      </w:r>
      <w:r>
        <w:rPr>
          <w:rFonts w:ascii="Book Antiqua" w:eastAsia="Book Antiqua" w:hAnsi="Book Antiqua" w:cs="Book Antiqua"/>
          <w:color w:val="000000"/>
          <w:shd w:val="clear" w:color="auto" w:fill="FFFFFF"/>
        </w:rPr>
        <w:t>neuronal cells,</w:t>
      </w:r>
      <w:r>
        <w:rPr>
          <w:rFonts w:ascii="Book Antiqua" w:eastAsia="Book Antiqua" w:hAnsi="Book Antiqua" w:cs="Book Antiqua"/>
          <w:color w:val="000000"/>
        </w:rPr>
        <w:t xml:space="preserve"> and non-mineralizing tissues like eyes, brain, adrenal gland, lung, liver, kidneys, testis, and tumor tissues</w:t>
      </w:r>
      <w:r>
        <w:rPr>
          <w:rFonts w:ascii="Book Antiqua" w:eastAsia="Book Antiqua" w:hAnsi="Book Antiqua" w:cs="Book Antiqua"/>
          <w:color w:val="000000"/>
          <w:vertAlign w:val="superscript"/>
        </w:rPr>
        <w:t>[13-15]</w:t>
      </w:r>
      <w:r>
        <w:rPr>
          <w:rFonts w:ascii="Book Antiqua" w:eastAsia="Book Antiqua" w:hAnsi="Book Antiqua" w:cs="Book Antiqua"/>
          <w:color w:val="000000"/>
        </w:rPr>
        <w:t xml:space="preserve">. TUFT1 can modulate the Rab </w:t>
      </w:r>
      <w:r>
        <w:rPr>
          <w:rFonts w:ascii="Book Antiqua" w:eastAsia="Book Antiqua" w:hAnsi="Book Antiqua" w:cs="Book Antiqua"/>
          <w:color w:val="000000"/>
        </w:rPr>
        <w:t>GTPase-regulated process to activate the mammalian target of rapamycin complex 1 signaling that is activated in many cancers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and associated with poor prognosis in breast or pancreatic cancer and thyroid carcinoma</w:t>
      </w:r>
      <w:r>
        <w:rPr>
          <w:rFonts w:ascii="Book Antiqua" w:eastAsia="Book Antiqua" w:hAnsi="Book Antiqua" w:cs="Book Antiqua"/>
          <w:color w:val="000000"/>
          <w:vertAlign w:val="superscript"/>
        </w:rPr>
        <w:t>[10,11,14]</w:t>
      </w:r>
      <w:r>
        <w:rPr>
          <w:rFonts w:ascii="Book Antiqua" w:eastAsia="Book Antiqua" w:hAnsi="Book Antiqua" w:cs="Book Antiqua"/>
          <w:color w:val="000000"/>
        </w:rPr>
        <w:t>. In addition, TUFT1 is correl</w:t>
      </w:r>
      <w:r>
        <w:rPr>
          <w:rFonts w:ascii="Book Antiqua" w:eastAsia="Book Antiqua" w:hAnsi="Book Antiqua" w:cs="Book Antiqua"/>
          <w:color w:val="000000"/>
        </w:rPr>
        <w:t>ated with the metastasis and epithelial-mesenchymal transition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which could be regulated by hypoxia that enhanced TUFT1 by down-regulating miR-671-5p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interaction with 3'-ultranslated region of TUFT1 messenger RNA (mRNA) rather than by directly prom</w:t>
      </w:r>
      <w:r>
        <w:rPr>
          <w:rFonts w:ascii="Book Antiqua" w:eastAsia="Book Antiqua" w:hAnsi="Book Antiqua" w:cs="Book Antiqua"/>
          <w:color w:val="000000"/>
        </w:rPr>
        <w:t>oting hypoxia inducible factor-1α (HIF-1α) binding to TUFT1 promoter, and the Hedgehog signaling pathway</w:t>
      </w:r>
      <w:r>
        <w:rPr>
          <w:rFonts w:ascii="Book Antiqua" w:eastAsia="Book Antiqua" w:hAnsi="Book Antiqua" w:cs="Book Antiqua"/>
          <w:color w:val="000000"/>
          <w:vertAlign w:val="superscript"/>
        </w:rPr>
        <w:t>[17-19]</w:t>
      </w:r>
      <w:r>
        <w:rPr>
          <w:rFonts w:ascii="Book Antiqua" w:eastAsia="Book Antiqua" w:hAnsi="Book Antiqua" w:cs="Book Antiqua"/>
          <w:color w:val="000000"/>
        </w:rPr>
        <w:t>. Abnormal TUFT1</w:t>
      </w:r>
      <w:r>
        <w:rPr>
          <w:rFonts w:ascii="Book Antiqua" w:eastAsia="Book Antiqua" w:hAnsi="Book Antiqua" w:cs="Book Antiqua"/>
          <w:color w:val="000000"/>
          <w:shd w:val="clear" w:color="auto" w:fill="FFFFFF"/>
        </w:rPr>
        <w:t xml:space="preserve"> has been reported in multiple cancers and exhibits oncogenic roles </w:t>
      </w:r>
      <w:r>
        <w:rPr>
          <w:rFonts w:ascii="Book Antiqua" w:eastAsia="Book Antiqua" w:hAnsi="Book Antiqua" w:cs="Book Antiqua"/>
          <w:color w:val="000000"/>
          <w:shd w:val="clear" w:color="auto" w:fill="FFFFFF"/>
        </w:rPr>
        <w:lastRenderedPageBreak/>
        <w:t>in tumor progression</w:t>
      </w:r>
      <w:r>
        <w:rPr>
          <w:rFonts w:ascii="Book Antiqua" w:eastAsia="Book Antiqua" w:hAnsi="Book Antiqua" w:cs="Book Antiqua"/>
          <w:color w:val="000000"/>
          <w:vertAlign w:val="superscript"/>
        </w:rPr>
        <w:t>[17,20]</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However, limited data are availa</w:t>
      </w:r>
      <w:r>
        <w:rPr>
          <w:rFonts w:ascii="Book Antiqua" w:eastAsia="Book Antiqua" w:hAnsi="Book Antiqua" w:cs="Book Antiqua"/>
          <w:color w:val="000000"/>
        </w:rPr>
        <w:t xml:space="preserve">ble on the relationship between TUFT1 and HCC, and </w:t>
      </w:r>
      <w:r>
        <w:rPr>
          <w:rFonts w:ascii="Book Antiqua" w:eastAsia="Book Antiqua" w:hAnsi="Book Antiqua" w:cs="Book Antiqua"/>
          <w:color w:val="000000"/>
          <w:shd w:val="clear" w:color="auto" w:fill="FFFFFF"/>
        </w:rPr>
        <w:t xml:space="preserve">the exact biological mechanism of </w:t>
      </w:r>
      <w:r>
        <w:rPr>
          <w:rFonts w:ascii="Book Antiqua" w:eastAsia="Book Antiqua" w:hAnsi="Book Antiqua" w:cs="Book Antiqua"/>
          <w:color w:val="000000"/>
        </w:rPr>
        <w:t>TUFT1 in HCC</w:t>
      </w:r>
      <w:r>
        <w:rPr>
          <w:rFonts w:ascii="Book Antiqua" w:eastAsia="Book Antiqua" w:hAnsi="Book Antiqua" w:cs="Book Antiqua"/>
          <w:color w:val="000000"/>
          <w:shd w:val="clear" w:color="auto" w:fill="FFFFFF"/>
        </w:rPr>
        <w:t xml:space="preserve"> is still poorly understood. </w:t>
      </w:r>
      <w:r>
        <w:rPr>
          <w:rFonts w:ascii="Book Antiqua" w:eastAsia="Book Antiqua" w:hAnsi="Book Antiqua" w:cs="Book Antiqua"/>
          <w:color w:val="000000"/>
        </w:rPr>
        <w:t>In this present study, the landscape of TUFT1 expression in human HCC tissues was investigated, and its molecular mechanism was co</w:t>
      </w:r>
      <w:r>
        <w:rPr>
          <w:rFonts w:ascii="Book Antiqua" w:eastAsia="Book Antiqua" w:hAnsi="Book Antiqua" w:cs="Book Antiqua"/>
          <w:color w:val="000000"/>
        </w:rPr>
        <w:t xml:space="preserve">nfirmed through intervening or over-expressing TUFT1 activation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0482349D" w14:textId="77777777" w:rsidR="001154E7" w:rsidRDefault="001154E7">
      <w:pPr>
        <w:adjustRightInd w:val="0"/>
        <w:snapToGrid w:val="0"/>
        <w:spacing w:line="360" w:lineRule="auto"/>
        <w:jc w:val="both"/>
        <w:rPr>
          <w:rFonts w:ascii="Book Antiqua" w:hAnsi="Book Antiqua"/>
        </w:rPr>
      </w:pPr>
    </w:p>
    <w:p w14:paraId="12291E7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E81796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Bioinformatics analysis</w:t>
      </w:r>
    </w:p>
    <w:p w14:paraId="581ACED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Differential expressions of TUFT1 mRNA between HCC and normal liver tissues were collected according to the bioinformatics data from the </w:t>
      </w:r>
      <w:r>
        <w:rPr>
          <w:rFonts w:ascii="Book Antiqua" w:eastAsia="Book Antiqua" w:hAnsi="Book Antiqua" w:cs="Book Antiqua"/>
          <w:color w:val="000000"/>
          <w:shd w:val="clear" w:color="auto" w:fill="FFFFFF"/>
        </w:rPr>
        <w:t xml:space="preserve">Gene Expression Profiling Interactive Analysis (GEPIA) </w:t>
      </w:r>
      <w:r>
        <w:rPr>
          <w:rFonts w:ascii="Book Antiqua" w:eastAsia="Book Antiqua" w:hAnsi="Book Antiqua" w:cs="Book Antiqua"/>
          <w:color w:val="000000"/>
        </w:rPr>
        <w:t>public Website</w:t>
      </w:r>
      <w:r>
        <w:rPr>
          <w:rFonts w:ascii="Book Antiqua" w:eastAsia="Book Antiqua" w:hAnsi="Book Antiqua" w:cs="Book Antiqua"/>
          <w:color w:val="000000"/>
          <w:vertAlign w:val="superscript"/>
        </w:rPr>
        <w:t xml:space="preserve">[21] </w:t>
      </w:r>
      <w:r>
        <w:rPr>
          <w:rFonts w:ascii="Book Antiqua" w:eastAsia="Book Antiqua" w:hAnsi="Book Antiqua" w:cs="Book Antiqua"/>
          <w:color w:val="000000"/>
        </w:rPr>
        <w:t>(</w:t>
      </w:r>
      <w:r>
        <w:rPr>
          <w:rFonts w:ascii="Book Antiqua" w:eastAsia="Book Antiqua" w:hAnsi="Book Antiqua" w:cs="Book Antiqua"/>
          <w:color w:val="000000"/>
          <w:u w:color="0000FF"/>
        </w:rPr>
        <w:t>http://GEPIA.cancer-pku.cn/</w:t>
      </w:r>
      <w:r>
        <w:rPr>
          <w:rFonts w:ascii="Book Antiqua" w:eastAsia="SimSun" w:hAnsi="Book Antiqua" w:cs="Book Antiqua" w:hint="eastAsia"/>
          <w:color w:val="000000"/>
          <w:u w:color="0000FF"/>
          <w:lang w:eastAsia="zh-CN"/>
        </w:rPr>
        <w:t xml:space="preserve"> </w:t>
      </w:r>
      <w:r>
        <w:rPr>
          <w:rFonts w:ascii="Book Antiqua" w:eastAsia="Book Antiqua" w:hAnsi="Book Antiqua" w:cs="Book Antiqua"/>
          <w:color w:val="000000"/>
          <w:u w:color="0000FF"/>
        </w:rPr>
        <w:t>detail.</w:t>
      </w:r>
      <w:r>
        <w:rPr>
          <w:rFonts w:ascii="Book Antiqua" w:eastAsia="SimSun" w:hAnsi="Book Antiqua" w:cs="Book Antiqua" w:hint="eastAsia"/>
          <w:color w:val="000000"/>
          <w:u w:color="0000FF"/>
          <w:lang w:eastAsia="zh-CN"/>
        </w:rPr>
        <w:t xml:space="preserve"> </w:t>
      </w:r>
      <w:r>
        <w:rPr>
          <w:rFonts w:ascii="Book Antiqua" w:eastAsia="Book Antiqua" w:hAnsi="Book Antiqua" w:cs="Book Antiqua"/>
          <w:color w:val="000000"/>
          <w:u w:color="0000FF"/>
        </w:rPr>
        <w:t>php</w:t>
      </w:r>
      <w:r>
        <w:rPr>
          <w:rFonts w:ascii="Book Antiqua" w:eastAsia="Book Antiqua" w:hAnsi="Book Antiqua" w:cs="Book Antiqua"/>
          <w:color w:val="000000"/>
        </w:rPr>
        <w:t>) and</w:t>
      </w:r>
      <w:r>
        <w:rPr>
          <w:rFonts w:ascii="Book Antiqua" w:eastAsia="Book Antiqua" w:hAnsi="Book Antiqua" w:cs="Book Antiqua"/>
          <w:color w:val="000000"/>
        </w:rPr>
        <w:t xml:space="preserve"> the Oncomine database (</w:t>
      </w:r>
      <w:r>
        <w:rPr>
          <w:rFonts w:ascii="Book Antiqua" w:eastAsia="Book Antiqua" w:hAnsi="Book Antiqua" w:cs="Book Antiqua"/>
          <w:color w:val="000000"/>
          <w:u w:color="0000FF"/>
        </w:rPr>
        <w:t>https://www.Oncomine.org/resource</w:t>
      </w:r>
      <w:r>
        <w:rPr>
          <w:rFonts w:ascii="Book Antiqua" w:eastAsia="Book Antiqua" w:hAnsi="Book Antiqua" w:cs="Book Antiqua"/>
          <w:color w:val="000000"/>
        </w:rPr>
        <w:t>).</w:t>
      </w:r>
    </w:p>
    <w:p w14:paraId="177DDBF5" w14:textId="77777777" w:rsidR="001154E7" w:rsidRDefault="001154E7">
      <w:pPr>
        <w:adjustRightInd w:val="0"/>
        <w:snapToGrid w:val="0"/>
        <w:spacing w:line="360" w:lineRule="auto"/>
        <w:jc w:val="both"/>
        <w:rPr>
          <w:rFonts w:ascii="Book Antiqua" w:hAnsi="Book Antiqua"/>
        </w:rPr>
      </w:pPr>
    </w:p>
    <w:p w14:paraId="526C154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Liver tissues and clinical data</w:t>
      </w:r>
    </w:p>
    <w:p w14:paraId="1779256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This study was approved by the Ethics Committee permission (TDFY2018-025) at the Affiliated Hospital of Nantong University, China from Jan 2009 to Dec 2014, and th</w:t>
      </w:r>
      <w:r>
        <w:rPr>
          <w:rFonts w:ascii="Book Antiqua" w:eastAsia="Book Antiqua" w:hAnsi="Book Antiqua" w:cs="Book Antiqua"/>
          <w:color w:val="000000"/>
        </w:rPr>
        <w:t>e prior written informed consent was obtained from HCC patients according to the Helsinki Declaration of World Medical Association. A total 132 pairs of self-controlled HCC tissues (HCC group) and their para-cancerous tissues (2 cm to cancer, Para-C group)</w:t>
      </w:r>
      <w:r>
        <w:rPr>
          <w:rFonts w:ascii="Book Antiqua" w:eastAsia="Book Antiqua" w:hAnsi="Book Antiqua" w:cs="Book Antiqua"/>
          <w:color w:val="000000"/>
        </w:rPr>
        <w:t xml:space="preserve"> were collected from patients with HCC after post-operation, frozen in liquid nitrogen, and kept at – 85 </w:t>
      </w:r>
      <w:r>
        <w:rPr>
          <w:rFonts w:ascii="Cambria Math" w:eastAsia="Book Antiqua" w:hAnsi="Cambria Math" w:cs="Book Antiqua"/>
          <w:color w:val="000000"/>
        </w:rPr>
        <w:t>°</w:t>
      </w:r>
      <w:r>
        <w:rPr>
          <w:rFonts w:ascii="Book Antiqua" w:eastAsia="Book Antiqua" w:hAnsi="Book Antiqua" w:cs="Book Antiqua"/>
          <w:color w:val="000000"/>
        </w:rPr>
        <w:t xml:space="preserve">C until used. According to their medical records, the patients were 111 males and 21 females with 21-79-years-old (average 60.04 ± 15.8 years). Serum </w:t>
      </w:r>
      <w:r>
        <w:rPr>
          <w:rFonts w:ascii="Book Antiqua" w:eastAsia="Book Antiqua" w:hAnsi="Book Antiqua" w:cs="Book Antiqua"/>
          <w:color w:val="000000"/>
        </w:rPr>
        <w:t xml:space="preserve">alpha-fetoprotein (AFP) concentrations were 104 cases with ≥ 20 ng/mL and 28 cases with &lt; 20 ng/mL. There were 120 cases with positive HBV surface antigen and 45 cases with positive hepatitis B e-antigen (HBeAg). There were 106 cases with tumor size ≥ 3.0 </w:t>
      </w:r>
      <w:r>
        <w:rPr>
          <w:rFonts w:ascii="Book Antiqua" w:eastAsia="Book Antiqua" w:hAnsi="Book Antiqua" w:cs="Book Antiqua"/>
          <w:color w:val="000000"/>
        </w:rPr>
        <w:t xml:space="preserve">cm, 58 cases with vascular invasion, and 32 cases with ascites. </w:t>
      </w:r>
    </w:p>
    <w:p w14:paraId="1D9BB2E3" w14:textId="77777777" w:rsidR="001154E7" w:rsidRDefault="00ED61B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According to the 2019 edition of the diagnosis and treatment of primary liver cancer, there were three groups: Well (I), medium (II), and poor (III) differentiation. HCC patients were </w:t>
      </w:r>
      <w:r>
        <w:rPr>
          <w:rFonts w:ascii="Book Antiqua" w:eastAsia="Book Antiqua" w:hAnsi="Book Antiqua" w:cs="Book Antiqua"/>
          <w:color w:val="000000"/>
        </w:rPr>
        <w:t xml:space="preserve">divided into I-IV stages, with 59 cases at I-II, and 73 cases at III-IV staging on the tumor-node-metastasis (TNM) classification of the International Union Against </w:t>
      </w:r>
      <w:r>
        <w:rPr>
          <w:rFonts w:ascii="Book Antiqua" w:eastAsia="Book Antiqua" w:hAnsi="Book Antiqua" w:cs="Book Antiqua"/>
          <w:color w:val="000000"/>
        </w:rPr>
        <w:lastRenderedPageBreak/>
        <w:t>Cancer. All patients underwent histopathology and did not receive radiation or chemotherapy</w:t>
      </w:r>
      <w:r>
        <w:rPr>
          <w:rFonts w:ascii="Book Antiqua" w:eastAsia="Book Antiqua" w:hAnsi="Book Antiqua" w:cs="Book Antiqua"/>
          <w:color w:val="000000"/>
        </w:rPr>
        <w:t xml:space="preserve"> prior to surgery. HCC patients had regular follow-up from operation to death until Jan 2020. Diagnosis of HCC was confirmed with the criteria set by the Chinese National Collaborative Cancer Research Group</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792A6E3A" w14:textId="77777777" w:rsidR="001154E7" w:rsidRDefault="001154E7">
      <w:pPr>
        <w:adjustRightInd w:val="0"/>
        <w:snapToGrid w:val="0"/>
        <w:spacing w:line="360" w:lineRule="auto"/>
        <w:jc w:val="both"/>
        <w:rPr>
          <w:rFonts w:ascii="Book Antiqua" w:hAnsi="Book Antiqua"/>
        </w:rPr>
      </w:pPr>
    </w:p>
    <w:p w14:paraId="6BD3970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Tissue microarray</w:t>
      </w:r>
    </w:p>
    <w:p w14:paraId="2F55365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Tissue microarrays (TMA) </w:t>
      </w:r>
      <w:r>
        <w:rPr>
          <w:rFonts w:ascii="Book Antiqua" w:eastAsia="Book Antiqua" w:hAnsi="Book Antiqua" w:cs="Book Antiqua"/>
          <w:color w:val="000000"/>
        </w:rPr>
        <w:t xml:space="preserve">were constructed by the Departments of Pathology, Affiliated Hospital of Nantong University, China, containing formalin-fixed and paraffin-embedded specimens from 132 HCC tissues and their non-cancerous tissues. Tissue cores </w:t>
      </w:r>
      <w:r>
        <w:rPr>
          <w:rFonts w:ascii="Book Antiqua" w:eastAsia="Book Antiqua" w:hAnsi="Book Antiqua" w:cs="Book Antiqua"/>
          <w:color w:val="000000"/>
          <w:shd w:val="clear" w:color="auto" w:fill="FFFFFF"/>
        </w:rPr>
        <w:t xml:space="preserve">(1.5 mm) </w:t>
      </w:r>
      <w:r>
        <w:rPr>
          <w:rFonts w:ascii="Book Antiqua" w:eastAsia="Book Antiqua" w:hAnsi="Book Antiqua" w:cs="Book Antiqua"/>
          <w:color w:val="000000"/>
        </w:rPr>
        <w:t xml:space="preserve">from the </w:t>
      </w:r>
      <w:r>
        <w:rPr>
          <w:rFonts w:ascii="Book Antiqua" w:eastAsia="Book Antiqua" w:hAnsi="Book Antiqua" w:cs="Book Antiqua"/>
          <w:color w:val="000000"/>
          <w:shd w:val="clear" w:color="auto" w:fill="FFFFFF"/>
        </w:rPr>
        <w:t>representativ</w:t>
      </w:r>
      <w:r>
        <w:rPr>
          <w:rFonts w:ascii="Book Antiqua" w:eastAsia="Book Antiqua" w:hAnsi="Book Antiqua" w:cs="Book Antiqua"/>
          <w:color w:val="000000"/>
          <w:shd w:val="clear" w:color="auto" w:fill="FFFFFF"/>
        </w:rPr>
        <w:t>e</w:t>
      </w:r>
      <w:r>
        <w:rPr>
          <w:rFonts w:ascii="Book Antiqua" w:eastAsia="Book Antiqua" w:hAnsi="Book Antiqua" w:cs="Book Antiqua"/>
          <w:color w:val="000000"/>
        </w:rPr>
        <w:t xml:space="preserve"> areas were constructed into the TMA slices. </w:t>
      </w:r>
    </w:p>
    <w:p w14:paraId="73118E60" w14:textId="77777777" w:rsidR="001154E7" w:rsidRDefault="001154E7">
      <w:pPr>
        <w:adjustRightInd w:val="0"/>
        <w:snapToGrid w:val="0"/>
        <w:spacing w:line="360" w:lineRule="auto"/>
        <w:jc w:val="both"/>
        <w:rPr>
          <w:rFonts w:ascii="Book Antiqua" w:hAnsi="Book Antiqua"/>
        </w:rPr>
      </w:pPr>
    </w:p>
    <w:p w14:paraId="038FE79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Immunohistochemistry</w:t>
      </w:r>
    </w:p>
    <w:p w14:paraId="42B58438"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Immunohistochemistry staining was determined for assessing TUFT1 expression by GTVision</w:t>
      </w:r>
      <w:r>
        <w:rPr>
          <w:rFonts w:ascii="Book Antiqua" w:eastAsia="Book Antiqua" w:hAnsi="Book Antiqua" w:cs="Book Antiqua"/>
          <w:color w:val="000000"/>
          <w:shd w:val="clear" w:color="auto" w:fill="FFFFFF"/>
          <w:vertAlign w:val="superscript"/>
        </w:rPr>
        <w:t xml:space="preserve">TM </w:t>
      </w:r>
      <w:r>
        <w:rPr>
          <w:rFonts w:ascii="Book Antiqua" w:eastAsia="Book Antiqua" w:hAnsi="Book Antiqua" w:cs="Book Antiqua"/>
          <w:color w:val="000000"/>
        </w:rPr>
        <w:t>III</w:t>
      </w:r>
      <w:r>
        <w:rPr>
          <w:rFonts w:ascii="Book Antiqua" w:eastAsia="Book Antiqua" w:hAnsi="Book Antiqua" w:cs="Book Antiqua"/>
          <w:color w:val="000000"/>
          <w:shd w:val="clear" w:color="auto" w:fill="FFFFFF"/>
        </w:rPr>
        <w:t xml:space="preserve"> Detection System/Mo&amp;Rb (GK600710) according to the manufacturer′s protocol. TMA slices were</w:t>
      </w:r>
      <w:r>
        <w:rPr>
          <w:rFonts w:ascii="Book Antiqua" w:eastAsia="Book Antiqua" w:hAnsi="Book Antiqua" w:cs="Book Antiqua"/>
          <w:color w:val="000000"/>
        </w:rPr>
        <w:t xml:space="preserve"> d</w:t>
      </w:r>
      <w:r>
        <w:rPr>
          <w:rFonts w:ascii="Book Antiqua" w:eastAsia="Book Antiqua" w:hAnsi="Book Antiqua" w:cs="Book Antiqua"/>
          <w:color w:val="000000"/>
        </w:rPr>
        <w:t xml:space="preserve">ewaxed and rehydrated, underwent antigen retrieval, and were </w:t>
      </w:r>
      <w:r>
        <w:rPr>
          <w:rFonts w:ascii="Book Antiqua" w:eastAsia="Book Antiqua" w:hAnsi="Book Antiqua" w:cs="Book Antiqua"/>
          <w:color w:val="000000"/>
          <w:shd w:val="clear" w:color="auto" w:fill="FFFFFF"/>
        </w:rPr>
        <w:t xml:space="preserve">blocked </w:t>
      </w:r>
      <w:r>
        <w:rPr>
          <w:rFonts w:ascii="Book Antiqua" w:eastAsia="Book Antiqua" w:hAnsi="Book Antiqua" w:cs="Book Antiqua"/>
          <w:color w:val="000000"/>
        </w:rPr>
        <w:t>e</w:t>
      </w:r>
      <w:r>
        <w:rPr>
          <w:rFonts w:ascii="Book Antiqua" w:eastAsia="Book Antiqua" w:hAnsi="Book Antiqua" w:cs="Book Antiqua"/>
          <w:color w:val="000000"/>
          <w:shd w:val="clear" w:color="auto" w:fill="FFFFFF"/>
        </w:rPr>
        <w:t>ndogenous peroxidase and antibody nonspecific binding with 3% H</w:t>
      </w:r>
      <w:r>
        <w:rPr>
          <w:rFonts w:ascii="Book Antiqua" w:eastAsia="Book Antiqua" w:hAnsi="Book Antiqua" w:cs="Book Antiqua"/>
          <w:color w:val="000000"/>
          <w:shd w:val="clear" w:color="auto" w:fill="FFFFFF"/>
          <w:vertAlign w:val="subscript"/>
        </w:rPr>
        <w:t>2</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2</w:t>
      </w:r>
      <w:r>
        <w:rPr>
          <w:rFonts w:ascii="Book Antiqua" w:eastAsia="Book Antiqua" w:hAnsi="Book Antiqua" w:cs="Book Antiqua"/>
          <w:color w:val="000000"/>
          <w:shd w:val="clear" w:color="auto" w:fill="FFFFFF"/>
        </w:rPr>
        <w:t xml:space="preserve"> and 10% goat serum, respectively. Slices were incubated with the primary </w:t>
      </w:r>
      <w:r>
        <w:rPr>
          <w:rFonts w:ascii="Book Antiqua" w:eastAsia="Book Antiqua" w:hAnsi="Book Antiqua" w:cs="Book Antiqua"/>
          <w:color w:val="000000"/>
        </w:rPr>
        <w:t xml:space="preserve">anti-human TUFT1 </w:t>
      </w:r>
      <w:r>
        <w:rPr>
          <w:rFonts w:ascii="Book Antiqua" w:eastAsia="Book Antiqua" w:hAnsi="Book Antiqua" w:cs="Book Antiqua"/>
          <w:color w:val="000000"/>
          <w:shd w:val="clear" w:color="auto" w:fill="FFFFFF"/>
        </w:rPr>
        <w:t>antibody (</w:t>
      </w:r>
      <w:r>
        <w:rPr>
          <w:rFonts w:ascii="Book Antiqua" w:eastAsia="Book Antiqua" w:hAnsi="Book Antiqua" w:cs="Book Antiqua"/>
          <w:color w:val="000000"/>
        </w:rPr>
        <w:t>1: 250, Abcam, Cambridge, United Kingdom</w:t>
      </w:r>
      <w:r>
        <w:rPr>
          <w:rFonts w:ascii="Book Antiqua" w:eastAsia="Book Antiqua" w:hAnsi="Book Antiqua" w:cs="Book Antiqua"/>
          <w:color w:val="000000"/>
          <w:shd w:val="clear" w:color="auto" w:fill="FFFFFF"/>
        </w:rPr>
        <w:t>) overnight at</w:t>
      </w:r>
      <w:r>
        <w:rPr>
          <w:rFonts w:ascii="Book Antiqua" w:eastAsia="Book Antiqua" w:hAnsi="Book Antiqua" w:cs="Book Antiqua"/>
          <w:color w:val="000000"/>
        </w:rPr>
        <w:t xml:space="preserve"> 4 °C. The slices after incubated with horseradish peroxidase (HRP)-conjugated goat anti-rabbit immun</w:t>
      </w:r>
      <w:r>
        <w:rPr>
          <w:rFonts w:ascii="Book Antiqua" w:eastAsia="Book Antiqua" w:hAnsi="Book Antiqua" w:cs="Book Antiqua"/>
          <w:color w:val="000000"/>
        </w:rPr>
        <w:t>oglobulin G (Everest Biotech, Oxford, United Kingdom) were stained with diamino-benzidine, and counterstained with hematoxylin, cleared in xylene, and covered. The levels of TUFT1 expression were calculated with the Image-Pro Plus 6.0 software (Media Cyber</w:t>
      </w:r>
      <w:r>
        <w:rPr>
          <w:rFonts w:ascii="Book Antiqua" w:eastAsia="Book Antiqua" w:hAnsi="Book Antiqua" w:cs="Book Antiqua"/>
          <w:color w:val="000000"/>
        </w:rPr>
        <w:t>netics, Rockville, MD, United States). Blinded evaluations of TUFT1 immunostaining and independent observation by two independent pathologists were carried out simultaneously, and the score was calculated by the sum of staining intensities and the rates of</w:t>
      </w:r>
      <w:r>
        <w:rPr>
          <w:rFonts w:ascii="Book Antiqua" w:eastAsia="Book Antiqua" w:hAnsi="Book Antiqua" w:cs="Book Antiqua"/>
          <w:color w:val="000000"/>
        </w:rPr>
        <w:t xml:space="preserve"> 100 positive cells. TUFT1 level in HCC tissues was divided into low and high expression.</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The expressing intensities of TUFT1 were divided into four categories: 0, negative; 1, weakly positive; 2, moderate positive; and 3, strongly positive.</w:t>
      </w:r>
    </w:p>
    <w:p w14:paraId="489E40CB" w14:textId="77777777" w:rsidR="001154E7" w:rsidRDefault="001154E7">
      <w:pPr>
        <w:adjustRightInd w:val="0"/>
        <w:snapToGrid w:val="0"/>
        <w:spacing w:line="360" w:lineRule="auto"/>
        <w:jc w:val="both"/>
        <w:rPr>
          <w:rFonts w:ascii="Book Antiqua" w:hAnsi="Book Antiqua"/>
        </w:rPr>
      </w:pPr>
    </w:p>
    <w:p w14:paraId="7A288D8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Cell culture</w:t>
      </w:r>
    </w:p>
    <w:p w14:paraId="00CA4F7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All human HCC (Hep3B, MHCC-97L, MHCC-97H, BEL-7404, HepG2, HCCLM3, and SMMC-7721) cells and LO2 cell line were purchased from the Zhongqiao Xinzhou Science and Technology Co. (Shanghai, China). HCC cells were divided into three groups: Control, negative co</w:t>
      </w:r>
      <w:r>
        <w:rPr>
          <w:rFonts w:ascii="Book Antiqua" w:eastAsia="Book Antiqua" w:hAnsi="Book Antiqua" w:cs="Book Antiqua"/>
          <w:color w:val="000000"/>
        </w:rPr>
        <w:t>ntrol (sh-NC or NC), and intervening (sh-TUFT1 or over-expressing) groups. HCC (MHCC-97L, MHCC-97H, BEL-7404, HepG2, and HCCLM3) cells in high glucose Dulbecco’s modified Eagle’s Medium with 10% fetal bovine serum (FBS, Gibco Laboratories, Gaithersburg, MD</w:t>
      </w:r>
      <w:r>
        <w:rPr>
          <w:rFonts w:ascii="Book Antiqua" w:eastAsia="Book Antiqua" w:hAnsi="Book Antiqua" w:cs="Book Antiqua"/>
          <w:color w:val="000000"/>
        </w:rPr>
        <w:t>, United States), SMMC-7721 and LO2 cell lines in Roswell Park Memorial Institute-1640 medium with 10% FBS, and Hep3B cells in Minimal Essential Medium with 15% FBS were cultured containing 100 U/mL of penicillin/streptomycin at 37 °C with 5%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Cell </w:t>
      </w:r>
      <w:r>
        <w:rPr>
          <w:rFonts w:ascii="Book Antiqua" w:eastAsia="Book Antiqua" w:hAnsi="Book Antiqua" w:cs="Book Antiqua"/>
          <w:color w:val="000000"/>
        </w:rPr>
        <w:t>density to about 85% was used to next cell passage.</w:t>
      </w:r>
    </w:p>
    <w:p w14:paraId="6C57060E" w14:textId="77777777" w:rsidR="001154E7" w:rsidRDefault="001154E7">
      <w:pPr>
        <w:adjustRightInd w:val="0"/>
        <w:snapToGrid w:val="0"/>
        <w:spacing w:line="360" w:lineRule="auto"/>
        <w:jc w:val="both"/>
        <w:rPr>
          <w:rFonts w:ascii="Book Antiqua" w:hAnsi="Book Antiqua"/>
        </w:rPr>
      </w:pPr>
    </w:p>
    <w:p w14:paraId="61903D0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Plasmid coding short hairpin RNA against TUFT1</w:t>
      </w:r>
    </w:p>
    <w:p w14:paraId="7581F0C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Specific short hairpin RNA (shRNA) targeting sites of</w:t>
      </w:r>
      <w:r>
        <w:rPr>
          <w:rFonts w:ascii="Book Antiqua" w:eastAsia="Book Antiqua" w:hAnsi="Book Antiqua" w:cs="Book Antiqua"/>
          <w:i/>
          <w:iCs/>
          <w:color w:val="000000"/>
        </w:rPr>
        <w:t xml:space="preserve"> TUFT1</w:t>
      </w:r>
      <w:r>
        <w:rPr>
          <w:rFonts w:ascii="Book Antiqua" w:eastAsia="Book Antiqua" w:hAnsi="Book Antiqua" w:cs="Book Antiqua"/>
          <w:color w:val="000000"/>
        </w:rPr>
        <w:t xml:space="preserve"> sequence (GenBank: AH009496.2)</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were designed and synthesized (Guangzhou Cyagen Biotechnology</w:t>
      </w:r>
      <w:r>
        <w:rPr>
          <w:rFonts w:ascii="Book Antiqua" w:eastAsia="Book Antiqua" w:hAnsi="Book Antiqua" w:cs="Book Antiqua"/>
          <w:color w:val="000000"/>
        </w:rPr>
        <w:t xml:space="preserve"> Co., Ltd., China) and used to construct lentivirus LV-U6 &gt; Scramble-shRNA-PGK &gt; enhanced green fluorescent protein (EGFP)/T2A/Puro vector. Inserted interfering sequences in plasmids were TUFT1-shRNA1: 5’-AGAAGCTCCGG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GAGGATATAACTCGAGTTATATCCTCCCGGAGCTCT-3’</w:t>
      </w:r>
      <w:r>
        <w:rPr>
          <w:rFonts w:ascii="Book Antiqua" w:eastAsia="Book Antiqua" w:hAnsi="Book Antiqua" w:cs="Book Antiqua"/>
          <w:color w:val="000000"/>
        </w:rPr>
        <w:t>, TUFT1-shRNA2: 5’-TGA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GGTGGACACCTGTATAAACTCGAGTTTATACAGGTGTCCACCTCA-3’, and TUFT1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-shRNA3: 5’-GATTCACGAGAAGAATATTAACTCGAGTTAATATTCTTCTCGTGAA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TC-3’, respectively. TUFT1-negative plasmid was constructed similarly with a shRNA sequence that does not suppress</w:t>
      </w:r>
      <w:r>
        <w:rPr>
          <w:rFonts w:ascii="Book Antiqua" w:eastAsia="Book Antiqua" w:hAnsi="Book Antiqua" w:cs="Book Antiqua"/>
          <w:color w:val="000000"/>
        </w:rPr>
        <w:t xml:space="preserve"> TUFT1 expression, and the Scramble vector (Cyagen</w:t>
      </w:r>
      <w:r>
        <w:rPr>
          <w:rFonts w:ascii="Book Antiqua" w:eastAsia="Book Antiqua" w:hAnsi="Book Antiqua" w:cs="Book Antiqua"/>
          <w:b/>
          <w:bCs/>
          <w:color w:val="000000"/>
        </w:rPr>
        <w:t xml:space="preserve">, </w:t>
      </w:r>
      <w:r>
        <w:rPr>
          <w:rFonts w:ascii="Book Antiqua" w:eastAsia="Book Antiqua" w:hAnsi="Book Antiqua" w:cs="Book Antiqua"/>
          <w:color w:val="000000"/>
        </w:rPr>
        <w:t>Santa Clara, CA, United States</w:t>
      </w:r>
      <w:r>
        <w:rPr>
          <w:rFonts w:ascii="Book Antiqua" w:eastAsia="Book Antiqua" w:hAnsi="Book Antiqua" w:cs="Book Antiqua"/>
          <w:color w:val="000000"/>
        </w:rPr>
        <w:t>) as a control. All inserted sequences were confirmed by sequencing.</w:t>
      </w:r>
    </w:p>
    <w:p w14:paraId="1500290B" w14:textId="77777777" w:rsidR="001154E7" w:rsidRDefault="001154E7">
      <w:pPr>
        <w:adjustRightInd w:val="0"/>
        <w:snapToGrid w:val="0"/>
        <w:spacing w:line="360" w:lineRule="auto"/>
        <w:jc w:val="both"/>
        <w:rPr>
          <w:rFonts w:ascii="Book Antiqua" w:hAnsi="Book Antiqua"/>
        </w:rPr>
      </w:pPr>
    </w:p>
    <w:p w14:paraId="4233379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Expressing TUFT1 plasmid</w:t>
      </w:r>
    </w:p>
    <w:p w14:paraId="41E8058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The exon sequence of TUFT1 gene (GenBank: AH009496.2)</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was inserted into the Scramble vector (GenePharma, Shanghai, China) to construct pEX-4 </w:t>
      </w:r>
      <w:r>
        <w:rPr>
          <w:rFonts w:ascii="Book Antiqua" w:eastAsia="Book Antiqua" w:hAnsi="Book Antiqua" w:cs="Book Antiqua"/>
          <w:color w:val="000000"/>
        </w:rPr>
        <w:lastRenderedPageBreak/>
        <w:t xml:space="preserve">(pGCMV/MCS/T2A/EGFP/ Neo) vector. Negative or control plasmids were equal to above vectors. </w:t>
      </w:r>
    </w:p>
    <w:p w14:paraId="7D28E0EF" w14:textId="77777777" w:rsidR="001154E7" w:rsidRDefault="001154E7">
      <w:pPr>
        <w:adjustRightInd w:val="0"/>
        <w:snapToGrid w:val="0"/>
        <w:spacing w:line="360" w:lineRule="auto"/>
        <w:jc w:val="both"/>
        <w:rPr>
          <w:rFonts w:ascii="Book Antiqua" w:hAnsi="Book Antiqua"/>
        </w:rPr>
      </w:pPr>
    </w:p>
    <w:p w14:paraId="244A295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Cell transfection</w:t>
      </w:r>
    </w:p>
    <w:p w14:paraId="4C1F988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Human MHCC-97H cell line in high glucose Dulbecco’s modi</w:t>
      </w:r>
      <w:r>
        <w:rPr>
          <w:rFonts w:ascii="Book Antiqua" w:eastAsia="Book Antiqua" w:hAnsi="Book Antiqua" w:cs="Book Antiqua"/>
          <w:color w:val="000000"/>
        </w:rPr>
        <w:t>fied Eagle’s Medium with 10% of FBS or Hep3B cell line in MEM with 15% of FBS was cultured at 37 °C with 5% CO</w:t>
      </w:r>
      <w:r>
        <w:rPr>
          <w:rFonts w:ascii="Book Antiqua" w:eastAsia="Book Antiqua" w:hAnsi="Book Antiqua" w:cs="Book Antiqua"/>
          <w:color w:val="000000"/>
          <w:vertAlign w:val="subscript"/>
        </w:rPr>
        <w:t>2</w:t>
      </w:r>
      <w:r>
        <w:rPr>
          <w:rFonts w:ascii="Book Antiqua" w:eastAsia="Book Antiqua" w:hAnsi="Book Antiqua" w:cs="Book Antiqua"/>
          <w:color w:val="000000"/>
        </w:rPr>
        <w:t>. When Hep3B cells up to optimal confluence over 70% were transfected at time, the cells of blank, negative control, and TUFT1 over-expressing gr</w:t>
      </w:r>
      <w:r>
        <w:rPr>
          <w:rFonts w:ascii="Book Antiqua" w:eastAsia="Book Antiqua" w:hAnsi="Book Antiqua" w:cs="Book Antiqua"/>
          <w:color w:val="000000"/>
        </w:rPr>
        <w:t>oups were transfected with corresponding plasmids using Lipofectamine 3000 (Invitrogen, USA) according to the manufacturer’s instructions. MHCC-97H cells were also divided into blank, negative control, and sh-TUFT1 groups. They were transfected with corres</w:t>
      </w:r>
      <w:r>
        <w:rPr>
          <w:rFonts w:ascii="Book Antiqua" w:eastAsia="Book Antiqua" w:hAnsi="Book Antiqua" w:cs="Book Antiqua"/>
          <w:color w:val="000000"/>
        </w:rPr>
        <w:t xml:space="preserve">ponding plasmids using polybrene (Cyagen) according to the manufacturer’s instructions. </w:t>
      </w:r>
    </w:p>
    <w:p w14:paraId="732B9BA1" w14:textId="77777777" w:rsidR="001154E7" w:rsidRDefault="001154E7">
      <w:pPr>
        <w:adjustRightInd w:val="0"/>
        <w:snapToGrid w:val="0"/>
        <w:spacing w:line="360" w:lineRule="auto"/>
        <w:jc w:val="both"/>
        <w:rPr>
          <w:rFonts w:ascii="Book Antiqua" w:hAnsi="Book Antiqua"/>
        </w:rPr>
      </w:pPr>
    </w:p>
    <w:p w14:paraId="6AFE63DA"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Western blotting</w:t>
      </w:r>
    </w:p>
    <w:p w14:paraId="3C497F7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Western blot analysis was performed as described previously</w:t>
      </w:r>
      <w:r>
        <w:rPr>
          <w:rFonts w:ascii="Book Antiqua" w:eastAsia="Book Antiqua" w:hAnsi="Book Antiqua" w:cs="Book Antiqua"/>
          <w:color w:val="000000"/>
          <w:vertAlign w:val="superscript"/>
        </w:rPr>
        <w:t>[24]</w:t>
      </w:r>
      <w:r>
        <w:rPr>
          <w:rFonts w:ascii="Book Antiqua" w:eastAsia="Book Antiqua" w:hAnsi="Book Antiqua" w:cs="Book Antiqua"/>
          <w:color w:val="000000"/>
        </w:rPr>
        <w:t>. Briefly, 50 µg of purified protein from transfected cells was separated on electroph</w:t>
      </w:r>
      <w:r>
        <w:rPr>
          <w:rFonts w:ascii="Book Antiqua" w:eastAsia="Book Antiqua" w:hAnsi="Book Antiqua" w:cs="Book Antiqua"/>
          <w:color w:val="000000"/>
        </w:rPr>
        <w:t>oresis of 10% sodium dodecyl sulfate-polyacrylamide gel, transferred to polyvinylidene fluoride membranes (Millipore, Burlington, MA, United States), blocked in 5% of nonfat dry milk in Tris-buffered saline (pH 7.5, 100 mmol/L NaCl, 50 mmol/L Tris, 0.1% Tw</w:t>
      </w:r>
      <w:r>
        <w:rPr>
          <w:rFonts w:ascii="Book Antiqua" w:eastAsia="Book Antiqua" w:hAnsi="Book Antiqua" w:cs="Book Antiqua"/>
          <w:color w:val="000000"/>
        </w:rPr>
        <w:t>een-20), and incubated with anti-human TUFT1 antibodies (Abcam) overnight at 4 °C, followed by HRP conjugated immunoglobulin G (Everest Biotech, Oxford, United Kingdom). Alterations of proteins were analyzed by Quantity-one software (Bio-Rad, Laboratories,</w:t>
      </w:r>
      <w:r>
        <w:rPr>
          <w:rFonts w:ascii="Book Antiqua" w:eastAsia="Book Antiqua" w:hAnsi="Book Antiqua" w:cs="Book Antiqua"/>
          <w:color w:val="000000"/>
        </w:rPr>
        <w:t xml:space="preserve"> Hercules, CA, United States) with Immobilon ECL Chemiluminescence HRP Substrate (Millipore) and quantified using Gel-Pro Analyzer software.</w:t>
      </w:r>
    </w:p>
    <w:p w14:paraId="6AAC7111" w14:textId="77777777" w:rsidR="001154E7" w:rsidRDefault="001154E7">
      <w:pPr>
        <w:adjustRightInd w:val="0"/>
        <w:snapToGrid w:val="0"/>
        <w:spacing w:line="360" w:lineRule="auto"/>
        <w:jc w:val="both"/>
        <w:rPr>
          <w:rFonts w:ascii="Book Antiqua" w:hAnsi="Book Antiqua"/>
        </w:rPr>
      </w:pPr>
    </w:p>
    <w:p w14:paraId="747A7BC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CCK-8 assay</w:t>
      </w:r>
    </w:p>
    <w:p w14:paraId="19EB82F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Cell counting kit (CCK-8) </w:t>
      </w:r>
      <w:r>
        <w:rPr>
          <w:rFonts w:ascii="Book Antiqua" w:eastAsia="Book Antiqua" w:hAnsi="Book Antiqua" w:cs="Book Antiqua"/>
          <w:color w:val="000000"/>
          <w:shd w:val="clear" w:color="auto" w:fill="FFFFFF"/>
        </w:rPr>
        <w:t>was employed to evaluate HCC cell proliferation.</w:t>
      </w:r>
      <w:r>
        <w:rPr>
          <w:rFonts w:ascii="Book Antiqua" w:eastAsia="Book Antiqua" w:hAnsi="Book Antiqua" w:cs="Book Antiqua"/>
          <w:color w:val="000000"/>
        </w:rPr>
        <w:t xml:space="preserve"> There were three groups in </w:t>
      </w:r>
      <w:r>
        <w:rPr>
          <w:rFonts w:ascii="Book Antiqua" w:eastAsia="Book Antiqua" w:hAnsi="Book Antiqua" w:cs="Book Antiqua"/>
          <w:color w:val="000000"/>
        </w:rPr>
        <w:t>the experiment: Blank, negative control, sh-TUFT1 intervention or TUFT1 over-expressing groups. Cells from different treatment groups were counted, adjusted to concentration 4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/mL, and seeded in a 96-well plate with 100 μL/per well. Cells were </w:t>
      </w:r>
      <w:r>
        <w:rPr>
          <w:rFonts w:ascii="Book Antiqua" w:eastAsia="Book Antiqua" w:hAnsi="Book Antiqua" w:cs="Book Antiqua"/>
          <w:color w:val="000000"/>
        </w:rPr>
        <w:lastRenderedPageBreak/>
        <w:t xml:space="preserve">seeded </w:t>
      </w:r>
      <w:r>
        <w:rPr>
          <w:rFonts w:ascii="Book Antiqua" w:eastAsia="Book Antiqua" w:hAnsi="Book Antiqua" w:cs="Book Antiqua"/>
          <w:color w:val="000000"/>
        </w:rPr>
        <w:t>in triplicate for each group. The 96-well plate was placed in the incubator (37 °C and 5% CO</w:t>
      </w:r>
      <w:r>
        <w:rPr>
          <w:rFonts w:ascii="Book Antiqua" w:eastAsia="Book Antiqua" w:hAnsi="Book Antiqua" w:cs="Book Antiqua"/>
          <w:color w:val="000000"/>
          <w:vertAlign w:val="subscript"/>
        </w:rPr>
        <w:t>2</w:t>
      </w:r>
      <w:r>
        <w:rPr>
          <w:rFonts w:ascii="Book Antiqua" w:eastAsia="Book Antiqua" w:hAnsi="Book Antiqua" w:cs="Book Antiqua"/>
          <w:color w:val="000000"/>
        </w:rPr>
        <w:t>), and cells were cultured till the appropriate time. Then, 10 μL CCK-8 solution was added in each well, and the culture plate was incubated for 1-4 h. The absorba</w:t>
      </w:r>
      <w:r>
        <w:rPr>
          <w:rFonts w:ascii="Book Antiqua" w:eastAsia="Book Antiqua" w:hAnsi="Book Antiqua" w:cs="Book Antiqua"/>
          <w:color w:val="000000"/>
        </w:rPr>
        <w:t xml:space="preserve">nce (A) at 450 nm was detected using a plate reader. </w:t>
      </w:r>
    </w:p>
    <w:p w14:paraId="7B0D344B" w14:textId="77777777" w:rsidR="001154E7" w:rsidRDefault="001154E7">
      <w:pPr>
        <w:adjustRightInd w:val="0"/>
        <w:snapToGrid w:val="0"/>
        <w:spacing w:line="360" w:lineRule="auto"/>
        <w:jc w:val="both"/>
        <w:rPr>
          <w:rFonts w:ascii="Book Antiqua" w:hAnsi="Book Antiqua"/>
        </w:rPr>
      </w:pPr>
    </w:p>
    <w:p w14:paraId="449C224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Detection of apoptosis</w:t>
      </w:r>
    </w:p>
    <w:p w14:paraId="34DBA92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Cell culture and experiment groups were set up as described above. Cells were cultured in a 6-well plate at about 70% confluence. Cells were aspirated and placed in a </w:t>
      </w:r>
      <w:r>
        <w:rPr>
          <w:rFonts w:ascii="Book Antiqua" w:eastAsia="Book Antiqua" w:hAnsi="Book Antiqua" w:cs="Book Antiqua"/>
          <w:color w:val="000000"/>
        </w:rPr>
        <w:t>centrifuge tube, centrifuged at 1000 rpm for 5 min, rinsed with phosphate-buffered saline twice, and centrifuged again at 1000 rpm for 5 min. Cells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with 5 μL of Annexin V Alexa Fluor 647 staining solution were mixed in 100 μL binding buffer, coll</w:t>
      </w:r>
      <w:r>
        <w:rPr>
          <w:rFonts w:ascii="Book Antiqua" w:eastAsia="Book Antiqua" w:hAnsi="Book Antiqua" w:cs="Book Antiqua"/>
          <w:color w:val="000000"/>
        </w:rPr>
        <w:t>ected, and placed in dark at room temperature for 10 min. Then, 400 μL binding buffer and 10 μL propidium iodide were mixed and placed in the dark at room temperature for 10 min. Fluorescent microscope observation or flow cytometry was conducted within 1 h</w:t>
      </w:r>
      <w:r>
        <w:rPr>
          <w:rFonts w:ascii="Book Antiqua" w:eastAsia="Book Antiqua" w:hAnsi="Book Antiqua" w:cs="Book Antiqua"/>
          <w:color w:val="000000"/>
        </w:rPr>
        <w:t xml:space="preserve">. FL2 channel was used to detect the yellow fluorescence of propidium iodide with excitation wavelength of 488 nm. FL4 channel was used to detect the red fluorescence of Alexa Fluor 647 with emission wavelength of 640 nm. Cells without apoptotic induction </w:t>
      </w:r>
      <w:r>
        <w:rPr>
          <w:rFonts w:ascii="Book Antiqua" w:eastAsia="Book Antiqua" w:hAnsi="Book Antiqua" w:cs="Book Antiqua"/>
          <w:color w:val="000000"/>
        </w:rPr>
        <w:t>were used as control for fluorescence compensation to remove spectral overlap and determine the position of cross-over.</w:t>
      </w:r>
    </w:p>
    <w:p w14:paraId="69F603B4" w14:textId="77777777" w:rsidR="001154E7" w:rsidRDefault="001154E7">
      <w:pPr>
        <w:adjustRightInd w:val="0"/>
        <w:snapToGrid w:val="0"/>
        <w:spacing w:line="360" w:lineRule="auto"/>
        <w:jc w:val="both"/>
        <w:rPr>
          <w:rFonts w:ascii="Book Antiqua" w:hAnsi="Book Antiqua"/>
        </w:rPr>
      </w:pPr>
    </w:p>
    <w:p w14:paraId="1DF900D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u w:color="0000FF"/>
        </w:rPr>
        <w:t>Cell invasion</w:t>
      </w:r>
    </w:p>
    <w:p w14:paraId="74A2C40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Transwell assays were performed to examine the invasion of cells transfected with small interfering RNA that targeted TUF</w:t>
      </w:r>
      <w:r>
        <w:rPr>
          <w:rFonts w:ascii="Book Antiqua" w:eastAsia="Book Antiqua" w:hAnsi="Book Antiqua" w:cs="Book Antiqua"/>
          <w:color w:val="000000"/>
        </w:rPr>
        <w:t>T1 or a scrambled negative control. Cell invasion was defined using Transwell polycarbonate membrane inserts (Millipore). Cells (1</w:t>
      </w:r>
      <w:r>
        <w:rPr>
          <w:rFonts w:ascii="MS Gothic" w:eastAsia="MS Gothic" w:hAnsi="MS Gothic" w:cs="MS Gothic" w:hint="eastAsia"/>
          <w:color w:val="000000"/>
        </w:rPr>
        <w:t> </w:t>
      </w:r>
      <w:r>
        <w:rPr>
          <w:rFonts w:ascii="Book Antiqua" w:eastAsia="Book Antiqua" w:hAnsi="Book Antiqua" w:cs="Book Antiqua"/>
          <w:color w:val="000000"/>
        </w:rPr>
        <w:t>×</w:t>
      </w:r>
      <w:r>
        <w:rPr>
          <w:rFonts w:ascii="MS Gothic" w:eastAsia="MS Gothic" w:hAnsi="MS Gothic" w:cs="MS Gothic" w:hint="eastAsia"/>
          <w:color w:val="000000"/>
        </w:rPr>
        <w:t>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 serum-free medium were placed into the upper chamber of an insert coated with Matrigel (TheWell </w:t>
      </w:r>
      <w:r>
        <w:rPr>
          <w:rFonts w:ascii="Book Antiqua" w:eastAsia="Book Antiqua" w:hAnsi="Book Antiqua" w:cs="Book Antiqua"/>
          <w:color w:val="000000"/>
        </w:rPr>
        <w:t xml:space="preserve">Bioscience Inc., North Brunswick, NJ, United States). Medium containing 10% FBS was added to the lower chamber to stimulate invasion, and the cells remaining on the upper membrane were removed with cotton wool after cultivation for 48-72 h. Cells that had </w:t>
      </w:r>
      <w:r>
        <w:rPr>
          <w:rFonts w:ascii="Book Antiqua" w:eastAsia="Book Antiqua" w:hAnsi="Book Antiqua" w:cs="Book Antiqua"/>
          <w:color w:val="000000"/>
        </w:rPr>
        <w:t xml:space="preserve">invaded through the membrane were stained with methanol and 0.1% crystal </w:t>
      </w:r>
      <w:r>
        <w:rPr>
          <w:rFonts w:ascii="Book Antiqua" w:eastAsia="Book Antiqua" w:hAnsi="Book Antiqua" w:cs="Book Antiqua"/>
          <w:color w:val="000000"/>
        </w:rPr>
        <w:lastRenderedPageBreak/>
        <w:t>violet, imaged, and counted using an IX71 inverted microscope (Olympus, Tokyo, Japan). Each assay was repeatedly conducted three times.</w:t>
      </w:r>
    </w:p>
    <w:p w14:paraId="2347EF2E" w14:textId="77777777" w:rsidR="001154E7" w:rsidRDefault="001154E7">
      <w:pPr>
        <w:adjustRightInd w:val="0"/>
        <w:snapToGrid w:val="0"/>
        <w:spacing w:line="360" w:lineRule="auto"/>
        <w:jc w:val="both"/>
        <w:rPr>
          <w:rFonts w:ascii="Book Antiqua" w:hAnsi="Book Antiqua"/>
        </w:rPr>
      </w:pPr>
    </w:p>
    <w:p w14:paraId="19AF841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Scratch migration assay</w:t>
      </w:r>
    </w:p>
    <w:p w14:paraId="7D6A372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To measure the logarit</w:t>
      </w:r>
      <w:r>
        <w:rPr>
          <w:rFonts w:ascii="Book Antiqua" w:eastAsia="Book Antiqua" w:hAnsi="Book Antiqua" w:cs="Book Antiqua"/>
          <w:color w:val="000000"/>
        </w:rPr>
        <w:t>hmic growth period, cells were seeded on plates for scratch analysis. When the cell growth density was about 90%, t</w:t>
      </w:r>
      <w:r>
        <w:rPr>
          <w:rFonts w:ascii="Book Antiqua" w:eastAsia="Book Antiqua" w:hAnsi="Book Antiqua" w:cs="Book Antiqua"/>
          <w:color w:val="000000"/>
          <w:shd w:val="clear" w:color="auto" w:fill="FFFFFF"/>
        </w:rPr>
        <w:t xml:space="preserve">he scratch migration assay was performed to test cell migration. Using the ruler perpendicular to the ix-hole plate, with the 200 </w:t>
      </w:r>
      <w:r>
        <w:rPr>
          <w:rFonts w:ascii="Book Antiqua" w:eastAsia="Book Antiqua" w:hAnsi="Book Antiqua" w:cs="Book Antiqua"/>
          <w:color w:val="000000"/>
        </w:rPr>
        <w:t>μL spear he</w:t>
      </w:r>
      <w:r>
        <w:rPr>
          <w:rFonts w:ascii="Book Antiqua" w:eastAsia="Book Antiqua" w:hAnsi="Book Antiqua" w:cs="Book Antiqua"/>
          <w:color w:val="000000"/>
        </w:rPr>
        <w:t xml:space="preserve">ad along the ruler, a scratch was made, keeping strength as far as possible. A picture was taken, and the cells were allowed to continue to grow; a picture was taken every 24 h. The images were then compared, and the data analyzed. </w:t>
      </w:r>
    </w:p>
    <w:p w14:paraId="6ED37942" w14:textId="77777777" w:rsidR="001154E7" w:rsidRDefault="001154E7">
      <w:pPr>
        <w:adjustRightInd w:val="0"/>
        <w:snapToGrid w:val="0"/>
        <w:spacing w:line="360" w:lineRule="auto"/>
        <w:jc w:val="both"/>
        <w:rPr>
          <w:rFonts w:ascii="Book Antiqua" w:hAnsi="Book Antiqua"/>
        </w:rPr>
      </w:pPr>
    </w:p>
    <w:p w14:paraId="41DFD6E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43454F5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S</w:t>
      </w:r>
      <w:r>
        <w:rPr>
          <w:rFonts w:ascii="Book Antiqua" w:eastAsia="Book Antiqua" w:hAnsi="Book Antiqua" w:cs="Book Antiqua"/>
          <w:color w:val="000000"/>
        </w:rPr>
        <w:t>tatistical analysis was performed by GraphPad Prism 8.0 software</w:t>
      </w:r>
      <w:r>
        <w:rPr>
          <w:rFonts w:ascii="Book Antiqua" w:eastAsia="Book Antiqua" w:hAnsi="Book Antiqua" w:cs="Book Antiqua"/>
          <w:color w:val="000000"/>
          <w:shd w:val="clear" w:color="auto" w:fill="FFFFFF"/>
        </w:rPr>
        <w:t> (GraphPad Co. Ltd., San Diego, CA, Unites States) </w:t>
      </w:r>
      <w:r>
        <w:rPr>
          <w:rFonts w:ascii="Book Antiqua" w:eastAsia="Book Antiqua" w:hAnsi="Book Antiqua" w:cs="Book Antiqua"/>
          <w:color w:val="000000"/>
        </w:rPr>
        <w:t>and SPSS statistical package Version 25.0 (</w:t>
      </w:r>
      <w:r>
        <w:rPr>
          <w:rFonts w:ascii="Book Antiqua" w:eastAsia="Book Antiqua" w:hAnsi="Book Antiqua" w:cs="Book Antiqua"/>
          <w:color w:val="000000"/>
          <w:shd w:val="clear" w:color="auto" w:fill="FFFFFF"/>
        </w:rPr>
        <w:t xml:space="preserve">SPSS Inc., Armonk, NY, United States). The </w:t>
      </w:r>
      <w:r>
        <w:rPr>
          <w:rFonts w:ascii="Book Antiqua" w:eastAsia="Book Antiqua" w:hAnsi="Book Antiqua" w:cs="Book Antiqua"/>
          <w:color w:val="000000"/>
        </w:rPr>
        <w:t xml:space="preserve">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a rank-sum test,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test, and Fisher'</w:t>
      </w:r>
      <w:r>
        <w:rPr>
          <w:rFonts w:ascii="Book Antiqua" w:eastAsia="Book Antiqua" w:hAnsi="Book Antiqua" w:cs="Book Antiqua"/>
          <w:color w:val="000000"/>
        </w:rPr>
        <w:t>s exact probability test were used for categorical variables</w:t>
      </w:r>
      <w:r>
        <w:rPr>
          <w:rFonts w:ascii="Book Antiqua" w:eastAsia="Book Antiqua" w:hAnsi="Book Antiqua" w:cs="Book Antiqua"/>
          <w:color w:val="000000"/>
          <w:vertAlign w:val="superscript"/>
        </w:rPr>
        <w:t>[25]</w:t>
      </w:r>
      <w:r>
        <w:rPr>
          <w:rFonts w:ascii="Book Antiqua" w:eastAsia="Book Antiqua" w:hAnsi="Book Antiqua" w:cs="Book Antiqua"/>
          <w:color w:val="000000"/>
        </w:rPr>
        <w:t>. Cumulative survival curves of OS and DFS were calculated using the Kaplan–Meier method and compared by the log-rank test. The Cox proportional hazards model was used to determine independent</w:t>
      </w:r>
      <w:r>
        <w:rPr>
          <w:rFonts w:ascii="Book Antiqua" w:eastAsia="Book Antiqua" w:hAnsi="Book Antiqua" w:cs="Book Antiqua"/>
          <w:color w:val="000000"/>
        </w:rPr>
        <w:t xml:space="preserve"> factors of recurrence based on the variables selected by univariate analysis.</w:t>
      </w:r>
      <w:r>
        <w:rPr>
          <w:rFonts w:ascii="Book Antiqua" w:eastAsia="Book Antiqua" w:hAnsi="Book Antiqua" w:cs="Book Antiqua"/>
          <w:color w:val="000000"/>
          <w:shd w:val="clear" w:color="auto" w:fill="FFFFFF"/>
        </w:rPr>
        <w:t xml:space="preserve"> Estimated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95% confidence intervals (Cis) with hazard ratio (HR) were combined to evaluate the prognostic and clinicopathologic values according to the Tierney method</w:t>
      </w:r>
      <w:r>
        <w:rPr>
          <w:rFonts w:ascii="Book Antiqua" w:eastAsia="Book Antiqua" w:hAnsi="Book Antiqua" w:cs="Book Antiqua"/>
          <w:color w:val="000000"/>
          <w:shd w:val="clear" w:color="auto" w:fill="FFFFFF"/>
          <w:vertAlign w:val="superscript"/>
        </w:rPr>
        <w:t>[26]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All th</w:t>
      </w:r>
      <w:r>
        <w:rPr>
          <w:rFonts w:ascii="Book Antiqua" w:eastAsia="Book Antiqua" w:hAnsi="Book Antiqua" w:cs="Book Antiqua"/>
          <w:color w:val="000000"/>
        </w:rPr>
        <w:t>e significant predictors of recurrence in the univariate analysis were analyzed in a logistic regression model to show an independent value at the multivariate analysis. A two-tailed value of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w:t>
      </w:r>
    </w:p>
    <w:p w14:paraId="55017F24" w14:textId="77777777" w:rsidR="001154E7" w:rsidRDefault="001154E7">
      <w:pPr>
        <w:adjustRightInd w:val="0"/>
        <w:snapToGrid w:val="0"/>
        <w:spacing w:line="360" w:lineRule="auto"/>
        <w:jc w:val="both"/>
        <w:rPr>
          <w:rFonts w:ascii="Book Antiqua" w:hAnsi="Book Antiqua"/>
        </w:rPr>
      </w:pPr>
    </w:p>
    <w:p w14:paraId="35776D4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14:paraId="41A9326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TUF</w:t>
      </w:r>
      <w:r>
        <w:rPr>
          <w:rFonts w:ascii="Book Antiqua" w:eastAsia="Book Antiqua" w:hAnsi="Book Antiqua" w:cs="Book Antiqua"/>
          <w:b/>
          <w:bCs/>
          <w:i/>
          <w:iCs/>
          <w:color w:val="000000"/>
        </w:rPr>
        <w:t>T1 in bioinformatics database</w:t>
      </w:r>
    </w:p>
    <w:p w14:paraId="12FECCC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The comparative analysis of TUFT1 mRNA box diagrams between HCC (</w:t>
      </w:r>
      <w:r>
        <w:rPr>
          <w:rFonts w:ascii="Book Antiqua" w:eastAsia="Book Antiqua" w:hAnsi="Book Antiqua" w:cs="Book Antiqua"/>
          <w:i/>
          <w:iCs/>
          <w:color w:val="000000"/>
        </w:rPr>
        <w:t>n</w:t>
      </w:r>
      <w:r>
        <w:rPr>
          <w:rFonts w:ascii="Book Antiqua" w:eastAsia="Book Antiqua" w:hAnsi="Book Antiqua" w:cs="Book Antiqua"/>
          <w:color w:val="000000"/>
        </w:rPr>
        <w:t xml:space="preserve"> = 594) and normal liver (</w:t>
      </w:r>
      <w:r>
        <w:rPr>
          <w:rFonts w:ascii="Book Antiqua" w:eastAsia="Book Antiqua" w:hAnsi="Book Antiqua" w:cs="Book Antiqua"/>
          <w:i/>
          <w:iCs/>
          <w:color w:val="000000"/>
        </w:rPr>
        <w:t>n</w:t>
      </w:r>
      <w:r>
        <w:rPr>
          <w:rFonts w:ascii="Book Antiqua" w:eastAsia="Book Antiqua" w:hAnsi="Book Antiqua" w:cs="Book Antiqua"/>
          <w:color w:val="000000"/>
        </w:rPr>
        <w:t xml:space="preserve"> = 270) tissues from the bioinformatics websites are shown in Figure 1. In the Cancer Genome Atlas database (Figure 1A) from the GEPI</w:t>
      </w:r>
      <w:r>
        <w:rPr>
          <w:rFonts w:ascii="Book Antiqua" w:eastAsia="Book Antiqua" w:hAnsi="Book Antiqua" w:cs="Book Antiqua"/>
          <w:color w:val="000000"/>
        </w:rPr>
        <w:t xml:space="preserve">A public website, the levels </w:t>
      </w:r>
      <w:r>
        <w:rPr>
          <w:rFonts w:ascii="Book Antiqua" w:eastAsia="Book Antiqua" w:hAnsi="Book Antiqua" w:cs="Book Antiqua"/>
          <w:color w:val="000000"/>
        </w:rPr>
        <w:lastRenderedPageBreak/>
        <w:t>of TUFT1 mRNA expression in the HCC group were significantly higher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than those in the normal group. Based on the Oncomine database (Figure 1B), the levels of TUFT1 mRNA expression in the HCC group were also significa</w:t>
      </w:r>
      <w:r>
        <w:rPr>
          <w:rFonts w:ascii="Book Antiqua" w:eastAsia="Book Antiqua" w:hAnsi="Book Antiqua" w:cs="Book Antiqua"/>
          <w:color w:val="000000"/>
        </w:rPr>
        <w:t>ntly higher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than those in the normal group. The data from online databases indicated that hepatic TUFT1 should be over-expressing status in HCC progression. </w:t>
      </w:r>
    </w:p>
    <w:p w14:paraId="54025C02" w14:textId="77777777" w:rsidR="001154E7" w:rsidRDefault="001154E7">
      <w:pPr>
        <w:adjustRightInd w:val="0"/>
        <w:snapToGrid w:val="0"/>
        <w:spacing w:line="360" w:lineRule="auto"/>
        <w:jc w:val="both"/>
        <w:rPr>
          <w:rFonts w:ascii="Book Antiqua" w:hAnsi="Book Antiqua"/>
        </w:rPr>
      </w:pPr>
    </w:p>
    <w:p w14:paraId="7990ACA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TUFT1 expression in Human HCC tissues</w:t>
      </w:r>
    </w:p>
    <w:p w14:paraId="3E3BE958"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immunohistochemistry</w:t>
      </w:r>
      <w:r>
        <w:rPr>
          <w:rFonts w:ascii="Book Antiqua" w:eastAsia="Book Antiqua" w:hAnsi="Book Antiqua" w:cs="Book Antiqua"/>
          <w:color w:val="000000"/>
        </w:rPr>
        <w:t xml:space="preserve"> analysis of hepatic TUFT1 expression in 132 cases of HCC and their non- HCC tissue microarray with clinical staging and prognosis is shown in Figure 2. The cellular distribution of hepatic TUFT1 expression was mainly located in cytoplasm and cell membrane</w:t>
      </w:r>
      <w:r>
        <w:rPr>
          <w:rFonts w:ascii="Book Antiqua" w:eastAsia="Book Antiqua" w:hAnsi="Book Antiqua" w:cs="Book Antiqua"/>
          <w:color w:val="000000"/>
        </w:rPr>
        <w:t xml:space="preserve">. The intensity of TUFT1 staining was stronger in the HCC group (Figure 2A and A1) than that in the non-HCC group (Figure 2B and B1). </w:t>
      </w:r>
      <w:r>
        <w:rPr>
          <w:rFonts w:ascii="Book Antiqua" w:eastAsia="Book Antiqua" w:hAnsi="Book Antiqua" w:cs="Book Antiqua"/>
          <w:color w:val="000000"/>
          <w:shd w:val="clear" w:color="auto" w:fill="FFFFFF"/>
        </w:rPr>
        <w:t>The</w:t>
      </w:r>
      <w:r>
        <w:rPr>
          <w:rFonts w:ascii="Book Antiqua" w:eastAsia="Book Antiqua" w:hAnsi="Book Antiqua" w:cs="Book Antiqua"/>
          <w:color w:val="000000"/>
        </w:rPr>
        <w:t xml:space="preserve"> positive rate of TUFT1 in the HCC group (87.1%, 115/132) was significantly higher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 xml:space="preserve">2 </w:t>
      </w:r>
      <w:r>
        <w:rPr>
          <w:rFonts w:ascii="Book Antiqua" w:eastAsia="Book Antiqua" w:hAnsi="Book Antiqua" w:cs="Book Antiqua"/>
          <w:color w:val="000000"/>
        </w:rPr>
        <w:t xml:space="preserve">= 18.563,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than that i</w:t>
      </w:r>
      <w:r>
        <w:rPr>
          <w:rFonts w:ascii="Book Antiqua" w:eastAsia="Book Antiqua" w:hAnsi="Book Antiqua" w:cs="Book Antiqua"/>
          <w:color w:val="000000"/>
        </w:rPr>
        <w:t>n the non-HCC group (64.4%, 85/132). Comparative analysis of TUFT1 expressions in the HCC or non-HCC tissues is summarized in Table 1. The significant difference (</w:t>
      </w:r>
      <w:r>
        <w:rPr>
          <w:rFonts w:ascii="Book Antiqua" w:eastAsia="Book Antiqua" w:hAnsi="Book Antiqua" w:cs="Book Antiqua"/>
          <w:i/>
          <w:iCs/>
          <w:color w:val="000000"/>
        </w:rPr>
        <w:t xml:space="preserve">Z </w:t>
      </w:r>
      <w:r>
        <w:rPr>
          <w:rFonts w:ascii="Book Antiqua" w:eastAsia="Book Antiqua" w:hAnsi="Book Antiqua" w:cs="Book Antiqua"/>
          <w:color w:val="000000"/>
        </w:rPr>
        <w:t>= 4.911,</w:t>
      </w:r>
      <w:r>
        <w:rPr>
          <w:rFonts w:ascii="Book Antiqua" w:eastAsia="Book Antiqua" w:hAnsi="Book Antiqua" w:cs="Book Antiqua"/>
          <w:color w:val="000000"/>
          <w:vertAlign w:val="superscript"/>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of TUFT1 staining scores was found between HCC and non-HCC tissues by Z</w:t>
      </w:r>
      <w:r>
        <w:rPr>
          <w:rFonts w:ascii="Book Antiqua" w:eastAsia="Book Antiqua" w:hAnsi="Book Antiqua" w:cs="Book Antiqua"/>
          <w:color w:val="000000"/>
        </w:rPr>
        <w:t xml:space="preserve"> test, with higher expression in 50.0% HCC tissues (2-3 scores, 66/132), and low or no expression in 76.5% their non-HCC tissues (0-1 scores, 101/132). Regarding the relationship between TUFT1 and HCC staging (Figure 2C and D), there was lower/no TUFT1 sta</w:t>
      </w:r>
      <w:r>
        <w:rPr>
          <w:rFonts w:ascii="Book Antiqua" w:eastAsia="Book Antiqua" w:hAnsi="Book Antiqua" w:cs="Book Antiqua"/>
          <w:color w:val="000000"/>
        </w:rPr>
        <w:t>ining in non-HCC tissues (Figure 2C1 and D1) with brown staining of TUFT1 gradually increasing from stage</w:t>
      </w:r>
      <w:r>
        <w:rPr>
          <w:rFonts w:ascii="MS Gothic" w:eastAsia="MS Gothic" w:hAnsi="MS Gothic" w:cs="MS Gothic" w:hint="eastAsia"/>
          <w:color w:val="000000"/>
        </w:rPr>
        <w:t> </w:t>
      </w:r>
      <w:r>
        <w:rPr>
          <w:rFonts w:ascii="Book Antiqua" w:eastAsia="Book Antiqua" w:hAnsi="Book Antiqua" w:cs="Book Antiqua"/>
          <w:color w:val="000000"/>
        </w:rPr>
        <w:t>I</w:t>
      </w:r>
      <w:r>
        <w:rPr>
          <w:rFonts w:ascii="MS Gothic" w:eastAsia="MS Gothic" w:hAnsi="MS Gothic" w:cs="MS Gothic" w:hint="eastAsia"/>
          <w:color w:val="000000"/>
        </w:rPr>
        <w:t> </w:t>
      </w:r>
      <w:r>
        <w:rPr>
          <w:rFonts w:ascii="Book Antiqua" w:eastAsia="Book Antiqua" w:hAnsi="Book Antiqua" w:cs="Book Antiqua"/>
          <w:color w:val="000000"/>
        </w:rPr>
        <w:t xml:space="preserve">to IV (Figure 2C2-5 or Figure D2-5). </w:t>
      </w:r>
    </w:p>
    <w:p w14:paraId="1B739FD3" w14:textId="77777777" w:rsidR="001154E7" w:rsidRDefault="001154E7">
      <w:pPr>
        <w:adjustRightInd w:val="0"/>
        <w:snapToGrid w:val="0"/>
        <w:spacing w:line="360" w:lineRule="auto"/>
        <w:jc w:val="both"/>
        <w:rPr>
          <w:rFonts w:ascii="Book Antiqua" w:hAnsi="Book Antiqua"/>
        </w:rPr>
      </w:pPr>
    </w:p>
    <w:p w14:paraId="3DC726B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Clinicopathologic features and prognostic value of TUFT1</w:t>
      </w:r>
    </w:p>
    <w:p w14:paraId="1C25E64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The clinicopathological features of TUFT1 expression</w:t>
      </w:r>
      <w:r>
        <w:rPr>
          <w:rFonts w:ascii="Book Antiqua" w:eastAsia="Book Antiqua" w:hAnsi="Book Antiqua" w:cs="Book Antiqua"/>
          <w:color w:val="000000"/>
        </w:rPr>
        <w:t xml:space="preserve"> in 132 HCC patients are shown in Table 2. The higher TUFT1 level was associated with tumor size, vascular invasion, HBeAg, advanced TNM stage of HCC, and ascites of patients. However, no significant difference was found between TUFT1 and age, sex, AFP lev</w:t>
      </w:r>
      <w:r>
        <w:rPr>
          <w:rFonts w:ascii="Book Antiqua" w:eastAsia="Book Antiqua" w:hAnsi="Book Antiqua" w:cs="Book Antiqua"/>
          <w:color w:val="000000"/>
        </w:rPr>
        <w:t xml:space="preserve">el, HBV surface antigen, and Edmondson-Steiner grading. Analysis of univariate or multivariate Cox regression of TUFT1 in HCC tissues (Table 3) was significantly correlated with HBeAg, tumor size, </w:t>
      </w:r>
      <w:r>
        <w:rPr>
          <w:rFonts w:ascii="Book Antiqua" w:eastAsia="Book Antiqua" w:hAnsi="Book Antiqua" w:cs="Book Antiqua"/>
          <w:color w:val="000000"/>
        </w:rPr>
        <w:lastRenderedPageBreak/>
        <w:t>vascular invasion, ascites, TNM stage, and AFP level with O</w:t>
      </w:r>
      <w:r>
        <w:rPr>
          <w:rFonts w:ascii="Book Antiqua" w:eastAsia="Book Antiqua" w:hAnsi="Book Antiqua" w:cs="Book Antiqua"/>
          <w:color w:val="000000"/>
        </w:rPr>
        <w:t xml:space="preserve">S of patients, and further confirmed that TUFT1, tumor size, vascular invasion, ascites, and TNM stage were independent predictive factors for OS. On the contrary, TUFT1 and TNM stage </w:t>
      </w:r>
      <w:r>
        <w:rPr>
          <w:rFonts w:ascii="Book Antiqua" w:eastAsia="Book Antiqua" w:hAnsi="Book Antiqua" w:cs="Book Antiqua"/>
          <w:color w:val="000000"/>
          <w:shd w:val="clear" w:color="auto" w:fill="FFFFFF"/>
        </w:rPr>
        <w:t xml:space="preserve">should be independent prognostic factors for </w:t>
      </w:r>
      <w:r>
        <w:rPr>
          <w:rFonts w:ascii="Book Antiqua" w:eastAsia="Book Antiqua" w:hAnsi="Book Antiqua" w:cs="Book Antiqua"/>
          <w:color w:val="000000"/>
        </w:rPr>
        <w:t>DFS</w:t>
      </w:r>
      <w:r>
        <w:rPr>
          <w:rFonts w:ascii="Book Antiqua" w:eastAsia="Book Antiqua" w:hAnsi="Book Antiqua" w:cs="Book Antiqua"/>
          <w:color w:val="000000"/>
          <w:shd w:val="clear" w:color="auto" w:fill="FFFFFF"/>
        </w:rPr>
        <w:t xml:space="preserve"> of HCC</w:t>
      </w:r>
      <w:r>
        <w:rPr>
          <w:rFonts w:ascii="Book Antiqua" w:eastAsia="Book Antiqua" w:hAnsi="Book Antiqua" w:cs="Book Antiqua"/>
          <w:color w:val="000000"/>
        </w:rPr>
        <w:t>. The OS or DFS o</w:t>
      </w:r>
      <w:r>
        <w:rPr>
          <w:rFonts w:ascii="Book Antiqua" w:eastAsia="Book Antiqua" w:hAnsi="Book Antiqua" w:cs="Book Antiqua"/>
          <w:color w:val="000000"/>
        </w:rPr>
        <w:t>f HCC with high or low TUFT1 was analyzed at early or advanced HCC (Figure 3A or Figure 3B). C</w:t>
      </w:r>
      <w:r>
        <w:rPr>
          <w:rFonts w:ascii="Book Antiqua" w:eastAsia="Book Antiqua" w:hAnsi="Book Antiqua" w:cs="Book Antiqua"/>
          <w:color w:val="000000"/>
          <w:shd w:val="clear" w:color="auto" w:fill="FFFFFF"/>
        </w:rPr>
        <w:t>ompared to low TUFT1 group,</w:t>
      </w:r>
      <w:r>
        <w:rPr>
          <w:rFonts w:ascii="Book Antiqua" w:eastAsia="Book Antiqua" w:hAnsi="Book Antiqua" w:cs="Book Antiqua"/>
          <w:color w:val="000000"/>
        </w:rPr>
        <w:t xml:space="preserve"> the cases with high TUFT1 expression had significantly decreased OS and DFS,</w:t>
      </w:r>
      <w:r>
        <w:rPr>
          <w:rFonts w:ascii="Book Antiqua" w:eastAsia="Book Antiqua" w:hAnsi="Book Antiqua" w:cs="Book Antiqua"/>
          <w:color w:val="000000"/>
          <w:shd w:val="clear" w:color="auto" w:fill="FFFFFF"/>
        </w:rPr>
        <w:t xml:space="preserve"> suggesting </w:t>
      </w:r>
      <w:r>
        <w:rPr>
          <w:rFonts w:ascii="Book Antiqua" w:eastAsia="Book Antiqua" w:hAnsi="Book Antiqua" w:cs="Book Antiqua"/>
          <w:color w:val="000000"/>
        </w:rPr>
        <w:t xml:space="preserve">that TUFT1 should be a promoter or prognostic </w:t>
      </w:r>
      <w:r>
        <w:rPr>
          <w:rFonts w:ascii="Book Antiqua" w:eastAsia="Book Antiqua" w:hAnsi="Book Antiqua" w:cs="Book Antiqua"/>
          <w:color w:val="000000"/>
        </w:rPr>
        <w:t>marker for HCC.</w:t>
      </w:r>
    </w:p>
    <w:p w14:paraId="74FFB516" w14:textId="77777777" w:rsidR="001154E7" w:rsidRDefault="001154E7">
      <w:pPr>
        <w:adjustRightInd w:val="0"/>
        <w:snapToGrid w:val="0"/>
        <w:spacing w:line="360" w:lineRule="auto"/>
        <w:jc w:val="both"/>
        <w:rPr>
          <w:rFonts w:ascii="Book Antiqua" w:hAnsi="Book Antiqua"/>
        </w:rPr>
      </w:pPr>
    </w:p>
    <w:p w14:paraId="10D30CE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Effects of interfering TUFT1 transcription on HCC cells</w:t>
      </w:r>
    </w:p>
    <w:p w14:paraId="0BA2896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Screening TUFU1 and interfering TUFT1 mRNA transcription on effects of HCC cell lines are shown in Figure 4. Differential expressions of TUFT1 among different HCC cell lines were scre</w:t>
      </w:r>
      <w:r>
        <w:rPr>
          <w:rFonts w:ascii="Book Antiqua" w:eastAsia="Book Antiqua" w:hAnsi="Book Antiqua" w:cs="Book Antiqua"/>
          <w:color w:val="000000"/>
        </w:rPr>
        <w:t xml:space="preserve">ened (Figure 4A). The relative ratio from TUFT1 to </w:t>
      </w:r>
      <w:r>
        <w:rPr>
          <w:rFonts w:ascii="Book Antiqua" w:hAnsi="Book Antiqua"/>
          <w:color w:val="202124"/>
          <w:shd w:val="clear" w:color="auto" w:fill="FFFFFF"/>
        </w:rPr>
        <w:t>glyceraldehyde 3-phosphate dehydrogenase</w:t>
      </w:r>
      <w:r>
        <w:rPr>
          <w:rFonts w:ascii="Book Antiqua" w:eastAsia="Book Antiqua" w:hAnsi="Book Antiqua" w:cs="Book Antiqua"/>
          <w:color w:val="000000"/>
        </w:rPr>
        <w:t xml:space="preserve"> showed Hep3B cells with lowest and MHCC-97H cells with strongest level of TUFT1 expression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Figure 4 A1). Based on the status of TUFT1 expression in the </w:t>
      </w:r>
      <w:r>
        <w:rPr>
          <w:rFonts w:ascii="Book Antiqua" w:eastAsia="Book Antiqua" w:hAnsi="Book Antiqua" w:cs="Book Antiqua"/>
          <w:color w:val="000000"/>
        </w:rPr>
        <w:t xml:space="preserve">MHCC-97H or Hep3B cells, the MHCC-97H cells were chosen to be used for interfering TUFT1 mRNA transcription with shRNA1-3 (Figure 4B left), and the most significantly inhibiting effect was shRNA3 (sh-3) plasmid for TUFT1 (Figure 4B1 left). The Hep3B cells </w:t>
      </w:r>
      <w:r>
        <w:rPr>
          <w:rFonts w:ascii="Book Antiqua" w:eastAsia="Book Antiqua" w:hAnsi="Book Antiqua" w:cs="Book Antiqua"/>
          <w:color w:val="000000"/>
        </w:rPr>
        <w:t>were selected to over-express TUFT1 with constructed pEX-4 (pGCMV/MCS/T2A/EGFP/</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Neo) plasmid (Figure 4B right) and showed markedly increasing TUFT1 expression (Figure 4B1 right). Using a different style of TUFT1 interference, the TUFT1-shRNA3 </w:t>
      </w:r>
      <w:r>
        <w:rPr>
          <w:rFonts w:ascii="Book Antiqua" w:eastAsia="Book Antiqua" w:hAnsi="Book Antiqua" w:cs="Book Antiqua"/>
          <w:color w:val="000000"/>
        </w:rPr>
        <w:t>significantly suppressed proliferation of MHCC-97H cells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4C), and TUFT1 activation markedly increased proliferation of Hep3B cells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4D). The results confirmed that TUFT1 could promote HCC cell proliferation.</w:t>
      </w:r>
    </w:p>
    <w:p w14:paraId="757F0B70" w14:textId="77777777" w:rsidR="001154E7" w:rsidRDefault="001154E7">
      <w:pPr>
        <w:adjustRightInd w:val="0"/>
        <w:snapToGrid w:val="0"/>
        <w:spacing w:line="360" w:lineRule="auto"/>
        <w:jc w:val="both"/>
        <w:rPr>
          <w:rFonts w:ascii="Book Antiqua" w:hAnsi="Book Antiqua"/>
        </w:rPr>
      </w:pPr>
    </w:p>
    <w:p w14:paraId="25E6B6A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Effects of</w:t>
      </w:r>
      <w:r>
        <w:rPr>
          <w:rFonts w:ascii="Book Antiqua" w:eastAsia="Book Antiqua" w:hAnsi="Book Antiqua" w:cs="Book Antiqua"/>
          <w:b/>
          <w:bCs/>
          <w:i/>
          <w:iCs/>
          <w:color w:val="000000"/>
        </w:rPr>
        <w:t xml:space="preserve"> TUFT1 on healing, invasion, and migration of HCC cells</w:t>
      </w:r>
    </w:p>
    <w:p w14:paraId="1EFA255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According to the above results, the effects of higher or lower level of TUFT1 on the healing, invasion, and migration of HCC cells were further observed. The effects of different TUFT1 levels on the h</w:t>
      </w:r>
      <w:r>
        <w:rPr>
          <w:rFonts w:ascii="Book Antiqua" w:eastAsia="Book Antiqua" w:hAnsi="Book Antiqua" w:cs="Book Antiqua"/>
          <w:color w:val="000000"/>
        </w:rPr>
        <w:t xml:space="preserve">ealing, invasion, and migration of the MHCC-97H or Hep3B cells are shown in Figure 5. The healing abilities of the MHCC-97H cells </w:t>
      </w:r>
      <w:r>
        <w:rPr>
          <w:rFonts w:ascii="Book Antiqua" w:eastAsia="Book Antiqua" w:hAnsi="Book Antiqua" w:cs="Book Antiqua"/>
          <w:color w:val="000000"/>
        </w:rPr>
        <w:lastRenderedPageBreak/>
        <w:t xml:space="preserve">transfected with the TUFT1-shRNA3 plasmid were averaged down to 50% in the sh-NC group (Figure 5A), and the healing abilities </w:t>
      </w:r>
      <w:r>
        <w:rPr>
          <w:rFonts w:ascii="Book Antiqua" w:eastAsia="Book Antiqua" w:hAnsi="Book Antiqua" w:cs="Book Antiqua"/>
          <w:color w:val="000000"/>
        </w:rPr>
        <w:t>in the sh-RNA3 group were significantly inhibited compared with the sh-NC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5A1). However, the healing abilities of the Hep3B cells transfected with the over-expressing TUFT1 plasmid were averaged up to 200% in the sh-NC group (Figur</w:t>
      </w:r>
      <w:r>
        <w:rPr>
          <w:rFonts w:ascii="Book Antiqua" w:eastAsia="Book Antiqua" w:hAnsi="Book Antiqua" w:cs="Book Antiqua"/>
          <w:color w:val="000000"/>
        </w:rPr>
        <w:t>e 5B); and the healing abilities of the Hep3B cells were significantly improved compared with the sh-NC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5B1). Compared with the sh-NC group, the migration or invasion abilities of the MHCC-97H cells were significantly suppressed (F</w:t>
      </w:r>
      <w:r>
        <w:rPr>
          <w:rFonts w:ascii="Book Antiqua" w:eastAsia="Book Antiqua" w:hAnsi="Book Antiqua" w:cs="Book Antiqua"/>
          <w:color w:val="000000"/>
        </w:rPr>
        <w:t>igure 5C); and the migration or invasion abilities of the MHCC-97H cells were down to 50% or 30% less than those in the sh-NC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5C1). However, the migration or invasion abilities of the Hep3B cells were significantly increased compar</w:t>
      </w:r>
      <w:r>
        <w:rPr>
          <w:rFonts w:ascii="Book Antiqua" w:eastAsia="Book Antiqua" w:hAnsi="Book Antiqua" w:cs="Book Antiqua"/>
          <w:color w:val="000000"/>
        </w:rPr>
        <w:t>ed with the sh-NC group (Figure 5D); and the migration and invasion abilities of the Hep3B cells were up to 200% or 300% more than those in the sh-NC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(Figure 5 D1)]. </w:t>
      </w:r>
    </w:p>
    <w:p w14:paraId="7D768FE7" w14:textId="77777777" w:rsidR="001154E7" w:rsidRDefault="001154E7">
      <w:pPr>
        <w:adjustRightInd w:val="0"/>
        <w:snapToGrid w:val="0"/>
        <w:spacing w:line="360" w:lineRule="auto"/>
        <w:jc w:val="both"/>
        <w:rPr>
          <w:rFonts w:ascii="Book Antiqua" w:hAnsi="Book Antiqua"/>
        </w:rPr>
      </w:pPr>
    </w:p>
    <w:p w14:paraId="487B9E4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Anti-apoptotic mechanism of TUFT1</w:t>
      </w:r>
    </w:p>
    <w:p w14:paraId="49750D3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After the MHCC-97H cells were </w:t>
      </w:r>
      <w:r>
        <w:rPr>
          <w:rFonts w:ascii="Book Antiqua" w:eastAsia="Book Antiqua" w:hAnsi="Book Antiqua" w:cs="Book Antiqua"/>
          <w:color w:val="000000"/>
        </w:rPr>
        <w:t>transfected with the most effective TUFT1-shRNA3 plasmid, the relationship between TUFT1 expression and apoptosis of MHCC-97H cells was determined (Figure 6). After the MHCC-97H cells were transfected with the more specific TUFT1-shRNA3 plasmid, the number</w:t>
      </w:r>
      <w:r>
        <w:rPr>
          <w:rFonts w:ascii="Book Antiqua" w:eastAsia="Book Antiqua" w:hAnsi="Book Antiqua" w:cs="Book Antiqua"/>
          <w:color w:val="000000"/>
        </w:rPr>
        <w:t>s of the apoptotic cells in the sh-TUFT1 group (Figure 6A2) were markedly increased than those in the control (Figure 6A) or sh-NC groups (Figure 6A1). The ratio of the apoptotic cells in the sh-TUFT1 group was significantly higher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6B) t</w:t>
      </w:r>
      <w:r>
        <w:rPr>
          <w:rFonts w:ascii="Book Antiqua" w:eastAsia="Book Antiqua" w:hAnsi="Book Antiqua" w:cs="Book Antiqua"/>
          <w:color w:val="000000"/>
        </w:rPr>
        <w:t xml:space="preserve">han those in the control or sh-NC groups. </w:t>
      </w:r>
    </w:p>
    <w:p w14:paraId="2A8A0DD8" w14:textId="77777777" w:rsidR="001154E7" w:rsidRDefault="00ED61B9">
      <w:pPr>
        <w:adjustRightInd w:val="0"/>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Speculations based on the above data and the possible mechanism of TUFT1 promoting the progression of HCC are shown in Figure 6C. Aberrant up-regulating or down-regulating expressions of TUFT1 was associated with </w:t>
      </w:r>
      <w:r>
        <w:rPr>
          <w:rFonts w:ascii="Book Antiqua" w:eastAsia="Book Antiqua" w:hAnsi="Book Antiqua" w:cs="Book Antiqua"/>
          <w:color w:val="000000"/>
        </w:rPr>
        <w:t xml:space="preserve">the biological features of HCC. Increased hepatic TUFT1 expression promoted the proliferation, growth, and metastasis of HCC by inhibiting tumor cell apoptosis. </w:t>
      </w:r>
    </w:p>
    <w:p w14:paraId="0D41D6C9" w14:textId="77777777" w:rsidR="001154E7" w:rsidRDefault="001154E7">
      <w:pPr>
        <w:adjustRightInd w:val="0"/>
        <w:snapToGrid w:val="0"/>
        <w:spacing w:line="360" w:lineRule="auto"/>
        <w:ind w:firstLineChars="100" w:firstLine="240"/>
        <w:jc w:val="both"/>
        <w:rPr>
          <w:rFonts w:ascii="Book Antiqua" w:hAnsi="Book Antiqua"/>
        </w:rPr>
      </w:pPr>
    </w:p>
    <w:p w14:paraId="31D9A32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0554E99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Carcinogenesis of hepatocytes is a multi-factor, multi-step, and complex process w</w:t>
      </w:r>
      <w:r>
        <w:rPr>
          <w:rFonts w:ascii="Book Antiqua" w:eastAsia="Book Antiqua" w:hAnsi="Book Antiqua" w:cs="Book Antiqua"/>
          <w:color w:val="000000"/>
        </w:rPr>
        <w:t>ith major risk factors including chronic infections with HBV or hepatitis C virus, exposure to dietary toxin, hereditary liver disease, and non-alcoholic fatty liver disease of any etiology</w:t>
      </w:r>
      <w:r>
        <w:rPr>
          <w:rFonts w:ascii="Book Antiqua" w:eastAsia="Book Antiqua" w:hAnsi="Book Antiqua" w:cs="Book Antiqua"/>
          <w:color w:val="000000"/>
          <w:vertAlign w:val="superscript"/>
        </w:rPr>
        <w:t>[2,27]</w:t>
      </w:r>
      <w:r>
        <w:rPr>
          <w:rFonts w:ascii="Book Antiqua" w:eastAsia="Book Antiqua" w:hAnsi="Book Antiqua" w:cs="Book Antiqua"/>
          <w:color w:val="000000"/>
        </w:rPr>
        <w:t>. Despite the urgent need for molecular targeted anti-HCC age</w:t>
      </w:r>
      <w:r>
        <w:rPr>
          <w:rFonts w:ascii="Book Antiqua" w:eastAsia="Book Antiqua" w:hAnsi="Book Antiqua" w:cs="Book Antiqua"/>
          <w:color w:val="000000"/>
        </w:rPr>
        <w:t xml:space="preserve">nts, the therapeutic strategies are difficult to be identified. Accumulating data have demonstrated that many kinds of abnormal signaling pathways are associated with HCC by interacting with highly complex genetic aberrations such as abnormal methylation, </w:t>
      </w:r>
      <w:r>
        <w:rPr>
          <w:rFonts w:ascii="Book Antiqua" w:eastAsia="Book Antiqua" w:hAnsi="Book Antiqua" w:cs="Book Antiqua"/>
          <w:color w:val="000000"/>
        </w:rPr>
        <w:t>histone modification, and chromosome remodeling</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Recently, TUFT1 has been shown to exist in many tissues and has been </w:t>
      </w:r>
      <w:r>
        <w:rPr>
          <w:rFonts w:ascii="Book Antiqua" w:eastAsia="Book Antiqua" w:hAnsi="Book Antiqua" w:cs="Book Antiqua"/>
          <w:color w:val="000000"/>
          <w:shd w:val="clear" w:color="auto" w:fill="FFFFFF"/>
        </w:rPr>
        <w:t>identified as a useful biomarker associated with poor prognosis in several cancers</w:t>
      </w:r>
      <w:r>
        <w:rPr>
          <w:rFonts w:ascii="Book Antiqua" w:eastAsia="Book Antiqua" w:hAnsi="Book Antiqua" w:cs="Book Antiqua"/>
          <w:color w:val="000000"/>
          <w:shd w:val="clear" w:color="auto" w:fill="FFFFFF"/>
          <w:vertAlign w:val="superscript"/>
        </w:rPr>
        <w:t>[29-31]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However, only limited studied were available on the relationship between TUFT1 and HCC. In this study, the alterations of TUFT1 expression in HCC tissues and if the oncogenic TUFT1 might promote HCC growth and metastasis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an anti-apoptotic mechanism wer</w:t>
      </w:r>
      <w:r>
        <w:rPr>
          <w:rFonts w:ascii="Book Antiqua" w:eastAsia="Book Antiqua" w:hAnsi="Book Antiqua" w:cs="Book Antiqua"/>
          <w:color w:val="000000"/>
          <w:shd w:val="clear" w:color="auto" w:fill="FFFFFF"/>
        </w:rPr>
        <w:t>e investigated.</w:t>
      </w:r>
    </w:p>
    <w:p w14:paraId="2592C25E" w14:textId="77777777" w:rsidR="001154E7" w:rsidRDefault="00ED61B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TUFT1 was originally discovered and mostly studied in the tooth, where it plays an important role in the initial stages of the mineralization of ectodermal enamel</w:t>
      </w:r>
      <w:r>
        <w:rPr>
          <w:rFonts w:ascii="Book Antiqua" w:eastAsia="Book Antiqua" w:hAnsi="Book Antiqua" w:cs="Book Antiqua"/>
          <w:color w:val="000000"/>
          <w:shd w:val="clear" w:color="auto" w:fill="FFFFFF"/>
          <w:vertAlign w:val="superscript"/>
        </w:rPr>
        <w:t>[12,29]</w:t>
      </w:r>
      <w:r>
        <w:rPr>
          <w:rFonts w:ascii="Book Antiqua" w:eastAsia="Book Antiqua" w:hAnsi="Book Antiqua" w:cs="Book Antiqua"/>
          <w:color w:val="000000"/>
          <w:shd w:val="clear" w:color="auto" w:fill="FFFFFF"/>
        </w:rPr>
        <w:t>. Even though TUFT1 is widely distributed and expressed in different em</w:t>
      </w:r>
      <w:r>
        <w:rPr>
          <w:rFonts w:ascii="Book Antiqua" w:eastAsia="Book Antiqua" w:hAnsi="Book Antiqua" w:cs="Book Antiqua"/>
          <w:color w:val="000000"/>
          <w:shd w:val="clear" w:color="auto" w:fill="FFFFFF"/>
        </w:rPr>
        <w:t>bryonic and adult tissues, TUFT1 has been shown to be associated with cellular adaptation to hypoxia and recently even with cell differentiation</w:t>
      </w:r>
      <w:r>
        <w:rPr>
          <w:rFonts w:ascii="Book Antiqua" w:eastAsia="Book Antiqua" w:hAnsi="Book Antiqua" w:cs="Book Antiqua"/>
          <w:color w:val="000000"/>
          <w:shd w:val="clear" w:color="auto" w:fill="FFFFFF"/>
          <w:vertAlign w:val="superscript"/>
        </w:rPr>
        <w:t>[32]</w:t>
      </w:r>
      <w:r>
        <w:rPr>
          <w:rFonts w:ascii="Book Antiqua" w:eastAsia="Book Antiqua" w:hAnsi="Book Antiqua" w:cs="Book Antiqua"/>
          <w:color w:val="000000"/>
          <w:shd w:val="clear" w:color="auto" w:fill="FFFFFF"/>
        </w:rPr>
        <w:t xml:space="preserve">. TUFT1 activation is related to the progression of tumors, and </w:t>
      </w:r>
      <w:r>
        <w:rPr>
          <w:rFonts w:ascii="Book Antiqua" w:eastAsia="Book Antiqua" w:hAnsi="Book Antiqua" w:cs="Book Antiqua"/>
          <w:color w:val="000000"/>
        </w:rPr>
        <w:t xml:space="preserve">abnormal TUFT1 has </w:t>
      </w:r>
      <w:r>
        <w:rPr>
          <w:rFonts w:ascii="Book Antiqua" w:eastAsia="Book Antiqua" w:hAnsi="Book Antiqua" w:cs="Book Antiqua"/>
          <w:color w:val="000000"/>
          <w:shd w:val="clear" w:color="auto" w:fill="FFFFFF"/>
        </w:rPr>
        <w:t xml:space="preserve">been reported in </w:t>
      </w:r>
      <w:r>
        <w:rPr>
          <w:rFonts w:ascii="Book Antiqua" w:eastAsia="Book Antiqua" w:hAnsi="Book Antiqua" w:cs="Book Antiqua"/>
          <w:color w:val="000000"/>
        </w:rPr>
        <w:t xml:space="preserve">breast, </w:t>
      </w:r>
      <w:r>
        <w:rPr>
          <w:rFonts w:ascii="Book Antiqua" w:eastAsia="Book Antiqua" w:hAnsi="Book Antiqua" w:cs="Book Antiqua"/>
          <w:color w:val="000000"/>
        </w:rPr>
        <w:t>lung, pancreatic, and thyroid carcinoma</w:t>
      </w:r>
      <w:r>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vertAlign w:val="superscript"/>
        </w:rPr>
        <w:t>[10,11,13]</w:t>
      </w:r>
      <w:r>
        <w:rPr>
          <w:rFonts w:ascii="Book Antiqua" w:eastAsia="Book Antiqua" w:hAnsi="Book Antiqua" w:cs="Book Antiqua"/>
          <w:color w:val="000000"/>
          <w:shd w:val="clear" w:color="auto" w:fill="FFFFFF"/>
        </w:rPr>
        <w:t>. TUFT1 expression was significantly higher in the HCC tissues than in non-HCC tissues, with invasion and metastasis of tumors</w:t>
      </w:r>
      <w:r>
        <w:rPr>
          <w:rFonts w:ascii="Book Antiqua" w:eastAsia="Book Antiqua" w:hAnsi="Book Antiqua" w:cs="Book Antiqua"/>
          <w:color w:val="000000"/>
          <w:shd w:val="clear" w:color="auto" w:fill="FFFFFF"/>
          <w:vertAlign w:val="superscript"/>
        </w:rPr>
        <w:t>[14]</w:t>
      </w:r>
      <w:r>
        <w:rPr>
          <w:rFonts w:ascii="Book Antiqua" w:eastAsia="Book Antiqua" w:hAnsi="Book Antiqua" w:cs="Book Antiqua"/>
          <w:color w:val="000000"/>
        </w:rPr>
        <w:t>. In this study, the comparative analysis of TUFT1 in HCC and non-HCC tissue</w:t>
      </w:r>
      <w:r>
        <w:rPr>
          <w:rFonts w:ascii="Book Antiqua" w:eastAsia="Book Antiqua" w:hAnsi="Book Antiqua" w:cs="Book Antiqua"/>
          <w:color w:val="000000"/>
        </w:rPr>
        <w:t>s showed high TUFT1 expression related to tumor size, vascular invasion, advanced TNM stage of HCC, and HBV replication or ascites formation of HCC patients, suggesting that abnormal TUFT1</w:t>
      </w:r>
      <w:r>
        <w:rPr>
          <w:rFonts w:ascii="Book Antiqua" w:eastAsia="Book Antiqua" w:hAnsi="Book Antiqua" w:cs="Book Antiqua"/>
          <w:color w:val="000000"/>
          <w:shd w:val="clear" w:color="auto" w:fill="FFFFFF"/>
        </w:rPr>
        <w:t xml:space="preserve"> activation could play oncogenic roles in the progression of HCC.</w:t>
      </w:r>
    </w:p>
    <w:p w14:paraId="0A374893" w14:textId="77777777" w:rsidR="001154E7" w:rsidRDefault="00ED61B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TU</w:t>
      </w:r>
      <w:r>
        <w:rPr>
          <w:rFonts w:ascii="Book Antiqua" w:eastAsia="Book Antiqua" w:hAnsi="Book Antiqua" w:cs="Book Antiqua"/>
          <w:color w:val="000000"/>
        </w:rPr>
        <w:t>FT1 expression in tissue hypoxia was associated with activations of signaling pathways and poor outcome of patients</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Previous studies have indicated high HIF-1α level </w:t>
      </w:r>
      <w:r>
        <w:rPr>
          <w:rFonts w:ascii="Book Antiqua" w:eastAsia="Book Antiqua" w:hAnsi="Book Antiqua" w:cs="Book Antiqua"/>
          <w:color w:val="000000"/>
          <w:shd w:val="clear" w:color="auto" w:fill="FFFFFF"/>
        </w:rPr>
        <w:t xml:space="preserve">in the </w:t>
      </w:r>
      <w:r>
        <w:rPr>
          <w:rFonts w:ascii="Book Antiqua" w:eastAsia="Book Antiqua" w:hAnsi="Book Antiqua" w:cs="Book Antiqua"/>
          <w:color w:val="000000"/>
        </w:rPr>
        <w:t>hypoxic microenvironment of HCC</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because of tissue hypoxia inducing H</w:t>
      </w:r>
      <w:r>
        <w:rPr>
          <w:rFonts w:ascii="Book Antiqua" w:eastAsia="Book Antiqua" w:hAnsi="Book Antiqua" w:cs="Book Antiqua"/>
          <w:color w:val="000000"/>
        </w:rPr>
        <w:t xml:space="preserve">IF-1α expression and binding to TUFT1 promoter, thereby promoting tumor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activation of the Rac1/β-catenin, mitogen activated protein kinase, </w:t>
      </w:r>
      <w:r>
        <w:rPr>
          <w:rFonts w:ascii="Book Antiqua" w:eastAsia="Book Antiqua" w:hAnsi="Book Antiqua" w:cs="Book Antiqua"/>
          <w:color w:val="000000"/>
        </w:rPr>
        <w:lastRenderedPageBreak/>
        <w:t xml:space="preserve">calcium/phosphatidylinositol 3 kinase/AKT, Akt- mammalian target of rapamycin/glycogen synthase </w:t>
      </w:r>
      <w:r>
        <w:rPr>
          <w:rFonts w:ascii="Book Antiqua" w:eastAsia="Book Antiqua" w:hAnsi="Book Antiqua" w:cs="Book Antiqua"/>
          <w:color w:val="000000"/>
        </w:rPr>
        <w:t>kinase 3β, and HIF1-SNAIL signaling pathway</w:t>
      </w:r>
      <w:r>
        <w:rPr>
          <w:rFonts w:ascii="Book Antiqua" w:eastAsia="Book Antiqua" w:hAnsi="Book Antiqua" w:cs="Book Antiqua"/>
          <w:color w:val="000000"/>
          <w:vertAlign w:val="superscript"/>
        </w:rPr>
        <w:t>[11,14,18]</w:t>
      </w:r>
      <w:r>
        <w:rPr>
          <w:rFonts w:ascii="Book Antiqua" w:eastAsia="Book Antiqua" w:hAnsi="Book Antiqua" w:cs="Book Antiqua"/>
          <w:color w:val="000000"/>
        </w:rPr>
        <w:t>. In this study, T</w:t>
      </w:r>
      <w:r>
        <w:rPr>
          <w:rFonts w:ascii="Book Antiqua" w:eastAsia="Book Antiqua" w:hAnsi="Book Antiqua" w:cs="Book Antiqua"/>
          <w:color w:val="000000"/>
          <w:shd w:val="clear" w:color="auto" w:fill="FFFFFF"/>
        </w:rPr>
        <w:t>UFT1 level was shown to be positively correlated with tumor size, histological grade, and lymph node metastasis rate, and e</w:t>
      </w:r>
      <w:r>
        <w:rPr>
          <w:rFonts w:ascii="Book Antiqua" w:eastAsia="Book Antiqua" w:hAnsi="Book Antiqua" w:cs="Book Antiqua"/>
          <w:color w:val="000000"/>
        </w:rPr>
        <w:t>levated TUFT1 levels were related to unfavorable clinicopathol</w:t>
      </w:r>
      <w:r>
        <w:rPr>
          <w:rFonts w:ascii="Book Antiqua" w:eastAsia="Book Antiqua" w:hAnsi="Book Antiqua" w:cs="Book Antiqua"/>
          <w:color w:val="000000"/>
        </w:rPr>
        <w:t xml:space="preserve">ogic characteristics and poor survival. </w:t>
      </w:r>
      <w:r>
        <w:rPr>
          <w:rFonts w:ascii="Book Antiqua" w:eastAsia="Book Antiqua" w:hAnsi="Book Antiqua" w:cs="Book Antiqua"/>
          <w:color w:val="000000"/>
          <w:shd w:val="clear" w:color="auto" w:fill="FFFFFF"/>
        </w:rPr>
        <w:t xml:space="preserve">Furthermore, the univariate and multivariate analysis of clinical data indicated that </w:t>
      </w:r>
      <w:r>
        <w:rPr>
          <w:rFonts w:ascii="Book Antiqua" w:eastAsia="Book Antiqua" w:hAnsi="Book Antiqua" w:cs="Book Antiqua"/>
          <w:color w:val="000000"/>
        </w:rPr>
        <w:t xml:space="preserve">TUFT1 could </w:t>
      </w:r>
      <w:r>
        <w:rPr>
          <w:rFonts w:ascii="Book Antiqua" w:eastAsia="Book Antiqua" w:hAnsi="Book Antiqua" w:cs="Book Antiqua"/>
          <w:color w:val="000000"/>
          <w:shd w:val="clear" w:color="auto" w:fill="FFFFFF"/>
        </w:rPr>
        <w:t>be an independent prognostic marker for HCC.</w:t>
      </w:r>
    </w:p>
    <w:p w14:paraId="05E7DA44" w14:textId="77777777" w:rsidR="001154E7" w:rsidRDefault="00ED61B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The levels of inhibiting or expressing TUFT1 might alter the biological f</w:t>
      </w:r>
      <w:r>
        <w:rPr>
          <w:rFonts w:ascii="Book Antiqua" w:eastAsia="Book Antiqua" w:hAnsi="Book Antiqua" w:cs="Book Antiqua"/>
          <w:color w:val="000000"/>
          <w:shd w:val="clear" w:color="auto" w:fill="FFFFFF"/>
        </w:rPr>
        <w:t>eatures of HCC cells</w:t>
      </w:r>
      <w:r>
        <w:rPr>
          <w:rFonts w:ascii="Book Antiqua" w:eastAsia="Book Antiqua" w:hAnsi="Book Antiqua" w:cs="Book Antiqua"/>
          <w:color w:val="000000"/>
          <w:shd w:val="clear" w:color="auto" w:fill="FFFFFF"/>
          <w:vertAlign w:val="superscript"/>
        </w:rPr>
        <w:t>[12,23]</w:t>
      </w:r>
      <w:r>
        <w:rPr>
          <w:rFonts w:ascii="Book Antiqua" w:eastAsia="Book Antiqua" w:hAnsi="Book Antiqua" w:cs="Book Antiqua"/>
          <w:color w:val="000000"/>
          <w:shd w:val="clear" w:color="auto" w:fill="FFFFFF"/>
        </w:rPr>
        <w:t xml:space="preserve">. In this study, </w:t>
      </w:r>
      <w:r>
        <w:rPr>
          <w:rFonts w:ascii="Book Antiqua" w:eastAsia="Book Antiqua" w:hAnsi="Book Antiqua" w:cs="Book Antiqua"/>
          <w:color w:val="000000"/>
        </w:rPr>
        <w:t xml:space="preserve">evidence from different cell line studies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suggested that the higher or lower TUFT1 level could affect the biological behaviors of HCC cells. The MHCC-97H cells with high TUFT1 expression were transfected</w:t>
      </w:r>
      <w:r>
        <w:rPr>
          <w:rFonts w:ascii="Book Antiqua" w:eastAsia="Book Antiqua" w:hAnsi="Book Antiqua" w:cs="Book Antiqua"/>
          <w:color w:val="000000"/>
        </w:rPr>
        <w:t xml:space="preserve"> with the specific interfering shRNA3 plasmid, and the proliferation, healing, invasion, and migration abilities of the cells were significantly inhibited less than those in the sh-NC group. However, the Hep3B cells with low TUFT1 expression were transfect</w:t>
      </w:r>
      <w:r>
        <w:rPr>
          <w:rFonts w:ascii="Book Antiqua" w:eastAsia="Book Antiqua" w:hAnsi="Book Antiqua" w:cs="Book Antiqua"/>
          <w:color w:val="000000"/>
        </w:rPr>
        <w:t>ed with the over-expressing TUFT1 plasmid, and those abilities of the cells were significant increased compared to those in the sh-NC group. These results have confirmed that TUFT1 could promote the growth and metastasis of HCC cells</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an anti-a</w:t>
      </w:r>
      <w:r>
        <w:rPr>
          <w:rFonts w:ascii="Book Antiqua" w:eastAsia="Book Antiqua" w:hAnsi="Book Antiqua" w:cs="Book Antiqua"/>
          <w:color w:val="000000"/>
        </w:rPr>
        <w:t>poptosis mechanism, suggesting that TUFT1 might function as a potential therapeutic target for inhibiting HCC growth.</w:t>
      </w:r>
    </w:p>
    <w:p w14:paraId="2AAD1249" w14:textId="77777777" w:rsidR="001154E7" w:rsidRDefault="001154E7">
      <w:pPr>
        <w:adjustRightInd w:val="0"/>
        <w:snapToGrid w:val="0"/>
        <w:spacing w:line="360" w:lineRule="auto"/>
        <w:jc w:val="both"/>
        <w:rPr>
          <w:rFonts w:ascii="Book Antiqua" w:hAnsi="Book Antiqua"/>
        </w:rPr>
      </w:pPr>
    </w:p>
    <w:p w14:paraId="4CA33B1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2D1F6AA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conclusion, high </w:t>
      </w:r>
      <w:r>
        <w:rPr>
          <w:rFonts w:ascii="Book Antiqua" w:eastAsia="Book Antiqua" w:hAnsi="Book Antiqua" w:cs="Book Antiqua"/>
          <w:color w:val="000000"/>
          <w:shd w:val="clear" w:color="auto" w:fill="FFFFFF"/>
        </w:rPr>
        <w:t xml:space="preserve">TUFT1 levels based on human specimen studies were associated with HCC progression. </w:t>
      </w:r>
      <w:r>
        <w:rPr>
          <w:rFonts w:ascii="Book Antiqua" w:eastAsia="Book Antiqua" w:hAnsi="Book Antiqua" w:cs="Book Antiqua"/>
          <w:color w:val="000000"/>
          <w:shd w:val="clear" w:color="auto" w:fill="FFFFFF"/>
        </w:rPr>
        <w:t>Further inhibiting</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TUFT1 </w:t>
      </w:r>
      <w:r>
        <w:rPr>
          <w:rFonts w:ascii="Book Antiqua" w:eastAsia="Book Antiqua" w:hAnsi="Book Antiqua" w:cs="Book Antiqua"/>
          <w:i/>
          <w:iCs/>
          <w:color w:val="000000"/>
          <w:shd w:val="clear" w:color="auto" w:fill="FFFFFF"/>
        </w:rPr>
        <w:t xml:space="preserve">in vitro </w:t>
      </w:r>
      <w:r>
        <w:rPr>
          <w:rFonts w:ascii="Book Antiqua" w:eastAsia="Book Antiqua" w:hAnsi="Book Antiqua" w:cs="Book Antiqua"/>
          <w:color w:val="000000"/>
          <w:shd w:val="clear" w:color="auto" w:fill="FFFFFF"/>
        </w:rPr>
        <w:t>could significantly alleviate the proliferation and metastasis of HCC cells. Moreover, TUFT1 over-expression could promote the proliferation and metastasis of HCC cells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Furthermore, TUFT1 inhibition led to signif</w:t>
      </w:r>
      <w:r>
        <w:rPr>
          <w:rFonts w:ascii="Book Antiqua" w:eastAsia="Book Antiqua" w:hAnsi="Book Antiqua" w:cs="Book Antiqua"/>
          <w:color w:val="000000"/>
          <w:shd w:val="clear" w:color="auto" w:fill="FFFFFF"/>
        </w:rPr>
        <w:t>icant changes of cell apoptosis rate. More</w:t>
      </w:r>
      <w:r>
        <w:rPr>
          <w:rFonts w:ascii="Book Antiqua" w:eastAsia="Book Antiqua" w:hAnsi="Book Antiqua" w:cs="Book Antiqua"/>
          <w:color w:val="000000"/>
        </w:rPr>
        <w:t xml:space="preserve"> studies in future are needed to clarify the molecular mechanisms underlying the TUFT1 up-regulation contribution to the progression of HCC. However, high expression of TUFT1 could </w:t>
      </w:r>
      <w:r>
        <w:rPr>
          <w:rFonts w:ascii="Book Antiqua" w:eastAsia="Book Antiqua" w:hAnsi="Book Antiqua" w:cs="Book Antiqua"/>
          <w:color w:val="000000"/>
          <w:shd w:val="clear" w:color="auto" w:fill="FFFFFF"/>
        </w:rPr>
        <w:t>be considered as a novel effectiv</w:t>
      </w:r>
      <w:r>
        <w:rPr>
          <w:rFonts w:ascii="Book Antiqua" w:eastAsia="Book Antiqua" w:hAnsi="Book Antiqua" w:cs="Book Antiqua"/>
          <w:color w:val="000000"/>
          <w:shd w:val="clear" w:color="auto" w:fill="FFFFFF"/>
        </w:rPr>
        <w:t>e molecular target for inhibiting HCC growth.</w:t>
      </w:r>
    </w:p>
    <w:p w14:paraId="294C4FF5" w14:textId="77777777" w:rsidR="001154E7" w:rsidRDefault="001154E7">
      <w:pPr>
        <w:adjustRightInd w:val="0"/>
        <w:snapToGrid w:val="0"/>
        <w:spacing w:line="360" w:lineRule="auto"/>
        <w:jc w:val="both"/>
        <w:rPr>
          <w:rFonts w:ascii="Book Antiqua" w:hAnsi="Book Antiqua"/>
        </w:rPr>
      </w:pPr>
    </w:p>
    <w:p w14:paraId="6FA42D1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ARTICLE HIGHLIGHTS</w:t>
      </w:r>
    </w:p>
    <w:p w14:paraId="0861AE7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14:paraId="266E8AD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Tuftelin 1 (TUFT1)</w:t>
      </w:r>
      <w:r>
        <w:rPr>
          <w:rFonts w:ascii="Book Antiqua" w:eastAsia="Book Antiqua" w:hAnsi="Book Antiqua" w:cs="Book Antiqua"/>
          <w:color w:val="000000"/>
          <w:shd w:val="clear" w:color="auto" w:fill="FFFFFF"/>
        </w:rPr>
        <w:t xml:space="preserve"> has been reported to be elevated in multiple cancer types, and its </w:t>
      </w:r>
      <w:r>
        <w:rPr>
          <w:rFonts w:ascii="Book Antiqua" w:eastAsia="Book Antiqua" w:hAnsi="Book Antiqua" w:cs="Book Antiqua"/>
          <w:color w:val="000000"/>
        </w:rPr>
        <w:t xml:space="preserve">abnormal expression has attracted medical attention as a novel oncogenic biomarker. </w:t>
      </w:r>
      <w:r>
        <w:rPr>
          <w:rFonts w:ascii="Book Antiqua" w:eastAsia="Book Antiqua" w:hAnsi="Book Antiqua" w:cs="Book Antiqua"/>
          <w:color w:val="000000"/>
        </w:rPr>
        <w:t>However, the relationship between TUFT1 and hepatocellular carcinoma (HCC) remains to be identified. In this study, the levels of</w:t>
      </w:r>
      <w:r>
        <w:rPr>
          <w:rFonts w:ascii="Book Antiqua" w:eastAsia="Book Antiqua" w:hAnsi="Book Antiqua" w:cs="Book Antiqua"/>
          <w:i/>
          <w:iCs/>
          <w:color w:val="000000"/>
        </w:rPr>
        <w:t xml:space="preserve"> </w:t>
      </w:r>
      <w:r>
        <w:rPr>
          <w:rFonts w:ascii="Book Antiqua" w:eastAsia="Book Antiqua" w:hAnsi="Book Antiqua" w:cs="Book Antiqua"/>
          <w:color w:val="000000"/>
        </w:rPr>
        <w:t>TUFT1 in HCC tissues were investigated and the roles of TUFT1 expression were explored</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by intervening in </w:t>
      </w:r>
      <w:r>
        <w:rPr>
          <w:rFonts w:ascii="Book Antiqua" w:eastAsia="Book Antiqua" w:hAnsi="Book Antiqua" w:cs="Book Antiqua"/>
          <w:i/>
          <w:iCs/>
          <w:color w:val="000000"/>
        </w:rPr>
        <w:t>TUFT1</w:t>
      </w:r>
      <w:r>
        <w:rPr>
          <w:rFonts w:ascii="Book Antiqua" w:eastAsia="Book Antiqua" w:hAnsi="Book Antiqua" w:cs="Book Antiqua"/>
          <w:color w:val="000000"/>
        </w:rPr>
        <w:t xml:space="preserve"> activa</w:t>
      </w:r>
      <w:r>
        <w:rPr>
          <w:rFonts w:ascii="Book Antiqua" w:eastAsia="Book Antiqua" w:hAnsi="Book Antiqua" w:cs="Book Antiqua"/>
          <w:color w:val="000000"/>
        </w:rPr>
        <w:t>tion of HCC cell lines.</w:t>
      </w:r>
    </w:p>
    <w:p w14:paraId="79D1D0EB" w14:textId="77777777" w:rsidR="001154E7" w:rsidRDefault="001154E7">
      <w:pPr>
        <w:adjustRightInd w:val="0"/>
        <w:snapToGrid w:val="0"/>
        <w:spacing w:line="360" w:lineRule="auto"/>
        <w:jc w:val="both"/>
        <w:rPr>
          <w:rFonts w:ascii="Book Antiqua" w:hAnsi="Book Antiqua"/>
        </w:rPr>
      </w:pPr>
    </w:p>
    <w:p w14:paraId="0148ADA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14:paraId="5C3A90E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TUFT1 was first identified and sequenced from a bovine ameloblast-enriched complementary DNA library with a highly conserved gene localized in chromosome 1q21-31 that contained 13 exons, encoding an acidic, phos</w:t>
      </w:r>
      <w:r>
        <w:rPr>
          <w:rFonts w:ascii="Book Antiqua" w:eastAsia="Book Antiqua" w:hAnsi="Book Antiqua" w:cs="Book Antiqua"/>
          <w:color w:val="000000"/>
        </w:rPr>
        <w:t>phorylated glycoprotein of 390 amino acids, and it plays a critical role in the development and mineralization of enamel. Recently, TUFT1</w:t>
      </w:r>
      <w:r>
        <w:rPr>
          <w:rFonts w:ascii="Book Antiqua" w:eastAsia="Book Antiqua" w:hAnsi="Book Antiqua" w:cs="Book Antiqua"/>
          <w:color w:val="000000"/>
          <w:shd w:val="clear" w:color="auto" w:fill="FFFFFF"/>
        </w:rPr>
        <w:t xml:space="preserve"> has been reported to be elevated in multiple cancers, and </w:t>
      </w:r>
      <w:r>
        <w:rPr>
          <w:rFonts w:ascii="Book Antiqua" w:eastAsia="Book Antiqua" w:hAnsi="Book Antiqua" w:cs="Book Antiqua"/>
          <w:color w:val="000000"/>
        </w:rPr>
        <w:t>abnormal TUFT1 has attracted medical attention for HCC.</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w:t>
      </w:r>
      <w:r>
        <w:rPr>
          <w:rFonts w:ascii="Book Antiqua" w:eastAsia="Book Antiqua" w:hAnsi="Book Antiqua" w:cs="Book Antiqua"/>
          <w:color w:val="000000"/>
        </w:rPr>
        <w:t xml:space="preserve">ver, limited data is available on the relationship between TUFT1 and HCC, and </w:t>
      </w:r>
      <w:r>
        <w:rPr>
          <w:rFonts w:ascii="Book Antiqua" w:eastAsia="Book Antiqua" w:hAnsi="Book Antiqua" w:cs="Book Antiqua"/>
          <w:color w:val="000000"/>
          <w:shd w:val="clear" w:color="auto" w:fill="FFFFFF"/>
        </w:rPr>
        <w:t xml:space="preserve">the exact biological mechanism of </w:t>
      </w:r>
      <w:r>
        <w:rPr>
          <w:rFonts w:ascii="Book Antiqua" w:eastAsia="Book Antiqua" w:hAnsi="Book Antiqua" w:cs="Book Antiqua"/>
          <w:color w:val="000000"/>
        </w:rPr>
        <w:t>TUFT1</w:t>
      </w:r>
      <w:r>
        <w:rPr>
          <w:rFonts w:ascii="Book Antiqua" w:eastAsia="Book Antiqua" w:hAnsi="Book Antiqua" w:cs="Book Antiqua"/>
          <w:color w:val="000000"/>
          <w:shd w:val="clear" w:color="auto" w:fill="FFFFFF"/>
        </w:rPr>
        <w:t xml:space="preserve"> is still poorly understood in HCC.</w:t>
      </w:r>
    </w:p>
    <w:p w14:paraId="4DD587FE" w14:textId="77777777" w:rsidR="001154E7" w:rsidRDefault="001154E7">
      <w:pPr>
        <w:adjustRightInd w:val="0"/>
        <w:snapToGrid w:val="0"/>
        <w:spacing w:line="360" w:lineRule="auto"/>
        <w:jc w:val="both"/>
        <w:rPr>
          <w:rFonts w:ascii="Book Antiqua" w:hAnsi="Book Antiqua"/>
        </w:rPr>
      </w:pPr>
    </w:p>
    <w:p w14:paraId="13CF08A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14:paraId="088C697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The pathogenesis and feasible therapeutic treatments of HCC need urgent investigat</w:t>
      </w:r>
      <w:r>
        <w:rPr>
          <w:rFonts w:ascii="Book Antiqua" w:eastAsia="Book Antiqua" w:hAnsi="Book Antiqua" w:cs="Book Antiqua"/>
          <w:color w:val="000000"/>
        </w:rPr>
        <w:t>ion. Abnormal TUFT1</w:t>
      </w:r>
      <w:r>
        <w:rPr>
          <w:rFonts w:ascii="Book Antiqua" w:eastAsia="Book Antiqua" w:hAnsi="Book Antiqua" w:cs="Book Antiqua"/>
          <w:color w:val="000000"/>
          <w:shd w:val="clear" w:color="auto" w:fill="FFFFFF"/>
        </w:rPr>
        <w:t xml:space="preserve"> has been reported in multiple cancers, and it exhibits oncogenic roles in tumor progression. </w:t>
      </w:r>
      <w:r>
        <w:rPr>
          <w:rFonts w:ascii="Book Antiqua" w:eastAsia="Book Antiqua" w:hAnsi="Book Antiqua" w:cs="Book Antiqua"/>
          <w:color w:val="000000"/>
        </w:rPr>
        <w:t>In this study, the landscape of TUFT1 expression in human HCC tissues was investigated</w:t>
      </w:r>
      <w:r>
        <w:rPr>
          <w:rFonts w:ascii="Book Antiqua" w:eastAsia="Book Antiqua" w:hAnsi="Book Antiqua" w:cs="Book Antiqua"/>
          <w:color w:val="000000"/>
        </w:rPr>
        <w:t>,</w:t>
      </w:r>
      <w:r>
        <w:rPr>
          <w:rFonts w:ascii="Book Antiqua" w:eastAsia="Book Antiqua" w:hAnsi="Book Antiqua" w:cs="Book Antiqua"/>
          <w:color w:val="000000"/>
        </w:rPr>
        <w:t xml:space="preserve"> and its mechanism was confirmed through intervening or </w:t>
      </w:r>
      <w:r>
        <w:rPr>
          <w:rFonts w:ascii="Book Antiqua" w:eastAsia="Book Antiqua" w:hAnsi="Book Antiqua" w:cs="Book Antiqua"/>
          <w:color w:val="000000"/>
        </w:rPr>
        <w:t xml:space="preserve">over-expressing TUFT1 activation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0DB65F1C" w14:textId="77777777" w:rsidR="001154E7" w:rsidRDefault="001154E7">
      <w:pPr>
        <w:adjustRightInd w:val="0"/>
        <w:snapToGrid w:val="0"/>
        <w:spacing w:line="360" w:lineRule="auto"/>
        <w:jc w:val="both"/>
        <w:rPr>
          <w:rFonts w:ascii="Book Antiqua" w:hAnsi="Book Antiqua"/>
        </w:rPr>
      </w:pPr>
    </w:p>
    <w:p w14:paraId="286B721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methods</w:t>
      </w:r>
    </w:p>
    <w:p w14:paraId="3D04A9A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TUFT1 on databases of the Cancer Genome Atlas and Oncomine or in HCC tissues were analyzed for clinicopathological features, overall survival</w:t>
      </w:r>
      <w:r>
        <w:rPr>
          <w:rFonts w:ascii="Book Antiqua" w:eastAsia="Book Antiqua" w:hAnsi="Book Antiqua" w:cs="Book Antiqua"/>
          <w:color w:val="000000"/>
        </w:rPr>
        <w:t>,</w:t>
      </w:r>
      <w:r>
        <w:rPr>
          <w:rFonts w:ascii="Book Antiqua" w:eastAsia="Book Antiqua" w:hAnsi="Book Antiqua" w:cs="Book Antiqua"/>
          <w:color w:val="000000"/>
        </w:rPr>
        <w:t xml:space="preserve"> and disease-free survival. High and low expressing HCC cell lines were screened among different HCC cell lines </w:t>
      </w:r>
      <w:r>
        <w:rPr>
          <w:rFonts w:ascii="Book Antiqua" w:eastAsia="Book Antiqua" w:hAnsi="Book Antiqua" w:cs="Book Antiqua"/>
          <w:color w:val="000000"/>
        </w:rPr>
        <w:lastRenderedPageBreak/>
        <w:t xml:space="preserve">and transfected with constructed vectors that interfere or over-express </w:t>
      </w:r>
      <w:r>
        <w:rPr>
          <w:rFonts w:ascii="Book Antiqua" w:eastAsia="Book Antiqua" w:hAnsi="Book Antiqua" w:cs="Book Antiqua"/>
          <w:i/>
          <w:iCs/>
          <w:color w:val="000000"/>
        </w:rPr>
        <w:t>TUFT1</w:t>
      </w:r>
      <w:r>
        <w:rPr>
          <w:rFonts w:ascii="Book Antiqua" w:eastAsia="Book Antiqua" w:hAnsi="Book Antiqua" w:cs="Book Antiqua"/>
          <w:color w:val="000000"/>
        </w:rPr>
        <w:t xml:space="preserve"> to analyze biological behaviors. Proliferation, invasion, migratio</w:t>
      </w:r>
      <w:r>
        <w:rPr>
          <w:rFonts w:ascii="Book Antiqua" w:eastAsia="Book Antiqua" w:hAnsi="Book Antiqua" w:cs="Book Antiqua"/>
          <w:color w:val="000000"/>
        </w:rPr>
        <w:t xml:space="preserve">n, and apoptosis of cells were detected by CCK-8, scratch assay, transwell tests, and flow cytometry, respectively, and confirmed by Western blotting. </w:t>
      </w:r>
    </w:p>
    <w:p w14:paraId="76EE636E" w14:textId="77777777" w:rsidR="001154E7" w:rsidRDefault="001154E7">
      <w:pPr>
        <w:adjustRightInd w:val="0"/>
        <w:snapToGrid w:val="0"/>
        <w:spacing w:line="360" w:lineRule="auto"/>
        <w:jc w:val="both"/>
        <w:rPr>
          <w:rFonts w:ascii="Book Antiqua" w:hAnsi="Book Antiqua"/>
        </w:rPr>
      </w:pPr>
    </w:p>
    <w:p w14:paraId="3269706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results</w:t>
      </w:r>
    </w:p>
    <w:p w14:paraId="120988D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research results confirmed that </w:t>
      </w:r>
      <w:r>
        <w:rPr>
          <w:rFonts w:ascii="Book Antiqua" w:eastAsia="Book Antiqua" w:hAnsi="Book Antiqua" w:cs="Book Antiqua"/>
          <w:color w:val="000000"/>
        </w:rPr>
        <w:t xml:space="preserve">TUFT1 was over-expressed in HCC tissues, and its expression was significantly related to tumor size, vascular invasion, positive hepatitis B e-antigen, advanced tumor-node-metastasis staging, ascites, shorter overall survival, and disease-free survival of </w:t>
      </w:r>
      <w:r>
        <w:rPr>
          <w:rFonts w:ascii="Book Antiqua" w:eastAsia="Book Antiqua" w:hAnsi="Book Antiqua" w:cs="Book Antiqua"/>
          <w:color w:val="000000"/>
        </w:rPr>
        <w:t xml:space="preserve">HCC patients. Novel </w:t>
      </w:r>
      <w:r>
        <w:rPr>
          <w:rFonts w:ascii="Book Antiqua" w:eastAsia="Book Antiqua" w:hAnsi="Book Antiqua" w:cs="Book Antiqua"/>
          <w:color w:val="000000"/>
          <w:shd w:val="clear" w:color="auto" w:fill="FFFFFF"/>
        </w:rPr>
        <w:t>findings</w:t>
      </w:r>
      <w:r>
        <w:rPr>
          <w:rFonts w:ascii="Book Antiqua" w:eastAsia="Book Antiqua" w:hAnsi="Book Antiqua" w:cs="Book Antiqua"/>
          <w:color w:val="000000"/>
        </w:rPr>
        <w:t xml:space="preserve"> were that interfering with </w:t>
      </w:r>
      <w:r>
        <w:rPr>
          <w:rFonts w:ascii="Book Antiqua" w:eastAsia="Book Antiqua" w:hAnsi="Book Antiqua" w:cs="Book Antiqua"/>
          <w:i/>
          <w:iCs/>
          <w:color w:val="000000"/>
        </w:rPr>
        <w:t>TUFT1</w:t>
      </w:r>
      <w:r>
        <w:rPr>
          <w:rFonts w:ascii="Book Antiqua" w:eastAsia="Book Antiqua" w:hAnsi="Book Antiqua" w:cs="Book Antiqua"/>
          <w:color w:val="000000"/>
        </w:rPr>
        <w:t xml:space="preserve"> gene transcription could</w:t>
      </w:r>
      <w:r>
        <w:rPr>
          <w:rFonts w:ascii="Book Antiqua" w:eastAsia="Book Antiqua" w:hAnsi="Book Antiqua" w:cs="Book Antiqua"/>
          <w:i/>
          <w:iCs/>
          <w:color w:val="000000"/>
        </w:rPr>
        <w:t xml:space="preserve"> </w:t>
      </w:r>
      <w:r>
        <w:rPr>
          <w:rFonts w:ascii="Book Antiqua" w:eastAsia="Book Antiqua" w:hAnsi="Book Antiqua" w:cs="Book Antiqua"/>
          <w:color w:val="000000"/>
        </w:rPr>
        <w:t>markedly suppress the proliferation and metastasis of the higher TUFT1 MHCC-97H cell lines through an apoptosis mechanism. Moreover, over-expressing TUFT1 promoted the g</w:t>
      </w:r>
      <w:r>
        <w:rPr>
          <w:rFonts w:ascii="Book Antiqua" w:eastAsia="Book Antiqua" w:hAnsi="Book Antiqua" w:cs="Book Antiqua"/>
          <w:color w:val="000000"/>
        </w:rPr>
        <w:t>rowth and metastasis of the lower TUFT1 Hep3B cell lines</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w:t>
      </w:r>
    </w:p>
    <w:p w14:paraId="12D46CA4" w14:textId="77777777" w:rsidR="001154E7" w:rsidRDefault="001154E7">
      <w:pPr>
        <w:adjustRightInd w:val="0"/>
        <w:snapToGrid w:val="0"/>
        <w:spacing w:line="360" w:lineRule="auto"/>
        <w:jc w:val="both"/>
        <w:rPr>
          <w:rFonts w:ascii="Book Antiqua" w:hAnsi="Book Antiqua"/>
        </w:rPr>
      </w:pPr>
    </w:p>
    <w:p w14:paraId="7A5887B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14:paraId="315AB9B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Based on human specimen studies, </w:t>
      </w:r>
      <w:r>
        <w:rPr>
          <w:rFonts w:ascii="Book Antiqua" w:eastAsia="Book Antiqua" w:hAnsi="Book Antiqua" w:cs="Book Antiqua"/>
          <w:color w:val="000000"/>
        </w:rPr>
        <w:t xml:space="preserve">high </w:t>
      </w:r>
      <w:r>
        <w:rPr>
          <w:rFonts w:ascii="Book Antiqua" w:eastAsia="Book Antiqua" w:hAnsi="Book Antiqua" w:cs="Book Antiqua"/>
          <w:color w:val="000000"/>
          <w:shd w:val="clear" w:color="auto" w:fill="FFFFFF"/>
        </w:rPr>
        <w:t xml:space="preserve">TUFT1 levels were associated with HCC progression, inhibiting TUFT1 affected proliferation and metastasis, over-expressing TUFT1 </w:t>
      </w:r>
      <w:r>
        <w:rPr>
          <w:rFonts w:ascii="Book Antiqua" w:eastAsia="Book Antiqua" w:hAnsi="Book Antiqua" w:cs="Book Antiqua"/>
          <w:color w:val="000000"/>
          <w:shd w:val="clear" w:color="auto" w:fill="FFFFFF"/>
        </w:rPr>
        <w:t xml:space="preserve">promoted proliferation and metastasis, and interfering activation of TUFT1 led to significant increase in cell apoptosis. </w:t>
      </w:r>
      <w:r>
        <w:rPr>
          <w:rFonts w:ascii="Book Antiqua" w:eastAsia="Book Antiqua" w:hAnsi="Book Antiqua" w:cs="Book Antiqua"/>
          <w:color w:val="000000"/>
        </w:rPr>
        <w:t xml:space="preserve">TUFT1 could </w:t>
      </w:r>
      <w:r>
        <w:rPr>
          <w:rFonts w:ascii="Book Antiqua" w:eastAsia="Book Antiqua" w:hAnsi="Book Antiqua" w:cs="Book Antiqua"/>
          <w:color w:val="000000"/>
          <w:shd w:val="clear" w:color="auto" w:fill="FFFFFF"/>
        </w:rPr>
        <w:t>be a novel useful target for HCC effective therapy.</w:t>
      </w:r>
      <w:r>
        <w:rPr>
          <w:rFonts w:ascii="Book Antiqua" w:eastAsia="Book Antiqua" w:hAnsi="Book Antiqua" w:cs="Book Antiqua"/>
          <w:color w:val="000000"/>
        </w:rPr>
        <w:t xml:space="preserve"> </w:t>
      </w:r>
    </w:p>
    <w:p w14:paraId="00946E17" w14:textId="77777777" w:rsidR="001154E7" w:rsidRDefault="001154E7">
      <w:pPr>
        <w:adjustRightInd w:val="0"/>
        <w:snapToGrid w:val="0"/>
        <w:spacing w:line="360" w:lineRule="auto"/>
        <w:jc w:val="both"/>
        <w:rPr>
          <w:rFonts w:ascii="Book Antiqua" w:hAnsi="Book Antiqua"/>
        </w:rPr>
      </w:pPr>
    </w:p>
    <w:p w14:paraId="5950277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14:paraId="7306180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Basic and clinical studies have confirmed that</w:t>
      </w:r>
      <w:r>
        <w:rPr>
          <w:rFonts w:ascii="Book Antiqua" w:eastAsia="Book Antiqua" w:hAnsi="Book Antiqua" w:cs="Book Antiqua"/>
          <w:color w:val="000000"/>
        </w:rPr>
        <w:t xml:space="preserve"> the a</w:t>
      </w:r>
      <w:r>
        <w:rPr>
          <w:rFonts w:ascii="Book Antiqua" w:eastAsia="Book Antiqua" w:hAnsi="Book Antiqua" w:cs="Book Antiqua"/>
          <w:color w:val="000000"/>
          <w:shd w:val="clear" w:color="auto" w:fill="FFFFFF"/>
        </w:rPr>
        <w:t xml:space="preserve">lterations of oncogenic TUFT1 expression might promote HCC growth and metastasis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an anti-apoptotic mechanism, and abnormal </w:t>
      </w:r>
      <w:r>
        <w:rPr>
          <w:rFonts w:ascii="Book Antiqua" w:eastAsia="Book Antiqua" w:hAnsi="Book Antiqua" w:cs="Book Antiqua"/>
          <w:color w:val="000000"/>
        </w:rPr>
        <w:t>TUFT1 level could be</w:t>
      </w:r>
      <w:r>
        <w:rPr>
          <w:rFonts w:ascii="Book Antiqua" w:eastAsia="Book Antiqua" w:hAnsi="Book Antiqua" w:cs="Book Antiqua"/>
          <w:color w:val="000000"/>
          <w:shd w:val="clear" w:color="auto" w:fill="FFFFFF"/>
        </w:rPr>
        <w:t xml:space="preserve"> a new prognostic marker or</w:t>
      </w:r>
      <w:r>
        <w:rPr>
          <w:rFonts w:ascii="Book Antiqua" w:eastAsia="Book Antiqua" w:hAnsi="Book Antiqua" w:cs="Book Antiqua"/>
          <w:color w:val="000000"/>
        </w:rPr>
        <w:t xml:space="preserve"> potential molecular target for HCC therapy. </w:t>
      </w:r>
      <w:r>
        <w:rPr>
          <w:rFonts w:ascii="Book Antiqua" w:eastAsia="Book Antiqua" w:hAnsi="Book Antiqua" w:cs="Book Antiqua"/>
          <w:color w:val="000000"/>
          <w:shd w:val="clear" w:color="auto" w:fill="FFFFFF"/>
        </w:rPr>
        <w:t>More</w:t>
      </w:r>
      <w:r>
        <w:rPr>
          <w:rFonts w:ascii="Book Antiqua" w:eastAsia="Book Antiqua" w:hAnsi="Book Antiqua" w:cs="Book Antiqua"/>
          <w:color w:val="000000"/>
        </w:rPr>
        <w:t xml:space="preserve"> studies in the future are </w:t>
      </w:r>
      <w:r>
        <w:rPr>
          <w:rFonts w:ascii="Book Antiqua" w:eastAsia="Book Antiqua" w:hAnsi="Book Antiqua" w:cs="Book Antiqua"/>
          <w:color w:val="000000"/>
        </w:rPr>
        <w:t xml:space="preserve">needed to clarify the molecular mechanisms underlying TUFT1 up-regulation contribution to the progression of HCC. </w:t>
      </w:r>
    </w:p>
    <w:p w14:paraId="4BD3D0A1" w14:textId="77777777" w:rsidR="001154E7" w:rsidRDefault="001154E7">
      <w:pPr>
        <w:adjustRightInd w:val="0"/>
        <w:snapToGrid w:val="0"/>
        <w:spacing w:line="360" w:lineRule="auto"/>
        <w:jc w:val="both"/>
        <w:rPr>
          <w:rFonts w:ascii="Book Antiqua" w:hAnsi="Book Antiqua"/>
        </w:rPr>
      </w:pPr>
    </w:p>
    <w:p w14:paraId="17F78A7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0E8849E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All authors thank Professor Zhi-Zhen Dong of Nantong University for comments on earlier drafts of the manuscript.</w:t>
      </w:r>
    </w:p>
    <w:p w14:paraId="1D89009C" w14:textId="77777777" w:rsidR="001154E7" w:rsidRDefault="001154E7">
      <w:pPr>
        <w:adjustRightInd w:val="0"/>
        <w:snapToGrid w:val="0"/>
        <w:spacing w:line="360" w:lineRule="auto"/>
        <w:jc w:val="both"/>
        <w:rPr>
          <w:rFonts w:ascii="Book Antiqua" w:hAnsi="Book Antiqua"/>
        </w:rPr>
      </w:pPr>
    </w:p>
    <w:p w14:paraId="2BE92FA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w:t>
      </w:r>
      <w:r>
        <w:rPr>
          <w:rFonts w:ascii="Book Antiqua" w:eastAsia="Book Antiqua" w:hAnsi="Book Antiqua" w:cs="Book Antiqua"/>
          <w:b/>
          <w:color w:val="000000"/>
        </w:rPr>
        <w:t>ES</w:t>
      </w:r>
    </w:p>
    <w:p w14:paraId="2BD5B80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Singal AG</w:t>
      </w:r>
      <w:r>
        <w:rPr>
          <w:rFonts w:ascii="Book Antiqua" w:eastAsia="Book Antiqua" w:hAnsi="Book Antiqua" w:cs="Book Antiqua"/>
          <w:color w:val="000000"/>
        </w:rPr>
        <w:t xml:space="preserve">, Lampertico P, Nahon P. Epidemiology and surveillance for hepatocellular carcinoma: New trends.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250-261 [PMID: 31954490 DOI: 10.1016/j.jhep.2019.08.025]</w:t>
      </w:r>
    </w:p>
    <w:p w14:paraId="41013A9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Chen JG</w:t>
      </w:r>
      <w:r>
        <w:rPr>
          <w:rFonts w:ascii="Book Antiqua" w:eastAsia="Book Antiqua" w:hAnsi="Book Antiqua" w:cs="Book Antiqua"/>
          <w:color w:val="000000"/>
        </w:rPr>
        <w:t xml:space="preserve">, Zhu J, Zhang YH, Zhang YX, Yao DF, Chen YS, Lu JH, Ding LL, Chen HZ, Zhu CY, Yang LP, Zhu YR, Qiang FL. Cancer survival in Qidong between 1972 and 2011: A population-based analysis.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944-954 [PMID: 28588795 DOI: 10.3892/mco.2017.12</w:t>
      </w:r>
      <w:r>
        <w:rPr>
          <w:rFonts w:ascii="Book Antiqua" w:eastAsia="Book Antiqua" w:hAnsi="Book Antiqua" w:cs="Book Antiqua"/>
          <w:color w:val="000000"/>
        </w:rPr>
        <w:t>34]</w:t>
      </w:r>
    </w:p>
    <w:p w14:paraId="67314AC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Petruzziello A</w:t>
      </w:r>
      <w:r>
        <w:rPr>
          <w:rFonts w:ascii="Book Antiqua" w:eastAsia="Book Antiqua" w:hAnsi="Book Antiqua" w:cs="Book Antiqua"/>
          <w:color w:val="000000"/>
        </w:rPr>
        <w:t xml:space="preserve">. Epidemiology of Hepatitis B Virus (HBV) and Hepatitis C Virus (HCV) Related Hepatocellular Carcinoma. </w:t>
      </w:r>
      <w:r>
        <w:rPr>
          <w:rFonts w:ascii="Book Antiqua" w:eastAsia="Book Antiqua" w:hAnsi="Book Antiqua" w:cs="Book Antiqua"/>
          <w:i/>
          <w:iCs/>
          <w:color w:val="000000"/>
        </w:rPr>
        <w:t>Open Virol J</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26-32 [PMID: 29541276 DOI: 10.2174/1874357901812010026]</w:t>
      </w:r>
    </w:p>
    <w:p w14:paraId="690DCC2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Younossi Z</w:t>
      </w:r>
      <w:r>
        <w:rPr>
          <w:rFonts w:ascii="Book Antiqua" w:eastAsia="Book Antiqua" w:hAnsi="Book Antiqua" w:cs="Book Antiqua"/>
          <w:color w:val="000000"/>
        </w:rPr>
        <w:t>, Tacke F, Arrese M, Chander Sharma B, Mo</w:t>
      </w:r>
      <w:r>
        <w:rPr>
          <w:rFonts w:ascii="Book Antiqua" w:eastAsia="Book Antiqua" w:hAnsi="Book Antiqua" w:cs="Book Antiqua"/>
          <w:color w:val="000000"/>
        </w:rPr>
        <w:t xml:space="preserve">stafa I, Bugianesi E, Wai-Sun Wong V, Yilmaz Y, George J, Fan J, Vos MB. Global Perspectives on Nonalcoholic Fatty Liver Disease and Nonalcoholic Steatohepatitis.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2672-2682 [PMID: 30179269 DOI: 10.1002/hep.30251]</w:t>
      </w:r>
    </w:p>
    <w:p w14:paraId="515D6ED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Chen S</w:t>
      </w:r>
      <w:r>
        <w:rPr>
          <w:rFonts w:ascii="Book Antiqua" w:eastAsia="Book Antiqua" w:hAnsi="Book Antiqua" w:cs="Book Antiqua"/>
          <w:color w:val="000000"/>
        </w:rPr>
        <w:t>, Cao Q, Wen W</w:t>
      </w:r>
      <w:r>
        <w:rPr>
          <w:rFonts w:ascii="Book Antiqua" w:eastAsia="Book Antiqua" w:hAnsi="Book Antiqua" w:cs="Book Antiqua"/>
          <w:color w:val="000000"/>
        </w:rPr>
        <w:t xml:space="preserve">, Wang H. Targeted therapy for hepatocellular carcinoma: Challenges and opportunities.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460</w:t>
      </w:r>
      <w:r>
        <w:rPr>
          <w:rFonts w:ascii="Book Antiqua" w:eastAsia="Book Antiqua" w:hAnsi="Book Antiqua" w:cs="Book Antiqua"/>
          <w:color w:val="000000"/>
        </w:rPr>
        <w:t>: 1-9 [PMID: 31207320 DOI: 10.1016/j.canlet.2019.114428]</w:t>
      </w:r>
    </w:p>
    <w:p w14:paraId="087258A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Tang A</w:t>
      </w:r>
      <w:r>
        <w:rPr>
          <w:rFonts w:ascii="Book Antiqua" w:eastAsia="Book Antiqua" w:hAnsi="Book Antiqua" w:cs="Book Antiqua"/>
          <w:color w:val="000000"/>
        </w:rPr>
        <w:t>, Hallouch O, Chernyak V, Kamaya A, Sirlin CB. Epidemiology of hepatocellular carci</w:t>
      </w:r>
      <w:r>
        <w:rPr>
          <w:rFonts w:ascii="Book Antiqua" w:eastAsia="Book Antiqua" w:hAnsi="Book Antiqua" w:cs="Book Antiqua"/>
          <w:color w:val="000000"/>
        </w:rPr>
        <w:t xml:space="preserve">noma: target population for surveillance and diagnosis.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13-25 [PMID: 28647765 DOI: 10.1007/s00261-017-1209-1]</w:t>
      </w:r>
    </w:p>
    <w:p w14:paraId="25BF754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Chung W</w:t>
      </w:r>
      <w:r>
        <w:rPr>
          <w:rFonts w:ascii="Book Antiqua" w:eastAsia="Book Antiqua" w:hAnsi="Book Antiqua" w:cs="Book Antiqua"/>
          <w:color w:val="000000"/>
        </w:rPr>
        <w:t xml:space="preserve">, Kim M, de la Monte S, Longato L, Carlson R, Slagle BL, Dong X, Wands JR. Activation of signal transduction </w:t>
      </w:r>
      <w:r>
        <w:rPr>
          <w:rFonts w:ascii="Book Antiqua" w:eastAsia="Book Antiqua" w:hAnsi="Book Antiqua" w:cs="Book Antiqua"/>
          <w:color w:val="000000"/>
        </w:rPr>
        <w:t xml:space="preserve">pathways during hepatic oncogenesis.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370</w:t>
      </w:r>
      <w:r>
        <w:rPr>
          <w:rFonts w:ascii="Book Antiqua" w:eastAsia="Book Antiqua" w:hAnsi="Book Antiqua" w:cs="Book Antiqua"/>
          <w:color w:val="000000"/>
        </w:rPr>
        <w:t>: 1-9 [PMID: 26433160 DOI: 10.1016/j.canlet.2015.09.016]</w:t>
      </w:r>
    </w:p>
    <w:p w14:paraId="3D03F02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Lin YH</w:t>
      </w:r>
      <w:r>
        <w:rPr>
          <w:rFonts w:ascii="Book Antiqua" w:eastAsia="Book Antiqua" w:hAnsi="Book Antiqua" w:cs="Book Antiqua"/>
          <w:color w:val="000000"/>
        </w:rPr>
        <w:t xml:space="preserve">, Wu MH, Yeh CT, Lin KH. Long Non-Coding RNAs as Mediators of Tumor Microenvironment and Liver Cancer Cell Communication. </w:t>
      </w:r>
      <w:r>
        <w:rPr>
          <w:rFonts w:ascii="Book Antiqua" w:eastAsia="Book Antiqua" w:hAnsi="Book Antiqua" w:cs="Book Antiqua"/>
          <w:i/>
          <w:iCs/>
          <w:color w:val="000000"/>
        </w:rPr>
        <w:t>Int J Mol S</w:t>
      </w:r>
      <w:r>
        <w:rPr>
          <w:rFonts w:ascii="Book Antiqua" w:eastAsia="Book Antiqua" w:hAnsi="Book Antiqua" w:cs="Book Antiqua"/>
          <w:i/>
          <w:iCs/>
          <w:color w:val="000000"/>
        </w:rPr>
        <w:t>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30477236 DOI: 10.3390/ijms19123742]</w:t>
      </w:r>
    </w:p>
    <w:p w14:paraId="5B1FDDB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Qin Y</w:t>
      </w:r>
      <w:r>
        <w:rPr>
          <w:rFonts w:ascii="Book Antiqua" w:eastAsia="Book Antiqua" w:hAnsi="Book Antiqua" w:cs="Book Antiqua"/>
          <w:color w:val="000000"/>
        </w:rPr>
        <w:t xml:space="preserve">, Liao P. Hepatitis B virus vaccine breakthrough infection: surveillance of S gene mutants of HBV. </w:t>
      </w:r>
      <w:r>
        <w:rPr>
          <w:rFonts w:ascii="Book Antiqua" w:eastAsia="Book Antiqua" w:hAnsi="Book Antiqua" w:cs="Book Antiqua"/>
          <w:i/>
          <w:iCs/>
          <w:color w:val="000000"/>
        </w:rPr>
        <w:t>Acta Virol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115-121 [PMID: 29895151 DOI: 10.4149/av_2018_210]</w:t>
      </w:r>
    </w:p>
    <w:p w14:paraId="708939A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Zhou B</w:t>
      </w:r>
      <w:r>
        <w:rPr>
          <w:rFonts w:ascii="Book Antiqua" w:eastAsia="Book Antiqua" w:hAnsi="Book Antiqua" w:cs="Book Antiqua"/>
          <w:color w:val="000000"/>
        </w:rPr>
        <w:t xml:space="preserve">, Zhan H, Tin L, Liu S, Xu J, Dong Y, Li X, Wu L, Guo W. TUFT1 regulates metastasis of pancreatic cancer through HIF1-Snail pathway induced epithelial-mesenchymal transition.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382</w:t>
      </w:r>
      <w:r>
        <w:rPr>
          <w:rFonts w:ascii="Book Antiqua" w:eastAsia="Book Antiqua" w:hAnsi="Book Antiqua" w:cs="Book Antiqua"/>
          <w:color w:val="000000"/>
        </w:rPr>
        <w:t>: 11-20 [PMID: 27566398 DOI: 10.1016/j.canlet.2016.08.017]</w:t>
      </w:r>
    </w:p>
    <w:p w14:paraId="5B76824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1</w:t>
      </w:r>
      <w:r>
        <w:rPr>
          <w:rFonts w:ascii="Book Antiqua" w:eastAsia="Book Antiqua" w:hAnsi="Book Antiqua" w:cs="Book Antiqua"/>
          <w:color w:val="000000"/>
        </w:rPr>
        <w:t xml:space="preserve">1 </w:t>
      </w:r>
      <w:r>
        <w:rPr>
          <w:rFonts w:ascii="Book Antiqua" w:eastAsia="Book Antiqua" w:hAnsi="Book Antiqua" w:cs="Book Antiqua"/>
          <w:b/>
          <w:bCs/>
          <w:color w:val="000000"/>
        </w:rPr>
        <w:t>Liu W</w:t>
      </w:r>
      <w:r>
        <w:rPr>
          <w:rFonts w:ascii="Book Antiqua" w:eastAsia="Book Antiqua" w:hAnsi="Book Antiqua" w:cs="Book Antiqua"/>
          <w:color w:val="000000"/>
        </w:rPr>
        <w:t xml:space="preserve">, Chen G, Sun L, Zhang Y, Han J, Dai Y, He J, Shi S, Chen B. TUFT1 Promotes Triple Negative Breast Cancer Metastasis, Stemness, and Chemoresistance by Up-Regulating the Rac1/β-Catenin Pathway.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617 [PMID: 31338333 DOI: 10.3389/fo</w:t>
      </w:r>
      <w:r>
        <w:rPr>
          <w:rFonts w:ascii="Book Antiqua" w:eastAsia="Book Antiqua" w:hAnsi="Book Antiqua" w:cs="Book Antiqua"/>
          <w:color w:val="000000"/>
        </w:rPr>
        <w:t>nc.2019.00617]</w:t>
      </w:r>
    </w:p>
    <w:p w14:paraId="6C70D54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Delgado S</w:t>
      </w:r>
      <w:r>
        <w:rPr>
          <w:rFonts w:ascii="Book Antiqua" w:eastAsia="Book Antiqua" w:hAnsi="Book Antiqua" w:cs="Book Antiqua"/>
          <w:color w:val="000000"/>
        </w:rPr>
        <w:t xml:space="preserve">, Deutsch D, Sire JY. Evolutionary Analysis of the Mammalian Tuftelin Sequence Reveals Features of Functional Importance. </w:t>
      </w:r>
      <w:r>
        <w:rPr>
          <w:rFonts w:ascii="Book Antiqua" w:eastAsia="Book Antiqua" w:hAnsi="Book Antiqua" w:cs="Book Antiqua"/>
          <w:i/>
          <w:iCs/>
          <w:color w:val="000000"/>
        </w:rPr>
        <w:t>J Mol Evol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84</w:t>
      </w:r>
      <w:r>
        <w:rPr>
          <w:rFonts w:ascii="Book Antiqua" w:eastAsia="Book Antiqua" w:hAnsi="Book Antiqua" w:cs="Book Antiqua"/>
          <w:color w:val="000000"/>
        </w:rPr>
        <w:t>: 214-224 [PMID: 28409196 DOI: 10.1007/s00239-017-9789-5]</w:t>
      </w:r>
    </w:p>
    <w:p w14:paraId="3FB3E05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Liu W</w:t>
      </w:r>
      <w:r>
        <w:rPr>
          <w:rFonts w:ascii="Book Antiqua" w:eastAsia="Book Antiqua" w:hAnsi="Book Antiqua" w:cs="Book Antiqua"/>
          <w:color w:val="000000"/>
        </w:rPr>
        <w:t>, Zhang L, Jin Z, Zhao</w:t>
      </w:r>
      <w:r>
        <w:rPr>
          <w:rFonts w:ascii="Book Antiqua" w:eastAsia="Book Antiqua" w:hAnsi="Book Antiqua" w:cs="Book Antiqua"/>
          <w:color w:val="000000"/>
        </w:rPr>
        <w:t xml:space="preserve"> M, Li Z, Chen G, Sun L, Chen B. TUFT1 is expressed in breast cancer and involved in cancer cell proliferation and survival.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74962-74974 [PMID: 29088838 DOI: 10.18632/oncotarget.20472]</w:t>
      </w:r>
    </w:p>
    <w:p w14:paraId="72B121E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Liu H</w:t>
      </w:r>
      <w:r>
        <w:rPr>
          <w:rFonts w:ascii="Book Antiqua" w:eastAsia="Book Antiqua" w:hAnsi="Book Antiqua" w:cs="Book Antiqua"/>
          <w:color w:val="000000"/>
        </w:rPr>
        <w:t>, Zhu J, Mao Z, Zhang G, Hu X, Chen F. Tuft</w:t>
      </w:r>
      <w:r>
        <w:rPr>
          <w:rFonts w:ascii="Book Antiqua" w:eastAsia="Book Antiqua" w:hAnsi="Book Antiqua" w:cs="Book Antiqua"/>
          <w:color w:val="000000"/>
        </w:rPr>
        <w:t xml:space="preserve">1 promotes thyroid carcinoma cell invasion and proliferation and suppresses apoptosis through the Akt-mTOR/GSK3β signaling pathway. </w:t>
      </w:r>
      <w:r>
        <w:rPr>
          <w:rFonts w:ascii="Book Antiqua" w:eastAsia="Book Antiqua" w:hAnsi="Book Antiqua" w:cs="Book Antiqua"/>
          <w:i/>
          <w:iCs/>
          <w:color w:val="000000"/>
        </w:rPr>
        <w:t>Am J Transl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4376-4384 [PMID: 30662679]</w:t>
      </w:r>
    </w:p>
    <w:p w14:paraId="106F31C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Shilo D</w:t>
      </w:r>
      <w:r>
        <w:rPr>
          <w:rFonts w:ascii="Book Antiqua" w:eastAsia="Book Antiqua" w:hAnsi="Book Antiqua" w:cs="Book Antiqua"/>
          <w:color w:val="000000"/>
        </w:rPr>
        <w:t>, Cohen G, Blumenfeld A, Goren K, Hanhan S, Sharon S, Haze A,</w:t>
      </w:r>
      <w:r>
        <w:rPr>
          <w:rFonts w:ascii="Book Antiqua" w:eastAsia="Book Antiqua" w:hAnsi="Book Antiqua" w:cs="Book Antiqua"/>
          <w:color w:val="000000"/>
        </w:rPr>
        <w:t xml:space="preserve"> Deutsch D, Lazarovici P. Tuftelin Is Required for NGF-Induced Differentiation of PC12 Cells. </w:t>
      </w:r>
      <w:r>
        <w:rPr>
          <w:rFonts w:ascii="Book Antiqua" w:eastAsia="Book Antiqua" w:hAnsi="Book Antiqua" w:cs="Book Antiqua"/>
          <w:i/>
          <w:iCs/>
          <w:color w:val="000000"/>
        </w:rPr>
        <w:t>J Mol Neurosci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135-143 [PMID: 30903486 DOI: 10.1007/s12031-019-01292-1]</w:t>
      </w:r>
    </w:p>
    <w:p w14:paraId="14D6620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Kawasaki N</w:t>
      </w:r>
      <w:r>
        <w:rPr>
          <w:rFonts w:ascii="Book Antiqua" w:eastAsia="Book Antiqua" w:hAnsi="Book Antiqua" w:cs="Book Antiqua"/>
          <w:color w:val="000000"/>
        </w:rPr>
        <w:t xml:space="preserve">, Isogaya K, Dan S, Yamori T, Takano H, Yao R, Morishita Y, Taguchi L, Morikawa M, Heldin CH, Noda T, Ehata S, Miyazono K, Koinuma D. TUFT1 interacts with RABGAP1 and regulates mTORC1 signaling. </w:t>
      </w:r>
      <w:r>
        <w:rPr>
          <w:rFonts w:ascii="Book Antiqua" w:eastAsia="Book Antiqua" w:hAnsi="Book Antiqua" w:cs="Book Antiqua"/>
          <w:i/>
          <w:iCs/>
          <w:color w:val="000000"/>
        </w:rPr>
        <w:t>Cell Discov</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 [PMID: 29423269 DOI: 10.1038/s41421-01</w:t>
      </w:r>
      <w:r>
        <w:rPr>
          <w:rFonts w:ascii="Book Antiqua" w:eastAsia="Book Antiqua" w:hAnsi="Book Antiqua" w:cs="Book Antiqua"/>
          <w:color w:val="000000"/>
        </w:rPr>
        <w:t>7-0001-2]</w:t>
      </w:r>
    </w:p>
    <w:p w14:paraId="7F7ACD1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Ma C</w:t>
      </w:r>
      <w:r>
        <w:rPr>
          <w:rFonts w:ascii="Book Antiqua" w:eastAsia="Book Antiqua" w:hAnsi="Book Antiqua" w:cs="Book Antiqua"/>
          <w:color w:val="000000"/>
        </w:rPr>
        <w:t xml:space="preserve">, Nie ZK, Guo HM, Kong Y. MiR-671-5p plays a promising role in restraining osteosarcoma cell characteristics through targeting TUFT1. </w:t>
      </w:r>
      <w:r>
        <w:rPr>
          <w:rFonts w:ascii="Book Antiqua" w:eastAsia="Book Antiqua" w:hAnsi="Book Antiqua" w:cs="Book Antiqua"/>
          <w:i/>
          <w:iCs/>
          <w:color w:val="000000"/>
        </w:rPr>
        <w:t>J Biochem Mol Toxicol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e22490 [PMID: 32115852 DOI: 10.1002/jbt.22490]</w:t>
      </w:r>
    </w:p>
    <w:p w14:paraId="251A56C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Dou C</w:t>
      </w:r>
      <w:r>
        <w:rPr>
          <w:rFonts w:ascii="Book Antiqua" w:eastAsia="Book Antiqua" w:hAnsi="Book Antiqua" w:cs="Book Antiqua"/>
          <w:color w:val="000000"/>
        </w:rPr>
        <w:t>, Zhou Z, Xu Q, Li</w:t>
      </w:r>
      <w:r>
        <w:rPr>
          <w:rFonts w:ascii="Book Antiqua" w:eastAsia="Book Antiqua" w:hAnsi="Book Antiqua" w:cs="Book Antiqua"/>
          <w:color w:val="000000"/>
        </w:rPr>
        <w:t>u Z, Zeng Y, Wang Y, Li Q, Wang L, Yang W, Liu Q, Tu K. Hypoxia-induced TUFT1 promotes the growth and metastasis of hepatocellular carcinoma by activating the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/PI3K/AKT pathway.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1239-1255 [PMID: 30250300 DOI: 10.1038/s41388-018-0505-</w:t>
      </w:r>
      <w:r>
        <w:rPr>
          <w:rFonts w:ascii="Book Antiqua" w:eastAsia="Book Antiqua" w:hAnsi="Book Antiqua" w:cs="Book Antiqua"/>
          <w:color w:val="000000"/>
        </w:rPr>
        <w:t>8]</w:t>
      </w:r>
    </w:p>
    <w:p w14:paraId="7E7EDF8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Qin Y</w:t>
      </w:r>
      <w:r>
        <w:rPr>
          <w:rFonts w:ascii="Book Antiqua" w:eastAsia="Book Antiqua" w:hAnsi="Book Antiqua" w:cs="Book Antiqua"/>
          <w:color w:val="000000"/>
        </w:rPr>
        <w:t xml:space="preserve">, Liu HJ, Li M, Zhai DH, Tang YH, Yang L, Qiao KL, Yang JH, Zhong WL, Zhang Q, Liu YR, Yang G, Sun T, Yang C. Salidroside improves the hypoxic tumor microenvironment and reverses the drug resistance of platinum drugs </w:t>
      </w:r>
      <w:r>
        <w:rPr>
          <w:rFonts w:ascii="Book Antiqua" w:eastAsia="Book Antiqua" w:hAnsi="Book Antiqua" w:cs="Book Antiqua"/>
          <w:i/>
          <w:iCs/>
          <w:color w:val="000000"/>
        </w:rPr>
        <w:t>via</w:t>
      </w:r>
      <w:r>
        <w:rPr>
          <w:rFonts w:ascii="Book Antiqua" w:eastAsia="Book Antiqua" w:hAnsi="Book Antiqua" w:cs="Book Antiqua"/>
          <w:color w:val="000000"/>
        </w:rPr>
        <w:t xml:space="preserve"> HIF-1α signaling pathway. </w:t>
      </w:r>
      <w:r>
        <w:rPr>
          <w:rFonts w:ascii="Book Antiqua" w:eastAsia="Book Antiqua" w:hAnsi="Book Antiqua" w:cs="Book Antiqua"/>
          <w:i/>
          <w:iCs/>
          <w:color w:val="000000"/>
        </w:rPr>
        <w:t>EBioMedic</w:t>
      </w:r>
      <w:r>
        <w:rPr>
          <w:rFonts w:ascii="Book Antiqua" w:eastAsia="Book Antiqua" w:hAnsi="Book Antiqua" w:cs="Book Antiqua"/>
          <w:i/>
          <w:iCs/>
          <w:color w:val="000000"/>
        </w:rPr>
        <w:t>ine</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25-36 [PMID: 30396856 DOI: 10.1016/j.ebiom.2018.10.069]</w:t>
      </w:r>
    </w:p>
    <w:p w14:paraId="6452782A"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Li ZJ</w:t>
      </w:r>
      <w:r>
        <w:rPr>
          <w:rFonts w:ascii="Book Antiqua" w:eastAsia="Book Antiqua" w:hAnsi="Book Antiqua" w:cs="Book Antiqua"/>
          <w:color w:val="000000"/>
        </w:rPr>
        <w:t xml:space="preserve">, Li JS, Li DY, Pu T. [Effect of TUTF1 expression on the proliferation, apoptosis and prognosis of hepatocellular carcinoma cells]. </w:t>
      </w:r>
      <w:r>
        <w:rPr>
          <w:rFonts w:ascii="Book Antiqua" w:eastAsia="Book Antiqua" w:hAnsi="Book Antiqua" w:cs="Book Antiqua"/>
          <w:i/>
          <w:iCs/>
          <w:color w:val="000000"/>
        </w:rPr>
        <w:t>Zhonghua Gan Zang Bing Za Zhi</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879-88</w:t>
      </w:r>
      <w:r>
        <w:rPr>
          <w:rFonts w:ascii="Book Antiqua" w:eastAsia="Book Antiqua" w:hAnsi="Book Antiqua" w:cs="Book Antiqua"/>
          <w:color w:val="000000"/>
        </w:rPr>
        <w:t>4 [PMID: 31941243 DOI: 10.3760/cma.j.issn.1007-3418.2019.11.011]</w:t>
      </w:r>
    </w:p>
    <w:p w14:paraId="4AD8C49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Tang Z</w:t>
      </w:r>
      <w:r>
        <w:rPr>
          <w:rFonts w:ascii="Book Antiqua" w:eastAsia="Book Antiqua" w:hAnsi="Book Antiqua" w:cs="Book Antiqua"/>
          <w:color w:val="000000"/>
        </w:rPr>
        <w:t xml:space="preserve">, Li C, Kang B, Gao G, Li C, Zhang Z. GEPIA: a web server for cancer and normal gene expression profiling and interactive analyses.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W98-W102 [PMID: 284071</w:t>
      </w:r>
      <w:r>
        <w:rPr>
          <w:rFonts w:ascii="Book Antiqua" w:eastAsia="Book Antiqua" w:hAnsi="Book Antiqua" w:cs="Book Antiqua"/>
          <w:color w:val="000000"/>
        </w:rPr>
        <w:t>45 DOI: 10.1093/nar/gkx247]</w:t>
      </w:r>
    </w:p>
    <w:p w14:paraId="78FAACD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Xie DY</w:t>
      </w:r>
      <w:r>
        <w:rPr>
          <w:rFonts w:ascii="Book Antiqua" w:eastAsia="Book Antiqua" w:hAnsi="Book Antiqua" w:cs="Book Antiqua"/>
          <w:color w:val="000000"/>
        </w:rPr>
        <w:t xml:space="preserve">, Ren ZG, Zhou J, Fan J, Gao Q. 2019 Chinese clinical guidelines for the management of hepatocellular carcinoma: updates and insights. </w:t>
      </w:r>
      <w:r>
        <w:rPr>
          <w:rFonts w:ascii="Book Antiqua" w:eastAsia="Book Antiqua" w:hAnsi="Book Antiqua" w:cs="Book Antiqua"/>
          <w:i/>
          <w:iCs/>
          <w:color w:val="000000"/>
        </w:rPr>
        <w:t>Hepatobiliary Surg Nutr</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452-463 [PMID: 32832496 DOI: 10.21037/hbsn-20-480]</w:t>
      </w:r>
    </w:p>
    <w:p w14:paraId="43C4D79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Mao Z</w:t>
      </w:r>
      <w:r>
        <w:rPr>
          <w:rFonts w:ascii="Book Antiqua" w:eastAsia="Book Antiqua" w:hAnsi="Book Antiqua" w:cs="Book Antiqua"/>
          <w:color w:val="000000"/>
        </w:rPr>
        <w:t xml:space="preserve">, Shay B, Hekmati M, Fermon E, Taylor A, Dafni L, Heikinheimo K, Lustmann J, Fisher LW, Young MF, Deutsch D. The human tuftelin gene: cloning and characterization. </w:t>
      </w:r>
      <w:r>
        <w:rPr>
          <w:rFonts w:ascii="Book Antiqua" w:eastAsia="Book Antiqua" w:hAnsi="Book Antiqua" w:cs="Book Antiqua"/>
          <w:i/>
          <w:iCs/>
          <w:color w:val="000000"/>
        </w:rPr>
        <w:t>Gene</w:t>
      </w:r>
      <w:r>
        <w:rPr>
          <w:rFonts w:ascii="Book Antiqua" w:eastAsia="Book Antiqua" w:hAnsi="Book Antiqua" w:cs="Book Antiqua"/>
          <w:color w:val="000000"/>
        </w:rPr>
        <w:t xml:space="preserve"> 2001; </w:t>
      </w:r>
      <w:r>
        <w:rPr>
          <w:rFonts w:ascii="Book Antiqua" w:eastAsia="Book Antiqua" w:hAnsi="Book Antiqua" w:cs="Book Antiqua"/>
          <w:b/>
          <w:bCs/>
          <w:color w:val="000000"/>
        </w:rPr>
        <w:t>279</w:t>
      </w:r>
      <w:r>
        <w:rPr>
          <w:rFonts w:ascii="Book Antiqua" w:eastAsia="Book Antiqua" w:hAnsi="Book Antiqua" w:cs="Book Antiqua"/>
          <w:color w:val="000000"/>
        </w:rPr>
        <w:t>: 181-196 [PMID: 11733143 DOI: 10.1016/s0378-1119(01)00749-1]</w:t>
      </w:r>
    </w:p>
    <w:p w14:paraId="718EC97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 xml:space="preserve">Fang </w:t>
      </w:r>
      <w:r>
        <w:rPr>
          <w:rFonts w:ascii="Book Antiqua" w:eastAsia="Book Antiqua" w:hAnsi="Book Antiqua" w:cs="Book Antiqua"/>
          <w:b/>
          <w:bCs/>
          <w:color w:val="000000"/>
        </w:rPr>
        <w:t>M</w:t>
      </w:r>
      <w:r>
        <w:rPr>
          <w:rFonts w:ascii="Book Antiqua" w:eastAsia="Book Antiqua" w:hAnsi="Book Antiqua" w:cs="Book Antiqua"/>
          <w:color w:val="000000"/>
        </w:rPr>
        <w:t xml:space="preserve">, Yao M, Yang J, Zheng WJ, Wang L, Yao DF. Abnormal CD44 activation of hepatocytes with nonalcoholic fatty accumulation in rat hepatocarcinogenesis.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66-76 [PMID: 31966914 DOI: 10.4251/wjgo.v12.i1.66]</w:t>
      </w:r>
    </w:p>
    <w:p w14:paraId="0DD2BFE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Qian J</w:t>
      </w:r>
      <w:r>
        <w:rPr>
          <w:rFonts w:ascii="Book Antiqua" w:eastAsia="Book Antiqua" w:hAnsi="Book Antiqua" w:cs="Book Antiqua"/>
          <w:color w:val="000000"/>
        </w:rPr>
        <w:t xml:space="preserve">, Yao D, </w:t>
      </w:r>
      <w:r>
        <w:rPr>
          <w:rFonts w:ascii="Book Antiqua" w:eastAsia="Book Antiqua" w:hAnsi="Book Antiqua" w:cs="Book Antiqua"/>
          <w:color w:val="000000"/>
        </w:rPr>
        <w:t xml:space="preserve">Dong Z, Wu W, Qiu L, Yao N, Li S, Bian Y, Wang Z, Shi G. Characteristics of hepatic igf-ii expression and monitored levels of circulating igf-ii mRNA in metastasis of hepatocellular carcinoma. </w:t>
      </w:r>
      <w:r>
        <w:rPr>
          <w:rFonts w:ascii="Book Antiqua" w:eastAsia="Book Antiqua" w:hAnsi="Book Antiqua" w:cs="Book Antiqua"/>
          <w:i/>
          <w:iCs/>
          <w:color w:val="000000"/>
        </w:rPr>
        <w:t>Am J Clin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134</w:t>
      </w:r>
      <w:r>
        <w:rPr>
          <w:rFonts w:ascii="Book Antiqua" w:eastAsia="Book Antiqua" w:hAnsi="Book Antiqua" w:cs="Book Antiqua"/>
          <w:color w:val="000000"/>
        </w:rPr>
        <w:t>: 799-806 [PMID: 20959664 DOI: 10.130</w:t>
      </w:r>
      <w:r>
        <w:rPr>
          <w:rFonts w:ascii="Book Antiqua" w:eastAsia="Book Antiqua" w:hAnsi="Book Antiqua" w:cs="Book Antiqua"/>
          <w:color w:val="000000"/>
        </w:rPr>
        <w:t>9/AJCPTFDSE2V3LCZP]</w:t>
      </w:r>
    </w:p>
    <w:p w14:paraId="6917EDA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Tierney JF</w:t>
      </w:r>
      <w:r>
        <w:rPr>
          <w:rFonts w:ascii="Book Antiqua" w:eastAsia="Book Antiqua" w:hAnsi="Book Antiqua" w:cs="Book Antiqua"/>
          <w:color w:val="000000"/>
        </w:rPr>
        <w:t xml:space="preserve">, Stewart LA, Ghersi D, Burdett S, Sydes MR. Practical methods for incorporating summary time-to-event data into meta-analysis. </w:t>
      </w:r>
      <w:r>
        <w:rPr>
          <w:rFonts w:ascii="Book Antiqua" w:eastAsia="Book Antiqua" w:hAnsi="Book Antiqua" w:cs="Book Antiqua"/>
          <w:i/>
          <w:iCs/>
          <w:color w:val="000000"/>
        </w:rPr>
        <w:t>Trials</w:t>
      </w:r>
      <w:r>
        <w:rPr>
          <w:rFonts w:ascii="Book Antiqua" w:eastAsia="Book Antiqua" w:hAnsi="Book Antiqua" w:cs="Book Antiqua"/>
          <w:color w:val="000000"/>
        </w:rPr>
        <w:t xml:space="preserve"> 2007; </w:t>
      </w:r>
      <w:r>
        <w:rPr>
          <w:rFonts w:ascii="Book Antiqua" w:eastAsia="Book Antiqua" w:hAnsi="Book Antiqua" w:cs="Book Antiqua"/>
          <w:b/>
          <w:bCs/>
          <w:color w:val="000000"/>
        </w:rPr>
        <w:t>8</w:t>
      </w:r>
      <w:r>
        <w:rPr>
          <w:rFonts w:ascii="Book Antiqua" w:eastAsia="Book Antiqua" w:hAnsi="Book Antiqua" w:cs="Book Antiqua"/>
          <w:color w:val="000000"/>
        </w:rPr>
        <w:t>: 16 [PMID: 17555582 DOI: 10.1186/1745-6215-8-16]</w:t>
      </w:r>
    </w:p>
    <w:p w14:paraId="56062F5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w:t>
      </w:r>
      <w:r>
        <w:rPr>
          <w:rFonts w:ascii="Book Antiqua" w:eastAsia="Book Antiqua" w:hAnsi="Book Antiqua" w:cs="Book Antiqua"/>
          <w:color w:val="000000"/>
        </w:rPr>
        <w:t xml:space="preserve">A. Cancer statistics, 2019.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7-34 [PMID: 30620402 DOI: 10.3322/caac.21551]</w:t>
      </w:r>
    </w:p>
    <w:p w14:paraId="4652CB2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Kanda T</w:t>
      </w:r>
      <w:r>
        <w:rPr>
          <w:rFonts w:ascii="Book Antiqua" w:eastAsia="Book Antiqua" w:hAnsi="Book Antiqua" w:cs="Book Antiqua"/>
          <w:color w:val="000000"/>
        </w:rPr>
        <w:t>, Goto T, Hirotsu Y, Moriyama M, Omata M. Molecular Mechanisms Driving Progression of Liver Cirrhosis towards Hepatocellular Carcinoma in Chronic</w:t>
      </w:r>
      <w:r>
        <w:rPr>
          <w:rFonts w:ascii="Book Antiqua" w:eastAsia="Book Antiqua" w:hAnsi="Book Antiqua" w:cs="Book Antiqua"/>
          <w:color w:val="000000"/>
        </w:rPr>
        <w:t xml:space="preserve"> Hepatitis B and C Infections: A Review.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30889843 DOI: 10.3390/ijms]</w:t>
      </w:r>
    </w:p>
    <w:p w14:paraId="7147CFD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Januszyk P</w:t>
      </w:r>
      <w:r>
        <w:rPr>
          <w:rFonts w:ascii="Book Antiqua" w:eastAsia="Book Antiqua" w:hAnsi="Book Antiqua" w:cs="Book Antiqua"/>
          <w:color w:val="000000"/>
        </w:rPr>
        <w:t xml:space="preserve">, Januszyk K, Wierzbik-Strońska M, Boroń D, Grabarek B. Analysis of the differences in the Expression of mRNAs and miRNAs Asso-ciated with Drug Resistance in Endometrial Cancer Cells Treated with Salinomycin. </w:t>
      </w:r>
      <w:r>
        <w:rPr>
          <w:rFonts w:ascii="Book Antiqua" w:eastAsia="Book Antiqua" w:hAnsi="Book Antiqua" w:cs="Book Antiqua"/>
          <w:i/>
          <w:iCs/>
          <w:color w:val="000000"/>
        </w:rPr>
        <w:t>Curr Pharm Biotechnol</w:t>
      </w:r>
      <w:r>
        <w:rPr>
          <w:rFonts w:ascii="Book Antiqua" w:eastAsia="Book Antiqua" w:hAnsi="Book Antiqua" w:cs="Book Antiqua"/>
          <w:color w:val="000000"/>
        </w:rPr>
        <w:t xml:space="preserve"> 2020 [PMID: 32598254 DOI:</w:t>
      </w:r>
      <w:r>
        <w:rPr>
          <w:rFonts w:ascii="Book Antiqua" w:eastAsia="Book Antiqua" w:hAnsi="Book Antiqua" w:cs="Book Antiqua"/>
          <w:color w:val="000000"/>
        </w:rPr>
        <w:t xml:space="preserve"> 10.2174/1389201021666200629151008]</w:t>
      </w:r>
    </w:p>
    <w:p w14:paraId="6AFD219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Dou C</w:t>
      </w:r>
      <w:r>
        <w:rPr>
          <w:rFonts w:ascii="Book Antiqua" w:eastAsia="Book Antiqua" w:hAnsi="Book Antiqua" w:cs="Book Antiqua"/>
          <w:color w:val="000000"/>
        </w:rPr>
        <w:t xml:space="preserve">, Sun L, Wang L, Cheng J, Wu W, Zhang C, Xu Q, Tu K, Liu J. Bromodomain-containing protein 9 promotes the growth and metastasis of human hepatocellular carcinoma by activating the TUFT1/AKT pathway. </w:t>
      </w:r>
      <w:r>
        <w:rPr>
          <w:rFonts w:ascii="Book Antiqua" w:eastAsia="Book Antiqua" w:hAnsi="Book Antiqua" w:cs="Book Antiqua"/>
          <w:i/>
          <w:iCs/>
          <w:color w:val="000000"/>
        </w:rPr>
        <w:t>Cell Death Di</w:t>
      </w:r>
      <w:r>
        <w:rPr>
          <w:rFonts w:ascii="Book Antiqua" w:eastAsia="Book Antiqua" w:hAnsi="Book Antiqua" w:cs="Book Antiqua"/>
          <w:i/>
          <w:iCs/>
          <w:color w:val="000000"/>
        </w:rPr>
        <w: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730 [PMID: 32908135 DOI: 10.1038/s41419-020-02943-7]</w:t>
      </w:r>
    </w:p>
    <w:p w14:paraId="0BFE06B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Bobek J</w:t>
      </w:r>
      <w:r>
        <w:rPr>
          <w:rFonts w:ascii="Book Antiqua" w:eastAsia="Book Antiqua" w:hAnsi="Book Antiqua" w:cs="Book Antiqua"/>
          <w:color w:val="000000"/>
        </w:rPr>
        <w:t xml:space="preserve">, Oralova V, Kratochvilova A, Zvackova I, Lesot H, Matalova E. Tuftelin and HIFs expression in osteogenesis. </w:t>
      </w:r>
      <w:r>
        <w:rPr>
          <w:rFonts w:ascii="Book Antiqua" w:eastAsia="Book Antiqua" w:hAnsi="Book Antiqua" w:cs="Book Antiqua"/>
          <w:i/>
          <w:iCs/>
          <w:color w:val="000000"/>
        </w:rPr>
        <w:t>Histochem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152</w:t>
      </w:r>
      <w:r>
        <w:rPr>
          <w:rFonts w:ascii="Book Antiqua" w:eastAsia="Book Antiqua" w:hAnsi="Book Antiqua" w:cs="Book Antiqua"/>
          <w:color w:val="000000"/>
        </w:rPr>
        <w:t>: 355-363 [PMID: 31520138 DOI: 10.1007/s004</w:t>
      </w:r>
      <w:r>
        <w:rPr>
          <w:rFonts w:ascii="Book Antiqua" w:eastAsia="Book Antiqua" w:hAnsi="Book Antiqua" w:cs="Book Antiqua"/>
          <w:color w:val="000000"/>
        </w:rPr>
        <w:t>18-019-01813-4]</w:t>
      </w:r>
    </w:p>
    <w:p w14:paraId="2B53FC7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Shilo D</w:t>
      </w:r>
      <w:r>
        <w:rPr>
          <w:rFonts w:ascii="Book Antiqua" w:eastAsia="Book Antiqua" w:hAnsi="Book Antiqua" w:cs="Book Antiqua"/>
          <w:color w:val="000000"/>
        </w:rPr>
        <w:t xml:space="preserve">, Blumenfeld A, Haze A, Sharon S, Goren K, Hanhan S, Gruenbaum-Cohen Y, Ornoy A, Deutsch D. Tuftelin's involvement in embryonic development. </w:t>
      </w:r>
      <w:r>
        <w:rPr>
          <w:rFonts w:ascii="Book Antiqua" w:eastAsia="Book Antiqua" w:hAnsi="Book Antiqua" w:cs="Book Antiqua"/>
          <w:i/>
          <w:iCs/>
          <w:color w:val="000000"/>
        </w:rPr>
        <w:t>J Exp Zool B Mol Dev Evol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332</w:t>
      </w:r>
      <w:r>
        <w:rPr>
          <w:rFonts w:ascii="Book Antiqua" w:eastAsia="Book Antiqua" w:hAnsi="Book Antiqua" w:cs="Book Antiqua"/>
          <w:color w:val="000000"/>
        </w:rPr>
        <w:t>: 125-135 [PMID: 31045321 DOI: 10.1002/jez.b.22855]</w:t>
      </w:r>
    </w:p>
    <w:p w14:paraId="50080E6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33</w:t>
      </w:r>
      <w:r>
        <w:rPr>
          <w:rFonts w:ascii="Book Antiqua" w:eastAsia="Book Antiqua" w:hAnsi="Book Antiqua" w:cs="Book Antiqua"/>
          <w:color w:val="000000"/>
        </w:rPr>
        <w:t xml:space="preserve"> </w:t>
      </w:r>
      <w:r>
        <w:rPr>
          <w:rFonts w:ascii="Book Antiqua" w:eastAsia="Book Antiqua" w:hAnsi="Book Antiqua" w:cs="Book Antiqua"/>
          <w:b/>
          <w:bCs/>
          <w:color w:val="000000"/>
        </w:rPr>
        <w:t>Dong ZZ</w:t>
      </w:r>
      <w:r>
        <w:rPr>
          <w:rFonts w:ascii="Book Antiqua" w:eastAsia="Book Antiqua" w:hAnsi="Book Antiqua" w:cs="Book Antiqua"/>
          <w:color w:val="000000"/>
        </w:rPr>
        <w:t xml:space="preserve">, Yao M, Wang L, Wu W, Gu X, Yao DF. Hypoxia-inducible factor-1alpha: molecular-targeted therapy for hepatocellular carcinoma. </w:t>
      </w:r>
      <w:r>
        <w:rPr>
          <w:rFonts w:ascii="Book Antiqua" w:eastAsia="Book Antiqua" w:hAnsi="Book Antiqua" w:cs="Book Antiqua"/>
          <w:i/>
          <w:iCs/>
          <w:color w:val="000000"/>
        </w:rPr>
        <w:t>Mini Rev Med Chem</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1295-1304 [PMID: 22512580 DOI: 10.2174/1389557511313090004]</w:t>
      </w:r>
    </w:p>
    <w:p w14:paraId="601C9A3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Li S</w:t>
      </w:r>
      <w:r>
        <w:rPr>
          <w:rFonts w:ascii="Book Antiqua" w:eastAsia="Book Antiqua" w:hAnsi="Book Antiqua" w:cs="Book Antiqua"/>
          <w:color w:val="000000"/>
        </w:rPr>
        <w:t>, Yao D, Wang L, Wu W, Qiu</w:t>
      </w:r>
      <w:r>
        <w:rPr>
          <w:rFonts w:ascii="Book Antiqua" w:eastAsia="Book Antiqua" w:hAnsi="Book Antiqua" w:cs="Book Antiqua"/>
          <w:color w:val="000000"/>
        </w:rPr>
        <w:t xml:space="preserve"> L, Yao M, Yao N, Zhang H, Yu D, Ni Q. Expression characteristics of hypoxia-inducible factor-1α and its clinical values in diagnosis and prognosis of hepatocellular carcinoma. </w:t>
      </w:r>
      <w:r>
        <w:rPr>
          <w:rFonts w:ascii="Book Antiqua" w:eastAsia="Book Antiqua" w:hAnsi="Book Antiqua" w:cs="Book Antiqua"/>
          <w:i/>
          <w:iCs/>
          <w:color w:val="000000"/>
        </w:rPr>
        <w:t>Hepat Mon</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821-828 [PMID: 22224081 DOI: 10.5812/kowsar.1735143X.771]</w:t>
      </w:r>
    </w:p>
    <w:p w14:paraId="44544CC7" w14:textId="77777777" w:rsidR="001154E7" w:rsidRDefault="001154E7">
      <w:pPr>
        <w:adjustRightInd w:val="0"/>
        <w:snapToGrid w:val="0"/>
        <w:spacing w:line="360" w:lineRule="auto"/>
        <w:jc w:val="both"/>
        <w:rPr>
          <w:rFonts w:ascii="Book Antiqua" w:hAnsi="Book Antiqua"/>
        </w:rPr>
        <w:sectPr w:rsidR="001154E7">
          <w:pgSz w:w="12240" w:h="15840"/>
          <w:pgMar w:top="1440" w:right="1440" w:bottom="1440" w:left="1440" w:header="720" w:footer="720" w:gutter="0"/>
          <w:cols w:space="720"/>
          <w:docGrid w:linePitch="360"/>
        </w:sectPr>
      </w:pPr>
    </w:p>
    <w:p w14:paraId="7112353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291B29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 the Affiliated Hospital of Nantong University (TDFY2018-025), China.</w:t>
      </w:r>
    </w:p>
    <w:p w14:paraId="0A7E0D47" w14:textId="77777777" w:rsidR="001154E7" w:rsidRDefault="001154E7">
      <w:pPr>
        <w:adjustRightInd w:val="0"/>
        <w:snapToGrid w:val="0"/>
        <w:spacing w:line="360" w:lineRule="auto"/>
        <w:jc w:val="both"/>
        <w:rPr>
          <w:rFonts w:ascii="Book Antiqua" w:hAnsi="Book Antiqua"/>
        </w:rPr>
      </w:pPr>
    </w:p>
    <w:p w14:paraId="20D000E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Conflict-of-interest statement: </w:t>
      </w:r>
      <w:r>
        <w:rPr>
          <w:rFonts w:ascii="Book Antiqua" w:eastAsia="Book Antiqua" w:hAnsi="Book Antiqua" w:cs="Book Antiqua"/>
          <w:color w:val="000000"/>
        </w:rPr>
        <w:t xml:space="preserve">No benefits in any form have been received or will </w:t>
      </w:r>
      <w:r>
        <w:rPr>
          <w:rFonts w:ascii="Book Antiqua" w:eastAsia="Book Antiqua" w:hAnsi="Book Antiqua" w:cs="Book Antiqua"/>
          <w:color w:val="000000"/>
        </w:rPr>
        <w:t>be received from a commercial party related directly or indirectly to the subject of this article.</w:t>
      </w:r>
    </w:p>
    <w:p w14:paraId="66BFB33F" w14:textId="77777777" w:rsidR="001154E7" w:rsidRDefault="001154E7">
      <w:pPr>
        <w:adjustRightInd w:val="0"/>
        <w:snapToGrid w:val="0"/>
        <w:spacing w:line="360" w:lineRule="auto"/>
        <w:jc w:val="both"/>
        <w:rPr>
          <w:rFonts w:ascii="Book Antiqua" w:hAnsi="Book Antiqua"/>
        </w:rPr>
      </w:pPr>
    </w:p>
    <w:p w14:paraId="634C787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7B63B62" w14:textId="77777777" w:rsidR="001154E7" w:rsidRDefault="001154E7">
      <w:pPr>
        <w:adjustRightInd w:val="0"/>
        <w:snapToGrid w:val="0"/>
        <w:spacing w:line="360" w:lineRule="auto"/>
        <w:jc w:val="both"/>
        <w:rPr>
          <w:rFonts w:ascii="Book Antiqua" w:hAnsi="Book Antiqua"/>
        </w:rPr>
      </w:pPr>
    </w:p>
    <w:p w14:paraId="7510E36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w:t>
      </w:r>
      <w:r>
        <w:rPr>
          <w:rFonts w:ascii="Book Antiqua" w:eastAsia="Book Antiqua" w:hAnsi="Book Antiqua" w:cs="Book Antiqua"/>
          <w:color w:val="000000"/>
        </w:rPr>
        <w:t>ully peer-reviewed by external reviewers. It is distributed in accordance with the Creative Commons Attribution NonCommercial (CC BY-NC 4.0) license, which permits others to distribute, remix, adapt, build upon this work non-commercially, and license their</w:t>
      </w:r>
      <w:r>
        <w:rPr>
          <w:rFonts w:ascii="Book Antiqua" w:eastAsia="Book Antiqua" w:hAnsi="Book Antiqua" w:cs="Book Antiqua"/>
          <w:color w:val="000000"/>
        </w:rPr>
        <w:t xml:space="preserve"> derivative works on different terms, provided the original work is properly cited and the use is non-commercial. See: http://creativecommons.org/Licenses/by-nc/4.0/</w:t>
      </w:r>
    </w:p>
    <w:p w14:paraId="23F01D11" w14:textId="77777777" w:rsidR="001154E7" w:rsidRDefault="001154E7">
      <w:pPr>
        <w:adjustRightInd w:val="0"/>
        <w:snapToGrid w:val="0"/>
        <w:spacing w:line="360" w:lineRule="auto"/>
        <w:jc w:val="both"/>
        <w:rPr>
          <w:rFonts w:ascii="Book Antiqua" w:hAnsi="Book Antiqua"/>
        </w:rPr>
      </w:pPr>
    </w:p>
    <w:p w14:paraId="4D97CF65" w14:textId="77777777" w:rsidR="001154E7" w:rsidRDefault="00ED61B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3FC34B3" w14:textId="77777777" w:rsidR="001154E7" w:rsidRDefault="001154E7">
      <w:pPr>
        <w:adjustRightInd w:val="0"/>
        <w:snapToGrid w:val="0"/>
        <w:spacing w:line="360" w:lineRule="auto"/>
        <w:jc w:val="both"/>
        <w:rPr>
          <w:rFonts w:ascii="Book Antiqua" w:hAnsi="Book Antiqua"/>
        </w:rPr>
      </w:pPr>
    </w:p>
    <w:p w14:paraId="0D7E9D28"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Chinese Society of Gastroenterology, No. 1006110078.</w:t>
      </w:r>
    </w:p>
    <w:p w14:paraId="4D5FD11C" w14:textId="77777777" w:rsidR="001154E7" w:rsidRDefault="001154E7">
      <w:pPr>
        <w:adjustRightInd w:val="0"/>
        <w:snapToGrid w:val="0"/>
        <w:spacing w:line="360" w:lineRule="auto"/>
        <w:jc w:val="both"/>
        <w:rPr>
          <w:rFonts w:ascii="Book Antiqua" w:hAnsi="Book Antiqua"/>
        </w:rPr>
      </w:pPr>
    </w:p>
    <w:p w14:paraId="6FE6073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14, 2020</w:t>
      </w:r>
    </w:p>
    <w:p w14:paraId="66B0E13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2020</w:t>
      </w:r>
    </w:p>
    <w:p w14:paraId="2ABBDE7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451F730" w14:textId="77777777" w:rsidR="001154E7" w:rsidRDefault="001154E7">
      <w:pPr>
        <w:adjustRightInd w:val="0"/>
        <w:snapToGrid w:val="0"/>
        <w:spacing w:line="360" w:lineRule="auto"/>
        <w:jc w:val="both"/>
        <w:rPr>
          <w:rFonts w:ascii="Book Antiqua" w:hAnsi="Book Antiqua"/>
        </w:rPr>
      </w:pPr>
    </w:p>
    <w:p w14:paraId="5784A74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1711590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F9066E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1C7DF0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5BC474E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1AC5757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 C</w:t>
      </w:r>
    </w:p>
    <w:p w14:paraId="2438553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202AB41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214ABEC7" w14:textId="77777777" w:rsidR="001154E7" w:rsidRDefault="001154E7">
      <w:pPr>
        <w:adjustRightInd w:val="0"/>
        <w:snapToGrid w:val="0"/>
        <w:spacing w:line="360" w:lineRule="auto"/>
        <w:jc w:val="both"/>
        <w:rPr>
          <w:rFonts w:ascii="Book Antiqua" w:hAnsi="Book Antiqua"/>
        </w:rPr>
      </w:pPr>
    </w:p>
    <w:p w14:paraId="4B85A086" w14:textId="77777777" w:rsidR="001154E7" w:rsidRDefault="00ED61B9">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Kanda T, Zapater P</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Fil</w:t>
      </w:r>
      <w:r>
        <w:rPr>
          <w:rFonts w:ascii="Book Antiqua" w:eastAsia="Book Antiqua" w:hAnsi="Book Antiqua" w:cs="Book Antiqua"/>
          <w:bCs/>
          <w:color w:val="000000"/>
        </w:rPr>
        <w:t>ipodia</w:t>
      </w:r>
      <w:r>
        <w:rPr>
          <w:rFonts w:ascii="Book Antiqua" w:eastAsia="Book Antiqua" w:hAnsi="Book Antiqua" w:cs="Book Antiqua"/>
          <w:b/>
          <w:color w:val="000000"/>
        </w:rPr>
        <w:t xml:space="preserve"> P-Editor: </w:t>
      </w:r>
    </w:p>
    <w:p w14:paraId="606C126A"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2D0B4F44"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25ECA69E"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02C0B6BF"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362F6B78"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543AA945"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697CA244"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6D6A019D"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16CCC7FE"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49211ABD"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160B98BC"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55EF1021"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4F4AA5CB"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7DC7347C"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5E356DC9"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42C191DC"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17057699"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47A37E9C"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663CF4E5"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4B8BE74F"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51358DAD"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0E8906BC"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39D40874" w14:textId="77777777" w:rsidR="001154E7" w:rsidRDefault="00ED61B9">
      <w:pPr>
        <w:rPr>
          <w:rFonts w:ascii="Book Antiqua" w:eastAsia="Book Antiqua" w:hAnsi="Book Antiqua" w:cs="Book Antiqua"/>
          <w:b/>
          <w:color w:val="000000"/>
        </w:rPr>
      </w:pPr>
      <w:r>
        <w:rPr>
          <w:rFonts w:ascii="Book Antiqua" w:eastAsia="Book Antiqua" w:hAnsi="Book Antiqua" w:cs="Book Antiqua"/>
          <w:b/>
          <w:color w:val="000000"/>
        </w:rPr>
        <w:br w:type="page"/>
      </w:r>
    </w:p>
    <w:p w14:paraId="16551FC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AB12D19"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rPr>
        <w:drawing>
          <wp:inline distT="0" distB="0" distL="0" distR="0" wp14:anchorId="64532228" wp14:editId="645255E2">
            <wp:extent cx="5943600" cy="34969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3496945"/>
                    </a:xfrm>
                    <a:prstGeom prst="rect">
                      <a:avLst/>
                    </a:prstGeom>
                  </pic:spPr>
                </pic:pic>
              </a:graphicData>
            </a:graphic>
          </wp:inline>
        </w:drawing>
      </w:r>
      <w:r>
        <w:rPr>
          <w:rFonts w:ascii="Book Antiqua" w:eastAsia="Book Antiqua" w:hAnsi="Book Antiqua" w:cs="Book Antiqua"/>
          <w:b/>
          <w:bCs/>
          <w:color w:val="000000"/>
        </w:rPr>
        <w:t xml:space="preserve"> </w:t>
      </w:r>
    </w:p>
    <w:p w14:paraId="5A1BF21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Figure 1 Comparative analysis of tuftelin 1 messenger RNA between hepatocellular carcinoma and normal livers based on bioinformatics databases. </w:t>
      </w:r>
      <w:r>
        <w:rPr>
          <w:rFonts w:ascii="Book Antiqua" w:eastAsia="Book Antiqua" w:hAnsi="Book Antiqua" w:cs="Book Antiqua"/>
          <w:color w:val="000000"/>
        </w:rPr>
        <w:t>A: The expression of tuftelin 1 (TUFT1) messenger RNA in the cancerous tissues of hepatocellular carcinoma (HCC)</w:t>
      </w:r>
      <w:r>
        <w:rPr>
          <w:rFonts w:ascii="Book Antiqua" w:eastAsia="Book Antiqua" w:hAnsi="Book Antiqua" w:cs="Book Antiqua"/>
          <w:color w:val="000000"/>
        </w:rPr>
        <w:t xml:space="preserve">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369, red,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and normal liver tissues (</w:t>
      </w:r>
      <w:r>
        <w:rPr>
          <w:rFonts w:ascii="Book Antiqua" w:eastAsia="Book Antiqua" w:hAnsi="Book Antiqua" w:cs="Book Antiqua"/>
          <w:i/>
          <w:iCs/>
          <w:color w:val="000000"/>
        </w:rPr>
        <w:t>n</w:t>
      </w:r>
      <w:r>
        <w:rPr>
          <w:rFonts w:ascii="Book Antiqua" w:eastAsia="Book Antiqua" w:hAnsi="Book Antiqua" w:cs="Book Antiqua"/>
          <w:color w:val="000000"/>
        </w:rPr>
        <w:t xml:space="preserve"> = 50, grey) from the Cancer Genome Atlas database; B: The expression of TUFT1 messenger RNA in the cancerous tissues of HCC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225, dark blue,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and normal liver tissues (</w:t>
      </w:r>
      <w:r>
        <w:rPr>
          <w:rFonts w:ascii="Book Antiqua" w:eastAsia="Book Antiqua" w:hAnsi="Book Antiqua" w:cs="Book Antiqua"/>
          <w:i/>
          <w:iCs/>
          <w:color w:val="000000"/>
        </w:rPr>
        <w:t>n</w:t>
      </w:r>
      <w:r>
        <w:rPr>
          <w:rFonts w:ascii="Book Antiqua" w:eastAsia="Book Antiqua" w:hAnsi="Book Antiqua" w:cs="Book Antiqua"/>
          <w:color w:val="000000"/>
        </w:rPr>
        <w:t xml:space="preserve"> = 220, light blue) from the Oncomine database. The horizontal line represents the median of the two groups. Vertical bars indicate the range of data. LIHC: Liver hepatocellular carcinoma.</w:t>
      </w:r>
    </w:p>
    <w:p w14:paraId="7D227C25" w14:textId="77777777" w:rsidR="001154E7" w:rsidRDefault="001154E7">
      <w:pPr>
        <w:adjustRightInd w:val="0"/>
        <w:snapToGrid w:val="0"/>
        <w:spacing w:line="360" w:lineRule="auto"/>
        <w:jc w:val="both"/>
        <w:rPr>
          <w:rFonts w:ascii="Book Antiqua" w:hAnsi="Book Antiqua"/>
        </w:rPr>
      </w:pPr>
    </w:p>
    <w:p w14:paraId="2F018EF4" w14:textId="77777777" w:rsidR="001154E7" w:rsidRDefault="001154E7">
      <w:pPr>
        <w:adjustRightInd w:val="0"/>
        <w:snapToGrid w:val="0"/>
        <w:spacing w:line="360" w:lineRule="auto"/>
        <w:jc w:val="both"/>
        <w:rPr>
          <w:rFonts w:ascii="Book Antiqua" w:eastAsia="Book Antiqua" w:hAnsi="Book Antiqua" w:cs="Book Antiqua"/>
          <w:b/>
          <w:bCs/>
          <w:color w:val="000000"/>
        </w:rPr>
      </w:pPr>
    </w:p>
    <w:p w14:paraId="69D5F5B0"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45B5BAE2" wp14:editId="67CF4CA3">
            <wp:extent cx="5943600" cy="37122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3712210"/>
                    </a:xfrm>
                    <a:prstGeom prst="rect">
                      <a:avLst/>
                    </a:prstGeom>
                  </pic:spPr>
                </pic:pic>
              </a:graphicData>
            </a:graphic>
          </wp:inline>
        </w:drawing>
      </w:r>
    </w:p>
    <w:p w14:paraId="503F52FA" w14:textId="77777777" w:rsidR="001154E7" w:rsidRDefault="00ED61B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Tuftelin 1 expression with clinical staging of hepatoc</w:t>
      </w:r>
      <w:r>
        <w:rPr>
          <w:rFonts w:ascii="Book Antiqua" w:eastAsia="Book Antiqua" w:hAnsi="Book Antiqua" w:cs="Book Antiqua"/>
          <w:b/>
          <w:bCs/>
          <w:color w:val="000000"/>
        </w:rPr>
        <w:t>ellular carcinoma.</w:t>
      </w:r>
      <w:r>
        <w:rPr>
          <w:rFonts w:ascii="Book Antiqua" w:hAnsi="Book Antiqua" w:cs="Book Antiqua"/>
          <w:b/>
          <w:bCs/>
          <w:color w:val="000000"/>
          <w:lang w:eastAsia="zh-CN"/>
        </w:rPr>
        <w:t xml:space="preserve"> </w:t>
      </w:r>
      <w:r>
        <w:rPr>
          <w:rFonts w:ascii="Book Antiqua" w:eastAsia="Book Antiqua" w:hAnsi="Book Antiqua" w:cs="Book Antiqua"/>
          <w:color w:val="000000"/>
        </w:rPr>
        <w:t>A, A1: Hepatocellular carcinoma (HCC) tissue with strongly positive staining; B, B1: Adjacent non-HCC tissue with negative staining, original magnifications of × 40 (scale bar: 50 μm) in A and B, and × 200 (scale bar: 50 μm) in A1 and B1</w:t>
      </w:r>
      <w:r>
        <w:rPr>
          <w:rFonts w:ascii="Book Antiqua" w:eastAsia="Book Antiqua" w:hAnsi="Book Antiqua" w:cs="Book Antiqua"/>
          <w:color w:val="000000"/>
        </w:rPr>
        <w:t>; C, D: Tuftelin 1 (TUFT1) expression in different HCC staging; C1, D1: Low TUFT1 expression in the non-HCC tissues; C2-C5</w:t>
      </w:r>
      <w:r>
        <w:rPr>
          <w:rFonts w:ascii="Book Antiqua" w:hAnsi="Book Antiqua" w:cs="Book Antiqua"/>
          <w:color w:val="000000"/>
          <w:lang w:eastAsia="zh-CN"/>
        </w:rPr>
        <w:t xml:space="preserve">: </w:t>
      </w:r>
      <w:r>
        <w:rPr>
          <w:rFonts w:ascii="Book Antiqua" w:eastAsia="Book Antiqua" w:hAnsi="Book Antiqua" w:cs="Book Antiqua"/>
          <w:color w:val="000000"/>
        </w:rPr>
        <w:t>The brown staining of TUFT1 gradually increases in the HCC tissues from stage</w:t>
      </w:r>
      <w:r>
        <w:rPr>
          <w:rFonts w:ascii="MS Gothic" w:eastAsia="MS Gothic" w:hAnsi="MS Gothic" w:cs="MS Gothic" w:hint="eastAsia"/>
          <w:color w:val="000000"/>
        </w:rPr>
        <w:t> </w:t>
      </w:r>
      <w:r>
        <w:rPr>
          <w:rFonts w:ascii="Book Antiqua" w:eastAsia="Book Antiqua" w:hAnsi="Book Antiqua" w:cs="Book Antiqua"/>
          <w:color w:val="000000"/>
        </w:rPr>
        <w:t>I</w:t>
      </w:r>
      <w:r>
        <w:rPr>
          <w:rFonts w:ascii="MS Gothic" w:eastAsia="MS Gothic" w:hAnsi="MS Gothic" w:cs="MS Gothic" w:hint="eastAsia"/>
          <w:color w:val="000000"/>
        </w:rPr>
        <w:t> </w:t>
      </w:r>
      <w:r>
        <w:rPr>
          <w:rFonts w:ascii="Book Antiqua" w:eastAsia="Book Antiqua" w:hAnsi="Book Antiqua" w:cs="Book Antiqua"/>
          <w:color w:val="000000"/>
        </w:rPr>
        <w:t>to IV (original magnification × 40); D2-D5: The stai</w:t>
      </w:r>
      <w:r>
        <w:rPr>
          <w:rFonts w:ascii="Book Antiqua" w:eastAsia="Book Antiqua" w:hAnsi="Book Antiqua" w:cs="Book Antiqua"/>
          <w:color w:val="000000"/>
        </w:rPr>
        <w:t>ning of TUFT1 in the non-HCC tissues from stage</w:t>
      </w:r>
      <w:r>
        <w:rPr>
          <w:rFonts w:ascii="MS Gothic" w:eastAsia="MS Gothic" w:hAnsi="MS Gothic" w:cs="MS Gothic" w:hint="eastAsia"/>
          <w:color w:val="000000"/>
        </w:rPr>
        <w:t> </w:t>
      </w:r>
      <w:r>
        <w:rPr>
          <w:rFonts w:ascii="Book Antiqua" w:eastAsia="Book Antiqua" w:hAnsi="Book Antiqua" w:cs="Book Antiqua"/>
          <w:color w:val="000000"/>
        </w:rPr>
        <w:t>I</w:t>
      </w:r>
      <w:r>
        <w:rPr>
          <w:rFonts w:ascii="MS Gothic" w:eastAsia="MS Gothic" w:hAnsi="MS Gothic" w:cs="MS Gothic" w:hint="eastAsia"/>
          <w:color w:val="000000"/>
        </w:rPr>
        <w:t> </w:t>
      </w:r>
      <w:r>
        <w:rPr>
          <w:rFonts w:ascii="Book Antiqua" w:eastAsia="Book Antiqua" w:hAnsi="Book Antiqua" w:cs="Book Antiqua"/>
          <w:color w:val="000000"/>
        </w:rPr>
        <w:t>to IV (original magnification × 400). TNM: Tumor-node-metastasis.</w:t>
      </w:r>
    </w:p>
    <w:p w14:paraId="285F2C32" w14:textId="77777777" w:rsidR="001154E7" w:rsidRDefault="001154E7">
      <w:pPr>
        <w:adjustRightInd w:val="0"/>
        <w:snapToGrid w:val="0"/>
        <w:spacing w:line="360" w:lineRule="auto"/>
        <w:jc w:val="both"/>
        <w:rPr>
          <w:rFonts w:ascii="Book Antiqua" w:hAnsi="Book Antiqua"/>
        </w:rPr>
      </w:pPr>
    </w:p>
    <w:p w14:paraId="662F38CD"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16BBEF92" wp14:editId="42E26C29">
            <wp:extent cx="5943600" cy="355092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43600" cy="3550920"/>
                    </a:xfrm>
                    <a:prstGeom prst="rect">
                      <a:avLst/>
                    </a:prstGeom>
                  </pic:spPr>
                </pic:pic>
              </a:graphicData>
            </a:graphic>
          </wp:inline>
        </w:drawing>
      </w:r>
      <w:r>
        <w:rPr>
          <w:rFonts w:ascii="Book Antiqua" w:eastAsia="Book Antiqua" w:hAnsi="Book Antiqua" w:cs="Book Antiqua"/>
          <w:b/>
          <w:bCs/>
          <w:color w:val="000000"/>
        </w:rPr>
        <w:t xml:space="preserve"> </w:t>
      </w:r>
    </w:p>
    <w:p w14:paraId="3CA30AF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Figure 3 Relationship between tuftelin 1 expression and prognosis of hepatocellular carcinoma.</w:t>
      </w:r>
      <w:r>
        <w:rPr>
          <w:rFonts w:ascii="Book Antiqua" w:hAnsi="Book Antiqua"/>
          <w:b/>
          <w:bCs/>
          <w:lang w:eastAsia="zh-CN"/>
        </w:rPr>
        <w:t xml:space="preserve"> </w:t>
      </w:r>
      <w:r>
        <w:rPr>
          <w:rFonts w:ascii="Book Antiqua" w:eastAsia="Book Antiqua" w:hAnsi="Book Antiqua" w:cs="Book Antiqua"/>
          <w:color w:val="000000"/>
        </w:rPr>
        <w:t xml:space="preserve">A: Kaplan-Meier analysis was </w:t>
      </w:r>
      <w:r>
        <w:rPr>
          <w:rFonts w:ascii="Book Antiqua" w:eastAsia="Book Antiqua" w:hAnsi="Book Antiqua" w:cs="Book Antiqua"/>
          <w:color w:val="000000"/>
        </w:rPr>
        <w:t>performed to compare the overall survival (OS) between hepatocellular carcinoma (HCC) with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66) and low (</w:t>
      </w:r>
      <w:r>
        <w:rPr>
          <w:rFonts w:ascii="Book Antiqua" w:eastAsia="Book Antiqua" w:hAnsi="Book Antiqua" w:cs="Book Antiqua"/>
          <w:i/>
          <w:iCs/>
          <w:color w:val="000000"/>
        </w:rPr>
        <w:t>n</w:t>
      </w:r>
      <w:r>
        <w:rPr>
          <w:rFonts w:ascii="Book Antiqua" w:eastAsia="Book Antiqua" w:hAnsi="Book Antiqua" w:cs="Book Antiqua"/>
          <w:color w:val="000000"/>
        </w:rPr>
        <w:t xml:space="preserve"> = 66) TUFT1; A1: The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19) and low (</w:t>
      </w:r>
      <w:r>
        <w:rPr>
          <w:rFonts w:ascii="Book Antiqua" w:eastAsia="Book Antiqua" w:hAnsi="Book Antiqua" w:cs="Book Antiqua"/>
          <w:i/>
          <w:iCs/>
          <w:color w:val="000000"/>
        </w:rPr>
        <w:t>n</w:t>
      </w:r>
      <w:r>
        <w:rPr>
          <w:rFonts w:ascii="Book Antiqua" w:eastAsia="Book Antiqua" w:hAnsi="Book Antiqua" w:cs="Book Antiqua"/>
          <w:color w:val="000000"/>
        </w:rPr>
        <w:t xml:space="preserve"> = 40) tuftelin 1 (TUFT1) with OS at early HCC; A2: The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47) and low (</w:t>
      </w:r>
      <w:r>
        <w:rPr>
          <w:rFonts w:ascii="Book Antiqua" w:eastAsia="Book Antiqua" w:hAnsi="Book Antiqua" w:cs="Book Antiqua"/>
          <w:i/>
          <w:iCs/>
          <w:color w:val="000000"/>
        </w:rPr>
        <w:t>n</w:t>
      </w:r>
      <w:r>
        <w:rPr>
          <w:rFonts w:ascii="Book Antiqua" w:eastAsia="Book Antiqua" w:hAnsi="Book Antiqua" w:cs="Book Antiqua"/>
          <w:color w:val="000000"/>
        </w:rPr>
        <w:t xml:space="preserve"> = 26) TUFT1 wi</w:t>
      </w:r>
      <w:r>
        <w:rPr>
          <w:rFonts w:ascii="Book Antiqua" w:eastAsia="Book Antiqua" w:hAnsi="Book Antiqua" w:cs="Book Antiqua"/>
          <w:color w:val="000000"/>
        </w:rPr>
        <w:t>th OS at advanced HCC; B: Kaplan-Meier analysis was performed to compare the disease-free survival (DFS) between HCC with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66) and low (</w:t>
      </w:r>
      <w:r>
        <w:rPr>
          <w:rFonts w:ascii="Book Antiqua" w:eastAsia="Book Antiqua" w:hAnsi="Book Antiqua" w:cs="Book Antiqua"/>
          <w:i/>
          <w:iCs/>
          <w:color w:val="000000"/>
        </w:rPr>
        <w:t>n</w:t>
      </w:r>
      <w:r>
        <w:rPr>
          <w:rFonts w:ascii="Book Antiqua" w:eastAsia="Book Antiqua" w:hAnsi="Book Antiqua" w:cs="Book Antiqua"/>
          <w:color w:val="000000"/>
        </w:rPr>
        <w:t xml:space="preserve"> = 66) TUFT1; B1: The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19) and low (</w:t>
      </w:r>
      <w:r>
        <w:rPr>
          <w:rFonts w:ascii="Book Antiqua" w:eastAsia="Book Antiqua" w:hAnsi="Book Antiqua" w:cs="Book Antiqua"/>
          <w:i/>
          <w:iCs/>
          <w:color w:val="000000"/>
        </w:rPr>
        <w:t>n</w:t>
      </w:r>
      <w:r>
        <w:rPr>
          <w:rFonts w:ascii="Book Antiqua" w:eastAsia="Book Antiqua" w:hAnsi="Book Antiqua" w:cs="Book Antiqua"/>
          <w:color w:val="000000"/>
        </w:rPr>
        <w:t xml:space="preserve"> = 40) TUFT1 with DFS at early HCC; B2: The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47) and lo</w:t>
      </w:r>
      <w:r>
        <w:rPr>
          <w:rFonts w:ascii="Book Antiqua" w:eastAsia="Book Antiqua" w:hAnsi="Book Antiqua" w:cs="Book Antiqua"/>
          <w:color w:val="000000"/>
        </w:rPr>
        <w:t>w (</w:t>
      </w:r>
      <w:r>
        <w:rPr>
          <w:rFonts w:ascii="Book Antiqua" w:eastAsia="Book Antiqua" w:hAnsi="Book Antiqua" w:cs="Book Antiqua"/>
          <w:i/>
          <w:iCs/>
          <w:color w:val="000000"/>
        </w:rPr>
        <w:t>n</w:t>
      </w:r>
      <w:r>
        <w:rPr>
          <w:rFonts w:ascii="Book Antiqua" w:eastAsia="Book Antiqua" w:hAnsi="Book Antiqua" w:cs="Book Antiqua"/>
          <w:color w:val="000000"/>
        </w:rPr>
        <w:t xml:space="preserve"> = 26) TUFT1 with DFS at advanced HCC. </w:t>
      </w:r>
    </w:p>
    <w:p w14:paraId="55E91859" w14:textId="77777777" w:rsidR="001154E7" w:rsidRDefault="001154E7">
      <w:pPr>
        <w:adjustRightInd w:val="0"/>
        <w:snapToGrid w:val="0"/>
        <w:spacing w:line="360" w:lineRule="auto"/>
        <w:jc w:val="both"/>
        <w:rPr>
          <w:rFonts w:ascii="Book Antiqua" w:hAnsi="Book Antiqua"/>
        </w:rPr>
      </w:pPr>
    </w:p>
    <w:p w14:paraId="6A57EE03"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035C3C9C" wp14:editId="048DECBD">
            <wp:extent cx="5943600" cy="3867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43600" cy="3867150"/>
                    </a:xfrm>
                    <a:prstGeom prst="rect">
                      <a:avLst/>
                    </a:prstGeom>
                  </pic:spPr>
                </pic:pic>
              </a:graphicData>
            </a:graphic>
          </wp:inline>
        </w:drawing>
      </w:r>
      <w:r>
        <w:rPr>
          <w:rFonts w:ascii="Book Antiqua" w:eastAsia="Book Antiqua" w:hAnsi="Book Antiqua" w:cs="Book Antiqua"/>
          <w:b/>
          <w:bCs/>
          <w:color w:val="000000"/>
        </w:rPr>
        <w:t xml:space="preserve"> </w:t>
      </w:r>
    </w:p>
    <w:p w14:paraId="4A52E792" w14:textId="77777777" w:rsidR="001154E7" w:rsidRDefault="00ED61B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Expression, interfering of tuftelin 1 with proliferation of hepatocellular carcinoma cells.</w:t>
      </w:r>
      <w:r>
        <w:rPr>
          <w:rFonts w:ascii="Book Antiqua" w:hAnsi="Book Antiqua"/>
          <w:b/>
          <w:bCs/>
          <w:lang w:eastAsia="zh-CN"/>
        </w:rPr>
        <w:t xml:space="preserve"> </w:t>
      </w:r>
      <w:r>
        <w:rPr>
          <w:rFonts w:ascii="Book Antiqua" w:eastAsia="Book Antiqua" w:hAnsi="Book Antiqua" w:cs="Book Antiqua"/>
          <w:color w:val="000000"/>
        </w:rPr>
        <w:t>A: Expressions of tuftelin 1 (TUFT1) among different hepatocellular carcinoma (HCC) cell lines were detecte</w:t>
      </w:r>
      <w:r>
        <w:rPr>
          <w:rFonts w:ascii="Book Antiqua" w:eastAsia="Book Antiqua" w:hAnsi="Book Antiqua" w:cs="Book Antiqua"/>
          <w:color w:val="000000"/>
        </w:rPr>
        <w:t>d by Western blotting</w:t>
      </w:r>
      <w:r>
        <w:rPr>
          <w:rFonts w:ascii="Book Antiqua" w:eastAsia="Book Antiqua" w:hAnsi="Book Antiqua" w:cs="Book Antiqua"/>
          <w:color w:val="000000"/>
        </w:rPr>
        <w:t>,</w:t>
      </w:r>
      <w:r>
        <w:rPr>
          <w:rFonts w:ascii="Book Antiqua" w:eastAsia="Book Antiqua" w:hAnsi="Book Antiqua" w:cs="Book Antiqua"/>
          <w:color w:val="000000"/>
        </w:rPr>
        <w:t xml:space="preserve"> and the expressing levels of all HCC cells were significantly higher than that of the control LO2 cells (</w:t>
      </w:r>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A1: The relative ratio from TUFT1 to </w:t>
      </w:r>
      <w:r>
        <w:rPr>
          <w:rFonts w:ascii="Book Antiqua" w:hAnsi="Book Antiqua"/>
          <w:color w:val="202124"/>
          <w:shd w:val="clear" w:color="auto" w:fill="FFFFFF"/>
        </w:rPr>
        <w:t>glyceraldehyde 3-phosphate dehydrogenase</w:t>
      </w:r>
      <w:r>
        <w:rPr>
          <w:rFonts w:ascii="Book Antiqua" w:eastAsia="Book Antiqua" w:hAnsi="Book Antiqua" w:cs="Book Antiqua"/>
          <w:color w:val="000000"/>
        </w:rPr>
        <w:t xml:space="preserve"> with the MHCC-97H cells showed the strongest TUFT1 expression, and the Hep3B cells showed the lowest TUFT1 expression; B: The MHCC-97H cells and interfering with TUFT1 short hairpin RNA (sh-RNA)1-3 (left); the TUFT1 was over-expressed after the Hep3B cell</w:t>
      </w:r>
      <w:r>
        <w:rPr>
          <w:rFonts w:ascii="Book Antiqua" w:eastAsia="Book Antiqua" w:hAnsi="Book Antiqua" w:cs="Book Antiqua"/>
          <w:color w:val="000000"/>
        </w:rPr>
        <w:t>s transfected with the constructed pEX-4 (pGCMV/MCS/T2A/ EGFP/Neo) plasmid (Right); B1: The TUFT1 expression was significantly inhibited by the TUFT1-shRNA transfection (</w:t>
      </w:r>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left); the markedly increasing TUFT1 Level was compared with the control c</w:t>
      </w:r>
      <w:r>
        <w:rPr>
          <w:rFonts w:ascii="Book Antiqua" w:eastAsia="Book Antiqua" w:hAnsi="Book Antiqua" w:cs="Book Antiqua"/>
          <w:color w:val="000000"/>
        </w:rPr>
        <w:t>ells (</w:t>
      </w:r>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right); C: The TUFT1 activation interfering by TUFT1- shRNA3 significantly inhibited the proliferation of MHCC-97H cells (</w:t>
      </w:r>
      <w:r>
        <w:rPr>
          <w:rFonts w:ascii="Book Antiqua" w:eastAsia="Book Antiqua" w:hAnsi="Book Antiqua" w:cs="Book Antiqua"/>
          <w:i/>
          <w:iCs/>
          <w:color w:val="00000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D: the over-expression of TUFT1 significantly enhanced the proliferation of the Hep3B cells </w:t>
      </w:r>
      <w:r>
        <w:rPr>
          <w:rFonts w:ascii="Book Antiqua" w:eastAsia="Book Antiqua" w:hAnsi="Book Antiqua" w:cs="Book Antiqua"/>
          <w:color w:val="000000"/>
        </w:rPr>
        <w:t>(</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Data are presented as mean ± standard error of the mean of </w:t>
      </w:r>
      <w:r>
        <w:rPr>
          <w:rFonts w:ascii="Book Antiqua" w:eastAsia="Book Antiqua" w:hAnsi="Book Antiqua" w:cs="Book Antiqua"/>
          <w:color w:val="000000"/>
        </w:rPr>
        <w:lastRenderedPageBreak/>
        <w:t>at least three independent experiments. NC: Blank control; sh-NC: Negative sh-RNA for tuftelin 1 mRNA</w:t>
      </w:r>
      <w:r>
        <w:rPr>
          <w:rFonts w:ascii="Book Antiqua" w:eastAsia="Book Antiqua" w:hAnsi="Book Antiqua" w:cs="Book Antiqua"/>
          <w:color w:val="000000"/>
        </w:rPr>
        <w:t>.</w:t>
      </w:r>
      <w:r>
        <w:rPr>
          <w:rFonts w:ascii="Book Antiqua" w:eastAsia="Book Antiqua" w:hAnsi="Book Antiqua" w:cs="Book Antiqua"/>
          <w:color w:val="000000"/>
        </w:rPr>
        <w:t xml:space="preserve"> </w:t>
      </w:r>
    </w:p>
    <w:p w14:paraId="698A96E4" w14:textId="77777777" w:rsidR="001154E7" w:rsidRDefault="001154E7">
      <w:pPr>
        <w:adjustRightInd w:val="0"/>
        <w:snapToGrid w:val="0"/>
        <w:spacing w:line="360" w:lineRule="auto"/>
        <w:jc w:val="both"/>
        <w:rPr>
          <w:rFonts w:ascii="Book Antiqua" w:eastAsia="Book Antiqua" w:hAnsi="Book Antiqua" w:cs="Book Antiqua"/>
          <w:color w:val="000000"/>
        </w:rPr>
      </w:pPr>
    </w:p>
    <w:p w14:paraId="04CB9447" w14:textId="77777777" w:rsidR="001154E7" w:rsidRDefault="001154E7">
      <w:pPr>
        <w:adjustRightInd w:val="0"/>
        <w:snapToGrid w:val="0"/>
        <w:spacing w:line="360" w:lineRule="auto"/>
        <w:jc w:val="both"/>
        <w:rPr>
          <w:rFonts w:ascii="Book Antiqua" w:eastAsia="Book Antiqua" w:hAnsi="Book Antiqua" w:cs="Book Antiqua"/>
          <w:color w:val="000000"/>
        </w:rPr>
      </w:pPr>
    </w:p>
    <w:p w14:paraId="11042D68" w14:textId="77777777" w:rsidR="001154E7" w:rsidRDefault="001154E7">
      <w:pPr>
        <w:adjustRightInd w:val="0"/>
        <w:snapToGrid w:val="0"/>
        <w:spacing w:line="360" w:lineRule="auto"/>
        <w:jc w:val="both"/>
        <w:rPr>
          <w:rFonts w:ascii="Book Antiqua" w:eastAsia="Book Antiqua" w:hAnsi="Book Antiqua" w:cs="Book Antiqua"/>
          <w:color w:val="000000"/>
        </w:rPr>
      </w:pPr>
    </w:p>
    <w:p w14:paraId="684E9870" w14:textId="77777777" w:rsidR="001154E7" w:rsidRDefault="001154E7">
      <w:pPr>
        <w:adjustRightInd w:val="0"/>
        <w:snapToGrid w:val="0"/>
        <w:spacing w:line="360" w:lineRule="auto"/>
        <w:jc w:val="both"/>
        <w:rPr>
          <w:rFonts w:ascii="Book Antiqua" w:eastAsia="Book Antiqua" w:hAnsi="Book Antiqua" w:cs="Book Antiqua"/>
          <w:color w:val="000000"/>
        </w:rPr>
      </w:pPr>
    </w:p>
    <w:p w14:paraId="2A3B0097" w14:textId="77777777" w:rsidR="001154E7" w:rsidRDefault="001154E7">
      <w:pPr>
        <w:adjustRightInd w:val="0"/>
        <w:snapToGrid w:val="0"/>
        <w:spacing w:line="360" w:lineRule="auto"/>
        <w:jc w:val="both"/>
        <w:rPr>
          <w:rFonts w:ascii="Book Antiqua" w:eastAsia="Book Antiqua" w:hAnsi="Book Antiqua" w:cs="Book Antiqua"/>
          <w:color w:val="000000"/>
        </w:rPr>
      </w:pPr>
    </w:p>
    <w:p w14:paraId="34927D05" w14:textId="77777777" w:rsidR="001154E7" w:rsidRDefault="001154E7">
      <w:pPr>
        <w:adjustRightInd w:val="0"/>
        <w:snapToGrid w:val="0"/>
        <w:spacing w:line="360" w:lineRule="auto"/>
        <w:jc w:val="both"/>
        <w:rPr>
          <w:rFonts w:ascii="Book Antiqua" w:eastAsia="Book Antiqua" w:hAnsi="Book Antiqua" w:cs="Book Antiqua"/>
          <w:color w:val="000000"/>
        </w:rPr>
      </w:pPr>
    </w:p>
    <w:p w14:paraId="72D2EC53" w14:textId="77777777" w:rsidR="001154E7" w:rsidRDefault="001154E7">
      <w:pPr>
        <w:adjustRightInd w:val="0"/>
        <w:snapToGrid w:val="0"/>
        <w:spacing w:line="360" w:lineRule="auto"/>
        <w:jc w:val="both"/>
        <w:rPr>
          <w:rFonts w:ascii="Book Antiqua" w:eastAsia="Book Antiqua" w:hAnsi="Book Antiqua" w:cs="Book Antiqua"/>
          <w:color w:val="000000"/>
        </w:rPr>
      </w:pPr>
    </w:p>
    <w:p w14:paraId="20C11F3F" w14:textId="77777777" w:rsidR="001154E7" w:rsidRDefault="001154E7">
      <w:pPr>
        <w:adjustRightInd w:val="0"/>
        <w:snapToGrid w:val="0"/>
        <w:spacing w:line="360" w:lineRule="auto"/>
        <w:jc w:val="both"/>
        <w:rPr>
          <w:rFonts w:ascii="Book Antiqua" w:eastAsia="Book Antiqua" w:hAnsi="Book Antiqua" w:cs="Book Antiqua"/>
          <w:color w:val="000000"/>
        </w:rPr>
      </w:pPr>
    </w:p>
    <w:p w14:paraId="2BD8675D" w14:textId="77777777" w:rsidR="001154E7" w:rsidRDefault="001154E7">
      <w:pPr>
        <w:adjustRightInd w:val="0"/>
        <w:snapToGrid w:val="0"/>
        <w:spacing w:line="360" w:lineRule="auto"/>
        <w:jc w:val="both"/>
        <w:rPr>
          <w:rFonts w:ascii="Book Antiqua" w:eastAsia="Book Antiqua" w:hAnsi="Book Antiqua" w:cs="Book Antiqua"/>
          <w:color w:val="000000"/>
        </w:rPr>
      </w:pPr>
    </w:p>
    <w:p w14:paraId="28022C75" w14:textId="77777777" w:rsidR="001154E7" w:rsidRDefault="001154E7">
      <w:pPr>
        <w:adjustRightInd w:val="0"/>
        <w:snapToGrid w:val="0"/>
        <w:spacing w:line="360" w:lineRule="auto"/>
        <w:jc w:val="both"/>
        <w:rPr>
          <w:rFonts w:ascii="Book Antiqua" w:eastAsia="Book Antiqua" w:hAnsi="Book Antiqua" w:cs="Book Antiqua"/>
          <w:color w:val="000000"/>
        </w:rPr>
      </w:pPr>
    </w:p>
    <w:p w14:paraId="76705DE4" w14:textId="77777777" w:rsidR="001154E7" w:rsidRDefault="001154E7">
      <w:pPr>
        <w:adjustRightInd w:val="0"/>
        <w:snapToGrid w:val="0"/>
        <w:spacing w:line="360" w:lineRule="auto"/>
        <w:jc w:val="both"/>
        <w:rPr>
          <w:rFonts w:ascii="Book Antiqua" w:eastAsia="Book Antiqua" w:hAnsi="Book Antiqua" w:cs="Book Antiqua"/>
          <w:color w:val="000000"/>
        </w:rPr>
      </w:pPr>
    </w:p>
    <w:p w14:paraId="4FCEE86A" w14:textId="77777777" w:rsidR="001154E7" w:rsidRDefault="001154E7">
      <w:pPr>
        <w:adjustRightInd w:val="0"/>
        <w:snapToGrid w:val="0"/>
        <w:spacing w:line="360" w:lineRule="auto"/>
        <w:jc w:val="both"/>
        <w:rPr>
          <w:rFonts w:ascii="Book Antiqua" w:eastAsia="Book Antiqua" w:hAnsi="Book Antiqua" w:cs="Book Antiqua"/>
          <w:color w:val="000000"/>
        </w:rPr>
      </w:pPr>
    </w:p>
    <w:p w14:paraId="4FB71C9F" w14:textId="77777777" w:rsidR="001154E7" w:rsidRDefault="001154E7">
      <w:pPr>
        <w:adjustRightInd w:val="0"/>
        <w:snapToGrid w:val="0"/>
        <w:spacing w:line="360" w:lineRule="auto"/>
        <w:jc w:val="both"/>
        <w:rPr>
          <w:rFonts w:ascii="Book Antiqua" w:eastAsia="Book Antiqua" w:hAnsi="Book Antiqua" w:cs="Book Antiqua"/>
          <w:color w:val="000000"/>
        </w:rPr>
      </w:pPr>
    </w:p>
    <w:p w14:paraId="3ED1F21A" w14:textId="77777777" w:rsidR="001154E7" w:rsidRDefault="001154E7">
      <w:pPr>
        <w:adjustRightInd w:val="0"/>
        <w:snapToGrid w:val="0"/>
        <w:spacing w:line="360" w:lineRule="auto"/>
        <w:jc w:val="both"/>
        <w:rPr>
          <w:rFonts w:ascii="Book Antiqua" w:eastAsia="Book Antiqua" w:hAnsi="Book Antiqua" w:cs="Book Antiqua"/>
          <w:color w:val="000000"/>
        </w:rPr>
      </w:pPr>
    </w:p>
    <w:p w14:paraId="1741B055" w14:textId="77777777" w:rsidR="001154E7" w:rsidRDefault="001154E7">
      <w:pPr>
        <w:adjustRightInd w:val="0"/>
        <w:snapToGrid w:val="0"/>
        <w:spacing w:line="360" w:lineRule="auto"/>
        <w:jc w:val="both"/>
        <w:rPr>
          <w:rFonts w:ascii="Book Antiqua" w:eastAsia="Book Antiqua" w:hAnsi="Book Antiqua" w:cs="Book Antiqua"/>
          <w:color w:val="000000"/>
        </w:rPr>
      </w:pPr>
    </w:p>
    <w:p w14:paraId="4E165B09" w14:textId="77777777" w:rsidR="001154E7" w:rsidRDefault="001154E7">
      <w:pPr>
        <w:adjustRightInd w:val="0"/>
        <w:snapToGrid w:val="0"/>
        <w:spacing w:line="360" w:lineRule="auto"/>
        <w:jc w:val="both"/>
        <w:rPr>
          <w:rFonts w:ascii="Book Antiqua" w:eastAsia="Book Antiqua" w:hAnsi="Book Antiqua" w:cs="Book Antiqua"/>
          <w:color w:val="000000"/>
        </w:rPr>
      </w:pPr>
    </w:p>
    <w:p w14:paraId="4AAF3DEA" w14:textId="77777777" w:rsidR="001154E7" w:rsidRDefault="001154E7">
      <w:pPr>
        <w:adjustRightInd w:val="0"/>
        <w:snapToGrid w:val="0"/>
        <w:spacing w:line="360" w:lineRule="auto"/>
        <w:jc w:val="both"/>
        <w:rPr>
          <w:rFonts w:ascii="Book Antiqua" w:eastAsia="Book Antiqua" w:hAnsi="Book Antiqua" w:cs="Book Antiqua"/>
          <w:color w:val="000000"/>
        </w:rPr>
      </w:pPr>
    </w:p>
    <w:p w14:paraId="3FE70516" w14:textId="77777777" w:rsidR="001154E7" w:rsidRDefault="001154E7">
      <w:pPr>
        <w:adjustRightInd w:val="0"/>
        <w:snapToGrid w:val="0"/>
        <w:spacing w:line="360" w:lineRule="auto"/>
        <w:jc w:val="both"/>
        <w:rPr>
          <w:rFonts w:ascii="Book Antiqua" w:eastAsia="Book Antiqua" w:hAnsi="Book Antiqua" w:cs="Book Antiqua"/>
          <w:color w:val="000000"/>
        </w:rPr>
      </w:pPr>
    </w:p>
    <w:p w14:paraId="1CBAF6FC" w14:textId="77777777" w:rsidR="001154E7" w:rsidRDefault="001154E7">
      <w:pPr>
        <w:adjustRightInd w:val="0"/>
        <w:snapToGrid w:val="0"/>
        <w:spacing w:line="360" w:lineRule="auto"/>
        <w:jc w:val="both"/>
        <w:rPr>
          <w:rFonts w:ascii="Book Antiqua" w:eastAsia="Book Antiqua" w:hAnsi="Book Antiqua" w:cs="Book Antiqua"/>
          <w:color w:val="000000"/>
        </w:rPr>
      </w:pPr>
    </w:p>
    <w:p w14:paraId="4BA1DACB" w14:textId="77777777" w:rsidR="001154E7" w:rsidRDefault="001154E7">
      <w:pPr>
        <w:adjustRightInd w:val="0"/>
        <w:snapToGrid w:val="0"/>
        <w:spacing w:line="360" w:lineRule="auto"/>
        <w:jc w:val="both"/>
        <w:rPr>
          <w:rFonts w:ascii="Book Antiqua" w:eastAsia="Book Antiqua" w:hAnsi="Book Antiqua" w:cs="Book Antiqua"/>
          <w:color w:val="000000"/>
        </w:rPr>
      </w:pPr>
    </w:p>
    <w:p w14:paraId="1B536EE5" w14:textId="77777777" w:rsidR="001154E7" w:rsidRDefault="001154E7">
      <w:pPr>
        <w:adjustRightInd w:val="0"/>
        <w:snapToGrid w:val="0"/>
        <w:spacing w:line="360" w:lineRule="auto"/>
        <w:jc w:val="both"/>
        <w:rPr>
          <w:rFonts w:ascii="Book Antiqua" w:hAnsi="Book Antiqua"/>
        </w:rPr>
      </w:pPr>
    </w:p>
    <w:p w14:paraId="6AD2162A" w14:textId="77777777" w:rsidR="001154E7" w:rsidRDefault="001154E7">
      <w:pPr>
        <w:adjustRightInd w:val="0"/>
        <w:snapToGrid w:val="0"/>
        <w:spacing w:line="360" w:lineRule="auto"/>
        <w:jc w:val="both"/>
        <w:rPr>
          <w:rFonts w:ascii="Book Antiqua" w:hAnsi="Book Antiqua"/>
        </w:rPr>
      </w:pPr>
    </w:p>
    <w:p w14:paraId="18A93455"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53BFCDC0" wp14:editId="00451658">
            <wp:extent cx="5943600" cy="33286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43600" cy="3328670"/>
                    </a:xfrm>
                    <a:prstGeom prst="rect">
                      <a:avLst/>
                    </a:prstGeom>
                  </pic:spPr>
                </pic:pic>
              </a:graphicData>
            </a:graphic>
          </wp:inline>
        </w:drawing>
      </w:r>
    </w:p>
    <w:p w14:paraId="2E496A16" w14:textId="77777777" w:rsidR="001154E7" w:rsidRDefault="00ED61B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Effects of tuftelin 1 on healing, </w:t>
      </w:r>
      <w:r>
        <w:rPr>
          <w:rFonts w:ascii="Book Antiqua" w:eastAsia="Book Antiqua" w:hAnsi="Book Antiqua" w:cs="Book Antiqua"/>
          <w:b/>
          <w:bCs/>
          <w:color w:val="000000"/>
        </w:rPr>
        <w:t>invasion</w:t>
      </w:r>
      <w:r>
        <w:rPr>
          <w:rFonts w:ascii="Book Antiqua" w:eastAsia="Book Antiqua" w:hAnsi="Book Antiqua" w:cs="Book Antiqua"/>
          <w:b/>
          <w:bCs/>
          <w:color w:val="000000"/>
        </w:rPr>
        <w:t>,</w:t>
      </w:r>
      <w:r>
        <w:rPr>
          <w:rFonts w:ascii="Book Antiqua" w:eastAsia="Book Antiqua" w:hAnsi="Book Antiqua" w:cs="Book Antiqua"/>
          <w:b/>
          <w:bCs/>
          <w:color w:val="000000"/>
        </w:rPr>
        <w:t xml:space="preserve"> and migration of hepatocellular carcinoma cells.</w:t>
      </w:r>
      <w:r>
        <w:rPr>
          <w:rFonts w:ascii="Book Antiqua" w:hAnsi="Book Antiqua" w:cs="Book Antiqua"/>
          <w:b/>
          <w:bCs/>
          <w:color w:val="000000"/>
          <w:lang w:eastAsia="zh-CN"/>
        </w:rPr>
        <w:t xml:space="preserve"> </w:t>
      </w:r>
      <w:r>
        <w:rPr>
          <w:rFonts w:ascii="Book Antiqua" w:eastAsia="Book Antiqua" w:hAnsi="Book Antiqua" w:cs="Book Antiqua"/>
          <w:color w:val="000000"/>
        </w:rPr>
        <w:t xml:space="preserve">A: The scratch test of the MHCC-97H cells, the cell healing ability was decreasing after the high tuftelin 1 (TUFT1) cells were transfected with the TUFT1-shRNA3 plasmid, and A1, the </w:t>
      </w:r>
      <w:r>
        <w:rPr>
          <w:rFonts w:ascii="Book Antiqua" w:eastAsia="Book Antiqua" w:hAnsi="Book Antiqua" w:cs="Book Antiqua"/>
          <w:color w:val="000000"/>
        </w:rPr>
        <w:t>relative cell healing ability was significantly inhibited compared with the control or negative sh-RNA for tuftelin 1 mRNA (sh-NC) cells (</w:t>
      </w:r>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B: The scratch test of the Hep3B cells, the cell healing ability was increased after the cells were trans</w:t>
      </w:r>
      <w:r>
        <w:rPr>
          <w:rFonts w:ascii="Book Antiqua" w:eastAsia="Book Antiqua" w:hAnsi="Book Antiqua" w:cs="Book Antiqua"/>
          <w:color w:val="000000"/>
        </w:rPr>
        <w:t>fected with the over-expressing TUFT1 plasmid; B1, the relative cell healing ability was significantly improved compared with the control or blank control (NC) cells (</w:t>
      </w:r>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C: The migration and invasion abilities of the MHCC-97H cells were analyzed </w:t>
      </w:r>
      <w:r>
        <w:rPr>
          <w:rFonts w:ascii="Book Antiqua" w:eastAsia="Book Antiqua" w:hAnsi="Book Antiqua" w:cs="Book Antiqua"/>
          <w:color w:val="000000"/>
        </w:rPr>
        <w:t>by the transwell test; C1: The histograms of the cell migration and invasion abilities among the different groups (</w:t>
      </w:r>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D: The migration and invasion abilities of the Hep3B cells were analyzed by the transwell test; D1: The histograms of the cell m</w:t>
      </w:r>
      <w:r>
        <w:rPr>
          <w:rFonts w:ascii="Book Antiqua" w:eastAsia="Book Antiqua" w:hAnsi="Book Antiqua" w:cs="Book Antiqua"/>
          <w:color w:val="000000"/>
        </w:rPr>
        <w:t>igration and invasion abilities among the different groups (</w:t>
      </w:r>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Data are presented as mean ± standard error of the mean of at least three independent experiments. sh-RNA: sh-RNA3 for tuftelin 1 mRNA.</w:t>
      </w:r>
    </w:p>
    <w:p w14:paraId="5177933A" w14:textId="77777777" w:rsidR="001154E7" w:rsidRDefault="001154E7">
      <w:pPr>
        <w:adjustRightInd w:val="0"/>
        <w:snapToGrid w:val="0"/>
        <w:spacing w:line="360" w:lineRule="auto"/>
        <w:jc w:val="both"/>
        <w:rPr>
          <w:rFonts w:ascii="Book Antiqua" w:hAnsi="Book Antiqua"/>
        </w:rPr>
      </w:pPr>
    </w:p>
    <w:p w14:paraId="7357EB9D" w14:textId="77777777" w:rsidR="001154E7" w:rsidRDefault="001154E7">
      <w:pPr>
        <w:adjustRightInd w:val="0"/>
        <w:snapToGrid w:val="0"/>
        <w:spacing w:line="360" w:lineRule="auto"/>
        <w:jc w:val="both"/>
        <w:rPr>
          <w:rFonts w:ascii="Book Antiqua" w:eastAsia="Book Antiqua" w:hAnsi="Book Antiqua" w:cs="Book Antiqua"/>
          <w:b/>
          <w:bCs/>
          <w:color w:val="000000"/>
        </w:rPr>
      </w:pPr>
    </w:p>
    <w:p w14:paraId="0EF6D42F"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7576EE67" wp14:editId="6EA4EDB6">
            <wp:extent cx="5943600" cy="35032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943600" cy="3503295"/>
                    </a:xfrm>
                    <a:prstGeom prst="rect">
                      <a:avLst/>
                    </a:prstGeom>
                  </pic:spPr>
                </pic:pic>
              </a:graphicData>
            </a:graphic>
          </wp:inline>
        </w:drawing>
      </w:r>
      <w:r>
        <w:rPr>
          <w:rFonts w:ascii="Book Antiqua" w:eastAsia="Book Antiqua" w:hAnsi="Book Antiqua" w:cs="Book Antiqua"/>
          <w:b/>
          <w:bCs/>
          <w:color w:val="000000"/>
        </w:rPr>
        <w:t xml:space="preserve"> </w:t>
      </w:r>
    </w:p>
    <w:p w14:paraId="2E36C327" w14:textId="77777777" w:rsidR="001154E7" w:rsidRDefault="00ED61B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Possible mechanism of tuftelin 1 </w:t>
      </w:r>
      <w:r>
        <w:rPr>
          <w:rFonts w:ascii="Book Antiqua" w:eastAsia="Book Antiqua" w:hAnsi="Book Antiqua" w:cs="Book Antiqua"/>
          <w:b/>
          <w:bCs/>
          <w:color w:val="000000"/>
        </w:rPr>
        <w:t>expression in hepatocellular carcinoma cells progression</w:t>
      </w:r>
      <w:r>
        <w:rPr>
          <w:rFonts w:ascii="Book Antiqua" w:hAnsi="Book Antiqua"/>
          <w:b/>
          <w:bCs/>
          <w:lang w:eastAsia="zh-CN"/>
        </w:rPr>
        <w:t xml:space="preserve">. </w:t>
      </w:r>
      <w:r>
        <w:rPr>
          <w:rFonts w:ascii="Book Antiqua" w:eastAsia="Book Antiqua" w:hAnsi="Book Antiqua" w:cs="Book Antiqua"/>
          <w:color w:val="000000"/>
        </w:rPr>
        <w:t>A: The MHCC-97H cells were transfected with the tuftelin 1 (TUFT1)-short hairpin RNA (sh-RNA)3 plasmid, and the apoptotic cells in the sh-TUFT1 group (A2) were increased more than those in the blank</w:t>
      </w:r>
      <w:r>
        <w:rPr>
          <w:rFonts w:ascii="Book Antiqua" w:eastAsia="Book Antiqua" w:hAnsi="Book Antiqua" w:cs="Book Antiqua"/>
          <w:color w:val="000000"/>
        </w:rPr>
        <w:t xml:space="preserve"> control (NC) (A) or negative sh-RNA for tuftelin 1 mRNA (sh-NC) group (A1); B: The histograms of the apoptotic cells among the different groups, the rate of the MHCC-97H cell apoptosis in the sh-TUFT1 group was significantly higher (</w:t>
      </w:r>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than those</w:t>
      </w:r>
      <w:r>
        <w:rPr>
          <w:rFonts w:ascii="Book Antiqua" w:eastAsia="Book Antiqua" w:hAnsi="Book Antiqua" w:cs="Book Antiqua"/>
          <w:color w:val="000000"/>
        </w:rPr>
        <w:t xml:space="preserve"> in the NC or sh-NC group. Data are presented as mean ± standard error of the mean of at least three independent experiments; C: Speculation of possible mechanisms of TUFT1 promotion of the progression of hepatocellular carcinoma (HCC). Aberrant TUFT1 acti</w:t>
      </w:r>
      <w:r>
        <w:rPr>
          <w:rFonts w:ascii="Book Antiqua" w:eastAsia="Book Antiqua" w:hAnsi="Book Antiqua" w:cs="Book Antiqua"/>
          <w:color w:val="000000"/>
        </w:rPr>
        <w:t xml:space="preserve">vation promoted the proliferation and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anti-apoptosis of HCC cells. </w:t>
      </w:r>
    </w:p>
    <w:p w14:paraId="05E96BDD" w14:textId="77777777" w:rsidR="001154E7" w:rsidRDefault="00ED61B9">
      <w:pPr>
        <w:adjustRightInd w:val="0"/>
        <w:snapToGrid w:val="0"/>
        <w:spacing w:line="360" w:lineRule="auto"/>
        <w:jc w:val="both"/>
        <w:rPr>
          <w:rFonts w:ascii="Book Antiqua" w:hAnsi="Book Antiqua"/>
          <w:b/>
          <w:bCs/>
        </w:rPr>
      </w:pPr>
      <w:r>
        <w:rPr>
          <w:rFonts w:ascii="Book Antiqua" w:eastAsia="Book Antiqua" w:hAnsi="Book Antiqua" w:cs="Book Antiqua"/>
          <w:color w:val="000000"/>
        </w:rPr>
        <w:br w:type="page"/>
      </w:r>
      <w:r>
        <w:rPr>
          <w:rFonts w:ascii="Book Antiqua" w:hAnsi="Book Antiqua"/>
          <w:b/>
          <w:bCs/>
        </w:rPr>
        <w:lastRenderedPageBreak/>
        <w:t xml:space="preserve">Table 1 Comparative analysis of hepatic </w:t>
      </w:r>
      <w:r>
        <w:rPr>
          <w:rFonts w:ascii="Book Antiqua" w:eastAsia="Book Antiqua" w:hAnsi="Book Antiqua" w:cs="Book Antiqua"/>
          <w:b/>
          <w:bCs/>
          <w:color w:val="000000"/>
        </w:rPr>
        <w:t xml:space="preserve">tuftelin 1 </w:t>
      </w:r>
      <w:r>
        <w:rPr>
          <w:rFonts w:ascii="Book Antiqua" w:hAnsi="Book Antiqua"/>
          <w:b/>
          <w:bCs/>
        </w:rPr>
        <w:t xml:space="preserve">immunohistochemical staining and expressing intensity between </w:t>
      </w:r>
      <w:r>
        <w:rPr>
          <w:rFonts w:ascii="Book Antiqua" w:eastAsia="Book Antiqua" w:hAnsi="Book Antiqua" w:cs="Book Antiqua"/>
          <w:b/>
          <w:bCs/>
          <w:color w:val="000000"/>
        </w:rPr>
        <w:t>hepatocellular carcinoma</w:t>
      </w:r>
      <w:r>
        <w:rPr>
          <w:rFonts w:ascii="Book Antiqua" w:hAnsi="Book Antiqua"/>
          <w:b/>
          <w:bCs/>
        </w:rPr>
        <w:t xml:space="preserve"> and their para-cancerous tissues</w:t>
      </w:r>
    </w:p>
    <w:tbl>
      <w:tblPr>
        <w:tblW w:w="5000" w:type="pct"/>
        <w:jc w:val="center"/>
        <w:tblBorders>
          <w:top w:val="single" w:sz="8" w:space="0" w:color="auto"/>
          <w:bottom w:val="single" w:sz="8" w:space="0" w:color="auto"/>
        </w:tblBorders>
        <w:tblLook w:val="04A0" w:firstRow="1" w:lastRow="0" w:firstColumn="1" w:lastColumn="0" w:noHBand="0" w:noVBand="1"/>
      </w:tblPr>
      <w:tblGrid>
        <w:gridCol w:w="1187"/>
        <w:gridCol w:w="721"/>
        <w:gridCol w:w="730"/>
        <w:gridCol w:w="721"/>
        <w:gridCol w:w="876"/>
        <w:gridCol w:w="945"/>
        <w:gridCol w:w="606"/>
        <w:gridCol w:w="576"/>
        <w:gridCol w:w="577"/>
        <w:gridCol w:w="583"/>
        <w:gridCol w:w="826"/>
        <w:gridCol w:w="1012"/>
      </w:tblGrid>
      <w:tr w:rsidR="001154E7" w14:paraId="5417B5B8" w14:textId="77777777">
        <w:trPr>
          <w:trHeight w:val="340"/>
          <w:jc w:val="center"/>
        </w:trPr>
        <w:tc>
          <w:tcPr>
            <w:tcW w:w="635" w:type="pct"/>
            <w:vMerge w:val="restart"/>
            <w:tcBorders>
              <w:top w:val="single" w:sz="8" w:space="0" w:color="auto"/>
              <w:bottom w:val="single" w:sz="8" w:space="0" w:color="auto"/>
            </w:tcBorders>
            <w:vAlign w:val="center"/>
          </w:tcPr>
          <w:p w14:paraId="66DBB5B4"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Group</w:t>
            </w:r>
          </w:p>
        </w:tc>
        <w:tc>
          <w:tcPr>
            <w:tcW w:w="386" w:type="pct"/>
            <w:vMerge w:val="restart"/>
            <w:tcBorders>
              <w:top w:val="single" w:sz="8" w:space="0" w:color="auto"/>
              <w:bottom w:val="single" w:sz="8" w:space="0" w:color="auto"/>
            </w:tcBorders>
            <w:vAlign w:val="center"/>
          </w:tcPr>
          <w:p w14:paraId="15D6B1FB" w14:textId="77777777" w:rsidR="001154E7" w:rsidRDefault="00ED61B9">
            <w:pPr>
              <w:adjustRightInd w:val="0"/>
              <w:snapToGrid w:val="0"/>
              <w:spacing w:line="360" w:lineRule="auto"/>
              <w:jc w:val="both"/>
              <w:rPr>
                <w:rFonts w:ascii="Book Antiqua" w:hAnsi="Book Antiqua"/>
                <w:b/>
                <w:bCs/>
                <w:i/>
                <w:iCs/>
              </w:rPr>
            </w:pPr>
            <w:r>
              <w:rPr>
                <w:rFonts w:ascii="Book Antiqua" w:hAnsi="Book Antiqua"/>
                <w:b/>
                <w:bCs/>
                <w:i/>
                <w:iCs/>
              </w:rPr>
              <w:t>n</w:t>
            </w:r>
          </w:p>
        </w:tc>
        <w:tc>
          <w:tcPr>
            <w:tcW w:w="772" w:type="pct"/>
            <w:gridSpan w:val="2"/>
            <w:tcBorders>
              <w:top w:val="single" w:sz="8" w:space="0" w:color="auto"/>
              <w:bottom w:val="single" w:sz="8" w:space="0" w:color="auto"/>
            </w:tcBorders>
            <w:vAlign w:val="center"/>
          </w:tcPr>
          <w:p w14:paraId="687699C3" w14:textId="77777777" w:rsidR="001154E7" w:rsidRDefault="00ED61B9">
            <w:pPr>
              <w:adjustRightInd w:val="0"/>
              <w:snapToGrid w:val="0"/>
              <w:spacing w:line="360" w:lineRule="auto"/>
              <w:ind w:firstLine="66"/>
              <w:jc w:val="both"/>
              <w:rPr>
                <w:rFonts w:ascii="Book Antiqua" w:hAnsi="Book Antiqua"/>
                <w:b/>
                <w:bCs/>
              </w:rPr>
            </w:pPr>
            <w:r>
              <w:rPr>
                <w:rFonts w:ascii="Book Antiqua" w:hAnsi="Book Antiqua"/>
                <w:b/>
                <w:bCs/>
              </w:rPr>
              <w:t>TUFT1</w:t>
            </w:r>
          </w:p>
        </w:tc>
        <w:tc>
          <w:tcPr>
            <w:tcW w:w="463" w:type="pct"/>
            <w:vMerge w:val="restart"/>
            <w:tcBorders>
              <w:top w:val="single" w:sz="8" w:space="0" w:color="auto"/>
              <w:bottom w:val="single" w:sz="8" w:space="0" w:color="auto"/>
            </w:tcBorders>
            <w:vAlign w:val="center"/>
          </w:tcPr>
          <w:p w14:paraId="28F5B4CB" w14:textId="77777777" w:rsidR="001154E7" w:rsidRDefault="00ED61B9">
            <w:pPr>
              <w:adjustRightInd w:val="0"/>
              <w:snapToGrid w:val="0"/>
              <w:spacing w:line="360" w:lineRule="auto"/>
              <w:jc w:val="both"/>
              <w:rPr>
                <w:rFonts w:ascii="Book Antiqua" w:hAnsi="Book Antiqua"/>
                <w:b/>
                <w:bCs/>
                <w:vertAlign w:val="superscript"/>
              </w:rPr>
            </w:pPr>
            <w:r>
              <w:rPr>
                <w:rFonts w:ascii="Book Antiqua" w:hAnsi="Book Antiqua"/>
                <w:b/>
                <w:bCs/>
                <w:i/>
                <w:iCs/>
              </w:rPr>
              <w:t>χ</w:t>
            </w:r>
            <w:r>
              <w:rPr>
                <w:rFonts w:ascii="Book Antiqua" w:hAnsi="Book Antiqua"/>
                <w:b/>
                <w:bCs/>
                <w:vertAlign w:val="superscript"/>
              </w:rPr>
              <w:t>2</w:t>
            </w:r>
            <w:r>
              <w:rPr>
                <w:rFonts w:ascii="Book Antiqua" w:hAnsi="Book Antiqua" w:hint="eastAsia"/>
                <w:b/>
                <w:bCs/>
                <w:vertAlign w:val="superscript"/>
                <w:lang w:eastAsia="zh-CN"/>
              </w:rPr>
              <w:t xml:space="preserve"> </w:t>
            </w:r>
            <w:r>
              <w:rPr>
                <w:rFonts w:ascii="Book Antiqua" w:hAnsi="Book Antiqua"/>
                <w:b/>
                <w:bCs/>
              </w:rPr>
              <w:t>value</w:t>
            </w:r>
          </w:p>
        </w:tc>
        <w:tc>
          <w:tcPr>
            <w:tcW w:w="506" w:type="pct"/>
            <w:vMerge w:val="restart"/>
            <w:tcBorders>
              <w:top w:val="single" w:sz="8" w:space="0" w:color="auto"/>
              <w:bottom w:val="single" w:sz="8" w:space="0" w:color="auto"/>
            </w:tcBorders>
            <w:vAlign w:val="center"/>
          </w:tcPr>
          <w:p w14:paraId="7525993F" w14:textId="77777777" w:rsidR="001154E7" w:rsidRDefault="00ED61B9">
            <w:pPr>
              <w:adjustRightInd w:val="0"/>
              <w:snapToGrid w:val="0"/>
              <w:spacing w:line="360" w:lineRule="auto"/>
              <w:jc w:val="both"/>
              <w:rPr>
                <w:rFonts w:ascii="Book Antiqua" w:hAnsi="Book Antiqua"/>
                <w:b/>
                <w:bCs/>
                <w:i/>
                <w:iCs/>
              </w:rPr>
            </w:pPr>
            <w:r>
              <w:rPr>
                <w:rFonts w:ascii="Book Antiqua" w:hAnsi="Book Antiqua"/>
                <w:b/>
                <w:bCs/>
                <w:i/>
                <w:iCs/>
              </w:rPr>
              <w:t>P</w:t>
            </w:r>
            <w:r>
              <w:rPr>
                <w:rFonts w:ascii="Book Antiqua" w:hAnsi="Book Antiqua" w:hint="eastAsia"/>
                <w:b/>
                <w:bCs/>
                <w:i/>
                <w:iCs/>
                <w:lang w:eastAsia="zh-CN"/>
              </w:rPr>
              <w:t xml:space="preserve"> </w:t>
            </w:r>
            <w:r>
              <w:rPr>
                <w:rFonts w:ascii="Book Antiqua" w:hAnsi="Book Antiqua"/>
                <w:b/>
                <w:bCs/>
              </w:rPr>
              <w:t>value</w:t>
            </w:r>
          </w:p>
        </w:tc>
        <w:tc>
          <w:tcPr>
            <w:tcW w:w="1254" w:type="pct"/>
            <w:gridSpan w:val="4"/>
            <w:tcBorders>
              <w:top w:val="single" w:sz="8" w:space="0" w:color="auto"/>
              <w:bottom w:val="single" w:sz="8" w:space="0" w:color="auto"/>
            </w:tcBorders>
            <w:vAlign w:val="center"/>
          </w:tcPr>
          <w:p w14:paraId="3E750D5C" w14:textId="77777777" w:rsidR="001154E7" w:rsidRDefault="00ED61B9">
            <w:pPr>
              <w:adjustRightInd w:val="0"/>
              <w:snapToGrid w:val="0"/>
              <w:spacing w:line="360" w:lineRule="auto"/>
              <w:ind w:firstLine="420"/>
              <w:jc w:val="both"/>
              <w:rPr>
                <w:rFonts w:ascii="Book Antiqua" w:hAnsi="Book Antiqua"/>
                <w:b/>
                <w:bCs/>
              </w:rPr>
            </w:pPr>
            <w:r>
              <w:rPr>
                <w:rFonts w:ascii="Book Antiqua" w:hAnsi="Book Antiqua"/>
                <w:b/>
                <w:bCs/>
              </w:rPr>
              <w:t>TUFT1 score</w:t>
            </w:r>
          </w:p>
        </w:tc>
        <w:tc>
          <w:tcPr>
            <w:tcW w:w="442" w:type="pct"/>
            <w:vMerge w:val="restart"/>
            <w:tcBorders>
              <w:top w:val="single" w:sz="8" w:space="0" w:color="auto"/>
              <w:bottom w:val="single" w:sz="8" w:space="0" w:color="auto"/>
            </w:tcBorders>
            <w:vAlign w:val="center"/>
          </w:tcPr>
          <w:p w14:paraId="2B8E457C"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Z value</w:t>
            </w:r>
          </w:p>
        </w:tc>
        <w:tc>
          <w:tcPr>
            <w:tcW w:w="541" w:type="pct"/>
            <w:vMerge w:val="restart"/>
            <w:tcBorders>
              <w:top w:val="single" w:sz="8" w:space="0" w:color="auto"/>
              <w:bottom w:val="single" w:sz="8" w:space="0" w:color="auto"/>
            </w:tcBorders>
            <w:vAlign w:val="center"/>
          </w:tcPr>
          <w:p w14:paraId="0C0C6F55" w14:textId="77777777" w:rsidR="001154E7" w:rsidRDefault="00ED61B9">
            <w:pPr>
              <w:adjustRightInd w:val="0"/>
              <w:snapToGrid w:val="0"/>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1154E7" w14:paraId="36474F15" w14:textId="77777777">
        <w:trPr>
          <w:trHeight w:val="340"/>
          <w:jc w:val="center"/>
        </w:trPr>
        <w:tc>
          <w:tcPr>
            <w:tcW w:w="635" w:type="pct"/>
            <w:vMerge/>
            <w:tcBorders>
              <w:top w:val="single" w:sz="8" w:space="0" w:color="auto"/>
              <w:bottom w:val="single" w:sz="8" w:space="0" w:color="auto"/>
            </w:tcBorders>
            <w:vAlign w:val="center"/>
          </w:tcPr>
          <w:p w14:paraId="2CA32345" w14:textId="77777777" w:rsidR="001154E7" w:rsidRDefault="001154E7">
            <w:pPr>
              <w:adjustRightInd w:val="0"/>
              <w:snapToGrid w:val="0"/>
              <w:spacing w:line="360" w:lineRule="auto"/>
              <w:jc w:val="both"/>
              <w:rPr>
                <w:rFonts w:ascii="Book Antiqua" w:hAnsi="Book Antiqua"/>
              </w:rPr>
            </w:pPr>
          </w:p>
        </w:tc>
        <w:tc>
          <w:tcPr>
            <w:tcW w:w="386" w:type="pct"/>
            <w:vMerge/>
            <w:tcBorders>
              <w:top w:val="single" w:sz="8" w:space="0" w:color="auto"/>
              <w:bottom w:val="single" w:sz="8" w:space="0" w:color="auto"/>
            </w:tcBorders>
            <w:vAlign w:val="center"/>
          </w:tcPr>
          <w:p w14:paraId="098CD63A" w14:textId="77777777" w:rsidR="001154E7" w:rsidRDefault="001154E7">
            <w:pPr>
              <w:adjustRightInd w:val="0"/>
              <w:snapToGrid w:val="0"/>
              <w:spacing w:line="360" w:lineRule="auto"/>
              <w:ind w:firstLine="420"/>
              <w:jc w:val="both"/>
              <w:rPr>
                <w:rFonts w:ascii="Book Antiqua" w:hAnsi="Book Antiqua"/>
              </w:rPr>
            </w:pPr>
          </w:p>
        </w:tc>
        <w:tc>
          <w:tcPr>
            <w:tcW w:w="386" w:type="pct"/>
            <w:tcBorders>
              <w:top w:val="single" w:sz="8" w:space="0" w:color="auto"/>
              <w:bottom w:val="single" w:sz="8" w:space="0" w:color="auto"/>
            </w:tcBorders>
            <w:vAlign w:val="center"/>
          </w:tcPr>
          <w:p w14:paraId="7B031F79"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Neg.</w:t>
            </w:r>
          </w:p>
        </w:tc>
        <w:tc>
          <w:tcPr>
            <w:tcW w:w="386" w:type="pct"/>
            <w:tcBorders>
              <w:top w:val="single" w:sz="8" w:space="0" w:color="auto"/>
              <w:bottom w:val="single" w:sz="8" w:space="0" w:color="auto"/>
            </w:tcBorders>
            <w:vAlign w:val="center"/>
          </w:tcPr>
          <w:p w14:paraId="41DB4BD5"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Pos.</w:t>
            </w:r>
          </w:p>
        </w:tc>
        <w:tc>
          <w:tcPr>
            <w:tcW w:w="463" w:type="pct"/>
            <w:vMerge/>
            <w:tcBorders>
              <w:top w:val="single" w:sz="8" w:space="0" w:color="auto"/>
              <w:bottom w:val="single" w:sz="8" w:space="0" w:color="auto"/>
            </w:tcBorders>
            <w:vAlign w:val="center"/>
          </w:tcPr>
          <w:p w14:paraId="14F9135B" w14:textId="77777777" w:rsidR="001154E7" w:rsidRDefault="001154E7">
            <w:pPr>
              <w:adjustRightInd w:val="0"/>
              <w:snapToGrid w:val="0"/>
              <w:spacing w:line="360" w:lineRule="auto"/>
              <w:ind w:firstLine="420"/>
              <w:jc w:val="both"/>
              <w:rPr>
                <w:rFonts w:ascii="Book Antiqua" w:hAnsi="Book Antiqua"/>
                <w:b/>
                <w:bCs/>
              </w:rPr>
            </w:pPr>
          </w:p>
        </w:tc>
        <w:tc>
          <w:tcPr>
            <w:tcW w:w="506" w:type="pct"/>
            <w:vMerge/>
            <w:tcBorders>
              <w:top w:val="single" w:sz="8" w:space="0" w:color="auto"/>
              <w:bottom w:val="single" w:sz="8" w:space="0" w:color="auto"/>
            </w:tcBorders>
            <w:vAlign w:val="center"/>
          </w:tcPr>
          <w:p w14:paraId="32684FE5" w14:textId="77777777" w:rsidR="001154E7" w:rsidRDefault="001154E7">
            <w:pPr>
              <w:adjustRightInd w:val="0"/>
              <w:snapToGrid w:val="0"/>
              <w:spacing w:line="360" w:lineRule="auto"/>
              <w:ind w:firstLine="420"/>
              <w:jc w:val="both"/>
              <w:rPr>
                <w:rFonts w:ascii="Book Antiqua" w:hAnsi="Book Antiqua"/>
                <w:b/>
                <w:bCs/>
              </w:rPr>
            </w:pPr>
          </w:p>
        </w:tc>
        <w:tc>
          <w:tcPr>
            <w:tcW w:w="325" w:type="pct"/>
            <w:tcBorders>
              <w:top w:val="single" w:sz="8" w:space="0" w:color="auto"/>
              <w:bottom w:val="single" w:sz="8" w:space="0" w:color="auto"/>
            </w:tcBorders>
            <w:vAlign w:val="center"/>
          </w:tcPr>
          <w:p w14:paraId="66CDC2C1"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0</w:t>
            </w:r>
          </w:p>
        </w:tc>
        <w:tc>
          <w:tcPr>
            <w:tcW w:w="309" w:type="pct"/>
            <w:tcBorders>
              <w:top w:val="single" w:sz="8" w:space="0" w:color="auto"/>
              <w:bottom w:val="single" w:sz="8" w:space="0" w:color="auto"/>
            </w:tcBorders>
            <w:vAlign w:val="center"/>
          </w:tcPr>
          <w:p w14:paraId="7EB559A6"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1</w:t>
            </w:r>
          </w:p>
        </w:tc>
        <w:tc>
          <w:tcPr>
            <w:tcW w:w="309" w:type="pct"/>
            <w:tcBorders>
              <w:top w:val="single" w:sz="8" w:space="0" w:color="auto"/>
              <w:bottom w:val="single" w:sz="8" w:space="0" w:color="auto"/>
            </w:tcBorders>
            <w:vAlign w:val="center"/>
          </w:tcPr>
          <w:p w14:paraId="0E3D38F5"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2</w:t>
            </w:r>
          </w:p>
        </w:tc>
        <w:tc>
          <w:tcPr>
            <w:tcW w:w="312" w:type="pct"/>
            <w:tcBorders>
              <w:top w:val="single" w:sz="8" w:space="0" w:color="auto"/>
              <w:bottom w:val="single" w:sz="8" w:space="0" w:color="auto"/>
            </w:tcBorders>
            <w:vAlign w:val="center"/>
          </w:tcPr>
          <w:p w14:paraId="5DBEC806"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3</w:t>
            </w:r>
          </w:p>
        </w:tc>
        <w:tc>
          <w:tcPr>
            <w:tcW w:w="442" w:type="pct"/>
            <w:vMerge/>
            <w:tcBorders>
              <w:top w:val="single" w:sz="8" w:space="0" w:color="auto"/>
              <w:bottom w:val="single" w:sz="8" w:space="0" w:color="auto"/>
            </w:tcBorders>
            <w:vAlign w:val="center"/>
          </w:tcPr>
          <w:p w14:paraId="7B0C70C8" w14:textId="77777777" w:rsidR="001154E7" w:rsidRDefault="001154E7">
            <w:pPr>
              <w:adjustRightInd w:val="0"/>
              <w:snapToGrid w:val="0"/>
              <w:spacing w:line="360" w:lineRule="auto"/>
              <w:ind w:firstLine="420"/>
              <w:jc w:val="both"/>
              <w:rPr>
                <w:rFonts w:ascii="Book Antiqua" w:hAnsi="Book Antiqua"/>
              </w:rPr>
            </w:pPr>
          </w:p>
        </w:tc>
        <w:tc>
          <w:tcPr>
            <w:tcW w:w="541" w:type="pct"/>
            <w:vMerge/>
            <w:tcBorders>
              <w:top w:val="single" w:sz="8" w:space="0" w:color="auto"/>
              <w:bottom w:val="single" w:sz="8" w:space="0" w:color="auto"/>
            </w:tcBorders>
            <w:vAlign w:val="center"/>
          </w:tcPr>
          <w:p w14:paraId="274FAA5C" w14:textId="77777777" w:rsidR="001154E7" w:rsidRDefault="001154E7">
            <w:pPr>
              <w:adjustRightInd w:val="0"/>
              <w:snapToGrid w:val="0"/>
              <w:spacing w:line="360" w:lineRule="auto"/>
              <w:ind w:firstLine="420"/>
              <w:jc w:val="both"/>
              <w:rPr>
                <w:rFonts w:ascii="Book Antiqua" w:hAnsi="Book Antiqua"/>
              </w:rPr>
            </w:pPr>
          </w:p>
        </w:tc>
      </w:tr>
      <w:tr w:rsidR="001154E7" w14:paraId="27B233A2" w14:textId="77777777">
        <w:trPr>
          <w:trHeight w:val="340"/>
          <w:jc w:val="center"/>
        </w:trPr>
        <w:tc>
          <w:tcPr>
            <w:tcW w:w="635" w:type="pct"/>
            <w:tcBorders>
              <w:top w:val="single" w:sz="8" w:space="0" w:color="auto"/>
            </w:tcBorders>
            <w:vAlign w:val="center"/>
          </w:tcPr>
          <w:p w14:paraId="68B1B34A" w14:textId="77777777" w:rsidR="001154E7" w:rsidRDefault="00ED61B9">
            <w:pPr>
              <w:adjustRightInd w:val="0"/>
              <w:snapToGrid w:val="0"/>
              <w:spacing w:line="360" w:lineRule="auto"/>
              <w:jc w:val="both"/>
              <w:rPr>
                <w:rFonts w:ascii="Book Antiqua" w:hAnsi="Book Antiqua"/>
              </w:rPr>
            </w:pPr>
            <w:r>
              <w:rPr>
                <w:rFonts w:ascii="Book Antiqua" w:hAnsi="Book Antiqua"/>
              </w:rPr>
              <w:t>HCC</w:t>
            </w:r>
          </w:p>
        </w:tc>
        <w:tc>
          <w:tcPr>
            <w:tcW w:w="386" w:type="pct"/>
            <w:tcBorders>
              <w:top w:val="single" w:sz="8" w:space="0" w:color="auto"/>
            </w:tcBorders>
            <w:vAlign w:val="center"/>
          </w:tcPr>
          <w:p w14:paraId="043815D9" w14:textId="77777777" w:rsidR="001154E7" w:rsidRDefault="00ED61B9">
            <w:pPr>
              <w:adjustRightInd w:val="0"/>
              <w:snapToGrid w:val="0"/>
              <w:spacing w:line="360" w:lineRule="auto"/>
              <w:jc w:val="both"/>
              <w:rPr>
                <w:rFonts w:ascii="Book Antiqua" w:hAnsi="Book Antiqua"/>
              </w:rPr>
            </w:pPr>
            <w:r>
              <w:rPr>
                <w:rFonts w:ascii="Book Antiqua" w:hAnsi="Book Antiqua"/>
              </w:rPr>
              <w:t>132</w:t>
            </w:r>
          </w:p>
        </w:tc>
        <w:tc>
          <w:tcPr>
            <w:tcW w:w="386" w:type="pct"/>
            <w:tcBorders>
              <w:top w:val="single" w:sz="8" w:space="0" w:color="auto"/>
            </w:tcBorders>
            <w:vAlign w:val="center"/>
          </w:tcPr>
          <w:p w14:paraId="76AAD1E3" w14:textId="77777777" w:rsidR="001154E7" w:rsidRDefault="00ED61B9">
            <w:pPr>
              <w:adjustRightInd w:val="0"/>
              <w:snapToGrid w:val="0"/>
              <w:spacing w:line="360" w:lineRule="auto"/>
              <w:jc w:val="both"/>
              <w:rPr>
                <w:rFonts w:ascii="Book Antiqua" w:hAnsi="Book Antiqua"/>
                <w:color w:val="C00000"/>
              </w:rPr>
            </w:pPr>
            <w:r>
              <w:rPr>
                <w:rFonts w:ascii="Book Antiqua" w:hAnsi="Book Antiqua"/>
              </w:rPr>
              <w:t>17</w:t>
            </w:r>
          </w:p>
        </w:tc>
        <w:tc>
          <w:tcPr>
            <w:tcW w:w="386" w:type="pct"/>
            <w:tcBorders>
              <w:top w:val="single" w:sz="8" w:space="0" w:color="auto"/>
            </w:tcBorders>
            <w:vAlign w:val="center"/>
          </w:tcPr>
          <w:p w14:paraId="1242EA2D" w14:textId="77777777" w:rsidR="001154E7" w:rsidRDefault="00ED61B9">
            <w:pPr>
              <w:adjustRightInd w:val="0"/>
              <w:snapToGrid w:val="0"/>
              <w:spacing w:line="360" w:lineRule="auto"/>
              <w:jc w:val="both"/>
              <w:rPr>
                <w:rFonts w:ascii="Book Antiqua" w:hAnsi="Book Antiqua"/>
                <w:color w:val="C00000"/>
              </w:rPr>
            </w:pPr>
            <w:r>
              <w:rPr>
                <w:rFonts w:ascii="Book Antiqua" w:hAnsi="Book Antiqua"/>
              </w:rPr>
              <w:t>115</w:t>
            </w:r>
          </w:p>
        </w:tc>
        <w:tc>
          <w:tcPr>
            <w:tcW w:w="463" w:type="pct"/>
            <w:vMerge w:val="restart"/>
            <w:tcBorders>
              <w:top w:val="single" w:sz="8" w:space="0" w:color="auto"/>
            </w:tcBorders>
            <w:vAlign w:val="center"/>
          </w:tcPr>
          <w:p w14:paraId="2C1E8BCD" w14:textId="77777777" w:rsidR="001154E7" w:rsidRDefault="00ED61B9">
            <w:pPr>
              <w:adjustRightInd w:val="0"/>
              <w:snapToGrid w:val="0"/>
              <w:spacing w:line="360" w:lineRule="auto"/>
              <w:jc w:val="both"/>
              <w:rPr>
                <w:rFonts w:ascii="Book Antiqua" w:hAnsi="Book Antiqua"/>
              </w:rPr>
            </w:pPr>
            <w:r>
              <w:rPr>
                <w:rFonts w:ascii="Book Antiqua" w:hAnsi="Book Antiqua"/>
              </w:rPr>
              <w:t>18.563</w:t>
            </w:r>
          </w:p>
        </w:tc>
        <w:tc>
          <w:tcPr>
            <w:tcW w:w="506" w:type="pct"/>
            <w:vMerge w:val="restart"/>
            <w:tcBorders>
              <w:top w:val="single" w:sz="8" w:space="0" w:color="auto"/>
            </w:tcBorders>
            <w:vAlign w:val="center"/>
          </w:tcPr>
          <w:p w14:paraId="2AE60DF1" w14:textId="77777777" w:rsidR="001154E7" w:rsidRDefault="00ED61B9">
            <w:pPr>
              <w:adjustRightInd w:val="0"/>
              <w:snapToGrid w:val="0"/>
              <w:spacing w:line="360" w:lineRule="auto"/>
              <w:jc w:val="both"/>
              <w:rPr>
                <w:rFonts w:ascii="Book Antiqua" w:hAnsi="Book Antiqua"/>
              </w:rPr>
            </w:pPr>
            <w:r>
              <w:rPr>
                <w:rFonts w:ascii="Book Antiqua" w:hAnsi="Book Antiqua"/>
              </w:rPr>
              <w:t>&lt; 0.001</w:t>
            </w:r>
          </w:p>
        </w:tc>
        <w:tc>
          <w:tcPr>
            <w:tcW w:w="325" w:type="pct"/>
            <w:tcBorders>
              <w:top w:val="single" w:sz="8" w:space="0" w:color="auto"/>
            </w:tcBorders>
            <w:vAlign w:val="center"/>
          </w:tcPr>
          <w:p w14:paraId="56B1A18E"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17</w:t>
            </w:r>
          </w:p>
        </w:tc>
        <w:tc>
          <w:tcPr>
            <w:tcW w:w="309" w:type="pct"/>
            <w:tcBorders>
              <w:top w:val="single" w:sz="8" w:space="0" w:color="auto"/>
            </w:tcBorders>
            <w:vAlign w:val="center"/>
          </w:tcPr>
          <w:p w14:paraId="778F979A"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49</w:t>
            </w:r>
          </w:p>
        </w:tc>
        <w:tc>
          <w:tcPr>
            <w:tcW w:w="309" w:type="pct"/>
            <w:tcBorders>
              <w:top w:val="single" w:sz="8" w:space="0" w:color="auto"/>
            </w:tcBorders>
            <w:vAlign w:val="center"/>
          </w:tcPr>
          <w:p w14:paraId="5AB7F909"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55</w:t>
            </w:r>
          </w:p>
        </w:tc>
        <w:tc>
          <w:tcPr>
            <w:tcW w:w="312" w:type="pct"/>
            <w:tcBorders>
              <w:top w:val="single" w:sz="8" w:space="0" w:color="auto"/>
            </w:tcBorders>
            <w:vAlign w:val="center"/>
          </w:tcPr>
          <w:p w14:paraId="5ED9C57B"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11</w:t>
            </w:r>
          </w:p>
        </w:tc>
        <w:tc>
          <w:tcPr>
            <w:tcW w:w="442" w:type="pct"/>
            <w:vMerge w:val="restart"/>
            <w:tcBorders>
              <w:top w:val="single" w:sz="8" w:space="0" w:color="auto"/>
            </w:tcBorders>
            <w:vAlign w:val="center"/>
          </w:tcPr>
          <w:p w14:paraId="6379D925" w14:textId="77777777" w:rsidR="001154E7" w:rsidRDefault="00ED61B9">
            <w:pPr>
              <w:adjustRightInd w:val="0"/>
              <w:snapToGrid w:val="0"/>
              <w:spacing w:line="360" w:lineRule="auto"/>
              <w:jc w:val="both"/>
              <w:rPr>
                <w:rFonts w:ascii="Book Antiqua" w:hAnsi="Book Antiqua"/>
                <w:b/>
                <w:bCs/>
                <w:color w:val="C00000"/>
              </w:rPr>
            </w:pPr>
            <w:r>
              <w:rPr>
                <w:rFonts w:ascii="Book Antiqua" w:hAnsi="Book Antiqua"/>
              </w:rPr>
              <w:t>4.911</w:t>
            </w:r>
          </w:p>
        </w:tc>
        <w:tc>
          <w:tcPr>
            <w:tcW w:w="541" w:type="pct"/>
            <w:vMerge w:val="restart"/>
            <w:tcBorders>
              <w:top w:val="single" w:sz="8" w:space="0" w:color="auto"/>
            </w:tcBorders>
            <w:vAlign w:val="center"/>
          </w:tcPr>
          <w:p w14:paraId="548C5BFF" w14:textId="77777777" w:rsidR="001154E7" w:rsidRDefault="00ED61B9">
            <w:pPr>
              <w:adjustRightInd w:val="0"/>
              <w:snapToGrid w:val="0"/>
              <w:spacing w:line="360" w:lineRule="auto"/>
              <w:jc w:val="both"/>
              <w:rPr>
                <w:rFonts w:ascii="Book Antiqua" w:hAnsi="Book Antiqua"/>
                <w:color w:val="000000"/>
              </w:rPr>
            </w:pPr>
            <w:r>
              <w:rPr>
                <w:rFonts w:ascii="Book Antiqua" w:hAnsi="Book Antiqua"/>
                <w:color w:val="000000"/>
              </w:rPr>
              <w:t>&lt; 0.001</w:t>
            </w:r>
          </w:p>
        </w:tc>
      </w:tr>
      <w:tr w:rsidR="001154E7" w14:paraId="36FA2D4E" w14:textId="77777777">
        <w:trPr>
          <w:trHeight w:val="340"/>
          <w:jc w:val="center"/>
        </w:trPr>
        <w:tc>
          <w:tcPr>
            <w:tcW w:w="635" w:type="pct"/>
            <w:vAlign w:val="center"/>
          </w:tcPr>
          <w:p w14:paraId="7A739A33" w14:textId="77777777" w:rsidR="001154E7" w:rsidRDefault="00ED61B9">
            <w:pPr>
              <w:adjustRightInd w:val="0"/>
              <w:snapToGrid w:val="0"/>
              <w:spacing w:line="360" w:lineRule="auto"/>
              <w:jc w:val="both"/>
              <w:rPr>
                <w:rFonts w:ascii="Book Antiqua" w:hAnsi="Book Antiqua"/>
              </w:rPr>
            </w:pPr>
            <w:r>
              <w:rPr>
                <w:rFonts w:ascii="Book Antiqua" w:hAnsi="Book Antiqua"/>
              </w:rPr>
              <w:t>Non-HCC</w:t>
            </w:r>
          </w:p>
        </w:tc>
        <w:tc>
          <w:tcPr>
            <w:tcW w:w="386" w:type="pct"/>
            <w:vAlign w:val="center"/>
          </w:tcPr>
          <w:p w14:paraId="3FEF9A40" w14:textId="77777777" w:rsidR="001154E7" w:rsidRDefault="00ED61B9">
            <w:pPr>
              <w:adjustRightInd w:val="0"/>
              <w:snapToGrid w:val="0"/>
              <w:spacing w:line="360" w:lineRule="auto"/>
              <w:jc w:val="both"/>
              <w:rPr>
                <w:rFonts w:ascii="Book Antiqua" w:hAnsi="Book Antiqua"/>
              </w:rPr>
            </w:pPr>
            <w:r>
              <w:rPr>
                <w:rFonts w:ascii="Book Antiqua" w:hAnsi="Book Antiqua"/>
              </w:rPr>
              <w:t>132</w:t>
            </w:r>
          </w:p>
        </w:tc>
        <w:tc>
          <w:tcPr>
            <w:tcW w:w="386" w:type="pct"/>
            <w:vAlign w:val="center"/>
          </w:tcPr>
          <w:p w14:paraId="65FD6FAD" w14:textId="77777777" w:rsidR="001154E7" w:rsidRDefault="00ED61B9">
            <w:pPr>
              <w:adjustRightInd w:val="0"/>
              <w:snapToGrid w:val="0"/>
              <w:spacing w:line="360" w:lineRule="auto"/>
              <w:jc w:val="both"/>
              <w:rPr>
                <w:rFonts w:ascii="Book Antiqua" w:hAnsi="Book Antiqua"/>
                <w:color w:val="C00000"/>
              </w:rPr>
            </w:pPr>
            <w:r>
              <w:rPr>
                <w:rFonts w:ascii="Book Antiqua" w:hAnsi="Book Antiqua"/>
              </w:rPr>
              <w:t>47</w:t>
            </w:r>
          </w:p>
        </w:tc>
        <w:tc>
          <w:tcPr>
            <w:tcW w:w="386" w:type="pct"/>
            <w:vAlign w:val="center"/>
          </w:tcPr>
          <w:p w14:paraId="46B2254D" w14:textId="77777777" w:rsidR="001154E7" w:rsidRDefault="00ED61B9">
            <w:pPr>
              <w:adjustRightInd w:val="0"/>
              <w:snapToGrid w:val="0"/>
              <w:spacing w:line="360" w:lineRule="auto"/>
              <w:jc w:val="both"/>
              <w:rPr>
                <w:rFonts w:ascii="Book Antiqua" w:hAnsi="Book Antiqua"/>
                <w:color w:val="C00000"/>
              </w:rPr>
            </w:pPr>
            <w:r>
              <w:rPr>
                <w:rFonts w:ascii="Book Antiqua" w:hAnsi="Book Antiqua"/>
              </w:rPr>
              <w:t>85</w:t>
            </w:r>
          </w:p>
        </w:tc>
        <w:tc>
          <w:tcPr>
            <w:tcW w:w="463" w:type="pct"/>
            <w:vMerge/>
            <w:vAlign w:val="center"/>
          </w:tcPr>
          <w:p w14:paraId="3B4DD290" w14:textId="77777777" w:rsidR="001154E7" w:rsidRDefault="001154E7">
            <w:pPr>
              <w:adjustRightInd w:val="0"/>
              <w:snapToGrid w:val="0"/>
              <w:spacing w:line="360" w:lineRule="auto"/>
              <w:ind w:firstLine="422"/>
              <w:jc w:val="both"/>
              <w:rPr>
                <w:rFonts w:ascii="Book Antiqua" w:hAnsi="Book Antiqua"/>
                <w:b/>
                <w:bCs/>
                <w:color w:val="C00000"/>
              </w:rPr>
            </w:pPr>
          </w:p>
        </w:tc>
        <w:tc>
          <w:tcPr>
            <w:tcW w:w="506" w:type="pct"/>
            <w:vMerge/>
            <w:vAlign w:val="center"/>
          </w:tcPr>
          <w:p w14:paraId="3393C51D" w14:textId="77777777" w:rsidR="001154E7" w:rsidRDefault="001154E7">
            <w:pPr>
              <w:adjustRightInd w:val="0"/>
              <w:snapToGrid w:val="0"/>
              <w:spacing w:line="360" w:lineRule="auto"/>
              <w:ind w:firstLine="420"/>
              <w:jc w:val="both"/>
              <w:rPr>
                <w:rFonts w:ascii="Book Antiqua" w:hAnsi="Book Antiqua"/>
                <w:color w:val="000000"/>
              </w:rPr>
            </w:pPr>
          </w:p>
        </w:tc>
        <w:tc>
          <w:tcPr>
            <w:tcW w:w="325" w:type="pct"/>
            <w:vAlign w:val="center"/>
          </w:tcPr>
          <w:p w14:paraId="46FDCB77"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47</w:t>
            </w:r>
          </w:p>
        </w:tc>
        <w:tc>
          <w:tcPr>
            <w:tcW w:w="309" w:type="pct"/>
            <w:vAlign w:val="center"/>
          </w:tcPr>
          <w:p w14:paraId="11737D95"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54</w:t>
            </w:r>
          </w:p>
        </w:tc>
        <w:tc>
          <w:tcPr>
            <w:tcW w:w="309" w:type="pct"/>
            <w:vAlign w:val="center"/>
          </w:tcPr>
          <w:p w14:paraId="16A57F71"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23</w:t>
            </w:r>
          </w:p>
        </w:tc>
        <w:tc>
          <w:tcPr>
            <w:tcW w:w="312" w:type="pct"/>
            <w:vAlign w:val="center"/>
          </w:tcPr>
          <w:p w14:paraId="6616E25F"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8</w:t>
            </w:r>
          </w:p>
        </w:tc>
        <w:tc>
          <w:tcPr>
            <w:tcW w:w="442" w:type="pct"/>
            <w:vMerge/>
            <w:vAlign w:val="center"/>
          </w:tcPr>
          <w:p w14:paraId="16F74BED" w14:textId="77777777" w:rsidR="001154E7" w:rsidRDefault="001154E7">
            <w:pPr>
              <w:adjustRightInd w:val="0"/>
              <w:snapToGrid w:val="0"/>
              <w:spacing w:line="360" w:lineRule="auto"/>
              <w:ind w:firstLine="422"/>
              <w:jc w:val="both"/>
              <w:rPr>
                <w:rFonts w:ascii="Book Antiqua" w:hAnsi="Book Antiqua"/>
                <w:b/>
                <w:bCs/>
                <w:color w:val="C00000"/>
              </w:rPr>
            </w:pPr>
          </w:p>
        </w:tc>
        <w:tc>
          <w:tcPr>
            <w:tcW w:w="541" w:type="pct"/>
            <w:vMerge/>
            <w:vAlign w:val="center"/>
          </w:tcPr>
          <w:p w14:paraId="28288EC7" w14:textId="77777777" w:rsidR="001154E7" w:rsidRDefault="001154E7">
            <w:pPr>
              <w:adjustRightInd w:val="0"/>
              <w:snapToGrid w:val="0"/>
              <w:spacing w:line="360" w:lineRule="auto"/>
              <w:ind w:firstLine="420"/>
              <w:jc w:val="both"/>
              <w:rPr>
                <w:rFonts w:ascii="Book Antiqua" w:hAnsi="Book Antiqua"/>
                <w:color w:val="000000"/>
              </w:rPr>
            </w:pPr>
          </w:p>
        </w:tc>
      </w:tr>
    </w:tbl>
    <w:p w14:paraId="36A8C7FA" w14:textId="77777777" w:rsidR="001154E7" w:rsidRDefault="00ED61B9">
      <w:pPr>
        <w:adjustRightInd w:val="0"/>
        <w:snapToGrid w:val="0"/>
        <w:spacing w:line="360" w:lineRule="auto"/>
        <w:jc w:val="both"/>
        <w:rPr>
          <w:rFonts w:ascii="Book Antiqua" w:hAnsi="Book Antiqua"/>
          <w:bCs/>
        </w:rPr>
      </w:pPr>
      <w:r>
        <w:rPr>
          <w:rFonts w:ascii="Book Antiqua" w:hAnsi="Book Antiqua"/>
          <w:bCs/>
        </w:rPr>
        <w:t>HCC: Hepatocellular carcinoma; Neg: Negative; Non-HCC: Non-cancerous tissue</w:t>
      </w:r>
      <w:r>
        <w:rPr>
          <w:rFonts w:ascii="Book Antiqua" w:hAnsi="Book Antiqua" w:hint="eastAsia"/>
          <w:bCs/>
          <w:lang w:eastAsia="zh-CN"/>
        </w:rPr>
        <w:t>;</w:t>
      </w:r>
      <w:r>
        <w:rPr>
          <w:rFonts w:ascii="Book Antiqua" w:hAnsi="Book Antiqua"/>
          <w:bCs/>
          <w:lang w:eastAsia="zh-CN"/>
        </w:rPr>
        <w:t xml:space="preserve"> </w:t>
      </w:r>
      <w:r>
        <w:rPr>
          <w:rFonts w:ascii="Book Antiqua" w:hAnsi="Book Antiqua"/>
          <w:bCs/>
        </w:rPr>
        <w:t>Pos: Positive; TUFT1: Tuftelin 1.</w:t>
      </w:r>
    </w:p>
    <w:p w14:paraId="040C95F8" w14:textId="77777777" w:rsidR="001154E7" w:rsidRDefault="00ED61B9">
      <w:pPr>
        <w:pStyle w:val="NormalWeb"/>
        <w:adjustRightInd w:val="0"/>
        <w:snapToGrid w:val="0"/>
        <w:spacing w:before="0" w:beforeAutospacing="0" w:after="0" w:afterAutospacing="0" w:line="360" w:lineRule="auto"/>
        <w:jc w:val="both"/>
        <w:rPr>
          <w:rFonts w:ascii="Book Antiqua" w:hAnsi="Book Antiqua" w:cs="Times New Roman"/>
          <w:b/>
          <w:bCs/>
        </w:rPr>
      </w:pPr>
      <w:r>
        <w:rPr>
          <w:rFonts w:ascii="Book Antiqua" w:hAnsi="Book Antiqua" w:cs="Times New Roman"/>
          <w:b/>
          <w:bCs/>
        </w:rPr>
        <w:br w:type="page"/>
      </w:r>
      <w:r>
        <w:rPr>
          <w:rFonts w:ascii="Book Antiqua" w:hAnsi="Book Antiqua" w:cs="Times New Roman"/>
          <w:b/>
          <w:bCs/>
        </w:rPr>
        <w:lastRenderedPageBreak/>
        <w:t xml:space="preserve">Table 2 Relationship between </w:t>
      </w:r>
      <w:r>
        <w:rPr>
          <w:rFonts w:ascii="Book Antiqua" w:hAnsi="Book Antiqua"/>
          <w:b/>
          <w:bCs/>
        </w:rPr>
        <w:t xml:space="preserve">tuftelin 1 </w:t>
      </w:r>
      <w:r>
        <w:rPr>
          <w:rFonts w:ascii="Book Antiqua" w:hAnsi="Book Antiqua" w:cs="Times New Roman"/>
          <w:b/>
          <w:bCs/>
        </w:rPr>
        <w:t xml:space="preserve">and clinicopathological characteristics in </w:t>
      </w:r>
      <w:r>
        <w:rPr>
          <w:rFonts w:ascii="Book Antiqua" w:hAnsi="Book Antiqua"/>
          <w:b/>
          <w:bCs/>
        </w:rPr>
        <w:t xml:space="preserve">hepatocellular carcinoma </w:t>
      </w:r>
      <w:r>
        <w:rPr>
          <w:rFonts w:ascii="Book Antiqua" w:hAnsi="Book Antiqua" w:cs="Times New Roman"/>
          <w:b/>
          <w:bCs/>
        </w:rPr>
        <w:t>patients</w:t>
      </w:r>
    </w:p>
    <w:tbl>
      <w:tblPr>
        <w:tblW w:w="5000" w:type="pct"/>
        <w:jc w:val="center"/>
        <w:tblBorders>
          <w:top w:val="single" w:sz="4" w:space="0" w:color="000000"/>
          <w:bottom w:val="single" w:sz="4" w:space="0" w:color="000000"/>
        </w:tblBorders>
        <w:tblCellMar>
          <w:top w:w="15" w:type="dxa"/>
          <w:left w:w="15" w:type="dxa"/>
          <w:bottom w:w="15" w:type="dxa"/>
          <w:right w:w="15" w:type="dxa"/>
        </w:tblCellMar>
        <w:tblLook w:val="04A0" w:firstRow="1" w:lastRow="0" w:firstColumn="1" w:lastColumn="0" w:noHBand="0" w:noVBand="1"/>
      </w:tblPr>
      <w:tblGrid>
        <w:gridCol w:w="2620"/>
        <w:gridCol w:w="1411"/>
        <w:gridCol w:w="1411"/>
        <w:gridCol w:w="1411"/>
        <w:gridCol w:w="1410"/>
        <w:gridCol w:w="1097"/>
      </w:tblGrid>
      <w:tr w:rsidR="001154E7" w14:paraId="5377E737" w14:textId="77777777">
        <w:trPr>
          <w:trHeight w:val="227"/>
          <w:jc w:val="center"/>
        </w:trPr>
        <w:tc>
          <w:tcPr>
            <w:tcW w:w="1399" w:type="pct"/>
            <w:vMerge w:val="restart"/>
            <w:tcBorders>
              <w:top w:val="single" w:sz="4" w:space="0" w:color="000000"/>
              <w:bottom w:val="single" w:sz="4" w:space="0" w:color="000000"/>
            </w:tcBorders>
            <w:shd w:val="clear" w:color="auto" w:fill="FFFFFF"/>
            <w:vAlign w:val="center"/>
          </w:tcPr>
          <w:p w14:paraId="71E1FDE4" w14:textId="77777777" w:rsidR="001154E7" w:rsidRDefault="00ED61B9">
            <w:pPr>
              <w:adjustRightInd w:val="0"/>
              <w:snapToGrid w:val="0"/>
              <w:spacing w:line="360" w:lineRule="auto"/>
              <w:ind w:firstLineChars="100" w:firstLine="241"/>
              <w:jc w:val="both"/>
              <w:textAlignment w:val="center"/>
              <w:rPr>
                <w:rFonts w:ascii="Book Antiqua" w:hAnsi="Book Antiqua"/>
                <w:b/>
                <w:bCs/>
                <w:color w:val="000000" w:themeColor="text1"/>
              </w:rPr>
            </w:pPr>
            <w:r>
              <w:rPr>
                <w:rFonts w:ascii="Book Antiqua" w:hAnsi="Book Antiqua"/>
                <w:b/>
                <w:bCs/>
                <w:color w:val="000000" w:themeColor="text1"/>
              </w:rPr>
              <w:t>Group</w:t>
            </w:r>
          </w:p>
        </w:tc>
        <w:tc>
          <w:tcPr>
            <w:tcW w:w="754" w:type="pct"/>
            <w:vMerge w:val="restart"/>
            <w:tcBorders>
              <w:top w:val="single" w:sz="4" w:space="0" w:color="000000"/>
              <w:bottom w:val="single" w:sz="4" w:space="0" w:color="000000"/>
            </w:tcBorders>
            <w:shd w:val="clear" w:color="auto" w:fill="FFFFFF"/>
            <w:vAlign w:val="center"/>
          </w:tcPr>
          <w:p w14:paraId="05D619E1" w14:textId="77777777" w:rsidR="001154E7" w:rsidRDefault="00ED61B9">
            <w:pPr>
              <w:adjustRightInd w:val="0"/>
              <w:snapToGrid w:val="0"/>
              <w:spacing w:line="360" w:lineRule="auto"/>
              <w:jc w:val="both"/>
              <w:textAlignment w:val="center"/>
              <w:rPr>
                <w:rFonts w:ascii="Book Antiqua" w:hAnsi="Book Antiqua"/>
                <w:b/>
                <w:bCs/>
                <w:i/>
                <w:iCs/>
                <w:color w:val="000000" w:themeColor="text1"/>
              </w:rPr>
            </w:pPr>
            <w:r>
              <w:rPr>
                <w:rFonts w:ascii="Book Antiqua" w:hAnsi="Book Antiqua"/>
                <w:b/>
                <w:bCs/>
                <w:i/>
                <w:iCs/>
                <w:color w:val="000000" w:themeColor="text1"/>
              </w:rPr>
              <w:t>n</w:t>
            </w:r>
          </w:p>
        </w:tc>
        <w:tc>
          <w:tcPr>
            <w:tcW w:w="1507" w:type="pct"/>
            <w:gridSpan w:val="2"/>
            <w:tcBorders>
              <w:top w:val="single" w:sz="4" w:space="0" w:color="000000"/>
              <w:bottom w:val="single" w:sz="4" w:space="0" w:color="000000"/>
            </w:tcBorders>
            <w:shd w:val="clear" w:color="auto" w:fill="FFFFFF"/>
            <w:vAlign w:val="center"/>
          </w:tcPr>
          <w:p w14:paraId="01AB7E92"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TUFT1 expression</w:t>
            </w:r>
          </w:p>
        </w:tc>
        <w:tc>
          <w:tcPr>
            <w:tcW w:w="753" w:type="pct"/>
            <w:vMerge w:val="restart"/>
            <w:tcBorders>
              <w:top w:val="single" w:sz="4" w:space="0" w:color="000000"/>
              <w:bottom w:val="single" w:sz="4" w:space="0" w:color="000000"/>
            </w:tcBorders>
            <w:shd w:val="clear" w:color="auto" w:fill="FFFFFF"/>
            <w:vAlign w:val="center"/>
          </w:tcPr>
          <w:p w14:paraId="2B235280" w14:textId="77777777" w:rsidR="001154E7" w:rsidRDefault="00ED61B9">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 xml:space="preserve">Pearson </w:t>
            </w:r>
            <w:r>
              <w:rPr>
                <w:rFonts w:ascii="Book Antiqua" w:hAnsi="Book Antiqua"/>
                <w:b/>
                <w:bCs/>
                <w:i/>
                <w:iCs/>
                <w:color w:val="000000" w:themeColor="text1"/>
              </w:rPr>
              <w:sym w:font="Symbol" w:char="F063"/>
            </w:r>
            <w:r>
              <w:rPr>
                <w:rFonts w:ascii="Book Antiqua" w:hAnsi="Book Antiqua"/>
                <w:b/>
                <w:bCs/>
                <w:color w:val="000000" w:themeColor="text1"/>
                <w:vertAlign w:val="superscript"/>
              </w:rPr>
              <w:t>2</w:t>
            </w:r>
          </w:p>
        </w:tc>
        <w:tc>
          <w:tcPr>
            <w:tcW w:w="587" w:type="pct"/>
            <w:vMerge w:val="restart"/>
            <w:tcBorders>
              <w:top w:val="single" w:sz="4" w:space="0" w:color="000000"/>
              <w:bottom w:val="single" w:sz="4" w:space="0" w:color="000000"/>
            </w:tcBorders>
            <w:shd w:val="clear" w:color="auto" w:fill="FFFFFF"/>
            <w:vAlign w:val="center"/>
          </w:tcPr>
          <w:p w14:paraId="0520B978" w14:textId="77777777" w:rsidR="001154E7" w:rsidRDefault="00ED61B9">
            <w:pPr>
              <w:adjustRightInd w:val="0"/>
              <w:snapToGrid w:val="0"/>
              <w:spacing w:line="360" w:lineRule="auto"/>
              <w:jc w:val="both"/>
              <w:textAlignment w:val="center"/>
              <w:rPr>
                <w:rFonts w:ascii="Book Antiqua" w:hAnsi="Book Antiqua"/>
                <w:b/>
                <w:bCs/>
                <w:i/>
                <w:iCs/>
                <w:color w:val="000000" w:themeColor="text1"/>
              </w:rPr>
            </w:pPr>
            <w:r>
              <w:rPr>
                <w:rFonts w:ascii="Book Antiqua" w:hAnsi="Book Antiqua"/>
                <w:b/>
                <w:bCs/>
                <w:i/>
                <w:iCs/>
                <w:color w:val="000000" w:themeColor="text1"/>
              </w:rPr>
              <w:t xml:space="preserve">P </w:t>
            </w:r>
            <w:r>
              <w:rPr>
                <w:rFonts w:ascii="Book Antiqua" w:hAnsi="Book Antiqua"/>
                <w:b/>
                <w:bCs/>
                <w:color w:val="000000" w:themeColor="text1"/>
              </w:rPr>
              <w:t>value</w:t>
            </w:r>
          </w:p>
        </w:tc>
      </w:tr>
      <w:tr w:rsidR="001154E7" w14:paraId="6298D9F2" w14:textId="77777777">
        <w:trPr>
          <w:trHeight w:val="227"/>
          <w:jc w:val="center"/>
        </w:trPr>
        <w:tc>
          <w:tcPr>
            <w:tcW w:w="1399" w:type="pct"/>
            <w:vMerge/>
            <w:tcBorders>
              <w:top w:val="single" w:sz="4" w:space="0" w:color="000000"/>
              <w:bottom w:val="single" w:sz="4" w:space="0" w:color="000000"/>
            </w:tcBorders>
            <w:shd w:val="clear" w:color="auto" w:fill="FFFFFF"/>
          </w:tcPr>
          <w:p w14:paraId="39EE12C8" w14:textId="77777777" w:rsidR="001154E7" w:rsidRDefault="001154E7">
            <w:pPr>
              <w:adjustRightInd w:val="0"/>
              <w:snapToGrid w:val="0"/>
              <w:spacing w:line="360" w:lineRule="auto"/>
              <w:ind w:firstLine="420"/>
              <w:jc w:val="both"/>
              <w:textAlignment w:val="center"/>
              <w:rPr>
                <w:rFonts w:ascii="Book Antiqua" w:hAnsi="Book Antiqua"/>
                <w:color w:val="000000" w:themeColor="text1"/>
              </w:rPr>
            </w:pPr>
          </w:p>
        </w:tc>
        <w:tc>
          <w:tcPr>
            <w:tcW w:w="754" w:type="pct"/>
            <w:vMerge/>
            <w:tcBorders>
              <w:top w:val="single" w:sz="4" w:space="0" w:color="000000"/>
              <w:bottom w:val="single" w:sz="4" w:space="0" w:color="000000"/>
            </w:tcBorders>
            <w:shd w:val="clear" w:color="auto" w:fill="FFFFFF"/>
          </w:tcPr>
          <w:p w14:paraId="7D534869"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tcBorders>
              <w:top w:val="single" w:sz="4" w:space="0" w:color="000000"/>
              <w:bottom w:val="single" w:sz="4" w:space="0" w:color="000000"/>
            </w:tcBorders>
            <w:shd w:val="clear" w:color="auto" w:fill="FFFFFF"/>
          </w:tcPr>
          <w:p w14:paraId="7F0DE877"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Low</w:t>
            </w:r>
          </w:p>
        </w:tc>
        <w:tc>
          <w:tcPr>
            <w:tcW w:w="754" w:type="pct"/>
            <w:tcBorders>
              <w:top w:val="single" w:sz="4" w:space="0" w:color="000000"/>
              <w:bottom w:val="single" w:sz="4" w:space="0" w:color="000000"/>
            </w:tcBorders>
            <w:shd w:val="clear" w:color="auto" w:fill="FFFFFF"/>
          </w:tcPr>
          <w:p w14:paraId="539C150A"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High</w:t>
            </w:r>
          </w:p>
        </w:tc>
        <w:tc>
          <w:tcPr>
            <w:tcW w:w="753" w:type="pct"/>
            <w:vMerge/>
            <w:tcBorders>
              <w:top w:val="single" w:sz="4" w:space="0" w:color="000000"/>
              <w:bottom w:val="single" w:sz="4" w:space="0" w:color="000000"/>
            </w:tcBorders>
            <w:shd w:val="clear" w:color="auto" w:fill="FFFFFF"/>
          </w:tcPr>
          <w:p w14:paraId="25E00B8F" w14:textId="77777777" w:rsidR="001154E7" w:rsidRDefault="001154E7">
            <w:pPr>
              <w:adjustRightInd w:val="0"/>
              <w:snapToGrid w:val="0"/>
              <w:spacing w:line="360" w:lineRule="auto"/>
              <w:jc w:val="both"/>
              <w:rPr>
                <w:rFonts w:ascii="Book Antiqua" w:hAnsi="Book Antiqua"/>
                <w:color w:val="000000" w:themeColor="text1"/>
              </w:rPr>
            </w:pPr>
          </w:p>
        </w:tc>
        <w:tc>
          <w:tcPr>
            <w:tcW w:w="587" w:type="pct"/>
            <w:vMerge/>
            <w:tcBorders>
              <w:top w:val="single" w:sz="4" w:space="0" w:color="000000"/>
              <w:bottom w:val="single" w:sz="4" w:space="0" w:color="000000"/>
            </w:tcBorders>
            <w:shd w:val="clear" w:color="auto" w:fill="FFFFFF"/>
          </w:tcPr>
          <w:p w14:paraId="1F282825" w14:textId="77777777" w:rsidR="001154E7" w:rsidRDefault="001154E7">
            <w:pPr>
              <w:adjustRightInd w:val="0"/>
              <w:snapToGrid w:val="0"/>
              <w:spacing w:line="360" w:lineRule="auto"/>
              <w:jc w:val="both"/>
              <w:textAlignment w:val="center"/>
              <w:rPr>
                <w:rFonts w:ascii="Book Antiqua" w:hAnsi="Book Antiqua"/>
                <w:i/>
                <w:iCs/>
                <w:color w:val="000000" w:themeColor="text1"/>
              </w:rPr>
            </w:pPr>
          </w:p>
        </w:tc>
      </w:tr>
      <w:tr w:rsidR="001154E7" w14:paraId="2E81368F" w14:textId="77777777">
        <w:trPr>
          <w:trHeight w:val="227"/>
          <w:jc w:val="center"/>
        </w:trPr>
        <w:tc>
          <w:tcPr>
            <w:tcW w:w="1399" w:type="pct"/>
            <w:tcBorders>
              <w:top w:val="single" w:sz="4" w:space="0" w:color="000000"/>
            </w:tcBorders>
            <w:shd w:val="clear" w:color="auto" w:fill="FFFFFF"/>
          </w:tcPr>
          <w:p w14:paraId="1CEE163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AFP (ng/mL)</w:t>
            </w:r>
          </w:p>
        </w:tc>
        <w:tc>
          <w:tcPr>
            <w:tcW w:w="754" w:type="pct"/>
            <w:tcBorders>
              <w:top w:val="single" w:sz="4" w:space="0" w:color="000000"/>
            </w:tcBorders>
            <w:shd w:val="clear" w:color="auto" w:fill="FFFFFF"/>
          </w:tcPr>
          <w:p w14:paraId="74D64A9C"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tcBorders>
              <w:top w:val="single" w:sz="4" w:space="0" w:color="000000"/>
            </w:tcBorders>
            <w:shd w:val="clear" w:color="auto" w:fill="FFFFFF"/>
          </w:tcPr>
          <w:p w14:paraId="5BF949B1"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tcBorders>
              <w:top w:val="single" w:sz="4" w:space="0" w:color="000000"/>
            </w:tcBorders>
            <w:shd w:val="clear" w:color="auto" w:fill="FFFFFF"/>
          </w:tcPr>
          <w:p w14:paraId="058CF16F"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3" w:type="pct"/>
            <w:tcBorders>
              <w:top w:val="single" w:sz="4" w:space="0" w:color="000000"/>
            </w:tcBorders>
            <w:shd w:val="clear" w:color="auto" w:fill="FFFFFF"/>
          </w:tcPr>
          <w:p w14:paraId="0B16D28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2.901</w:t>
            </w:r>
          </w:p>
        </w:tc>
        <w:tc>
          <w:tcPr>
            <w:tcW w:w="587" w:type="pct"/>
            <w:tcBorders>
              <w:top w:val="single" w:sz="4" w:space="0" w:color="000000"/>
            </w:tcBorders>
            <w:shd w:val="clear" w:color="auto" w:fill="FFFFFF"/>
          </w:tcPr>
          <w:p w14:paraId="0597E03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0.089</w:t>
            </w:r>
          </w:p>
        </w:tc>
      </w:tr>
      <w:tr w:rsidR="001154E7" w14:paraId="473377C2" w14:textId="77777777">
        <w:trPr>
          <w:trHeight w:val="227"/>
          <w:jc w:val="center"/>
        </w:trPr>
        <w:tc>
          <w:tcPr>
            <w:tcW w:w="1399" w:type="pct"/>
            <w:shd w:val="clear" w:color="auto" w:fill="FFFFFF"/>
          </w:tcPr>
          <w:p w14:paraId="2E16D59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20</w:t>
            </w:r>
          </w:p>
        </w:tc>
        <w:tc>
          <w:tcPr>
            <w:tcW w:w="754" w:type="pct"/>
            <w:shd w:val="clear" w:color="auto" w:fill="FFFFFF"/>
          </w:tcPr>
          <w:p w14:paraId="3D0D63F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28</w:t>
            </w:r>
          </w:p>
        </w:tc>
        <w:tc>
          <w:tcPr>
            <w:tcW w:w="754" w:type="pct"/>
            <w:shd w:val="clear" w:color="auto" w:fill="FFFFFF"/>
          </w:tcPr>
          <w:p w14:paraId="45C1C21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18</w:t>
            </w:r>
          </w:p>
        </w:tc>
        <w:tc>
          <w:tcPr>
            <w:tcW w:w="754" w:type="pct"/>
            <w:shd w:val="clear" w:color="auto" w:fill="FFFFFF"/>
          </w:tcPr>
          <w:p w14:paraId="353FDCC0"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w:t>
            </w:r>
          </w:p>
        </w:tc>
        <w:tc>
          <w:tcPr>
            <w:tcW w:w="753" w:type="pct"/>
            <w:shd w:val="clear" w:color="auto" w:fill="FFFFFF"/>
          </w:tcPr>
          <w:p w14:paraId="6E0476E8"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587" w:type="pct"/>
            <w:shd w:val="clear" w:color="auto" w:fill="FFFFFF"/>
          </w:tcPr>
          <w:p w14:paraId="3C529539"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561C0C0A" w14:textId="77777777">
        <w:trPr>
          <w:trHeight w:val="227"/>
          <w:jc w:val="center"/>
        </w:trPr>
        <w:tc>
          <w:tcPr>
            <w:tcW w:w="1399" w:type="pct"/>
            <w:shd w:val="clear" w:color="auto" w:fill="FFFFFF"/>
          </w:tcPr>
          <w:p w14:paraId="1C86355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20</w:t>
            </w:r>
          </w:p>
        </w:tc>
        <w:tc>
          <w:tcPr>
            <w:tcW w:w="754" w:type="pct"/>
            <w:shd w:val="clear" w:color="auto" w:fill="FFFFFF"/>
          </w:tcPr>
          <w:p w14:paraId="63B8A7E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104</w:t>
            </w:r>
          </w:p>
        </w:tc>
        <w:tc>
          <w:tcPr>
            <w:tcW w:w="754" w:type="pct"/>
            <w:shd w:val="clear" w:color="auto" w:fill="FFFFFF"/>
          </w:tcPr>
          <w:p w14:paraId="3E0E920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48</w:t>
            </w:r>
          </w:p>
        </w:tc>
        <w:tc>
          <w:tcPr>
            <w:tcW w:w="754" w:type="pct"/>
            <w:shd w:val="clear" w:color="auto" w:fill="FFFFFF"/>
          </w:tcPr>
          <w:p w14:paraId="5004DE1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56</w:t>
            </w:r>
          </w:p>
        </w:tc>
        <w:tc>
          <w:tcPr>
            <w:tcW w:w="753" w:type="pct"/>
            <w:shd w:val="clear" w:color="auto" w:fill="FFFFFF"/>
          </w:tcPr>
          <w:p w14:paraId="65C950D4" w14:textId="77777777" w:rsidR="001154E7" w:rsidRDefault="001154E7">
            <w:pPr>
              <w:adjustRightInd w:val="0"/>
              <w:snapToGrid w:val="0"/>
              <w:spacing w:line="360" w:lineRule="auto"/>
              <w:jc w:val="both"/>
              <w:rPr>
                <w:rFonts w:ascii="Book Antiqua" w:hAnsi="Book Antiqua"/>
                <w:color w:val="000000" w:themeColor="text1"/>
              </w:rPr>
            </w:pPr>
          </w:p>
        </w:tc>
        <w:tc>
          <w:tcPr>
            <w:tcW w:w="587" w:type="pct"/>
            <w:shd w:val="clear" w:color="auto" w:fill="FFFFFF"/>
          </w:tcPr>
          <w:p w14:paraId="772EB67F"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4A161388" w14:textId="77777777">
        <w:trPr>
          <w:trHeight w:val="227"/>
          <w:jc w:val="center"/>
        </w:trPr>
        <w:tc>
          <w:tcPr>
            <w:tcW w:w="1399" w:type="pct"/>
            <w:shd w:val="clear" w:color="auto" w:fill="FFFFFF"/>
          </w:tcPr>
          <w:p w14:paraId="0D06B6A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HBsAg</w:t>
            </w:r>
          </w:p>
        </w:tc>
        <w:tc>
          <w:tcPr>
            <w:tcW w:w="754" w:type="pct"/>
            <w:shd w:val="clear" w:color="auto" w:fill="FFFFFF"/>
          </w:tcPr>
          <w:p w14:paraId="559AB28F"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2AC0FC21"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48955235"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3" w:type="pct"/>
            <w:shd w:val="clear" w:color="auto" w:fill="FFFFFF"/>
          </w:tcPr>
          <w:p w14:paraId="237F9B6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3.300</w:t>
            </w:r>
          </w:p>
        </w:tc>
        <w:tc>
          <w:tcPr>
            <w:tcW w:w="587" w:type="pct"/>
            <w:shd w:val="clear" w:color="auto" w:fill="FFFFFF"/>
          </w:tcPr>
          <w:p w14:paraId="7179008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0.069</w:t>
            </w:r>
          </w:p>
        </w:tc>
      </w:tr>
      <w:tr w:rsidR="001154E7" w14:paraId="152C397D" w14:textId="77777777">
        <w:trPr>
          <w:trHeight w:val="227"/>
          <w:jc w:val="center"/>
        </w:trPr>
        <w:tc>
          <w:tcPr>
            <w:tcW w:w="1399" w:type="pct"/>
            <w:shd w:val="clear" w:color="auto" w:fill="FFFFFF"/>
          </w:tcPr>
          <w:p w14:paraId="4BF8362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Neg.</w:t>
            </w:r>
          </w:p>
        </w:tc>
        <w:tc>
          <w:tcPr>
            <w:tcW w:w="754" w:type="pct"/>
            <w:shd w:val="clear" w:color="auto" w:fill="FFFFFF"/>
          </w:tcPr>
          <w:p w14:paraId="0C433A2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12</w:t>
            </w:r>
          </w:p>
        </w:tc>
        <w:tc>
          <w:tcPr>
            <w:tcW w:w="754" w:type="pct"/>
            <w:shd w:val="clear" w:color="auto" w:fill="FFFFFF"/>
          </w:tcPr>
          <w:p w14:paraId="0A1AFA4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9</w:t>
            </w:r>
          </w:p>
        </w:tc>
        <w:tc>
          <w:tcPr>
            <w:tcW w:w="754" w:type="pct"/>
            <w:shd w:val="clear" w:color="auto" w:fill="FFFFFF"/>
          </w:tcPr>
          <w:p w14:paraId="47FF74C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w:t>
            </w:r>
          </w:p>
        </w:tc>
        <w:tc>
          <w:tcPr>
            <w:tcW w:w="753" w:type="pct"/>
            <w:shd w:val="clear" w:color="auto" w:fill="FFFFFF"/>
          </w:tcPr>
          <w:p w14:paraId="2E2F6549"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587" w:type="pct"/>
            <w:shd w:val="clear" w:color="auto" w:fill="FFFFFF"/>
          </w:tcPr>
          <w:p w14:paraId="6B4D7271"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6A4FA196" w14:textId="77777777">
        <w:trPr>
          <w:trHeight w:val="227"/>
          <w:jc w:val="center"/>
        </w:trPr>
        <w:tc>
          <w:tcPr>
            <w:tcW w:w="1399" w:type="pct"/>
            <w:shd w:val="clear" w:color="auto" w:fill="FFFFFF"/>
          </w:tcPr>
          <w:p w14:paraId="5CA61B3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Pos.</w:t>
            </w:r>
          </w:p>
        </w:tc>
        <w:tc>
          <w:tcPr>
            <w:tcW w:w="754" w:type="pct"/>
            <w:shd w:val="clear" w:color="auto" w:fill="FFFFFF"/>
          </w:tcPr>
          <w:p w14:paraId="6B6E1C2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120</w:t>
            </w:r>
          </w:p>
        </w:tc>
        <w:tc>
          <w:tcPr>
            <w:tcW w:w="754" w:type="pct"/>
            <w:shd w:val="clear" w:color="auto" w:fill="FFFFFF"/>
          </w:tcPr>
          <w:p w14:paraId="7A3A55C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57</w:t>
            </w:r>
          </w:p>
        </w:tc>
        <w:tc>
          <w:tcPr>
            <w:tcW w:w="754" w:type="pct"/>
            <w:shd w:val="clear" w:color="auto" w:fill="FFFFFF"/>
          </w:tcPr>
          <w:p w14:paraId="2AF9EF9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63</w:t>
            </w:r>
          </w:p>
        </w:tc>
        <w:tc>
          <w:tcPr>
            <w:tcW w:w="753" w:type="pct"/>
            <w:shd w:val="clear" w:color="auto" w:fill="FFFFFF"/>
          </w:tcPr>
          <w:p w14:paraId="5169392A" w14:textId="77777777" w:rsidR="001154E7" w:rsidRDefault="001154E7">
            <w:pPr>
              <w:adjustRightInd w:val="0"/>
              <w:snapToGrid w:val="0"/>
              <w:spacing w:line="360" w:lineRule="auto"/>
              <w:jc w:val="both"/>
              <w:rPr>
                <w:rFonts w:ascii="Book Antiqua" w:hAnsi="Book Antiqua"/>
                <w:color w:val="000000" w:themeColor="text1"/>
              </w:rPr>
            </w:pPr>
          </w:p>
        </w:tc>
        <w:tc>
          <w:tcPr>
            <w:tcW w:w="587" w:type="pct"/>
            <w:shd w:val="clear" w:color="auto" w:fill="FFFFFF"/>
          </w:tcPr>
          <w:p w14:paraId="4CC2DAC5"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51901A54" w14:textId="77777777">
        <w:trPr>
          <w:trHeight w:val="227"/>
          <w:jc w:val="center"/>
        </w:trPr>
        <w:tc>
          <w:tcPr>
            <w:tcW w:w="1399" w:type="pct"/>
            <w:shd w:val="clear" w:color="auto" w:fill="FFFFFF"/>
          </w:tcPr>
          <w:p w14:paraId="0BF6F88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HBeAg</w:t>
            </w:r>
          </w:p>
        </w:tc>
        <w:tc>
          <w:tcPr>
            <w:tcW w:w="754" w:type="pct"/>
            <w:shd w:val="clear" w:color="auto" w:fill="FFFFFF"/>
          </w:tcPr>
          <w:p w14:paraId="1CA8D7EA"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146FFE6F"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2780944F"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3" w:type="pct"/>
            <w:shd w:val="clear" w:color="auto" w:fill="FFFFFF"/>
          </w:tcPr>
          <w:p w14:paraId="0AC6661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4.080</w:t>
            </w:r>
          </w:p>
        </w:tc>
        <w:tc>
          <w:tcPr>
            <w:tcW w:w="587" w:type="pct"/>
            <w:shd w:val="clear" w:color="auto" w:fill="FFFFFF"/>
          </w:tcPr>
          <w:p w14:paraId="7846DCC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0.043</w:t>
            </w:r>
          </w:p>
        </w:tc>
      </w:tr>
      <w:tr w:rsidR="001154E7" w14:paraId="60F0044D" w14:textId="77777777">
        <w:trPr>
          <w:trHeight w:val="227"/>
          <w:jc w:val="center"/>
        </w:trPr>
        <w:tc>
          <w:tcPr>
            <w:tcW w:w="1399" w:type="pct"/>
            <w:shd w:val="clear" w:color="auto" w:fill="FFFFFF"/>
          </w:tcPr>
          <w:p w14:paraId="204EDB2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Neg.</w:t>
            </w:r>
          </w:p>
        </w:tc>
        <w:tc>
          <w:tcPr>
            <w:tcW w:w="754" w:type="pct"/>
            <w:shd w:val="clear" w:color="auto" w:fill="FFFFFF"/>
          </w:tcPr>
          <w:p w14:paraId="0C3A9B2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87</w:t>
            </w:r>
          </w:p>
        </w:tc>
        <w:tc>
          <w:tcPr>
            <w:tcW w:w="754" w:type="pct"/>
            <w:shd w:val="clear" w:color="auto" w:fill="FFFFFF"/>
          </w:tcPr>
          <w:p w14:paraId="3F5EBFD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49</w:t>
            </w:r>
          </w:p>
        </w:tc>
        <w:tc>
          <w:tcPr>
            <w:tcW w:w="754" w:type="pct"/>
            <w:shd w:val="clear" w:color="auto" w:fill="FFFFFF"/>
          </w:tcPr>
          <w:p w14:paraId="30F1ABE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38</w:t>
            </w:r>
          </w:p>
        </w:tc>
        <w:tc>
          <w:tcPr>
            <w:tcW w:w="753" w:type="pct"/>
            <w:shd w:val="clear" w:color="auto" w:fill="FFFFFF"/>
          </w:tcPr>
          <w:p w14:paraId="425CF491"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587" w:type="pct"/>
            <w:shd w:val="clear" w:color="auto" w:fill="FFFFFF"/>
          </w:tcPr>
          <w:p w14:paraId="031F403D"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0B87EF81" w14:textId="77777777">
        <w:trPr>
          <w:trHeight w:val="227"/>
          <w:jc w:val="center"/>
        </w:trPr>
        <w:tc>
          <w:tcPr>
            <w:tcW w:w="1399" w:type="pct"/>
            <w:shd w:val="clear" w:color="auto" w:fill="FFFFFF"/>
          </w:tcPr>
          <w:p w14:paraId="72E1FB4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Pos.</w:t>
            </w:r>
          </w:p>
        </w:tc>
        <w:tc>
          <w:tcPr>
            <w:tcW w:w="754" w:type="pct"/>
            <w:shd w:val="clear" w:color="auto" w:fill="FFFFFF"/>
          </w:tcPr>
          <w:p w14:paraId="6270D210"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45</w:t>
            </w:r>
          </w:p>
        </w:tc>
        <w:tc>
          <w:tcPr>
            <w:tcW w:w="754" w:type="pct"/>
            <w:shd w:val="clear" w:color="auto" w:fill="FFFFFF"/>
          </w:tcPr>
          <w:p w14:paraId="1D37ADE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17</w:t>
            </w:r>
          </w:p>
        </w:tc>
        <w:tc>
          <w:tcPr>
            <w:tcW w:w="754" w:type="pct"/>
            <w:shd w:val="clear" w:color="auto" w:fill="FFFFFF"/>
          </w:tcPr>
          <w:p w14:paraId="7C17DEB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28</w:t>
            </w:r>
          </w:p>
        </w:tc>
        <w:tc>
          <w:tcPr>
            <w:tcW w:w="753" w:type="pct"/>
            <w:shd w:val="clear" w:color="auto" w:fill="FFFFFF"/>
          </w:tcPr>
          <w:p w14:paraId="3AC91F14"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587" w:type="pct"/>
            <w:shd w:val="clear" w:color="auto" w:fill="FFFFFF"/>
          </w:tcPr>
          <w:p w14:paraId="50BA0613"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5B0E4FC8" w14:textId="77777777">
        <w:trPr>
          <w:trHeight w:val="227"/>
          <w:jc w:val="center"/>
        </w:trPr>
        <w:tc>
          <w:tcPr>
            <w:tcW w:w="1399" w:type="pct"/>
            <w:shd w:val="clear" w:color="auto" w:fill="FFFFFF"/>
          </w:tcPr>
          <w:p w14:paraId="78FBF137" w14:textId="77777777" w:rsidR="001154E7" w:rsidRDefault="00ED61B9">
            <w:pPr>
              <w:adjustRightInd w:val="0"/>
              <w:snapToGrid w:val="0"/>
              <w:spacing w:line="360" w:lineRule="auto"/>
              <w:jc w:val="both"/>
              <w:textAlignment w:val="center"/>
              <w:rPr>
                <w:rFonts w:ascii="Book Antiqua" w:hAnsi="Book Antiqua"/>
                <w:color w:val="000000" w:themeColor="text1"/>
                <w:lang w:eastAsia="zh-CN"/>
              </w:rPr>
            </w:pPr>
            <w:r>
              <w:rPr>
                <w:rFonts w:ascii="Book Antiqua" w:hAnsi="Book Antiqua"/>
                <w:color w:val="000000" w:themeColor="text1"/>
              </w:rPr>
              <w:t>Tumor size</w:t>
            </w:r>
            <w:r>
              <w:rPr>
                <w:rFonts w:ascii="Book Antiqua" w:hAnsi="Book Antiqua"/>
                <w:color w:val="000000" w:themeColor="text1"/>
                <w:lang w:eastAsia="zh-CN"/>
              </w:rPr>
              <w:t xml:space="preserve"> (</w:t>
            </w:r>
            <w:r>
              <w:rPr>
                <w:rFonts w:ascii="Book Antiqua" w:hAnsi="Book Antiqua"/>
                <w:color w:val="000000" w:themeColor="text1"/>
              </w:rPr>
              <w:t>cm</w:t>
            </w:r>
            <w:r>
              <w:rPr>
                <w:rFonts w:ascii="Book Antiqua" w:hAnsi="Book Antiqua"/>
                <w:color w:val="000000" w:themeColor="text1"/>
                <w:lang w:eastAsia="zh-CN"/>
              </w:rPr>
              <w:t>)</w:t>
            </w:r>
          </w:p>
        </w:tc>
        <w:tc>
          <w:tcPr>
            <w:tcW w:w="754" w:type="pct"/>
            <w:shd w:val="clear" w:color="auto" w:fill="FFFFFF"/>
          </w:tcPr>
          <w:p w14:paraId="7461C483"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65BCC767"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163AB754"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3" w:type="pct"/>
            <w:shd w:val="clear" w:color="auto" w:fill="FFFFFF"/>
          </w:tcPr>
          <w:p w14:paraId="6597BD1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9.388</w:t>
            </w:r>
          </w:p>
        </w:tc>
        <w:tc>
          <w:tcPr>
            <w:tcW w:w="587" w:type="pct"/>
            <w:shd w:val="clear" w:color="auto" w:fill="FFFFFF"/>
          </w:tcPr>
          <w:p w14:paraId="093F438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0.002</w:t>
            </w:r>
          </w:p>
        </w:tc>
      </w:tr>
      <w:tr w:rsidR="001154E7" w14:paraId="747376C7" w14:textId="77777777">
        <w:trPr>
          <w:trHeight w:val="227"/>
          <w:jc w:val="center"/>
        </w:trPr>
        <w:tc>
          <w:tcPr>
            <w:tcW w:w="1399" w:type="pct"/>
            <w:shd w:val="clear" w:color="auto" w:fill="FFFFFF"/>
          </w:tcPr>
          <w:p w14:paraId="4F179F4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3</w:t>
            </w:r>
          </w:p>
        </w:tc>
        <w:tc>
          <w:tcPr>
            <w:tcW w:w="754" w:type="pct"/>
            <w:shd w:val="clear" w:color="auto" w:fill="FFFFFF"/>
          </w:tcPr>
          <w:p w14:paraId="5845FE5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26</w:t>
            </w:r>
          </w:p>
        </w:tc>
        <w:tc>
          <w:tcPr>
            <w:tcW w:w="754" w:type="pct"/>
            <w:shd w:val="clear" w:color="auto" w:fill="FFFFFF"/>
          </w:tcPr>
          <w:p w14:paraId="103A6AF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20</w:t>
            </w:r>
          </w:p>
        </w:tc>
        <w:tc>
          <w:tcPr>
            <w:tcW w:w="754" w:type="pct"/>
            <w:shd w:val="clear" w:color="auto" w:fill="FFFFFF"/>
          </w:tcPr>
          <w:p w14:paraId="2C26D4D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6</w:t>
            </w:r>
          </w:p>
        </w:tc>
        <w:tc>
          <w:tcPr>
            <w:tcW w:w="753" w:type="pct"/>
            <w:shd w:val="clear" w:color="auto" w:fill="FFFFFF"/>
          </w:tcPr>
          <w:p w14:paraId="68BFCB50"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587" w:type="pct"/>
            <w:shd w:val="clear" w:color="auto" w:fill="FFFFFF"/>
          </w:tcPr>
          <w:p w14:paraId="20E7B766"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26AF3255" w14:textId="77777777">
        <w:trPr>
          <w:trHeight w:val="227"/>
          <w:jc w:val="center"/>
        </w:trPr>
        <w:tc>
          <w:tcPr>
            <w:tcW w:w="1399" w:type="pct"/>
            <w:shd w:val="clear" w:color="auto" w:fill="FFFFFF"/>
          </w:tcPr>
          <w:p w14:paraId="0CA0AF60"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3</w:t>
            </w:r>
          </w:p>
        </w:tc>
        <w:tc>
          <w:tcPr>
            <w:tcW w:w="754" w:type="pct"/>
            <w:shd w:val="clear" w:color="auto" w:fill="FFFFFF"/>
          </w:tcPr>
          <w:p w14:paraId="0B74ABC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106</w:t>
            </w:r>
          </w:p>
        </w:tc>
        <w:tc>
          <w:tcPr>
            <w:tcW w:w="754" w:type="pct"/>
            <w:shd w:val="clear" w:color="auto" w:fill="FFFFFF"/>
          </w:tcPr>
          <w:p w14:paraId="15EDAF3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46</w:t>
            </w:r>
          </w:p>
        </w:tc>
        <w:tc>
          <w:tcPr>
            <w:tcW w:w="754" w:type="pct"/>
            <w:shd w:val="clear" w:color="auto" w:fill="FFFFFF"/>
          </w:tcPr>
          <w:p w14:paraId="5A68330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60</w:t>
            </w:r>
          </w:p>
        </w:tc>
        <w:tc>
          <w:tcPr>
            <w:tcW w:w="753" w:type="pct"/>
            <w:shd w:val="clear" w:color="auto" w:fill="FFFFFF"/>
          </w:tcPr>
          <w:p w14:paraId="6A7AE0D8" w14:textId="77777777" w:rsidR="001154E7" w:rsidRDefault="001154E7">
            <w:pPr>
              <w:adjustRightInd w:val="0"/>
              <w:snapToGrid w:val="0"/>
              <w:spacing w:line="360" w:lineRule="auto"/>
              <w:jc w:val="both"/>
              <w:rPr>
                <w:rFonts w:ascii="Book Antiqua" w:hAnsi="Book Antiqua"/>
                <w:color w:val="000000" w:themeColor="text1"/>
              </w:rPr>
            </w:pPr>
          </w:p>
        </w:tc>
        <w:tc>
          <w:tcPr>
            <w:tcW w:w="587" w:type="pct"/>
            <w:shd w:val="clear" w:color="auto" w:fill="FFFFFF"/>
          </w:tcPr>
          <w:p w14:paraId="0710B2FC"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45A3C623" w14:textId="77777777">
        <w:trPr>
          <w:trHeight w:val="227"/>
          <w:jc w:val="center"/>
        </w:trPr>
        <w:tc>
          <w:tcPr>
            <w:tcW w:w="1399" w:type="pct"/>
            <w:shd w:val="clear" w:color="auto" w:fill="FFFFFF"/>
            <w:vAlign w:val="center"/>
          </w:tcPr>
          <w:p w14:paraId="2A2AB6F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Differentiation degree </w:t>
            </w:r>
          </w:p>
        </w:tc>
        <w:tc>
          <w:tcPr>
            <w:tcW w:w="754" w:type="pct"/>
            <w:shd w:val="clear" w:color="auto" w:fill="FFFFFF"/>
          </w:tcPr>
          <w:p w14:paraId="43BA7554"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6333EF8E"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5A7A04D5"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3" w:type="pct"/>
            <w:shd w:val="clear" w:color="auto" w:fill="FFFFFF"/>
          </w:tcPr>
          <w:p w14:paraId="16184EF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3.013</w:t>
            </w:r>
          </w:p>
        </w:tc>
        <w:tc>
          <w:tcPr>
            <w:tcW w:w="587" w:type="pct"/>
            <w:shd w:val="clear" w:color="auto" w:fill="FFFFFF"/>
          </w:tcPr>
          <w:p w14:paraId="3D99858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0.083</w:t>
            </w:r>
          </w:p>
        </w:tc>
      </w:tr>
      <w:tr w:rsidR="001154E7" w14:paraId="505126E3" w14:textId="77777777">
        <w:trPr>
          <w:trHeight w:val="227"/>
          <w:jc w:val="center"/>
        </w:trPr>
        <w:tc>
          <w:tcPr>
            <w:tcW w:w="1399" w:type="pct"/>
            <w:shd w:val="clear" w:color="auto" w:fill="FFFFFF"/>
            <w:vAlign w:val="center"/>
          </w:tcPr>
          <w:p w14:paraId="36F4F47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Well-Med. </w:t>
            </w:r>
          </w:p>
        </w:tc>
        <w:tc>
          <w:tcPr>
            <w:tcW w:w="754" w:type="pct"/>
            <w:shd w:val="clear" w:color="auto" w:fill="FFFFFF"/>
          </w:tcPr>
          <w:p w14:paraId="6E54866C"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19</w:t>
            </w:r>
          </w:p>
        </w:tc>
        <w:tc>
          <w:tcPr>
            <w:tcW w:w="754" w:type="pct"/>
            <w:shd w:val="clear" w:color="auto" w:fill="FFFFFF"/>
          </w:tcPr>
          <w:p w14:paraId="3BB5D8B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13</w:t>
            </w:r>
          </w:p>
        </w:tc>
        <w:tc>
          <w:tcPr>
            <w:tcW w:w="754" w:type="pct"/>
            <w:shd w:val="clear" w:color="auto" w:fill="FFFFFF"/>
          </w:tcPr>
          <w:p w14:paraId="4A47CB8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6</w:t>
            </w:r>
          </w:p>
        </w:tc>
        <w:tc>
          <w:tcPr>
            <w:tcW w:w="753" w:type="pct"/>
            <w:shd w:val="clear" w:color="auto" w:fill="FFFFFF"/>
          </w:tcPr>
          <w:p w14:paraId="3F570AB3"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587" w:type="pct"/>
            <w:shd w:val="clear" w:color="auto" w:fill="FFFFFF"/>
          </w:tcPr>
          <w:p w14:paraId="09425204"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7FB8416B" w14:textId="77777777">
        <w:trPr>
          <w:trHeight w:val="227"/>
          <w:jc w:val="center"/>
        </w:trPr>
        <w:tc>
          <w:tcPr>
            <w:tcW w:w="1399" w:type="pct"/>
            <w:shd w:val="clear" w:color="auto" w:fill="FFFFFF"/>
          </w:tcPr>
          <w:p w14:paraId="544DBE9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Poor</w:t>
            </w:r>
          </w:p>
        </w:tc>
        <w:tc>
          <w:tcPr>
            <w:tcW w:w="754" w:type="pct"/>
            <w:shd w:val="clear" w:color="auto" w:fill="FFFFFF"/>
          </w:tcPr>
          <w:p w14:paraId="45955E7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113</w:t>
            </w:r>
          </w:p>
        </w:tc>
        <w:tc>
          <w:tcPr>
            <w:tcW w:w="754" w:type="pct"/>
            <w:shd w:val="clear" w:color="auto" w:fill="FFFFFF"/>
          </w:tcPr>
          <w:p w14:paraId="0E55597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53</w:t>
            </w:r>
          </w:p>
        </w:tc>
        <w:tc>
          <w:tcPr>
            <w:tcW w:w="754" w:type="pct"/>
            <w:shd w:val="clear" w:color="auto" w:fill="FFFFFF"/>
          </w:tcPr>
          <w:p w14:paraId="7B54FA9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60</w:t>
            </w:r>
          </w:p>
        </w:tc>
        <w:tc>
          <w:tcPr>
            <w:tcW w:w="753" w:type="pct"/>
            <w:shd w:val="clear" w:color="auto" w:fill="FFFFFF"/>
          </w:tcPr>
          <w:p w14:paraId="061EA26B" w14:textId="77777777" w:rsidR="001154E7" w:rsidRDefault="001154E7">
            <w:pPr>
              <w:adjustRightInd w:val="0"/>
              <w:snapToGrid w:val="0"/>
              <w:spacing w:line="360" w:lineRule="auto"/>
              <w:jc w:val="both"/>
              <w:rPr>
                <w:rFonts w:ascii="Book Antiqua" w:hAnsi="Book Antiqua"/>
                <w:color w:val="000000" w:themeColor="text1"/>
              </w:rPr>
            </w:pPr>
          </w:p>
        </w:tc>
        <w:tc>
          <w:tcPr>
            <w:tcW w:w="587" w:type="pct"/>
            <w:shd w:val="clear" w:color="auto" w:fill="FFFFFF"/>
          </w:tcPr>
          <w:p w14:paraId="60498676"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3A96603D" w14:textId="77777777">
        <w:trPr>
          <w:trHeight w:val="227"/>
          <w:jc w:val="center"/>
        </w:trPr>
        <w:tc>
          <w:tcPr>
            <w:tcW w:w="1399" w:type="pct"/>
            <w:shd w:val="clear" w:color="auto" w:fill="FFFFFF"/>
            <w:vAlign w:val="center"/>
          </w:tcPr>
          <w:p w14:paraId="5AB29CE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Vascular invasion</w:t>
            </w:r>
          </w:p>
        </w:tc>
        <w:tc>
          <w:tcPr>
            <w:tcW w:w="754" w:type="pct"/>
            <w:shd w:val="clear" w:color="auto" w:fill="FFFFFF"/>
          </w:tcPr>
          <w:p w14:paraId="113B486E"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2A566201"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4EFA8320"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3" w:type="pct"/>
            <w:shd w:val="clear" w:color="auto" w:fill="FFFFFF"/>
          </w:tcPr>
          <w:p w14:paraId="7B85366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14.885</w:t>
            </w:r>
          </w:p>
        </w:tc>
        <w:tc>
          <w:tcPr>
            <w:tcW w:w="587" w:type="pct"/>
            <w:shd w:val="clear" w:color="auto" w:fill="FFFFFF"/>
          </w:tcPr>
          <w:p w14:paraId="40849D6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r>
      <w:tr w:rsidR="001154E7" w14:paraId="6C3AE716" w14:textId="77777777">
        <w:trPr>
          <w:trHeight w:val="227"/>
          <w:jc w:val="center"/>
        </w:trPr>
        <w:tc>
          <w:tcPr>
            <w:tcW w:w="1399" w:type="pct"/>
            <w:shd w:val="clear" w:color="auto" w:fill="FFFFFF"/>
            <w:vAlign w:val="center"/>
          </w:tcPr>
          <w:p w14:paraId="35F6E15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With </w:t>
            </w:r>
          </w:p>
        </w:tc>
        <w:tc>
          <w:tcPr>
            <w:tcW w:w="754" w:type="pct"/>
            <w:shd w:val="clear" w:color="auto" w:fill="FFFFFF"/>
          </w:tcPr>
          <w:p w14:paraId="5B30D1D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58</w:t>
            </w:r>
          </w:p>
        </w:tc>
        <w:tc>
          <w:tcPr>
            <w:tcW w:w="754" w:type="pct"/>
            <w:shd w:val="clear" w:color="auto" w:fill="FFFFFF"/>
          </w:tcPr>
          <w:p w14:paraId="7AEF77F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18</w:t>
            </w:r>
          </w:p>
        </w:tc>
        <w:tc>
          <w:tcPr>
            <w:tcW w:w="754" w:type="pct"/>
            <w:shd w:val="clear" w:color="auto" w:fill="FFFFFF"/>
          </w:tcPr>
          <w:p w14:paraId="4FD9AAB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40</w:t>
            </w:r>
          </w:p>
        </w:tc>
        <w:tc>
          <w:tcPr>
            <w:tcW w:w="753" w:type="pct"/>
            <w:shd w:val="clear" w:color="auto" w:fill="FFFFFF"/>
          </w:tcPr>
          <w:p w14:paraId="6C776860"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587" w:type="pct"/>
            <w:shd w:val="clear" w:color="auto" w:fill="FFFFFF"/>
          </w:tcPr>
          <w:p w14:paraId="3BEC1DAA"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4FB69401" w14:textId="77777777">
        <w:trPr>
          <w:trHeight w:val="227"/>
          <w:jc w:val="center"/>
        </w:trPr>
        <w:tc>
          <w:tcPr>
            <w:tcW w:w="1399" w:type="pct"/>
            <w:shd w:val="clear" w:color="auto" w:fill="FFFFFF"/>
          </w:tcPr>
          <w:p w14:paraId="2AC0192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Without</w:t>
            </w:r>
          </w:p>
        </w:tc>
        <w:tc>
          <w:tcPr>
            <w:tcW w:w="754" w:type="pct"/>
            <w:shd w:val="clear" w:color="auto" w:fill="FFFFFF"/>
          </w:tcPr>
          <w:p w14:paraId="26919ED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74</w:t>
            </w:r>
          </w:p>
        </w:tc>
        <w:tc>
          <w:tcPr>
            <w:tcW w:w="754" w:type="pct"/>
            <w:shd w:val="clear" w:color="auto" w:fill="FFFFFF"/>
          </w:tcPr>
          <w:p w14:paraId="3B87AEB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48</w:t>
            </w:r>
          </w:p>
        </w:tc>
        <w:tc>
          <w:tcPr>
            <w:tcW w:w="754" w:type="pct"/>
            <w:shd w:val="clear" w:color="auto" w:fill="FFFFFF"/>
          </w:tcPr>
          <w:p w14:paraId="5F46920C"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26</w:t>
            </w:r>
          </w:p>
        </w:tc>
        <w:tc>
          <w:tcPr>
            <w:tcW w:w="753" w:type="pct"/>
            <w:shd w:val="clear" w:color="auto" w:fill="FFFFFF"/>
          </w:tcPr>
          <w:p w14:paraId="315DC1F5" w14:textId="77777777" w:rsidR="001154E7" w:rsidRDefault="001154E7">
            <w:pPr>
              <w:adjustRightInd w:val="0"/>
              <w:snapToGrid w:val="0"/>
              <w:spacing w:line="360" w:lineRule="auto"/>
              <w:jc w:val="both"/>
              <w:rPr>
                <w:rFonts w:ascii="Book Antiqua" w:hAnsi="Book Antiqua"/>
                <w:color w:val="000000" w:themeColor="text1"/>
              </w:rPr>
            </w:pPr>
          </w:p>
        </w:tc>
        <w:tc>
          <w:tcPr>
            <w:tcW w:w="587" w:type="pct"/>
            <w:shd w:val="clear" w:color="auto" w:fill="FFFFFF"/>
          </w:tcPr>
          <w:p w14:paraId="74E6A78C"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25927290" w14:textId="77777777">
        <w:trPr>
          <w:trHeight w:val="227"/>
          <w:jc w:val="center"/>
        </w:trPr>
        <w:tc>
          <w:tcPr>
            <w:tcW w:w="1399" w:type="pct"/>
            <w:shd w:val="clear" w:color="auto" w:fill="FFFFFF"/>
          </w:tcPr>
          <w:p w14:paraId="2A58C4C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Ascites</w:t>
            </w:r>
          </w:p>
        </w:tc>
        <w:tc>
          <w:tcPr>
            <w:tcW w:w="754" w:type="pct"/>
            <w:shd w:val="clear" w:color="auto" w:fill="FFFFFF"/>
          </w:tcPr>
          <w:p w14:paraId="2A82CF88"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77604CD3"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4470323D"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3" w:type="pct"/>
            <w:shd w:val="clear" w:color="auto" w:fill="FFFFFF"/>
          </w:tcPr>
          <w:p w14:paraId="1F44241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5.940</w:t>
            </w:r>
          </w:p>
        </w:tc>
        <w:tc>
          <w:tcPr>
            <w:tcW w:w="587" w:type="pct"/>
            <w:shd w:val="clear" w:color="auto" w:fill="FFFFFF"/>
          </w:tcPr>
          <w:p w14:paraId="1429E06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0.015</w:t>
            </w:r>
          </w:p>
        </w:tc>
      </w:tr>
      <w:tr w:rsidR="001154E7" w14:paraId="60212B52" w14:textId="77777777">
        <w:trPr>
          <w:trHeight w:val="227"/>
          <w:jc w:val="center"/>
        </w:trPr>
        <w:tc>
          <w:tcPr>
            <w:tcW w:w="1399" w:type="pct"/>
            <w:shd w:val="clear" w:color="auto" w:fill="FFFFFF"/>
            <w:vAlign w:val="center"/>
          </w:tcPr>
          <w:p w14:paraId="7E41B90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With </w:t>
            </w:r>
          </w:p>
        </w:tc>
        <w:tc>
          <w:tcPr>
            <w:tcW w:w="754" w:type="pct"/>
            <w:shd w:val="clear" w:color="auto" w:fill="FFFFFF"/>
          </w:tcPr>
          <w:p w14:paraId="3A65378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32</w:t>
            </w:r>
          </w:p>
        </w:tc>
        <w:tc>
          <w:tcPr>
            <w:tcW w:w="754" w:type="pct"/>
            <w:shd w:val="clear" w:color="auto" w:fill="FFFFFF"/>
          </w:tcPr>
          <w:p w14:paraId="580F65F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w:t>
            </w:r>
          </w:p>
        </w:tc>
        <w:tc>
          <w:tcPr>
            <w:tcW w:w="754" w:type="pct"/>
            <w:shd w:val="clear" w:color="auto" w:fill="FFFFFF"/>
          </w:tcPr>
          <w:p w14:paraId="61C6C81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22</w:t>
            </w:r>
          </w:p>
        </w:tc>
        <w:tc>
          <w:tcPr>
            <w:tcW w:w="753" w:type="pct"/>
            <w:shd w:val="clear" w:color="auto" w:fill="FFFFFF"/>
          </w:tcPr>
          <w:p w14:paraId="21F6BF4C"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587" w:type="pct"/>
            <w:shd w:val="clear" w:color="auto" w:fill="FFFFFF"/>
          </w:tcPr>
          <w:p w14:paraId="12158F25"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4CCE30D2" w14:textId="77777777">
        <w:trPr>
          <w:trHeight w:val="227"/>
          <w:jc w:val="center"/>
        </w:trPr>
        <w:tc>
          <w:tcPr>
            <w:tcW w:w="1399" w:type="pct"/>
            <w:shd w:val="clear" w:color="auto" w:fill="FFFFFF"/>
          </w:tcPr>
          <w:p w14:paraId="7387E16C"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Without</w:t>
            </w:r>
          </w:p>
        </w:tc>
        <w:tc>
          <w:tcPr>
            <w:tcW w:w="754" w:type="pct"/>
            <w:shd w:val="clear" w:color="auto" w:fill="FFFFFF"/>
          </w:tcPr>
          <w:p w14:paraId="3EDFD70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100</w:t>
            </w:r>
          </w:p>
        </w:tc>
        <w:tc>
          <w:tcPr>
            <w:tcW w:w="754" w:type="pct"/>
            <w:shd w:val="clear" w:color="auto" w:fill="FFFFFF"/>
          </w:tcPr>
          <w:p w14:paraId="2C483B6C"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56</w:t>
            </w:r>
          </w:p>
        </w:tc>
        <w:tc>
          <w:tcPr>
            <w:tcW w:w="754" w:type="pct"/>
            <w:shd w:val="clear" w:color="auto" w:fill="FFFFFF"/>
          </w:tcPr>
          <w:p w14:paraId="6A1C73F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44</w:t>
            </w:r>
          </w:p>
        </w:tc>
        <w:tc>
          <w:tcPr>
            <w:tcW w:w="753" w:type="pct"/>
            <w:shd w:val="clear" w:color="auto" w:fill="FFFFFF"/>
          </w:tcPr>
          <w:p w14:paraId="609929AF" w14:textId="77777777" w:rsidR="001154E7" w:rsidRDefault="001154E7">
            <w:pPr>
              <w:adjustRightInd w:val="0"/>
              <w:snapToGrid w:val="0"/>
              <w:spacing w:line="360" w:lineRule="auto"/>
              <w:jc w:val="both"/>
              <w:rPr>
                <w:rFonts w:ascii="Book Antiqua" w:hAnsi="Book Antiqua"/>
                <w:color w:val="000000" w:themeColor="text1"/>
              </w:rPr>
            </w:pPr>
          </w:p>
        </w:tc>
        <w:tc>
          <w:tcPr>
            <w:tcW w:w="587" w:type="pct"/>
            <w:shd w:val="clear" w:color="auto" w:fill="FFFFFF"/>
          </w:tcPr>
          <w:p w14:paraId="6EE11ACE"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579F3472" w14:textId="77777777">
        <w:trPr>
          <w:trHeight w:val="227"/>
          <w:jc w:val="center"/>
        </w:trPr>
        <w:tc>
          <w:tcPr>
            <w:tcW w:w="1399" w:type="pct"/>
            <w:shd w:val="clear" w:color="auto" w:fill="FFFFFF"/>
          </w:tcPr>
          <w:p w14:paraId="1D33B5F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TNM staging</w:t>
            </w:r>
          </w:p>
        </w:tc>
        <w:tc>
          <w:tcPr>
            <w:tcW w:w="754" w:type="pct"/>
            <w:shd w:val="clear" w:color="auto" w:fill="FFFFFF"/>
          </w:tcPr>
          <w:p w14:paraId="63D9929C"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2CDA5380"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4" w:type="pct"/>
            <w:shd w:val="clear" w:color="auto" w:fill="FFFFFF"/>
          </w:tcPr>
          <w:p w14:paraId="4EC20D65"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753" w:type="pct"/>
            <w:shd w:val="clear" w:color="auto" w:fill="FFFFFF"/>
          </w:tcPr>
          <w:p w14:paraId="0588C8D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13.516</w:t>
            </w:r>
          </w:p>
        </w:tc>
        <w:tc>
          <w:tcPr>
            <w:tcW w:w="587" w:type="pct"/>
            <w:shd w:val="clear" w:color="auto" w:fill="FFFFFF"/>
          </w:tcPr>
          <w:p w14:paraId="6B8E92B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r>
      <w:tr w:rsidR="001154E7" w14:paraId="67188AE4" w14:textId="77777777">
        <w:trPr>
          <w:trHeight w:val="227"/>
          <w:jc w:val="center"/>
        </w:trPr>
        <w:tc>
          <w:tcPr>
            <w:tcW w:w="1399" w:type="pct"/>
            <w:shd w:val="clear" w:color="auto" w:fill="FFFFFF"/>
          </w:tcPr>
          <w:p w14:paraId="11ABDBA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eastAsia="SimSun" w:hAnsi="Book Antiqua" w:cs="SimSun"/>
                <w:color w:val="000000" w:themeColor="text1"/>
                <w:lang w:eastAsia="zh-CN"/>
              </w:rPr>
              <w:t>I-II</w:t>
            </w:r>
          </w:p>
        </w:tc>
        <w:tc>
          <w:tcPr>
            <w:tcW w:w="754" w:type="pct"/>
            <w:shd w:val="clear" w:color="auto" w:fill="FFFFFF"/>
          </w:tcPr>
          <w:p w14:paraId="091627C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59</w:t>
            </w:r>
          </w:p>
        </w:tc>
        <w:tc>
          <w:tcPr>
            <w:tcW w:w="754" w:type="pct"/>
            <w:shd w:val="clear" w:color="auto" w:fill="FFFFFF"/>
          </w:tcPr>
          <w:p w14:paraId="3201BBA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40</w:t>
            </w:r>
          </w:p>
        </w:tc>
        <w:tc>
          <w:tcPr>
            <w:tcW w:w="754" w:type="pct"/>
            <w:shd w:val="clear" w:color="auto" w:fill="FFFFFF"/>
          </w:tcPr>
          <w:p w14:paraId="07893A9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19</w:t>
            </w:r>
          </w:p>
        </w:tc>
        <w:tc>
          <w:tcPr>
            <w:tcW w:w="753" w:type="pct"/>
            <w:shd w:val="clear" w:color="auto" w:fill="FFFFFF"/>
          </w:tcPr>
          <w:p w14:paraId="36992718"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587" w:type="pct"/>
            <w:shd w:val="clear" w:color="auto" w:fill="FFFFFF"/>
          </w:tcPr>
          <w:p w14:paraId="2C7D89B4" w14:textId="77777777" w:rsidR="001154E7" w:rsidRDefault="00ED61B9">
            <w:pPr>
              <w:adjustRightInd w:val="0"/>
              <w:snapToGrid w:val="0"/>
              <w:spacing w:line="360" w:lineRule="auto"/>
              <w:jc w:val="both"/>
              <w:textAlignment w:val="center"/>
              <w:rPr>
                <w:rFonts w:ascii="Book Antiqua" w:hAnsi="Book Antiqua"/>
                <w:color w:val="000000" w:themeColor="text1"/>
                <w:lang w:eastAsia="zh-CN"/>
              </w:rPr>
            </w:pPr>
            <w:r>
              <w:rPr>
                <w:rFonts w:ascii="Book Antiqua" w:hAnsi="Book Antiqua" w:hint="eastAsia"/>
                <w:color w:val="000000" w:themeColor="text1"/>
                <w:lang w:eastAsia="zh-CN"/>
              </w:rPr>
              <w:t xml:space="preserve"> </w:t>
            </w:r>
          </w:p>
        </w:tc>
      </w:tr>
      <w:tr w:rsidR="001154E7" w14:paraId="4F93BBA3" w14:textId="77777777">
        <w:trPr>
          <w:trHeight w:val="227"/>
          <w:jc w:val="center"/>
        </w:trPr>
        <w:tc>
          <w:tcPr>
            <w:tcW w:w="1399" w:type="pct"/>
            <w:shd w:val="clear" w:color="auto" w:fill="FFFFFF"/>
          </w:tcPr>
          <w:p w14:paraId="33953820"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eastAsia="SimSun" w:hAnsi="Book Antiqua" w:cs="SimSun"/>
                <w:color w:val="000000" w:themeColor="text1"/>
                <w:lang w:eastAsia="zh-CN"/>
              </w:rPr>
              <w:lastRenderedPageBreak/>
              <w:t>III-IV</w:t>
            </w:r>
          </w:p>
        </w:tc>
        <w:tc>
          <w:tcPr>
            <w:tcW w:w="754" w:type="pct"/>
            <w:shd w:val="clear" w:color="auto" w:fill="FFFFFF"/>
          </w:tcPr>
          <w:p w14:paraId="7E9701A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73</w:t>
            </w:r>
          </w:p>
        </w:tc>
        <w:tc>
          <w:tcPr>
            <w:tcW w:w="754" w:type="pct"/>
            <w:shd w:val="clear" w:color="auto" w:fill="FFFFFF"/>
          </w:tcPr>
          <w:p w14:paraId="022788A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26</w:t>
            </w:r>
          </w:p>
        </w:tc>
        <w:tc>
          <w:tcPr>
            <w:tcW w:w="754" w:type="pct"/>
            <w:shd w:val="clear" w:color="auto" w:fill="FFFFFF"/>
          </w:tcPr>
          <w:p w14:paraId="41B2945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47</w:t>
            </w:r>
          </w:p>
        </w:tc>
        <w:tc>
          <w:tcPr>
            <w:tcW w:w="753" w:type="pct"/>
            <w:shd w:val="clear" w:color="auto" w:fill="FFFFFF"/>
          </w:tcPr>
          <w:p w14:paraId="7AF17205" w14:textId="77777777" w:rsidR="001154E7" w:rsidRDefault="001154E7">
            <w:pPr>
              <w:adjustRightInd w:val="0"/>
              <w:snapToGrid w:val="0"/>
              <w:spacing w:line="360" w:lineRule="auto"/>
              <w:jc w:val="both"/>
              <w:rPr>
                <w:rFonts w:ascii="Book Antiqua" w:hAnsi="Book Antiqua"/>
                <w:color w:val="000000" w:themeColor="text1"/>
              </w:rPr>
            </w:pPr>
          </w:p>
        </w:tc>
        <w:tc>
          <w:tcPr>
            <w:tcW w:w="587" w:type="pct"/>
            <w:shd w:val="clear" w:color="auto" w:fill="FFFFFF"/>
          </w:tcPr>
          <w:p w14:paraId="1BB0254D" w14:textId="77777777" w:rsidR="001154E7" w:rsidRDefault="001154E7">
            <w:pPr>
              <w:adjustRightInd w:val="0"/>
              <w:snapToGrid w:val="0"/>
              <w:spacing w:line="360" w:lineRule="auto"/>
              <w:jc w:val="both"/>
              <w:rPr>
                <w:rFonts w:ascii="Book Antiqua" w:hAnsi="Book Antiqua"/>
                <w:color w:val="000000" w:themeColor="text1"/>
              </w:rPr>
            </w:pPr>
          </w:p>
        </w:tc>
      </w:tr>
    </w:tbl>
    <w:p w14:paraId="71922CAF" w14:textId="77777777" w:rsidR="001154E7" w:rsidRDefault="00ED61B9">
      <w:pPr>
        <w:adjustRightInd w:val="0"/>
        <w:snapToGrid w:val="0"/>
        <w:spacing w:line="360" w:lineRule="auto"/>
        <w:jc w:val="both"/>
        <w:rPr>
          <w:rFonts w:ascii="Book Antiqua" w:hAnsi="Book Antiqua"/>
          <w:bCs/>
        </w:rPr>
      </w:pPr>
      <w:r>
        <w:rPr>
          <w:rFonts w:ascii="Book Antiqua" w:hAnsi="Book Antiqua"/>
          <w:bCs/>
        </w:rPr>
        <w:t xml:space="preserve">AFP: Alpha-fetoprotein; HBeAg: Hepatitis B virus e antigen; HBsAg: Hepatitis B virus surface </w:t>
      </w:r>
      <w:r>
        <w:rPr>
          <w:rFonts w:ascii="Book Antiqua" w:hAnsi="Book Antiqua"/>
          <w:bCs/>
        </w:rPr>
        <w:t>antigen; HCC: Hepatocellular carcinoma; Neg: Negative expression; Pos: Positive expression; TUFT1: Tuftelin 1.</w:t>
      </w:r>
    </w:p>
    <w:p w14:paraId="0FC938ED" w14:textId="77777777" w:rsidR="001154E7" w:rsidRDefault="001154E7">
      <w:pPr>
        <w:adjustRightInd w:val="0"/>
        <w:snapToGrid w:val="0"/>
        <w:spacing w:line="360" w:lineRule="auto"/>
        <w:jc w:val="both"/>
        <w:rPr>
          <w:rFonts w:ascii="Book Antiqua" w:hAnsi="Book Antiqua"/>
          <w:bCs/>
        </w:rPr>
      </w:pPr>
    </w:p>
    <w:p w14:paraId="35999F9C" w14:textId="77777777" w:rsidR="001154E7" w:rsidRDefault="001154E7">
      <w:pPr>
        <w:adjustRightInd w:val="0"/>
        <w:snapToGrid w:val="0"/>
        <w:spacing w:line="360" w:lineRule="auto"/>
        <w:jc w:val="both"/>
        <w:rPr>
          <w:rFonts w:ascii="Book Antiqua" w:hAnsi="Book Antiqua"/>
          <w:bCs/>
        </w:rPr>
      </w:pPr>
    </w:p>
    <w:p w14:paraId="618CF066" w14:textId="77777777" w:rsidR="001154E7" w:rsidRDefault="001154E7">
      <w:pPr>
        <w:adjustRightInd w:val="0"/>
        <w:snapToGrid w:val="0"/>
        <w:spacing w:line="360" w:lineRule="auto"/>
        <w:jc w:val="both"/>
        <w:rPr>
          <w:rFonts w:ascii="Book Antiqua" w:hAnsi="Book Antiqua"/>
          <w:bCs/>
        </w:rPr>
      </w:pPr>
    </w:p>
    <w:p w14:paraId="76EF52E4" w14:textId="77777777" w:rsidR="001154E7" w:rsidRDefault="001154E7">
      <w:pPr>
        <w:adjustRightInd w:val="0"/>
        <w:snapToGrid w:val="0"/>
        <w:spacing w:line="360" w:lineRule="auto"/>
        <w:jc w:val="both"/>
        <w:rPr>
          <w:rFonts w:ascii="Book Antiqua" w:hAnsi="Book Antiqua"/>
          <w:bCs/>
        </w:rPr>
      </w:pPr>
    </w:p>
    <w:p w14:paraId="564BECDD" w14:textId="77777777" w:rsidR="001154E7" w:rsidRDefault="001154E7">
      <w:pPr>
        <w:adjustRightInd w:val="0"/>
        <w:snapToGrid w:val="0"/>
        <w:spacing w:line="360" w:lineRule="auto"/>
        <w:jc w:val="both"/>
        <w:rPr>
          <w:rFonts w:ascii="Book Antiqua" w:hAnsi="Book Antiqua"/>
          <w:bCs/>
        </w:rPr>
      </w:pPr>
    </w:p>
    <w:p w14:paraId="39CAB3D3" w14:textId="77777777" w:rsidR="001154E7" w:rsidRDefault="001154E7">
      <w:pPr>
        <w:adjustRightInd w:val="0"/>
        <w:snapToGrid w:val="0"/>
        <w:spacing w:line="360" w:lineRule="auto"/>
        <w:jc w:val="both"/>
        <w:rPr>
          <w:rFonts w:ascii="Book Antiqua" w:hAnsi="Book Antiqua"/>
          <w:bCs/>
        </w:rPr>
      </w:pPr>
    </w:p>
    <w:p w14:paraId="306181D1" w14:textId="77777777" w:rsidR="001154E7" w:rsidRDefault="001154E7">
      <w:pPr>
        <w:adjustRightInd w:val="0"/>
        <w:snapToGrid w:val="0"/>
        <w:spacing w:line="360" w:lineRule="auto"/>
        <w:jc w:val="both"/>
        <w:rPr>
          <w:rFonts w:ascii="Book Antiqua" w:hAnsi="Book Antiqua"/>
          <w:bCs/>
        </w:rPr>
      </w:pPr>
    </w:p>
    <w:p w14:paraId="27BDF270" w14:textId="77777777" w:rsidR="001154E7" w:rsidRDefault="001154E7">
      <w:pPr>
        <w:adjustRightInd w:val="0"/>
        <w:snapToGrid w:val="0"/>
        <w:spacing w:line="360" w:lineRule="auto"/>
        <w:jc w:val="both"/>
        <w:rPr>
          <w:rFonts w:ascii="Book Antiqua" w:hAnsi="Book Antiqua"/>
          <w:bCs/>
        </w:rPr>
      </w:pPr>
    </w:p>
    <w:p w14:paraId="3D0A7F6A" w14:textId="77777777" w:rsidR="001154E7" w:rsidRDefault="00ED61B9">
      <w:pPr>
        <w:rPr>
          <w:rFonts w:ascii="Book Antiqua" w:eastAsia="SimSun" w:hAnsi="Book Antiqua" w:cs="SimSun"/>
          <w:bCs/>
          <w:lang w:eastAsia="zh-CN"/>
        </w:rPr>
      </w:pPr>
      <w:r>
        <w:rPr>
          <w:rFonts w:ascii="Book Antiqua" w:hAnsi="Book Antiqua"/>
          <w:bCs/>
        </w:rPr>
        <w:br w:type="page"/>
      </w:r>
    </w:p>
    <w:p w14:paraId="56C6DF59" w14:textId="77777777" w:rsidR="001154E7" w:rsidRDefault="00ED61B9">
      <w:pPr>
        <w:pStyle w:val="NormalWeb"/>
        <w:adjustRightInd w:val="0"/>
        <w:snapToGrid w:val="0"/>
        <w:spacing w:before="0" w:beforeAutospacing="0" w:after="0" w:afterAutospacing="0" w:line="360" w:lineRule="auto"/>
        <w:jc w:val="both"/>
        <w:rPr>
          <w:rFonts w:ascii="Book Antiqua" w:hAnsi="Book Antiqua" w:cs="Times New Roman"/>
          <w:b/>
          <w:bCs/>
        </w:rPr>
      </w:pPr>
      <w:r>
        <w:rPr>
          <w:rFonts w:ascii="Book Antiqua" w:hAnsi="Book Antiqua" w:cs="Times New Roman"/>
          <w:b/>
          <w:bCs/>
        </w:rPr>
        <w:lastRenderedPageBreak/>
        <w:t xml:space="preserve">Table 3 </w:t>
      </w:r>
      <w:bookmarkStart w:id="0" w:name="OLE_LINK1"/>
      <w:r>
        <w:rPr>
          <w:rFonts w:ascii="Book Antiqua" w:hAnsi="Book Antiqua" w:cs="Times New Roman"/>
          <w:b/>
          <w:bCs/>
        </w:rPr>
        <w:t>Univariate and multivariate analysis</w:t>
      </w:r>
      <w:bookmarkEnd w:id="0"/>
      <w:r>
        <w:rPr>
          <w:rFonts w:ascii="Book Antiqua" w:hAnsi="Book Antiqua" w:cs="Times New Roman"/>
          <w:b/>
          <w:bCs/>
        </w:rPr>
        <w:t xml:space="preserve"> of </w:t>
      </w:r>
      <w:r>
        <w:rPr>
          <w:rFonts w:ascii="Book Antiqua" w:hAnsi="Book Antiqua"/>
          <w:b/>
          <w:bCs/>
        </w:rPr>
        <w:t xml:space="preserve">tuftelin 1 </w:t>
      </w:r>
      <w:r>
        <w:rPr>
          <w:rFonts w:ascii="Book Antiqua" w:hAnsi="Book Antiqua" w:cs="Times New Roman"/>
          <w:b/>
          <w:bCs/>
        </w:rPr>
        <w:t xml:space="preserve">in the prognosis of </w:t>
      </w:r>
      <w:r>
        <w:rPr>
          <w:rFonts w:ascii="Book Antiqua" w:hAnsi="Book Antiqua"/>
          <w:b/>
          <w:bCs/>
        </w:rPr>
        <w:t>hepatocellular carcinoma</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631"/>
        <w:gridCol w:w="960"/>
        <w:gridCol w:w="1715"/>
        <w:gridCol w:w="1069"/>
        <w:gridCol w:w="623"/>
        <w:gridCol w:w="1404"/>
        <w:gridCol w:w="958"/>
      </w:tblGrid>
      <w:tr w:rsidR="001154E7" w14:paraId="6C2D755B" w14:textId="77777777">
        <w:trPr>
          <w:trHeight w:val="285"/>
        </w:trPr>
        <w:tc>
          <w:tcPr>
            <w:tcW w:w="1405" w:type="pct"/>
            <w:vMerge w:val="restart"/>
            <w:tcBorders>
              <w:top w:val="single" w:sz="4" w:space="0" w:color="auto"/>
              <w:bottom w:val="single" w:sz="4" w:space="0" w:color="auto"/>
            </w:tcBorders>
            <w:shd w:val="clear" w:color="auto" w:fill="auto"/>
            <w:vAlign w:val="center"/>
          </w:tcPr>
          <w:p w14:paraId="26732B01"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Group</w:t>
            </w:r>
          </w:p>
        </w:tc>
        <w:tc>
          <w:tcPr>
            <w:tcW w:w="1999" w:type="pct"/>
            <w:gridSpan w:val="3"/>
            <w:tcBorders>
              <w:top w:val="single" w:sz="4" w:space="0" w:color="auto"/>
              <w:bottom w:val="single" w:sz="4" w:space="0" w:color="auto"/>
            </w:tcBorders>
            <w:shd w:val="clear" w:color="auto" w:fill="auto"/>
            <w:vAlign w:val="center"/>
          </w:tcPr>
          <w:p w14:paraId="2B459EC1"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 xml:space="preserve">Univariate </w:t>
            </w:r>
            <w:r>
              <w:rPr>
                <w:rFonts w:ascii="Book Antiqua" w:hAnsi="Book Antiqua"/>
                <w:b/>
                <w:bCs/>
                <w:color w:val="000000" w:themeColor="text1"/>
              </w:rPr>
              <w:t>analysis</w:t>
            </w:r>
          </w:p>
        </w:tc>
        <w:tc>
          <w:tcPr>
            <w:tcW w:w="1595" w:type="pct"/>
            <w:gridSpan w:val="3"/>
            <w:tcBorders>
              <w:top w:val="single" w:sz="4" w:space="0" w:color="auto"/>
              <w:bottom w:val="single" w:sz="4" w:space="0" w:color="auto"/>
            </w:tcBorders>
            <w:shd w:val="clear" w:color="auto" w:fill="auto"/>
            <w:vAlign w:val="center"/>
          </w:tcPr>
          <w:p w14:paraId="28E82057"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Multivariate analysis</w:t>
            </w:r>
          </w:p>
        </w:tc>
      </w:tr>
      <w:tr w:rsidR="001154E7" w14:paraId="70255D70" w14:textId="77777777">
        <w:trPr>
          <w:trHeight w:val="285"/>
        </w:trPr>
        <w:tc>
          <w:tcPr>
            <w:tcW w:w="1405" w:type="pct"/>
            <w:vMerge/>
            <w:tcBorders>
              <w:top w:val="single" w:sz="4" w:space="0" w:color="auto"/>
              <w:bottom w:val="single" w:sz="4" w:space="0" w:color="auto"/>
            </w:tcBorders>
            <w:shd w:val="clear" w:color="auto" w:fill="auto"/>
            <w:vAlign w:val="center"/>
          </w:tcPr>
          <w:p w14:paraId="26FC1667" w14:textId="77777777" w:rsidR="001154E7" w:rsidRDefault="001154E7">
            <w:pPr>
              <w:adjustRightInd w:val="0"/>
              <w:snapToGrid w:val="0"/>
              <w:spacing w:line="360" w:lineRule="auto"/>
              <w:jc w:val="both"/>
              <w:rPr>
                <w:rFonts w:ascii="Book Antiqua" w:hAnsi="Book Antiqua"/>
                <w:b/>
                <w:bCs/>
                <w:color w:val="000000" w:themeColor="text1"/>
              </w:rPr>
            </w:pPr>
          </w:p>
        </w:tc>
        <w:tc>
          <w:tcPr>
            <w:tcW w:w="513" w:type="pct"/>
            <w:tcBorders>
              <w:top w:val="single" w:sz="4" w:space="0" w:color="auto"/>
              <w:bottom w:val="single" w:sz="4" w:space="0" w:color="auto"/>
            </w:tcBorders>
            <w:shd w:val="clear" w:color="auto" w:fill="auto"/>
            <w:vAlign w:val="center"/>
          </w:tcPr>
          <w:p w14:paraId="2FF42817"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HR</w:t>
            </w:r>
          </w:p>
        </w:tc>
        <w:tc>
          <w:tcPr>
            <w:tcW w:w="916" w:type="pct"/>
            <w:tcBorders>
              <w:top w:val="single" w:sz="4" w:space="0" w:color="auto"/>
              <w:bottom w:val="single" w:sz="4" w:space="0" w:color="auto"/>
            </w:tcBorders>
            <w:shd w:val="clear" w:color="auto" w:fill="auto"/>
            <w:vAlign w:val="center"/>
          </w:tcPr>
          <w:p w14:paraId="44B2B673"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95%CI</w:t>
            </w:r>
          </w:p>
        </w:tc>
        <w:tc>
          <w:tcPr>
            <w:tcW w:w="571" w:type="pct"/>
            <w:tcBorders>
              <w:top w:val="single" w:sz="4" w:space="0" w:color="auto"/>
              <w:bottom w:val="single" w:sz="4" w:space="0" w:color="auto"/>
            </w:tcBorders>
            <w:shd w:val="clear" w:color="auto" w:fill="auto"/>
            <w:vAlign w:val="center"/>
          </w:tcPr>
          <w:p w14:paraId="170E272E" w14:textId="77777777" w:rsidR="001154E7" w:rsidRDefault="00ED61B9">
            <w:pPr>
              <w:adjustRightInd w:val="0"/>
              <w:snapToGrid w:val="0"/>
              <w:spacing w:line="360" w:lineRule="auto"/>
              <w:jc w:val="both"/>
              <w:textAlignment w:val="center"/>
              <w:rPr>
                <w:rFonts w:ascii="Book Antiqua" w:hAnsi="Book Antiqua"/>
                <w:b/>
                <w:bCs/>
                <w:i/>
                <w:iCs/>
                <w:color w:val="000000" w:themeColor="text1"/>
              </w:rPr>
            </w:pPr>
            <w:r>
              <w:rPr>
                <w:rFonts w:ascii="Book Antiqua" w:hAnsi="Book Antiqua"/>
                <w:b/>
                <w:bCs/>
                <w:i/>
                <w:iCs/>
                <w:color w:val="000000" w:themeColor="text1"/>
              </w:rPr>
              <w:t xml:space="preserve">P </w:t>
            </w:r>
            <w:r>
              <w:rPr>
                <w:rFonts w:ascii="Book Antiqua" w:hAnsi="Book Antiqua"/>
                <w:b/>
                <w:bCs/>
                <w:color w:val="000000" w:themeColor="text1"/>
              </w:rPr>
              <w:t>value</w:t>
            </w:r>
          </w:p>
        </w:tc>
        <w:tc>
          <w:tcPr>
            <w:tcW w:w="333" w:type="pct"/>
            <w:tcBorders>
              <w:top w:val="single" w:sz="4" w:space="0" w:color="auto"/>
              <w:bottom w:val="single" w:sz="4" w:space="0" w:color="auto"/>
            </w:tcBorders>
            <w:shd w:val="clear" w:color="auto" w:fill="auto"/>
            <w:vAlign w:val="center"/>
          </w:tcPr>
          <w:p w14:paraId="1501DB8B"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HR</w:t>
            </w:r>
          </w:p>
        </w:tc>
        <w:tc>
          <w:tcPr>
            <w:tcW w:w="750" w:type="pct"/>
            <w:tcBorders>
              <w:top w:val="single" w:sz="4" w:space="0" w:color="auto"/>
              <w:bottom w:val="single" w:sz="4" w:space="0" w:color="auto"/>
            </w:tcBorders>
            <w:shd w:val="clear" w:color="auto" w:fill="auto"/>
            <w:vAlign w:val="center"/>
          </w:tcPr>
          <w:p w14:paraId="03501015"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95%CI</w:t>
            </w:r>
          </w:p>
        </w:tc>
        <w:tc>
          <w:tcPr>
            <w:tcW w:w="512" w:type="pct"/>
            <w:tcBorders>
              <w:top w:val="single" w:sz="4" w:space="0" w:color="auto"/>
              <w:bottom w:val="single" w:sz="4" w:space="0" w:color="auto"/>
            </w:tcBorders>
            <w:shd w:val="clear" w:color="auto" w:fill="auto"/>
            <w:vAlign w:val="center"/>
          </w:tcPr>
          <w:p w14:paraId="3185AC07" w14:textId="77777777" w:rsidR="001154E7" w:rsidRDefault="00ED61B9">
            <w:pPr>
              <w:adjustRightInd w:val="0"/>
              <w:snapToGrid w:val="0"/>
              <w:spacing w:line="360" w:lineRule="auto"/>
              <w:jc w:val="both"/>
              <w:textAlignment w:val="center"/>
              <w:rPr>
                <w:rFonts w:ascii="Book Antiqua" w:hAnsi="Book Antiqua"/>
                <w:b/>
                <w:bCs/>
                <w:i/>
                <w:iCs/>
                <w:color w:val="000000" w:themeColor="text1"/>
              </w:rPr>
            </w:pPr>
            <w:r>
              <w:rPr>
                <w:rFonts w:ascii="Book Antiqua" w:hAnsi="Book Antiqua"/>
                <w:b/>
                <w:bCs/>
                <w:i/>
                <w:iCs/>
                <w:color w:val="000000" w:themeColor="text1"/>
              </w:rPr>
              <w:t xml:space="preserve">P </w:t>
            </w:r>
            <w:r>
              <w:rPr>
                <w:rFonts w:ascii="Book Antiqua" w:hAnsi="Book Antiqua"/>
                <w:b/>
                <w:bCs/>
                <w:color w:val="000000" w:themeColor="text1"/>
              </w:rPr>
              <w:t>value</w:t>
            </w:r>
          </w:p>
        </w:tc>
      </w:tr>
      <w:tr w:rsidR="001154E7" w14:paraId="499034F3" w14:textId="77777777">
        <w:trPr>
          <w:trHeight w:val="285"/>
        </w:trPr>
        <w:tc>
          <w:tcPr>
            <w:tcW w:w="1405" w:type="pct"/>
            <w:tcBorders>
              <w:top w:val="single" w:sz="4" w:space="0" w:color="auto"/>
            </w:tcBorders>
            <w:shd w:val="clear" w:color="auto" w:fill="auto"/>
            <w:vAlign w:val="center"/>
          </w:tcPr>
          <w:p w14:paraId="647E7AC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TUFT1 expression, high </w:t>
            </w:r>
            <w:r>
              <w:rPr>
                <w:rFonts w:ascii="Book Antiqua" w:hAnsi="Book Antiqua"/>
                <w:i/>
                <w:color w:val="000000" w:themeColor="text1"/>
              </w:rPr>
              <w:t>vs</w:t>
            </w:r>
            <w:r>
              <w:rPr>
                <w:rFonts w:ascii="Book Antiqua" w:hAnsi="Book Antiqua"/>
                <w:color w:val="000000" w:themeColor="text1"/>
              </w:rPr>
              <w:t xml:space="preserve"> low</w:t>
            </w:r>
          </w:p>
        </w:tc>
        <w:tc>
          <w:tcPr>
            <w:tcW w:w="513" w:type="pct"/>
            <w:tcBorders>
              <w:top w:val="single" w:sz="4" w:space="0" w:color="auto"/>
            </w:tcBorders>
            <w:shd w:val="clear" w:color="auto" w:fill="auto"/>
            <w:vAlign w:val="center"/>
          </w:tcPr>
          <w:p w14:paraId="633A516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3.026</w:t>
            </w:r>
          </w:p>
        </w:tc>
        <w:tc>
          <w:tcPr>
            <w:tcW w:w="916" w:type="pct"/>
            <w:tcBorders>
              <w:top w:val="single" w:sz="4" w:space="0" w:color="auto"/>
            </w:tcBorders>
            <w:shd w:val="clear" w:color="auto" w:fill="auto"/>
            <w:vAlign w:val="center"/>
          </w:tcPr>
          <w:p w14:paraId="4F51E66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1.927-4.752</w:t>
            </w:r>
          </w:p>
        </w:tc>
        <w:tc>
          <w:tcPr>
            <w:tcW w:w="571" w:type="pct"/>
            <w:tcBorders>
              <w:top w:val="single" w:sz="4" w:space="0" w:color="auto"/>
            </w:tcBorders>
            <w:shd w:val="clear" w:color="auto" w:fill="auto"/>
            <w:vAlign w:val="center"/>
          </w:tcPr>
          <w:p w14:paraId="1402207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c>
          <w:tcPr>
            <w:tcW w:w="333" w:type="pct"/>
            <w:tcBorders>
              <w:top w:val="single" w:sz="4" w:space="0" w:color="auto"/>
            </w:tcBorders>
            <w:shd w:val="clear" w:color="auto" w:fill="auto"/>
            <w:vAlign w:val="center"/>
          </w:tcPr>
          <w:p w14:paraId="30A5586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1.743</w:t>
            </w:r>
          </w:p>
        </w:tc>
        <w:tc>
          <w:tcPr>
            <w:tcW w:w="750" w:type="pct"/>
            <w:tcBorders>
              <w:top w:val="single" w:sz="4" w:space="0" w:color="auto"/>
            </w:tcBorders>
            <w:shd w:val="clear" w:color="auto" w:fill="auto"/>
            <w:vAlign w:val="center"/>
          </w:tcPr>
          <w:p w14:paraId="523CCD4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1.044-2.910</w:t>
            </w:r>
          </w:p>
        </w:tc>
        <w:tc>
          <w:tcPr>
            <w:tcW w:w="512" w:type="pct"/>
            <w:tcBorders>
              <w:top w:val="single" w:sz="4" w:space="0" w:color="auto"/>
            </w:tcBorders>
            <w:shd w:val="clear" w:color="auto" w:fill="auto"/>
            <w:vAlign w:val="center"/>
          </w:tcPr>
          <w:p w14:paraId="019B9AD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0.034</w:t>
            </w:r>
          </w:p>
        </w:tc>
      </w:tr>
      <w:tr w:rsidR="001154E7" w14:paraId="2ECD5708" w14:textId="77777777">
        <w:trPr>
          <w:trHeight w:val="285"/>
        </w:trPr>
        <w:tc>
          <w:tcPr>
            <w:tcW w:w="1405" w:type="pct"/>
            <w:shd w:val="clear" w:color="auto" w:fill="auto"/>
            <w:vAlign w:val="center"/>
          </w:tcPr>
          <w:p w14:paraId="3C4C1802"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AFP (ng/mL), ≥ 20 </w:t>
            </w:r>
            <w:r>
              <w:rPr>
                <w:rFonts w:ascii="Book Antiqua" w:hAnsi="Book Antiqua"/>
                <w:i/>
                <w:color w:val="000000" w:themeColor="text1"/>
              </w:rPr>
              <w:t>vs</w:t>
            </w:r>
            <w:r>
              <w:rPr>
                <w:rFonts w:ascii="Book Antiqua" w:hAnsi="Book Antiqua"/>
                <w:color w:val="000000" w:themeColor="text1"/>
              </w:rPr>
              <w:t xml:space="preserve"> &lt; 20</w:t>
            </w:r>
          </w:p>
        </w:tc>
        <w:tc>
          <w:tcPr>
            <w:tcW w:w="513" w:type="pct"/>
            <w:shd w:val="clear" w:color="auto" w:fill="auto"/>
            <w:vAlign w:val="center"/>
          </w:tcPr>
          <w:p w14:paraId="4E41DFD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1.866</w:t>
            </w:r>
          </w:p>
        </w:tc>
        <w:tc>
          <w:tcPr>
            <w:tcW w:w="916" w:type="pct"/>
            <w:shd w:val="clear" w:color="auto" w:fill="auto"/>
            <w:vAlign w:val="center"/>
          </w:tcPr>
          <w:p w14:paraId="5035102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1.066-3.266</w:t>
            </w:r>
          </w:p>
        </w:tc>
        <w:tc>
          <w:tcPr>
            <w:tcW w:w="571" w:type="pct"/>
            <w:shd w:val="clear" w:color="auto" w:fill="auto"/>
            <w:vAlign w:val="center"/>
          </w:tcPr>
          <w:p w14:paraId="1EB961D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0.027</w:t>
            </w:r>
          </w:p>
        </w:tc>
        <w:tc>
          <w:tcPr>
            <w:tcW w:w="333" w:type="pct"/>
            <w:shd w:val="clear" w:color="auto" w:fill="auto"/>
            <w:vAlign w:val="center"/>
          </w:tcPr>
          <w:p w14:paraId="48EC2FE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1.482</w:t>
            </w:r>
          </w:p>
        </w:tc>
        <w:tc>
          <w:tcPr>
            <w:tcW w:w="750" w:type="pct"/>
            <w:shd w:val="clear" w:color="auto" w:fill="auto"/>
            <w:vAlign w:val="center"/>
          </w:tcPr>
          <w:p w14:paraId="27F5A75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0.835-2.630</w:t>
            </w:r>
          </w:p>
        </w:tc>
        <w:tc>
          <w:tcPr>
            <w:tcW w:w="512" w:type="pct"/>
            <w:shd w:val="clear" w:color="auto" w:fill="auto"/>
            <w:vAlign w:val="center"/>
          </w:tcPr>
          <w:p w14:paraId="1621EEA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0.178</w:t>
            </w:r>
          </w:p>
        </w:tc>
      </w:tr>
      <w:tr w:rsidR="001154E7" w14:paraId="19E824D8" w14:textId="77777777">
        <w:trPr>
          <w:trHeight w:val="285"/>
        </w:trPr>
        <w:tc>
          <w:tcPr>
            <w:tcW w:w="1405" w:type="pct"/>
            <w:shd w:val="clear" w:color="auto" w:fill="auto"/>
            <w:vAlign w:val="center"/>
          </w:tcPr>
          <w:p w14:paraId="1690A9F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HBsAg, pos. </w:t>
            </w:r>
            <w:r>
              <w:rPr>
                <w:rFonts w:ascii="Book Antiqua" w:hAnsi="Book Antiqua"/>
                <w:i/>
                <w:color w:val="000000" w:themeColor="text1"/>
              </w:rPr>
              <w:t>vs</w:t>
            </w:r>
            <w:r>
              <w:rPr>
                <w:rFonts w:ascii="Book Antiqua" w:hAnsi="Book Antiqua"/>
                <w:color w:val="000000" w:themeColor="text1"/>
              </w:rPr>
              <w:t xml:space="preserve"> neg.</w:t>
            </w:r>
          </w:p>
        </w:tc>
        <w:tc>
          <w:tcPr>
            <w:tcW w:w="513" w:type="pct"/>
            <w:shd w:val="clear" w:color="auto" w:fill="auto"/>
            <w:vAlign w:val="center"/>
          </w:tcPr>
          <w:p w14:paraId="46D6582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1.495</w:t>
            </w:r>
          </w:p>
        </w:tc>
        <w:tc>
          <w:tcPr>
            <w:tcW w:w="916" w:type="pct"/>
            <w:shd w:val="clear" w:color="auto" w:fill="auto"/>
            <w:vAlign w:val="center"/>
          </w:tcPr>
          <w:p w14:paraId="2801AD8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0.652-3.431</w:t>
            </w:r>
          </w:p>
        </w:tc>
        <w:tc>
          <w:tcPr>
            <w:tcW w:w="571" w:type="pct"/>
            <w:shd w:val="clear" w:color="auto" w:fill="auto"/>
            <w:vAlign w:val="center"/>
          </w:tcPr>
          <w:p w14:paraId="636C206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0.339</w:t>
            </w:r>
          </w:p>
        </w:tc>
        <w:tc>
          <w:tcPr>
            <w:tcW w:w="333" w:type="pct"/>
            <w:shd w:val="clear" w:color="auto" w:fill="auto"/>
            <w:vAlign w:val="center"/>
          </w:tcPr>
          <w:p w14:paraId="462457B4" w14:textId="77777777" w:rsidR="001154E7" w:rsidRDefault="001154E7">
            <w:pPr>
              <w:adjustRightInd w:val="0"/>
              <w:snapToGrid w:val="0"/>
              <w:spacing w:line="360" w:lineRule="auto"/>
              <w:ind w:firstLine="420"/>
              <w:jc w:val="both"/>
              <w:rPr>
                <w:rFonts w:ascii="Book Antiqua" w:hAnsi="Book Antiqua"/>
                <w:color w:val="000000" w:themeColor="text1"/>
              </w:rPr>
            </w:pPr>
          </w:p>
        </w:tc>
        <w:tc>
          <w:tcPr>
            <w:tcW w:w="750" w:type="pct"/>
            <w:shd w:val="clear" w:color="auto" w:fill="auto"/>
            <w:vAlign w:val="center"/>
          </w:tcPr>
          <w:p w14:paraId="7B455C05" w14:textId="77777777" w:rsidR="001154E7" w:rsidRDefault="001154E7">
            <w:pPr>
              <w:adjustRightInd w:val="0"/>
              <w:snapToGrid w:val="0"/>
              <w:spacing w:line="360" w:lineRule="auto"/>
              <w:ind w:firstLine="420"/>
              <w:jc w:val="both"/>
              <w:rPr>
                <w:rFonts w:ascii="Book Antiqua" w:hAnsi="Book Antiqua"/>
                <w:color w:val="000000" w:themeColor="text1"/>
              </w:rPr>
            </w:pPr>
          </w:p>
        </w:tc>
        <w:tc>
          <w:tcPr>
            <w:tcW w:w="512" w:type="pct"/>
            <w:shd w:val="clear" w:color="auto" w:fill="auto"/>
            <w:vAlign w:val="center"/>
          </w:tcPr>
          <w:p w14:paraId="2EE81E88" w14:textId="77777777" w:rsidR="001154E7" w:rsidRDefault="001154E7">
            <w:pPr>
              <w:adjustRightInd w:val="0"/>
              <w:snapToGrid w:val="0"/>
              <w:spacing w:line="360" w:lineRule="auto"/>
              <w:ind w:firstLine="420"/>
              <w:jc w:val="both"/>
              <w:rPr>
                <w:rFonts w:ascii="Book Antiqua" w:hAnsi="Book Antiqua"/>
                <w:color w:val="000000" w:themeColor="text1"/>
              </w:rPr>
            </w:pPr>
          </w:p>
        </w:tc>
      </w:tr>
      <w:tr w:rsidR="001154E7" w14:paraId="1ED2EDFE" w14:textId="77777777">
        <w:trPr>
          <w:trHeight w:val="285"/>
        </w:trPr>
        <w:tc>
          <w:tcPr>
            <w:tcW w:w="1405" w:type="pct"/>
            <w:shd w:val="clear" w:color="auto" w:fill="auto"/>
            <w:vAlign w:val="center"/>
          </w:tcPr>
          <w:p w14:paraId="79DA395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HBeAg, pos. </w:t>
            </w:r>
            <w:r>
              <w:rPr>
                <w:rFonts w:ascii="Book Antiqua" w:hAnsi="Book Antiqua"/>
                <w:i/>
                <w:color w:val="000000" w:themeColor="text1"/>
              </w:rPr>
              <w:t>vs</w:t>
            </w:r>
            <w:r>
              <w:rPr>
                <w:rFonts w:ascii="Book Antiqua" w:hAnsi="Book Antiqua"/>
                <w:color w:val="000000" w:themeColor="text1"/>
              </w:rPr>
              <w:t xml:space="preserve"> neg.</w:t>
            </w:r>
          </w:p>
        </w:tc>
        <w:tc>
          <w:tcPr>
            <w:tcW w:w="513" w:type="pct"/>
            <w:shd w:val="clear" w:color="auto" w:fill="auto"/>
            <w:vAlign w:val="center"/>
          </w:tcPr>
          <w:p w14:paraId="43D7051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1.670</w:t>
            </w:r>
          </w:p>
        </w:tc>
        <w:tc>
          <w:tcPr>
            <w:tcW w:w="916" w:type="pct"/>
            <w:shd w:val="clear" w:color="auto" w:fill="auto"/>
            <w:vAlign w:val="center"/>
          </w:tcPr>
          <w:p w14:paraId="2AEB23A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1.084-2.574</w:t>
            </w:r>
          </w:p>
        </w:tc>
        <w:tc>
          <w:tcPr>
            <w:tcW w:w="571" w:type="pct"/>
            <w:shd w:val="clear" w:color="auto" w:fill="auto"/>
            <w:vAlign w:val="center"/>
          </w:tcPr>
          <w:p w14:paraId="19C30DB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0.019</w:t>
            </w:r>
          </w:p>
        </w:tc>
        <w:tc>
          <w:tcPr>
            <w:tcW w:w="333" w:type="pct"/>
            <w:shd w:val="clear" w:color="auto" w:fill="auto"/>
            <w:vAlign w:val="center"/>
          </w:tcPr>
          <w:p w14:paraId="6AF1F5B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1.070</w:t>
            </w:r>
          </w:p>
        </w:tc>
        <w:tc>
          <w:tcPr>
            <w:tcW w:w="750" w:type="pct"/>
            <w:shd w:val="clear" w:color="auto" w:fill="auto"/>
            <w:vAlign w:val="center"/>
          </w:tcPr>
          <w:p w14:paraId="5F6CCF0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0.659-1.739</w:t>
            </w:r>
          </w:p>
        </w:tc>
        <w:tc>
          <w:tcPr>
            <w:tcW w:w="512" w:type="pct"/>
            <w:shd w:val="clear" w:color="auto" w:fill="auto"/>
            <w:vAlign w:val="center"/>
          </w:tcPr>
          <w:p w14:paraId="6C4E9C6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0.784</w:t>
            </w:r>
          </w:p>
        </w:tc>
      </w:tr>
      <w:tr w:rsidR="001154E7" w14:paraId="6C84FA63" w14:textId="77777777">
        <w:trPr>
          <w:trHeight w:val="285"/>
        </w:trPr>
        <w:tc>
          <w:tcPr>
            <w:tcW w:w="1405" w:type="pct"/>
            <w:shd w:val="clear" w:color="auto" w:fill="auto"/>
            <w:vAlign w:val="center"/>
          </w:tcPr>
          <w:p w14:paraId="1D00E35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Tumor size (cm), ≥ 3 </w:t>
            </w:r>
            <w:r>
              <w:rPr>
                <w:rFonts w:ascii="Book Antiqua" w:hAnsi="Book Antiqua"/>
                <w:i/>
                <w:color w:val="000000" w:themeColor="text1"/>
              </w:rPr>
              <w:t xml:space="preserve">vs </w:t>
            </w:r>
            <w:r>
              <w:rPr>
                <w:rFonts w:ascii="Book Antiqua" w:hAnsi="Book Antiqua"/>
                <w:color w:val="000000" w:themeColor="text1"/>
              </w:rPr>
              <w:t xml:space="preserve">&lt; 3 </w:t>
            </w:r>
          </w:p>
        </w:tc>
        <w:tc>
          <w:tcPr>
            <w:tcW w:w="513" w:type="pct"/>
            <w:shd w:val="clear" w:color="auto" w:fill="auto"/>
            <w:vAlign w:val="center"/>
          </w:tcPr>
          <w:p w14:paraId="461E780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3.680</w:t>
            </w:r>
          </w:p>
        </w:tc>
        <w:tc>
          <w:tcPr>
            <w:tcW w:w="916" w:type="pct"/>
            <w:shd w:val="clear" w:color="auto" w:fill="auto"/>
            <w:vAlign w:val="center"/>
          </w:tcPr>
          <w:p w14:paraId="19F0060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1.837-7.370</w:t>
            </w:r>
          </w:p>
        </w:tc>
        <w:tc>
          <w:tcPr>
            <w:tcW w:w="571" w:type="pct"/>
            <w:shd w:val="clear" w:color="auto" w:fill="auto"/>
            <w:vAlign w:val="center"/>
          </w:tcPr>
          <w:p w14:paraId="28231D3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c>
          <w:tcPr>
            <w:tcW w:w="333" w:type="pct"/>
            <w:shd w:val="clear" w:color="auto" w:fill="auto"/>
            <w:vAlign w:val="center"/>
          </w:tcPr>
          <w:p w14:paraId="6623CFE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2.235</w:t>
            </w:r>
          </w:p>
        </w:tc>
        <w:tc>
          <w:tcPr>
            <w:tcW w:w="750" w:type="pct"/>
            <w:shd w:val="clear" w:color="auto" w:fill="auto"/>
            <w:vAlign w:val="center"/>
          </w:tcPr>
          <w:p w14:paraId="06EC528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1.043-4.485</w:t>
            </w:r>
          </w:p>
        </w:tc>
        <w:tc>
          <w:tcPr>
            <w:tcW w:w="512" w:type="pct"/>
            <w:shd w:val="clear" w:color="auto" w:fill="auto"/>
            <w:vAlign w:val="center"/>
          </w:tcPr>
          <w:p w14:paraId="3326A49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0.039</w:t>
            </w:r>
          </w:p>
        </w:tc>
      </w:tr>
      <w:tr w:rsidR="001154E7" w14:paraId="5A005E0D" w14:textId="77777777">
        <w:trPr>
          <w:trHeight w:val="285"/>
        </w:trPr>
        <w:tc>
          <w:tcPr>
            <w:tcW w:w="1405" w:type="pct"/>
            <w:shd w:val="clear" w:color="auto" w:fill="auto"/>
            <w:vAlign w:val="center"/>
          </w:tcPr>
          <w:p w14:paraId="4486976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Differentiation degree, Poor </w:t>
            </w:r>
            <w:r>
              <w:rPr>
                <w:rFonts w:ascii="Book Antiqua" w:hAnsi="Book Antiqua"/>
                <w:i/>
                <w:color w:val="000000" w:themeColor="text1"/>
              </w:rPr>
              <w:t>vs</w:t>
            </w:r>
            <w:r>
              <w:rPr>
                <w:rFonts w:ascii="Book Antiqua" w:hAnsi="Book Antiqua"/>
                <w:color w:val="000000" w:themeColor="text1"/>
              </w:rPr>
              <w:t xml:space="preserve"> well-med.</w:t>
            </w:r>
          </w:p>
        </w:tc>
        <w:tc>
          <w:tcPr>
            <w:tcW w:w="513" w:type="pct"/>
            <w:shd w:val="clear" w:color="auto" w:fill="auto"/>
            <w:vAlign w:val="center"/>
          </w:tcPr>
          <w:p w14:paraId="7A6A685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1.642</w:t>
            </w:r>
          </w:p>
        </w:tc>
        <w:tc>
          <w:tcPr>
            <w:tcW w:w="916" w:type="pct"/>
            <w:shd w:val="clear" w:color="auto" w:fill="auto"/>
            <w:vAlign w:val="center"/>
          </w:tcPr>
          <w:p w14:paraId="5F318DF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0.869-3.100</w:t>
            </w:r>
          </w:p>
        </w:tc>
        <w:tc>
          <w:tcPr>
            <w:tcW w:w="571" w:type="pct"/>
            <w:shd w:val="clear" w:color="auto" w:fill="auto"/>
            <w:vAlign w:val="center"/>
          </w:tcPr>
          <w:p w14:paraId="0B215910"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0.123</w:t>
            </w:r>
          </w:p>
        </w:tc>
        <w:tc>
          <w:tcPr>
            <w:tcW w:w="333" w:type="pct"/>
            <w:shd w:val="clear" w:color="auto" w:fill="auto"/>
            <w:vAlign w:val="center"/>
          </w:tcPr>
          <w:p w14:paraId="19628418" w14:textId="77777777" w:rsidR="001154E7" w:rsidRDefault="001154E7">
            <w:pPr>
              <w:adjustRightInd w:val="0"/>
              <w:snapToGrid w:val="0"/>
              <w:spacing w:line="360" w:lineRule="auto"/>
              <w:ind w:firstLine="420"/>
              <w:jc w:val="both"/>
              <w:rPr>
                <w:rFonts w:ascii="Book Antiqua" w:hAnsi="Book Antiqua"/>
                <w:color w:val="000000" w:themeColor="text1"/>
              </w:rPr>
            </w:pPr>
          </w:p>
        </w:tc>
        <w:tc>
          <w:tcPr>
            <w:tcW w:w="750" w:type="pct"/>
            <w:shd w:val="clear" w:color="auto" w:fill="auto"/>
            <w:vAlign w:val="center"/>
          </w:tcPr>
          <w:p w14:paraId="737258EB" w14:textId="77777777" w:rsidR="001154E7" w:rsidRDefault="001154E7">
            <w:pPr>
              <w:adjustRightInd w:val="0"/>
              <w:snapToGrid w:val="0"/>
              <w:spacing w:line="360" w:lineRule="auto"/>
              <w:ind w:firstLine="420"/>
              <w:jc w:val="both"/>
              <w:rPr>
                <w:rFonts w:ascii="Book Antiqua" w:hAnsi="Book Antiqua"/>
                <w:color w:val="000000" w:themeColor="text1"/>
              </w:rPr>
            </w:pPr>
          </w:p>
        </w:tc>
        <w:tc>
          <w:tcPr>
            <w:tcW w:w="512" w:type="pct"/>
            <w:shd w:val="clear" w:color="auto" w:fill="auto"/>
            <w:vAlign w:val="center"/>
          </w:tcPr>
          <w:p w14:paraId="04CA252A" w14:textId="77777777" w:rsidR="001154E7" w:rsidRDefault="001154E7">
            <w:pPr>
              <w:adjustRightInd w:val="0"/>
              <w:snapToGrid w:val="0"/>
              <w:spacing w:line="360" w:lineRule="auto"/>
              <w:ind w:firstLine="420"/>
              <w:jc w:val="both"/>
              <w:rPr>
                <w:rFonts w:ascii="Book Antiqua" w:hAnsi="Book Antiqua"/>
                <w:color w:val="000000" w:themeColor="text1"/>
              </w:rPr>
            </w:pPr>
          </w:p>
        </w:tc>
      </w:tr>
      <w:tr w:rsidR="001154E7" w14:paraId="0D52B13F" w14:textId="77777777">
        <w:trPr>
          <w:trHeight w:val="285"/>
        </w:trPr>
        <w:tc>
          <w:tcPr>
            <w:tcW w:w="1405" w:type="pct"/>
            <w:shd w:val="clear" w:color="auto" w:fill="auto"/>
            <w:vAlign w:val="center"/>
          </w:tcPr>
          <w:p w14:paraId="5B24EF7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Vascular invasion, with </w:t>
            </w:r>
            <w:r>
              <w:rPr>
                <w:rFonts w:ascii="Book Antiqua" w:hAnsi="Book Antiqua"/>
                <w:i/>
                <w:color w:val="000000" w:themeColor="text1"/>
              </w:rPr>
              <w:t>vs</w:t>
            </w:r>
            <w:r>
              <w:rPr>
                <w:rFonts w:ascii="Book Antiqua" w:hAnsi="Book Antiqua"/>
                <w:color w:val="000000" w:themeColor="text1"/>
              </w:rPr>
              <w:t xml:space="preserve"> without</w:t>
            </w:r>
          </w:p>
        </w:tc>
        <w:tc>
          <w:tcPr>
            <w:tcW w:w="513" w:type="pct"/>
            <w:shd w:val="clear" w:color="auto" w:fill="auto"/>
            <w:vAlign w:val="center"/>
          </w:tcPr>
          <w:p w14:paraId="3304754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3.297</w:t>
            </w:r>
          </w:p>
        </w:tc>
        <w:tc>
          <w:tcPr>
            <w:tcW w:w="916" w:type="pct"/>
            <w:shd w:val="clear" w:color="auto" w:fill="auto"/>
            <w:vAlign w:val="center"/>
          </w:tcPr>
          <w:p w14:paraId="4D145A6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2.133-5.094</w:t>
            </w:r>
          </w:p>
        </w:tc>
        <w:tc>
          <w:tcPr>
            <w:tcW w:w="571" w:type="pct"/>
            <w:shd w:val="clear" w:color="auto" w:fill="auto"/>
            <w:vAlign w:val="center"/>
          </w:tcPr>
          <w:p w14:paraId="20DDA01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c>
          <w:tcPr>
            <w:tcW w:w="333" w:type="pct"/>
            <w:shd w:val="clear" w:color="auto" w:fill="auto"/>
            <w:vAlign w:val="center"/>
          </w:tcPr>
          <w:p w14:paraId="7153C82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2.018</w:t>
            </w:r>
          </w:p>
        </w:tc>
        <w:tc>
          <w:tcPr>
            <w:tcW w:w="750" w:type="pct"/>
            <w:shd w:val="clear" w:color="auto" w:fill="auto"/>
            <w:vAlign w:val="center"/>
          </w:tcPr>
          <w:p w14:paraId="36318D2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1.186-3.434</w:t>
            </w:r>
          </w:p>
        </w:tc>
        <w:tc>
          <w:tcPr>
            <w:tcW w:w="512" w:type="pct"/>
            <w:shd w:val="clear" w:color="auto" w:fill="auto"/>
            <w:vAlign w:val="center"/>
          </w:tcPr>
          <w:p w14:paraId="2600F20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0.010</w:t>
            </w:r>
          </w:p>
        </w:tc>
      </w:tr>
      <w:tr w:rsidR="001154E7" w14:paraId="3F657058" w14:textId="77777777">
        <w:trPr>
          <w:trHeight w:val="285"/>
        </w:trPr>
        <w:tc>
          <w:tcPr>
            <w:tcW w:w="1405" w:type="pct"/>
            <w:shd w:val="clear" w:color="auto" w:fill="auto"/>
            <w:vAlign w:val="center"/>
          </w:tcPr>
          <w:p w14:paraId="38666D2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Ascites, with </w:t>
            </w:r>
            <w:r>
              <w:rPr>
                <w:rFonts w:ascii="Book Antiqua" w:hAnsi="Book Antiqua"/>
                <w:i/>
                <w:color w:val="000000" w:themeColor="text1"/>
              </w:rPr>
              <w:t>vs</w:t>
            </w:r>
            <w:r>
              <w:rPr>
                <w:rFonts w:ascii="Book Antiqua" w:hAnsi="Book Antiqua"/>
                <w:color w:val="000000" w:themeColor="text1"/>
              </w:rPr>
              <w:t xml:space="preserve"> without</w:t>
            </w:r>
          </w:p>
        </w:tc>
        <w:tc>
          <w:tcPr>
            <w:tcW w:w="513" w:type="pct"/>
            <w:shd w:val="clear" w:color="auto" w:fill="auto"/>
            <w:vAlign w:val="center"/>
          </w:tcPr>
          <w:p w14:paraId="4C76D5B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2.592</w:t>
            </w:r>
          </w:p>
        </w:tc>
        <w:tc>
          <w:tcPr>
            <w:tcW w:w="916" w:type="pct"/>
            <w:shd w:val="clear" w:color="auto" w:fill="auto"/>
            <w:vAlign w:val="center"/>
          </w:tcPr>
          <w:p w14:paraId="05F10E0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1.648-4.076</w:t>
            </w:r>
          </w:p>
        </w:tc>
        <w:tc>
          <w:tcPr>
            <w:tcW w:w="571" w:type="pct"/>
            <w:shd w:val="clear" w:color="auto" w:fill="auto"/>
            <w:vAlign w:val="center"/>
          </w:tcPr>
          <w:p w14:paraId="0BB38F1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c>
          <w:tcPr>
            <w:tcW w:w="333" w:type="pct"/>
            <w:shd w:val="clear" w:color="auto" w:fill="auto"/>
            <w:vAlign w:val="center"/>
          </w:tcPr>
          <w:p w14:paraId="028429F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1.929</w:t>
            </w:r>
          </w:p>
        </w:tc>
        <w:tc>
          <w:tcPr>
            <w:tcW w:w="750" w:type="pct"/>
            <w:shd w:val="clear" w:color="auto" w:fill="auto"/>
            <w:vAlign w:val="center"/>
          </w:tcPr>
          <w:p w14:paraId="234A915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1.177-3.161</w:t>
            </w:r>
          </w:p>
        </w:tc>
        <w:tc>
          <w:tcPr>
            <w:tcW w:w="512" w:type="pct"/>
            <w:shd w:val="clear" w:color="auto" w:fill="auto"/>
            <w:vAlign w:val="center"/>
          </w:tcPr>
          <w:p w14:paraId="7EB6A1A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0.009</w:t>
            </w:r>
          </w:p>
        </w:tc>
      </w:tr>
      <w:tr w:rsidR="001154E7" w14:paraId="195D828B" w14:textId="77777777">
        <w:trPr>
          <w:trHeight w:val="285"/>
        </w:trPr>
        <w:tc>
          <w:tcPr>
            <w:tcW w:w="1405" w:type="pct"/>
            <w:shd w:val="clear" w:color="auto" w:fill="auto"/>
            <w:vAlign w:val="center"/>
          </w:tcPr>
          <w:p w14:paraId="3193BB9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TNM staging, III-IV </w:t>
            </w:r>
            <w:r>
              <w:rPr>
                <w:rFonts w:ascii="Book Antiqua" w:hAnsi="Book Antiqua"/>
                <w:i/>
                <w:iCs/>
                <w:color w:val="000000" w:themeColor="text1"/>
              </w:rPr>
              <w:t>vs</w:t>
            </w:r>
            <w:r>
              <w:rPr>
                <w:rFonts w:ascii="Book Antiqua" w:hAnsi="Book Antiqua"/>
                <w:color w:val="000000" w:themeColor="text1"/>
              </w:rPr>
              <w:t xml:space="preserve"> I-II</w:t>
            </w:r>
          </w:p>
        </w:tc>
        <w:tc>
          <w:tcPr>
            <w:tcW w:w="513" w:type="pct"/>
            <w:shd w:val="clear" w:color="auto" w:fill="auto"/>
            <w:vAlign w:val="center"/>
          </w:tcPr>
          <w:p w14:paraId="0B9108C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2.411</w:t>
            </w:r>
          </w:p>
        </w:tc>
        <w:tc>
          <w:tcPr>
            <w:tcW w:w="916" w:type="pct"/>
            <w:shd w:val="clear" w:color="auto" w:fill="auto"/>
            <w:vAlign w:val="center"/>
          </w:tcPr>
          <w:p w14:paraId="560A30C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1.532-3.796</w:t>
            </w:r>
          </w:p>
        </w:tc>
        <w:tc>
          <w:tcPr>
            <w:tcW w:w="571" w:type="pct"/>
            <w:shd w:val="clear" w:color="auto" w:fill="auto"/>
            <w:vAlign w:val="center"/>
          </w:tcPr>
          <w:p w14:paraId="5FFE198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c>
          <w:tcPr>
            <w:tcW w:w="333" w:type="pct"/>
            <w:shd w:val="clear" w:color="auto" w:fill="auto"/>
            <w:vAlign w:val="center"/>
          </w:tcPr>
          <w:p w14:paraId="32257A8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1.110</w:t>
            </w:r>
          </w:p>
        </w:tc>
        <w:tc>
          <w:tcPr>
            <w:tcW w:w="750" w:type="pct"/>
            <w:shd w:val="clear" w:color="auto" w:fill="auto"/>
            <w:vAlign w:val="center"/>
          </w:tcPr>
          <w:p w14:paraId="62DB436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0.614-2.005</w:t>
            </w:r>
          </w:p>
        </w:tc>
        <w:tc>
          <w:tcPr>
            <w:tcW w:w="512" w:type="pct"/>
            <w:shd w:val="clear" w:color="auto" w:fill="auto"/>
            <w:vAlign w:val="center"/>
          </w:tcPr>
          <w:p w14:paraId="10B5612C"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0.731</w:t>
            </w:r>
          </w:p>
        </w:tc>
      </w:tr>
    </w:tbl>
    <w:p w14:paraId="3365D2C2" w14:textId="77777777" w:rsidR="001154E7" w:rsidRDefault="00ED61B9">
      <w:pPr>
        <w:adjustRightInd w:val="0"/>
        <w:snapToGrid w:val="0"/>
        <w:spacing w:line="360" w:lineRule="auto"/>
        <w:jc w:val="both"/>
        <w:rPr>
          <w:rFonts w:ascii="Book Antiqua" w:hAnsi="Book Antiqua"/>
        </w:rPr>
      </w:pPr>
      <w:r>
        <w:rPr>
          <w:rFonts w:ascii="Book Antiqua" w:hAnsi="Book Antiqua"/>
        </w:rPr>
        <w:t xml:space="preserve">AFP: Alpha-fetoprotein; HBeAg: hepatitis B virus e antigen; HBsAg: hepatitis B virus surface antigen; </w:t>
      </w:r>
      <w:r>
        <w:rPr>
          <w:rFonts w:ascii="Book Antiqua" w:eastAsia="Book Antiqua" w:hAnsi="Book Antiqua" w:cs="Book Antiqua"/>
          <w:color w:val="000000"/>
        </w:rPr>
        <w:t xml:space="preserve">HR: </w:t>
      </w:r>
      <w:r>
        <w:rPr>
          <w:rFonts w:ascii="Book Antiqua" w:eastAsia="Book Antiqua" w:hAnsi="Book Antiqua" w:cs="Book Antiqua"/>
          <w:color w:val="000000"/>
          <w:shd w:val="clear" w:color="auto" w:fill="FFFFFF"/>
        </w:rPr>
        <w:t>Hazard ratio;</w:t>
      </w:r>
      <w:r>
        <w:rPr>
          <w:rFonts w:ascii="Book Antiqua" w:hAnsi="Book Antiqua"/>
        </w:rPr>
        <w:t xml:space="preserve"> Neg: Negative expression; Pos: Positive expression; </w:t>
      </w:r>
      <w:r>
        <w:rPr>
          <w:rFonts w:ascii="Book Antiqua" w:hAnsi="Book Antiqua"/>
          <w:color w:val="000000" w:themeColor="text1"/>
        </w:rPr>
        <w:t xml:space="preserve">TNM: </w:t>
      </w:r>
      <w:r>
        <w:rPr>
          <w:rFonts w:ascii="Book Antiqua" w:eastAsia="Book Antiqua" w:hAnsi="Book Antiqua" w:cs="Book Antiqua"/>
          <w:color w:val="000000"/>
        </w:rPr>
        <w:t>Tumor-node-metastasis.</w:t>
      </w:r>
    </w:p>
    <w:sectPr w:rsidR="001154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2E40D" w14:textId="77777777" w:rsidR="00ED61B9" w:rsidRDefault="00ED61B9">
      <w:r>
        <w:separator/>
      </w:r>
    </w:p>
  </w:endnote>
  <w:endnote w:type="continuationSeparator" w:id="0">
    <w:p w14:paraId="524044B1" w14:textId="77777777" w:rsidR="00ED61B9" w:rsidRDefault="00ED6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803338920"/>
      <w:docPartObj>
        <w:docPartGallery w:val="AutoText"/>
      </w:docPartObj>
    </w:sdtPr>
    <w:sdtEndPr/>
    <w:sdtContent>
      <w:p w14:paraId="5432B5A9" w14:textId="77777777" w:rsidR="001154E7" w:rsidRDefault="00ED61B9">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35</w:t>
        </w:r>
      </w:p>
    </w:sdtContent>
  </w:sdt>
  <w:p w14:paraId="3870046A" w14:textId="77777777" w:rsidR="001154E7" w:rsidRDefault="001154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CD3A6" w14:textId="77777777" w:rsidR="00ED61B9" w:rsidRDefault="00ED61B9">
      <w:r>
        <w:separator/>
      </w:r>
    </w:p>
  </w:footnote>
  <w:footnote w:type="continuationSeparator" w:id="0">
    <w:p w14:paraId="59C0DD79" w14:textId="77777777" w:rsidR="00ED61B9" w:rsidRDefault="00ED6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6CA4D" w14:textId="77777777" w:rsidR="001154E7" w:rsidRDefault="001154E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F54"/>
    <w:rsid w:val="00013E54"/>
    <w:rsid w:val="00014511"/>
    <w:rsid w:val="00043950"/>
    <w:rsid w:val="00043B80"/>
    <w:rsid w:val="0005187B"/>
    <w:rsid w:val="00076BBC"/>
    <w:rsid w:val="00080B3C"/>
    <w:rsid w:val="00081E08"/>
    <w:rsid w:val="000840FD"/>
    <w:rsid w:val="00085859"/>
    <w:rsid w:val="000A1368"/>
    <w:rsid w:val="000C11CF"/>
    <w:rsid w:val="000D563D"/>
    <w:rsid w:val="000D6E7D"/>
    <w:rsid w:val="001120AC"/>
    <w:rsid w:val="001154E7"/>
    <w:rsid w:val="00116DDC"/>
    <w:rsid w:val="00145187"/>
    <w:rsid w:val="00151B88"/>
    <w:rsid w:val="00157D50"/>
    <w:rsid w:val="00170EB1"/>
    <w:rsid w:val="001B3EF3"/>
    <w:rsid w:val="001C3572"/>
    <w:rsid w:val="001D31B4"/>
    <w:rsid w:val="001D6EB0"/>
    <w:rsid w:val="001E1F55"/>
    <w:rsid w:val="001E32C9"/>
    <w:rsid w:val="002210DE"/>
    <w:rsid w:val="00240427"/>
    <w:rsid w:val="002509A6"/>
    <w:rsid w:val="002559BB"/>
    <w:rsid w:val="0028184B"/>
    <w:rsid w:val="00295734"/>
    <w:rsid w:val="002A0EAE"/>
    <w:rsid w:val="002A5130"/>
    <w:rsid w:val="002C271D"/>
    <w:rsid w:val="00321C2D"/>
    <w:rsid w:val="00371150"/>
    <w:rsid w:val="00371A02"/>
    <w:rsid w:val="00381DD6"/>
    <w:rsid w:val="00384E2A"/>
    <w:rsid w:val="00435C38"/>
    <w:rsid w:val="004457EF"/>
    <w:rsid w:val="00446534"/>
    <w:rsid w:val="00461048"/>
    <w:rsid w:val="00462F9C"/>
    <w:rsid w:val="0046420C"/>
    <w:rsid w:val="00491FB5"/>
    <w:rsid w:val="004B2898"/>
    <w:rsid w:val="004D0E1F"/>
    <w:rsid w:val="004D203E"/>
    <w:rsid w:val="004D4348"/>
    <w:rsid w:val="004D56C3"/>
    <w:rsid w:val="004F6A6C"/>
    <w:rsid w:val="004F6EE9"/>
    <w:rsid w:val="0050487D"/>
    <w:rsid w:val="00523ECB"/>
    <w:rsid w:val="0053387F"/>
    <w:rsid w:val="00544986"/>
    <w:rsid w:val="005608E8"/>
    <w:rsid w:val="00563B66"/>
    <w:rsid w:val="00565784"/>
    <w:rsid w:val="005826D3"/>
    <w:rsid w:val="00592118"/>
    <w:rsid w:val="005A2C41"/>
    <w:rsid w:val="005D0F9E"/>
    <w:rsid w:val="005D3A1B"/>
    <w:rsid w:val="005D5732"/>
    <w:rsid w:val="005E663A"/>
    <w:rsid w:val="005F17C8"/>
    <w:rsid w:val="005F645A"/>
    <w:rsid w:val="00621F39"/>
    <w:rsid w:val="006523E4"/>
    <w:rsid w:val="006530F1"/>
    <w:rsid w:val="006A0E34"/>
    <w:rsid w:val="006B6124"/>
    <w:rsid w:val="006C01AE"/>
    <w:rsid w:val="006D60E2"/>
    <w:rsid w:val="006E6F08"/>
    <w:rsid w:val="007147AE"/>
    <w:rsid w:val="00722A08"/>
    <w:rsid w:val="00740B4D"/>
    <w:rsid w:val="007422B2"/>
    <w:rsid w:val="00743454"/>
    <w:rsid w:val="00792AFD"/>
    <w:rsid w:val="007B7613"/>
    <w:rsid w:val="007D6FC0"/>
    <w:rsid w:val="007E787D"/>
    <w:rsid w:val="007F0718"/>
    <w:rsid w:val="007F20D1"/>
    <w:rsid w:val="00814F3F"/>
    <w:rsid w:val="0082452A"/>
    <w:rsid w:val="00826E04"/>
    <w:rsid w:val="008270B4"/>
    <w:rsid w:val="0084326E"/>
    <w:rsid w:val="00855714"/>
    <w:rsid w:val="00873380"/>
    <w:rsid w:val="00874210"/>
    <w:rsid w:val="008751AC"/>
    <w:rsid w:val="00887A1B"/>
    <w:rsid w:val="00893342"/>
    <w:rsid w:val="008C0728"/>
    <w:rsid w:val="008C0E42"/>
    <w:rsid w:val="008E7F9C"/>
    <w:rsid w:val="00921B88"/>
    <w:rsid w:val="00930DEE"/>
    <w:rsid w:val="00932836"/>
    <w:rsid w:val="009458C6"/>
    <w:rsid w:val="00955FC2"/>
    <w:rsid w:val="00996980"/>
    <w:rsid w:val="009A7669"/>
    <w:rsid w:val="00A155B6"/>
    <w:rsid w:val="00A2530C"/>
    <w:rsid w:val="00A25B91"/>
    <w:rsid w:val="00A77B3E"/>
    <w:rsid w:val="00A869F6"/>
    <w:rsid w:val="00A9034C"/>
    <w:rsid w:val="00A93947"/>
    <w:rsid w:val="00AA4737"/>
    <w:rsid w:val="00AB4D54"/>
    <w:rsid w:val="00AC2DF9"/>
    <w:rsid w:val="00AC3CF9"/>
    <w:rsid w:val="00AE2829"/>
    <w:rsid w:val="00B21FA3"/>
    <w:rsid w:val="00B567C8"/>
    <w:rsid w:val="00B70021"/>
    <w:rsid w:val="00B92921"/>
    <w:rsid w:val="00BA0188"/>
    <w:rsid w:val="00BC42E5"/>
    <w:rsid w:val="00BF2A17"/>
    <w:rsid w:val="00C03D4D"/>
    <w:rsid w:val="00C26A9D"/>
    <w:rsid w:val="00C2742E"/>
    <w:rsid w:val="00C30838"/>
    <w:rsid w:val="00C314AB"/>
    <w:rsid w:val="00CA2A55"/>
    <w:rsid w:val="00CB3835"/>
    <w:rsid w:val="00CF7106"/>
    <w:rsid w:val="00D07018"/>
    <w:rsid w:val="00D073EF"/>
    <w:rsid w:val="00D2011C"/>
    <w:rsid w:val="00D303E9"/>
    <w:rsid w:val="00D55294"/>
    <w:rsid w:val="00D72EED"/>
    <w:rsid w:val="00D74235"/>
    <w:rsid w:val="00DA699E"/>
    <w:rsid w:val="00DD158C"/>
    <w:rsid w:val="00DD6ABA"/>
    <w:rsid w:val="00E038F9"/>
    <w:rsid w:val="00E03911"/>
    <w:rsid w:val="00E27FD2"/>
    <w:rsid w:val="00E376FE"/>
    <w:rsid w:val="00E474E0"/>
    <w:rsid w:val="00E6216E"/>
    <w:rsid w:val="00E737CB"/>
    <w:rsid w:val="00E75A73"/>
    <w:rsid w:val="00E85D53"/>
    <w:rsid w:val="00E920E3"/>
    <w:rsid w:val="00E9282B"/>
    <w:rsid w:val="00EA06F1"/>
    <w:rsid w:val="00EA313F"/>
    <w:rsid w:val="00EB7DF4"/>
    <w:rsid w:val="00EC33BF"/>
    <w:rsid w:val="00ED61B9"/>
    <w:rsid w:val="00EF78E0"/>
    <w:rsid w:val="00F07DFC"/>
    <w:rsid w:val="00F12715"/>
    <w:rsid w:val="00F14149"/>
    <w:rsid w:val="00F26E5D"/>
    <w:rsid w:val="00F42556"/>
    <w:rsid w:val="00F62F5C"/>
    <w:rsid w:val="00F64DAE"/>
    <w:rsid w:val="00F74B69"/>
    <w:rsid w:val="00F824D8"/>
    <w:rsid w:val="00FA53AB"/>
    <w:rsid w:val="00FC54E5"/>
    <w:rsid w:val="00FD5420"/>
    <w:rsid w:val="26D301ED"/>
    <w:rsid w:val="2CFB5D33"/>
    <w:rsid w:val="380C16A8"/>
    <w:rsid w:val="424F3944"/>
    <w:rsid w:val="49617DB0"/>
    <w:rsid w:val="59627BE6"/>
    <w:rsid w:val="6F6C4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C08F6E7"/>
  <w15:docId w15:val="{5C6CAC2B-9C49-7E4B-9BD1-47172999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rPr>
      <w:sz w:val="20"/>
      <w:szCs w:val="20"/>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lang w:eastAsia="zh-CN"/>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rPr>
      <w:sz w:val="16"/>
      <w:szCs w:val="16"/>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semiHidden/>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7428</Words>
  <Characters>44866</Characters>
  <Application>Microsoft Office Word</Application>
  <DocSecurity>0</DocSecurity>
  <Lines>801</Lines>
  <Paragraphs>295</Paragraphs>
  <ScaleCrop>false</ScaleCrop>
  <Company/>
  <LinksUpToDate>false</LinksUpToDate>
  <CharactersWithSpaces>51999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Donna Fox</cp:lastModifiedBy>
  <cp:revision>2</cp:revision>
  <dcterms:created xsi:type="dcterms:W3CDTF">2021-05-22T02:10:00Z</dcterms:created>
  <dcterms:modified xsi:type="dcterms:W3CDTF">2021-05-22T02:10:00Z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C77A1688749B4E429168AE048D069E00</vt:lpwstr>
  </property>
</Properties>
</file>